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2026-11</w:t>
      </w:r>
    </w:p>
    <w:sdt>
      <w:sdtPr>
        <w:docPartObj>
          <w:docPartGallery w:val="Table of Contents"/>
          <w:docPartUnique/>
        </w:docPartObj>
      </w:sdtPr>
      <w:sdtContent>
        <w:p>
          <w:pPr>
            <w:pStyle w:val="TOCHeading"/>
          </w:pPr>
          <w:r>
            <w:t xml:space="preserve">Sumário</w:t>
          </w:r>
        </w:p>
        <w:p>
          <w:r>
            <w:fldChar w:fldCharType="begin" w:dirty="true"/>
            <w:instrText xml:space="preserve">TOC \o "1-2" \h \z \u</w:instrText>
            <w:fldChar w:fldCharType="separate"/>
            <w:fldChar w:fldCharType="end"/>
          </w:r>
        </w:p>
      </w:sdtContent>
    </w:sdt>
    <w:bookmarkStart w:id="20" w:name="créditos"/>
    <w:p>
      <w:pPr>
        <w:pStyle w:val="Heading1"/>
      </w:pPr>
      <w:r>
        <w:t xml:space="preserve">Créditos</w:t>
      </w:r>
    </w:p>
    <w:p>
      <w:pPr>
        <w:pStyle w:val="FirstParagraph"/>
      </w:pPr>
      <w:r>
        <w:rPr>
          <w:bCs/>
          <w:b/>
        </w:rPr>
        <w:t xml:space="preserve">O manual dos peptídeos</w:t>
      </w:r>
      <w:r>
        <w:t xml:space="preserve"> </w:t>
      </w:r>
      <w:r>
        <w:t xml:space="preserve">Todos os estudos em humanos comparados – efeitos, riscos, situação legal e perspectivas</w:t>
      </w:r>
    </w:p>
    <w:p>
      <w:pPr>
        <w:pStyle w:val="BodyText"/>
      </w:pPr>
      <w:r>
        <w:t xml:space="preserve">© 2026 Josef Gallab. Todos os direitos reservados.</w:t>
      </w:r>
    </w:p>
    <w:p>
      <w:pPr>
        <w:pStyle w:val="BodyText"/>
      </w:pPr>
      <w:r>
        <w:t xml:space="preserve">Primeira edição. Situação da pesquisa: outubro/novembro de 2026. Traduzido do original alemão.</w:t>
      </w:r>
    </w:p>
    <w:p>
      <w:pPr>
        <w:pStyle w:val="BodyText"/>
      </w:pPr>
      <w:r>
        <w:t xml:space="preserve">Este livro tem finalidade exclusivamente informativa. Não substitui aconselhamento, diagnóstico ou tratamento médico</w:t>
      </w:r>
      <w:r>
        <w:t xml:space="preserve"> </w:t>
      </w:r>
      <w:r>
        <w:t xml:space="preserve">e não contém recomendações de uso. Muitas das substâncias descritas não são aprovadas como medicamentos.</w:t>
      </w:r>
    </w:p>
    <w:p>
      <w:pPr>
        <w:pStyle w:val="BodyText"/>
      </w:pPr>
      <w:r>
        <w:t xml:space="preserve">Capa: Josef Gallab</w:t>
      </w:r>
    </w:p>
    <w:p>
      <w:pPr>
        <w:pStyle w:val="BodyText"/>
      </w:pPr>
      <w:r>
        <w:t xml:space="preserve">As informações sobre aprovação, situação legal e status antidoping refletem a situação de outubro/novembro de 2026. Elas podem mudar a qualquer momento – verifique a atualização antes de qualquer decisão. As fontes de cada afirmação estão nas notas de rodapé e no índice de estudos.</w:t>
      </w:r>
    </w:p>
    <w:p>
      <w:pPr>
        <w:pStyle w:val="BodyText"/>
      </w:pPr>
      <w:r>
        <w:t xml:space="preserve">Nenhuma parte desta obra pode ser reproduzida ou distribuída sem a autorização por escrito do autor.</w:t>
      </w:r>
    </w:p>
    <w:bookmarkEnd w:id="20"/>
    <w:bookmarkStart w:id="27" w:name="aviso-importante"/>
    <w:p>
      <w:pPr>
        <w:pStyle w:val="Heading1"/>
      </w:pPr>
      <w:r>
        <w:t xml:space="preserve">Aviso importante</w:t>
      </w:r>
    </w:p>
    <w:bookmarkStart w:id="21" w:name="não-substitui-orientação-médica"/>
    <w:p>
      <w:pPr>
        <w:pStyle w:val="Heading3"/>
      </w:pPr>
      <w:r>
        <w:t xml:space="preserve">Não substitui orientação médica</w:t>
      </w:r>
    </w:p>
    <w:p>
      <w:pPr>
        <w:pStyle w:val="FirstParagraph"/>
      </w:pPr>
      <w:r>
        <w:t xml:space="preserve">Este livro tem finalidade exclusivamente informativa e educativa. Ele não substitui consulta, diagnóstico ou tratamento médico. Antes de tomar decisões sobre sua saúde ou de iniciar, interromper ou alterar um medicamento, converse com um médico, uma médica ou um farmacêutico, uma farmacêutica. Em caso de sintomas agudos, procure o pronto-atendimento ou ligue para o número de emergência.</w:t>
      </w:r>
    </w:p>
    <w:bookmarkEnd w:id="21"/>
    <w:bookmarkStart w:id="22" w:name="nenhuma-recomendação-de-uso"/>
    <w:p>
      <w:pPr>
        <w:pStyle w:val="Heading3"/>
      </w:pPr>
      <w:r>
        <w:t xml:space="preserve">Nenhuma recomendação de uso</w:t>
      </w:r>
    </w:p>
    <w:p>
      <w:pPr>
        <w:pStyle w:val="FirstParagraph"/>
      </w:pPr>
      <w:r>
        <w:t xml:space="preserve">Este livro deliberadamente não contém recomendações de uso de peptídeos, nem dosagens, instruções de ingestão ou de injeção, ciclos de uso ou recomendações de combinação. Quando o texto menciona uma dose, ela descreve exclusivamente o que foi investigado em um estudo específico. Não se trata de uma recomendação, e ela não pode ser transposta para a sua situação pessoal. Para medicamentos aprovados, o que vale são a bula para profissionais (informação técnica), a bula para pacientes e o acompanhamento médico.</w:t>
      </w:r>
    </w:p>
    <w:bookmarkEnd w:id="22"/>
    <w:bookmarkStart w:id="23" w:name="muitas-substâncias-não-são-aprovadas"/>
    <w:p>
      <w:pPr>
        <w:pStyle w:val="Heading3"/>
      </w:pPr>
      <w:r>
        <w:t xml:space="preserve">Muitas substâncias não são aprovadas</w:t>
      </w:r>
    </w:p>
    <w:p>
      <w:pPr>
        <w:pStyle w:val="FirstParagraph"/>
      </w:pPr>
      <w:r>
        <w:t xml:space="preserve">Muitos dos peptídeos descritos neste livro</w:t>
      </w:r>
      <w:r>
        <w:t xml:space="preserve"> </w:t>
      </w:r>
      <w:r>
        <w:rPr>
          <w:bCs/>
          <w:b/>
        </w:rPr>
        <w:t xml:space="preserve">não</w:t>
      </w:r>
      <w:r>
        <w:t xml:space="preserve"> </w:t>
      </w:r>
      <w:r>
        <w:t xml:space="preserve">são aprovados como medicamentos na União Europeia, na Áustria, na Alemanha e nos EUA. Para muitos deles existem apenas estudos em animais ou em laboratório. A apresentação dessas substâncias neste livro não é uma afirmação sobre sua eficácia ou segurança em seres humanos nem um incentivo ao seu uso. Produtos oferecidos na internet como</w:t>
      </w:r>
      <w:r>
        <w:t xml:space="preserve"> </w:t>
      </w:r>
      <w:r>
        <w:t xml:space="preserve">“</w:t>
      </w:r>
      <w:r>
        <w:t xml:space="preserve">Research Peptides</w:t>
      </w:r>
      <w:r>
        <w:t xml:space="preserve">”</w:t>
      </w:r>
      <w:r>
        <w:t xml:space="preserve"> </w:t>
      </w:r>
      <w:r>
        <w:t xml:space="preserve">ou</w:t>
      </w:r>
      <w:r>
        <w:t xml:space="preserve"> </w:t>
      </w:r>
      <w:r>
        <w:t xml:space="preserve">“</w:t>
      </w:r>
      <w:r>
        <w:t xml:space="preserve">apenas para fins de pesquisa</w:t>
      </w:r>
      <w:r>
        <w:t xml:space="preserve">”</w:t>
      </w:r>
      <w:r>
        <w:t xml:space="preserve"> </w:t>
      </w:r>
      <w:r>
        <w:t xml:space="preserve">podem estar com a dose errada, contaminados ou falsificados. Seu uso pode ter consequências graves para a saúde e do ponto de vista jurídico.</w:t>
      </w:r>
    </w:p>
    <w:bookmarkEnd w:id="23"/>
    <w:bookmarkStart w:id="24" w:name="doping"/>
    <w:p>
      <w:pPr>
        <w:pStyle w:val="Heading3"/>
      </w:pPr>
      <w:r>
        <w:t xml:space="preserve">Doping</w:t>
      </w:r>
    </w:p>
    <w:p>
      <w:pPr>
        <w:pStyle w:val="FirstParagraph"/>
      </w:pPr>
      <w:r>
        <w:t xml:space="preserve">Muitos dos peptídeos descritos constam da lista de substâncias proibidas da Agência Mundial Antidoping (WADA). Seu uso pode levar a suspensões para atletas sujeitos a controles antidoping. Na Áustria e na Alemanha, o comércio, o repasse e, em determinados casos, também a posse de substâncias dopantes podem ser crime.</w:t>
      </w:r>
    </w:p>
    <w:bookmarkEnd w:id="24"/>
    <w:bookmarkStart w:id="25" w:name="atualidade-e-responsabilidade"/>
    <w:p>
      <w:pPr>
        <w:pStyle w:val="Heading3"/>
      </w:pPr>
      <w:r>
        <w:t xml:space="preserve">Atualidade e responsabilidade</w:t>
      </w:r>
    </w:p>
    <w:p>
      <w:pPr>
        <w:pStyle w:val="FirstParagraph"/>
      </w:pPr>
      <w:r>
        <w:t xml:space="preserve">As informações deste livro refletem a</w:t>
      </w:r>
      <w:r>
        <w:t xml:space="preserve"> </w:t>
      </w:r>
      <w:r>
        <w:rPr>
          <w:bCs/>
          <w:b/>
        </w:rPr>
        <w:t xml:space="preserve">situação em novembro de 2026</w:t>
      </w:r>
      <w:r>
        <w:t xml:space="preserve">. A pesquisa nas bases de dados foi feita em outubro de 2026. O conhecimento médico, as aprovações, as leis e as normas antidoping mudam continuamente. Todas as informações foram reunidas da melhor forma possível e com grande cuidado, mas são fornecidas sem garantia de exatidão, completude e atualidade. Exclui-se a responsabilidade do autor por danos decorrentes do uso das informações deste livro, na medida permitida por lei. A apresentação da situação legal não constitui assessoria jurídica.</w:t>
      </w:r>
    </w:p>
    <w:bookmarkEnd w:id="25"/>
    <w:bookmarkStart w:id="26" w:name="transparência-como-este-livro-foi-feito"/>
    <w:p>
      <w:pPr>
        <w:pStyle w:val="Heading3"/>
      </w:pPr>
      <w:r>
        <w:t xml:space="preserve">Transparência: como este livro foi feito</w:t>
      </w:r>
    </w:p>
    <w:p>
      <w:pPr>
        <w:pStyle w:val="FirstParagraph"/>
      </w:pPr>
      <w:r>
        <w:t xml:space="preserve">Este livro foi pesquisado e redigido com o apoio de inteligência artificial (IA) e, em seguida, revisado pelo autor. A IA foi usada para buscar estudos nas bases de dados PubMed e ClinicalTrials.gov, analisar resumos de estudos e produzir rascunhos de texto.</w:t>
      </w:r>
    </w:p>
    <w:p>
      <w:pPr>
        <w:pStyle w:val="BodyText"/>
      </w:pPr>
      <w:r>
        <w:t xml:space="preserve">Para evitar erros, valem regras rigorosas: cada estudo citado é indicado com seu número no PubMed (PMID) ou seu número de registro no ClinicalTrials.gov (número NCT). Cada número vem do resumo da respectiva publicação ou do registro do estudo. Todos os números citados foram, além disso, verificados automaticamente nas bases de dados. Assim, você pode consultar cada fonte e conferir as informações por conta própria. Como fazer isso está explicado na seção a seguir; detalhes sobre a pesquisa você encontra no apêndice</w:t>
      </w:r>
      <w:r>
        <w:t xml:space="preserve"> </w:t>
      </w:r>
      <w:r>
        <w:t xml:space="preserve">“</w:t>
      </w:r>
      <w:r>
        <w:t xml:space="preserve">Metodologia</w:t>
      </w:r>
      <w:r>
        <w:t xml:space="preserve">”</w:t>
      </w:r>
      <w:r>
        <w:t xml:space="preserve">.</w:t>
      </w:r>
    </w:p>
    <w:bookmarkEnd w:id="26"/>
    <w:bookmarkEnd w:id="27"/>
    <w:bookmarkStart w:id="36" w:name="sobre-este-livro"/>
    <w:p>
      <w:pPr>
        <w:pStyle w:val="Heading1"/>
      </w:pPr>
      <w:r>
        <w:t xml:space="preserve">Sobre este livro</w:t>
      </w:r>
    </w:p>
    <w:bookmarkStart w:id="28" w:name="para-que-serve-este-livro"/>
    <w:p>
      <w:pPr>
        <w:pStyle w:val="Heading3"/>
      </w:pPr>
      <w:r>
        <w:t xml:space="preserve">Para que serve este livro</w:t>
      </w:r>
    </w:p>
    <w:p>
      <w:pPr>
        <w:pStyle w:val="FirstParagraph"/>
      </w:pPr>
      <w:r>
        <w:t xml:space="preserve">Todo mundo fala de peptídeos. Injeções para emagrecer como semaglutida e tirzepatida mudaram o tratamento do excesso de peso, e na internet são oferecidas dezenas de outros peptídeos – para cicatrização mais rápida, mais músculos, pele melhor, mais energia ou uma vida mais longa. Entre as promessas feitas em fóruns, redes sociais e lojas on-line e aquilo que de fato foi estudado em seres humanos, costuma haver uma grande lacuna.</w:t>
      </w:r>
    </w:p>
    <w:p>
      <w:pPr>
        <w:pStyle w:val="BodyText"/>
      </w:pPr>
      <w:r>
        <w:t xml:space="preserve">Este livro quer tornar essa lacuna visível. Para cada peptídeo abordado, ele apresenta de forma sóbria quais estudos em humanos existem, o que eles mostram e o que não mostram, quais riscos são conhecidos e qual é a situação legal. Ele compara os peptídeos entre si e avalia o quão sólidas são as evidências em cada caso. O objetivo é ajudar você a examinar afirmações de forma crítica e a conversar de maneira informada com médicos, médicas e farmácias.</w:t>
      </w:r>
    </w:p>
    <w:bookmarkEnd w:id="28"/>
    <w:bookmarkStart w:id="29" w:name="para-quem-este-livro-foi-escrito"/>
    <w:p>
      <w:pPr>
        <w:pStyle w:val="Heading3"/>
      </w:pPr>
      <w:r>
        <w:t xml:space="preserve">Para quem este livro foi escrito</w:t>
      </w:r>
    </w:p>
    <w:p>
      <w:pPr>
        <w:numPr>
          <w:ilvl w:val="0"/>
          <w:numId w:val="1001"/>
        </w:numPr>
        <w:pStyle w:val="Compact"/>
      </w:pPr>
      <w:r>
        <w:t xml:space="preserve">Para</w:t>
      </w:r>
      <w:r>
        <w:t xml:space="preserve"> </w:t>
      </w:r>
      <w:r>
        <w:rPr>
          <w:bCs/>
          <w:b/>
        </w:rPr>
        <w:t xml:space="preserve">leigos interessados</w:t>
      </w:r>
      <w:r>
        <w:t xml:space="preserve"> </w:t>
      </w:r>
      <w:r>
        <w:t xml:space="preserve">que querem saber o que está por trás do boom dos peptídeos.</w:t>
      </w:r>
    </w:p>
    <w:p>
      <w:pPr>
        <w:numPr>
          <w:ilvl w:val="0"/>
          <w:numId w:val="1001"/>
        </w:numPr>
        <w:pStyle w:val="Compact"/>
      </w:pPr>
      <w:r>
        <w:t xml:space="preserve">Para pessoas que receberam a prescrição de um</w:t>
      </w:r>
      <w:r>
        <w:t xml:space="preserve"> </w:t>
      </w:r>
      <w:r>
        <w:rPr>
          <w:bCs/>
          <w:b/>
        </w:rPr>
        <w:t xml:space="preserve">medicamento peptídico aprovado</w:t>
      </w:r>
      <w:r>
        <w:t xml:space="preserve"> </w:t>
      </w:r>
      <w:r>
        <w:t xml:space="preserve">ou estão pensando nisso e querem entender os estudos.</w:t>
      </w:r>
    </w:p>
    <w:p>
      <w:pPr>
        <w:numPr>
          <w:ilvl w:val="0"/>
          <w:numId w:val="1001"/>
        </w:numPr>
        <w:pStyle w:val="Compact"/>
      </w:pPr>
      <w:r>
        <w:t xml:space="preserve">Para</w:t>
      </w:r>
      <w:r>
        <w:t xml:space="preserve"> </w:t>
      </w:r>
      <w:r>
        <w:rPr>
          <w:bCs/>
          <w:b/>
        </w:rPr>
        <w:t xml:space="preserve">atletas</w:t>
      </w:r>
      <w:r>
        <w:t xml:space="preserve">, treinadoras e treinadores que querem avaliar promessas publicitárias e riscos de doping.</w:t>
      </w:r>
    </w:p>
    <w:p>
      <w:pPr>
        <w:numPr>
          <w:ilvl w:val="0"/>
          <w:numId w:val="1001"/>
        </w:numPr>
        <w:pStyle w:val="Compact"/>
      </w:pPr>
      <w:r>
        <w:t xml:space="preserve">Para</w:t>
      </w:r>
      <w:r>
        <w:t xml:space="preserve"> </w:t>
      </w:r>
      <w:r>
        <w:rPr>
          <w:bCs/>
          <w:b/>
        </w:rPr>
        <w:t xml:space="preserve">profissionais</w:t>
      </w:r>
      <w:r>
        <w:t xml:space="preserve"> </w:t>
      </w:r>
      <w:r>
        <w:t xml:space="preserve">de farmácia, medicina, nutrição, cosmética e jornalismo que buscam uma visão geral rápida e baseada em fontes.</w:t>
      </w:r>
    </w:p>
    <w:p>
      <w:pPr>
        <w:pStyle w:val="FirstParagraph"/>
      </w:pPr>
      <w:r>
        <w:t xml:space="preserve">Não é preciso ter conhecimentos prévios. Os termos técnicos são explicados na primeira vez em que aparecem e também constam do glossário.</w:t>
      </w:r>
    </w:p>
    <w:bookmarkEnd w:id="29"/>
    <w:bookmarkStart w:id="30" w:name="como-o-livro-está-organizado"/>
    <w:p>
      <w:pPr>
        <w:pStyle w:val="Heading3"/>
      </w:pPr>
      <w:r>
        <w:t xml:space="preserve">Como o livro está organizado</w:t>
      </w:r>
    </w:p>
    <w:p>
      <w:pPr>
        <w:pStyle w:val="FirstParagraph"/>
      </w:pPr>
      <w:r>
        <w:rPr>
          <w:bCs/>
          <w:b/>
        </w:rPr>
        <w:t xml:space="preserve">Parte I – Fundamentos</w:t>
      </w:r>
      <w:r>
        <w:t xml:space="preserve"> </w:t>
      </w:r>
      <w:r>
        <w:t xml:space="preserve">explica o que são peptídeos, como a medicina peptídica se desenvolveu, como os peptídeos chegam ao organismo, como ler estudos, o que acontece no mercado cinza e qual é o marco legal. Quem não está familiarizado com esses temas deve começar por aqui.</w:t>
      </w:r>
    </w:p>
    <w:p>
      <w:pPr>
        <w:pStyle w:val="BodyText"/>
      </w:pPr>
      <w:r>
        <w:rPr>
          <w:bCs/>
          <w:b/>
        </w:rPr>
        <w:t xml:space="preserve">Parte II – Os peptídeos</w:t>
      </w:r>
      <w:r>
        <w:t xml:space="preserve"> </w:t>
      </w:r>
      <w:r>
        <w:t xml:space="preserve">apresenta cada substância ativa em seis grupos: metabolismo e peso; cicatrização, regeneração e sistema imunológico; eixo do hormônio do crescimento; cérebro, sono e longevidade; hormônios, sexualidade e pigmentação; colágeno, nutrição e cosmética. Todos os capítulos seguem a mesma estrutura: ficha técnica, mecanismo de ação, estudos em humanos, estudos em animais e em laboratório, riscos e efeitos colaterais, situação legal, estudos em andamento e perspectivas, conclusão. Assim, você pode comparar os peptídeos com facilidade e consultar pontos específicos.</w:t>
      </w:r>
    </w:p>
    <w:p>
      <w:pPr>
        <w:pStyle w:val="BodyText"/>
      </w:pPr>
      <w:r>
        <w:rPr>
          <w:bCs/>
          <w:b/>
        </w:rPr>
        <w:t xml:space="preserve">Parte III – A grande comparação</w:t>
      </w:r>
      <w:r>
        <w:t xml:space="preserve"> </w:t>
      </w:r>
      <w:r>
        <w:t xml:space="preserve">coloca todos os peptídeos lado a lado e compara diretamente os medicamentos GLP-1.</w:t>
      </w:r>
    </w:p>
    <w:p>
      <w:pPr>
        <w:pStyle w:val="BodyText"/>
      </w:pPr>
      <w:r>
        <w:rPr>
          <w:bCs/>
          <w:b/>
        </w:rPr>
        <w:t xml:space="preserve">Parte IV – Riscos</w:t>
      </w:r>
      <w:r>
        <w:t xml:space="preserve"> </w:t>
      </w:r>
      <w:r>
        <w:t xml:space="preserve">resume efeitos colaterais, riscos de câncer e imunológicos, problemas dos produtos do mercado cinza e grupos de risco especiais.</w:t>
      </w:r>
    </w:p>
    <w:p>
      <w:pPr>
        <w:pStyle w:val="BodyText"/>
      </w:pPr>
      <w:r>
        <w:rPr>
          <w:bCs/>
          <w:b/>
        </w:rPr>
        <w:t xml:space="preserve">Parte V – Futuro</w:t>
      </w:r>
      <w:r>
        <w:t xml:space="preserve"> </w:t>
      </w:r>
      <w:r>
        <w:t xml:space="preserve">olha para o pipeline de desenvolvimento, novas formas farmacêuticas, vencimento de patentes e preços. Fatos confirmados e avaliações pessoais são claramente separados.</w:t>
      </w:r>
    </w:p>
    <w:p>
      <w:pPr>
        <w:pStyle w:val="BodyText"/>
      </w:pPr>
      <w:r>
        <w:t xml:space="preserve">No</w:t>
      </w:r>
      <w:r>
        <w:t xml:space="preserve"> </w:t>
      </w:r>
      <w:r>
        <w:rPr>
          <w:bCs/>
          <w:b/>
        </w:rPr>
        <w:t xml:space="preserve">apêndice</w:t>
      </w:r>
      <w:r>
        <w:t xml:space="preserve"> </w:t>
      </w:r>
      <w:r>
        <w:t xml:space="preserve">você encontra o glossário, a metodologia da pesquisa e a lista dos estudos analisados.</w:t>
      </w:r>
    </w:p>
    <w:bookmarkEnd w:id="30"/>
    <w:bookmarkStart w:id="31" w:name="os-níveis-de-evidência"/>
    <w:p>
      <w:pPr>
        <w:pStyle w:val="Heading3"/>
      </w:pPr>
      <w:r>
        <w:t xml:space="preserve">Os níveis de evidência</w:t>
      </w:r>
    </w:p>
    <w:p>
      <w:pPr>
        <w:pStyle w:val="FirstParagraph"/>
      </w:pPr>
      <w:r>
        <w:t xml:space="preserve">Cada peptídeo recebe na ficha técnica um nível de evidência. Ele descreve o quão boa é a base de dados</w:t>
      </w:r>
      <w:r>
        <w:t xml:space="preserve"> </w:t>
      </w:r>
      <w:r>
        <w:rPr>
          <w:bCs/>
          <w:b/>
        </w:rPr>
        <w:t xml:space="preserve">em seres humanos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Significado</w:t>
            </w:r>
          </w:p>
        </w:tc>
      </w:tr>
      <w:tr>
        <w:tc>
          <w:tcPr/>
          <w:p>
            <w:pPr>
              <w:pStyle w:val="Compact"/>
              <w:jc w:val="left"/>
            </w:pPr>
            <w:r>
              <w:t xml:space="preserve">A</w:t>
            </w:r>
          </w:p>
        </w:tc>
        <w:tc>
          <w:tcPr/>
          <w:p>
            <w:pPr>
              <w:pStyle w:val="Compact"/>
              <w:jc w:val="left"/>
            </w:pPr>
            <w:r>
              <w:t xml:space="preserve">vários grandes estudos randomizados em humanos, aprovação como medicamento</w:t>
            </w:r>
          </w:p>
        </w:tc>
      </w:tr>
      <w:tr>
        <w:tc>
          <w:tcPr/>
          <w:p>
            <w:pPr>
              <w:pStyle w:val="Compact"/>
              <w:jc w:val="left"/>
            </w:pPr>
            <w:r>
              <w:t xml:space="preserve">B</w:t>
            </w:r>
          </w:p>
        </w:tc>
        <w:tc>
          <w:tcPr/>
          <w:p>
            <w:pPr>
              <w:pStyle w:val="Compact"/>
              <w:jc w:val="left"/>
            </w:pPr>
            <w:r>
              <w:t xml:space="preserve">estudos randomizados isolados em humanos</w:t>
            </w:r>
          </w:p>
        </w:tc>
      </w:tr>
      <w:tr>
        <w:tc>
          <w:tcPr/>
          <w:p>
            <w:pPr>
              <w:pStyle w:val="Compact"/>
              <w:jc w:val="left"/>
            </w:pPr>
            <w:r>
              <w:t xml:space="preserve">C</w:t>
            </w:r>
          </w:p>
        </w:tc>
        <w:tc>
          <w:tcPr/>
          <w:p>
            <w:pPr>
              <w:pStyle w:val="Compact"/>
              <w:jc w:val="left"/>
            </w:pPr>
            <w:r>
              <w:t xml:space="preserve">apenas estudos pequenos ou não controlados em humanos</w:t>
            </w:r>
          </w:p>
        </w:tc>
      </w:tr>
      <w:tr>
        <w:tc>
          <w:tcPr/>
          <w:p>
            <w:pPr>
              <w:pStyle w:val="Compact"/>
              <w:jc w:val="left"/>
            </w:pPr>
            <w:r>
              <w:t xml:space="preserve">D</w:t>
            </w:r>
          </w:p>
        </w:tc>
        <w:tc>
          <w:tcPr/>
          <w:p>
            <w:pPr>
              <w:pStyle w:val="Compact"/>
              <w:jc w:val="left"/>
            </w:pPr>
            <w:r>
              <w:t xml:space="preserve">apenas estudos em animais e em laboratório</w:t>
            </w:r>
          </w:p>
        </w:tc>
      </w:tr>
    </w:tbl>
    <w:p>
      <w:pPr>
        <w:pStyle w:val="BodyText"/>
      </w:pPr>
      <w:r>
        <w:t xml:space="preserve">O nível de evidência não é uma recomendação nem uma afirmação sobre a segurança de uma substância. Mesmo uma substância de nível A tem efeitos colaterais, e uma substância de nível D não é necessariamente ineficaz – ela apenas ainda não foi suficientemente estudada em seres humanos. O que está por trás dos termos</w:t>
      </w:r>
      <w:r>
        <w:t xml:space="preserve"> </w:t>
      </w:r>
      <w:r>
        <w:t xml:space="preserve">“</w:t>
      </w:r>
      <w:r>
        <w:t xml:space="preserve">randomizado</w:t>
      </w:r>
      <w:r>
        <w:t xml:space="preserve">”</w:t>
      </w:r>
      <w:r>
        <w:t xml:space="preserve">,</w:t>
      </w:r>
      <w:r>
        <w:t xml:space="preserve"> </w:t>
      </w:r>
      <w:r>
        <w:t xml:space="preserve">“</w:t>
      </w:r>
      <w:r>
        <w:t xml:space="preserve">controlado</w:t>
      </w:r>
      <w:r>
        <w:t xml:space="preserve">”</w:t>
      </w:r>
      <w:r>
        <w:t xml:space="preserve"> </w:t>
      </w:r>
      <w:r>
        <w:t xml:space="preserve">ou</w:t>
      </w:r>
      <w:r>
        <w:t xml:space="preserve"> </w:t>
      </w:r>
      <w:r>
        <w:t xml:space="preserve">“</w:t>
      </w:r>
      <w:r>
        <w:t xml:space="preserve">desfecho substituto</w:t>
      </w:r>
      <w:r>
        <w:t xml:space="preserve">”</w:t>
      </w:r>
      <w:r>
        <w:t xml:space="preserve"> </w:t>
      </w:r>
      <w:r>
        <w:t xml:space="preserve">é explicado no capítulo</w:t>
      </w:r>
      <w:r>
        <w:t xml:space="preserve"> </w:t>
      </w:r>
      <w:r>
        <w:t xml:space="preserve">“</w:t>
      </w:r>
      <w:r>
        <w:t xml:space="preserve">Como ler estudos corretamente</w:t>
      </w:r>
      <w:r>
        <w:t xml:space="preserve">”</w:t>
      </w:r>
      <w:r>
        <w:t xml:space="preserve">.</w:t>
      </w:r>
    </w:p>
    <w:bookmarkEnd w:id="31"/>
    <w:bookmarkStart w:id="32" w:name="como-as-fontes-são-indicadas"/>
    <w:p>
      <w:pPr>
        <w:pStyle w:val="Heading3"/>
      </w:pPr>
      <w:r>
        <w:t xml:space="preserve">Como as fontes são indicadas</w:t>
      </w:r>
    </w:p>
    <w:p>
      <w:pPr>
        <w:pStyle w:val="FirstParagraph"/>
      </w:pPr>
      <w:r>
        <w:t xml:space="preserve">Para manter o texto fácil de ler, as fontes estão em notas de rodapé. No e-book, aparece um pequeno número sobrescrito no ponto correspondente; basta tocar nele para ver a fonte. Cada nota indica o primeiro autor ou a primeira autora, o ano de publicação e o número do PubMed, por exemplo: Wilding 2021, PMID 33567185.</w:t>
      </w:r>
    </w:p>
    <w:p>
      <w:pPr>
        <w:pStyle w:val="BodyText"/>
      </w:pPr>
      <w:r>
        <w:t xml:space="preserve">Estudos registrados, especialmente os em andamento, são indicados com seu número no registro norte-americano ClinicalTrials.gov, por exemplo NCT03548935. Nas tabelas, as fontes aparecem diretamente na primeira coluna.</w:t>
      </w:r>
    </w:p>
    <w:p>
      <w:pPr>
        <w:pStyle w:val="BodyText"/>
      </w:pPr>
      <w:r>
        <w:t xml:space="preserve">As notas ficam no final de cada capítulo; o índice completo de estudos está no apêndice.</w:t>
      </w:r>
    </w:p>
    <w:bookmarkEnd w:id="32"/>
    <w:bookmarkStart w:id="33" w:name="como-consultar-uma-fonte"/>
    <w:p>
      <w:pPr>
        <w:pStyle w:val="Heading3"/>
      </w:pPr>
      <w:r>
        <w:t xml:space="preserve">Como consultar uma fonte</w:t>
      </w:r>
    </w:p>
    <w:p>
      <w:pPr>
        <w:pStyle w:val="FirstParagraph"/>
      </w:pPr>
      <w:r>
        <w:rPr>
          <w:bCs/>
          <w:b/>
        </w:rPr>
        <w:t xml:space="preserve">PMID</w:t>
      </w:r>
      <w:r>
        <w:t xml:space="preserve">: o número de identificação do PubMed é um número único para cada registro no PubMed, a base de dados bibliográfica de acesso livre da National Library of Medicine dos EUA.</w:t>
      </w:r>
    </w:p>
    <w:p>
      <w:pPr>
        <w:numPr>
          <w:ilvl w:val="0"/>
          <w:numId w:val="1002"/>
        </w:numPr>
        <w:pStyle w:val="Compact"/>
      </w:pPr>
      <w:r>
        <w:t xml:space="preserve">Abra no seu navegador a página pubmed.ncbi.nlm.nih.gov.</w:t>
      </w:r>
    </w:p>
    <w:p>
      <w:pPr>
        <w:numPr>
          <w:ilvl w:val="0"/>
          <w:numId w:val="1002"/>
        </w:numPr>
        <w:pStyle w:val="Compact"/>
      </w:pPr>
      <w:r>
        <w:t xml:space="preserve">Digite o número no campo de busca, por exemplo 33567185, e inicie a busca.</w:t>
      </w:r>
    </w:p>
    <w:p>
      <w:pPr>
        <w:numPr>
          <w:ilvl w:val="0"/>
          <w:numId w:val="1002"/>
        </w:numPr>
        <w:pStyle w:val="Compact"/>
      </w:pPr>
      <w:r>
        <w:t xml:space="preserve">Você chegará diretamente ao registro com título, autoras e autores, revista científica e, na maioria das vezes, um resumo (abstract).</w:t>
      </w:r>
    </w:p>
    <w:p>
      <w:pPr>
        <w:pStyle w:val="FirstParagraph"/>
      </w:pPr>
      <w:r>
        <w:t xml:space="preserve">Como alternativa, você pode acrescentar o número diretamente ao endereço: pubmed.ncbi.nlm.nih.gov/33567185. Muitos registros contêm um link para o texto completo, que às vezes é gratuito e às vezes só está disponível mediante pagamento.</w:t>
      </w:r>
    </w:p>
    <w:p>
      <w:pPr>
        <w:pStyle w:val="BodyText"/>
      </w:pPr>
      <w:r>
        <w:rPr>
          <w:bCs/>
          <w:b/>
        </w:rPr>
        <w:t xml:space="preserve">Número NCT</w:t>
      </w:r>
      <w:r>
        <w:t xml:space="preserve">: estudos registrados podem ser encontrados no site clinicaltrials.gov, digitando o número no campo de busca ou acrescentando-o ao endereço clinicaltrials.gov/study/, por exemplo clinicaltrials.gov/study/NCT03548935. Ali você vê o desenho do estudo, o número de participantes, os desfechos e a situação atual.</w:t>
      </w:r>
    </w:p>
    <w:bookmarkEnd w:id="33"/>
    <w:bookmarkStart w:id="34" w:name="Xad6b893405c2bfbefb8bf40f72f18187ed8feaf"/>
    <w:p>
      <w:pPr>
        <w:pStyle w:val="Heading3"/>
      </w:pPr>
      <w:r>
        <w:t xml:space="preserve">O que este livro deliberadamente não contém</w:t>
      </w:r>
    </w:p>
    <w:p>
      <w:pPr>
        <w:numPr>
          <w:ilvl w:val="0"/>
          <w:numId w:val="1003"/>
        </w:numPr>
        <w:pStyle w:val="Compact"/>
      </w:pPr>
      <w:r>
        <w:rPr>
          <w:bCs/>
          <w:b/>
        </w:rPr>
        <w:t xml:space="preserve">Nenhuma dosagem nem instrução de uso.</w:t>
      </w:r>
      <w:r>
        <w:t xml:space="preserve"> </w:t>
      </w:r>
      <w:r>
        <w:t xml:space="preserve">Não há informações sobre quanto, com que frequência ou por quanto tempo um peptídeo deve ser usado, nem instruções para dissolver ou injetar, nem combinações de várias substâncias. No caso de medicamentos aprovados, o livro remete à bula para profissionais e ao acompanhamento médico.</w:t>
      </w:r>
    </w:p>
    <w:p>
      <w:pPr>
        <w:numPr>
          <w:ilvl w:val="0"/>
          <w:numId w:val="1003"/>
        </w:numPr>
        <w:pStyle w:val="Compact"/>
      </w:pPr>
      <w:r>
        <w:rPr>
          <w:bCs/>
          <w:b/>
        </w:rPr>
        <w:t xml:space="preserve">Nenhuma fonte de compra.</w:t>
      </w:r>
      <w:r>
        <w:t xml:space="preserve"> </w:t>
      </w:r>
      <w:r>
        <w:t xml:space="preserve">Não são citados lojas, fabricantes, farmácias ou países onde se possam adquirir peptídeos, nem dadas dicas de como driblar controles.</w:t>
      </w:r>
    </w:p>
    <w:p>
      <w:pPr>
        <w:numPr>
          <w:ilvl w:val="0"/>
          <w:numId w:val="1003"/>
        </w:numPr>
        <w:pStyle w:val="Compact"/>
      </w:pPr>
      <w:r>
        <w:rPr>
          <w:bCs/>
          <w:b/>
        </w:rPr>
        <w:t xml:space="preserve">Nenhuma promessa de cura.</w:t>
      </w:r>
      <w:r>
        <w:t xml:space="preserve"> </w:t>
      </w:r>
      <w:r>
        <w:t xml:space="preserve">O livro relata o que foi observado em estudos – não o que uma substância vai provocar em você.</w:t>
      </w:r>
    </w:p>
    <w:p>
      <w:pPr>
        <w:numPr>
          <w:ilvl w:val="0"/>
          <w:numId w:val="1003"/>
        </w:numPr>
        <w:pStyle w:val="Compact"/>
      </w:pPr>
      <w:r>
        <w:rPr>
          <w:bCs/>
          <w:b/>
        </w:rPr>
        <w:t xml:space="preserve">Nenhuma recomendação de produto.</w:t>
      </w:r>
      <w:r>
        <w:t xml:space="preserve"> </w:t>
      </w:r>
      <w:r>
        <w:t xml:space="preserve">Não se recomendam marcas nem fornecedores. Nomes comerciais de medicamentos aprovados só são mencionados quando necessários para a compreensão.</w:t>
      </w:r>
    </w:p>
    <w:bookmarkEnd w:id="34"/>
    <w:bookmarkStart w:id="35" w:name="uma-palavra-final"/>
    <w:p>
      <w:pPr>
        <w:pStyle w:val="Heading3"/>
      </w:pPr>
      <w:r>
        <w:t xml:space="preserve">Uma palavra final</w:t>
      </w:r>
    </w:p>
    <w:p>
      <w:pPr>
        <w:pStyle w:val="FirstParagraph"/>
      </w:pPr>
      <w:r>
        <w:t xml:space="preserve">Este livro é uma ferramenta para a reflexão, não um guia de automedicação. Se depois da leitura você tiver mais perguntas do que antes, isso não é um mau sinal: muitas vezes, a resposta mais honesta à pergunta</w:t>
      </w:r>
      <w:r>
        <w:t xml:space="preserve"> </w:t>
      </w:r>
      <w:r>
        <w:t xml:space="preserve">“</w:t>
      </w:r>
      <w:r>
        <w:t xml:space="preserve">Este peptídeo funciona?</w:t>
      </w:r>
      <w:r>
        <w:t xml:space="preserve">”</w:t>
      </w:r>
      <w:r>
        <w:t xml:space="preserve"> </w:t>
      </w:r>
      <w:r>
        <w:t xml:space="preserve">é</w:t>
      </w:r>
      <w:r>
        <w:t xml:space="preserve"> </w:t>
      </w:r>
      <w:r>
        <w:t xml:space="preserve">“</w:t>
      </w:r>
      <w:r>
        <w:t xml:space="preserve">Ninguém sabe ainda</w:t>
      </w:r>
      <w:r>
        <w:t xml:space="preserve">”</w:t>
      </w:r>
      <w:r>
        <w:t xml:space="preserve">.</w:t>
      </w:r>
    </w:p>
    <w:bookmarkEnd w:id="35"/>
    <w:bookmarkEnd w:id="36"/>
    <w:bookmarkStart w:id="230" w:name="parte-i-fundamentos"/>
    <w:p>
      <w:pPr>
        <w:pStyle w:val="Heading1"/>
      </w:pPr>
      <w:r>
        <w:t xml:space="preserve">Parte I – Fundamentos</w:t>
      </w:r>
    </w:p>
    <w:p>
      <w:pPr>
        <w:pStyle w:val="FirstParagraph"/>
      </w:pPr>
      <w:r>
        <w:t xml:space="preserve">Antes de a Parte II tratar de cada substância ativa, esta parte estabelece as bases. Você vai saber o que um peptídeo é de fato do ponto de vista químico, como um extrato de pâncreas de cães se tornou, em menos de um século, um dos grupos de medicamentos de maior faturamento do mundo, por que a maioria dos peptídeos precisa ser injetada, como ler um estudo sem se deixar enganar por manchetes, o que realmente há dentro dos frascos do mercado cinza e quais regras legais se aplicam.</w:t>
      </w:r>
    </w:p>
    <w:p>
      <w:pPr>
        <w:pStyle w:val="BodyText"/>
      </w:pPr>
      <w:r>
        <w:t xml:space="preserve">Quem quiser consultar apenas um peptídeo específico pode ir direto para a Parte II. Os capítulos desta parte, porém, explicam os conceitos e critérios usados o tempo todo lá – como</w:t>
      </w:r>
      <w:r>
        <w:t xml:space="preserve"> </w:t>
      </w:r>
      <w:r>
        <w:t xml:space="preserve">“</w:t>
      </w:r>
      <w:r>
        <w:t xml:space="preserve">randomizado</w:t>
      </w:r>
      <w:r>
        <w:t xml:space="preserve">”</w:t>
      </w:r>
      <w:r>
        <w:t xml:space="preserve">,</w:t>
      </w:r>
      <w:r>
        <w:t xml:space="preserve"> </w:t>
      </w:r>
      <w:r>
        <w:t xml:space="preserve">“</w:t>
      </w:r>
      <w:r>
        <w:t xml:space="preserve">desfecho substituto</w:t>
      </w:r>
      <w:r>
        <w:t xml:space="preserve">”</w:t>
      </w:r>
      <w:r>
        <w:t xml:space="preserve">,</w:t>
      </w:r>
      <w:r>
        <w:t xml:space="preserve"> </w:t>
      </w:r>
      <w:r>
        <w:t xml:space="preserve">“</w:t>
      </w:r>
      <w:r>
        <w:t xml:space="preserve">nível de evidência B</w:t>
      </w:r>
      <w:r>
        <w:t xml:space="preserve">”</w:t>
      </w:r>
      <w:r>
        <w:t xml:space="preserve"> </w:t>
      </w:r>
      <w:r>
        <w:t xml:space="preserve">ou</w:t>
      </w:r>
      <w:r>
        <w:t xml:space="preserve"> </w:t>
      </w:r>
      <w:r>
        <w:t xml:space="preserve">“</w:t>
      </w:r>
      <w:r>
        <w:t xml:space="preserve">Research Peptide</w:t>
      </w:r>
      <w:r>
        <w:t xml:space="preserve">”</w:t>
      </w:r>
      <w:r>
        <w:t xml:space="preserve">. Por isso, uma leitura rápida vale a pena também para leitoras e leitores com pressa.</w:t>
      </w:r>
    </w:p>
    <w:bookmarkStart w:id="62" w:name="o-que-são-peptídeos-e-o-que-não-são"/>
    <w:p>
      <w:pPr>
        <w:pStyle w:val="Heading2"/>
      </w:pPr>
      <w:r>
        <w:t xml:space="preserve">O que são peptídeos – e o que não são</w:t>
      </w:r>
    </w:p>
    <w:p>
      <w:pPr>
        <w:pStyle w:val="FirstParagraph"/>
      </w:pPr>
      <w:r>
        <w:t xml:space="preserve">A palavra</w:t>
      </w:r>
      <w:r>
        <w:t xml:space="preserve"> </w:t>
      </w:r>
      <w:r>
        <w:t xml:space="preserve">“</w:t>
      </w:r>
      <w:r>
        <w:t xml:space="preserve">peptídeo</w:t>
      </w:r>
      <w:r>
        <w:t xml:space="preserve">”</w:t>
      </w:r>
      <w:r>
        <w:t xml:space="preserve"> </w:t>
      </w:r>
      <w:r>
        <w:t xml:space="preserve">fez uma carreira impressionante nos últimos anos. Ela aparece em cremes para a pele e em proteínas em pó, em anúncios de injeções para emagrecer e em fóruns on-line onde se discute sobre</w:t>
      </w:r>
      <w:r>
        <w:t xml:space="preserve"> </w:t>
      </w:r>
      <w:r>
        <w:t xml:space="preserve">“</w:t>
      </w:r>
      <w:r>
        <w:t xml:space="preserve">peptídeos de cura</w:t>
      </w:r>
      <w:r>
        <w:t xml:space="preserve">”</w:t>
      </w:r>
      <w:r>
        <w:t xml:space="preserve">. No entanto, o termo designa, antes de tudo, apenas um determinado tipo de construção química – nem mais, nem menos. Ele não diz nada sobre se uma substância funciona, se é segura ou se sequer chega ao organismo. Este capítulo esclarece os conceitos básicos e desfaz alguns equívocos comuns.</w:t>
      </w:r>
    </w:p>
    <w:bookmarkStart w:id="37" w:name="aminoácidos-os-blocos-de-construção"/>
    <w:p>
      <w:pPr>
        <w:pStyle w:val="Heading3"/>
      </w:pPr>
      <w:r>
        <w:t xml:space="preserve">Aminoácidos: os blocos de construção</w:t>
      </w:r>
    </w:p>
    <w:p>
      <w:pPr>
        <w:pStyle w:val="FirstParagraph"/>
      </w:pPr>
      <w:r>
        <w:t xml:space="preserve">Todos os peptídeos e proteínas são formados por aminoácidos. Um aminoácido é uma pequena molécula com dois componentes típicos: um grupo amino (que contém nitrogênio) e um grupo ácido (grupo carboxila). Entre eles fica um átomo de carbono central, ao qual está ligada uma chamada cadeia lateral. É essa cadeia lateral que diferencia os aminoácidos entre si: ela pode ser pequena e discreta, como na glicina, oleosa e repelente à água, como na leucina, eletricamente carregada, como na lisina, ou conter enxofre, como na cisteína.</w:t>
      </w:r>
    </w:p>
    <w:p>
      <w:pPr>
        <w:pStyle w:val="BodyText"/>
      </w:pPr>
      <w:r>
        <w:t xml:space="preserve">O corpo humano constrói suas proteínas essencialmente a partir de 20 aminoácidos padrão. Alguns deles ele consegue produzir sozinho; outros – os aminoácidos</w:t>
      </w:r>
      <w:r>
        <w:t xml:space="preserve"> </w:t>
      </w:r>
      <w:r>
        <w:t xml:space="preserve">“</w:t>
      </w:r>
      <w:r>
        <w:t xml:space="preserve">essenciais</w:t>
      </w:r>
      <w:r>
        <w:t xml:space="preserve">”</w:t>
      </w:r>
      <w:r>
        <w:t xml:space="preserve"> </w:t>
      </w:r>
      <w:r>
        <w:t xml:space="preserve">– precisam ser obtidos pela alimentação. Além disso, existem centenas de outros aminoácidos que ocorrem na natureza ou são produzidos em laboratório. Para o desenvolvimento de medicamentos, esses aminoácidos</w:t>
      </w:r>
      <w:r>
        <w:t xml:space="preserve"> </w:t>
      </w:r>
      <w:r>
        <w:t xml:space="preserve">“</w:t>
      </w:r>
      <w:r>
        <w:t xml:space="preserve">não naturais</w:t>
      </w:r>
      <w:r>
        <w:t xml:space="preserve">”</w:t>
      </w:r>
      <w:r>
        <w:t xml:space="preserve"> </w:t>
      </w:r>
      <w:r>
        <w:t xml:space="preserve">são importantes, porque podem tornar um peptídeo mais estável. Você encontra um exemplo mais adiante, no caso da semaglutida.</w:t>
      </w:r>
    </w:p>
    <w:p>
      <w:pPr>
        <w:pStyle w:val="BodyText"/>
      </w:pPr>
      <w:r>
        <w:t xml:space="preserve">Importante para entender muitas promessas publicitárias: aminoácidos isolados não são peptídeos. Um suplemento alimentar com arginina, glutamina ou</w:t>
      </w:r>
      <w:r>
        <w:t xml:space="preserve"> </w:t>
      </w:r>
      <w:r>
        <w:t xml:space="preserve">“</w:t>
      </w:r>
      <w:r>
        <w:t xml:space="preserve">BCAA</w:t>
      </w:r>
      <w:r>
        <w:t xml:space="preserve">”</w:t>
      </w:r>
      <w:r>
        <w:t xml:space="preserve"> </w:t>
      </w:r>
      <w:r>
        <w:t xml:space="preserve">contém aminoácidos livres, ou seja, blocos soltos – não um peptídeo.</w:t>
      </w:r>
    </w:p>
    <w:bookmarkEnd w:id="37"/>
    <w:bookmarkStart w:id="38" w:name="a-ligação-peptídica"/>
    <w:p>
      <w:pPr>
        <w:pStyle w:val="Heading3"/>
      </w:pPr>
      <w:r>
        <w:t xml:space="preserve">A ligação peptídica</w:t>
      </w:r>
    </w:p>
    <w:p>
      <w:pPr>
        <w:pStyle w:val="FirstParagraph"/>
      </w:pPr>
      <w:r>
        <w:t xml:space="preserve">Quando dois aminoácidos se unem, o grupo ácido de um reage com o grupo amino do outro. Nesse processo, uma molécula de água é liberada e forma-se uma ligação estável: a ligação peptídica. O resultado se chama dipeptídeo. Acrescentando-se mais um aminoácido, forma-se um tripeptídeo, depois um tetrapeptídeo, e assim por diante. Essa cadeia tem sempre uma direção: ela começa com um grupo amino livre (a</w:t>
      </w:r>
      <w:r>
        <w:t xml:space="preserve"> </w:t>
      </w:r>
      <w:r>
        <w:t xml:space="preserve">“</w:t>
      </w:r>
      <w:r>
        <w:t xml:space="preserve">extremidade N-terminal</w:t>
      </w:r>
      <w:r>
        <w:t xml:space="preserve">”</w:t>
      </w:r>
      <w:r>
        <w:t xml:space="preserve">) e termina com um grupo ácido livre (a</w:t>
      </w:r>
      <w:r>
        <w:t xml:space="preserve"> </w:t>
      </w:r>
      <w:r>
        <w:t xml:space="preserve">“</w:t>
      </w:r>
      <w:r>
        <w:t xml:space="preserve">extremidade C-terminal</w:t>
      </w:r>
      <w:r>
        <w:t xml:space="preserve">”</w:t>
      </w:r>
      <w:r>
        <w:t xml:space="preserve">). Por isso, em artigos científicos os aminoácidos são sempre escritos da esquerda para a direita, da extremidade N para a C – muitas vezes com abreviações de uma letra. O tripeptídeo</w:t>
      </w:r>
      <w:r>
        <w:t xml:space="preserve"> </w:t>
      </w:r>
      <w:r>
        <w:t xml:space="preserve">“</w:t>
      </w:r>
      <w:r>
        <w:t xml:space="preserve">GHK</w:t>
      </w:r>
      <w:r>
        <w:t xml:space="preserve">”</w:t>
      </w:r>
      <w:r>
        <w:t xml:space="preserve">, por exemplo, significa glicina–histidina–lisina.</w:t>
      </w:r>
    </w:p>
    <w:p>
      <w:pPr>
        <w:pStyle w:val="BodyText"/>
      </w:pPr>
      <w:r>
        <w:t xml:space="preserve">A ordem dos aminoácidos é chamada de sequência ou estrutura primária. Ela é decisiva: dois peptídeos com os mesmos blocos em outra ordem são substâncias diferentes, com propriedades diferentes – assim como</w:t>
      </w:r>
      <w:r>
        <w:t xml:space="preserve"> </w:t>
      </w:r>
      <w:r>
        <w:t xml:space="preserve">“</w:t>
      </w:r>
      <w:r>
        <w:t xml:space="preserve">Roma</w:t>
      </w:r>
      <w:r>
        <w:t xml:space="preserve">”</w:t>
      </w:r>
      <w:r>
        <w:t xml:space="preserve"> </w:t>
      </w:r>
      <w:r>
        <w:t xml:space="preserve">e</w:t>
      </w:r>
      <w:r>
        <w:t xml:space="preserve"> </w:t>
      </w:r>
      <w:r>
        <w:t xml:space="preserve">“</w:t>
      </w:r>
      <w:r>
        <w:t xml:space="preserve">amor</w:t>
      </w:r>
      <w:r>
        <w:t xml:space="preserve">”</w:t>
      </w:r>
      <w:r>
        <w:t xml:space="preserve"> </w:t>
      </w:r>
      <w:r>
        <w:t xml:space="preserve">são formadas pelas mesmas letras.</w:t>
      </w:r>
    </w:p>
    <w:bookmarkEnd w:id="38"/>
    <w:bookmarkStart w:id="41" w:name="X1a282ddb00ad0754c0777dc5e918c9417d622de"/>
    <w:p>
      <w:pPr>
        <w:pStyle w:val="Heading3"/>
      </w:pPr>
      <w:r>
        <w:t xml:space="preserve">Peptídeo ou proteína? Uma questão de tamanho</w:t>
      </w:r>
    </w:p>
    <w:p>
      <w:pPr>
        <w:pStyle w:val="FirstParagraph"/>
      </w:pPr>
      <w:r>
        <w:t xml:space="preserve">Entre peptídeos e proteínas não existe uma fronteira científica nítida, mas uma convenção. De modo geral:</w:t>
      </w:r>
    </w:p>
    <w:p>
      <w:pPr>
        <w:numPr>
          <w:ilvl w:val="0"/>
          <w:numId w:val="1004"/>
        </w:numPr>
        <w:pStyle w:val="Compact"/>
      </w:pPr>
      <w:r>
        <w:rPr>
          <w:bCs/>
          <w:b/>
        </w:rPr>
        <w:t xml:space="preserve">Oligopeptídeos</w:t>
      </w:r>
      <w:r>
        <w:t xml:space="preserve">: cerca de 2 a 10 aminoácidos, por exemplo o tripeptídeo glutationa ou o dipeptídeo carnosina.</w:t>
      </w:r>
    </w:p>
    <w:p>
      <w:pPr>
        <w:numPr>
          <w:ilvl w:val="0"/>
          <w:numId w:val="1004"/>
        </w:numPr>
        <w:pStyle w:val="Compact"/>
      </w:pPr>
      <w:r>
        <w:rPr>
          <w:bCs/>
          <w:b/>
        </w:rPr>
        <w:t xml:space="preserve">Polipeptídeos</w:t>
      </w:r>
      <w:r>
        <w:t xml:space="preserve">: cadeias mais longas, até cerca de 50 aminoácidos.</w:t>
      </w:r>
    </w:p>
    <w:p>
      <w:pPr>
        <w:numPr>
          <w:ilvl w:val="0"/>
          <w:numId w:val="1004"/>
        </w:numPr>
        <w:pStyle w:val="Compact"/>
      </w:pPr>
      <w:r>
        <w:rPr>
          <w:bCs/>
          <w:b/>
        </w:rPr>
        <w:t xml:space="preserve">Proteínas</w:t>
      </w:r>
      <w:r>
        <w:t xml:space="preserve">: moléculas maiores, geralmente com mais de 50 aminoácidos e um dobramento espacial definido.</w:t>
      </w:r>
    </w:p>
    <w:p>
      <w:pPr>
        <w:pStyle w:val="FirstParagraph"/>
      </w:pPr>
      <w:r>
        <w:t xml:space="preserve">A insulina, com 51 aminoácidos, fica exatamente nessa fronteira. Ela é formada por duas cadeias unidas por pontes de enxofre e, dependendo do livro-texto, é chamada de peptídeo ou de pequena proteína. Já o hormônio do crescimento humano é claramente uma proteína: a forma mais comum é composta por 191 aminoácidos e pesa cerca de 22.000 dáltons</w:t>
      </w:r>
      <w:r>
        <w:rPr>
          <w:rStyle w:val="FootnoteReference"/>
        </w:rPr>
        <w:footnoteReference w:id="39"/>
      </w:r>
      <w:r>
        <w:t xml:space="preserve">. O dálton é a unidade de massa das moléculas; um aminoácido médio em uma cadeia pesa um pouco mais de 100 dáltons.</w:t>
      </w:r>
    </w:p>
    <w:p>
      <w:pPr>
        <w:pStyle w:val="BodyText"/>
      </w:pPr>
      <w:r>
        <w:t xml:space="preserve">Alguns exemplos deste livro para orientação: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Substância</w:t>
            </w:r>
          </w:p>
        </w:tc>
        <w:tc>
          <w:tcPr/>
          <w:p>
            <w:pPr>
              <w:pStyle w:val="Compact"/>
              <w:jc w:val="left"/>
            </w:pPr>
            <w:r>
              <w:t xml:space="preserve">Tamanho</w:t>
            </w:r>
          </w:p>
        </w:tc>
        <w:tc>
          <w:tcPr/>
          <w:p>
            <w:pPr>
              <w:pStyle w:val="Compact"/>
              <w:jc w:val="left"/>
            </w:pPr>
            <w:r>
              <w:t xml:space="preserve">Observação</w:t>
            </w:r>
          </w:p>
        </w:tc>
      </w:tr>
      <w:tr>
        <w:tc>
          <w:tcPr/>
          <w:p>
            <w:pPr>
              <w:pStyle w:val="Compact"/>
              <w:jc w:val="left"/>
            </w:pPr>
            <w:r>
              <w:t xml:space="preserve">Carnosina</w:t>
            </w:r>
          </w:p>
        </w:tc>
        <w:tc>
          <w:tcPr/>
          <w:p>
            <w:pPr>
              <w:pStyle w:val="Compact"/>
              <w:jc w:val="left"/>
            </w:pPr>
            <w:r>
              <w:t xml:space="preserve">2 aminoácidos</w:t>
            </w:r>
          </w:p>
        </w:tc>
        <w:tc>
          <w:tcPr/>
          <w:p>
            <w:pPr>
              <w:pStyle w:val="Compact"/>
              <w:jc w:val="left"/>
            </w:pPr>
            <w:r>
              <w:t xml:space="preserve">presente nos músculos</w:t>
            </w:r>
          </w:p>
        </w:tc>
      </w:tr>
      <w:tr>
        <w:tc>
          <w:tcPr/>
          <w:p>
            <w:pPr>
              <w:pStyle w:val="Compact"/>
              <w:jc w:val="left"/>
            </w:pPr>
            <w:r>
              <w:t xml:space="preserve">Glutationa</w:t>
            </w:r>
          </w:p>
        </w:tc>
        <w:tc>
          <w:tcPr/>
          <w:p>
            <w:pPr>
              <w:pStyle w:val="Compact"/>
              <w:jc w:val="left"/>
            </w:pPr>
            <w:r>
              <w:t xml:space="preserve">3 aminoácidos</w:t>
            </w:r>
          </w:p>
        </w:tc>
        <w:tc>
          <w:tcPr/>
          <w:p>
            <w:pPr>
              <w:pStyle w:val="Compact"/>
              <w:jc w:val="left"/>
            </w:pPr>
            <w:r>
              <w:t xml:space="preserve">molécula protetora do próprio corpo</w:t>
            </w:r>
          </w:p>
        </w:tc>
      </w:tr>
      <w:tr>
        <w:tc>
          <w:tcPr/>
          <w:p>
            <w:pPr>
              <w:pStyle w:val="Compact"/>
              <w:jc w:val="left"/>
            </w:pPr>
            <w:r>
              <w:t xml:space="preserve">Ocitocina</w:t>
            </w:r>
          </w:p>
        </w:tc>
        <w:tc>
          <w:tcPr/>
          <w:p>
            <w:pPr>
              <w:pStyle w:val="Compact"/>
              <w:jc w:val="left"/>
            </w:pPr>
            <w:r>
              <w:t xml:space="preserve">9 aminoácidos</w:t>
            </w:r>
          </w:p>
        </w:tc>
        <w:tc>
          <w:tcPr/>
          <w:p>
            <w:pPr>
              <w:pStyle w:val="Compact"/>
              <w:jc w:val="left"/>
            </w:pPr>
            <w:r>
              <w:t xml:space="preserve">hormônio, estrutura em anel</w:t>
            </w:r>
          </w:p>
        </w:tc>
      </w:tr>
      <w:tr>
        <w:tc>
          <w:tcPr/>
          <w:p>
            <w:pPr>
              <w:pStyle w:val="Compact"/>
              <w:jc w:val="left"/>
            </w:pPr>
            <w:r>
              <w:t xml:space="preserve">GLP-1 (forma ativa)</w:t>
            </w:r>
          </w:p>
        </w:tc>
        <w:tc>
          <w:tcPr/>
          <w:p>
            <w:pPr>
              <w:pStyle w:val="Compact"/>
              <w:jc w:val="left"/>
            </w:pPr>
            <w:r>
              <w:t xml:space="preserve">30 aminoácidos</w:t>
            </w:r>
          </w:p>
        </w:tc>
        <w:tc>
          <w:tcPr/>
          <w:p>
            <w:pPr>
              <w:pStyle w:val="Compact"/>
              <w:jc w:val="left"/>
            </w:pPr>
            <w:r>
              <w:t xml:space="preserve">hormônio intestinal</w:t>
            </w:r>
          </w:p>
        </w:tc>
      </w:tr>
      <w:tr>
        <w:tc>
          <w:tcPr/>
          <w:p>
            <w:pPr>
              <w:pStyle w:val="Compact"/>
              <w:jc w:val="left"/>
            </w:pPr>
            <w:r>
              <w:t xml:space="preserve">Exendina-4 (exenatida)</w:t>
            </w:r>
          </w:p>
        </w:tc>
        <w:tc>
          <w:tcPr/>
          <w:p>
            <w:pPr>
              <w:pStyle w:val="Compact"/>
              <w:jc w:val="left"/>
            </w:pPr>
            <w:r>
              <w:t xml:space="preserve">39 aminoácidos</w:t>
            </w:r>
          </w:p>
        </w:tc>
        <w:tc>
          <w:tcPr/>
          <w:p>
            <w:pPr>
              <w:pStyle w:val="Compact"/>
              <w:jc w:val="left"/>
            </w:pPr>
            <w:r>
              <w:t xml:space="preserve">do veneno de um lagarto</w:t>
            </w:r>
          </w:p>
        </w:tc>
      </w:tr>
      <w:tr>
        <w:tc>
          <w:tcPr/>
          <w:p>
            <w:pPr>
              <w:pStyle w:val="Compact"/>
              <w:jc w:val="left"/>
            </w:pPr>
            <w:r>
              <w:t xml:space="preserve">Insulina</w:t>
            </w:r>
          </w:p>
        </w:tc>
        <w:tc>
          <w:tcPr/>
          <w:p>
            <w:pPr>
              <w:pStyle w:val="Compact"/>
              <w:jc w:val="left"/>
            </w:pPr>
            <w:r>
              <w:t xml:space="preserve">51 aminoácidos</w:t>
            </w:r>
          </w:p>
        </w:tc>
        <w:tc>
          <w:tcPr/>
          <w:p>
            <w:pPr>
              <w:pStyle w:val="Compact"/>
              <w:jc w:val="left"/>
            </w:pPr>
            <w:r>
              <w:t xml:space="preserve">duas cadeias</w:t>
            </w:r>
          </w:p>
        </w:tc>
      </w:tr>
      <w:tr>
        <w:tc>
          <w:tcPr/>
          <w:p>
            <w:pPr>
              <w:pStyle w:val="Compact"/>
              <w:jc w:val="left"/>
            </w:pPr>
            <w:r>
              <w:t xml:space="preserve">Hormônio do crescimento</w:t>
            </w:r>
          </w:p>
        </w:tc>
        <w:tc>
          <w:tcPr/>
          <w:p>
            <w:pPr>
              <w:pStyle w:val="Compact"/>
              <w:jc w:val="left"/>
            </w:pPr>
            <w:r>
              <w:t xml:space="preserve">191 aminoácidos</w:t>
            </w:r>
          </w:p>
        </w:tc>
        <w:tc>
          <w:tcPr/>
          <w:p>
            <w:pPr>
              <w:pStyle w:val="Compact"/>
              <w:jc w:val="left"/>
            </w:pPr>
            <w:r>
              <w:t xml:space="preserve">proteína</w:t>
            </w:r>
          </w:p>
        </w:tc>
      </w:tr>
    </w:tbl>
    <w:p>
      <w:pPr>
        <w:pStyle w:val="BodyText"/>
      </w:pPr>
      <w:r>
        <w:t xml:space="preserve">O tamanho da exendina-4 é indicado na descrição original</w:t>
      </w:r>
      <w:r>
        <w:rPr>
          <w:rStyle w:val="FootnoteReference"/>
        </w:rPr>
        <w:footnoteReference w:id="40"/>
      </w:r>
      <w:r>
        <w:t xml:space="preserve">; os demais dados correspondem ao conhecimento dos livros-texto.</w:t>
      </w:r>
    </w:p>
    <w:p>
      <w:pPr>
        <w:pStyle w:val="BodyText"/>
      </w:pPr>
      <w:r>
        <w:t xml:space="preserve">Na prática, o tamanho é importante por vários motivos. Peptídeos curtos são mais fáceis e mais baratos de produzir quimicamente. Cadeias longas se dobram em formas complexas que podem ser indispensáveis para o efeito. E quanto maior uma molécula, mais difícil é para ela atravessar a pele ou a parede intestinal – mais sobre isso no capítulo sobre as formas farmacêuticas.</w:t>
      </w:r>
    </w:p>
    <w:bookmarkEnd w:id="41"/>
    <w:bookmarkStart w:id="43" w:name="como-os-peptídeos-agem-no-organismo"/>
    <w:p>
      <w:pPr>
        <w:pStyle w:val="Heading3"/>
      </w:pPr>
      <w:r>
        <w:t xml:space="preserve">Como os peptídeos agem no organismo</w:t>
      </w:r>
    </w:p>
    <w:p>
      <w:pPr>
        <w:pStyle w:val="FirstParagraph"/>
      </w:pPr>
      <w:r>
        <w:t xml:space="preserve">O corpo humano usa peptídeos sobretudo como mensageiros. Um hormônio peptídico é produzido em uma célula, liberado no sangue ou no tecido e se acopla, em outra célula, a um receptor correspondente. Receptores são moléculas de proteína na membrana celular que funcionam como uma fechadura: só a chave certa desencadeia um sinal no interior da célula.</w:t>
      </w:r>
    </w:p>
    <w:p>
      <w:pPr>
        <w:pStyle w:val="BodyText"/>
      </w:pPr>
      <w:r>
        <w:t xml:space="preserve">Como os peptídeos geralmente são grandes demais e solúveis demais em água para atravessar a membrana celular gordurosa, a maioria age por meio de receptores na superfície da célula. Muitos deles pertencem à grande família dos receptores acoplados à proteína G. O receptor de GLP-1, por meio do qual agem a semaglutida ou a liraglutida, é um receptor desse tipo. Ele está presente não só no pâncreas, mas também no trato gastrointestinal, no coração, nos pulmões, nos rins e no cérebro</w:t>
      </w:r>
      <w:r>
        <w:rPr>
          <w:rStyle w:val="FootnoteReference"/>
        </w:rPr>
        <w:footnoteReference w:id="42"/>
      </w:r>
      <w:r>
        <w:t xml:space="preserve"> </w:t>
      </w:r>
      <w:r>
        <w:t xml:space="preserve">– o que explica por que essas substâncias têm tantos efeitos diferentes.</w:t>
      </w:r>
    </w:p>
    <w:p>
      <w:pPr>
        <w:pStyle w:val="BodyText"/>
      </w:pPr>
      <w:r>
        <w:t xml:space="preserve">No organismo, os peptídeos desempenham funções muito variadas:</w:t>
      </w:r>
    </w:p>
    <w:p>
      <w:pPr>
        <w:numPr>
          <w:ilvl w:val="0"/>
          <w:numId w:val="1005"/>
        </w:numPr>
        <w:pStyle w:val="Compact"/>
      </w:pPr>
      <w:r>
        <w:rPr>
          <w:bCs/>
          <w:b/>
        </w:rPr>
        <w:t xml:space="preserve">Hormônios</w:t>
      </w:r>
      <w:r>
        <w:t xml:space="preserve"> </w:t>
      </w:r>
      <w:r>
        <w:t xml:space="preserve">como insulina, glucagon, GLP-1, ocitocina ou vasopressina regulam o metabolismo, o equilíbrio hídrico e a reprodução.</w:t>
      </w:r>
    </w:p>
    <w:p>
      <w:pPr>
        <w:numPr>
          <w:ilvl w:val="0"/>
          <w:numId w:val="1005"/>
        </w:numPr>
        <w:pStyle w:val="Compact"/>
      </w:pPr>
      <w:r>
        <w:rPr>
          <w:bCs/>
          <w:b/>
        </w:rPr>
        <w:t xml:space="preserve">Fatores de liberação</w:t>
      </w:r>
      <w:r>
        <w:t xml:space="preserve"> </w:t>
      </w:r>
      <w:r>
        <w:t xml:space="preserve">do diencéfalo, como o hormônio liberador de gonadotrofina (GnRH), dão ordens à hipófise.</w:t>
      </w:r>
    </w:p>
    <w:p>
      <w:pPr>
        <w:numPr>
          <w:ilvl w:val="0"/>
          <w:numId w:val="1005"/>
        </w:numPr>
        <w:pStyle w:val="Compact"/>
      </w:pPr>
      <w:r>
        <w:rPr>
          <w:bCs/>
          <w:b/>
        </w:rPr>
        <w:t xml:space="preserve">Neuropeptídeos</w:t>
      </w:r>
      <w:r>
        <w:t xml:space="preserve"> </w:t>
      </w:r>
      <w:r>
        <w:t xml:space="preserve">como as endorfinas agem como sinalizadores no sistema nervoso.</w:t>
      </w:r>
    </w:p>
    <w:p>
      <w:pPr>
        <w:numPr>
          <w:ilvl w:val="0"/>
          <w:numId w:val="1005"/>
        </w:numPr>
        <w:pStyle w:val="Compact"/>
      </w:pPr>
      <w:r>
        <w:rPr>
          <w:bCs/>
          <w:b/>
        </w:rPr>
        <w:t xml:space="preserve">Peptídeos antimicrobianos</w:t>
      </w:r>
      <w:r>
        <w:t xml:space="preserve"> </w:t>
      </w:r>
      <w:r>
        <w:t xml:space="preserve">como o LL-37 fazem parte da defesa imunológica inata.</w:t>
      </w:r>
    </w:p>
    <w:p>
      <w:pPr>
        <w:numPr>
          <w:ilvl w:val="0"/>
          <w:numId w:val="1005"/>
        </w:numPr>
        <w:pStyle w:val="Compact"/>
      </w:pPr>
      <w:r>
        <w:rPr>
          <w:bCs/>
          <w:b/>
        </w:rPr>
        <w:t xml:space="preserve">Componentes estruturais e produtos de degradação</w:t>
      </w:r>
      <w:r>
        <w:t xml:space="preserve">: quando colágeno ou proteína do leite são digeridos, formam-se peptídeos curtos, alguns dos quais podem ser detectados no sangue.</w:t>
      </w:r>
    </w:p>
    <w:p>
      <w:pPr>
        <w:pStyle w:val="FirstParagraph"/>
      </w:pPr>
      <w:r>
        <w:t xml:space="preserve">Essa diversidade explica por que substâncias tão diferentes são reunidas sob o termo</w:t>
      </w:r>
      <w:r>
        <w:t xml:space="preserve"> </w:t>
      </w:r>
      <w:r>
        <w:t xml:space="preserve">“</w:t>
      </w:r>
      <w:r>
        <w:t xml:space="preserve">peptídeo</w:t>
      </w:r>
      <w:r>
        <w:t xml:space="preserve">”</w:t>
      </w:r>
      <w:r>
        <w:t xml:space="preserve">: tanto um medicamento para diabetes altamente eficaz e sujeito a prescrição quanto um colágeno em pó do supermercado.</w:t>
      </w:r>
    </w:p>
    <w:bookmarkEnd w:id="43"/>
    <w:bookmarkStart w:id="47" w:name="Xe42b69d8f182823e2cfee007462712ebab31f51"/>
    <w:p>
      <w:pPr>
        <w:pStyle w:val="Heading3"/>
      </w:pPr>
      <w:r>
        <w:t xml:space="preserve">Vida curta: o problema básico dos peptídeos naturais</w:t>
      </w:r>
    </w:p>
    <w:p>
      <w:pPr>
        <w:pStyle w:val="FirstParagraph"/>
      </w:pPr>
      <w:r>
        <w:t xml:space="preserve">Os peptídeos do próprio corpo geralmente são feitos para uma ação curta e precisa. O organismo dispõe de uma grande variedade de enzimas que quebram ligações peptídicas – as chamadas peptidases ou proteases. Isso faz sentido: um sinal hormonal deve surgir depois da refeição e depois desaparecer.</w:t>
      </w:r>
    </w:p>
    <w:p>
      <w:pPr>
        <w:pStyle w:val="BodyText"/>
      </w:pPr>
      <w:r>
        <w:t xml:space="preserve">Para um medicamento, porém, essa vida curta é um problema. O GLP-1 natural é rapidamente cortado pela enzima dipeptidil peptidase-4 (DPP-4). Em plasma sanguíneo humano em tubo de ensaio, a meia-vida foi de cerca de 20 minutos</w:t>
      </w:r>
      <w:r>
        <w:rPr>
          <w:rStyle w:val="FootnoteReference"/>
        </w:rPr>
        <w:footnoteReference w:id="44"/>
      </w:r>
      <w:r>
        <w:t xml:space="preserve">; no organismo, o GLP-1 é, além disso, rapidamente removido da circulação. Por isso, o GLP-1 inalterado dificilmente serviria como medicamento.</w:t>
      </w:r>
    </w:p>
    <w:p>
      <w:pPr>
        <w:pStyle w:val="BodyText"/>
      </w:pPr>
      <w:r>
        <w:t xml:space="preserve">A solução da pesquisa farmacêutica foi modificar a molécula de forma direcionada. Na semaglutida, dois aminoácidos do GLP-1 natural foram trocados – na posição 8 fica o aminoácido não natural Aib, que protege a molécula da DPP-4 – e um ácido graxo foi ligado à cadeia por meio de um conector. O ácido graxo faz com que a semaglutida se ligue de forma reversível, no sangue, à proteína transportadora albumina</w:t>
      </w:r>
      <w:r>
        <w:rPr>
          <w:rStyle w:val="FootnoteReference"/>
        </w:rPr>
        <w:footnoteReference w:id="45"/>
      </w:r>
      <w:r>
        <w:t xml:space="preserve">. Assim se forma um depósito a partir do qual a substância é liberada lentamente. A meia-vida em humanos é de cerca de uma semana</w:t>
      </w:r>
      <w:r>
        <w:rPr>
          <w:rStyle w:val="FootnoteReference"/>
        </w:rPr>
        <w:footnoteReference w:id="46"/>
      </w:r>
      <w:r>
        <w:t xml:space="preserve"> </w:t>
      </w:r>
      <w:r>
        <w:t xml:space="preserve">– por isso basta uma injeção por semana.</w:t>
      </w:r>
    </w:p>
    <w:p>
      <w:pPr>
        <w:pStyle w:val="BodyText"/>
      </w:pPr>
      <w:r>
        <w:t xml:space="preserve">Esse princípio – modelo natural, estabilizado de forma direcionada – percorre toda a medicina peptídica moderna. Mas isso também significa: um medicamento peptídico geralmente</w:t>
      </w:r>
      <w:r>
        <w:t xml:space="preserve"> </w:t>
      </w:r>
      <w:r>
        <w:rPr>
          <w:bCs/>
          <w:b/>
        </w:rPr>
        <w:t xml:space="preserve">não</w:t>
      </w:r>
      <w:r>
        <w:t xml:space="preserve"> </w:t>
      </w:r>
      <w:r>
        <w:t xml:space="preserve">é uma substância</w:t>
      </w:r>
      <w:r>
        <w:t xml:space="preserve"> </w:t>
      </w:r>
      <w:r>
        <w:t xml:space="preserve">“</w:t>
      </w:r>
      <w:r>
        <w:t xml:space="preserve">natural</w:t>
      </w:r>
      <w:r>
        <w:t xml:space="preserve">”</w:t>
      </w:r>
      <w:r>
        <w:t xml:space="preserve"> </w:t>
      </w:r>
      <w:r>
        <w:t xml:space="preserve">no sentido de idêntica e inalterada em relação à do próprio corpo. É uma molécula inspirada na natureza, mas otimizada em laboratório.</w:t>
      </w:r>
    </w:p>
    <w:bookmarkEnd w:id="47"/>
    <w:bookmarkStart w:id="51" w:name="como-os-peptídeos-são-produzidos"/>
    <w:p>
      <w:pPr>
        <w:pStyle w:val="Heading3"/>
      </w:pPr>
      <w:r>
        <w:t xml:space="preserve">Como os peptídeos são produzidos</w:t>
      </w:r>
    </w:p>
    <w:p>
      <w:pPr>
        <w:pStyle w:val="FirstParagraph"/>
      </w:pPr>
      <w:r>
        <w:t xml:space="preserve">Há três caminhos básicos para obter peptídeos:</w:t>
      </w:r>
    </w:p>
    <w:p>
      <w:pPr>
        <w:pStyle w:val="BodyText"/>
      </w:pPr>
      <w:r>
        <w:rPr>
          <w:bCs/>
          <w:b/>
        </w:rPr>
        <w:t xml:space="preserve">Síntese química.</w:t>
      </w:r>
      <w:r>
        <w:t xml:space="preserve"> </w:t>
      </w:r>
      <w:r>
        <w:t xml:space="preserve">Desde a década de 1960, os peptídeos são montados bloco a bloco sobre um material de suporte sólido. Esse método de síntese de peptídeos em fase sólida foi desenvolvido por Robert Bruce Merrifield</w:t>
      </w:r>
      <w:r>
        <w:rPr>
          <w:rStyle w:val="FootnoteReference"/>
        </w:rPr>
        <w:footnoteReference w:id="48"/>
      </w:r>
      <w:r>
        <w:t xml:space="preserve">, que recebeu por ele o Prêmio Nobel de Química em 1984. Hoje essas sínteses são amplamente automatizadas. Elas são a base de quase todos os peptídeos curtos, inclusive dos oferecidos no mercado cinza. Em cada etapa de acoplamento, porém, podem ocorrer erros – como aminoácidos faltantes ou duplicados. Por isso, uma etapa cuidadosa de purificação é indispensável.</w:t>
      </w:r>
    </w:p>
    <w:p>
      <w:pPr>
        <w:pStyle w:val="BodyText"/>
      </w:pPr>
      <w:r>
        <w:rPr>
          <w:bCs/>
          <w:b/>
        </w:rPr>
        <w:t xml:space="preserve">Produção por engenharia genética (recombinante).</w:t>
      </w:r>
      <w:r>
        <w:t xml:space="preserve"> </w:t>
      </w:r>
      <w:r>
        <w:t xml:space="preserve">Nesse caso, as instruções de montagem do peptídeo são introduzidas em bactérias ou leveduras, que então o produzem em grandes tanques. A insulina humana foi o primeiro medicamento produzido dessa forma; em estudos clínicos com seres humanos, ela passou a ser usada a partir de 1980</w:t>
      </w:r>
      <w:r>
        <w:rPr>
          <w:rStyle w:val="FootnoteReference"/>
        </w:rPr>
        <w:footnoteReference w:id="49"/>
      </w:r>
      <w:r>
        <w:t xml:space="preserve">. Peptídeos maiores e proteínas ainda hoje são obtidos predominantemente dessa maneira, às vezes em combinação com etapas de modificação química.</w:t>
      </w:r>
    </w:p>
    <w:p>
      <w:pPr>
        <w:pStyle w:val="BodyText"/>
      </w:pPr>
      <w:r>
        <w:rPr>
          <w:bCs/>
          <w:b/>
        </w:rPr>
        <w:t xml:space="preserve">Obtenção de fontes naturais.</w:t>
      </w:r>
      <w:r>
        <w:t xml:space="preserve"> </w:t>
      </w:r>
      <w:r>
        <w:t xml:space="preserve">As primeiras insulinas eram extraídas de pâncreas de bovinos e suínos. Os peptídeos de colágeno são produzidos hoje decompondo-se com enzimas o colágeno de pele, ossos ou escamas de peixe em pedaços menores (hidrólise). Esses hidrolisados são misturas de muitos peptídeos diferentes – não uma substância ativa uniforme.</w:t>
      </w:r>
    </w:p>
    <w:p>
      <w:pPr>
        <w:pStyle w:val="BodyText"/>
      </w:pPr>
      <w:r>
        <w:t xml:space="preserve">O modo de produção é relevante para a segurança. Uma análise comparou produtos de imitação de semaglutida e liraglutida com os produtos originais e encontrou, em algumas das substâncias imitadas, novas impurezas, entre elas proteínas de maior peso molecular, metais em traços e resíduos de solventes</w:t>
      </w:r>
      <w:r>
        <w:rPr>
          <w:rStyle w:val="FootnoteReference"/>
        </w:rPr>
        <w:footnoteReference w:id="50"/>
      </w:r>
      <w:r>
        <w:t xml:space="preserve">. Se essas diferenças são clinicamente relevantes ainda é uma questão em aberto – mas elas mostram que</w:t>
      </w:r>
      <w:r>
        <w:t xml:space="preserve"> </w:t>
      </w:r>
      <w:r>
        <w:t xml:space="preserve">“</w:t>
      </w:r>
      <w:r>
        <w:t xml:space="preserve">a mesma substância ativa</w:t>
      </w:r>
      <w:r>
        <w:t xml:space="preserve">”</w:t>
      </w:r>
      <w:r>
        <w:t xml:space="preserve"> </w:t>
      </w:r>
      <w:r>
        <w:t xml:space="preserve">não significa automaticamente</w:t>
      </w:r>
      <w:r>
        <w:t xml:space="preserve"> </w:t>
      </w:r>
      <w:r>
        <w:t xml:space="preserve">“</w:t>
      </w:r>
      <w:r>
        <w:t xml:space="preserve">o mesmo produto</w:t>
      </w:r>
      <w:r>
        <w:t xml:space="preserve">”</w:t>
      </w:r>
      <w:r>
        <w:t xml:space="preserve">. A análise, aliás, foi realizada pelo fabricante dos produtos originais, o que deve ser levado em conta na avaliação.</w:t>
      </w:r>
    </w:p>
    <w:bookmarkEnd w:id="51"/>
    <w:bookmarkStart w:id="54" w:name="X8ad4061a723d24da2136d11a098422645529d78"/>
    <w:p>
      <w:pPr>
        <w:pStyle w:val="Heading3"/>
      </w:pPr>
      <w:r>
        <w:t xml:space="preserve">Peptídeos como medicamentos: um grupo em crescimento</w:t>
      </w:r>
    </w:p>
    <w:p>
      <w:pPr>
        <w:pStyle w:val="FirstParagraph"/>
      </w:pPr>
      <w:r>
        <w:t xml:space="preserve">Os peptídeos ocupam um nicho entre as clássicas</w:t>
      </w:r>
      <w:r>
        <w:t xml:space="preserve"> </w:t>
      </w:r>
      <w:r>
        <w:t xml:space="preserve">“</w:t>
      </w:r>
      <w:r>
        <w:t xml:space="preserve">moléculas pequenas</w:t>
      </w:r>
      <w:r>
        <w:t xml:space="preserve">”</w:t>
      </w:r>
      <w:r>
        <w:t xml:space="preserve"> </w:t>
      </w:r>
      <w:r>
        <w:t xml:space="preserve">(como aspirina ou metformina) e os grandes biológicos (como anticorpos). Eles podem se ligar de modo muito específico a um receptor, o que muitas vezes resulta em poucos efeitos indesejados em outros locais. Ao mesmo tempo, são mais difíceis de transformar em comprimidos e muitas vezes caros de produzir.</w:t>
      </w:r>
    </w:p>
    <w:p>
      <w:pPr>
        <w:pStyle w:val="BodyText"/>
      </w:pPr>
      <w:r>
        <w:t xml:space="preserve">Segundo um artigo de revisão, desde a introdução da insulina mais de 80 medicamentos peptídicos chegaram ao mercado, por exemplo contra diabetes, câncer, osteoporose, esclerose múltipla, infecção por HIV e dor crônica</w:t>
      </w:r>
      <w:r>
        <w:rPr>
          <w:rStyle w:val="FootnoteReference"/>
        </w:rPr>
        <w:footnoteReference w:id="52"/>
      </w:r>
      <w:r>
        <w:t xml:space="preserve">. Outra análise contou mais de 150 peptídeos em desenvolvimento clínico ativo</w:t>
      </w:r>
      <w:r>
        <w:rPr>
          <w:rStyle w:val="FootnoteReference"/>
        </w:rPr>
        <w:footnoteReference w:id="53"/>
      </w:r>
      <w:r>
        <w:t xml:space="preserve">. Os números variam conforme o critério de contagem, mas apontam na mesma direção: os peptídeos são uma parte consolidada e crescente da medicina.</w:t>
      </w:r>
    </w:p>
    <w:p>
      <w:pPr>
        <w:pStyle w:val="BodyText"/>
      </w:pPr>
      <w:r>
        <w:t xml:space="preserve">Muitos medicamentos peptídicos talvez você conheça sem tê-los percebido como peptídeos: a insulina, o medicamento para osteoporose teriparatida (um fragmento do paratormônio com 34 aminoácidos), substâncias contra o câncer de próstata que atuam no sistema GnRH, o indutor do parto ocitocina ou o antibiótico vancomicina, um glicopeptídeo.</w:t>
      </w:r>
    </w:p>
    <w:bookmarkEnd w:id="54"/>
    <w:bookmarkStart w:id="56" w:name="o-que-os-peptídeos-não-são"/>
    <w:p>
      <w:pPr>
        <w:pStyle w:val="Heading3"/>
      </w:pPr>
      <w:r>
        <w:t xml:space="preserve">O que os peptídeos não são</w:t>
      </w:r>
    </w:p>
    <w:p>
      <w:pPr>
        <w:pStyle w:val="FirstParagraph"/>
      </w:pPr>
      <w:r>
        <w:t xml:space="preserve">Justamente porque o termo se tornou tão popular, vale a pena examinar alguns equívocos comuns.</w:t>
      </w:r>
    </w:p>
    <w:p>
      <w:pPr>
        <w:pStyle w:val="BodyText"/>
      </w:pPr>
      <w:r>
        <w:rPr>
          <w:bCs/>
          <w:b/>
        </w:rPr>
        <w:t xml:space="preserve">“</w:t>
      </w:r>
      <w:r>
        <w:rPr>
          <w:bCs/>
          <w:b/>
        </w:rPr>
        <w:t xml:space="preserve">Peptídeo</w:t>
      </w:r>
      <w:r>
        <w:rPr>
          <w:bCs/>
          <w:b/>
        </w:rPr>
        <w:t xml:space="preserve">”</w:t>
      </w:r>
      <w:r>
        <w:rPr>
          <w:bCs/>
          <w:b/>
        </w:rPr>
        <w:t xml:space="preserve"> </w:t>
      </w:r>
      <w:r>
        <w:rPr>
          <w:bCs/>
          <w:b/>
        </w:rPr>
        <w:t xml:space="preserve">não é selo de qualidade.</w:t>
      </w:r>
      <w:r>
        <w:t xml:space="preserve"> </w:t>
      </w:r>
      <w:r>
        <w:t xml:space="preserve">A construção química não diz nada sobre benefício ou risco. A insulina salva vidas todos os dias – na quantidade errada, pode ser fatal. Um peptídeo não é automaticamente mais suave do que um medicamento</w:t>
      </w:r>
      <w:r>
        <w:t xml:space="preserve"> </w:t>
      </w:r>
      <w:r>
        <w:t xml:space="preserve">“</w:t>
      </w:r>
      <w:r>
        <w:t xml:space="preserve">químico</w:t>
      </w:r>
      <w:r>
        <w:t xml:space="preserve">”</w:t>
      </w:r>
      <w:r>
        <w:t xml:space="preserve">.</w:t>
      </w:r>
    </w:p>
    <w:p>
      <w:pPr>
        <w:pStyle w:val="BodyText"/>
      </w:pPr>
      <w:r>
        <w:rPr>
          <w:bCs/>
          <w:b/>
        </w:rPr>
        <w:t xml:space="preserve">“</w:t>
      </w:r>
      <w:r>
        <w:rPr>
          <w:bCs/>
          <w:b/>
        </w:rPr>
        <w:t xml:space="preserve">Do próprio corpo</w:t>
      </w:r>
      <w:r>
        <w:rPr>
          <w:bCs/>
          <w:b/>
        </w:rPr>
        <w:t xml:space="preserve">”</w:t>
      </w:r>
      <w:r>
        <w:rPr>
          <w:bCs/>
          <w:b/>
        </w:rPr>
        <w:t xml:space="preserve"> </w:t>
      </w:r>
      <w:r>
        <w:rPr>
          <w:bCs/>
          <w:b/>
        </w:rPr>
        <w:t xml:space="preserve">não quer dizer</w:t>
      </w:r>
      <w:r>
        <w:rPr>
          <w:bCs/>
          <w:b/>
        </w:rPr>
        <w:t xml:space="preserve"> </w:t>
      </w:r>
      <w:r>
        <w:rPr>
          <w:bCs/>
          <w:b/>
        </w:rPr>
        <w:t xml:space="preserve">“</w:t>
      </w:r>
      <w:r>
        <w:rPr>
          <w:bCs/>
          <w:b/>
        </w:rPr>
        <w:t xml:space="preserve">inofensivo</w:t>
      </w:r>
      <w:r>
        <w:rPr>
          <w:bCs/>
          <w:b/>
        </w:rPr>
        <w:t xml:space="preserve">”</w:t>
      </w:r>
      <w:r>
        <w:rPr>
          <w:bCs/>
          <w:b/>
        </w:rPr>
        <w:t xml:space="preserve">.</w:t>
      </w:r>
      <w:r>
        <w:t xml:space="preserve"> </w:t>
      </w:r>
      <w:r>
        <w:t xml:space="preserve">Muitos peptídeos do mercado cinza são anunciados como</w:t>
      </w:r>
      <w:r>
        <w:t xml:space="preserve"> </w:t>
      </w:r>
      <w:r>
        <w:t xml:space="preserve">“</w:t>
      </w:r>
      <w:r>
        <w:t xml:space="preserve">do próprio corpo</w:t>
      </w:r>
      <w:r>
        <w:t xml:space="preserve">”</w:t>
      </w:r>
      <w:r>
        <w:t xml:space="preserve"> </w:t>
      </w:r>
      <w:r>
        <w:t xml:space="preserve">ou</w:t>
      </w:r>
      <w:r>
        <w:t xml:space="preserve"> </w:t>
      </w:r>
      <w:r>
        <w:t xml:space="preserve">“</w:t>
      </w:r>
      <w:r>
        <w:t xml:space="preserve">bioidênticos</w:t>
      </w:r>
      <w:r>
        <w:t xml:space="preserve">”</w:t>
      </w:r>
      <w:r>
        <w:t xml:space="preserve">. Mas também substâncias produzidas pelo próprio organismo podem causar danos em quantidades anormalmente altas, no lugar errado ou por muito tempo. Um exemplo é o sistema do hormônio do crescimento: a falta causa doença, e o excesso permanente também. Além disso, muitos peptídeos supostamente do próprio corpo são, na verdade, variações ou fragmentos que nem sequer existem dessa forma no organismo. O BPC-157, por exemplo, é uma sequência de 15 aminoácidos</w:t>
      </w:r>
      <w:r>
        <w:rPr>
          <w:rStyle w:val="FootnoteReference"/>
        </w:rPr>
        <w:footnoteReference w:id="55"/>
      </w:r>
      <w:r>
        <w:t xml:space="preserve"> </w:t>
      </w:r>
      <w:r>
        <w:t xml:space="preserve">que seus descobridores derivaram do suco gástrico; como hormônio humano independente, ele não está estabelecido.</w:t>
      </w:r>
    </w:p>
    <w:p>
      <w:pPr>
        <w:pStyle w:val="BodyText"/>
      </w:pPr>
      <w:r>
        <w:rPr>
          <w:bCs/>
          <w:b/>
        </w:rPr>
        <w:t xml:space="preserve">Peptídeos não são esteroides.</w:t>
      </w:r>
      <w:r>
        <w:t xml:space="preserve"> </w:t>
      </w:r>
      <w:r>
        <w:t xml:space="preserve">Anabolizantes como a testosterona são hormônios esteroides com uma estrutura química completamente diferente, formada por anéis de carbono. Eles agem por meio de receptores no interior das células. No meio fitness, os dois grupos às vezes são colocados no mesmo saco; química e farmacologicamente, têm pouco em comum.</w:t>
      </w:r>
    </w:p>
    <w:p>
      <w:pPr>
        <w:pStyle w:val="BodyText"/>
      </w:pPr>
      <w:r>
        <w:rPr>
          <w:bCs/>
          <w:b/>
        </w:rPr>
        <w:t xml:space="preserve">Nem tudo o que age de modo parecido é um peptídeo.</w:t>
      </w:r>
      <w:r>
        <w:t xml:space="preserve"> </w:t>
      </w:r>
      <w:r>
        <w:t xml:space="preserve">A orforglipron, por exemplo, ativa o receptor de GLP-1 como a semaglutida, mas é uma molécula pequena, não peptídica. O ibutamoreno (MK-677) estimula a liberação do hormônio do crescimento como alguns peptídeos, mas ele próprio não é um. Por isso, ambos são tratados neste livro apenas para fins de comparação.</w:t>
      </w:r>
    </w:p>
    <w:p>
      <w:pPr>
        <w:pStyle w:val="BodyText"/>
      </w:pPr>
      <w:r>
        <w:rPr>
          <w:bCs/>
          <w:b/>
        </w:rPr>
        <w:t xml:space="preserve">Um peptídeo no creme não é o mesmo que um peptídeo na injeção.</w:t>
      </w:r>
      <w:r>
        <w:t xml:space="preserve"> </w:t>
      </w:r>
      <w:r>
        <w:t xml:space="preserve">Peptídeos cosméticos como o palmitoil pentapeptídeo-4 são desenhados especialmente para agir na camada mais superficial da pele. Se e quão profundamente penetram é outra questão. Por outro lado, um peptídeo injetado como medicamento não atravessa simplesmente a pele quando aplicado sobre ela.</w:t>
      </w:r>
    </w:p>
    <w:p>
      <w:pPr>
        <w:pStyle w:val="BodyText"/>
      </w:pPr>
      <w:r>
        <w:rPr>
          <w:bCs/>
          <w:b/>
        </w:rPr>
        <w:t xml:space="preserve">Peptídeos ingeridos geralmente são digeridos.</w:t>
      </w:r>
      <w:r>
        <w:t xml:space="preserve"> </w:t>
      </w:r>
      <w:r>
        <w:t xml:space="preserve">O trato gastrointestinal foi feito para decompor proteínas em aminoácidos e fragmentos muito curtos. Por isso, um hormônio peptídico engolido costuma ser degradado antes de poder agir. As exceções – como peptídeos muito pequenos do colágeno, detectáveis no sangue, ou o comprimido de semaglutida com seu excipiente – são explicadas no capítulo depois do próximo.</w:t>
      </w:r>
    </w:p>
    <w:bookmarkEnd w:id="56"/>
    <w:bookmarkStart w:id="57" w:name="natural-idêntico-ao-natural-modificado"/>
    <w:p>
      <w:pPr>
        <w:pStyle w:val="Heading3"/>
      </w:pPr>
      <w:r>
        <w:t xml:space="preserve">Natural, idêntico ao natural, modificado</w:t>
      </w:r>
    </w:p>
    <w:p>
      <w:pPr>
        <w:pStyle w:val="FirstParagraph"/>
      </w:pPr>
      <w:r>
        <w:t xml:space="preserve">Para classificar os peptídeos da Parte II, ajuda uma distinção simples:</w:t>
      </w:r>
    </w:p>
    <w:p>
      <w:pPr>
        <w:numPr>
          <w:ilvl w:val="0"/>
          <w:numId w:val="1006"/>
        </w:numPr>
        <w:pStyle w:val="Compact"/>
      </w:pPr>
      <w:r>
        <w:rPr>
          <w:bCs/>
          <w:b/>
        </w:rPr>
        <w:t xml:space="preserve">Peptídeos idênticos aos naturais</w:t>
      </w:r>
      <w:r>
        <w:t xml:space="preserve"> </w:t>
      </w:r>
      <w:r>
        <w:t xml:space="preserve">correspondem exatamente a uma molécula do próprio corpo, como a ocitocina ou a glutationa.</w:t>
      </w:r>
    </w:p>
    <w:p>
      <w:pPr>
        <w:numPr>
          <w:ilvl w:val="0"/>
          <w:numId w:val="1006"/>
        </w:numPr>
        <w:pStyle w:val="Compact"/>
      </w:pPr>
      <w:r>
        <w:rPr>
          <w:bCs/>
          <w:b/>
        </w:rPr>
        <w:t xml:space="preserve">Análogos modificados</w:t>
      </w:r>
      <w:r>
        <w:t xml:space="preserve"> </w:t>
      </w:r>
      <w:r>
        <w:t xml:space="preserve">são derivados do modelo natural, mas alterados de forma direcionada – por troca de aminoácidos, ligação de ácidos graxos ou estruturas em anel. Quase todos os medicamentos peptídicos modernos pertencem a esse grupo.</w:t>
      </w:r>
    </w:p>
    <w:p>
      <w:pPr>
        <w:numPr>
          <w:ilvl w:val="0"/>
          <w:numId w:val="1006"/>
        </w:numPr>
        <w:pStyle w:val="Compact"/>
      </w:pPr>
      <w:r>
        <w:rPr>
          <w:bCs/>
          <w:b/>
        </w:rPr>
        <w:t xml:space="preserve">Peptídeos estranhos ao corpo ou de novo desenho</w:t>
      </w:r>
      <w:r>
        <w:t xml:space="preserve"> </w:t>
      </w:r>
      <w:r>
        <w:t xml:space="preserve">vêm de outros seres vivos (como a exendina-4, da saliva do monstro-de-gila) ou foram desenvolvidos do zero em laboratório (como os peptídeos cosméticos ou os agonistas duplos e triplos tirzepatida e retatrutida).</w:t>
      </w:r>
    </w:p>
    <w:p>
      <w:pPr>
        <w:pStyle w:val="FirstParagraph"/>
      </w:pPr>
      <w:r>
        <w:t xml:space="preserve">Para a segurança, essa classificação por si só não é decisiva. Mas ela ajuda a entender por que estudos em humanos são indispensáveis nos três grupos: mesmo uma molécula idêntica à natural se comporta de outra forma quando é administrada de fora em grande quantidade.</w:t>
      </w:r>
    </w:p>
    <w:bookmarkEnd w:id="57"/>
    <w:bookmarkStart w:id="60" w:name="X8522cfd4546462615b4911fd4c4b1652698d25e"/>
    <w:p>
      <w:pPr>
        <w:pStyle w:val="Heading3"/>
      </w:pPr>
      <w:r>
        <w:t xml:space="preserve">Por que os peptídeos recebem tanta atenção justamente agora</w:t>
      </w:r>
    </w:p>
    <w:p>
      <w:pPr>
        <w:pStyle w:val="FirstParagraph"/>
      </w:pPr>
      <w:r>
        <w:t xml:space="preserve">Três desenvolvimentos explicam o boom dos últimos anos:</w:t>
      </w:r>
    </w:p>
    <w:p>
      <w:pPr>
        <w:pStyle w:val="BodyText"/>
      </w:pPr>
      <w:r>
        <w:rPr>
          <w:bCs/>
          <w:b/>
        </w:rPr>
        <w:t xml:space="preserve">Primeiro, os medicamentos GLP-1.</w:t>
      </w:r>
      <w:r>
        <w:t xml:space="preserve"> </w:t>
      </w:r>
      <w:r>
        <w:t xml:space="preserve">Os resultados de substâncias como semaglutida e tirzepatida no excesso de peso colocaram os peptídeos nas manchetes. No estudo de aprovação STEP 1, os participantes com semaglutida perderam em média 14,9% do peso corporal, contra 2,4% com placebo</w:t>
      </w:r>
      <w:r>
        <w:rPr>
          <w:rStyle w:val="FootnoteReference"/>
        </w:rPr>
        <w:footnoteReference w:id="58"/>
      </w:r>
      <w:r>
        <w:t xml:space="preserve">. Números assim nunca tinham sido alcançados com medicamentos.</w:t>
      </w:r>
    </w:p>
    <w:p>
      <w:pPr>
        <w:pStyle w:val="BodyText"/>
      </w:pPr>
      <w:r>
        <w:rPr>
          <w:bCs/>
          <w:b/>
        </w:rPr>
        <w:t xml:space="preserve">Segundo, a fácil disponibilidade.</w:t>
      </w:r>
      <w:r>
        <w:t xml:space="preserve"> </w:t>
      </w:r>
      <w:r>
        <w:t xml:space="preserve">Hoje, peptídeos curtos podem ser sintetizados a baixo custo em muitos países e são oferecidos no mundo todo pela internet – muitas vezes com o rótulo</w:t>
      </w:r>
      <w:r>
        <w:t xml:space="preserve"> </w:t>
      </w:r>
      <w:r>
        <w:t xml:space="preserve">“</w:t>
      </w:r>
      <w:r>
        <w:t xml:space="preserve">apenas para fins de pesquisa</w:t>
      </w:r>
      <w:r>
        <w:t xml:space="preserve">”</w:t>
      </w:r>
      <w:r>
        <w:t xml:space="preserve">. O que isso significa é tratado no capítulo sobre o mercado cinza.</w:t>
      </w:r>
    </w:p>
    <w:p>
      <w:pPr>
        <w:pStyle w:val="BodyText"/>
      </w:pPr>
      <w:r>
        <w:rPr>
          <w:bCs/>
          <w:b/>
        </w:rPr>
        <w:t xml:space="preserve">Terceiro, as redes sociais.</w:t>
      </w:r>
      <w:r>
        <w:t xml:space="preserve"> </w:t>
      </w:r>
      <w:r>
        <w:t xml:space="preserve">Relatos de experiência, fotos de antes e depois e recomendações de influenciadores se espalham mais rápido que dados científicos. Um artigo de revisão descreve como publicidade digital, acesso ao mercado cinza e autoinjeção interagem e normalizam produtos cuja identidade, pureza e segurança são incertas</w:t>
      </w:r>
      <w:r>
        <w:rPr>
          <w:rStyle w:val="FootnoteReference"/>
        </w:rPr>
        <w:footnoteReference w:id="59"/>
      </w:r>
      <w:r>
        <w:t xml:space="preserve">.</w:t>
      </w:r>
    </w:p>
    <w:p>
      <w:pPr>
        <w:pStyle w:val="BodyText"/>
      </w:pPr>
      <w:r>
        <w:t xml:space="preserve">Este livro quer oferecer aqui um contraponto sóbrio: para cada peptídeo, examina-se o que de fato foi estudado em seres humanos – e o que não foi.</w:t>
      </w:r>
    </w:p>
    <w:bookmarkEnd w:id="60"/>
    <w:bookmarkStart w:id="61" w:name="o-essencial-em-resumo"/>
    <w:p>
      <w:pPr>
        <w:pStyle w:val="Heading3"/>
      </w:pPr>
      <w:r>
        <w:t xml:space="preserve">O essencial em resumo</w:t>
      </w:r>
    </w:p>
    <w:p>
      <w:pPr>
        <w:numPr>
          <w:ilvl w:val="0"/>
          <w:numId w:val="1007"/>
        </w:numPr>
        <w:pStyle w:val="Compact"/>
      </w:pPr>
      <w:r>
        <w:t xml:space="preserve">Peptídeos são cadeias de aminoácidos unidos por ligações peptídicas. A partir de cerca de 50 aminoácidos, geralmente se fala em proteínas.</w:t>
      </w:r>
    </w:p>
    <w:p>
      <w:pPr>
        <w:numPr>
          <w:ilvl w:val="0"/>
          <w:numId w:val="1007"/>
        </w:numPr>
        <w:pStyle w:val="Compact"/>
      </w:pPr>
      <w:r>
        <w:t xml:space="preserve">No organismo, os peptídeos agem principalmente como mensageiros, por meio de receptores na superfície celular.</w:t>
      </w:r>
    </w:p>
    <w:p>
      <w:pPr>
        <w:numPr>
          <w:ilvl w:val="0"/>
          <w:numId w:val="1007"/>
        </w:numPr>
        <w:pStyle w:val="Compact"/>
      </w:pPr>
      <w:r>
        <w:t xml:space="preserve">Peptídeos naturais são degradados rapidamente. Por isso, os medicamentos peptídicos modernos são quase sempre moléculas modificadas de forma direcionada.</w:t>
      </w:r>
    </w:p>
    <w:p>
      <w:pPr>
        <w:numPr>
          <w:ilvl w:val="0"/>
          <w:numId w:val="1007"/>
        </w:numPr>
        <w:pStyle w:val="Compact"/>
      </w:pPr>
      <w:r>
        <w:t xml:space="preserve">Peptídeos são sintetizados quimicamente, produzidos por engenharia genética ou obtidos de fontes naturais. O modo de produção e a pureza influenciam a segurança.</w:t>
      </w:r>
    </w:p>
    <w:p>
      <w:pPr>
        <w:numPr>
          <w:ilvl w:val="0"/>
          <w:numId w:val="1007"/>
        </w:numPr>
        <w:pStyle w:val="Compact"/>
      </w:pPr>
      <w:r>
        <w:t xml:space="preserve">“</w:t>
      </w:r>
      <w:r>
        <w:t xml:space="preserve">Peptídeo</w:t>
      </w:r>
      <w:r>
        <w:t xml:space="preserve">”</w:t>
      </w:r>
      <w:r>
        <w:t xml:space="preserve"> </w:t>
      </w:r>
      <w:r>
        <w:t xml:space="preserve">é uma descrição química, não um selo de qualidade. Se um determinado peptídeo funciona e é seguro em seres humanos, só bons estudos podem mostrar.</w:t>
      </w:r>
    </w:p>
    <w:bookmarkEnd w:id="61"/>
    <w:bookmarkEnd w:id="62"/>
    <w:bookmarkStart w:id="99" w:name="X1edf16053ea327c141b0bf8d2313e659991df1f"/>
    <w:p>
      <w:pPr>
        <w:pStyle w:val="Heading2"/>
      </w:pPr>
      <w:r>
        <w:t xml:space="preserve">Breve história: da insulina aos medicamentos GLP-1</w:t>
      </w:r>
    </w:p>
    <w:p>
      <w:pPr>
        <w:pStyle w:val="FirstParagraph"/>
      </w:pPr>
      <w:r>
        <w:t xml:space="preserve">A história dos medicamentos peptídicos é uma história de avanços, de caminhos equivocados e de acasos surpreendentes. Ela começa com um experimento desesperado em Toronto, passa pelo veneno de um lagarto do deserto norte-americano e termina – por enquanto – em injeções para emagrecer que estão entre os medicamentos mais vendidos do mundo. Este capítulo conta as etapas mais importantes. Ele deve ajudar você a situar o alvoroço atual em torno dos peptídeos: muito do que é vendido como revolucionário se apoia nos ombros de cem anos de pesquisa trabalhosa.</w:t>
      </w:r>
    </w:p>
    <w:bookmarkStart w:id="63" w:name="Xc1057307cf8206bd37c9c67b7f148a0bb97bac3"/>
    <w:p>
      <w:pPr>
        <w:pStyle w:val="Heading3"/>
      </w:pPr>
      <w:r>
        <w:t xml:space="preserve">Antes de 1922: os mensageiros químicos são descobertos</w:t>
      </w:r>
    </w:p>
    <w:p>
      <w:pPr>
        <w:pStyle w:val="FirstParagraph"/>
      </w:pPr>
      <w:r>
        <w:t xml:space="preserve">Por volta de 1900, uma nova ideia se impôs na fisiologia: os órgãos se comunicam não apenas por nervos, mas também por mensageiros químicos no sangue. Os fisiologistas britânicos William Bayliss e Ernest Starling descreveram em 1902 a secretina, uma substância da parede intestinal que estimula o pâncreas a produzir suco. Pouco depois, Starling cunhou para esses mensageiros o termo</w:t>
      </w:r>
      <w:r>
        <w:t xml:space="preserve"> </w:t>
      </w:r>
      <w:r>
        <w:t xml:space="preserve">“</w:t>
      </w:r>
      <w:r>
        <w:t xml:space="preserve">hormônio</w:t>
      </w:r>
      <w:r>
        <w:t xml:space="preserve">”</w:t>
      </w:r>
      <w:r>
        <w:t xml:space="preserve">. A secretina é – como se sabe hoje – um peptídeo. Assim, um peptídeo esteve no início de toda a pesquisa sobre hormônios.</w:t>
      </w:r>
    </w:p>
    <w:p>
      <w:pPr>
        <w:pStyle w:val="BodyText"/>
      </w:pPr>
      <w:r>
        <w:t xml:space="preserve">Ao mesmo tempo, sabia-se que o diabetes mellitus estava relacionado ao pâncreas. Cães dos quais se retirava esse órgão desenvolviam um diabetes fatal. Muitos grupos de pesquisa tentaram obter da glândula a suposta substância capaz de baixar a glicose no sangue. Os extratos, porém, ou eram ineficazes ou tão contaminados que provocavam reações graves.</w:t>
      </w:r>
    </w:p>
    <w:bookmarkEnd w:id="63"/>
    <w:bookmarkStart w:id="67" w:name="Xf15d1e63dc2d2f12d6b6fd8771520e5902520c0"/>
    <w:p>
      <w:pPr>
        <w:pStyle w:val="Heading3"/>
      </w:pPr>
      <w:r>
        <w:t xml:space="preserve">1922: insulina – o primeiro medicamento peptídico</w:t>
      </w:r>
    </w:p>
    <w:p>
      <w:pPr>
        <w:pStyle w:val="FirstParagraph"/>
      </w:pPr>
      <w:r>
        <w:t xml:space="preserve">No verão de 1921, um grupo da Universidade de Toronto deu o passo decisivo. Frederick Banting e Charles Best, sob a direção de John Macleod, obtiveram um extrato que baixava a glicose no sangue de cães sem pâncreas. O bioquímico James Collip aprimorou a purificação a ponto de o extrato poder ser testado em seres humanos. Em janeiro de 1922, um menino de 14 anos com diabetes grave recebeu as primeiras injeções em Toronto. No mesmo ano, o grupo relatou suas experiências com pacientes</w:t>
      </w:r>
      <w:r>
        <w:rPr>
          <w:rStyle w:val="FootnoteReference"/>
        </w:rPr>
        <w:footnoteReference w:id="64"/>
      </w:r>
      <w:r>
        <w:t xml:space="preserve">.</w:t>
      </w:r>
    </w:p>
    <w:p>
      <w:pPr>
        <w:pStyle w:val="BodyText"/>
      </w:pPr>
      <w:r>
        <w:t xml:space="preserve">O efeito foi dramático: o diabetes tipo 1, até então fatal em pouco tempo, tornou-se uma doença crônica tratável. Um artigo de revisão publicado no centenário descreve exatamente essa transformação como o cerne da descoberta</w:t>
      </w:r>
      <w:r>
        <w:rPr>
          <w:rStyle w:val="FootnoteReference"/>
        </w:rPr>
        <w:footnoteReference w:id="65"/>
      </w:r>
      <w:r>
        <w:t xml:space="preserve">. Banting e Macleod receberam em 1923 o Prêmio Nobel de Medicina.</w:t>
      </w:r>
    </w:p>
    <w:p>
      <w:pPr>
        <w:pStyle w:val="BodyText"/>
      </w:pPr>
      <w:r>
        <w:t xml:space="preserve">As décadas seguintes giraram, como resume uma revisão histórica, em torno de questões bem práticas: produzir insulina suficiente, torná-la mais pura para evitar reações alérgicas, estabelecer padrões e prolongar a duração do efeito para que fossem necessárias menos injeções</w:t>
      </w:r>
      <w:r>
        <w:rPr>
          <w:rStyle w:val="FootnoteReference"/>
        </w:rPr>
        <w:footnoteReference w:id="66"/>
      </w:r>
      <w:r>
        <w:t xml:space="preserve">. Exatamente esses temas – produção, pureza, duração do efeito, administração – acompanham a medicina peptídica até hoje.</w:t>
      </w:r>
    </w:p>
    <w:bookmarkEnd w:id="67"/>
    <w:bookmarkStart w:id="70" w:name="X3ae1a1c1e4f67e5e30a77c778fd74811551ead5"/>
    <w:p>
      <w:pPr>
        <w:pStyle w:val="Heading3"/>
      </w:pPr>
      <w:r>
        <w:t xml:space="preserve">Década de 1950: os peptídeos se tornam legíveis e reproduzíveis</w:t>
      </w:r>
    </w:p>
    <w:p>
      <w:pPr>
        <w:pStyle w:val="FirstParagraph"/>
      </w:pPr>
      <w:r>
        <w:t xml:space="preserve">Por muito tempo não se sabia como a insulina era constituída quimicamente. O bioquímico britânico Frederick Sanger decifrou, no início da década de 1950, passo a passo, a ordem dos aminoácidos nas duas cadeias da insulina</w:t>
      </w:r>
      <w:r>
        <w:rPr>
          <w:rStyle w:val="FootnoteReference"/>
        </w:rPr>
        <w:footnoteReference w:id="68"/>
      </w:r>
      <w:r>
        <w:t xml:space="preserve">. A insulina tornou-se assim a primeira proteína cuja sequência completa era conhecida. Sanger recebeu por isso o Prêmio Nobel de Química em 1958. A constatação de que as proteínas têm uma ordem fixa e exatamente definida de blocos de construção foi fundamental para toda a biologia molecular.</w:t>
      </w:r>
    </w:p>
    <w:p>
      <w:pPr>
        <w:pStyle w:val="BodyText"/>
      </w:pPr>
      <w:r>
        <w:t xml:space="preserve">Quase ao mesmo tempo, o químico norte-americano Vincent du Vigneaud conseguiu a primeira produção química de um hormônio peptídico: a ocitocina, um hormônio de nove aminoácidos que desencadeia as contrações do parto e a saída do leite. Ele recebeu por isso o Prêmio Nobel de Química em 1955. Pela primeira vez, um hormônio do próprio corpo havia sido</w:t>
      </w:r>
      <w:r>
        <w:t xml:space="preserve"> </w:t>
      </w:r>
      <w:r>
        <w:t xml:space="preserve">“</w:t>
      </w:r>
      <w:r>
        <w:t xml:space="preserve">reconstruído</w:t>
      </w:r>
      <w:r>
        <w:t xml:space="preserve">”</w:t>
      </w:r>
      <w:r>
        <w:t xml:space="preserve"> </w:t>
      </w:r>
      <w:r>
        <w:t xml:space="preserve">em laboratório – a ocitocina sintética é usada na obstetrícia até hoje.</w:t>
      </w:r>
    </w:p>
    <w:p>
      <w:pPr>
        <w:pStyle w:val="BodyText"/>
      </w:pPr>
      <w:r>
        <w:t xml:space="preserve">Na década de 1960, Robert Bruce Merrifield desenvolveu a síntese em fase sólida, na qual uma cadeia peptídica é alongada bloco a bloco sobre um suporte sólido</w:t>
      </w:r>
      <w:r>
        <w:rPr>
          <w:rStyle w:val="FootnoteReference"/>
        </w:rPr>
        <w:footnoteReference w:id="69"/>
      </w:r>
      <w:r>
        <w:t xml:space="preserve">. O método pôde ser automatizado e tornou viável, pela primeira vez, a produção de quaisquer peptídeos curtos. Merrifield recebeu o Prêmio Nobel de Química em 1984. Sem essa técnica não existiriam nem a maioria dos medicamentos peptídicos modernos nem o mercado cinza atual.</w:t>
      </w:r>
    </w:p>
    <w:bookmarkEnd w:id="70"/>
    <w:bookmarkStart w:id="72" w:name="décadas-de-1960-e-1970-medir-e-controlar"/>
    <w:p>
      <w:pPr>
        <w:pStyle w:val="Heading3"/>
      </w:pPr>
      <w:r>
        <w:t xml:space="preserve">Décadas de 1960 e 1970: medir e controlar</w:t>
      </w:r>
    </w:p>
    <w:p>
      <w:pPr>
        <w:pStyle w:val="FirstParagraph"/>
      </w:pPr>
      <w:r>
        <w:t xml:space="preserve">Outro obstáculo era a possibilidade de medição. Os hormônios peptídicos estão presentes no sangue em quantidades ínfimas. Rosalyn Yalow e Solomon Berson desenvolveram um método de medição com anticorpos e moléculas marcadas radioativamente, o radioimunoensaio, e com ele determinaram pela primeira vez a insulina no sangue de seres humanos</w:t>
      </w:r>
      <w:r>
        <w:rPr>
          <w:rStyle w:val="FootnoteReference"/>
        </w:rPr>
        <w:footnoteReference w:id="71"/>
      </w:r>
      <w:r>
        <w:t xml:space="preserve">. Yalow recebeu o Prêmio Nobel em 1977. De repente, era possível acompanhar quando o corpo libera quais hormônios peptídicos.</w:t>
      </w:r>
    </w:p>
    <w:p>
      <w:pPr>
        <w:pStyle w:val="BodyText"/>
      </w:pPr>
      <w:r>
        <w:t xml:space="preserve">No mesmo ano, foram premiados Roger Guillemin e Andrew Schally. Eles haviam decifrado os mensageiros peptídicos do hipotálamo – a região cerebral que dá ordens à hipófise. Dessas descobertas surgiram classes inteiras de medicamentos: variantes do hormônio liberador de gonadotrofina (GnRH) são usadas, por exemplo, no câncer de próstata, na endometriose e no tratamento da infertilidade. O hormônio somatostatina serviu de modelo para a octreotida, usada em tumores produtores de hormônios e na acromegalia. Os peptídeos liberadores do hormônio do crescimento, tratados em detalhe na Parte II, também têm suas raízes aqui.</w:t>
      </w:r>
    </w:p>
    <w:bookmarkEnd w:id="72"/>
    <w:bookmarkStart w:id="76" w:name="X9e7819a1b6a036f8293370cf20cc9cb4deae7fd"/>
    <w:p>
      <w:pPr>
        <w:pStyle w:val="Heading3"/>
      </w:pPr>
      <w:r>
        <w:t xml:space="preserve">Década de 1980: a engenharia genética muda tudo</w:t>
      </w:r>
    </w:p>
    <w:p>
      <w:pPr>
        <w:pStyle w:val="FirstParagraph"/>
      </w:pPr>
      <w:r>
        <w:t xml:space="preserve">Até a década de 1980, a insulina vinha de pâncreas de animais abatidos. O hormônio do crescimento humano era obtido de hipófises de pessoas falecidas; esse período foi de 1958 a 1985</w:t>
      </w:r>
      <w:r>
        <w:rPr>
          <w:rStyle w:val="FootnoteReference"/>
        </w:rPr>
        <w:footnoteReference w:id="73"/>
      </w:r>
      <w:r>
        <w:t xml:space="preserve">. Esse método de obtenção teve um lado trágico: algumas crianças que haviam recebido esse hormônio desenvolveram anos depois a doença de Creutzfeldt-Jakob, transmitida por preparações contaminadas. O episódio continua sendo um alerta sobre a importância da pureza e da origem em substâncias biológicas.</w:t>
      </w:r>
    </w:p>
    <w:p>
      <w:pPr>
        <w:pStyle w:val="BodyText"/>
      </w:pPr>
      <w:r>
        <w:t xml:space="preserve">A engenharia genética ofereceu uma saída. A insulina humana, produzida em bactérias, passou a ser usada em estudos clínicos com seres humanos a partir de 1980 e foi o primeiro medicamento obtido pela tecnologia do DNA recombinante</w:t>
      </w:r>
      <w:r>
        <w:rPr>
          <w:rStyle w:val="FootnoteReference"/>
        </w:rPr>
        <w:footnoteReference w:id="74"/>
      </w:r>
      <w:r>
        <w:t xml:space="preserve">. Poucos anos depois veio o hormônio do crescimento recombinante. Pela primeira vez, peptídeos e proteínas humanos estavam disponíveis em quantidades praticamente ilimitadas.</w:t>
      </w:r>
    </w:p>
    <w:p>
      <w:pPr>
        <w:pStyle w:val="BodyText"/>
      </w:pPr>
      <w:r>
        <w:t xml:space="preserve">Na década de 1990, os fabricantes foram um passo além: modificaram as moléculas de insulina de forma direcionada para que agissem mais rápido ou mais devagar. Esses</w:t>
      </w:r>
      <w:r>
        <w:t xml:space="preserve"> </w:t>
      </w:r>
      <w:r>
        <w:t xml:space="preserve">“</w:t>
      </w:r>
      <w:r>
        <w:t xml:space="preserve">análogos de insulina</w:t>
      </w:r>
      <w:r>
        <w:t xml:space="preserve">”</w:t>
      </w:r>
      <w:r>
        <w:t xml:space="preserve"> </w:t>
      </w:r>
      <w:r>
        <w:t xml:space="preserve">foram precursores do princípio que mais tarde tornaria os medicamentos GLP-1 tão bem-sucedidos: um modelo natural, otimizado em laboratório para o uso.</w:t>
      </w:r>
    </w:p>
    <w:p>
      <w:pPr>
        <w:pStyle w:val="BodyText"/>
      </w:pPr>
      <w:r>
        <w:t xml:space="preserve">Outros medicamentos peptídicos também se estabeleceram. Um exemplo é a teriparatida, um fragmento do paratormônio. Em um grande estudo com 1.637 mulheres na pós-menopausa com osteoporose, novas fraturas vertebrais ocorreram em 14% das mulheres com placebo, mas apenas em 5% e 4%, respectivamente, nos dois grupos de teriparatida</w:t>
      </w:r>
      <w:r>
        <w:rPr>
          <w:rStyle w:val="FootnoteReference"/>
        </w:rPr>
        <w:footnoteReference w:id="75"/>
      </w:r>
      <w:r>
        <w:t xml:space="preserve">. Estudos assim, com desfechos</w:t>
      </w:r>
      <w:r>
        <w:t xml:space="preserve"> </w:t>
      </w:r>
      <w:r>
        <w:t xml:space="preserve">“</w:t>
      </w:r>
      <w:r>
        <w:t xml:space="preserve">duros</w:t>
      </w:r>
      <w:r>
        <w:t xml:space="preserve">”</w:t>
      </w:r>
      <w:r>
        <w:t xml:space="preserve"> </w:t>
      </w:r>
      <w:r>
        <w:t xml:space="preserve">como fraturas ósseas, estabeleceram o padrão pelo qual também os novos peptídeos precisam ser medidos.</w:t>
      </w:r>
    </w:p>
    <w:bookmarkEnd w:id="76"/>
    <w:bookmarkStart w:id="79" w:name="X422396500dc8badfa43bc312bc08888d7f8edc0"/>
    <w:p>
      <w:pPr>
        <w:pStyle w:val="Heading3"/>
      </w:pPr>
      <w:r>
        <w:t xml:space="preserve">As incretinas: do intestino ao medicamento</w:t>
      </w:r>
    </w:p>
    <w:p>
      <w:pPr>
        <w:pStyle w:val="FirstParagraph"/>
      </w:pPr>
      <w:r>
        <w:t xml:space="preserve">A história dos medicamentos GLP-1 começa com uma observação da década de 1960: o açúcar ingerido provoca uma liberação de insulina muito maior do que a mesma quantidade de açúcar injetada diretamente no sangue. Portanto, durante a refeição, o intestino deve enviar sinais ao pâncreas. Esses sinalizadores foram chamados de incretinas.</w:t>
      </w:r>
    </w:p>
    <w:p>
      <w:pPr>
        <w:pStyle w:val="BodyText"/>
      </w:pPr>
      <w:r>
        <w:t xml:space="preserve">A primeira incretina conhecida foi o GIP (polipeptídeo insulinotrópico dependente de glicose). Na década de 1980, descobriu-se uma segunda: o glucagon-like peptide-1, ou GLP-1. Um grupo britânico mostrou em 1987 que o GLP-1 aumenta no sangue humano após uma refeição, que – infundido em quantidades semelhantes às de depois de comer – aumentou a liberação de insulina e baixou a glicose no sangue em sete voluntários e que, nisso, foi mais eficaz que o GIP</w:t>
      </w:r>
      <w:r>
        <w:rPr>
          <w:rStyle w:val="FootnoteReference"/>
        </w:rPr>
        <w:footnoteReference w:id="77"/>
      </w:r>
      <w:r>
        <w:t xml:space="preserve">.</w:t>
      </w:r>
    </w:p>
    <w:p>
      <w:pPr>
        <w:pStyle w:val="BodyText"/>
      </w:pPr>
      <w:r>
        <w:t xml:space="preserve">O problema: o GLP-1 natural é degradado no sangue em poucos minutos pela enzima DPP-4</w:t>
      </w:r>
      <w:r>
        <w:rPr>
          <w:rStyle w:val="FootnoteReference"/>
        </w:rPr>
        <w:footnoteReference w:id="78"/>
      </w:r>
      <w:r>
        <w:t xml:space="preserve">. Assim, dificilmente serviria como medicamento. Foram seguidos dois caminhos: inibidores da enzima degradadora (as chamadas gliptinas, aprovadas como comprimidos e que não são peptídeos) e réplicas estáveis do próprio GLP-1.</w:t>
      </w:r>
    </w:p>
    <w:bookmarkEnd w:id="79"/>
    <w:bookmarkStart w:id="82" w:name="o-veneno-de-lagarto-exenatida"/>
    <w:p>
      <w:pPr>
        <w:pStyle w:val="Heading3"/>
      </w:pPr>
      <w:r>
        <w:t xml:space="preserve">O veneno de lagarto: exenatida</w:t>
      </w:r>
    </w:p>
    <w:p>
      <w:pPr>
        <w:pStyle w:val="FirstParagraph"/>
      </w:pPr>
      <w:r>
        <w:t xml:space="preserve">A primeira réplica estável veio de uma direção inesperada. O endocrinologista norte-americano John Eng estudou, no início da década de 1990, o veneno do monstro-de-gila (Heloderma suspectum), um réptil venenoso do sudoeste dos EUA. Ele isolou desse veneno um peptídeo de 39 aminoácidos que chamou de exendina-4</w:t>
      </w:r>
      <w:r>
        <w:rPr>
          <w:rStyle w:val="FootnoteReference"/>
        </w:rPr>
        <w:footnoteReference w:id="80"/>
      </w:r>
      <w:r>
        <w:t xml:space="preserve">. A exendina-4 se parece com o GLP-1 humano, ativa o mesmo receptor, mas quase não é atacada pela DPP-4.</w:t>
      </w:r>
    </w:p>
    <w:p>
      <w:pPr>
        <w:pStyle w:val="BodyText"/>
      </w:pPr>
      <w:r>
        <w:t xml:space="preserve">A exendina-4 sintética recebeu o nome de exenatida e foi aprovada nos EUA em 2005 como o primeiro medicamento dessa classe. Em um dos estudos de aprovação, com 336 pessoas com diabetes tipo 2 que já tomavam metformina, a HbA1c, valor de longo prazo da glicose no sangue, caiu após 30 semanas 0,78 ponto percentual no grupo de dose mais alta, enquanto com placebo subiu levemente, 0,08 ponto percentual. Ao mesmo tempo, os participantes com exenatida perderam peso, 2,8 kg na dose mais alta</w:t>
      </w:r>
      <w:r>
        <w:rPr>
          <w:rStyle w:val="FootnoteReference"/>
        </w:rPr>
        <w:footnoteReference w:id="81"/>
      </w:r>
      <w:r>
        <w:t xml:space="preserve">. No início, a exenatida precisava ser injetada duas vezes ao dia.</w:t>
      </w:r>
    </w:p>
    <w:p>
      <w:pPr>
        <w:pStyle w:val="BodyText"/>
      </w:pPr>
      <w:r>
        <w:t xml:space="preserve">A perda de peso era considerada, na época, um efeito colateral bem-vindo. Que justamente esse efeito tornaria toda a classe famosa duas décadas depois, poucos devem ter imaginado.</w:t>
      </w:r>
    </w:p>
    <w:bookmarkEnd w:id="82"/>
    <w:bookmarkStart w:id="87" w:name="X13096d05c8bc563722195b422171b5489d92070"/>
    <w:p>
      <w:pPr>
        <w:pStyle w:val="Heading3"/>
      </w:pPr>
      <w:r>
        <w:t xml:space="preserve">Ação mais longa: liraglutida e semaglutida</w:t>
      </w:r>
    </w:p>
    <w:p>
      <w:pPr>
        <w:pStyle w:val="FirstParagraph"/>
      </w:pPr>
      <w:r>
        <w:t xml:space="preserve">A fabricante dinamarquesa Novo Nordisk seguiu outro caminho. Em vez de usar um peptídeo estranho ao corpo, modificou-se o GLP-1 humano de modo que ele se ligasse à proteína transportadora albumina no sangue e, assim, fosse degradado mais lentamente. O resultado foi a liraglutida, injetada uma vez ao dia e aprovada na UE em 2009. Uma revisão escrita pelos desenvolvedores descreve como foram buscadas combinações adequadas de ácido graxo e conector para maximizar a ligação à albumina sem perder a ação no receptor</w:t>
      </w:r>
      <w:r>
        <w:rPr>
          <w:rStyle w:val="FootnoteReference"/>
        </w:rPr>
        <w:footnoteReference w:id="83"/>
      </w:r>
      <w:r>
        <w:t xml:space="preserve">.</w:t>
      </w:r>
    </w:p>
    <w:p>
      <w:pPr>
        <w:pStyle w:val="BodyText"/>
      </w:pPr>
      <w:r>
        <w:t xml:space="preserve">Mais tarde, a liraglutida também foi testada em dose mais alta para o tratamento do peso. No estudo SCALE, com 3.731 participantes sem diabetes, as pessoas com liraglutida perderam em média 8,4 kg em 56 semanas, contra 2,8 kg com placebo</w:t>
      </w:r>
      <w:r>
        <w:rPr>
          <w:rStyle w:val="FootnoteReference"/>
        </w:rPr>
        <w:footnoteReference w:id="84"/>
      </w:r>
      <w:r>
        <w:t xml:space="preserve">.</w:t>
      </w:r>
    </w:p>
    <w:p>
      <w:pPr>
        <w:pStyle w:val="BodyText"/>
      </w:pPr>
      <w:r>
        <w:t xml:space="preserve">O passo seguinte foi a semaglutida: uma molécula ligada ainda mais fortemente à albumina, que precisa ser injetada apenas uma vez por semana</w:t>
      </w:r>
      <w:r>
        <w:rPr>
          <w:rStyle w:val="FootnoteReference"/>
        </w:rPr>
        <w:footnoteReference w:id="85"/>
      </w:r>
      <w:r>
        <w:t xml:space="preserve">. No estudo de aprovação STEP 1, com 1.961 adultos com sobrepeso ou obesidade, o peso corporal caiu em média 14,9% ao longo de 68 semanas, contra 2,4% com placebo</w:t>
      </w:r>
      <w:r>
        <w:rPr>
          <w:rStyle w:val="FootnoteReference"/>
        </w:rPr>
        <w:footnoteReference w:id="86"/>
      </w:r>
      <w:r>
        <w:t xml:space="preserve">. Essa ordem de grandeza ficou muito acima de tudo o que os medicamentos para emagrecer anteriores haviam alcançado.</w:t>
      </w:r>
    </w:p>
    <w:bookmarkEnd w:id="87"/>
    <w:bookmarkStart w:id="91" w:name="da-glicose-ao-coração"/>
    <w:p>
      <w:pPr>
        <w:pStyle w:val="Heading3"/>
      </w:pPr>
      <w:r>
        <w:t xml:space="preserve">Da glicose ao coração</w:t>
      </w:r>
    </w:p>
    <w:p>
      <w:pPr>
        <w:pStyle w:val="FirstParagraph"/>
      </w:pPr>
      <w:r>
        <w:t xml:space="preserve">Um ponto de virada veio quando, após problemas com outro medicamento para diabetes, as autoridades passaram a exigir a partir de 2008 que novos medicamentos para diabetes comprovassem sua segurança cardiovascular em grandes estudos. Esses estudos deveriam, na verdade, apenas mostrar que os medicamentos não colocavam o coração em risco. No caso dos medicamentos GLP-1, mostraram mais do que isso.</w:t>
      </w:r>
    </w:p>
    <w:p>
      <w:pPr>
        <w:pStyle w:val="BodyText"/>
      </w:pPr>
      <w:r>
        <w:t xml:space="preserve">No estudo LEADER, com 9.340 pessoas com diabetes tipo 2 e alto risco cardiovascular, o evento combinado de morte cardiovascular, infarto não fatal ou AVC ocorreu em 13,0% com liraglutida e em 14,9% com placebo</w:t>
      </w:r>
      <w:r>
        <w:rPr>
          <w:rStyle w:val="FootnoteReference"/>
        </w:rPr>
        <w:footnoteReference w:id="88"/>
      </w:r>
      <w:r>
        <w:t xml:space="preserve">. No estudo SUSTAIN-6, com 3.297 participantes, foram 6,6% com semaglutida e 8,9% com placebo; no entanto, complicações na retina ocorreram com mais frequência com semaglutida</w:t>
      </w:r>
      <w:r>
        <w:rPr>
          <w:rStyle w:val="FootnoteReference"/>
        </w:rPr>
        <w:footnoteReference w:id="89"/>
      </w:r>
      <w:r>
        <w:t xml:space="preserve">.</w:t>
      </w:r>
    </w:p>
    <w:p>
      <w:pPr>
        <w:pStyle w:val="BodyText"/>
      </w:pPr>
      <w:r>
        <w:t xml:space="preserve">Em 2023 veio o estudo SELECT, o primeiro a investigar pessoas com sobrepeso e doença cardiovascular, mas sem diabetes. Em 17.604 participantes, o evento cardiovascular combinado ocorreu, ao longo de em média 39,8 meses, em 6,5% com semaglutida e em 8,0% com placebo</w:t>
      </w:r>
      <w:r>
        <w:rPr>
          <w:rStyle w:val="FootnoteReference"/>
        </w:rPr>
        <w:footnoteReference w:id="90"/>
      </w:r>
      <w:r>
        <w:t xml:space="preserve">. Com isso ficou demonstrado que um medicamento peptídico na obesidade pode influenciar não só o peso, mas também eventos duros como infartos. O que essas porcentagens significam – e por que é preciso distinguir entre diferenças relativas e absolutas – é explicado no capítulo</w:t>
      </w:r>
      <w:r>
        <w:t xml:space="preserve"> </w:t>
      </w:r>
      <w:r>
        <w:t xml:space="preserve">“</w:t>
      </w:r>
      <w:r>
        <w:t xml:space="preserve">Como ler estudos corretamente</w:t>
      </w:r>
      <w:r>
        <w:t xml:space="preserve">”</w:t>
      </w:r>
      <w:r>
        <w:t xml:space="preserve">.</w:t>
      </w:r>
    </w:p>
    <w:bookmarkEnd w:id="91"/>
    <w:bookmarkStart w:id="95" w:name="o-comprimido-e-os-agonistas-múltiplos"/>
    <w:p>
      <w:pPr>
        <w:pStyle w:val="Heading3"/>
      </w:pPr>
      <w:r>
        <w:t xml:space="preserve">O comprimido e os agonistas múltiplos</w:t>
      </w:r>
    </w:p>
    <w:p>
      <w:pPr>
        <w:pStyle w:val="FirstParagraph"/>
      </w:pPr>
      <w:r>
        <w:t xml:space="preserve">Dois outros desenvolvimentos marcaram os últimos anos.</w:t>
      </w:r>
    </w:p>
    <w:p>
      <w:pPr>
        <w:pStyle w:val="BodyText"/>
      </w:pPr>
      <w:r>
        <w:rPr>
          <w:bCs/>
          <w:b/>
        </w:rPr>
        <w:t xml:space="preserve">O primeiro comprimido peptídico dessa classe.</w:t>
      </w:r>
      <w:r>
        <w:t xml:space="preserve"> </w:t>
      </w:r>
      <w:r>
        <w:t xml:space="preserve">Com um excipiente especial, foi possível disponibilizar a semaglutida em comprimido. No estudo PIONEER 1, a semaglutida oral reduziu a HbA1c em pessoas com diabetes tipo 2 de forma muito mais acentuada que o placebo</w:t>
      </w:r>
      <w:r>
        <w:rPr>
          <w:rStyle w:val="FootnoteReference"/>
        </w:rPr>
        <w:footnoteReference w:id="92"/>
      </w:r>
      <w:r>
        <w:t xml:space="preserve">. Como isso funciona tecnicamente é explicado no próximo capítulo.</w:t>
      </w:r>
    </w:p>
    <w:p>
      <w:pPr>
        <w:pStyle w:val="BodyText"/>
      </w:pPr>
      <w:r>
        <w:rPr>
          <w:bCs/>
          <w:b/>
        </w:rPr>
        <w:t xml:space="preserve">Substâncias combinadas.</w:t>
      </w:r>
      <w:r>
        <w:t xml:space="preserve"> </w:t>
      </w:r>
      <w:r>
        <w:t xml:space="preserve">A tirzepatida ativa ao mesmo tempo os receptores de GLP-1 e de GIP. No estudo SURMOUNT-1, com 2.539 adultos com obesidade, a perda de peso média após 72 semanas foi, conforme a dose, de 15,0% a 20,9%, contra 3,1% com placebo</w:t>
      </w:r>
      <w:r>
        <w:rPr>
          <w:rStyle w:val="FootnoteReference"/>
        </w:rPr>
        <w:footnoteReference w:id="93"/>
      </w:r>
      <w:r>
        <w:t xml:space="preserve">. Atualmente, agonistas triplos como a retatrutida e combinações com o hormônio amilina estão sendo testados em grandes estudos. A Parte II os apresenta individualmente; a Parte V dá uma olhada no pipeline.</w:t>
      </w:r>
    </w:p>
    <w:p>
      <w:pPr>
        <w:pStyle w:val="BodyText"/>
      </w:pPr>
      <w:r>
        <w:t xml:space="preserve">É notável que a incretina GIP, considerada na década de 1980 mais fraca que o GLP-1</w:t>
      </w:r>
      <w:r>
        <w:rPr>
          <w:rStyle w:val="FootnoteReference"/>
        </w:rPr>
        <w:footnoteReference w:id="94"/>
      </w:r>
      <w:r>
        <w:t xml:space="preserve">, volte a ter um papel em combinação. A pesquisa raramente segue em linha reta.</w:t>
      </w:r>
    </w:p>
    <w:bookmarkEnd w:id="95"/>
    <w:bookmarkStart w:id="96" w:name="o-outro-lado-do-sucesso"/>
    <w:p>
      <w:pPr>
        <w:pStyle w:val="Heading3"/>
      </w:pPr>
      <w:r>
        <w:t xml:space="preserve">O outro lado do sucesso</w:t>
      </w:r>
    </w:p>
    <w:p>
      <w:pPr>
        <w:pStyle w:val="FirstParagraph"/>
      </w:pPr>
      <w:r>
        <w:t xml:space="preserve">O enorme sucesso dos medicamentos GLP-1 teve efeitos colaterais para além da farmacologia. A falta de produto a partir de 2022 fez com que pessoas com diabetes ficassem temporariamente sem seus medicamentos. Nos EUA, farmácias usaram uma regra de exceção para produzir preparações de imitação. No mundo todo surgiram falsificações que, em alguns casos, continham insulina em vez de semaglutida. E o interesse crescente por</w:t>
      </w:r>
      <w:r>
        <w:t xml:space="preserve"> </w:t>
      </w:r>
      <w:r>
        <w:t xml:space="preserve">“</w:t>
      </w:r>
      <w:r>
        <w:t xml:space="preserve">peptídeos</w:t>
      </w:r>
      <w:r>
        <w:t xml:space="preserve">”</w:t>
      </w:r>
      <w:r>
        <w:t xml:space="preserve"> </w:t>
      </w:r>
      <w:r>
        <w:t xml:space="preserve">em geral abriu um mercado para substâncias que nunca foram devidamente estudadas em seres humanos. O capítulo sobre o mercado cinza trata disso em detalhe.</w:t>
      </w:r>
    </w:p>
    <w:bookmarkEnd w:id="96"/>
    <w:bookmarkStart w:id="97" w:name="o-que-a-história-ensina"/>
    <w:p>
      <w:pPr>
        <w:pStyle w:val="Heading3"/>
      </w:pPr>
      <w:r>
        <w:t xml:space="preserve">O que a história ensina</w:t>
      </w:r>
    </w:p>
    <w:p>
      <w:pPr>
        <w:pStyle w:val="FirstParagraph"/>
      </w:pPr>
      <w:r>
        <w:t xml:space="preserve">De cem anos de medicina peptídica é possível tirar algumas lições úteis para avaliar as substâncias deste livro:</w:t>
      </w:r>
    </w:p>
    <w:p>
      <w:pPr>
        <w:numPr>
          <w:ilvl w:val="0"/>
          <w:numId w:val="1008"/>
        </w:numPr>
        <w:pStyle w:val="Compact"/>
      </w:pPr>
      <w:r>
        <w:rPr>
          <w:bCs/>
          <w:b/>
        </w:rPr>
        <w:t xml:space="preserve">A pureza não é um detalhe.</w:t>
      </w:r>
      <w:r>
        <w:t xml:space="preserve"> </w:t>
      </w:r>
      <w:r>
        <w:t xml:space="preserve">Dos extratos de insulina contaminados do início ao hormônio do crescimento obtido de hipófises de cadáveres, a história mostra que a qualidade da produção pode decidir entre a vida e a morte.</w:t>
      </w:r>
    </w:p>
    <w:p>
      <w:pPr>
        <w:numPr>
          <w:ilvl w:val="0"/>
          <w:numId w:val="1008"/>
        </w:numPr>
        <w:pStyle w:val="Compact"/>
      </w:pPr>
      <w:r>
        <w:rPr>
          <w:bCs/>
          <w:b/>
        </w:rPr>
        <w:t xml:space="preserve">Mecanismo de ação não é o mesmo que benefício.</w:t>
      </w:r>
      <w:r>
        <w:t xml:space="preserve"> </w:t>
      </w:r>
      <w:r>
        <w:t xml:space="preserve">O fato de um peptídeo agir em um receptor ainda não significa que ele traga benefício às pessoas. No caso dos medicamentos GLP-1, foram necessários grandes estudos com milhares de participantes e vários anos de acompanhamento.</w:t>
      </w:r>
    </w:p>
    <w:p>
      <w:pPr>
        <w:numPr>
          <w:ilvl w:val="0"/>
          <w:numId w:val="1008"/>
        </w:numPr>
        <w:pStyle w:val="Compact"/>
      </w:pPr>
      <w:r>
        <w:rPr>
          <w:bCs/>
          <w:b/>
        </w:rPr>
        <w:t xml:space="preserve">Há surpresas nas duas direções.</w:t>
      </w:r>
      <w:r>
        <w:t xml:space="preserve"> </w:t>
      </w:r>
      <w:r>
        <w:t xml:space="preserve">A perda de peso com exenatida foi inicialmente uma nota de rodapé; os efeitos de proteção cardíaca foram descobertos em estudos de segurança. Por outro lado, grandes estudos também revelaram riscos inesperados, como as complicações na retina no SUSTAIN-6.</w:t>
      </w:r>
    </w:p>
    <w:p>
      <w:pPr>
        <w:numPr>
          <w:ilvl w:val="0"/>
          <w:numId w:val="1008"/>
        </w:numPr>
        <w:pStyle w:val="Compact"/>
      </w:pPr>
      <w:r>
        <w:rPr>
          <w:bCs/>
          <w:b/>
        </w:rPr>
        <w:t xml:space="preserve">Boas ideias precisam de tempo.</w:t>
      </w:r>
      <w:r>
        <w:t xml:space="preserve"> </w:t>
      </w:r>
      <w:r>
        <w:t xml:space="preserve">Entre a descrição do GLP-1 em humanos, em 1987, e a aprovação da semaglutida para o tratamento do peso, passaram-se mais de três décadas. Peptídeos anunciados hoje na internet como</w:t>
      </w:r>
      <w:r>
        <w:t xml:space="preserve"> </w:t>
      </w:r>
      <w:r>
        <w:t xml:space="preserve">“</w:t>
      </w:r>
      <w:r>
        <w:t xml:space="preserve">avanço revolucionário</w:t>
      </w:r>
      <w:r>
        <w:t xml:space="preserve">”</w:t>
      </w:r>
      <w:r>
        <w:t xml:space="preserve">, sem que exista um único estudo controlado em seres humanos, estão, na melhor das hipóteses, no início de um caminho assim.</w:t>
      </w:r>
    </w:p>
    <w:bookmarkEnd w:id="97"/>
    <w:bookmarkStart w:id="98" w:name="linha-do-tempo"/>
    <w:p>
      <w:pPr>
        <w:pStyle w:val="Heading3"/>
      </w:pPr>
      <w:r>
        <w:t xml:space="preserve">Linha do tempo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Ano</w:t>
            </w:r>
          </w:p>
        </w:tc>
        <w:tc>
          <w:tcPr/>
          <w:p>
            <w:pPr>
              <w:pStyle w:val="Compact"/>
              <w:jc w:val="left"/>
            </w:pPr>
            <w:r>
              <w:t xml:space="preserve">Acontecimento</w:t>
            </w:r>
          </w:p>
        </w:tc>
      </w:tr>
      <w:tr>
        <w:tc>
          <w:tcPr/>
          <w:p>
            <w:pPr>
              <w:pStyle w:val="Compact"/>
              <w:jc w:val="left"/>
            </w:pPr>
            <w:r>
              <w:t xml:space="preserve">1902</w:t>
            </w:r>
          </w:p>
        </w:tc>
        <w:tc>
          <w:tcPr/>
          <w:p>
            <w:pPr>
              <w:pStyle w:val="Compact"/>
              <w:jc w:val="left"/>
            </w:pPr>
            <w:r>
              <w:t xml:space="preserve">Descrição da secretina, o primeiro hormônio (um peptídeo)</w:t>
            </w:r>
          </w:p>
        </w:tc>
      </w:tr>
      <w:tr>
        <w:tc>
          <w:tcPr/>
          <w:p>
            <w:pPr>
              <w:pStyle w:val="Compact"/>
              <w:jc w:val="left"/>
            </w:pPr>
            <w:r>
              <w:t xml:space="preserve">1922</w:t>
            </w:r>
          </w:p>
        </w:tc>
        <w:tc>
          <w:tcPr/>
          <w:p>
            <w:pPr>
              <w:pStyle w:val="Compact"/>
              <w:jc w:val="left"/>
            </w:pPr>
            <w:r>
              <w:t xml:space="preserve">Primeiro tratamento de um ser humano com insulina em Toronto</w:t>
            </w:r>
          </w:p>
        </w:tc>
      </w:tr>
      <w:tr>
        <w:tc>
          <w:tcPr/>
          <w:p>
            <w:pPr>
              <w:pStyle w:val="Compact"/>
              <w:jc w:val="left"/>
            </w:pPr>
            <w:r>
              <w:t xml:space="preserve">1951–1955</w:t>
            </w:r>
          </w:p>
        </w:tc>
        <w:tc>
          <w:tcPr/>
          <w:p>
            <w:pPr>
              <w:pStyle w:val="Compact"/>
              <w:jc w:val="left"/>
            </w:pPr>
            <w:r>
              <w:t xml:space="preserve">Sanger decifra a sequência da insulina</w:t>
            </w:r>
          </w:p>
        </w:tc>
      </w:tr>
      <w:tr>
        <w:tc>
          <w:tcPr/>
          <w:p>
            <w:pPr>
              <w:pStyle w:val="Compact"/>
              <w:jc w:val="left"/>
            </w:pPr>
            <w:r>
              <w:t xml:space="preserve">1953</w:t>
            </w:r>
          </w:p>
        </w:tc>
        <w:tc>
          <w:tcPr/>
          <w:p>
            <w:pPr>
              <w:pStyle w:val="Compact"/>
              <w:jc w:val="left"/>
            </w:pPr>
            <w:r>
              <w:t xml:space="preserve">Primeira síntese química de um hormônio peptídico (ocitocina)</w:t>
            </w:r>
          </w:p>
        </w:tc>
      </w:tr>
      <w:tr>
        <w:tc>
          <w:tcPr/>
          <w:p>
            <w:pPr>
              <w:pStyle w:val="Compact"/>
              <w:jc w:val="left"/>
            </w:pPr>
            <w:r>
              <w:t xml:space="preserve">Década de 1960</w:t>
            </w:r>
          </w:p>
        </w:tc>
        <w:tc>
          <w:tcPr/>
          <w:p>
            <w:pPr>
              <w:pStyle w:val="Compact"/>
              <w:jc w:val="left"/>
            </w:pPr>
            <w:r>
              <w:t xml:space="preserve">Síntese em fase sólida (Merrifield), radioimunoensaio</w:t>
            </w:r>
          </w:p>
        </w:tc>
      </w:tr>
      <w:tr>
        <w:tc>
          <w:tcPr/>
          <w:p>
            <w:pPr>
              <w:pStyle w:val="Compact"/>
              <w:jc w:val="left"/>
            </w:pPr>
            <w:r>
              <w:t xml:space="preserve">1980</w:t>
            </w:r>
          </w:p>
        </w:tc>
        <w:tc>
          <w:tcPr/>
          <w:p>
            <w:pPr>
              <w:pStyle w:val="Compact"/>
              <w:jc w:val="left"/>
            </w:pPr>
            <w:r>
              <w:t xml:space="preserve">Insulina humana de engenharia genética em estudos clínicos</w:t>
            </w:r>
          </w:p>
        </w:tc>
      </w:tr>
      <w:tr>
        <w:tc>
          <w:tcPr/>
          <w:p>
            <w:pPr>
              <w:pStyle w:val="Compact"/>
              <w:jc w:val="left"/>
            </w:pPr>
            <w:r>
              <w:t xml:space="preserve">1985</w:t>
            </w:r>
          </w:p>
        </w:tc>
        <w:tc>
          <w:tcPr/>
          <w:p>
            <w:pPr>
              <w:pStyle w:val="Compact"/>
              <w:jc w:val="left"/>
            </w:pPr>
            <w:r>
              <w:t xml:space="preserve">Fim da obtenção do hormônio do crescimento de hipófises</w:t>
            </w:r>
          </w:p>
        </w:tc>
      </w:tr>
      <w:tr>
        <w:tc>
          <w:tcPr/>
          <w:p>
            <w:pPr>
              <w:pStyle w:val="Compact"/>
              <w:jc w:val="left"/>
            </w:pPr>
            <w:r>
              <w:t xml:space="preserve">1987</w:t>
            </w:r>
          </w:p>
        </w:tc>
        <w:tc>
          <w:tcPr/>
          <w:p>
            <w:pPr>
              <w:pStyle w:val="Compact"/>
              <w:jc w:val="left"/>
            </w:pPr>
            <w:r>
              <w:t xml:space="preserve">GLP-1 descrito como incretina em humanos</w:t>
            </w:r>
          </w:p>
        </w:tc>
      </w:tr>
      <w:tr>
        <w:tc>
          <w:tcPr/>
          <w:p>
            <w:pPr>
              <w:pStyle w:val="Compact"/>
              <w:jc w:val="left"/>
            </w:pPr>
            <w:r>
              <w:t xml:space="preserve">1992</w:t>
            </w:r>
          </w:p>
        </w:tc>
        <w:tc>
          <w:tcPr/>
          <w:p>
            <w:pPr>
              <w:pStyle w:val="Compact"/>
              <w:jc w:val="left"/>
            </w:pPr>
            <w:r>
              <w:t xml:space="preserve">Exendina-4 descoberta no veneno do lagarto</w:t>
            </w:r>
          </w:p>
        </w:tc>
      </w:tr>
      <w:tr>
        <w:tc>
          <w:tcPr/>
          <w:p>
            <w:pPr>
              <w:pStyle w:val="Compact"/>
              <w:jc w:val="left"/>
            </w:pPr>
            <w:r>
              <w:t xml:space="preserve">2005</w:t>
            </w:r>
          </w:p>
        </w:tc>
        <w:tc>
          <w:tcPr/>
          <w:p>
            <w:pPr>
              <w:pStyle w:val="Compact"/>
              <w:jc w:val="left"/>
            </w:pPr>
            <w:r>
              <w:t xml:space="preserve">Exenatida aprovada nos EUA</w:t>
            </w:r>
          </w:p>
        </w:tc>
      </w:tr>
      <w:tr>
        <w:tc>
          <w:tcPr/>
          <w:p>
            <w:pPr>
              <w:pStyle w:val="Compact"/>
              <w:jc w:val="left"/>
            </w:pPr>
            <w:r>
              <w:t xml:space="preserve">2009</w:t>
            </w:r>
          </w:p>
        </w:tc>
        <w:tc>
          <w:tcPr/>
          <w:p>
            <w:pPr>
              <w:pStyle w:val="Compact"/>
              <w:jc w:val="left"/>
            </w:pPr>
            <w:r>
              <w:t xml:space="preserve">Liraglutida aprovada na UE</w:t>
            </w:r>
          </w:p>
        </w:tc>
      </w:tr>
      <w:tr>
        <w:tc>
          <w:tcPr/>
          <w:p>
            <w:pPr>
              <w:pStyle w:val="Compact"/>
              <w:jc w:val="left"/>
            </w:pPr>
            <w:r>
              <w:t xml:space="preserve">2016</w:t>
            </w:r>
          </w:p>
        </w:tc>
        <w:tc>
          <w:tcPr/>
          <w:p>
            <w:pPr>
              <w:pStyle w:val="Compact"/>
              <w:jc w:val="left"/>
            </w:pPr>
            <w:r>
              <w:t xml:space="preserve">LEADER e SUSTAIN-6: menos eventos cardiovasculares</w:t>
            </w:r>
          </w:p>
        </w:tc>
      </w:tr>
      <w:tr>
        <w:tc>
          <w:tcPr/>
          <w:p>
            <w:pPr>
              <w:pStyle w:val="Compact"/>
              <w:jc w:val="left"/>
            </w:pPr>
            <w:r>
              <w:t xml:space="preserve">2019</w:t>
            </w:r>
          </w:p>
        </w:tc>
        <w:tc>
          <w:tcPr/>
          <w:p>
            <w:pPr>
              <w:pStyle w:val="Compact"/>
              <w:jc w:val="left"/>
            </w:pPr>
            <w:r>
              <w:t xml:space="preserve">Primeiro comprimido de GLP-1 (semaglutida oral)</w:t>
            </w:r>
          </w:p>
        </w:tc>
      </w:tr>
      <w:tr>
        <w:tc>
          <w:tcPr/>
          <w:p>
            <w:pPr>
              <w:pStyle w:val="Compact"/>
              <w:jc w:val="left"/>
            </w:pPr>
            <w:r>
              <w:t xml:space="preserve">2021</w:t>
            </w:r>
          </w:p>
        </w:tc>
        <w:tc>
          <w:tcPr/>
          <w:p>
            <w:pPr>
              <w:pStyle w:val="Compact"/>
              <w:jc w:val="left"/>
            </w:pPr>
            <w:r>
              <w:t xml:space="preserve">Semaglutida para tratamento do peso (programa STEP)</w:t>
            </w:r>
          </w:p>
        </w:tc>
      </w:tr>
      <w:tr>
        <w:tc>
          <w:tcPr/>
          <w:p>
            <w:pPr>
              <w:pStyle w:val="Compact"/>
              <w:jc w:val="left"/>
            </w:pPr>
            <w:r>
              <w:t xml:space="preserve">2022</w:t>
            </w:r>
          </w:p>
        </w:tc>
        <w:tc>
          <w:tcPr/>
          <w:p>
            <w:pPr>
              <w:pStyle w:val="Compact"/>
              <w:jc w:val="left"/>
            </w:pPr>
            <w:r>
              <w:t xml:space="preserve">Tirzepatida: primeiro agonista duplo GIP/GLP-1</w:t>
            </w:r>
          </w:p>
        </w:tc>
      </w:tr>
      <w:tr>
        <w:tc>
          <w:tcPr/>
          <w:p>
            <w:pPr>
              <w:pStyle w:val="Compact"/>
              <w:jc w:val="left"/>
            </w:pPr>
            <w:r>
              <w:t xml:space="preserve">2023</w:t>
            </w:r>
          </w:p>
        </w:tc>
        <w:tc>
          <w:tcPr/>
          <w:p>
            <w:pPr>
              <w:pStyle w:val="Compact"/>
              <w:jc w:val="left"/>
            </w:pPr>
            <w:r>
              <w:t xml:space="preserve">SELECT: proteção cardíaca na obesidade sem diabetes</w:t>
            </w:r>
          </w:p>
        </w:tc>
      </w:tr>
    </w:tbl>
    <w:p>
      <w:pPr>
        <w:pStyle w:val="BodyText"/>
      </w:pPr>
      <w:r>
        <w:t xml:space="preserve">Os anos de aprovação referem-se, em cada caso, à primeira aprovação; em outros países e para outras indicações valem, em parte, outras datas. Situação em 2026, verificar atualização se necessário.</w:t>
      </w:r>
    </w:p>
    <w:bookmarkEnd w:id="98"/>
    <w:bookmarkEnd w:id="99"/>
    <w:bookmarkStart w:id="134" w:name="Xcc261d8f3adb659783115f7ab3af3dc3d0d9420"/>
    <w:p>
      <w:pPr>
        <w:pStyle w:val="Heading2"/>
      </w:pPr>
      <w:r>
        <w:t xml:space="preserve">Como os peptídeos entram no corpo – e por que isso é difícil</w:t>
      </w:r>
    </w:p>
    <w:p>
      <w:pPr>
        <w:pStyle w:val="FirstParagraph"/>
      </w:pPr>
      <w:r>
        <w:t xml:space="preserve">Quase todo medicamento peptídico que você conhece é injetado: insulina, semaglutida, tirzepatida, teriparatida. Isso não é acaso nem preferência da indústria farmacêutica, mas uma consequência da biologia. O corpo humano é excelente em decompor proteínas e peptídeos – afinal, ele vive de quebrar as proteínas dos alimentos em seus blocos de construção. Este capítulo explica quais obstáculos um peptídeo precisa superar a caminho do seu local de ação, quais caminhos a medicina encontrou e por que muitas promessas sobre gotas, cápsulas e cremes devem ser vistas com cautela.</w:t>
      </w:r>
    </w:p>
    <w:bookmarkStart w:id="101" w:name="o-problema-básico-biodisponibilidade"/>
    <w:p>
      <w:pPr>
        <w:pStyle w:val="Heading3"/>
      </w:pPr>
      <w:r>
        <w:t xml:space="preserve">O problema básico: biodisponibilidade</w:t>
      </w:r>
    </w:p>
    <w:p>
      <w:pPr>
        <w:pStyle w:val="FirstParagraph"/>
      </w:pPr>
      <w:r>
        <w:t xml:space="preserve">Um conceito central neste capítulo é a</w:t>
      </w:r>
      <w:r>
        <w:t xml:space="preserve"> </w:t>
      </w:r>
      <w:r>
        <w:rPr>
          <w:bCs/>
          <w:b/>
        </w:rPr>
        <w:t xml:space="preserve">biodisponibilidade</w:t>
      </w:r>
      <w:r>
        <w:t xml:space="preserve">. Ela indica que fração de uma quantidade administrada chega de fato inalterada à corrente sanguínea. Em uma infusão diretamente na veia, por definição, essa fração é de 100%. Em todas as outras vias, uma parte se perde – por degradação, por barreiras ou porque a substância é simplesmente eliminada.</w:t>
      </w:r>
    </w:p>
    <w:p>
      <w:pPr>
        <w:pStyle w:val="BodyText"/>
      </w:pPr>
      <w:r>
        <w:t xml:space="preserve">Para os peptídeos, a biodisponibilidade é especialmente crítica, porque três características se somam:</w:t>
      </w:r>
    </w:p>
    <w:p>
      <w:pPr>
        <w:numPr>
          <w:ilvl w:val="0"/>
          <w:numId w:val="1009"/>
        </w:numPr>
        <w:pStyle w:val="Compact"/>
      </w:pPr>
      <w:r>
        <w:rPr>
          <w:bCs/>
          <w:b/>
        </w:rPr>
        <w:t xml:space="preserve">São sensíveis a enzimas.</w:t>
      </w:r>
      <w:r>
        <w:t xml:space="preserve"> </w:t>
      </w:r>
      <w:r>
        <w:t xml:space="preserve">As ligações peptídicas são quebradas de forma direcionada por enzimas digestivas como a pepsina no estômago ou a tripsina no intestino delgado, além de inúmeras enzimas no sangue e nos tecidos.</w:t>
      </w:r>
    </w:p>
    <w:p>
      <w:pPr>
        <w:numPr>
          <w:ilvl w:val="0"/>
          <w:numId w:val="1009"/>
        </w:numPr>
        <w:pStyle w:val="Compact"/>
      </w:pPr>
      <w:r>
        <w:rPr>
          <w:bCs/>
          <w:b/>
        </w:rPr>
        <w:t xml:space="preserve">São grandes.</w:t>
      </w:r>
      <w:r>
        <w:t xml:space="preserve"> </w:t>
      </w:r>
      <w:r>
        <w:t xml:space="preserve">Comparados a fármacos clássicos como o ibuprofeno, a maioria dos peptídeos é enorme. Um peptídeo de apenas dez aminoácidos já pesa mais de 1.000 dáltons.</w:t>
      </w:r>
    </w:p>
    <w:p>
      <w:pPr>
        <w:numPr>
          <w:ilvl w:val="0"/>
          <w:numId w:val="1009"/>
        </w:numPr>
        <w:pStyle w:val="Compact"/>
      </w:pPr>
      <w:r>
        <w:rPr>
          <w:bCs/>
          <w:b/>
        </w:rPr>
        <w:t xml:space="preserve">Geralmente são solúveis em água e muitas vezes têm carga elétrica.</w:t>
      </w:r>
      <w:r>
        <w:t xml:space="preserve"> </w:t>
      </w:r>
      <w:r>
        <w:t xml:space="preserve">Por isso, têm dificuldade em atravessar as membranas gordurosas das células.</w:t>
      </w:r>
    </w:p>
    <w:p>
      <w:pPr>
        <w:pStyle w:val="FirstParagraph"/>
      </w:pPr>
      <w:r>
        <w:t xml:space="preserve">Cada via de administração é uma tentativa de contornar esses obstáculos. Um artigo de revisão sobre peptídeos orais resume que substâncias proteicas e peptídicas, em regra, precisam ser administradas contornando o trato digestivo, o que pode prejudicar a adesão ao tratamento</w:t>
      </w:r>
      <w:r>
        <w:rPr>
          <w:rStyle w:val="FootnoteReference"/>
        </w:rPr>
        <w:footnoteReference w:id="100"/>
      </w:r>
      <w:r>
        <w:t xml:space="preserve">.</w:t>
      </w:r>
    </w:p>
    <w:bookmarkEnd w:id="101"/>
    <w:bookmarkStart w:id="105" w:name="a-injeção-via-padrão-com-desvantagens"/>
    <w:p>
      <w:pPr>
        <w:pStyle w:val="Heading3"/>
      </w:pPr>
      <w:r>
        <w:t xml:space="preserve">A injeção: via padrão, com desvantagens</w:t>
      </w:r>
    </w:p>
    <w:p>
      <w:pPr>
        <w:pStyle w:val="FirstParagraph"/>
      </w:pPr>
      <w:r>
        <w:t xml:space="preserve">A maioria dos medicamentos peptídicos é injetada por via</w:t>
      </w:r>
      <w:r>
        <w:t xml:space="preserve"> </w:t>
      </w:r>
      <w:r>
        <w:rPr>
          <w:bCs/>
          <w:b/>
        </w:rPr>
        <w:t xml:space="preserve">subcutânea</w:t>
      </w:r>
      <w:r>
        <w:t xml:space="preserve">, ou seja, no tecido adiposo sob a pele – tipicamente no abdome, na coxa ou na parte superior do braço. Dali, a substância chega à circulação por pequenos vasos sanguíneos e linfáticos. A biodisponibilidade é alta, e pacientes podem aplicar a injeção sozinhos após treinamento. Com menos frequência, os peptídeos são aplicados no músculo (</w:t>
      </w:r>
      <w:r>
        <w:rPr>
          <w:bCs/>
          <w:b/>
        </w:rPr>
        <w:t xml:space="preserve">intramuscular</w:t>
      </w:r>
      <w:r>
        <w:t xml:space="preserve">) ou diretamente na veia (</w:t>
      </w:r>
      <w:r>
        <w:rPr>
          <w:bCs/>
          <w:b/>
        </w:rPr>
        <w:t xml:space="preserve">intravenosa</w:t>
      </w:r>
      <w:r>
        <w:t xml:space="preserve">), por exemplo no hospital.</w:t>
      </w:r>
    </w:p>
    <w:p>
      <w:pPr>
        <w:pStyle w:val="BodyText"/>
      </w:pPr>
      <w:r>
        <w:t xml:space="preserve">A injeção contorna o trato digestivo, mas não as enzimas do sangue. Por isso, a pesquisa farmacêutica se empenhou muito em tornar os peptídeos mais duradouros:</w:t>
      </w:r>
    </w:p>
    <w:p>
      <w:pPr>
        <w:numPr>
          <w:ilvl w:val="0"/>
          <w:numId w:val="1010"/>
        </w:numPr>
        <w:pStyle w:val="Compact"/>
      </w:pPr>
      <w:r>
        <w:rPr>
          <w:bCs/>
          <w:b/>
        </w:rPr>
        <w:t xml:space="preserve">Troca de aminoácidos</w:t>
      </w:r>
      <w:r>
        <w:t xml:space="preserve"> </w:t>
      </w:r>
      <w:r>
        <w:t xml:space="preserve">nos pontos onde as enzimas atacam.</w:t>
      </w:r>
    </w:p>
    <w:p>
      <w:pPr>
        <w:numPr>
          <w:ilvl w:val="0"/>
          <w:numId w:val="1010"/>
        </w:numPr>
        <w:pStyle w:val="Compact"/>
      </w:pPr>
      <w:r>
        <w:rPr>
          <w:bCs/>
          <w:b/>
        </w:rPr>
        <w:t xml:space="preserve">Ligação de ácidos graxos</w:t>
      </w:r>
      <w:r>
        <w:t xml:space="preserve">, para que o peptídeo se ligue à proteína sanguínea albumina. A liraglutida e a semaglutida usam esse princípio</w:t>
      </w:r>
      <w:r>
        <w:rPr>
          <w:rStyle w:val="FootnoteReference"/>
        </w:rPr>
        <w:footnoteReference w:id="102"/>
      </w:r>
      <w:r>
        <w:t xml:space="preserve">. No caso da semaglutida, isso resulta em uma meia-vida de cerca de uma semana</w:t>
      </w:r>
      <w:r>
        <w:rPr>
          <w:rStyle w:val="FootnoteReference"/>
        </w:rPr>
        <w:footnoteReference w:id="103"/>
      </w:r>
      <w:r>
        <w:t xml:space="preserve">.</w:t>
      </w:r>
    </w:p>
    <w:p>
      <w:pPr>
        <w:numPr>
          <w:ilvl w:val="0"/>
          <w:numId w:val="1010"/>
        </w:numPr>
        <w:pStyle w:val="Compact"/>
      </w:pPr>
      <w:r>
        <w:rPr>
          <w:bCs/>
          <w:b/>
        </w:rPr>
        <w:t xml:space="preserve">Acoplamento a moléculas maiores</w:t>
      </w:r>
      <w:r>
        <w:t xml:space="preserve">, como partes de anticorpos ou polímeros como o polietilenoglicol. A dulaglutida é um exemplo de molécula de GLP-1 ligada a um fragmento de anticorpo.</w:t>
      </w:r>
    </w:p>
    <w:p>
      <w:pPr>
        <w:numPr>
          <w:ilvl w:val="0"/>
          <w:numId w:val="1010"/>
        </w:numPr>
        <w:pStyle w:val="Compact"/>
      </w:pPr>
      <w:r>
        <w:rPr>
          <w:bCs/>
          <w:b/>
        </w:rPr>
        <w:t xml:space="preserve">Formas de depósito</w:t>
      </w:r>
      <w:r>
        <w:t xml:space="preserve">, nas quais a substância é incorporada em microesferas ou géis dos quais é liberada lentamente.</w:t>
      </w:r>
    </w:p>
    <w:p>
      <w:pPr>
        <w:pStyle w:val="FirstParagraph"/>
      </w:pPr>
      <w:r>
        <w:t xml:space="preserve">Para quem usa, a injeção também traz obrigações: o produto precisa ser estéril, a agulha só pode ser usada uma vez, e muitas preparações precisam ser armazenadas sob refrigeração. Canetas preenchidas com etapas de dose predefinidas reduzem bastante o risco de erros. A importância disso aparece em uma série de casos de um centro de informação toxicológica dos EUA: com semaglutida dispensada em farmácias como frasco com seringas, ocorreram superdosagens de dez vezes, entre outros motivos porque mililitros,</w:t>
      </w:r>
      <w:r>
        <w:t xml:space="preserve"> </w:t>
      </w:r>
      <w:r>
        <w:t xml:space="preserve">“</w:t>
      </w:r>
      <w:r>
        <w:t xml:space="preserve">unidades</w:t>
      </w:r>
      <w:r>
        <w:t xml:space="preserve">”</w:t>
      </w:r>
      <w:r>
        <w:t xml:space="preserve"> </w:t>
      </w:r>
      <w:r>
        <w:t xml:space="preserve">e miligramas foram confundidos</w:t>
      </w:r>
      <w:r>
        <w:rPr>
          <w:rStyle w:val="FootnoteReference"/>
        </w:rPr>
        <w:footnoteReference w:id="104"/>
      </w:r>
      <w:r>
        <w:t xml:space="preserve">. Mais sobre isso no capítulo sobre o mercado cinza.</w:t>
      </w:r>
    </w:p>
    <w:bookmarkEnd w:id="105"/>
    <w:bookmarkStart w:id="107" w:name="o-comprimido-o-caminho-mais-difícil"/>
    <w:p>
      <w:pPr>
        <w:pStyle w:val="Heading3"/>
      </w:pPr>
      <w:r>
        <w:t xml:space="preserve">O comprimido: o caminho mais difícil</w:t>
      </w:r>
    </w:p>
    <w:p>
      <w:pPr>
        <w:pStyle w:val="FirstParagraph"/>
      </w:pPr>
      <w:r>
        <w:t xml:space="preserve">Um comprimido seria, para a maioria das pessoas, a solução mais cômoda. Para os peptídeos, é ao mesmo tempo a mais exigente. No caminho da boca até o sangue, há vários obstáculos:</w:t>
      </w:r>
    </w:p>
    <w:p>
      <w:pPr>
        <w:numPr>
          <w:ilvl w:val="0"/>
          <w:numId w:val="1011"/>
        </w:numPr>
        <w:pStyle w:val="Compact"/>
      </w:pPr>
      <w:r>
        <w:t xml:space="preserve">O</w:t>
      </w:r>
      <w:r>
        <w:t xml:space="preserve"> </w:t>
      </w:r>
      <w:r>
        <w:rPr>
          <w:bCs/>
          <w:b/>
        </w:rPr>
        <w:t xml:space="preserve">ácido gástrico</w:t>
      </w:r>
      <w:r>
        <w:t xml:space="preserve"> </w:t>
      </w:r>
      <w:r>
        <w:t xml:space="preserve">pode destruir a estrutura espacial dos peptídeos.</w:t>
      </w:r>
    </w:p>
    <w:p>
      <w:pPr>
        <w:numPr>
          <w:ilvl w:val="0"/>
          <w:numId w:val="1011"/>
        </w:numPr>
        <w:pStyle w:val="Compact"/>
      </w:pPr>
      <w:r>
        <w:t xml:space="preserve">A</w:t>
      </w:r>
      <w:r>
        <w:t xml:space="preserve"> </w:t>
      </w:r>
      <w:r>
        <w:rPr>
          <w:bCs/>
          <w:b/>
        </w:rPr>
        <w:t xml:space="preserve">pepsina</w:t>
      </w:r>
      <w:r>
        <w:t xml:space="preserve"> </w:t>
      </w:r>
      <w:r>
        <w:t xml:space="preserve">no estômago e as</w:t>
      </w:r>
      <w:r>
        <w:t xml:space="preserve"> </w:t>
      </w:r>
      <w:r>
        <w:rPr>
          <w:bCs/>
          <w:b/>
        </w:rPr>
        <w:t xml:space="preserve">enzimas pancreáticas</w:t>
      </w:r>
      <w:r>
        <w:t xml:space="preserve"> </w:t>
      </w:r>
      <w:r>
        <w:t xml:space="preserve">no intestino delgado decompõem os peptídeos em pequenos fragmentos.</w:t>
      </w:r>
    </w:p>
    <w:p>
      <w:pPr>
        <w:numPr>
          <w:ilvl w:val="0"/>
          <w:numId w:val="1011"/>
        </w:numPr>
        <w:pStyle w:val="Compact"/>
      </w:pPr>
      <w:r>
        <w:t xml:space="preserve">Uma</w:t>
      </w:r>
      <w:r>
        <w:t xml:space="preserve"> </w:t>
      </w:r>
      <w:r>
        <w:rPr>
          <w:bCs/>
          <w:b/>
        </w:rPr>
        <w:t xml:space="preserve">camada de muco</w:t>
      </w:r>
      <w:r>
        <w:t xml:space="preserve"> </w:t>
      </w:r>
      <w:r>
        <w:t xml:space="preserve">sobre a mucosa intestinal retém moléculas grandes.</w:t>
      </w:r>
    </w:p>
    <w:p>
      <w:pPr>
        <w:numPr>
          <w:ilvl w:val="0"/>
          <w:numId w:val="1011"/>
        </w:numPr>
        <w:pStyle w:val="Compact"/>
      </w:pPr>
      <w:r>
        <w:t xml:space="preserve">As próprias</w:t>
      </w:r>
      <w:r>
        <w:t xml:space="preserve"> </w:t>
      </w:r>
      <w:r>
        <w:rPr>
          <w:bCs/>
          <w:b/>
        </w:rPr>
        <w:t xml:space="preserve">células intestinais</w:t>
      </w:r>
      <w:r>
        <w:t xml:space="preserve"> </w:t>
      </w:r>
      <w:r>
        <w:t xml:space="preserve">estão firmemente unidas entre si. Moléculas grandes e solúveis em água não passam nem através das células nem entre elas.</w:t>
      </w:r>
    </w:p>
    <w:p>
      <w:pPr>
        <w:numPr>
          <w:ilvl w:val="0"/>
          <w:numId w:val="1011"/>
        </w:numPr>
        <w:pStyle w:val="Compact"/>
      </w:pPr>
      <w:r>
        <w:t xml:space="preserve">O que consegue chegar ao sangue passa primeiro pelo</w:t>
      </w:r>
      <w:r>
        <w:t xml:space="preserve"> </w:t>
      </w:r>
      <w:r>
        <w:rPr>
          <w:bCs/>
          <w:b/>
        </w:rPr>
        <w:t xml:space="preserve">fígado</w:t>
      </w:r>
      <w:r>
        <w:t xml:space="preserve">, que pode degradar mais uma parte.</w:t>
      </w:r>
    </w:p>
    <w:p>
      <w:pPr>
        <w:pStyle w:val="FirstParagraph"/>
      </w:pPr>
      <w:r>
        <w:t xml:space="preserve">A revisão de Drucker cita como abordagens substâncias que aumentam a permeabilidade, inibidores de enzimas digestivas e peptídeos carreadores capazes de atravessar o muco e as células. Em estudos clínicos, foram testadas formas orais de, entre outros, insulina, calcitonina, paratormônio e vasopressina</w:t>
      </w:r>
      <w:r>
        <w:rPr>
          <w:rStyle w:val="FootnoteReference"/>
        </w:rPr>
        <w:footnoteReference w:id="106"/>
      </w:r>
      <w:r>
        <w:t xml:space="preserve">. O avanço para uma substância de uso amplo, porém, só veio com o comprimido de semaglutida.</w:t>
      </w:r>
    </w:p>
    <w:bookmarkEnd w:id="107"/>
    <w:bookmarkStart w:id="117" w:name="X63d275ccfae2880e2fc12ef9e95f1d3bd4e343c"/>
    <w:p>
      <w:pPr>
        <w:pStyle w:val="Heading3"/>
      </w:pPr>
      <w:r>
        <w:t xml:space="preserve">A tecnologia SNAC: como funciona o comprimido de semaglutida</w:t>
      </w:r>
    </w:p>
    <w:p>
      <w:pPr>
        <w:pStyle w:val="FirstParagraph"/>
      </w:pPr>
      <w:r>
        <w:t xml:space="preserve">O comprimido de semaglutida contém, além da substância ativa, um excipiente chamado</w:t>
      </w:r>
      <w:r>
        <w:t xml:space="preserve"> </w:t>
      </w:r>
      <w:r>
        <w:rPr>
          <w:bCs/>
          <w:b/>
        </w:rPr>
        <w:t xml:space="preserve">SNAC</w:t>
      </w:r>
      <w:r>
        <w:t xml:space="preserve"> </w:t>
      </w:r>
      <w:r>
        <w:t xml:space="preserve">(N-[8-(2-hidroxibenzoil)amino]caprilato de sódio). Um estudo que combinou dados de investigações em humanos e em cães esclareceu o que acontece</w:t>
      </w:r>
      <w:r>
        <w:rPr>
          <w:rStyle w:val="FootnoteReference"/>
        </w:rPr>
        <w:footnoteReference w:id="108"/>
      </w:r>
      <w:r>
        <w:t xml:space="preserve">:</w:t>
      </w:r>
    </w:p>
    <w:p>
      <w:pPr>
        <w:numPr>
          <w:ilvl w:val="0"/>
          <w:numId w:val="1012"/>
        </w:numPr>
        <w:pStyle w:val="Compact"/>
      </w:pPr>
      <w:r>
        <w:t xml:space="preserve">Surpreendentemente, a absorção não ocorre no intestino, mas</w:t>
      </w:r>
      <w:r>
        <w:t xml:space="preserve"> </w:t>
      </w:r>
      <w:r>
        <w:rPr>
          <w:bCs/>
          <w:b/>
        </w:rPr>
        <w:t xml:space="preserve">no estômago</w:t>
      </w:r>
      <w:r>
        <w:t xml:space="preserve">.</w:t>
      </w:r>
    </w:p>
    <w:p>
      <w:pPr>
        <w:numPr>
          <w:ilvl w:val="0"/>
          <w:numId w:val="1012"/>
        </w:numPr>
        <w:pStyle w:val="Compact"/>
      </w:pPr>
      <w:r>
        <w:t xml:space="preserve">Ela se limita a uma pequena área</w:t>
      </w:r>
      <w:r>
        <w:t xml:space="preserve"> </w:t>
      </w:r>
      <w:r>
        <w:rPr>
          <w:bCs/>
          <w:b/>
        </w:rPr>
        <w:t xml:space="preserve">diretamente na superfície do comprimido</w:t>
      </w:r>
      <w:r>
        <w:t xml:space="preserve">.</w:t>
      </w:r>
    </w:p>
    <w:p>
      <w:pPr>
        <w:numPr>
          <w:ilvl w:val="0"/>
          <w:numId w:val="1012"/>
        </w:numPr>
        <w:pStyle w:val="Compact"/>
      </w:pPr>
      <w:r>
        <w:t xml:space="preserve">Ali, o SNAC tampona localmente o ácido gástrico e assim</w:t>
      </w:r>
      <w:r>
        <w:t xml:space="preserve"> </w:t>
      </w:r>
      <w:r>
        <w:rPr>
          <w:bCs/>
          <w:b/>
        </w:rPr>
        <w:t xml:space="preserve">protege</w:t>
      </w:r>
      <w:r>
        <w:t xml:space="preserve"> </w:t>
      </w:r>
      <w:r>
        <w:t xml:space="preserve">a semaglutida da degradação por enzimas.</w:t>
      </w:r>
    </w:p>
    <w:p>
      <w:pPr>
        <w:numPr>
          <w:ilvl w:val="0"/>
          <w:numId w:val="1012"/>
        </w:numPr>
        <w:pStyle w:val="Compact"/>
      </w:pPr>
      <w:r>
        <w:t xml:space="preserve">O SNAC aumenta a permeabilidade da mucosa gástrica apenas</w:t>
      </w:r>
      <w:r>
        <w:t xml:space="preserve"> </w:t>
      </w:r>
      <w:r>
        <w:rPr>
          <w:bCs/>
          <w:b/>
        </w:rPr>
        <w:t xml:space="preserve">por pouco tempo</w:t>
      </w:r>
      <w:r>
        <w:t xml:space="preserve">.</w:t>
      </w:r>
    </w:p>
    <w:p>
      <w:pPr>
        <w:numPr>
          <w:ilvl w:val="0"/>
          <w:numId w:val="1012"/>
        </w:numPr>
        <w:pStyle w:val="Compact"/>
      </w:pPr>
      <w:r>
        <w:t xml:space="preserve">A semaglutida chega ao sangue</w:t>
      </w:r>
      <w:r>
        <w:t xml:space="preserve"> </w:t>
      </w:r>
      <w:r>
        <w:rPr>
          <w:bCs/>
          <w:b/>
        </w:rPr>
        <w:t xml:space="preserve">atravessando as células</w:t>
      </w:r>
      <w:r>
        <w:t xml:space="preserve">, sem que as junções entre elas sejam abertas.</w:t>
      </w:r>
    </w:p>
    <w:p>
      <w:pPr>
        <w:pStyle w:val="FirstParagraph"/>
      </w:pPr>
      <w:r>
        <w:t xml:space="preserve">Um artigo de revisão mais recente acrescenta que o SNAC eleva o pH no entorno imediato, atenua a ativação da pepsina e contribui para que a semaglutida permaneça como molécula isolada, em vez de se agregar em conjuntos maiores e de absorção mais difícil</w:t>
      </w:r>
      <w:r>
        <w:rPr>
          <w:rStyle w:val="FootnoteReference"/>
        </w:rPr>
        <w:footnoteReference w:id="109"/>
      </w:r>
      <w:r>
        <w:t xml:space="preserve">.</w:t>
      </w:r>
    </w:p>
    <w:p>
      <w:pPr>
        <w:pStyle w:val="BodyText"/>
      </w:pPr>
      <w:r>
        <w:t xml:space="preserve">Apesar dessa tecnologia, o aproveitamento é baixo. A mesma revisão indica uma biodisponibilidade absoluta da semaglutida oral de apenas cerca de 0,4 a 1% – e isso em condições otimizadas: em jejum e com pouca água. Depois de uma refeição, praticamente não se detecta semaglutida no sangue</w:t>
      </w:r>
      <w:r>
        <w:rPr>
          <w:rStyle w:val="FootnoteReference"/>
        </w:rPr>
        <w:footnoteReference w:id="110"/>
      </w:r>
      <w:r>
        <w:t xml:space="preserve">. Por isso valem para o comprimido regras rígidas de ingestão, descritas na bula para profissionais, que devem ser discutidas com a médica ou o médico responsável.</w:t>
      </w:r>
    </w:p>
    <w:p>
      <w:pPr>
        <w:pStyle w:val="BodyText"/>
      </w:pPr>
      <w:r>
        <w:t xml:space="preserve">A baixa biodisponibilidade tem uma consequência prática: o comprimido exige uma quantidade muitas vezes maior de substância ativa. No estudo SUSTAIN-6, os participantes receberam 0,5 ou 1,0 mg de semaglutida uma vez por semana em injeção</w:t>
      </w:r>
      <w:r>
        <w:rPr>
          <w:rStyle w:val="FootnoteReference"/>
        </w:rPr>
        <w:footnoteReference w:id="111"/>
      </w:r>
      <w:r>
        <w:t xml:space="preserve">. Já no estudo do comprimido PIONEER 1, foram investigadas doses diárias de 3, 7 ou 14 mg</w:t>
      </w:r>
      <w:r>
        <w:rPr>
          <w:rStyle w:val="FootnoteReference"/>
        </w:rPr>
        <w:footnoteReference w:id="112"/>
      </w:r>
      <w:r>
        <w:t xml:space="preserve">. O fato de o efeito de longo prazo ainda assim ser estável se deve à longa meia-vida: as oscilações da absorção de um dia para o outro se compensam em grande parte ao longo da semana</w:t>
      </w:r>
      <w:r>
        <w:rPr>
          <w:rStyle w:val="FootnoteReference"/>
        </w:rPr>
        <w:footnoteReference w:id="113"/>
      </w:r>
      <w:r>
        <w:t xml:space="preserve">.</w:t>
      </w:r>
    </w:p>
    <w:p>
      <w:pPr>
        <w:pStyle w:val="BodyText"/>
      </w:pPr>
      <w:r>
        <w:t xml:space="preserve">O comprimido funciona, como mostram os estudos. No PIONEER 1, com 703 pessoas com diabetes tipo 2, a HbA1c caiu, após 26 semanas na dose mais alta, 1,1 ponto percentual a mais do que com placebo</w:t>
      </w:r>
      <w:r>
        <w:rPr>
          <w:rStyle w:val="FootnoteReference"/>
        </w:rPr>
        <w:footnoteReference w:id="114"/>
      </w:r>
      <w:r>
        <w:t xml:space="preserve">. No estudo OASIS 1, uma dose mais alta, de 50 mg por dia, foi testada em 667 adultos com sobrepeso ou obesidade sem diabetes. Após 68 semanas, a perda de peso média foi de 15,1%, contra 2,4% com placebo</w:t>
      </w:r>
      <w:r>
        <w:rPr>
          <w:rStyle w:val="FootnoteReference"/>
        </w:rPr>
        <w:footnoteReference w:id="115"/>
      </w:r>
      <w:r>
        <w:t xml:space="preserve">. Queixas gastrointestinais ocorreram em 80% dos participantes com semaglutida e em 46% com placebo.</w:t>
      </w:r>
    </w:p>
    <w:p>
      <w:pPr>
        <w:pStyle w:val="BodyText"/>
      </w:pPr>
      <w:r>
        <w:t xml:space="preserve">Uma observação importante para a prática: a tecnologia SNAC depende da composição exata do comprimido. Uma análise de produtos de imitação encontrou, em várias preparações orais de semaglutida, bem menos substância ativa do que o declarado e um comportamento de liberação diferente da semaglutida e do SNAC, o que poderia reduzir a absorção</w:t>
      </w:r>
      <w:r>
        <w:rPr>
          <w:rStyle w:val="FootnoteReference"/>
        </w:rPr>
        <w:footnoteReference w:id="116"/>
      </w:r>
      <w:r>
        <w:t xml:space="preserve">. Um comprimido que contém</w:t>
      </w:r>
      <w:r>
        <w:t xml:space="preserve"> </w:t>
      </w:r>
      <w:r>
        <w:t xml:space="preserve">“</w:t>
      </w:r>
      <w:r>
        <w:t xml:space="preserve">semaglutida</w:t>
      </w:r>
      <w:r>
        <w:t xml:space="preserve">”</w:t>
      </w:r>
      <w:r>
        <w:t xml:space="preserve">, portanto, não é automaticamente tão eficaz quanto a preparação aprovada.</w:t>
      </w:r>
    </w:p>
    <w:p>
      <w:pPr>
        <w:pStyle w:val="BodyText"/>
      </w:pPr>
      <w:r>
        <w:t xml:space="preserve">Paralelamente aos comprimidos peptídicos, estão sendo desenvolvidas moléculas pequenas, não peptídicas, que ativam o mesmo receptor e podem ser tomadas como um comprimido comum, como a orforglipron. Elas são apresentadas para comparação na Parte II e tratadas na Parte V no contexto do futuro das terapias em comprimido.</w:t>
      </w:r>
    </w:p>
    <w:bookmarkEnd w:id="117"/>
    <w:bookmarkStart w:id="119" w:name="Xae30503dd08a3447d0848e67120e8948b029cb3"/>
    <w:p>
      <w:pPr>
        <w:pStyle w:val="Heading3"/>
      </w:pPr>
      <w:r>
        <w:t xml:space="preserve">Exceção dos alimentos: peptídeos curtos do colágeno e do leite</w:t>
      </w:r>
    </w:p>
    <w:p>
      <w:pPr>
        <w:pStyle w:val="FirstParagraph"/>
      </w:pPr>
      <w:r>
        <w:t xml:space="preserve">Se os peptídeos são degradados no trato gastrointestinal, como podem agir os peptídeos de colágeno ou de leite consumidos em pó ou em bebidas? A resposta é matizada.</w:t>
      </w:r>
    </w:p>
    <w:p>
      <w:pPr>
        <w:pStyle w:val="BodyText"/>
      </w:pPr>
      <w:r>
        <w:t xml:space="preserve">Na digestão surgem não apenas aminoácidos isolados, mas também fragmentos muito curtos, de dois ou três blocos. Alguns deles são relativamente resistentes a enzimas e são absorvidos por sistemas de transporte próprios. Assim, após o consumo de colágeno hidrolisado por cinco voluntários saudáveis, foram medidos no plasma os dipeptídeos prolil-hidroxiprolina e hidroxiprolil-glicina</w:t>
      </w:r>
      <w:r>
        <w:rPr>
          <w:rStyle w:val="FootnoteReference"/>
        </w:rPr>
        <w:footnoteReference w:id="118"/>
      </w:r>
      <w:r>
        <w:t xml:space="preserve">.</w:t>
      </w:r>
    </w:p>
    <w:p>
      <w:pPr>
        <w:pStyle w:val="BodyText"/>
      </w:pPr>
      <w:r>
        <w:t xml:space="preserve">Disso não decorre automaticamente, porém, que esses fragmentos tenham um efeito específico no corpo – por exemplo, na pele ou nas articulações. Se isso acontece, só pode ser esclarecido em estudos controlados com desfechos clínicos. Esses dados são discutidos na Parte II, no capítulo sobre peptídeos de colágeno. Para peptídeos maiores, como hormônios, vale o contrário: engolidos, eles são digeridos.</w:t>
      </w:r>
    </w:p>
    <w:bookmarkEnd w:id="119"/>
    <w:bookmarkStart w:id="121" w:name="sob-a-língua-poucas-evidências"/>
    <w:p>
      <w:pPr>
        <w:pStyle w:val="Heading3"/>
      </w:pPr>
      <w:r>
        <w:t xml:space="preserve">Sob a língua: poucas evidências</w:t>
      </w:r>
    </w:p>
    <w:p>
      <w:pPr>
        <w:pStyle w:val="FirstParagraph"/>
      </w:pPr>
      <w:r>
        <w:t xml:space="preserve">A mucosa da boca, especialmente sob a língua, é bem irrigada. Substâncias absorvidas ali contornam o estômago e o fígado. Para alguns fármacos pequenos isso funciona bem, mas para os peptídeos a mucosa é uma barreira considerável.</w:t>
      </w:r>
    </w:p>
    <w:p>
      <w:pPr>
        <w:pStyle w:val="BodyText"/>
      </w:pPr>
      <w:r>
        <w:t xml:space="preserve">Mesmo assim, sobretudo nos EUA, semaglutida e tirzepatida são oferecidas em gotas ou comprimidos orodispersíveis para uso sob a língua. Uma análise de ofertas de farmácias norte-americanas que manipulam medicamentos encontrou 33 produtos que diferem das preparações aprovadas. Dos 17 produtos com uma única substância ativa, 82% eram destinados ao uso sob a língua e os demais eram comprimidos orodispersíveis. Os autores consideram essa forma farmacêutica compreensível em princípio, mas constatam que não há comprovação de vantagem em relação às preparações aprovadas e que faltam dados de segurança e eficácia</w:t>
      </w:r>
      <w:r>
        <w:rPr>
          <w:rStyle w:val="FootnoteReference"/>
        </w:rPr>
        <w:footnoteReference w:id="120"/>
      </w:r>
      <w:r>
        <w:t xml:space="preserve">.</w:t>
      </w:r>
    </w:p>
    <w:bookmarkEnd w:id="121"/>
    <w:bookmarkStart w:id="123" w:name="o-spray-nasal-rápido-mas-limitado"/>
    <w:p>
      <w:pPr>
        <w:pStyle w:val="Heading3"/>
      </w:pPr>
      <w:r>
        <w:t xml:space="preserve">O spray nasal: rápido, mas limitado</w:t>
      </w:r>
    </w:p>
    <w:p>
      <w:pPr>
        <w:pStyle w:val="FirstParagraph"/>
      </w:pPr>
      <w:r>
        <w:t xml:space="preserve">A mucosa nasal tem uma superfície grande e bem irrigada, e as substâncias passam dali diretamente para o sangue. Alguns medicamentos peptídicos usam essa via há muito tempo, como o análogo da vasopressina desmopressina. A ocitocina também está sendo estudada como spray nasal.</w:t>
      </w:r>
    </w:p>
    <w:p>
      <w:pPr>
        <w:pStyle w:val="BodyText"/>
      </w:pPr>
      <w:r>
        <w:t xml:space="preserve">Os limites, porém, são claros:</w:t>
      </w:r>
    </w:p>
    <w:p>
      <w:pPr>
        <w:numPr>
          <w:ilvl w:val="0"/>
          <w:numId w:val="1013"/>
        </w:numPr>
        <w:pStyle w:val="Compact"/>
      </w:pPr>
      <w:r>
        <w:t xml:space="preserve">A absorção de peptídeos maiores é baixa e varia muito – conforme a técnica de aplicação, um resfriado ou a quantidade de muco.</w:t>
      </w:r>
    </w:p>
    <w:p>
      <w:pPr>
        <w:numPr>
          <w:ilvl w:val="0"/>
          <w:numId w:val="1013"/>
        </w:numPr>
        <w:pStyle w:val="Compact"/>
      </w:pPr>
      <w:r>
        <w:t xml:space="preserve">Grande parte do jato é engolida ou removida pelos cílios.</w:t>
      </w:r>
    </w:p>
    <w:p>
      <w:pPr>
        <w:numPr>
          <w:ilvl w:val="0"/>
          <w:numId w:val="1013"/>
        </w:numPr>
        <w:pStyle w:val="Compact"/>
      </w:pPr>
      <w:r>
        <w:t xml:space="preserve">Substâncias irritantes ou excipientes frequentemente usados podem sobrecarregar a mucosa.</w:t>
      </w:r>
    </w:p>
    <w:p>
      <w:pPr>
        <w:pStyle w:val="FirstParagraph"/>
      </w:pPr>
      <w:r>
        <w:t xml:space="preserve">Particularmente popular é a ideia de que peptídeos poderiam chegar pelo nariz</w:t>
      </w:r>
      <w:r>
        <w:t xml:space="preserve"> </w:t>
      </w:r>
      <w:r>
        <w:t xml:space="preserve">“</w:t>
      </w:r>
      <w:r>
        <w:t xml:space="preserve">diretamente ao cérebro</w:t>
      </w:r>
      <w:r>
        <w:t xml:space="preserve">”</w:t>
      </w:r>
      <w:r>
        <w:t xml:space="preserve">. Para algumas substâncias há indícios de vias desse tipo pelos nervos olfatório e facial, mas os dados são escassos. Uma revisão crítica muito citada concluiu, no caso da ocitocina, que muito pouco da ocitocina administrada pelo nariz chega ao líquido cefalorraquidiano, enquanto as concentrações no sangue sobem a valores acima do nível natural – com possíveis efeitos no trato gastrointestinal, no coração e nos órgãos reprodutivos</w:t>
      </w:r>
      <w:r>
        <w:rPr>
          <w:rStyle w:val="FootnoteReference"/>
        </w:rPr>
        <w:footnoteReference w:id="122"/>
      </w:r>
      <w:r>
        <w:t xml:space="preserve">. Os autores pedem ceticismo diante de estudos com efeitos comportamentais e defendem estudos pré-registrados. Isso é relevante para todos os peptídeos anunciados como</w:t>
      </w:r>
      <w:r>
        <w:t xml:space="preserve"> </w:t>
      </w:r>
      <w:r>
        <w:t xml:space="preserve">“</w:t>
      </w:r>
      <w:r>
        <w:t xml:space="preserve">spray nasal para o cérebro</w:t>
      </w:r>
      <w:r>
        <w:t xml:space="preserve">”</w:t>
      </w:r>
      <w:r>
        <w:t xml:space="preserve">, como o Semax ou o Selank, tratados na Parte II.</w:t>
      </w:r>
    </w:p>
    <w:bookmarkEnd w:id="123"/>
    <w:bookmarkStart w:id="125" w:name="inalação-um-fracasso-instrutivo"/>
    <w:p>
      <w:pPr>
        <w:pStyle w:val="Heading3"/>
      </w:pPr>
      <w:r>
        <w:t xml:space="preserve">Inalação: um fracasso instrutivo</w:t>
      </w:r>
    </w:p>
    <w:p>
      <w:pPr>
        <w:pStyle w:val="FirstParagraph"/>
      </w:pPr>
      <w:r>
        <w:t xml:space="preserve">O pulmão oferece uma superfície enorme com uma barreira muito fina em relação ao sangue. Por isso, trabalhou-se intensamente em uma insulina inalável. Um primeiro produto chegou ao mercado, mas logo foi retirado; outros desenvolvimentos foram interrompidos. Um comentário dessa época descreve vantagens e desvantagens do ponto de vista de pacientes, médicos, indústria e pagadores – entre elas o tamanho dos inaladores e os custos</w:t>
      </w:r>
      <w:r>
        <w:rPr>
          <w:rStyle w:val="FootnoteReference"/>
        </w:rPr>
        <w:footnoteReference w:id="124"/>
      </w:r>
      <w:r>
        <w:t xml:space="preserve">. Mais tarde, outra insulina inalável foi aprovada nos EUA. Para a maioria dos outros peptídeos, a inalação até agora não tem papel relevante.</w:t>
      </w:r>
    </w:p>
    <w:bookmarkEnd w:id="125"/>
    <w:bookmarkStart w:id="127" w:name="a-pele-uma-barreira-muito-eficiente"/>
    <w:p>
      <w:pPr>
        <w:pStyle w:val="Heading3"/>
      </w:pPr>
      <w:r>
        <w:t xml:space="preserve">A pele: uma barreira muito eficiente</w:t>
      </w:r>
    </w:p>
    <w:p>
      <w:pPr>
        <w:pStyle w:val="FirstParagraph"/>
      </w:pPr>
      <w:r>
        <w:t xml:space="preserve">A pele é um dos órgãos mais impermeáveis do corpo. Sua camada mais externa, a camada córnea, é formada por células mortas envoltas em gorduras – uma espécie de alvenaria com argamassa. Uma conhecida regra prática da dermatologia diz que uma substância precisa ter menos de cerca de 500 dáltons para atravessar a pele em quantidade significativa. Os autores fundamentam isso, entre outras coisas, no fato de que praticamente todos os alérgenos de contato conhecidos e todos os fármacos usados em adesivos de liberação transdérmica estão abaixo desse limite</w:t>
      </w:r>
      <w:r>
        <w:rPr>
          <w:rStyle w:val="FootnoteReference"/>
        </w:rPr>
        <w:footnoteReference w:id="126"/>
      </w:r>
      <w:r>
        <w:t xml:space="preserve">.</w:t>
      </w:r>
    </w:p>
    <w:p>
      <w:pPr>
        <w:pStyle w:val="BodyText"/>
      </w:pPr>
      <w:r>
        <w:t xml:space="preserve">Para os peptídeos, isso significa: já a partir de cerca de quatro a cinco aminoácidos, eles geralmente ficam acima desse limite. Um tripeptídeo como o GHK pode ficar abaixo; peptídeos como o palmitoil pentapeptídeo-4 ou o acetil hexapeptídeo-8 ficam bem acima. Os fabricantes de cosméticos tentam melhorar a penetração com a ligação de ácidos graxos (como no peptídeo</w:t>
      </w:r>
      <w:r>
        <w:t xml:space="preserve"> </w:t>
      </w:r>
      <w:r>
        <w:t xml:space="preserve">“</w:t>
      </w:r>
      <w:r>
        <w:t xml:space="preserve">palmitoil</w:t>
      </w:r>
      <w:r>
        <w:t xml:space="preserve">”</w:t>
      </w:r>
      <w:r>
        <w:t xml:space="preserve">) ou com sistemas carreadores especiais. Se os peptídeos chegam em quantidade suficiente às células-alvo presumidas nas camadas mais profundas da pele é uma questão que precisaria ser investigada especificamente para cada produto. Os estudos a respeito são discutidos na Parte II.</w:t>
      </w:r>
    </w:p>
    <w:p>
      <w:pPr>
        <w:pStyle w:val="BodyText"/>
      </w:pPr>
      <w:r>
        <w:t xml:space="preserve">Uma regra prática é apenas uma regra prática: há exceções, e recursos como adesivos de microagulhas podem superar a barreira. Esses adesivos têm agulhas minúsculas que penetram apenas a camada mais superficial da pele. Para peptídeos, eles ainda estão em grande parte em desenvolvimento.</w:t>
      </w:r>
    </w:p>
    <w:p>
      <w:pPr>
        <w:pStyle w:val="BodyText"/>
      </w:pPr>
      <w:r>
        <w:t xml:space="preserve">Para peptídeos medicamentosos como análogos de GLP-1, liberadores do hormônio do crescimento ou o melanotan, vale o seguinte: um simples creme ou gel não os leva ao sangue em quantidade significativa. Ofertas na internet que afirmam o contrário devem ser vistas com grande ceticismo.</w:t>
      </w:r>
    </w:p>
    <w:bookmarkEnd w:id="127"/>
    <w:bookmarkStart w:id="129" w:name="estabilidade-o-problema-subestimado"/>
    <w:p>
      <w:pPr>
        <w:pStyle w:val="Heading3"/>
      </w:pPr>
      <w:r>
        <w:t xml:space="preserve">Estabilidade: o problema subestimado</w:t>
      </w:r>
    </w:p>
    <w:p>
      <w:pPr>
        <w:pStyle w:val="FirstParagraph"/>
      </w:pPr>
      <w:r>
        <w:t xml:space="preserve">Também fora do corpo os peptídeos são sensíveis. Eles podem se decompor, sofrer alterações químicas (por exemplo, por oxidação) ou se aglomerar em conjuntos maiores. Essas aglomerações – os especialistas falam em agregação ou formação de fibrilas – podem reduzir o efeito e irritar o sistema imunológico. Uma análise encontrou, em preparações de imitação de liraglutida, uma tendência maior à formação de fibrilas e uma estabilidade física menor do que no original</w:t>
      </w:r>
      <w:r>
        <w:rPr>
          <w:rStyle w:val="FootnoteReference"/>
        </w:rPr>
        <w:footnoteReference w:id="128"/>
      </w:r>
      <w:r>
        <w:t xml:space="preserve">.</w:t>
      </w:r>
    </w:p>
    <w:p>
      <w:pPr>
        <w:pStyle w:val="BodyText"/>
      </w:pPr>
      <w:r>
        <w:t xml:space="preserve">Por isso, os medicamentos peptídicos aprovados são produzidos, embalados e transportados sob refrigeração em condições rigorosamente definidas e recebem prazos de validade. Já os peptídeos do mercado cinza geralmente são vendidos como pó liofilizado, que precisa ser dissolvido pelo próprio usuário antes do uso. Cada uma dessas etapas – transporte sem refrigeração, armazenamento, dissolução, aspiração na seringa – é uma possível fonte de erro.</w:t>
      </w:r>
    </w:p>
    <w:bookmarkEnd w:id="129"/>
    <w:bookmarkStart w:id="131" w:name="reações-imunológicas"/>
    <w:p>
      <w:pPr>
        <w:pStyle w:val="Heading3"/>
      </w:pPr>
      <w:r>
        <w:t xml:space="preserve">Reações imunológicas</w:t>
      </w:r>
    </w:p>
    <w:p>
      <w:pPr>
        <w:pStyle w:val="FirstParagraph"/>
      </w:pPr>
      <w:r>
        <w:t xml:space="preserve">Os peptídeos são substâncias proteicas e podem ser reconhecidos como estranhos pelo sistema imunológico, especialmente quando não correspondem exatamente a uma molécula do próprio corpo ou contêm impurezas. As possíveis consequências são reações no local da injeção, reações alérgicas ou a formação de anticorpos que podem enfraquecer o efeito. Na análise de semaglutida de imitação, foram encontrados novos sítios de ligação para o sistema imunológico, previstos por computador, que apontam para um possível risco de reações imunológicas</w:t>
      </w:r>
      <w:r>
        <w:rPr>
          <w:rStyle w:val="FootnoteReference"/>
        </w:rPr>
        <w:footnoteReference w:id="130"/>
      </w:r>
      <w:r>
        <w:t xml:space="preserve">. A Parte IV trata das reações imunológicas em detalhe.</w:t>
      </w:r>
    </w:p>
    <w:bookmarkEnd w:id="131"/>
    <w:bookmarkStart w:id="132" w:name="Xfb4671af1db3ca7d7226302bff9cc5b335c5736"/>
    <w:p>
      <w:pPr>
        <w:pStyle w:val="Heading3"/>
      </w:pPr>
      <w:r>
        <w:t xml:space="preserve">Visão geral: vias de administração em comparação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Via</w:t>
            </w:r>
          </w:p>
        </w:tc>
        <w:tc>
          <w:tcPr/>
          <w:p>
            <w:pPr>
              <w:pStyle w:val="Compact"/>
              <w:jc w:val="left"/>
            </w:pPr>
            <w:r>
              <w:t xml:space="preserve">Problema principal</w:t>
            </w:r>
          </w:p>
        </w:tc>
        <w:tc>
          <w:tcPr/>
          <w:p>
            <w:pPr>
              <w:pStyle w:val="Compact"/>
              <w:jc w:val="left"/>
            </w:pPr>
            <w:r>
              <w:t xml:space="preserve">Exemplos</w:t>
            </w:r>
          </w:p>
        </w:tc>
      </w:tr>
      <w:tr>
        <w:tc>
          <w:tcPr/>
          <w:p>
            <w:pPr>
              <w:pStyle w:val="Compact"/>
              <w:jc w:val="left"/>
            </w:pPr>
            <w:r>
              <w:t xml:space="preserve">Injeção sob a pele</w:t>
            </w:r>
          </w:p>
        </w:tc>
        <w:tc>
          <w:tcPr/>
          <w:p>
            <w:pPr>
              <w:pStyle w:val="Compact"/>
              <w:jc w:val="left"/>
            </w:pPr>
            <w:r>
              <w:t xml:space="preserve">agulha, esterilidade, refrigeração</w:t>
            </w:r>
          </w:p>
        </w:tc>
        <w:tc>
          <w:tcPr/>
          <w:p>
            <w:pPr>
              <w:pStyle w:val="Compact"/>
              <w:jc w:val="left"/>
            </w:pPr>
            <w:r>
              <w:t xml:space="preserve">insulina, semaglutida, tirzepatida</w:t>
            </w:r>
          </w:p>
        </w:tc>
      </w:tr>
      <w:tr>
        <w:tc>
          <w:tcPr/>
          <w:p>
            <w:pPr>
              <w:pStyle w:val="Compact"/>
              <w:jc w:val="left"/>
            </w:pPr>
            <w:r>
              <w:t xml:space="preserve">Comprimido</w:t>
            </w:r>
          </w:p>
        </w:tc>
        <w:tc>
          <w:tcPr/>
          <w:p>
            <w:pPr>
              <w:pStyle w:val="Compact"/>
              <w:jc w:val="left"/>
            </w:pPr>
            <w:r>
              <w:t xml:space="preserve">degradação no trato gastrointestinal</w:t>
            </w:r>
          </w:p>
        </w:tc>
        <w:tc>
          <w:tcPr/>
          <w:p>
            <w:pPr>
              <w:pStyle w:val="Compact"/>
              <w:jc w:val="left"/>
            </w:pPr>
            <w:r>
              <w:t xml:space="preserve">semaglutida com SNAC</w:t>
            </w:r>
          </w:p>
        </w:tc>
      </w:tr>
      <w:tr>
        <w:tc>
          <w:tcPr/>
          <w:p>
            <w:pPr>
              <w:pStyle w:val="Compact"/>
              <w:jc w:val="left"/>
            </w:pPr>
            <w:r>
              <w:t xml:space="preserve">Sob a língua</w:t>
            </w:r>
          </w:p>
        </w:tc>
        <w:tc>
          <w:tcPr/>
          <w:p>
            <w:pPr>
              <w:pStyle w:val="Compact"/>
              <w:jc w:val="left"/>
            </w:pPr>
            <w:r>
              <w:t xml:space="preserve">mucosa como barreira</w:t>
            </w:r>
          </w:p>
        </w:tc>
        <w:tc>
          <w:tcPr/>
          <w:p>
            <w:pPr>
              <w:pStyle w:val="Compact"/>
              <w:jc w:val="left"/>
            </w:pPr>
            <w:r>
              <w:t xml:space="preserve">nenhum dado sólido</w:t>
            </w:r>
          </w:p>
        </w:tc>
      </w:tr>
      <w:tr>
        <w:tc>
          <w:tcPr/>
          <w:p>
            <w:pPr>
              <w:pStyle w:val="Compact"/>
              <w:jc w:val="left"/>
            </w:pPr>
            <w:r>
              <w:t xml:space="preserve">Spray nasal</w:t>
            </w:r>
          </w:p>
        </w:tc>
        <w:tc>
          <w:tcPr/>
          <w:p>
            <w:pPr>
              <w:pStyle w:val="Compact"/>
              <w:jc w:val="left"/>
            </w:pPr>
            <w:r>
              <w:t xml:space="preserve">absorção baixa e variável</w:t>
            </w:r>
          </w:p>
        </w:tc>
        <w:tc>
          <w:tcPr/>
          <w:p>
            <w:pPr>
              <w:pStyle w:val="Compact"/>
              <w:jc w:val="left"/>
            </w:pPr>
            <w:r>
              <w:t xml:space="preserve">desmopressina, ocitocina</w:t>
            </w:r>
          </w:p>
        </w:tc>
      </w:tr>
      <w:tr>
        <w:tc>
          <w:tcPr/>
          <w:p>
            <w:pPr>
              <w:pStyle w:val="Compact"/>
              <w:jc w:val="left"/>
            </w:pPr>
            <w:r>
              <w:t xml:space="preserve">Inalação</w:t>
            </w:r>
          </w:p>
        </w:tc>
        <w:tc>
          <w:tcPr/>
          <w:p>
            <w:pPr>
              <w:pStyle w:val="Compact"/>
              <w:jc w:val="left"/>
            </w:pPr>
            <w:r>
              <w:t xml:space="preserve">dispositivos, segurança pulmonar</w:t>
            </w:r>
          </w:p>
        </w:tc>
        <w:tc>
          <w:tcPr/>
          <w:p>
            <w:pPr>
              <w:pStyle w:val="Compact"/>
              <w:jc w:val="left"/>
            </w:pPr>
            <w:r>
              <w:t xml:space="preserve">insulina inalável</w:t>
            </w:r>
          </w:p>
        </w:tc>
      </w:tr>
      <w:tr>
        <w:tc>
          <w:tcPr/>
          <w:p>
            <w:pPr>
              <w:pStyle w:val="Compact"/>
              <w:jc w:val="left"/>
            </w:pPr>
            <w:r>
              <w:t xml:space="preserve">Pele</w:t>
            </w:r>
          </w:p>
        </w:tc>
        <w:tc>
          <w:tcPr/>
          <w:p>
            <w:pPr>
              <w:pStyle w:val="Compact"/>
              <w:jc w:val="left"/>
            </w:pPr>
            <w:r>
              <w:t xml:space="preserve">camada córnea, tamanho da molécula</w:t>
            </w:r>
          </w:p>
        </w:tc>
        <w:tc>
          <w:tcPr/>
          <w:p>
            <w:pPr>
              <w:pStyle w:val="Compact"/>
              <w:jc w:val="left"/>
            </w:pPr>
            <w:r>
              <w:t xml:space="preserve">peptídeos cosméticos</w:t>
            </w:r>
          </w:p>
        </w:tc>
      </w:tr>
    </w:tbl>
    <w:bookmarkEnd w:id="132"/>
    <w:bookmarkStart w:id="133" w:name="o-essencial-em-resumo-1"/>
    <w:p>
      <w:pPr>
        <w:pStyle w:val="Heading3"/>
      </w:pPr>
      <w:r>
        <w:t xml:space="preserve">O essencial em resumo</w:t>
      </w:r>
    </w:p>
    <w:p>
      <w:pPr>
        <w:numPr>
          <w:ilvl w:val="0"/>
          <w:numId w:val="1014"/>
        </w:numPr>
        <w:pStyle w:val="Compact"/>
      </w:pPr>
      <w:r>
        <w:t xml:space="preserve">Os peptídeos são degradados no trato digestivo, são grandes e atravessam mal as membranas. Por isso, a maioria dos medicamentos peptídicos é injetada.</w:t>
      </w:r>
    </w:p>
    <w:p>
      <w:pPr>
        <w:numPr>
          <w:ilvl w:val="0"/>
          <w:numId w:val="1014"/>
        </w:numPr>
        <w:pStyle w:val="Compact"/>
      </w:pPr>
      <w:r>
        <w:t xml:space="preserve">Uma longa duração de ação é obtida por modificações direcionadas na molécula, como a ligação de ácidos graxos para a ligação à albumina.</w:t>
      </w:r>
    </w:p>
    <w:p>
      <w:pPr>
        <w:numPr>
          <w:ilvl w:val="0"/>
          <w:numId w:val="1014"/>
        </w:numPr>
        <w:pStyle w:val="Compact"/>
      </w:pPr>
      <w:r>
        <w:t xml:space="preserve">O comprimido de semaglutida usa o excipiente SNAC, que permite a absorção no estômago. A biodisponibilidade continua muito baixa, de cerca de 0,4 a 1%.</w:t>
      </w:r>
    </w:p>
    <w:p>
      <w:pPr>
        <w:numPr>
          <w:ilvl w:val="0"/>
          <w:numId w:val="1014"/>
        </w:numPr>
        <w:pStyle w:val="Compact"/>
      </w:pPr>
      <w:r>
        <w:t xml:space="preserve">Em sprays nasais e cremes, a absorção de peptídeos maiores é limitada. Promessas como</w:t>
      </w:r>
      <w:r>
        <w:t xml:space="preserve"> </w:t>
      </w:r>
      <w:r>
        <w:t xml:space="preserve">“</w:t>
      </w:r>
      <w:r>
        <w:t xml:space="preserve">direto para o cérebro</w:t>
      </w:r>
      <w:r>
        <w:t xml:space="preserve">”</w:t>
      </w:r>
      <w:r>
        <w:t xml:space="preserve"> </w:t>
      </w:r>
      <w:r>
        <w:t xml:space="preserve">ou</w:t>
      </w:r>
      <w:r>
        <w:t xml:space="preserve"> </w:t>
      </w:r>
      <w:r>
        <w:t xml:space="preserve">“</w:t>
      </w:r>
      <w:r>
        <w:t xml:space="preserve">pela pele até o sangue</w:t>
      </w:r>
      <w:r>
        <w:t xml:space="preserve">”</w:t>
      </w:r>
      <w:r>
        <w:t xml:space="preserve"> </w:t>
      </w:r>
      <w:r>
        <w:t xml:space="preserve">geralmente não têm comprovação.</w:t>
      </w:r>
    </w:p>
    <w:p>
      <w:pPr>
        <w:numPr>
          <w:ilvl w:val="0"/>
          <w:numId w:val="1014"/>
        </w:numPr>
        <w:pStyle w:val="Compact"/>
      </w:pPr>
      <w:r>
        <w:t xml:space="preserve">Estabilidade, esterilidade e pureza não são detalhes no caso dos peptídeos, mas pré-requisitos para a segurança e o efeito.</w:t>
      </w:r>
    </w:p>
    <w:bookmarkEnd w:id="133"/>
    <w:bookmarkEnd w:id="134"/>
    <w:bookmarkStart w:id="166" w:name="como-ler-estudos-corretamente"/>
    <w:p>
      <w:pPr>
        <w:pStyle w:val="Heading2"/>
      </w:pPr>
      <w:r>
        <w:t xml:space="preserve">Como ler estudos corretamente</w:t>
      </w:r>
    </w:p>
    <w:p>
      <w:pPr>
        <w:pStyle w:val="FirstParagraph"/>
      </w:pPr>
      <w:r>
        <w:t xml:space="preserve">“</w:t>
      </w:r>
      <w:r>
        <w:t xml:space="preserve">Estudos mostram…</w:t>
      </w:r>
      <w:r>
        <w:t xml:space="preserve">”</w:t>
      </w:r>
      <w:r>
        <w:t xml:space="preserve"> </w:t>
      </w:r>
      <w:r>
        <w:t xml:space="preserve">– poucas expressões são usadas com tanta frequência na publicidade de peptídeos. Ela pode significar qualquer coisa: um teste com células em uma placa de Petri, um experimento com doze ratos, o relato de experiência de um único paciente ou um estudo com 17.000 participantes ao longo de mais de três anos. Quem quer avaliar peptídeos precisa conhecer essas diferenças. Este capítulo é uma espécie de caixa de ferramentas. Ele explica os principais tipos de estudo, as armadilhas na interpretação dos resultados e como você mesmo pode verificar o que está por trás de uma afirmação.</w:t>
      </w:r>
    </w:p>
    <w:bookmarkStart w:id="135" w:name="a-pirâmide-de-evidências"/>
    <w:p>
      <w:pPr>
        <w:pStyle w:val="Heading3"/>
      </w:pPr>
      <w:r>
        <w:t xml:space="preserve">A pirâmide de evidências</w:t>
      </w:r>
    </w:p>
    <w:p>
      <w:pPr>
        <w:pStyle w:val="FirstParagraph"/>
      </w:pPr>
      <w:r>
        <w:t xml:space="preserve">Os especialistas costumam organizar os tipos de estudo em uma pirâmide. Na base ficam as formas de estudo que fornecem muitos indícios, mas pouca certeza; no topo, aquelas que mostram de modo mais confiável se um tratamento funciona em seres humanos. De baixo para cima:</w:t>
      </w:r>
    </w:p>
    <w:p>
      <w:pPr>
        <w:numPr>
          <w:ilvl w:val="0"/>
          <w:numId w:val="1015"/>
        </w:numPr>
        <w:pStyle w:val="Compact"/>
      </w:pPr>
      <w:r>
        <w:rPr>
          <w:bCs/>
          <w:b/>
        </w:rPr>
        <w:t xml:space="preserve">Estudos de laboratório e com células</w:t>
      </w:r>
      <w:r>
        <w:t xml:space="preserve"> </w:t>
      </w:r>
      <w:r>
        <w:t xml:space="preserve">(in vitro,</w:t>
      </w:r>
      <w:r>
        <w:t xml:space="preserve"> </w:t>
      </w:r>
      <w:r>
        <w:t xml:space="preserve">“</w:t>
      </w:r>
      <w:r>
        <w:t xml:space="preserve">no vidro</w:t>
      </w:r>
      <w:r>
        <w:t xml:space="preserve">”</w:t>
      </w:r>
      <w:r>
        <w:t xml:space="preserve">): células ou tecidos são expostos a uma substância em laboratório.</w:t>
      </w:r>
    </w:p>
    <w:p>
      <w:pPr>
        <w:numPr>
          <w:ilvl w:val="0"/>
          <w:numId w:val="1015"/>
        </w:numPr>
        <w:pStyle w:val="Compact"/>
      </w:pPr>
      <w:r>
        <w:rPr>
          <w:bCs/>
          <w:b/>
        </w:rPr>
        <w:t xml:space="preserve">Estudos em animais</w:t>
      </w:r>
      <w:r>
        <w:t xml:space="preserve"> </w:t>
      </w:r>
      <w:r>
        <w:t xml:space="preserve">(geralmente em camundongos ou ratos).</w:t>
      </w:r>
    </w:p>
    <w:p>
      <w:pPr>
        <w:numPr>
          <w:ilvl w:val="0"/>
          <w:numId w:val="1015"/>
        </w:numPr>
        <w:pStyle w:val="Compact"/>
      </w:pPr>
      <w:r>
        <w:rPr>
          <w:bCs/>
          <w:b/>
        </w:rPr>
        <w:t xml:space="preserve">Relatos de caso e séries de casos</w:t>
      </w:r>
      <w:r>
        <w:t xml:space="preserve">: descrições de um ou de poucos pacientes.</w:t>
      </w:r>
    </w:p>
    <w:p>
      <w:pPr>
        <w:numPr>
          <w:ilvl w:val="0"/>
          <w:numId w:val="1015"/>
        </w:numPr>
        <w:pStyle w:val="Compact"/>
      </w:pPr>
      <w:r>
        <w:rPr>
          <w:bCs/>
          <w:b/>
        </w:rPr>
        <w:t xml:space="preserve">Estudos observacionais</w:t>
      </w:r>
      <w:r>
        <w:t xml:space="preserve">: observam-se pessoas que, por conta própria, tomam ou não tomam uma substância e compara-se o que acontece com elas.</w:t>
      </w:r>
    </w:p>
    <w:p>
      <w:pPr>
        <w:numPr>
          <w:ilvl w:val="0"/>
          <w:numId w:val="1015"/>
        </w:numPr>
        <w:pStyle w:val="Compact"/>
      </w:pPr>
      <w:r>
        <w:rPr>
          <w:bCs/>
          <w:b/>
        </w:rPr>
        <w:t xml:space="preserve">Estudos controlados sem alocação aleatória</w:t>
      </w:r>
      <w:r>
        <w:t xml:space="preserve"> </w:t>
      </w:r>
      <w:r>
        <w:t xml:space="preserve">e</w:t>
      </w:r>
      <w:r>
        <w:t xml:space="preserve"> </w:t>
      </w:r>
      <w:r>
        <w:rPr>
          <w:bCs/>
          <w:b/>
        </w:rPr>
        <w:t xml:space="preserve">estudos abertos</w:t>
      </w:r>
      <w:r>
        <w:t xml:space="preserve">.</w:t>
      </w:r>
    </w:p>
    <w:p>
      <w:pPr>
        <w:numPr>
          <w:ilvl w:val="0"/>
          <w:numId w:val="1015"/>
        </w:numPr>
        <w:pStyle w:val="Compact"/>
      </w:pPr>
      <w:r>
        <w:rPr>
          <w:bCs/>
          <w:b/>
        </w:rPr>
        <w:t xml:space="preserve">Ensaios clínicos randomizados e controlados</w:t>
      </w:r>
      <w:r>
        <w:t xml:space="preserve"> </w:t>
      </w:r>
      <w:r>
        <w:t xml:space="preserve">(ECR).</w:t>
      </w:r>
    </w:p>
    <w:p>
      <w:pPr>
        <w:numPr>
          <w:ilvl w:val="0"/>
          <w:numId w:val="1015"/>
        </w:numPr>
        <w:pStyle w:val="Compact"/>
      </w:pPr>
      <w:r>
        <w:rPr>
          <w:bCs/>
          <w:b/>
        </w:rPr>
        <w:t xml:space="preserve">Revisões sistemáticas e metanálises</w:t>
      </w:r>
      <w:r>
        <w:t xml:space="preserve">, que reúnem todos os bons estudos disponíveis sobre uma questão.</w:t>
      </w:r>
    </w:p>
    <w:p>
      <w:pPr>
        <w:pStyle w:val="FirstParagraph"/>
      </w:pPr>
      <w:r>
        <w:t xml:space="preserve">A pirâmide é uma simplificação. Um estudo observacional grande e cuidadoso pode ser mais informativo do que um ECR minúsculo e malfeito, e uma metanálise só é tão boa quanto os estudos que inclui. Como orientação geral, porém, ela é útil – sobretudo para perceber o quão baixo na pirâmide estão as evidências de muitos peptídeos do mercado cinza.</w:t>
      </w:r>
    </w:p>
    <w:bookmarkEnd w:id="135"/>
    <w:bookmarkStart w:id="136" w:name="X25b93ce762f3bf69cc3fd18e1b37c7f7442be5c"/>
    <w:p>
      <w:pPr>
        <w:pStyle w:val="Heading3"/>
      </w:pPr>
      <w:r>
        <w:t xml:space="preserve">Estudos de laboratório: o que acontece na placa de Petri</w:t>
      </w:r>
    </w:p>
    <w:p>
      <w:pPr>
        <w:pStyle w:val="FirstParagraph"/>
      </w:pPr>
      <w:r>
        <w:t xml:space="preserve">Em culturas de células é possível investigar bem os mecanismos: qual receptor é ativado? Quais genes são lidos? As células crescem ou migram mais rápido? Esses estudos são indispensáveis para a pesquisa básica.</w:t>
      </w:r>
    </w:p>
    <w:p>
      <w:pPr>
        <w:pStyle w:val="BodyText"/>
      </w:pPr>
      <w:r>
        <w:t xml:space="preserve">Seus limites, porém, são grandes. Células em uma placa não têm circulação sanguínea, nem fígado para degradar substâncias, nem sistema imunológico, nem digestão. As concentrações usadas em laboratório costumam ser muito maiores do que as que poderiam ser alcançadas no corpo humano. Uma substância que mata células cancerosas na placa de Petri pode ser ineficaz ou tóxica no organismo. Quando um texto publicitário se apoia em</w:t>
      </w:r>
      <w:r>
        <w:t xml:space="preserve"> </w:t>
      </w:r>
      <w:r>
        <w:t xml:space="preserve">“</w:t>
      </w:r>
      <w:r>
        <w:t xml:space="preserve">estudos</w:t>
      </w:r>
      <w:r>
        <w:t xml:space="preserve">”</w:t>
      </w:r>
      <w:r>
        <w:t xml:space="preserve"> </w:t>
      </w:r>
      <w:r>
        <w:t xml:space="preserve">e se trata de culturas de células, isso é um indício de um possível mecanismo – não de um benefício em seres humanos.</w:t>
      </w:r>
    </w:p>
    <w:bookmarkEnd w:id="136"/>
    <w:bookmarkStart w:id="138" w:name="Xf3f4c5eb82c6c07b38a27e854a689ec72d8d15e"/>
    <w:p>
      <w:pPr>
        <w:pStyle w:val="Heading3"/>
      </w:pPr>
      <w:r>
        <w:t xml:space="preserve">Estudos em animais: importantes, mas não transferíveis</w:t>
      </w:r>
    </w:p>
    <w:p>
      <w:pPr>
        <w:pStyle w:val="FirstParagraph"/>
      </w:pPr>
      <w:r>
        <w:t xml:space="preserve">Os experimentos com animais permitem estudar efeitos em um organismo inteiro e esclarecer questões de segurança antes que seres humanos sejam expostos a uma nova substância. Ao mesmo tempo, camundongos e ratos diferem consideravelmente dos humanos no metabolismo, na expectativa de vida, no tamanho corporal e no modo como as doenças surgem. Além disso, as doenças nos animais muitas vezes são provocadas artificialmente – como uma lesão de tendão por um corte –, o que só corresponde parcialmente à situação em seres humanos.</w:t>
      </w:r>
    </w:p>
    <w:p>
      <w:pPr>
        <w:pStyle w:val="BodyText"/>
      </w:pPr>
      <w:r>
        <w:t xml:space="preserve">O quão difícil é essa transposição mostra uma revisão sistemática que comparou os efeitos de tratamentos em experimentos com animais com os de estudos clínicos</w:t>
      </w:r>
      <w:r>
        <w:rPr>
          <w:rStyle w:val="FootnoteReference"/>
        </w:rPr>
        <w:footnoteReference w:id="137"/>
      </w:r>
      <w:r>
        <w:t xml:space="preserve">. Alguns exemplos:</w:t>
      </w:r>
    </w:p>
    <w:p>
      <w:pPr>
        <w:numPr>
          <w:ilvl w:val="0"/>
          <w:numId w:val="1016"/>
        </w:numPr>
        <w:pStyle w:val="Compact"/>
      </w:pPr>
      <w:r>
        <w:t xml:space="preserve">Preparações de corticoide melhoraram os resultados em modelos animais de traumatismo craniano, mas em estudos clínicos com seres humanos não mostraram benefício.</w:t>
      </w:r>
    </w:p>
    <w:p>
      <w:pPr>
        <w:numPr>
          <w:ilvl w:val="0"/>
          <w:numId w:val="1016"/>
        </w:numPr>
        <w:pStyle w:val="Compact"/>
      </w:pPr>
      <w:r>
        <w:t xml:space="preserve">A substância tirilazad reduziu em animais com AVC a área cerebral lesionada em 29% e melhorou os escores neurológicos em 48%. Em pessoas com AVC, esteve associada a um resultado pior.</w:t>
      </w:r>
    </w:p>
    <w:p>
      <w:pPr>
        <w:numPr>
          <w:ilvl w:val="0"/>
          <w:numId w:val="1016"/>
        </w:numPr>
        <w:pStyle w:val="Compact"/>
      </w:pPr>
      <w:r>
        <w:t xml:space="preserve">Outros tratamentos, como a dissolução de coágulos no AVC, funcionaram tanto em animais quanto em humanos.</w:t>
      </w:r>
    </w:p>
    <w:p>
      <w:pPr>
        <w:pStyle w:val="FirstParagraph"/>
      </w:pPr>
      <w:r>
        <w:t xml:space="preserve">Os autores atribuem as discrepâncias a vieses nos estudos com animais e ao fato de os modelos animais não reproduzirem suficientemente as doenças humanas.</w:t>
      </w:r>
    </w:p>
    <w:p>
      <w:pPr>
        <w:pStyle w:val="BodyText"/>
      </w:pPr>
      <w:r>
        <w:t xml:space="preserve">Para este livro, isso tem uma consequência clara: quando para um peptídeo existem apenas dados em animais, ele recebe o nível de evidência D – independentemente de quão impressionantes pareçam os resultados em ratos. E o texto sempre diz explicitamente quando um resultado vem de animais ou do laboratório.</w:t>
      </w:r>
    </w:p>
    <w:bookmarkEnd w:id="138"/>
    <w:bookmarkStart w:id="139" w:name="relatos-de-caso-e-estudos-observacionais"/>
    <w:p>
      <w:pPr>
        <w:pStyle w:val="Heading3"/>
      </w:pPr>
      <w:r>
        <w:t xml:space="preserve">Relatos de caso e estudos observacionais</w:t>
      </w:r>
    </w:p>
    <w:p>
      <w:pPr>
        <w:pStyle w:val="FirstParagraph"/>
      </w:pPr>
      <w:r>
        <w:rPr>
          <w:bCs/>
          <w:b/>
        </w:rPr>
        <w:t xml:space="preserve">Relatos de caso</w:t>
      </w:r>
      <w:r>
        <w:t xml:space="preserve"> </w:t>
      </w:r>
      <w:r>
        <w:t xml:space="preserve">descrevem pacientes individuais. Sobre a eficácia, dizem pouco; para a segurança, por outro lado, podem ser muito valiosos: efeitos colaterais raros ou inesperados muitas vezes são notados primeiro em relatos de caso. No capítulo sobre o mercado cinza, você vai conhecer vários desses relatos, por exemplo sobre hipoglicemias graves causadas por preparações falsificadas.</w:t>
      </w:r>
    </w:p>
    <w:p>
      <w:pPr>
        <w:pStyle w:val="BodyText"/>
      </w:pPr>
      <w:r>
        <w:rPr>
          <w:bCs/>
          <w:b/>
        </w:rPr>
        <w:t xml:space="preserve">Estudos observacionais</w:t>
      </w:r>
      <w:r>
        <w:t xml:space="preserve"> </w:t>
      </w:r>
      <w:r>
        <w:t xml:space="preserve">comparam pessoas que tomam uma substância com pessoas que não a tomam. Seu principal problema é o chamado</w:t>
      </w:r>
      <w:r>
        <w:t xml:space="preserve"> </w:t>
      </w:r>
      <w:r>
        <w:rPr>
          <w:bCs/>
          <w:b/>
        </w:rPr>
        <w:t xml:space="preserve">fator de confusão</w:t>
      </w:r>
      <w:r>
        <w:t xml:space="preserve"> </w:t>
      </w:r>
      <w:r>
        <w:t xml:space="preserve">(confounding): quem toma uma determinada preparação muitas vezes também é diferente em outros aspectos – por exemplo, na renda, na atenção à saúde ou em doenças preexistentes. Uma associação encontrada, portanto, não precisa ser uma relação de causa e efeito.</w:t>
      </w:r>
    </w:p>
    <w:p>
      <w:pPr>
        <w:pStyle w:val="BodyText"/>
      </w:pPr>
      <w:r>
        <w:t xml:space="preserve">Uma forma especial são as análises de</w:t>
      </w:r>
      <w:r>
        <w:t xml:space="preserve"> </w:t>
      </w:r>
      <w:r>
        <w:rPr>
          <w:bCs/>
          <w:b/>
        </w:rPr>
        <w:t xml:space="preserve">sistemas de notificação de efeitos colaterais</w:t>
      </w:r>
      <w:r>
        <w:t xml:space="preserve">, como a base de dados europeia EudraVigilance ou a norte-americana FAERS. Elas reúnem notificações de suspeitas feitas por médicas, pacientes e fabricantes. Esses dados mostram sinais que devem ser investigados, mas não provam uma relação e não dizem nada sobre a real frequência de um efeito colateral.</w:t>
      </w:r>
    </w:p>
    <w:bookmarkEnd w:id="139"/>
    <w:bookmarkStart w:id="140" w:name="X8ba75ee05a8ceabf0578bd00aba5ca37774faab"/>
    <w:p>
      <w:pPr>
        <w:pStyle w:val="Heading3"/>
      </w:pPr>
      <w:r>
        <w:t xml:space="preserve">O ensaio clínico randomizado e controlado (ECR)</w:t>
      </w:r>
    </w:p>
    <w:p>
      <w:pPr>
        <w:pStyle w:val="FirstParagraph"/>
      </w:pPr>
      <w:r>
        <w:t xml:space="preserve">O ECR é considerado o padrão-ouro para testar o efeito de um tratamento. Três elementos o definem:</w:t>
      </w:r>
    </w:p>
    <w:p>
      <w:pPr>
        <w:pStyle w:val="BodyText"/>
      </w:pPr>
      <w:r>
        <w:rPr>
          <w:bCs/>
          <w:b/>
        </w:rPr>
        <w:t xml:space="preserve">Grupo controle.</w:t>
      </w:r>
      <w:r>
        <w:t xml:space="preserve"> </w:t>
      </w:r>
      <w:r>
        <w:t xml:space="preserve">Além do grupo que recebe a substância, há um grupo de comparação – com placebo, um tratamento padrão ou nenhum tratamento. Só assim é possível dizer se uma mudança se deve à substância ou se teria ocorrido também sem ela.</w:t>
      </w:r>
    </w:p>
    <w:p>
      <w:pPr>
        <w:pStyle w:val="BodyText"/>
      </w:pPr>
      <w:r>
        <w:rPr>
          <w:bCs/>
          <w:b/>
        </w:rPr>
        <w:t xml:space="preserve">Randomização.</w:t>
      </w:r>
      <w:r>
        <w:t xml:space="preserve"> </w:t>
      </w:r>
      <w:r>
        <w:t xml:space="preserve">Quem vai para qual grupo é decidido pelo acaso. Com isso, fatores de influência conhecidos e desconhecidos se distribuem igualmente entre os grupos. Diferenças no resultado podem então ser atribuídas ao tratamento com alta probabilidade.</w:t>
      </w:r>
    </w:p>
    <w:p>
      <w:pPr>
        <w:pStyle w:val="BodyText"/>
      </w:pPr>
      <w:r>
        <w:rPr>
          <w:bCs/>
          <w:b/>
        </w:rPr>
        <w:t xml:space="preserve">Cegamento.</w:t>
      </w:r>
      <w:r>
        <w:t xml:space="preserve"> </w:t>
      </w:r>
      <w:r>
        <w:t xml:space="preserve">Em um estudo</w:t>
      </w:r>
      <w:r>
        <w:t xml:space="preserve"> </w:t>
      </w:r>
      <w:r>
        <w:rPr>
          <w:bCs/>
          <w:b/>
        </w:rPr>
        <w:t xml:space="preserve">duplo-cego</w:t>
      </w:r>
      <w:r>
        <w:t xml:space="preserve">, nem os participantes nem a equipe do estudo sabem quem recebe a substância e quem recebe o placebo. Isso impede que expectativas influenciem o resultado. Em um estudo</w:t>
      </w:r>
      <w:r>
        <w:t xml:space="preserve"> </w:t>
      </w:r>
      <w:r>
        <w:rPr>
          <w:bCs/>
          <w:b/>
        </w:rPr>
        <w:t xml:space="preserve">aberto</w:t>
      </w:r>
      <w:r>
        <w:t xml:space="preserve">, todos os envolvidos sabem; às vezes não há outra forma, mas isso torna os resultados mais suscetíveis a vieses, especialmente em desfechos subjetivos como dor, humor ou aparência da pele.</w:t>
      </w:r>
    </w:p>
    <w:bookmarkEnd w:id="140"/>
    <w:bookmarkStart w:id="143" w:name="Xcaa0e0ddabfbac50f38f4b421e73a0eecd0dd95"/>
    <w:p>
      <w:pPr>
        <w:pStyle w:val="Heading3"/>
      </w:pPr>
      <w:r>
        <w:t xml:space="preserve">O efeito placebo e por que os grupos controle são indispensáveis</w:t>
      </w:r>
    </w:p>
    <w:p>
      <w:pPr>
        <w:pStyle w:val="FirstParagraph"/>
      </w:pPr>
      <w:r>
        <w:t xml:space="preserve">As pessoas muitas vezes melhoram em estudos mesmo quando recebem apenas uma preparação simulada. Isso se deve às expectativas, à atenção adicional, a mudanças no estilo de vida durante o estudo e ao fato de que muitas queixas melhoram sozinhas de qualquer maneira.</w:t>
      </w:r>
    </w:p>
    <w:p>
      <w:pPr>
        <w:pStyle w:val="BodyText"/>
      </w:pPr>
      <w:r>
        <w:t xml:space="preserve">Um exemplo claro é o estudo STEP 1: também o grupo placebo perdeu em média 2,4% do peso corporal ao longo de 68 semanas, porque todos os participantes receberam, além disso, orientação sobre estilo de vida</w:t>
      </w:r>
      <w:r>
        <w:rPr>
          <w:rStyle w:val="FootnoteReference"/>
        </w:rPr>
        <w:footnoteReference w:id="141"/>
      </w:r>
      <w:r>
        <w:t xml:space="preserve">. O efeito real da substância é a diferença entre os grupos – neste caso, 12,4 pontos percentuais, e não 14,9%.</w:t>
      </w:r>
    </w:p>
    <w:p>
      <w:pPr>
        <w:pStyle w:val="BodyText"/>
      </w:pPr>
      <w:r>
        <w:t xml:space="preserve">Um artigo de revisão sobre peptídeos na medicina esportiva ressalta expressamente que o efeito placebo poderia explicar parte dos efeitos relatados para peptídeos não regulamentados e que as redes sociais amplificam esse efeito</w:t>
      </w:r>
      <w:r>
        <w:rPr>
          <w:rStyle w:val="FootnoteReference"/>
        </w:rPr>
        <w:footnoteReference w:id="142"/>
      </w:r>
      <w:r>
        <w:t xml:space="preserve">. Relatos de experiência em fóruns, portanto, não substituem estudos controlados.</w:t>
      </w:r>
    </w:p>
    <w:bookmarkEnd w:id="143"/>
    <w:bookmarkStart w:id="144" w:name="fases-dos-estudos"/>
    <w:p>
      <w:pPr>
        <w:pStyle w:val="Heading3"/>
      </w:pPr>
      <w:r>
        <w:t xml:space="preserve">Fases dos estudos</w:t>
      </w:r>
    </w:p>
    <w:p>
      <w:pPr>
        <w:pStyle w:val="FirstParagraph"/>
      </w:pPr>
      <w:r>
        <w:t xml:space="preserve">Novos medicamentos passam tipicamente por quatro fases em seres humanos: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Objetivo</w:t>
            </w:r>
          </w:p>
        </w:tc>
        <w:tc>
          <w:tcPr/>
          <w:p>
            <w:pPr>
              <w:pStyle w:val="Compact"/>
              <w:jc w:val="left"/>
            </w:pPr>
            <w:r>
              <w:t xml:space="preserve">Tamanho típico</w:t>
            </w:r>
          </w:p>
        </w:tc>
      </w:tr>
      <w:tr>
        <w:tc>
          <w:tcPr/>
          <w:p>
            <w:pPr>
              <w:pStyle w:val="Compact"/>
              <w:jc w:val="left"/>
            </w:pPr>
            <w:r>
              <w:t xml:space="preserve">Fase 1</w:t>
            </w:r>
          </w:p>
        </w:tc>
        <w:tc>
          <w:tcPr/>
          <w:p>
            <w:pPr>
              <w:pStyle w:val="Compact"/>
              <w:jc w:val="left"/>
            </w:pPr>
            <w:r>
              <w:t xml:space="preserve">tolerabilidade, comportamento no organismo</w:t>
            </w:r>
          </w:p>
        </w:tc>
        <w:tc>
          <w:tcPr/>
          <w:p>
            <w:pPr>
              <w:pStyle w:val="Compact"/>
              <w:jc w:val="left"/>
            </w:pPr>
            <w:r>
              <w:t xml:space="preserve">algumas dezenas de pessoas saudáveis</w:t>
            </w:r>
          </w:p>
        </w:tc>
      </w:tr>
      <w:tr>
        <w:tc>
          <w:tcPr/>
          <w:p>
            <w:pPr>
              <w:pStyle w:val="Compact"/>
              <w:jc w:val="left"/>
            </w:pPr>
            <w:r>
              <w:t xml:space="preserve">Fase 2</w:t>
            </w:r>
          </w:p>
        </w:tc>
        <w:tc>
          <w:tcPr/>
          <w:p>
            <w:pPr>
              <w:pStyle w:val="Compact"/>
              <w:jc w:val="left"/>
            </w:pPr>
            <w:r>
              <w:t xml:space="preserve">primeira eficácia, definição de dose</w:t>
            </w:r>
          </w:p>
        </w:tc>
        <w:tc>
          <w:tcPr/>
          <w:p>
            <w:pPr>
              <w:pStyle w:val="Compact"/>
              <w:jc w:val="left"/>
            </w:pPr>
            <w:r>
              <w:t xml:space="preserve">cerca de 100 a algumas centenas</w:t>
            </w:r>
          </w:p>
        </w:tc>
      </w:tr>
      <w:tr>
        <w:tc>
          <w:tcPr/>
          <w:p>
            <w:pPr>
              <w:pStyle w:val="Compact"/>
              <w:jc w:val="left"/>
            </w:pPr>
            <w:r>
              <w:t xml:space="preserve">Fase 3</w:t>
            </w:r>
          </w:p>
        </w:tc>
        <w:tc>
          <w:tcPr/>
          <w:p>
            <w:pPr>
              <w:pStyle w:val="Compact"/>
              <w:jc w:val="left"/>
            </w:pPr>
            <w:r>
              <w:t xml:space="preserve">eficácia e segurança em comparação</w:t>
            </w:r>
          </w:p>
        </w:tc>
        <w:tc>
          <w:tcPr/>
          <w:p>
            <w:pPr>
              <w:pStyle w:val="Compact"/>
              <w:jc w:val="left"/>
            </w:pPr>
            <w:r>
              <w:t xml:space="preserve">centenas a milhares</w:t>
            </w:r>
          </w:p>
        </w:tc>
      </w:tr>
      <w:tr>
        <w:tc>
          <w:tcPr/>
          <w:p>
            <w:pPr>
              <w:pStyle w:val="Compact"/>
              <w:jc w:val="left"/>
            </w:pPr>
            <w:r>
              <w:t xml:space="preserve">Fase 4</w:t>
            </w:r>
          </w:p>
        </w:tc>
        <w:tc>
          <w:tcPr/>
          <w:p>
            <w:pPr>
              <w:pStyle w:val="Compact"/>
              <w:jc w:val="left"/>
            </w:pPr>
            <w:r>
              <w:t xml:space="preserve">acompanhamento após a aprovação</w:t>
            </w:r>
          </w:p>
        </w:tc>
        <w:tc>
          <w:tcPr/>
          <w:p>
            <w:pPr>
              <w:pStyle w:val="Compact"/>
              <w:jc w:val="left"/>
            </w:pPr>
            <w:r>
              <w:t xml:space="preserve">muitas vezes muito grande</w:t>
            </w:r>
          </w:p>
        </w:tc>
      </w:tr>
    </w:tbl>
    <w:p>
      <w:pPr>
        <w:pStyle w:val="BodyText"/>
      </w:pPr>
      <w:r>
        <w:t xml:space="preserve">Muitas substâncias fracassam entre a fase 2 e a fase 3. Um resultado promissor de fase 2, portanto, ainda não garante uma aprovação futura.</w:t>
      </w:r>
    </w:p>
    <w:bookmarkEnd w:id="144"/>
    <w:bookmarkStart w:id="146" w:name="desfechos-o-que-afinal-está-sendo-medido"/>
    <w:p>
      <w:pPr>
        <w:pStyle w:val="Heading3"/>
      </w:pPr>
      <w:r>
        <w:t xml:space="preserve">Desfechos: o que, afinal, está sendo medido?</w:t>
      </w:r>
    </w:p>
    <w:p>
      <w:pPr>
        <w:pStyle w:val="FirstParagraph"/>
      </w:pPr>
      <w:r>
        <w:t xml:space="preserve">Cada estudo define de antemão um</w:t>
      </w:r>
      <w:r>
        <w:t xml:space="preserve"> </w:t>
      </w:r>
      <w:r>
        <w:rPr>
          <w:bCs/>
          <w:b/>
        </w:rPr>
        <w:t xml:space="preserve">desfecho primário</w:t>
      </w:r>
      <w:r>
        <w:t xml:space="preserve"> </w:t>
      </w:r>
      <w:r>
        <w:t xml:space="preserve">– o objetivo principal pelo qual o sucesso é medido. A isso se somam desfechos secundários. Quando um resultado só é destacado como importante depois, é preciso cautela: quem mede muitos desfechos quase sempre encontra em algum lugar uma diferença</w:t>
      </w:r>
      <w:r>
        <w:t xml:space="preserve"> </w:t>
      </w:r>
      <w:r>
        <w:t xml:space="preserve">“</w:t>
      </w:r>
      <w:r>
        <w:t xml:space="preserve">significativa</w:t>
      </w:r>
      <w:r>
        <w:t xml:space="preserve">”</w:t>
      </w:r>
      <w:r>
        <w:t xml:space="preserve">.</w:t>
      </w:r>
    </w:p>
    <w:p>
      <w:pPr>
        <w:pStyle w:val="BodyText"/>
      </w:pPr>
      <w:r>
        <w:t xml:space="preserve">É especialmente importante distinguir entre</w:t>
      </w:r>
      <w:r>
        <w:t xml:space="preserve"> </w:t>
      </w:r>
      <w:r>
        <w:rPr>
          <w:bCs/>
          <w:b/>
        </w:rPr>
        <w:t xml:space="preserve">desfechos duros</w:t>
      </w:r>
      <w:r>
        <w:t xml:space="preserve"> </w:t>
      </w:r>
      <w:r>
        <w:t xml:space="preserve">e</w:t>
      </w:r>
      <w:r>
        <w:t xml:space="preserve"> </w:t>
      </w:r>
      <w:r>
        <w:rPr>
          <w:bCs/>
          <w:b/>
        </w:rPr>
        <w:t xml:space="preserve">desfechos substitutos</w:t>
      </w:r>
      <w:r>
        <w:t xml:space="preserve">:</w:t>
      </w:r>
    </w:p>
    <w:p>
      <w:pPr>
        <w:numPr>
          <w:ilvl w:val="0"/>
          <w:numId w:val="1017"/>
        </w:numPr>
        <w:pStyle w:val="Compact"/>
      </w:pPr>
      <w:r>
        <w:rPr>
          <w:bCs/>
          <w:b/>
        </w:rPr>
        <w:t xml:space="preserve">Desfechos duros</w:t>
      </w:r>
      <w:r>
        <w:t xml:space="preserve"> </w:t>
      </w:r>
      <w:r>
        <w:t xml:space="preserve">são eventos que importam diretamente para os pacientes: morte, infarto, AVC, fratura óssea, cegueira, qualidade de vida.</w:t>
      </w:r>
    </w:p>
    <w:p>
      <w:pPr>
        <w:numPr>
          <w:ilvl w:val="0"/>
          <w:numId w:val="1017"/>
        </w:numPr>
        <w:pStyle w:val="Compact"/>
      </w:pPr>
      <w:r>
        <w:rPr>
          <w:bCs/>
          <w:b/>
        </w:rPr>
        <w:t xml:space="preserve">Desfechos substitutos</w:t>
      </w:r>
      <w:r>
        <w:t xml:space="preserve"> </w:t>
      </w:r>
      <w:r>
        <w:t xml:space="preserve">são valores medidos que se supõe estarem relacionados a desfechos duros: glicose, HbA1c, colesterol, pressão arterial, densidade óssea, peso corporal ou valores laboratoriais como o IGF-1.</w:t>
      </w:r>
    </w:p>
    <w:p>
      <w:pPr>
        <w:pStyle w:val="FirstParagraph"/>
      </w:pPr>
      <w:r>
        <w:t xml:space="preserve">Os desfechos substitutos são práticos, porque podem ser medidos mais rapidamente e com menos participantes. Mas podem enganar. O exemplo mais conhecido é o Cardiac Arrhythmia Suppression Trial (CAST), do final da década de 1980. Partia-se do princípio de que medicamentos que suprimem certas arritmias cardíacas após um infarto também evitariam mortes. Os medicamentos de fato suprimiram as arritmias – o desfecho substituto foi alcançado. Mas no estudo randomizado morreram mais pessoas com dois desses medicamentos do que com placebo: por arritmias, morreram 43 participantes com a substância contra 16 com placebo</w:t>
      </w:r>
      <w:r>
        <w:rPr>
          <w:rStyle w:val="FootnoteReference"/>
        </w:rPr>
        <w:footnoteReference w:id="145"/>
      </w:r>
      <w:r>
        <w:t xml:space="preserve">.</w:t>
      </w:r>
    </w:p>
    <w:p>
      <w:pPr>
        <w:pStyle w:val="BodyText"/>
      </w:pPr>
      <w:r>
        <w:t xml:space="preserve">No caso dos peptídeos, você encontrará desfechos substitutos o tempo todo. Com os liberadores do hormônio do crescimento, muitas vezes mede-se apenas se o nível de hormônio do crescimento ou de IGF-1 sobe – e não se as pessoas ficam mais saudáveis, mais fortes ou vivem mais por causa disso. Já no caso dos medicamentos GLP-1, existem hoje grandes estudos com desfechos duros, como infarto e AVC. Esse é um dos motivos pelos quais eles recebem neste livro o nível de evidência mais alto.</w:t>
      </w:r>
    </w:p>
    <w:bookmarkEnd w:id="146"/>
    <w:bookmarkStart w:id="149" w:name="riscos-relativos-e-absolutos"/>
    <w:p>
      <w:pPr>
        <w:pStyle w:val="Heading3"/>
      </w:pPr>
      <w:r>
        <w:t xml:space="preserve">Riscos relativos e absolutos</w:t>
      </w:r>
    </w:p>
    <w:p>
      <w:pPr>
        <w:pStyle w:val="FirstParagraph"/>
      </w:pPr>
      <w:r>
        <w:t xml:space="preserve">Poucos detalhes estatísticos são tão frequentemente mal compreendidos quanto este. Tomemos o estudo SELECT: ao longo de em média 39,8 meses, o evento cardiovascular combinado ocorreu em 6,5% dos participantes com semaglutida e em 8,0% com placebo. O hazard ratio – uma medida do risco relativo ao longo do tempo – foi de 0,80</w:t>
      </w:r>
      <w:r>
        <w:rPr>
          <w:rStyle w:val="FootnoteReference"/>
        </w:rPr>
        <w:footnoteReference w:id="147"/>
      </w:r>
      <w:r>
        <w:t xml:space="preserve">.</w:t>
      </w:r>
    </w:p>
    <w:p>
      <w:pPr>
        <w:pStyle w:val="BodyText"/>
      </w:pPr>
      <w:r>
        <w:t xml:space="preserve">Daí se podem tirar duas afirmações, ambas corretas:</w:t>
      </w:r>
    </w:p>
    <w:p>
      <w:pPr>
        <w:numPr>
          <w:ilvl w:val="0"/>
          <w:numId w:val="1018"/>
        </w:numPr>
        <w:pStyle w:val="Compact"/>
      </w:pPr>
      <w:r>
        <w:rPr>
          <w:bCs/>
          <w:b/>
        </w:rPr>
        <w:t xml:space="preserve">Relativa:</w:t>
      </w:r>
      <w:r>
        <w:t xml:space="preserve"> </w:t>
      </w:r>
      <w:r>
        <w:t xml:space="preserve">o risco foi cerca de 20% menor.</w:t>
      </w:r>
    </w:p>
    <w:p>
      <w:pPr>
        <w:numPr>
          <w:ilvl w:val="0"/>
          <w:numId w:val="1018"/>
        </w:numPr>
        <w:pStyle w:val="Compact"/>
      </w:pPr>
      <w:r>
        <w:rPr>
          <w:bCs/>
          <w:b/>
        </w:rPr>
        <w:t xml:space="preserve">Absoluta:</w:t>
      </w:r>
      <w:r>
        <w:t xml:space="preserve"> </w:t>
      </w:r>
      <w:r>
        <w:t xml:space="preserve">a proporção de afetados caiu 1,5 ponto percentual – de 8,0 para 6,5 em cada 100 pessoas.</w:t>
      </w:r>
    </w:p>
    <w:p>
      <w:pPr>
        <w:pStyle w:val="FirstParagraph"/>
      </w:pPr>
      <w:r>
        <w:t xml:space="preserve">A partir da diferença absoluta é possível calcular o</w:t>
      </w:r>
      <w:r>
        <w:t xml:space="preserve"> </w:t>
      </w:r>
      <w:r>
        <w:rPr>
          <w:bCs/>
          <w:b/>
        </w:rPr>
        <w:t xml:space="preserve">número necessário para tratar (NNT)</w:t>
      </w:r>
      <w:r>
        <w:t xml:space="preserve">: quantas pessoas precisam ser tratadas para que uma evite um evento. Aqui, pelos cálculos, são cerca de 67 pessoas ao longo de pouco mais de três anos. Isso não significa que o tratamento seja irrelevante – com milhões de pessoas afetadas, o efeito é significativo. Mas mostra que a maioria dos tratados não teria tido um evento mesmo sem o medicamento, e que alguns têm um evento apesar do medicamento.</w:t>
      </w:r>
    </w:p>
    <w:p>
      <w:pPr>
        <w:pStyle w:val="BodyText"/>
      </w:pPr>
      <w:r>
        <w:t xml:space="preserve">A publicidade e as manchetes preferem números relativos, porque soam maiores. Bons relatórios de estudos informam os dois. Por isso, preste sempre atenção à frequência de partida:</w:t>
      </w:r>
      <w:r>
        <w:t xml:space="preserve"> </w:t>
      </w:r>
      <w:r>
        <w:t xml:space="preserve">“</w:t>
      </w:r>
      <w:r>
        <w:t xml:space="preserve">reduzir pela metade</w:t>
      </w:r>
      <w:r>
        <w:t xml:space="preserve">”</w:t>
      </w:r>
      <w:r>
        <w:t xml:space="preserve"> </w:t>
      </w:r>
      <w:r>
        <w:t xml:space="preserve">um risco de 2 para 1 em 10.000 é algo completamente diferente de reduzi-lo de 20 para 10 em 100.</w:t>
      </w:r>
    </w:p>
    <w:p>
      <w:pPr>
        <w:pStyle w:val="BodyText"/>
      </w:pPr>
      <w:r>
        <w:t xml:space="preserve">O mesmo vale para os efeitos colaterais. No SELECT, 16,6% dos participantes com semaglutida interromperam o tratamento por eventos adversos, contra 8,2% com placebo</w:t>
      </w:r>
      <w:r>
        <w:rPr>
          <w:rStyle w:val="FootnoteReference"/>
        </w:rPr>
        <w:footnoteReference w:id="148"/>
      </w:r>
      <w:r>
        <w:t xml:space="preserve">. Em termos relativos, é o dobro; em termos absolutos, uma diferença de 8,4 pontos percentuais.</w:t>
      </w:r>
    </w:p>
    <w:bookmarkEnd w:id="149"/>
    <w:bookmarkStart w:id="151" w:name="X67fc370a5c4833b5cfe5eb36474892f02c88da1"/>
    <w:p>
      <w:pPr>
        <w:pStyle w:val="Heading3"/>
      </w:pPr>
      <w:r>
        <w:t xml:space="preserve">Significância estatística e intervalos de confiança</w:t>
      </w:r>
    </w:p>
    <w:p>
      <w:pPr>
        <w:pStyle w:val="FirstParagraph"/>
      </w:pPr>
      <w:r>
        <w:t xml:space="preserve">Um</w:t>
      </w:r>
      <w:r>
        <w:t xml:space="preserve"> </w:t>
      </w:r>
      <w:r>
        <w:rPr>
          <w:bCs/>
          <w:b/>
        </w:rPr>
        <w:t xml:space="preserve">valor de p</w:t>
      </w:r>
      <w:r>
        <w:t xml:space="preserve"> </w:t>
      </w:r>
      <w:r>
        <w:t xml:space="preserve">indica a probabilidade de uma diferença pelo menos tão grande se, na realidade, não houvesse efeito. Se ele for menor que 0,05, um resultado costuma ser considerado</w:t>
      </w:r>
      <w:r>
        <w:t xml:space="preserve"> </w:t>
      </w:r>
      <w:r>
        <w:t xml:space="preserve">“</w:t>
      </w:r>
      <w:r>
        <w:t xml:space="preserve">estatisticamente significativo</w:t>
      </w:r>
      <w:r>
        <w:t xml:space="preserve">”</w:t>
      </w:r>
      <w:r>
        <w:t xml:space="preserve">. Isso não quer dizer que o efeito seja grande ou relevante – em estudos muito grandes, até diferenças minúsculas se tornam significativas.</w:t>
      </w:r>
    </w:p>
    <w:p>
      <w:pPr>
        <w:pStyle w:val="BodyText"/>
      </w:pPr>
      <w:r>
        <w:t xml:space="preserve">Muitas vezes, mais informativo é o</w:t>
      </w:r>
      <w:r>
        <w:t xml:space="preserve"> </w:t>
      </w:r>
      <w:r>
        <w:rPr>
          <w:bCs/>
          <w:b/>
        </w:rPr>
        <w:t xml:space="preserve">intervalo de confiança de 95%</w:t>
      </w:r>
      <w:r>
        <w:t xml:space="preserve">. Ele indica uma faixa na qual o efeito verdadeiro se encontra com alta probabilidade. No STEP 1, a diferença no peso corporal entre semaglutida e placebo foi de 12,4 pontos percentuais, com um intervalo de confiança de 11,5 a 13,4</w:t>
      </w:r>
      <w:r>
        <w:rPr>
          <w:rStyle w:val="FootnoteReference"/>
        </w:rPr>
        <w:footnoteReference w:id="150"/>
      </w:r>
      <w:r>
        <w:t xml:space="preserve">. Um intervalo tão estreito mostra uma estimativa precisa. Em estudos pequenos, os intervalos costumam ser muito amplos – um sinal de que o efeito verdadeiro pode ser grande, pequeno ou até nulo.</w:t>
      </w:r>
    </w:p>
    <w:bookmarkEnd w:id="151"/>
    <w:bookmarkStart w:id="153" w:name="como-se-conta-a-questão-do-estimando"/>
    <w:p>
      <w:pPr>
        <w:pStyle w:val="Heading3"/>
      </w:pPr>
      <w:r>
        <w:t xml:space="preserve">Como se conta: a questão do estimando</w:t>
      </w:r>
    </w:p>
    <w:p>
      <w:pPr>
        <w:pStyle w:val="FirstParagraph"/>
      </w:pPr>
      <w:r>
        <w:t xml:space="preserve">Um detalhe que se tornou importante em estudos mais recentes: como são contadas as pessoas que interrompem o tratamento ou tomam medicamentos adicionais? No estudo PIONEER 1, foram relatadas duas análises. Analisando-se todos os participantes, independentemente de terem continuado a tomar os comprimidos, a HbA1c caiu na dose mais alta 1,1 ponto percentual a mais do que com placebo. Considerando-se apenas o período em que os comprimidos foram de fato tomados, foram 1,4 ponto percentual</w:t>
      </w:r>
      <w:r>
        <w:rPr>
          <w:rStyle w:val="FootnoteReference"/>
        </w:rPr>
        <w:footnoteReference w:id="152"/>
      </w:r>
      <w:r>
        <w:t xml:space="preserve">. Ambos os números estão corretos, mas respondem a perguntas diferentes. O primeiro geralmente é mais realista para o dia a dia.</w:t>
      </w:r>
    </w:p>
    <w:bookmarkEnd w:id="153"/>
    <w:bookmarkStart w:id="155" w:name="duração-e-tamanho"/>
    <w:p>
      <w:pPr>
        <w:pStyle w:val="Heading3"/>
      </w:pPr>
      <w:r>
        <w:t xml:space="preserve">Duração e tamanho</w:t>
      </w:r>
    </w:p>
    <w:p>
      <w:pPr>
        <w:pStyle w:val="FirstParagraph"/>
      </w:pPr>
      <w:r>
        <w:t xml:space="preserve">Muitos estudos com peptídeos são curtos. Uma alteração em valores laboratoriais após duas semanas diz pouco sobre o que acontece após dois anos – nem sobre o benefício, nem sobre riscos como o câncer, que muitas vezes só aparecem depois de anos. Igualmente importante é o tamanho: efeitos colaterais raros, que afetam uma em cada mil pessoas, inevitavelmente passam despercebidos em um estudo com 40 participantes. A ausência de efeitos colaterais em um estudo pequeno não é prova de segurança.</w:t>
      </w:r>
    </w:p>
    <w:p>
      <w:pPr>
        <w:pStyle w:val="BodyText"/>
      </w:pPr>
      <w:r>
        <w:t xml:space="preserve">A partir de considerações teóricas e simulações, o epidemiologista John Ioannidis concluiu que os resultados de pesquisa são tanto menos confiáveis quanto menores forem os estudos e os efeitos, quanto mais questões forem testadas sem seleção prévia, quanto mais flexíveis forem o desenho e a análise e quanto maiores forem os interesses financeiros e os preconceitos em uma área</w:t>
      </w:r>
      <w:r>
        <w:rPr>
          <w:rStyle w:val="FootnoteReference"/>
        </w:rPr>
        <w:footnoteReference w:id="154"/>
      </w:r>
      <w:r>
        <w:t xml:space="preserve">. Muitas dessas características se aplicam à pesquisa sobre peptídeos pouco estudados.</w:t>
      </w:r>
    </w:p>
    <w:bookmarkEnd w:id="155"/>
    <w:bookmarkStart w:id="157" w:name="conflitos-de-interesse"/>
    <w:p>
      <w:pPr>
        <w:pStyle w:val="Heading3"/>
      </w:pPr>
      <w:r>
        <w:t xml:space="preserve">Conflitos de interesse</w:t>
      </w:r>
    </w:p>
    <w:p>
      <w:pPr>
        <w:pStyle w:val="FirstParagraph"/>
      </w:pPr>
      <w:r>
        <w:t xml:space="preserve">Os grandes estudos de aprovação são quase sempre financiados pelos fabricantes. Isso é previsto pela lei e não é automaticamente um defeito – esses estudos seguem regras rígidas, são registrados previamente e examinados pelas autoridades. Ainda assim, vale a pena olhar o financiamento. Uma revisão Cochrane concluiu que estudos patrocinados pela indústria relataram com mais frequência resultados de eficácia favoráveis (risco relativo 1,27) e conclusões favoráveis (risco relativo 1,34) do que estudos com outro financiamento</w:t>
      </w:r>
      <w:r>
        <w:rPr>
          <w:rStyle w:val="FootnoteReference"/>
        </w:rPr>
        <w:footnoteReference w:id="156"/>
      </w:r>
      <w:r>
        <w:t xml:space="preserve">.</w:t>
      </w:r>
    </w:p>
    <w:p>
      <w:pPr>
        <w:pStyle w:val="BodyText"/>
      </w:pPr>
      <w:r>
        <w:t xml:space="preserve">Conflitos de interesse não existem apenas nas grandes farmacêuticas. Também pesquisadores que descobriram uma substância e detêm patentes, clínicas que vendem terapias com peptídeos ou influenciadores com cupons de desconto têm interesse em resultados positivos. Um sinal de alerta é quando quase todos os estudos sobre uma substância vêm de um único grupo de pesquisa e não foram confirmados por equipes independentes.</w:t>
      </w:r>
    </w:p>
    <w:bookmarkEnd w:id="157"/>
    <w:bookmarkStart w:id="159" w:name="o-problema-dos-estudos-desaparecidos"/>
    <w:p>
      <w:pPr>
        <w:pStyle w:val="Heading3"/>
      </w:pPr>
      <w:r>
        <w:t xml:space="preserve">O problema dos estudos desaparecidos</w:t>
      </w:r>
    </w:p>
    <w:p>
      <w:pPr>
        <w:pStyle w:val="FirstParagraph"/>
      </w:pPr>
      <w:r>
        <w:t xml:space="preserve">Nem todo estudo é publicado – e são sobretudo os decepcionantes que desaparecem. O quanto isso pode distorcer foi mostrado por uma análise sobre antidepressivos. Dos 74 estudos registrados na agência norte-americana de medicamentos FDA, 31% não foram publicados. Segundo a literatura publicada, 94% dos estudos eram positivos; segundo a análise da FDA, apenas 51%</w:t>
      </w:r>
      <w:r>
        <w:rPr>
          <w:rStyle w:val="FootnoteReference"/>
        </w:rPr>
        <w:footnoteReference w:id="158"/>
      </w:r>
      <w:r>
        <w:t xml:space="preserve">. Quem lê apenas as revistas científicas tem uma imagem otimista demais.</w:t>
      </w:r>
    </w:p>
    <w:bookmarkEnd w:id="159"/>
    <w:bookmarkStart w:id="161" w:name="registros-de-estudos"/>
    <w:p>
      <w:pPr>
        <w:pStyle w:val="Heading3"/>
      </w:pPr>
      <w:r>
        <w:t xml:space="preserve">Registros de estudos</w:t>
      </w:r>
    </w:p>
    <w:p>
      <w:pPr>
        <w:pStyle w:val="FirstParagraph"/>
      </w:pPr>
      <w:r>
        <w:t xml:space="preserve">Em resposta a esses achados, o Comitê Internacional de Editores de Revistas Médicas declarou em 2004 que os estudos clínicos precisam ser inscritos em um registro público antes de começar para poderem ser publicados depois</w:t>
      </w:r>
      <w:r>
        <w:rPr>
          <w:rStyle w:val="FootnoteReference"/>
        </w:rPr>
        <w:footnoteReference w:id="160"/>
      </w:r>
      <w:r>
        <w:t xml:space="preserve">. Hoje, os registros são uma ferramenta central:</w:t>
      </w:r>
    </w:p>
    <w:p>
      <w:pPr>
        <w:numPr>
          <w:ilvl w:val="0"/>
          <w:numId w:val="1019"/>
        </w:numPr>
        <w:pStyle w:val="Compact"/>
      </w:pPr>
      <w:r>
        <w:t xml:space="preserve">O</w:t>
      </w:r>
      <w:r>
        <w:t xml:space="preserve"> </w:t>
      </w:r>
      <w:r>
        <w:rPr>
          <w:bCs/>
          <w:b/>
        </w:rPr>
        <w:t xml:space="preserve">ClinicalTrials.gov</w:t>
      </w:r>
      <w:r>
        <w:t xml:space="preserve"> </w:t>
      </w:r>
      <w:r>
        <w:t xml:space="preserve">(EUA) é o maior registro. Cada estudo recebe um número no formato</w:t>
      </w:r>
      <w:r>
        <w:t xml:space="preserve"> </w:t>
      </w:r>
      <w:r>
        <w:t xml:space="preserve">“</w:t>
      </w:r>
      <w:r>
        <w:t xml:space="preserve">NCT</w:t>
      </w:r>
      <w:r>
        <w:t xml:space="preserve">”</w:t>
      </w:r>
      <w:r>
        <w:t xml:space="preserve"> </w:t>
      </w:r>
      <w:r>
        <w:t xml:space="preserve">mais oito dígitos. O estudo SELECT, por exemplo, tem o número NCT03574597.</w:t>
      </w:r>
    </w:p>
    <w:p>
      <w:pPr>
        <w:numPr>
          <w:ilvl w:val="0"/>
          <w:numId w:val="1019"/>
        </w:numPr>
        <w:pStyle w:val="Compact"/>
      </w:pPr>
      <w:r>
        <w:t xml:space="preserve">Na</w:t>
      </w:r>
      <w:r>
        <w:t xml:space="preserve"> </w:t>
      </w:r>
      <w:r>
        <w:rPr>
          <w:bCs/>
          <w:b/>
        </w:rPr>
        <w:t xml:space="preserve">UE</w:t>
      </w:r>
      <w:r>
        <w:t xml:space="preserve">, os ensaios clínicos são registrados no Clinical Trials Information System (CTIS) da Agência Europeia de Medicamentos; estudos mais antigos estão no EU Clinical Trials Register.</w:t>
      </w:r>
    </w:p>
    <w:p>
      <w:pPr>
        <w:numPr>
          <w:ilvl w:val="0"/>
          <w:numId w:val="1019"/>
        </w:numPr>
        <w:pStyle w:val="Compact"/>
      </w:pPr>
      <w:r>
        <w:t xml:space="preserve">A</w:t>
      </w:r>
      <w:r>
        <w:t xml:space="preserve"> </w:t>
      </w:r>
      <w:r>
        <w:rPr>
          <w:bCs/>
          <w:b/>
        </w:rPr>
        <w:t xml:space="preserve">Organização Mundial da Saúde</w:t>
      </w:r>
      <w:r>
        <w:t xml:space="preserve"> </w:t>
      </w:r>
      <w:r>
        <w:t xml:space="preserve">reúne muitos registros nacionais em um portal de busca (ICTRP).</w:t>
      </w:r>
    </w:p>
    <w:p>
      <w:pPr>
        <w:pStyle w:val="FirstParagraph"/>
      </w:pPr>
      <w:r>
        <w:t xml:space="preserve">No registro constam, entre outras coisas, o desenho planejado do estudo, o número de participantes, o desfecho primário e a situação. Assim é possível verificar se um estudo publicado relata os desfechos originalmente planejados – e se, para uma substância, estudos foram iniciados, mas nunca publicados. Para este livro, os registros foram usados principalmente para encontrar estudos em andamento. Importante: um registro não é um resultado. O fato de um estudo estar registrado não diz nada sobre se a substância funciona.</w:t>
      </w:r>
    </w:p>
    <w:bookmarkEnd w:id="161"/>
    <w:bookmarkStart w:id="162" w:name="outros-sinais-de-alerta"/>
    <w:p>
      <w:pPr>
        <w:pStyle w:val="Heading3"/>
      </w:pPr>
      <w:r>
        <w:t xml:space="preserve">Outros sinais de alerta</w:t>
      </w:r>
    </w:p>
    <w:p>
      <w:pPr>
        <w:numPr>
          <w:ilvl w:val="0"/>
          <w:numId w:val="1020"/>
        </w:numPr>
        <w:pStyle w:val="Compact"/>
      </w:pPr>
      <w:r>
        <w:rPr>
          <w:bCs/>
          <w:b/>
        </w:rPr>
        <w:t xml:space="preserve">Apenas um resumo de congresso ou um preprint.</w:t>
      </w:r>
      <w:r>
        <w:t xml:space="preserve"> </w:t>
      </w:r>
      <w:r>
        <w:t xml:space="preserve">Publicações prévias (por exemplo, no medRxiv) e trabalhos de congresso ainda não passaram por revisão completa.</w:t>
      </w:r>
    </w:p>
    <w:p>
      <w:pPr>
        <w:numPr>
          <w:ilvl w:val="0"/>
          <w:numId w:val="1020"/>
        </w:numPr>
        <w:pStyle w:val="Compact"/>
      </w:pPr>
      <w:r>
        <w:rPr>
          <w:bCs/>
          <w:b/>
        </w:rPr>
        <w:t xml:space="preserve">Revistas científicas com padrões questionáveis.</w:t>
      </w:r>
      <w:r>
        <w:t xml:space="preserve"> </w:t>
      </w:r>
      <w:r>
        <w:t xml:space="preserve">Algumas revistas publicam praticamente tudo mediante pagamento.</w:t>
      </w:r>
    </w:p>
    <w:p>
      <w:pPr>
        <w:numPr>
          <w:ilvl w:val="0"/>
          <w:numId w:val="1020"/>
        </w:numPr>
        <w:pStyle w:val="Compact"/>
      </w:pPr>
      <w:r>
        <w:rPr>
          <w:bCs/>
          <w:b/>
        </w:rPr>
        <w:t xml:space="preserve">Estudos que não podem ser encontrados.</w:t>
      </w:r>
      <w:r>
        <w:t xml:space="preserve"> </w:t>
      </w:r>
      <w:r>
        <w:t xml:space="preserve">Quando um estudo citado não é encontrado no PubMed nem em um registro, é preciso cautela.</w:t>
      </w:r>
    </w:p>
    <w:p>
      <w:pPr>
        <w:numPr>
          <w:ilvl w:val="0"/>
          <w:numId w:val="1020"/>
        </w:numPr>
        <w:pStyle w:val="Compact"/>
      </w:pPr>
      <w:r>
        <w:rPr>
          <w:bCs/>
          <w:b/>
        </w:rPr>
        <w:t xml:space="preserve">Transposição de doentes para saudáveis.</w:t>
      </w:r>
      <w:r>
        <w:t xml:space="preserve"> </w:t>
      </w:r>
      <w:r>
        <w:t xml:space="preserve">Uma substância que ajuda em uma determinada doença não precisa trazer benefício a pessoas saudáveis – nelas, a relação risco-benefício é completamente diferente.</w:t>
      </w:r>
    </w:p>
    <w:p>
      <w:pPr>
        <w:numPr>
          <w:ilvl w:val="0"/>
          <w:numId w:val="1020"/>
        </w:numPr>
        <w:pStyle w:val="Compact"/>
      </w:pPr>
      <w:r>
        <w:rPr>
          <w:bCs/>
          <w:b/>
        </w:rPr>
        <w:t xml:space="preserve">Transposição de uma substância para outra.</w:t>
      </w:r>
      <w:r>
        <w:t xml:space="preserve"> </w:t>
      </w:r>
      <w:r>
        <w:t xml:space="preserve">Resultados sobre a semaglutida não valem automaticamente para um produto do mercado cinza em cujo rótulo está escrito</w:t>
      </w:r>
      <w:r>
        <w:t xml:space="preserve"> </w:t>
      </w:r>
      <w:r>
        <w:t xml:space="preserve">“</w:t>
      </w:r>
      <w:r>
        <w:t xml:space="preserve">semaglutida</w:t>
      </w:r>
      <w:r>
        <w:t xml:space="preserve">”</w:t>
      </w:r>
      <w:r>
        <w:t xml:space="preserve"> </w:t>
      </w:r>
      <w:r>
        <w:t xml:space="preserve">– e estudos sobre a timosina beta-4 não valem automaticamente para o fragmento</w:t>
      </w:r>
      <w:r>
        <w:t xml:space="preserve"> </w:t>
      </w:r>
      <w:r>
        <w:t xml:space="preserve">“</w:t>
      </w:r>
      <w:r>
        <w:t xml:space="preserve">TB-500</w:t>
      </w:r>
      <w:r>
        <w:t xml:space="preserve">”</w:t>
      </w:r>
      <w:r>
        <w:t xml:space="preserve">.</w:t>
      </w:r>
    </w:p>
    <w:bookmarkEnd w:id="162"/>
    <w:bookmarkStart w:id="163" w:name="X2f9c32ee17368657caf481bf740a4adf30de080"/>
    <w:p>
      <w:pPr>
        <w:pStyle w:val="Heading3"/>
      </w:pPr>
      <w:r>
        <w:t xml:space="preserve">Dez perguntas para fazer a qualquer estudo</w:t>
      </w:r>
    </w:p>
    <w:p>
      <w:pPr>
        <w:numPr>
          <w:ilvl w:val="0"/>
          <w:numId w:val="1021"/>
        </w:numPr>
        <w:pStyle w:val="Compact"/>
      </w:pPr>
      <w:r>
        <w:t xml:space="preserve">Foram estudados seres humanos – ou animais ou células?</w:t>
      </w:r>
    </w:p>
    <w:p>
      <w:pPr>
        <w:numPr>
          <w:ilvl w:val="0"/>
          <w:numId w:val="1021"/>
        </w:numPr>
        <w:pStyle w:val="Compact"/>
      </w:pPr>
      <w:r>
        <w:t xml:space="preserve">Havia um grupo controle, e a alocação foi aleatória?</w:t>
      </w:r>
    </w:p>
    <w:p>
      <w:pPr>
        <w:numPr>
          <w:ilvl w:val="0"/>
          <w:numId w:val="1021"/>
        </w:numPr>
        <w:pStyle w:val="Compact"/>
      </w:pPr>
      <w:r>
        <w:t xml:space="preserve">O estudo foi cego?</w:t>
      </w:r>
    </w:p>
    <w:p>
      <w:pPr>
        <w:numPr>
          <w:ilvl w:val="0"/>
          <w:numId w:val="1021"/>
        </w:numPr>
        <w:pStyle w:val="Compact"/>
      </w:pPr>
      <w:r>
        <w:t xml:space="preserve">Quantos participantes havia, e por quanto tempo foram acompanhados?</w:t>
      </w:r>
    </w:p>
    <w:p>
      <w:pPr>
        <w:numPr>
          <w:ilvl w:val="0"/>
          <w:numId w:val="1021"/>
        </w:numPr>
        <w:pStyle w:val="Compact"/>
      </w:pPr>
      <w:r>
        <w:t xml:space="preserve">Quem foi estudado – doentes ou saudáveis, jovens ou idosos?</w:t>
      </w:r>
    </w:p>
    <w:p>
      <w:pPr>
        <w:numPr>
          <w:ilvl w:val="0"/>
          <w:numId w:val="1021"/>
        </w:numPr>
        <w:pStyle w:val="Compact"/>
      </w:pPr>
      <w:r>
        <w:t xml:space="preserve">Qual foi o desfecho primário: um desfecho duro ou um substituto?</w:t>
      </w:r>
    </w:p>
    <w:p>
      <w:pPr>
        <w:numPr>
          <w:ilvl w:val="0"/>
          <w:numId w:val="1021"/>
        </w:numPr>
        <w:pStyle w:val="Compact"/>
      </w:pPr>
      <w:r>
        <w:t xml:space="preserve">Qual foi o tamanho da diferença em termos absolutos, e não só relativos?</w:t>
      </w:r>
    </w:p>
    <w:p>
      <w:pPr>
        <w:numPr>
          <w:ilvl w:val="0"/>
          <w:numId w:val="1021"/>
        </w:numPr>
        <w:pStyle w:val="Compact"/>
      </w:pPr>
      <w:r>
        <w:t xml:space="preserve">Quantos interromperam, e quais efeitos colaterais ocorreram?</w:t>
      </w:r>
    </w:p>
    <w:p>
      <w:pPr>
        <w:numPr>
          <w:ilvl w:val="0"/>
          <w:numId w:val="1021"/>
        </w:numPr>
        <w:pStyle w:val="Compact"/>
      </w:pPr>
      <w:r>
        <w:t xml:space="preserve">Quem pagou o estudo, e os resultados foram confirmados de forma independente?</w:t>
      </w:r>
    </w:p>
    <w:p>
      <w:pPr>
        <w:numPr>
          <w:ilvl w:val="0"/>
          <w:numId w:val="1021"/>
        </w:numPr>
        <w:pStyle w:val="Compact"/>
      </w:pPr>
      <w:r>
        <w:t xml:space="preserve">O estudo foi registrado previamente, e os desfechos relatados coincidem com o registro?</w:t>
      </w:r>
    </w:p>
    <w:bookmarkEnd w:id="163"/>
    <w:bookmarkStart w:id="164" w:name="como-este-livro-classifica-a-evidência"/>
    <w:p>
      <w:pPr>
        <w:pStyle w:val="Heading3"/>
      </w:pPr>
      <w:r>
        <w:t xml:space="preserve">Como este livro classifica a evidência</w:t>
      </w:r>
    </w:p>
    <w:p>
      <w:pPr>
        <w:pStyle w:val="FirstParagraph"/>
      </w:pPr>
      <w:r>
        <w:t xml:space="preserve">Cada peptídeo da Parte II recebe um nível de evidência:</w:t>
      </w:r>
    </w:p>
    <w:p>
      <w:pPr>
        <w:numPr>
          <w:ilvl w:val="0"/>
          <w:numId w:val="1022"/>
        </w:numPr>
        <w:pStyle w:val="Compact"/>
      </w:pPr>
      <w:r>
        <w:rPr>
          <w:bCs/>
          <w:b/>
        </w:rPr>
        <w:t xml:space="preserve">A</w:t>
      </w:r>
      <w:r>
        <w:t xml:space="preserve">: vários grandes estudos randomizados em humanos, aprovação como medicamento.</w:t>
      </w:r>
    </w:p>
    <w:p>
      <w:pPr>
        <w:numPr>
          <w:ilvl w:val="0"/>
          <w:numId w:val="1022"/>
        </w:numPr>
        <w:pStyle w:val="Compact"/>
      </w:pPr>
      <w:r>
        <w:rPr>
          <w:bCs/>
          <w:b/>
        </w:rPr>
        <w:t xml:space="preserve">B</w:t>
      </w:r>
      <w:r>
        <w:t xml:space="preserve">: estudos randomizados isolados em humanos.</w:t>
      </w:r>
    </w:p>
    <w:p>
      <w:pPr>
        <w:numPr>
          <w:ilvl w:val="0"/>
          <w:numId w:val="1022"/>
        </w:numPr>
        <w:pStyle w:val="Compact"/>
      </w:pPr>
      <w:r>
        <w:rPr>
          <w:bCs/>
          <w:b/>
        </w:rPr>
        <w:t xml:space="preserve">C</w:t>
      </w:r>
      <w:r>
        <w:t xml:space="preserve">: apenas estudos em humanos pequenos ou não controlados.</w:t>
      </w:r>
    </w:p>
    <w:p>
      <w:pPr>
        <w:numPr>
          <w:ilvl w:val="0"/>
          <w:numId w:val="1022"/>
        </w:numPr>
        <w:pStyle w:val="Compact"/>
      </w:pPr>
      <w:r>
        <w:rPr>
          <w:bCs/>
          <w:b/>
        </w:rPr>
        <w:t xml:space="preserve">D</w:t>
      </w:r>
      <w:r>
        <w:t xml:space="preserve">: apenas estudos em animais e em laboratório.</w:t>
      </w:r>
    </w:p>
    <w:p>
      <w:pPr>
        <w:pStyle w:val="FirstParagraph"/>
      </w:pPr>
      <w:r>
        <w:t xml:space="preserve">O nível avalia a</w:t>
      </w:r>
      <w:r>
        <w:t xml:space="preserve"> </w:t>
      </w:r>
      <w:r>
        <w:rPr>
          <w:bCs/>
          <w:b/>
        </w:rPr>
        <w:t xml:space="preserve">quantidade e a qualidade dos dados em seres humanos</w:t>
      </w:r>
      <w:r>
        <w:t xml:space="preserve">, e não se uma substância é</w:t>
      </w:r>
      <w:r>
        <w:t xml:space="preserve"> </w:t>
      </w:r>
      <w:r>
        <w:t xml:space="preserve">“</w:t>
      </w:r>
      <w:r>
        <w:t xml:space="preserve">boa</w:t>
      </w:r>
      <w:r>
        <w:t xml:space="preserve">”</w:t>
      </w:r>
      <w:r>
        <w:t xml:space="preserve"> </w:t>
      </w:r>
      <w:r>
        <w:t xml:space="preserve">ou</w:t>
      </w:r>
      <w:r>
        <w:t xml:space="preserve"> </w:t>
      </w:r>
      <w:r>
        <w:t xml:space="preserve">“</w:t>
      </w:r>
      <w:r>
        <w:t xml:space="preserve">ruim</w:t>
      </w:r>
      <w:r>
        <w:t xml:space="preserve">”</w:t>
      </w:r>
      <w:r>
        <w:t xml:space="preserve">. Um peptídeo de nível A pode ter efeitos colaterais consideráveis, e um peptídeo de nível D pode muito bem ser útil no futuro – ele apenas ainda não foi suficientemente estudado. Além disso, a classificação vale para um uso específico: uma substância pode estar bem comprovada para uma doença e não ter comprovação nenhuma para outra.</w:t>
      </w:r>
    </w:p>
    <w:bookmarkEnd w:id="164"/>
    <w:bookmarkStart w:id="165" w:name="o-essencial-em-resumo-2"/>
    <w:p>
      <w:pPr>
        <w:pStyle w:val="Heading3"/>
      </w:pPr>
      <w:r>
        <w:t xml:space="preserve">O essencial em resumo</w:t>
      </w:r>
    </w:p>
    <w:p>
      <w:pPr>
        <w:numPr>
          <w:ilvl w:val="0"/>
          <w:numId w:val="1023"/>
        </w:numPr>
        <w:pStyle w:val="Compact"/>
      </w:pPr>
      <w:r>
        <w:t xml:space="preserve">Estudos de laboratório e em animais fornecem indícios sobre mecanismos, mas não comprovam benefício em seres humanos.</w:t>
      </w:r>
    </w:p>
    <w:p>
      <w:pPr>
        <w:numPr>
          <w:ilvl w:val="0"/>
          <w:numId w:val="1023"/>
        </w:numPr>
        <w:pStyle w:val="Compact"/>
      </w:pPr>
      <w:r>
        <w:t xml:space="preserve">A comparação randomizada, controlada e cega é o caminho mais confiável para comprovar um efeito.</w:t>
      </w:r>
    </w:p>
    <w:p>
      <w:pPr>
        <w:numPr>
          <w:ilvl w:val="0"/>
          <w:numId w:val="1023"/>
        </w:numPr>
        <w:pStyle w:val="Compact"/>
      </w:pPr>
      <w:r>
        <w:t xml:space="preserve">Desfechos substitutos, como valores laboratoriais, podem enganar; o que conta são os desfechos duros.</w:t>
      </w:r>
    </w:p>
    <w:p>
      <w:pPr>
        <w:numPr>
          <w:ilvl w:val="0"/>
          <w:numId w:val="1023"/>
        </w:numPr>
        <w:pStyle w:val="Compact"/>
      </w:pPr>
      <w:r>
        <w:t xml:space="preserve">Números relativos soam maiores que absolutos. Pergunte sempre pela frequência de partida.</w:t>
      </w:r>
    </w:p>
    <w:p>
      <w:pPr>
        <w:numPr>
          <w:ilvl w:val="0"/>
          <w:numId w:val="1023"/>
        </w:numPr>
        <w:pStyle w:val="Compact"/>
      </w:pPr>
      <w:r>
        <w:t xml:space="preserve">Financiamento, viés de publicação e falta de confirmação por grupos independentes podem distorcer o quadro. Os registros de estudos ajudam a verificar isso.</w:t>
      </w:r>
    </w:p>
    <w:bookmarkEnd w:id="165"/>
    <w:bookmarkEnd w:id="166"/>
    <w:bookmarkStart w:id="211" w:name="o-mercado-cinza"/>
    <w:p>
      <w:pPr>
        <w:pStyle w:val="Heading2"/>
      </w:pPr>
      <w:r>
        <w:t xml:space="preserve">O mercado cinza</w:t>
      </w:r>
    </w:p>
    <w:p>
      <w:pPr>
        <w:pStyle w:val="FirstParagraph"/>
      </w:pPr>
      <w:r>
        <w:t xml:space="preserve">Quem pesquisa peptídeos na internet logo chega a lojas on-line com páginas de aparência profissional, fotos de laboratório e certificados de pureza. São oferecidos frascos com pó branco: BPC-157, TB-500, ipamorelina, melanotan II – e, cada vez mais, também semaglutida, tirzepatida ou substâncias ainda nem aprovadas, como a retatrutida. Quase sempre há em algum lugar o aviso</w:t>
      </w:r>
      <w:r>
        <w:t xml:space="preserve"> </w:t>
      </w:r>
      <w:r>
        <w:t xml:space="preserve">“</w:t>
      </w:r>
      <w:r>
        <w:t xml:space="preserve">Research Use Only</w:t>
      </w:r>
      <w:r>
        <w:t xml:space="preserve">”</w:t>
      </w:r>
      <w:r>
        <w:t xml:space="preserve"> </w:t>
      </w:r>
      <w:r>
        <w:t xml:space="preserve">ou</w:t>
      </w:r>
      <w:r>
        <w:t xml:space="preserve"> </w:t>
      </w:r>
      <w:r>
        <w:t xml:space="preserve">“</w:t>
      </w:r>
      <w:r>
        <w:t xml:space="preserve">not for human consumption</w:t>
      </w:r>
      <w:r>
        <w:t xml:space="preserve">”</w:t>
      </w:r>
      <w:r>
        <w:t xml:space="preserve"> </w:t>
      </w:r>
      <w:r>
        <w:t xml:space="preserve">– apenas para fins de pesquisa, não para uso em seres humanos.</w:t>
      </w:r>
    </w:p>
    <w:p>
      <w:pPr>
        <w:pStyle w:val="BodyText"/>
      </w:pPr>
      <w:r>
        <w:t xml:space="preserve">Este capítulo descreve o que se sabe sobre esse mercado: a partir de análises laboratoriais de produtos comprados e apreendidos, de relatos de caso de intoxicações e de análises de notificações de efeitos colaterais. Ele deve ajudar você a avaliar os riscos de forma realista. Fontes de compra nunca são mencionadas neste livro.</w:t>
      </w:r>
    </w:p>
    <w:bookmarkStart w:id="169" w:name="o-que-são-research-peptides"/>
    <w:p>
      <w:pPr>
        <w:pStyle w:val="Heading3"/>
      </w:pPr>
      <w:r>
        <w:t xml:space="preserve">O que são</w:t>
      </w:r>
      <w:r>
        <w:t xml:space="preserve"> </w:t>
      </w:r>
      <w:r>
        <w:t xml:space="preserve">“</w:t>
      </w:r>
      <w:r>
        <w:t xml:space="preserve">Research Peptides</w:t>
      </w:r>
      <w:r>
        <w:t xml:space="preserve">”</w:t>
      </w:r>
    </w:p>
    <w:p>
      <w:pPr>
        <w:pStyle w:val="FirstParagraph"/>
      </w:pPr>
      <w:r>
        <w:t xml:space="preserve">São chamadas de</w:t>
      </w:r>
      <w:r>
        <w:t xml:space="preserve"> </w:t>
      </w:r>
      <w:r>
        <w:t xml:space="preserve">“</w:t>
      </w:r>
      <w:r>
        <w:t xml:space="preserve">Research Peptides</w:t>
      </w:r>
      <w:r>
        <w:t xml:space="preserve">”</w:t>
      </w:r>
      <w:r>
        <w:t xml:space="preserve"> </w:t>
      </w:r>
      <w:r>
        <w:t xml:space="preserve">ou</w:t>
      </w:r>
      <w:r>
        <w:t xml:space="preserve"> </w:t>
      </w:r>
      <w:r>
        <w:t xml:space="preserve">“</w:t>
      </w:r>
      <w:r>
        <w:t xml:space="preserve">Research Chemicals</w:t>
      </w:r>
      <w:r>
        <w:t xml:space="preserve">”</w:t>
      </w:r>
      <w:r>
        <w:t xml:space="preserve"> </w:t>
      </w:r>
      <w:r>
        <w:t xml:space="preserve">as substâncias que oficialmente só são vendidas a laboratórios para fins de pesquisa. A inscrição</w:t>
      </w:r>
      <w:r>
        <w:t xml:space="preserve"> </w:t>
      </w:r>
      <w:r>
        <w:t xml:space="preserve">“</w:t>
      </w:r>
      <w:r>
        <w:t xml:space="preserve">não destinado ao uso em seres humanos</w:t>
      </w:r>
      <w:r>
        <w:t xml:space="preserve">”</w:t>
      </w:r>
      <w:r>
        <w:t xml:space="preserve"> </w:t>
      </w:r>
      <w:r>
        <w:t xml:space="preserve">pretende proteger juridicamente a venda: um produto que não é oferecido como medicamento – segundo a lógica dos vendedores – também não precisa de aprovação como medicamento. Na prática, porém, muitas dessas lojas se dirigem visivelmente a pessoas físicas que querem injetar as substâncias em si mesmas. Se essa construção se sustenta juridicamente é discutido no próximo capítulo; em muitos casos, não se sustenta.</w:t>
      </w:r>
    </w:p>
    <w:p>
      <w:pPr>
        <w:pStyle w:val="BodyText"/>
      </w:pPr>
      <w:r>
        <w:t xml:space="preserve">Um artigo de revisão descreve o padrão usando como exemplo a semaglutida e a tirzepatida: fabricantes vendem frascos</w:t>
      </w:r>
      <w:r>
        <w:t xml:space="preserve"> </w:t>
      </w:r>
      <w:r>
        <w:t xml:space="preserve">“</w:t>
      </w:r>
      <w:r>
        <w:t xml:space="preserve">apenas para fins de pesquisa</w:t>
      </w:r>
      <w:r>
        <w:t xml:space="preserve">”</w:t>
      </w:r>
      <w:r>
        <w:t xml:space="preserve"> </w:t>
      </w:r>
      <w:r>
        <w:t xml:space="preserve">ou</w:t>
      </w:r>
      <w:r>
        <w:t xml:space="preserve"> </w:t>
      </w:r>
      <w:r>
        <w:t xml:space="preserve">“</w:t>
      </w:r>
      <w:r>
        <w:t xml:space="preserve">não destinados ao consumo humano</w:t>
      </w:r>
      <w:r>
        <w:t xml:space="preserve">”</w:t>
      </w:r>
      <w:r>
        <w:t xml:space="preserve"> </w:t>
      </w:r>
      <w:r>
        <w:t xml:space="preserve">diretamente aos consumidores, muitas vezes sem os materiais e o conhecimento necessários para dissolver, aspirar e injetar a substância. Com isso, médicas, médicos e farmácias são contornados – e, com eles, a verificação de interações e o acompanhamento médico</w:t>
      </w:r>
      <w:r>
        <w:rPr>
          <w:rStyle w:val="FootnoteReference"/>
        </w:rPr>
        <w:footnoteReference w:id="167"/>
      </w:r>
      <w:r>
        <w:t xml:space="preserve">.</w:t>
      </w:r>
    </w:p>
    <w:p>
      <w:pPr>
        <w:pStyle w:val="BodyText"/>
      </w:pPr>
      <w:r>
        <w:t xml:space="preserve">O quão difícil é o uso para leigos foi investigado por um pequeno estudo em uma universidade norte-americana. Vinte adultos deveriam, com base em informações da internet, executar os passos necessários para dissolver um pó de semaglutida desse tipo e preparar uma seringa. Dos 34 passos, executaram corretamente em média 15. Os pesquisadores observaram erros que poderiam levar a dose errada, ferimentos com a agulha ou infecções</w:t>
      </w:r>
      <w:r>
        <w:rPr>
          <w:rStyle w:val="FootnoteReference"/>
        </w:rPr>
        <w:footnoteReference w:id="168"/>
      </w:r>
      <w:r>
        <w:t xml:space="preserve">.</w:t>
      </w:r>
    </w:p>
    <w:bookmarkEnd w:id="169"/>
    <w:bookmarkStart w:id="184" w:name="X26db98b97a231af93ce4fb16945cad016565c0d"/>
    <w:p>
      <w:pPr>
        <w:pStyle w:val="Heading3"/>
      </w:pPr>
      <w:r>
        <w:t xml:space="preserve">O que há dentro dos frascos: análises laboratoriais</w:t>
      </w:r>
    </w:p>
    <w:p>
      <w:pPr>
        <w:pStyle w:val="FirstParagraph"/>
      </w:pPr>
      <w:r>
        <w:t xml:space="preserve">As informações mais confiáveis sobre produtos do mercado cinza vêm de análises laboratoriais. Elas são feitas principalmente por laboratórios antidoping, agências reguladoras de medicamentos e alguns grupos de pesquisa, que compram produtos de forma direcionada ou os recebem da alfândega e da polícia.</w:t>
      </w:r>
    </w:p>
    <w:bookmarkStart w:id="171" w:name="semaglutida-de-farmácias-on-line-ilegais"/>
    <w:p>
      <w:pPr>
        <w:pStyle w:val="Heading4"/>
      </w:pPr>
      <w:r>
        <w:t xml:space="preserve">Semaglutida de farmácias on-line ilegais</w:t>
      </w:r>
    </w:p>
    <w:p>
      <w:pPr>
        <w:pStyle w:val="FirstParagraph"/>
      </w:pPr>
      <w:r>
        <w:t xml:space="preserve">Uma investigação particularmente minuciosa combinou uma análise de mercado com compras de teste</w:t>
      </w:r>
      <w:r>
        <w:rPr>
          <w:rStyle w:val="FootnoteReference"/>
        </w:rPr>
        <w:footnoteReference w:id="170"/>
      </w:r>
      <w:r>
        <w:t xml:space="preserve">. Os pesquisadores analisaram 1.080 links de mecanismos de busca. 317 levavam a farmácias on-line, das quais 134 a 59 sites ilegais diferentes. Os 30 principais domínios ligados a farmácias ilegais registraram mais de 4,7 milhões de visitas em três meses de 2023.</w:t>
      </w:r>
    </w:p>
    <w:p>
      <w:pPr>
        <w:pStyle w:val="BodyText"/>
      </w:pPr>
      <w:r>
        <w:t xml:space="preserve">Compras de teste foram feitas com seis vendedores ilegais. Os resultados:</w:t>
      </w:r>
    </w:p>
    <w:p>
      <w:pPr>
        <w:numPr>
          <w:ilvl w:val="0"/>
          <w:numId w:val="1024"/>
        </w:numPr>
        <w:pStyle w:val="Compact"/>
      </w:pPr>
      <w:r>
        <w:t xml:space="preserve">Três canetas de Ozempic encomendadas nunca chegaram – tratava-se de golpe sem entrega.</w:t>
      </w:r>
    </w:p>
    <w:p>
      <w:pPr>
        <w:numPr>
          <w:ilvl w:val="0"/>
          <w:numId w:val="1024"/>
        </w:numPr>
        <w:pStyle w:val="Compact"/>
      </w:pPr>
      <w:r>
        <w:t xml:space="preserve">Três frascos com pó foram entregues. Todos foram considerados provavelmente de qualidade inferior ou falsificados; na inspeção visual, não cumpriam de 59 a 63% dos critérios.</w:t>
      </w:r>
    </w:p>
    <w:p>
      <w:pPr>
        <w:numPr>
          <w:ilvl w:val="0"/>
          <w:numId w:val="1024"/>
        </w:numPr>
        <w:pStyle w:val="Compact"/>
      </w:pPr>
      <w:r>
        <w:t xml:space="preserve">O teor de semaglutida estava de 28,6 a 38,7%</w:t>
      </w:r>
      <w:r>
        <w:t xml:space="preserve"> </w:t>
      </w:r>
      <w:r>
        <w:rPr>
          <w:bCs/>
          <w:b/>
        </w:rPr>
        <w:t xml:space="preserve">acima</w:t>
      </w:r>
      <w:r>
        <w:t xml:space="preserve"> </w:t>
      </w:r>
      <w:r>
        <w:t xml:space="preserve">da quantidade declarada.</w:t>
      </w:r>
    </w:p>
    <w:p>
      <w:pPr>
        <w:numPr>
          <w:ilvl w:val="0"/>
          <w:numId w:val="1024"/>
        </w:numPr>
        <w:pStyle w:val="Compact"/>
      </w:pPr>
      <w:r>
        <w:t xml:space="preserve">A pureza medida foi de apenas 7,7 a 14,4% – em vez dos 99% prometidos no rótulo.</w:t>
      </w:r>
    </w:p>
    <w:p>
      <w:pPr>
        <w:numPr>
          <w:ilvl w:val="0"/>
          <w:numId w:val="1024"/>
        </w:numPr>
        <w:pStyle w:val="Compact"/>
      </w:pPr>
      <w:r>
        <w:t xml:space="preserve">Não foram encontrados germes vivos, mas em</w:t>
      </w:r>
      <w:r>
        <w:t xml:space="preserve"> </w:t>
      </w:r>
      <w:r>
        <w:rPr>
          <w:bCs/>
          <w:b/>
        </w:rPr>
        <w:t xml:space="preserve">todas</w:t>
      </w:r>
      <w:r>
        <w:t xml:space="preserve"> </w:t>
      </w:r>
      <w:r>
        <w:t xml:space="preserve">as amostras havia endotoxinas detectáveis.</w:t>
      </w:r>
    </w:p>
    <w:p>
      <w:pPr>
        <w:pStyle w:val="FirstParagraph"/>
      </w:pPr>
      <w:r>
        <w:t xml:space="preserve">Esse estudo mostra vários problemas típicos ao mesmo tempo: indicações de quantidade erradas, baixa pureza, contaminação e simples golpe.</w:t>
      </w:r>
    </w:p>
    <w:bookmarkEnd w:id="171"/>
    <w:bookmarkStart w:id="173" w:name="X6d69fa6588ccdd51990902695c9198b86de314c"/>
    <w:p>
      <w:pPr>
        <w:pStyle w:val="Heading4"/>
      </w:pPr>
      <w:r>
        <w:t xml:space="preserve">Produtos de imitação em comparação com o original</w:t>
      </w:r>
    </w:p>
    <w:p>
      <w:pPr>
        <w:pStyle w:val="FirstParagraph"/>
      </w:pPr>
      <w:r>
        <w:t xml:space="preserve">Outra investigação analisou 16 produtos de imitação de semaglutida injetável e 8 de semaglutida oral, além de 2 imitações de liraglutida, e os comparou com as preparações originais</w:t>
      </w:r>
      <w:r>
        <w:rPr>
          <w:rStyle w:val="FootnoteReference"/>
        </w:rPr>
        <w:footnoteReference w:id="172"/>
      </w:r>
      <w:r>
        <w:t xml:space="preserve">. Foram encontradas novas impurezas, entre elas moléculas de proteína maiores, metais em traços e resíduos de solventes. Várias preparações orais continham bem menos semaglutida do que o declarado. Além disso, foram encontradas estruturas que, segundo previsão por computador, poderiam ser reconhecidas pelo sistema imunológico. Como o estudo é do fabricante das preparações originais, deve ser lido com a devida cautela; os problemas descritos, porém, coincidem com achados independentes.</w:t>
      </w:r>
    </w:p>
    <w:bookmarkEnd w:id="173"/>
    <w:bookmarkStart w:id="175" w:name="melanotan-ii-de-lojas-on-line"/>
    <w:p>
      <w:pPr>
        <w:pStyle w:val="Heading4"/>
      </w:pPr>
      <w:r>
        <w:t xml:space="preserve">Melanotan II de lojas on-line</w:t>
      </w:r>
    </w:p>
    <w:p>
      <w:pPr>
        <w:pStyle w:val="FirstParagraph"/>
      </w:pPr>
      <w:r>
        <w:t xml:space="preserve">No caso do peptídeo bronzeador melanotan II, um grupo de pesquisa examinou frascos de três lojas on-line. Todas as lojas indicavam 10 mg por frasco; na realidade, os frascos continham entre 4,32 e 8,84 mg. Nos produtos de duas lojas foram encontradas impurezas desconhecidas de 4,1 a 5,9%</w:t>
      </w:r>
      <w:r>
        <w:rPr>
          <w:rStyle w:val="FootnoteReference"/>
        </w:rPr>
        <w:footnoteReference w:id="174"/>
      </w:r>
      <w:r>
        <w:t xml:space="preserve">.</w:t>
      </w:r>
    </w:p>
    <w:bookmarkEnd w:id="175"/>
    <w:bookmarkStart w:id="183" w:name="produtos-apreendidos-no-meio-do-doping"/>
    <w:p>
      <w:pPr>
        <w:pStyle w:val="Heading4"/>
      </w:pPr>
      <w:r>
        <w:t xml:space="preserve">Produtos apreendidos no meio do doping</w:t>
      </w:r>
    </w:p>
    <w:p>
      <w:pPr>
        <w:pStyle w:val="FirstParagraph"/>
      </w:pPr>
      <w:r>
        <w:t xml:space="preserve">O laboratório antidoping de Colônia analisa há anos produtos apreendidos. Em um relatório sobre o ano de 2009, descreveu, entre outras coisas, frascos rotulados como hormônio do crescimento sem nenhum conteúdo farmacologicamente ativo, Long-R3-IGF-1 não purificado e suplementos alimentares que continham o peptídeo liberador do hormônio do crescimento GHRP-2</w:t>
      </w:r>
      <w:r>
        <w:rPr>
          <w:rStyle w:val="FootnoteReference"/>
        </w:rPr>
        <w:footnoteReference w:id="176"/>
      </w:r>
      <w:r>
        <w:t xml:space="preserve">. Em comprimidos oferecidos como suplemento alimentar de venda livre, foram medidos cerca de 50 microgramas de GHRP-2 por comprimido</w:t>
      </w:r>
      <w:r>
        <w:rPr>
          <w:rStyle w:val="FootnoteReference"/>
        </w:rPr>
        <w:footnoteReference w:id="177"/>
      </w:r>
      <w:r>
        <w:t xml:space="preserve"> </w:t>
      </w:r>
      <w:r>
        <w:t xml:space="preserve">– uma substância proibida no esporte e sem aprovação.</w:t>
      </w:r>
    </w:p>
    <w:p>
      <w:pPr>
        <w:pStyle w:val="BodyText"/>
      </w:pPr>
      <w:r>
        <w:t xml:space="preserve">Entre 2010 e 2013, o mesmo laboratório analisou outros 337 produtos. Hormônios peptídicos e fatores de crescimento responderam por 12,8%, sobretudo hormônio do crescimento e peptídeos liberadores do hormônio do crescimento. Entre os achados chamativos estavam a timosina beta-4 e uma proteína de fusão com efeito biológico desconhecido</w:t>
      </w:r>
      <w:r>
        <w:rPr>
          <w:rStyle w:val="FootnoteReference"/>
        </w:rPr>
        <w:footnoteReference w:id="178"/>
      </w:r>
      <w:r>
        <w:t xml:space="preserve">. Na Noruega, 28% dos produtos apreendidos e analisados entre 2011 e 2014 continham substâncias dopantes à base de peptídeos ou proteínas</w:t>
      </w:r>
      <w:r>
        <w:rPr>
          <w:rStyle w:val="FootnoteReference"/>
        </w:rPr>
        <w:footnoteReference w:id="179"/>
      </w:r>
      <w:r>
        <w:t xml:space="preserve">.</w:t>
      </w:r>
    </w:p>
    <w:p>
      <w:pPr>
        <w:pStyle w:val="BodyText"/>
      </w:pPr>
      <w:r>
        <w:t xml:space="preserve">Um relatório posterior de Colônia descreve variantes modificadas de peptídeos conhecidos que não existem como medicamentos: Gly-GHRP-6, Gly-GHRP-2 e Gly-ipamorelina – ou seja, os respectivos peptídeos com um aminoácido glicina adicional no início – além de uma forma ligeiramente alterada do hormônio do crescimento</w:t>
      </w:r>
      <w:r>
        <w:rPr>
          <w:rStyle w:val="FootnoteReference"/>
        </w:rPr>
        <w:footnoteReference w:id="180"/>
      </w:r>
      <w:r>
        <w:t xml:space="preserve">. Essas modificações talvez sejam tentativas de driblar os testes antidoping; seu efeito e sua segurança em seres humanos são desconhecidos.</w:t>
      </w:r>
    </w:p>
    <w:p>
      <w:pPr>
        <w:pStyle w:val="BodyText"/>
      </w:pPr>
      <w:r>
        <w:t xml:space="preserve">O BPC-157 também foi identificado em frascos apreendidos. Um grupo de pesquisa desenvolveu, em seguida, um método de detecção para amostras de urina</w:t>
      </w:r>
      <w:r>
        <w:rPr>
          <w:rStyle w:val="FootnoteReference"/>
        </w:rPr>
        <w:footnoteReference w:id="181"/>
      </w:r>
      <w:r>
        <w:t xml:space="preserve">.</w:t>
      </w:r>
    </w:p>
    <w:p>
      <w:pPr>
        <w:pStyle w:val="BodyText"/>
      </w:pPr>
      <w:r>
        <w:t xml:space="preserve">Um artigo de revisão resume que, em medicamentos peptídicos e proteicos falsificados, foram encontrados repetidamente a substância errada, a quantidade errada ou nenhuma substância ativa, que impurezas tóxicas e subprodutos da fabricação causaram danos à saúde e que, em apreensões, apareceram também substâncias que haviam fracassado em estudos clínicos ou ainda estavam na fase de experimentação animal</w:t>
      </w:r>
      <w:r>
        <w:rPr>
          <w:rStyle w:val="FootnoteReference"/>
        </w:rPr>
        <w:footnoteReference w:id="182"/>
      </w:r>
      <w:r>
        <w:t xml:space="preserve">.</w:t>
      </w:r>
    </w:p>
    <w:bookmarkEnd w:id="183"/>
    <w:bookmarkEnd w:id="184"/>
    <w:bookmarkStart w:id="185" w:name="Xb6802d7b2a804ac8b12ffa2d2effdfe8c6f8494"/>
    <w:p>
      <w:pPr>
        <w:pStyle w:val="Heading3"/>
      </w:pPr>
      <w:r>
        <w:t xml:space="preserve">Os problemas típicos de qualidade em visão geral</w:t>
      </w:r>
    </w:p>
    <w:p>
      <w:pPr>
        <w:pStyle w:val="FirstParagraph"/>
      </w:pPr>
      <w:r>
        <w:t xml:space="preserve">Dessas análises resulta um quadro recorrente: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Problema</w:t>
            </w:r>
          </w:p>
        </w:tc>
        <w:tc>
          <w:tcPr/>
          <w:p>
            <w:pPr>
              <w:pStyle w:val="Compact"/>
              <w:jc w:val="left"/>
            </w:pPr>
            <w:r>
              <w:t xml:space="preserve">Consequência</w:t>
            </w:r>
          </w:p>
        </w:tc>
        <w:tc>
          <w:tcPr/>
          <w:p>
            <w:pPr>
              <w:pStyle w:val="Compact"/>
              <w:jc w:val="left"/>
            </w:pPr>
            <w:r>
              <w:t xml:space="preserve">Exemplo</w:t>
            </w:r>
          </w:p>
        </w:tc>
      </w:tr>
      <w:tr>
        <w:tc>
          <w:tcPr/>
          <w:p>
            <w:pPr>
              <w:pStyle w:val="Compact"/>
              <w:jc w:val="left"/>
            </w:pPr>
            <w:r>
              <w:t xml:space="preserve">Substância ativa em excesso</w:t>
            </w:r>
          </w:p>
        </w:tc>
        <w:tc>
          <w:tcPr/>
          <w:p>
            <w:pPr>
              <w:pStyle w:val="Compact"/>
              <w:jc w:val="left"/>
            </w:pPr>
            <w:r>
              <w:t xml:space="preserve">superdosagem, mais efeitos colaterais</w:t>
            </w:r>
          </w:p>
        </w:tc>
        <w:tc>
          <w:tcPr/>
          <w:p>
            <w:pPr>
              <w:pStyle w:val="Compact"/>
              <w:jc w:val="left"/>
            </w:pPr>
            <w:r>
              <w:t xml:space="preserve">semaglutida até 38,7% acima do declarado</w:t>
            </w:r>
          </w:p>
        </w:tc>
      </w:tr>
      <w:tr>
        <w:tc>
          <w:tcPr/>
          <w:p>
            <w:pPr>
              <w:pStyle w:val="Compact"/>
              <w:jc w:val="left"/>
            </w:pPr>
            <w:r>
              <w:t xml:space="preserve">Substância ativa insuficiente</w:t>
            </w:r>
          </w:p>
        </w:tc>
        <w:tc>
          <w:tcPr/>
          <w:p>
            <w:pPr>
              <w:pStyle w:val="Compact"/>
              <w:jc w:val="left"/>
            </w:pPr>
            <w:r>
              <w:t xml:space="preserve">ineficácia</w:t>
            </w:r>
          </w:p>
        </w:tc>
        <w:tc>
          <w:tcPr/>
          <w:p>
            <w:pPr>
              <w:pStyle w:val="Compact"/>
              <w:jc w:val="left"/>
            </w:pPr>
            <w:r>
              <w:t xml:space="preserve">melanotan II 4,32 em vez de 10 mg</w:t>
            </w:r>
          </w:p>
        </w:tc>
      </w:tr>
      <w:tr>
        <w:tc>
          <w:tcPr/>
          <w:p>
            <w:pPr>
              <w:pStyle w:val="Compact"/>
              <w:jc w:val="left"/>
            </w:pPr>
            <w:r>
              <w:t xml:space="preserve">Substância ativa errada</w:t>
            </w:r>
          </w:p>
        </w:tc>
        <w:tc>
          <w:tcPr/>
          <w:p>
            <w:pPr>
              <w:pStyle w:val="Compact"/>
              <w:jc w:val="left"/>
            </w:pPr>
            <w:r>
              <w:t xml:space="preserve">efeito imprevisível, às vezes com risco de vida</w:t>
            </w:r>
          </w:p>
        </w:tc>
        <w:tc>
          <w:tcPr/>
          <w:p>
            <w:pPr>
              <w:pStyle w:val="Compact"/>
              <w:jc w:val="left"/>
            </w:pPr>
            <w:r>
              <w:t xml:space="preserve">insulina em vez de semaglutida</w:t>
            </w:r>
          </w:p>
        </w:tc>
      </w:tr>
      <w:tr>
        <w:tc>
          <w:tcPr/>
          <w:p>
            <w:pPr>
              <w:pStyle w:val="Compact"/>
              <w:jc w:val="left"/>
            </w:pPr>
            <w:r>
              <w:t xml:space="preserve">Nenhuma substância ativa</w:t>
            </w:r>
          </w:p>
        </w:tc>
        <w:tc>
          <w:tcPr/>
          <w:p>
            <w:pPr>
              <w:pStyle w:val="Compact"/>
              <w:jc w:val="left"/>
            </w:pPr>
            <w:r>
              <w:t xml:space="preserve">golpe, ineficácia</w:t>
            </w:r>
          </w:p>
        </w:tc>
        <w:tc>
          <w:tcPr/>
          <w:p>
            <w:pPr>
              <w:pStyle w:val="Compact"/>
              <w:jc w:val="left"/>
            </w:pPr>
            <w:r>
              <w:t xml:space="preserve">frascos vazios de</w:t>
            </w:r>
            <w:r>
              <w:t xml:space="preserve"> </w:t>
            </w:r>
            <w:r>
              <w:t xml:space="preserve">“</w:t>
            </w:r>
            <w:r>
              <w:t xml:space="preserve">hormônio do crescimento</w:t>
            </w:r>
            <w:r>
              <w:t xml:space="preserve">”</w:t>
            </w:r>
          </w:p>
        </w:tc>
      </w:tr>
      <w:tr>
        <w:tc>
          <w:tcPr/>
          <w:p>
            <w:pPr>
              <w:pStyle w:val="Compact"/>
              <w:jc w:val="left"/>
            </w:pPr>
            <w:r>
              <w:t xml:space="preserve">Impurezas</w:t>
            </w:r>
          </w:p>
        </w:tc>
        <w:tc>
          <w:tcPr/>
          <w:p>
            <w:pPr>
              <w:pStyle w:val="Compact"/>
              <w:jc w:val="left"/>
            </w:pPr>
            <w:r>
              <w:t xml:space="preserve">reações imunológicas, efeito tóxico</w:t>
            </w:r>
          </w:p>
        </w:tc>
        <w:tc>
          <w:tcPr/>
          <w:p>
            <w:pPr>
              <w:pStyle w:val="Compact"/>
              <w:jc w:val="left"/>
            </w:pPr>
            <w:r>
              <w:t xml:space="preserve">subprodutos da síntese</w:t>
            </w:r>
          </w:p>
        </w:tc>
      </w:tr>
      <w:tr>
        <w:tc>
          <w:tcPr/>
          <w:p>
            <w:pPr>
              <w:pStyle w:val="Compact"/>
              <w:jc w:val="left"/>
            </w:pPr>
            <w:r>
              <w:t xml:space="preserve">Endotoxinas</w:t>
            </w:r>
          </w:p>
        </w:tc>
        <w:tc>
          <w:tcPr/>
          <w:p>
            <w:pPr>
              <w:pStyle w:val="Compact"/>
              <w:jc w:val="left"/>
            </w:pPr>
            <w:r>
              <w:t xml:space="preserve">febre, inflamação, reações circulatórias</w:t>
            </w:r>
          </w:p>
        </w:tc>
        <w:tc>
          <w:tcPr/>
          <w:p>
            <w:pPr>
              <w:pStyle w:val="Compact"/>
              <w:jc w:val="left"/>
            </w:pPr>
            <w:r>
              <w:t xml:space="preserve">em todas as compras de teste de semaglutida</w:t>
            </w:r>
          </w:p>
        </w:tc>
      </w:tr>
    </w:tbl>
    <w:bookmarkEnd w:id="185"/>
    <w:bookmarkStart w:id="187" w:name="X0bd7faffd895cfeafc629a2ff4492c353fd784f"/>
    <w:p>
      <w:pPr>
        <w:pStyle w:val="Heading3"/>
      </w:pPr>
      <w:r>
        <w:t xml:space="preserve">Pureza: o que a porcentagem significa – e o que não significa</w:t>
      </w:r>
    </w:p>
    <w:p>
      <w:pPr>
        <w:pStyle w:val="FirstParagraph"/>
      </w:pPr>
      <w:r>
        <w:t xml:space="preserve">Muitos vendedores anunciam</w:t>
      </w:r>
      <w:r>
        <w:t xml:space="preserve"> </w:t>
      </w:r>
      <w:r>
        <w:t xml:space="preserve">“</w:t>
      </w:r>
      <w:r>
        <w:t xml:space="preserve">99% de pureza</w:t>
      </w:r>
      <w:r>
        <w:t xml:space="preserve">”</w:t>
      </w:r>
      <w:r>
        <w:t xml:space="preserve"> </w:t>
      </w:r>
      <w:r>
        <w:t xml:space="preserve">e anexam certificados de análise. Algumas observações:</w:t>
      </w:r>
    </w:p>
    <w:p>
      <w:pPr>
        <w:numPr>
          <w:ilvl w:val="0"/>
          <w:numId w:val="1025"/>
        </w:numPr>
        <w:pStyle w:val="Compact"/>
      </w:pPr>
      <w:r>
        <w:rPr>
          <w:bCs/>
          <w:b/>
        </w:rPr>
        <w:t xml:space="preserve">A pureza mede apenas certas impurezas.</w:t>
      </w:r>
      <w:r>
        <w:t xml:space="preserve"> </w:t>
      </w:r>
      <w:r>
        <w:t xml:space="preserve">Uma medição típica (cromatografia líquida de alta eficiência, HPLC) mostra que porcentagem dos sinais de peptídeo mensuráveis corresponde à substância desejada. Muitas vezes não são detectados sais, água, resíduos de solventes, metais ou endotoxinas.</w:t>
      </w:r>
    </w:p>
    <w:p>
      <w:pPr>
        <w:numPr>
          <w:ilvl w:val="0"/>
          <w:numId w:val="1025"/>
        </w:numPr>
        <w:pStyle w:val="Compact"/>
      </w:pPr>
      <w:r>
        <w:rPr>
          <w:bCs/>
          <w:b/>
        </w:rPr>
        <w:t xml:space="preserve">A pureza não diz nada sobre a quantidade.</w:t>
      </w:r>
      <w:r>
        <w:t xml:space="preserve"> </w:t>
      </w:r>
      <w:r>
        <w:t xml:space="preserve">Um frasco pode conter uma substância muito pura, mas na quantidade errada.</w:t>
      </w:r>
    </w:p>
    <w:p>
      <w:pPr>
        <w:numPr>
          <w:ilvl w:val="0"/>
          <w:numId w:val="1025"/>
        </w:numPr>
        <w:pStyle w:val="Compact"/>
      </w:pPr>
      <w:r>
        <w:rPr>
          <w:bCs/>
          <w:b/>
        </w:rPr>
        <w:t xml:space="preserve">A pureza não diz nada sobre a esterilidade.</w:t>
      </w:r>
      <w:r>
        <w:t xml:space="preserve"> </w:t>
      </w:r>
      <w:r>
        <w:t xml:space="preserve">Um pó pode ser quimicamente puro e ainda assim estar contaminado com bactérias ou componentes bacterianos.</w:t>
      </w:r>
    </w:p>
    <w:p>
      <w:pPr>
        <w:numPr>
          <w:ilvl w:val="0"/>
          <w:numId w:val="1025"/>
        </w:numPr>
        <w:pStyle w:val="Compact"/>
      </w:pPr>
      <w:r>
        <w:rPr>
          <w:bCs/>
          <w:b/>
        </w:rPr>
        <w:t xml:space="preserve">Os certificados não podem ser verificados.</w:t>
      </w:r>
      <w:r>
        <w:t xml:space="preserve"> </w:t>
      </w:r>
      <w:r>
        <w:t xml:space="preserve">Se um certificado anexado corresponde de fato ao frasco entregue, quem compra não tem como saber. As compras de teste de semaglutida mostraram uma pureza de 7,7 a 14,4% apesar do rótulo com 99%</w:t>
      </w:r>
      <w:r>
        <w:rPr>
          <w:rStyle w:val="FootnoteReference"/>
        </w:rPr>
        <w:footnoteReference w:id="186"/>
      </w:r>
      <w:r>
        <w:t xml:space="preserve">.</w:t>
      </w:r>
    </w:p>
    <w:p>
      <w:pPr>
        <w:pStyle w:val="FirstParagraph"/>
      </w:pPr>
      <w:r>
        <w:t xml:space="preserve">A isso se somam as impurezas que tipicamente surgem na síntese química: peptídeos com blocos faltantes ou duplicados, variantes mal dobradas ou quimicamente alteradas, resíduos de grupos protetores e de reagentes. Para medicamentos aprovados, existem limites definidos para essas impurezas, controlados regularmente.</w:t>
      </w:r>
    </w:p>
    <w:bookmarkEnd w:id="187"/>
    <w:bookmarkStart w:id="189" w:name="endotoxinas-invisíveis-e-perigosas"/>
    <w:p>
      <w:pPr>
        <w:pStyle w:val="Heading3"/>
      </w:pPr>
      <w:r>
        <w:t xml:space="preserve">Endotoxinas: invisíveis e perigosas</w:t>
      </w:r>
    </w:p>
    <w:p>
      <w:pPr>
        <w:pStyle w:val="FirstParagraph"/>
      </w:pPr>
      <w:r>
        <w:t xml:space="preserve">Endotoxinas são componentes da parede celular de certas bactérias. Elas permanecem mesmo quando as bactérias estão mortas e são muito estáveis ao calor. Se chegam ao sangue, podem provocar febre, calafrios, queda da pressão arterial e, em quantidades maiores, um choque com risco de vida. Por isso, valem limites rígidos para injeções e infusões, e os fabricantes de medicamentos testam cada lote.</w:t>
      </w:r>
    </w:p>
    <w:p>
      <w:pPr>
        <w:pStyle w:val="BodyText"/>
      </w:pPr>
      <w:r>
        <w:t xml:space="preserve">Um pó</w:t>
      </w:r>
      <w:r>
        <w:t xml:space="preserve"> </w:t>
      </w:r>
      <w:r>
        <w:t xml:space="preserve">“</w:t>
      </w:r>
      <w:r>
        <w:t xml:space="preserve">estéril</w:t>
      </w:r>
      <w:r>
        <w:t xml:space="preserve">”</w:t>
      </w:r>
      <w:r>
        <w:t xml:space="preserve"> </w:t>
      </w:r>
      <w:r>
        <w:t xml:space="preserve">ou</w:t>
      </w:r>
      <w:r>
        <w:t xml:space="preserve"> </w:t>
      </w:r>
      <w:r>
        <w:t xml:space="preserve">“</w:t>
      </w:r>
      <w:r>
        <w:t xml:space="preserve">livre de germes</w:t>
      </w:r>
      <w:r>
        <w:t xml:space="preserve">”</w:t>
      </w:r>
      <w:r>
        <w:t xml:space="preserve"> </w:t>
      </w:r>
      <w:r>
        <w:t xml:space="preserve">pode, ainda assim, conter endotoxinas – exatamente o que mostraram as compras de teste de semaglutida: nenhum germe vivo, mas endotoxinas em todas as amostras</w:t>
      </w:r>
      <w:r>
        <w:rPr>
          <w:rStyle w:val="FootnoteReference"/>
        </w:rPr>
        <w:footnoteReference w:id="188"/>
      </w:r>
      <w:r>
        <w:t xml:space="preserve">. Também a dissolução com água não estéril, a retirada repetida do mesmo frasco ou a reutilização de agulhas podem introduzir germes.</w:t>
      </w:r>
    </w:p>
    <w:bookmarkEnd w:id="189"/>
    <w:bookmarkStart w:id="191" w:name="erros-de-dosagem"/>
    <w:p>
      <w:pPr>
        <w:pStyle w:val="Heading3"/>
      </w:pPr>
      <w:r>
        <w:t xml:space="preserve">Erros de dosagem</w:t>
      </w:r>
    </w:p>
    <w:p>
      <w:pPr>
        <w:pStyle w:val="FirstParagraph"/>
      </w:pPr>
      <w:r>
        <w:t xml:space="preserve">Mesmo quando um produto contém exatamente o que diz o rótulo, a dosagem correta no mercado cinza é difícil. O pó precisa ser dissolvido em uma determinada quantidade de líquido; a dose resulta então de uma conversão. Quem erra a conta ou confunde unidades pode facilmente injetar um múltiplo da quantidade pretendida.</w:t>
      </w:r>
    </w:p>
    <w:p>
      <w:pPr>
        <w:pStyle w:val="BodyText"/>
      </w:pPr>
      <w:r>
        <w:t xml:space="preserve">Uma série de casos de um centro de informação toxicológica dos EUA descreve três casos com semaglutida de farmácias e de um estúdio de estética. Duas pessoas tinham injetado por engano dez vezes a quantidade. Todas tiveram por dias náuseas, vômitos e dor abdominal. Uma pessoa havia recebido um frasco com seringas sem nenhuma orientação; outra confundiu mililitros,</w:t>
      </w:r>
      <w:r>
        <w:t xml:space="preserve"> </w:t>
      </w:r>
      <w:r>
        <w:t xml:space="preserve">“</w:t>
      </w:r>
      <w:r>
        <w:t xml:space="preserve">unidades</w:t>
      </w:r>
      <w:r>
        <w:t xml:space="preserve">”</w:t>
      </w:r>
      <w:r>
        <w:t xml:space="preserve"> </w:t>
      </w:r>
      <w:r>
        <w:t xml:space="preserve">e miligramas</w:t>
      </w:r>
      <w:r>
        <w:rPr>
          <w:rStyle w:val="FootnoteReference"/>
        </w:rPr>
        <w:footnoteReference w:id="190"/>
      </w:r>
      <w:r>
        <w:t xml:space="preserve">. Os autores ressaltam que os frascos, ao contrário das canetas preenchidas, não oferecem mecanismos de segurança contra esses erros.</w:t>
      </w:r>
    </w:p>
    <w:bookmarkEnd w:id="191"/>
    <w:bookmarkStart w:id="196" w:name="X30513ad392d7f4538a37c179d5bf270593219eb"/>
    <w:p>
      <w:pPr>
        <w:pStyle w:val="Heading3"/>
      </w:pPr>
      <w:r>
        <w:t xml:space="preserve">Falsificações de Ozempic e de outros medicamentos GLP-1</w:t>
      </w:r>
    </w:p>
    <w:p>
      <w:pPr>
        <w:pStyle w:val="FirstParagraph"/>
      </w:pPr>
      <w:r>
        <w:t xml:space="preserve">Com a enorme demanda por semaglutida, surgiram falsificações no mundo todo. A Organização Mundial da Saúde alertou em 2024 sobre Ozempic falsificado na cadeia global de abastecimento</w:t>
      </w:r>
      <w:r>
        <w:rPr>
          <w:rStyle w:val="FootnoteReference"/>
        </w:rPr>
        <w:footnoteReference w:id="192"/>
      </w:r>
      <w:r>
        <w:t xml:space="preserve">.</w:t>
      </w:r>
    </w:p>
    <w:p>
      <w:pPr>
        <w:pStyle w:val="BodyText"/>
      </w:pPr>
      <w:r>
        <w:t xml:space="preserve">Particularmente perigosas são as falsificações que contêm outra substância ativa. Na Itália, uma mulher de 31 anos foi levada ao pronto-socorro em coma hipoglicêmico depois de ter injetado um suposto Ozempic comprado na internet. A análise toxicológica revelou que o frasco continha insulina em vez de semaglutida</w:t>
      </w:r>
      <w:r>
        <w:rPr>
          <w:rStyle w:val="FootnoteReference"/>
        </w:rPr>
        <w:footnoteReference w:id="193"/>
      </w:r>
      <w:r>
        <w:t xml:space="preserve">. Da Holanda foram relatados dois casos semelhantes: duas pessoas sem diabetes e sem obesidade haviam injetado semaglutida obtida sem receita e estavam em coma com hipoglicemia grave, falta de potássio e hipotermia. A causa foi uma intoxicação por insulina sintética. Para manter a glicose estável, foram necessários até dois dias de infusão contínua de glicose</w:t>
      </w:r>
      <w:r>
        <w:rPr>
          <w:rStyle w:val="FootnoteReference"/>
        </w:rPr>
        <w:footnoteReference w:id="194"/>
      </w:r>
      <w:r>
        <w:t xml:space="preserve">.</w:t>
      </w:r>
    </w:p>
    <w:p>
      <w:pPr>
        <w:pStyle w:val="BodyText"/>
      </w:pPr>
      <w:r>
        <w:t xml:space="preserve">Esses casos são tão significativos porque a semaglutida verdadeira, sozinha, dificilmente causa uma hipoglicemia relevante em pessoas saudáveis. Uma hipoglicemia depois de uma</w:t>
      </w:r>
      <w:r>
        <w:t xml:space="preserve"> </w:t>
      </w:r>
      <w:r>
        <w:t xml:space="preserve">“</w:t>
      </w:r>
      <w:r>
        <w:t xml:space="preserve">injeção para emagrecer</w:t>
      </w:r>
      <w:r>
        <w:t xml:space="preserve">”</w:t>
      </w:r>
      <w:r>
        <w:t xml:space="preserve"> </w:t>
      </w:r>
      <w:r>
        <w:t xml:space="preserve">é, portanto, um sinal de alerta para um produto falsificado.</w:t>
      </w:r>
    </w:p>
    <w:p>
      <w:pPr>
        <w:pStyle w:val="BodyText"/>
      </w:pPr>
      <w:r>
        <w:t xml:space="preserve">Uma análise da base europeia de notificações de efeitos colaterais EudraVigilance encontrou, de 2018 a 2025, um total de 234 notificações relativas a semaglutida possivelmente falsificada. 73,5% referiam-se a mulheres, e 89,3% dos efeitos colaterais notificados eram graves. Os mais notificados foram vômitos, náuseas e hipoglicemia. Em comparação com a semaglutida verdadeira, hipoglicemia, uso fora da indicação aprovada, mal-estar e ineficácia foram notificados com frequência desproporcionalmente alta</w:t>
      </w:r>
      <w:r>
        <w:rPr>
          <w:rStyle w:val="FootnoteReference"/>
        </w:rPr>
        <w:footnoteReference w:id="195"/>
      </w:r>
      <w:r>
        <w:t xml:space="preserve">. Como em todos os dados de notificação, vale: eles mostram sinais, não frequências.</w:t>
      </w:r>
    </w:p>
    <w:bookmarkEnd w:id="196"/>
    <w:bookmarkStart w:id="199" w:name="substâncias-glp-1-não-aprovadas"/>
    <w:p>
      <w:pPr>
        <w:pStyle w:val="Heading3"/>
      </w:pPr>
      <w:r>
        <w:t xml:space="preserve">Substâncias GLP-1 não aprovadas</w:t>
      </w:r>
    </w:p>
    <w:p>
      <w:pPr>
        <w:pStyle w:val="FirstParagraph"/>
      </w:pPr>
      <w:r>
        <w:t xml:space="preserve">Atualmente, o mercado cinza oferece também substâncias que ainda nem foram aprovadas, como o agonista triplo retatrutida. Para essas substâncias existem estudos dos fabricantes, mas nenhum produto verificado – o que de fato há em um frasco com a inscrição</w:t>
      </w:r>
      <w:r>
        <w:t xml:space="preserve"> </w:t>
      </w:r>
      <w:r>
        <w:t xml:space="preserve">“</w:t>
      </w:r>
      <w:r>
        <w:t xml:space="preserve">retatrutida</w:t>
      </w:r>
      <w:r>
        <w:t xml:space="preserve">”</w:t>
      </w:r>
      <w:r>
        <w:t xml:space="preserve"> </w:t>
      </w:r>
      <w:r>
        <w:t xml:space="preserve">é desconhecido. Uma revista científica dedicou a esse mercado negro uma reportagem própria em 2026</w:t>
      </w:r>
      <w:r>
        <w:rPr>
          <w:rStyle w:val="FootnoteReference"/>
        </w:rPr>
        <w:footnoteReference w:id="197"/>
      </w:r>
      <w:r>
        <w:t xml:space="preserve">.</w:t>
      </w:r>
    </w:p>
    <w:p>
      <w:pPr>
        <w:pStyle w:val="BodyText"/>
      </w:pPr>
      <w:r>
        <w:t xml:space="preserve">Um relato de caso descreve uma mulher de vinte e poucos anos que chegou ao hospital com cinco dias de náuseas persistentes, vômitos repetidos e diarreia. Os sintomas inicialmente não melhoraram, apesar de vários medicamentos contra náuseas. Só depois de perguntas repetidas descobriu-se que um autoproclamado coach de vida, sem qualificação médica, havia aplicado nela quatro injeções semanais de um produto que supostamente continha retatrutida. Ela mesma não considerava as injeções um medicamento</w:t>
      </w:r>
      <w:r>
        <w:rPr>
          <w:rStyle w:val="FootnoteReference"/>
        </w:rPr>
        <w:footnoteReference w:id="198"/>
      </w:r>
      <w:r>
        <w:t xml:space="preserve">. O caso mostra outro problema: quem não percebe os peptídeos como medicamentos também não os menciona a médicas e médicos.</w:t>
      </w:r>
    </w:p>
    <w:bookmarkEnd w:id="199"/>
    <w:bookmarkStart w:id="203" w:name="perigos-além-da-contaminação"/>
    <w:p>
      <w:pPr>
        <w:pStyle w:val="Heading3"/>
      </w:pPr>
      <w:r>
        <w:t xml:space="preserve">Perigos além da contaminação</w:t>
      </w:r>
    </w:p>
    <w:p>
      <w:pPr>
        <w:pStyle w:val="FirstParagraph"/>
      </w:pPr>
      <w:r>
        <w:t xml:space="preserve">Mesmo um peptídeo do mercado cinza perfeitamente puro pode ser perigoso se a própria substância nunca foi suficientemente estudada em seres humanos. Um relato de caso descreve um homem de 39 anos que injetou melanotan II comprado na internet – segundo ele mesmo, seis vezes a quantidade inicial que lhe havia sido recomendada. Ele desenvolveu taquicardia, agitação, sudorese intensa e uma destruição muscular maciça (rabdomiólise) com disfunção renal e precisou ser tratado na unidade de terapia intensiva. A análise confirmou que o produto de fato continha melanotan II</w:t>
      </w:r>
      <w:r>
        <w:rPr>
          <w:rStyle w:val="FootnoteReference"/>
        </w:rPr>
        <w:footnoteReference w:id="200"/>
      </w:r>
      <w:r>
        <w:t xml:space="preserve">.</w:t>
      </w:r>
    </w:p>
    <w:p>
      <w:pPr>
        <w:pStyle w:val="BodyText"/>
      </w:pPr>
      <w:r>
        <w:t xml:space="preserve">Artigos de revisão citam como possíveis riscos de peptídeos não regulamentados, entre outros, impurezas, dosagem imprecisa, formação patológica de novos vasos, carcinogênese, sobrecarga do sistema cardiovascular e sinais hormonais excessivos</w:t>
      </w:r>
      <w:r>
        <w:rPr>
          <w:rStyle w:val="FootnoteReference"/>
        </w:rPr>
        <w:footnoteReference w:id="201"/>
      </w:r>
      <w:r>
        <w:t xml:space="preserve">. Muitos desses riscos são deduzidos teoricamente, justamente porque quase não há estudos em humanos. Uma revisão de medicina esportiva conclui que muitos peptídeos não aprovados mostram efeitos favoráveis em modelos animais, mas que dados sólidos de segurança em humanos são raros e danos sérios são possíveis</w:t>
      </w:r>
      <w:r>
        <w:rPr>
          <w:rStyle w:val="FootnoteReference"/>
        </w:rPr>
        <w:footnoteReference w:id="202"/>
      </w:r>
      <w:r>
        <w:t xml:space="preserve">.</w:t>
      </w:r>
    </w:p>
    <w:bookmarkEnd w:id="203"/>
    <w:bookmarkStart w:id="206" w:name="compounding-nos-eua"/>
    <w:p>
      <w:pPr>
        <w:pStyle w:val="Heading3"/>
      </w:pPr>
      <w:r>
        <w:t xml:space="preserve">Compounding nos EUA</w:t>
      </w:r>
    </w:p>
    <w:p>
      <w:pPr>
        <w:pStyle w:val="FirstParagraph"/>
      </w:pPr>
      <w:r>
        <w:t xml:space="preserve">Uma particularidade do mercado norte-americano é o</w:t>
      </w:r>
      <w:r>
        <w:t xml:space="preserve"> </w:t>
      </w:r>
      <w:r>
        <w:rPr>
          <w:bCs/>
          <w:b/>
        </w:rPr>
        <w:t xml:space="preserve">compounding</w:t>
      </w:r>
      <w:r>
        <w:t xml:space="preserve">: farmácias podem, sob certas condições, manipular medicamentos elas mesmas, por exemplo quando uma preparação aprovada não está disponível. Durante a falta de semaglutida e tirzepatida, surgiu assim um grande mercado de preparações de imitação, muitas vezes distribuídas por plataformas de telemedicina. Essas preparações não são medicamentos aprovados; sua eficácia e segurança não foram testadas em estudos.</w:t>
      </w:r>
    </w:p>
    <w:p>
      <w:pPr>
        <w:pStyle w:val="BodyText"/>
      </w:pPr>
      <w:r>
        <w:t xml:space="preserve">Uma análise da base norte-americana de notificações de efeitos colaterais FAERS comparou notificações sobre preparações de GLP-1 manipuladas e aprovadas. Das 81.078 notificações, 707 referiam-se a produtos manipulados. Nesses, foram notificados com frequência desproporcionalmente alta, entre outros, dor abdominal, inflamações da vesícula biliar, erros de preparação e contaminações, assim como internações hospitalares; erros de uso e de dosagem, por outro lado, foram notificados com menos frequência</w:t>
      </w:r>
      <w:r>
        <w:rPr>
          <w:rStyle w:val="FootnoteReference"/>
        </w:rPr>
        <w:footnoteReference w:id="204"/>
      </w:r>
      <w:r>
        <w:t xml:space="preserve">. Os autores ressaltam que esses dados não comprovam uma relação de causa e efeito.</w:t>
      </w:r>
    </w:p>
    <w:p>
      <w:pPr>
        <w:pStyle w:val="BodyText"/>
      </w:pPr>
      <w:r>
        <w:t xml:space="preserve">Com o fim da falta de produto, as farmácias, pela lei norte-americana, só podem produzir preparações que se diferenciem das aprovadas – por exemplo, por outra forma farmacêutica ou por aditivos. Uma investigação encontrou 33 desses produtos, entre eles combinações com vitamina B12, glicina, niacinamida, um laxante ou um medicamento contra náuseas, além de gotas e comprimidos orodispersíveis para uso sob a língua. Para as vitaminas e o laxante, os autores praticamente não encontraram justificativa. Para o acréscimo do medicamento contra náuseas e para as novas formas farmacêuticas, eles veem uma ideia compreensível, mas nenhuma evidência de eficácia e segurança</w:t>
      </w:r>
      <w:r>
        <w:rPr>
          <w:rStyle w:val="FootnoteReference"/>
        </w:rPr>
        <w:footnoteReference w:id="205"/>
      </w:r>
      <w:r>
        <w:t xml:space="preserve">.</w:t>
      </w:r>
    </w:p>
    <w:p>
      <w:pPr>
        <w:pStyle w:val="BodyText"/>
      </w:pPr>
      <w:r>
        <w:t xml:space="preserve">O compounding não é mercado cinza em sentido estrito: as farmácias são autorizadas e estão sujeitas a fiscalização. Para os pacientes, porém, a fronteira se torna difusa quando os produtos são distribuídos por plataformas on-line com pouco acompanhamento médico. Na Europa não existe um sistema comparável; ali, a manipulação em farmácia está sujeita a condições bem mais restritas (mais sobre isso no próximo capítulo).</w:t>
      </w:r>
    </w:p>
    <w:bookmarkEnd w:id="206"/>
    <w:bookmarkStart w:id="208" w:name="quem-usa-o-mercado-cinza-e-por-quê"/>
    <w:p>
      <w:pPr>
        <w:pStyle w:val="Heading3"/>
      </w:pPr>
      <w:r>
        <w:t xml:space="preserve">Quem usa o mercado cinza – e por quê</w:t>
      </w:r>
    </w:p>
    <w:p>
      <w:pPr>
        <w:pStyle w:val="FirstParagraph"/>
      </w:pPr>
      <w:r>
        <w:t xml:space="preserve">Os motivos para recorrer ao mercado cinza são variados: preços altos e falta de cobertura de custos para medicamentos aprovados, falta de produto, o desejo de perder peso sem indicação médica, aumento de desempenho no esporte, esperança de cura mais rápida de lesões ou de uma vida mais longa. Um artigo de revisão descreve como publicidade on-line, relatos de experiência em redes sociais, autoinjeção, combinações de várias substâncias e um monitoramento fraco de efeitos colaterais interagem e normalizam produtos de natureza incerta</w:t>
      </w:r>
      <w:r>
        <w:rPr>
          <w:rStyle w:val="FootnoteReference"/>
        </w:rPr>
        <w:footnoteReference w:id="207"/>
      </w:r>
      <w:r>
        <w:t xml:space="preserve">.</w:t>
      </w:r>
    </w:p>
    <w:p>
      <w:pPr>
        <w:pStyle w:val="BodyText"/>
      </w:pPr>
      <w:r>
        <w:t xml:space="preserve">Esses motivos são compreensíveis. As análises deste capítulo, porém, mostram que quem compra no mercado cinza não tem como saber o que de fato está recebendo.</w:t>
      </w:r>
    </w:p>
    <w:bookmarkEnd w:id="208"/>
    <w:bookmarkStart w:id="209" w:name="Xf96596d331955bee51c1436353baf9b80f3dc3f"/>
    <w:p>
      <w:pPr>
        <w:pStyle w:val="Heading3"/>
      </w:pPr>
      <w:r>
        <w:t xml:space="preserve">Se você já usou peptídeos do mercado cinza</w:t>
      </w:r>
    </w:p>
    <w:p>
      <w:pPr>
        <w:pStyle w:val="FirstParagraph"/>
      </w:pPr>
      <w:r>
        <w:t xml:space="preserve">Este livro não dá instruções de uso. Alguns pontos gerais, porém, são importantes por razões de segurança:</w:t>
      </w:r>
    </w:p>
    <w:p>
      <w:pPr>
        <w:numPr>
          <w:ilvl w:val="0"/>
          <w:numId w:val="1026"/>
        </w:numPr>
        <w:pStyle w:val="Compact"/>
      </w:pPr>
      <w:r>
        <w:t xml:space="preserve">Informe sua médica ou seu médico sobre todas as injeções, peptídeos e</w:t>
      </w:r>
      <w:r>
        <w:t xml:space="preserve"> </w:t>
      </w:r>
      <w:r>
        <w:t xml:space="preserve">“</w:t>
      </w:r>
      <w:r>
        <w:t xml:space="preserve">produtos químicos de pesquisa</w:t>
      </w:r>
      <w:r>
        <w:t xml:space="preserve">”</w:t>
      </w:r>
      <w:r>
        <w:t xml:space="preserve"> </w:t>
      </w:r>
      <w:r>
        <w:t xml:space="preserve">que você usa – mesmo que não os considere medicamentos.</w:t>
      </w:r>
    </w:p>
    <w:p>
      <w:pPr>
        <w:numPr>
          <w:ilvl w:val="0"/>
          <w:numId w:val="1026"/>
        </w:numPr>
        <w:pStyle w:val="Compact"/>
      </w:pPr>
      <w:r>
        <w:t xml:space="preserve">Sintomas inesperados como tremor, suor, confusão ou alterações de consciência após uma injeção podem indicar hipoglicemia e são uma emergência.</w:t>
      </w:r>
    </w:p>
    <w:p>
      <w:pPr>
        <w:numPr>
          <w:ilvl w:val="0"/>
          <w:numId w:val="1026"/>
        </w:numPr>
        <w:pStyle w:val="Compact"/>
      </w:pPr>
      <w:r>
        <w:t xml:space="preserve">Produtos suspeitos e efeitos colaterais podem ser notificados às autoridades: na Alemanha, ao Instituto Federal de Medicamentos e Dispositivos Médicos (BfArM); na Áustria, à Agência Federal de Segurança na Saúde (BASG).</w:t>
      </w:r>
    </w:p>
    <w:bookmarkEnd w:id="209"/>
    <w:bookmarkStart w:id="210" w:name="o-essencial-em-resumo-3"/>
    <w:p>
      <w:pPr>
        <w:pStyle w:val="Heading3"/>
      </w:pPr>
      <w:r>
        <w:t xml:space="preserve">O essencial em resumo</w:t>
      </w:r>
    </w:p>
    <w:p>
      <w:pPr>
        <w:numPr>
          <w:ilvl w:val="0"/>
          <w:numId w:val="1027"/>
        </w:numPr>
        <w:pStyle w:val="Compact"/>
      </w:pPr>
      <w:r>
        <w:t xml:space="preserve">O aviso</w:t>
      </w:r>
      <w:r>
        <w:t xml:space="preserve"> </w:t>
      </w:r>
      <w:r>
        <w:t xml:space="preserve">“</w:t>
      </w:r>
      <w:r>
        <w:t xml:space="preserve">apenas para fins de pesquisa</w:t>
      </w:r>
      <w:r>
        <w:t xml:space="preserve">”</w:t>
      </w:r>
      <w:r>
        <w:t xml:space="preserve"> </w:t>
      </w:r>
      <w:r>
        <w:t xml:space="preserve">não protege contra riscos; ele transfere a responsabilidade para quem compra.</w:t>
      </w:r>
    </w:p>
    <w:p>
      <w:pPr>
        <w:numPr>
          <w:ilvl w:val="0"/>
          <w:numId w:val="1027"/>
        </w:numPr>
        <w:pStyle w:val="Compact"/>
      </w:pPr>
      <w:r>
        <w:t xml:space="preserve">Análises laboratoriais encontraram em peptídeos do mercado cinza substância ativa em excesso, em falta, errada ou ausente, além de impurezas e endotoxinas.</w:t>
      </w:r>
    </w:p>
    <w:p>
      <w:pPr>
        <w:numPr>
          <w:ilvl w:val="0"/>
          <w:numId w:val="1027"/>
        </w:numPr>
        <w:pStyle w:val="Compact"/>
      </w:pPr>
      <w:r>
        <w:t xml:space="preserve">Produtos falsificados de semaglutida que continham insulina levaram a hipoglicemias com risco de vida.</w:t>
      </w:r>
    </w:p>
    <w:p>
      <w:pPr>
        <w:numPr>
          <w:ilvl w:val="0"/>
          <w:numId w:val="1027"/>
        </w:numPr>
        <w:pStyle w:val="Compact"/>
      </w:pPr>
      <w:r>
        <w:t xml:space="preserve">Também as preparações manipuladas por farmácias dos EUA não são testadas como os medicamentos aprovados.</w:t>
      </w:r>
    </w:p>
    <w:p>
      <w:pPr>
        <w:numPr>
          <w:ilvl w:val="0"/>
          <w:numId w:val="1027"/>
        </w:numPr>
        <w:pStyle w:val="Compact"/>
      </w:pPr>
      <w:r>
        <w:t xml:space="preserve">Mesmo um produto puro continua arriscado se a substância nunca foi suficientemente estudada em seres humanos.</w:t>
      </w:r>
    </w:p>
    <w:bookmarkEnd w:id="210"/>
    <w:bookmarkEnd w:id="211"/>
    <w:bookmarkStart w:id="229" w:name="marco-legal"/>
    <w:p>
      <w:pPr>
        <w:pStyle w:val="Heading2"/>
      </w:pPr>
      <w:r>
        <w:t xml:space="preserve">Marco legal</w:t>
      </w:r>
    </w:p>
    <w:p>
      <w:pPr>
        <w:pStyle w:val="FirstParagraph"/>
      </w:pPr>
      <w:r>
        <w:t xml:space="preserve">Se um peptídeo é um medicamento sujeito a prescrição, um suplemento alimentar, um cosmético ou uma substância dopante proibida não depende apenas da molécula. Também é decisivo para que ele se destina, como é oferecido e como age no organismo. O mesmo peptídeo de colágeno pode estar na prateleira do supermercado como alimento; já um peptídeo com efeito comprovadamente semelhante ao de um hormônio é quase sempre um medicamento – não importa o que diga o rótulo. Este capítulo dá uma visão geral das regras na União Europeia, na Áustria, na Alemanha e nos EUA, assim como das normas antidoping.</w:t>
      </w:r>
    </w:p>
    <w:p>
      <w:pPr>
        <w:pStyle w:val="BlockText"/>
      </w:pPr>
      <w:r>
        <w:rPr>
          <w:bCs/>
          <w:b/>
        </w:rPr>
        <w:t xml:space="preserve">Aviso importante:</w:t>
      </w:r>
      <w:r>
        <w:t xml:space="preserve"> </w:t>
      </w:r>
      <w:r>
        <w:t xml:space="preserve">este capítulo reflete a situação em 2026 da melhor forma possível e não constitui assessoria jurídica. Leis, regulamentos, a prática das autoridades e a lista de substâncias proibidas da Agência Mundial Antidoping mudam regularmente. Verifique a situação legal atual em cada caso concreto e, em caso de dúvidas específicas, procure uma advogada, um advogado ou a autoridade competente.</w:t>
      </w:r>
    </w:p>
    <w:bookmarkStart w:id="212" w:name="Xd801092a72769175c95bb4d628cbe8d46f8e4ce"/>
    <w:p>
      <w:pPr>
        <w:pStyle w:val="Heading3"/>
      </w:pPr>
      <w:r>
        <w:t xml:space="preserve">Três gavetas: medicamento, alimento, cosmético</w:t>
      </w:r>
    </w:p>
    <w:p>
      <w:pPr>
        <w:pStyle w:val="FirstParagraph"/>
      </w:pPr>
      <w:r>
        <w:t xml:space="preserve">O direito europeu distingue essencialmente três categorias de produtos nas quais os peptídeos podem se enquadrar. Cada uma tem regras próprias: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Categoria</w:t>
            </w:r>
          </w:p>
        </w:tc>
        <w:tc>
          <w:tcPr/>
          <w:p>
            <w:pPr>
              <w:pStyle w:val="Compact"/>
              <w:jc w:val="left"/>
            </w:pPr>
            <w:r>
              <w:t xml:space="preserve">Avaliação pela autoridade antes da venda</w:t>
            </w:r>
          </w:p>
        </w:tc>
        <w:tc>
          <w:tcPr/>
          <w:p>
            <w:pPr>
              <w:pStyle w:val="Compact"/>
              <w:jc w:val="left"/>
            </w:pPr>
            <w:r>
              <w:t xml:space="preserve">Peptídeos típicos</w:t>
            </w:r>
          </w:p>
        </w:tc>
      </w:tr>
      <w:tr>
        <w:tc>
          <w:tcPr/>
          <w:p>
            <w:pPr>
              <w:pStyle w:val="Compact"/>
              <w:jc w:val="left"/>
            </w:pPr>
            <w:r>
              <w:t xml:space="preserve">Medicamento</w:t>
            </w:r>
          </w:p>
        </w:tc>
        <w:tc>
          <w:tcPr/>
          <w:p>
            <w:pPr>
              <w:pStyle w:val="Compact"/>
              <w:jc w:val="left"/>
            </w:pPr>
            <w:r>
              <w:t xml:space="preserve">aprovação com comprovação de eficácia e segurança</w:t>
            </w:r>
          </w:p>
        </w:tc>
        <w:tc>
          <w:tcPr/>
          <w:p>
            <w:pPr>
              <w:pStyle w:val="Compact"/>
              <w:jc w:val="left"/>
            </w:pPr>
            <w:r>
              <w:t xml:space="preserve">insulina, semaglutida, ocitocina</w:t>
            </w:r>
          </w:p>
        </w:tc>
      </w:tr>
      <w:tr>
        <w:tc>
          <w:tcPr/>
          <w:p>
            <w:pPr>
              <w:pStyle w:val="Compact"/>
              <w:jc w:val="left"/>
            </w:pPr>
            <w:r>
              <w:t xml:space="preserve">Alimento e suplemento alimentar</w:t>
            </w:r>
          </w:p>
        </w:tc>
        <w:tc>
          <w:tcPr/>
          <w:p>
            <w:pPr>
              <w:pStyle w:val="Compact"/>
              <w:jc w:val="left"/>
            </w:pPr>
            <w:r>
              <w:t xml:space="preserve">sem aprovação, fabricante responsável</w:t>
            </w:r>
          </w:p>
        </w:tc>
        <w:tc>
          <w:tcPr/>
          <w:p>
            <w:pPr>
              <w:pStyle w:val="Compact"/>
              <w:jc w:val="left"/>
            </w:pPr>
            <w:r>
              <w:t xml:space="preserve">peptídeos de colágeno, peptídeos do leite</w:t>
            </w:r>
          </w:p>
        </w:tc>
      </w:tr>
      <w:tr>
        <w:tc>
          <w:tcPr/>
          <w:p>
            <w:pPr>
              <w:pStyle w:val="Compact"/>
              <w:jc w:val="left"/>
            </w:pPr>
            <w:r>
              <w:t xml:space="preserve">Cosmético</w:t>
            </w:r>
          </w:p>
        </w:tc>
        <w:tc>
          <w:tcPr/>
          <w:p>
            <w:pPr>
              <w:pStyle w:val="Compact"/>
              <w:jc w:val="left"/>
            </w:pPr>
            <w:r>
              <w:t xml:space="preserve">sem aprovação, avaliação de segurança pelo fabricante</w:t>
            </w:r>
          </w:p>
        </w:tc>
        <w:tc>
          <w:tcPr/>
          <w:p>
            <w:pPr>
              <w:pStyle w:val="Compact"/>
              <w:jc w:val="left"/>
            </w:pPr>
            <w:r>
              <w:t xml:space="preserve">palmitoil pentapeptídeo-4, Argireline</w:t>
            </w:r>
          </w:p>
        </w:tc>
      </w:tr>
    </w:tbl>
    <w:p>
      <w:pPr>
        <w:pStyle w:val="BodyText"/>
      </w:pPr>
      <w:r>
        <w:t xml:space="preserve">A isso se somam substâncias que não se encaixam legalmente em nenhuma dessas categorias – como substâncias ativas não aprovadas com efeito farmacológico vendidas como</w:t>
      </w:r>
      <w:r>
        <w:t xml:space="preserve"> </w:t>
      </w:r>
      <w:r>
        <w:t xml:space="preserve">“</w:t>
      </w:r>
      <w:r>
        <w:t xml:space="preserve">produtos químicos de pesquisa</w:t>
      </w:r>
      <w:r>
        <w:t xml:space="preserve">”</w:t>
      </w:r>
      <w:r>
        <w:t xml:space="preserve">. Para elas, não existe caminho legal para o comércio como produto destinado ao uso em seres humanos.</w:t>
      </w:r>
    </w:p>
    <w:bookmarkEnd w:id="212"/>
    <w:bookmarkStart w:id="213" w:name="o-que-é-um-medicamento"/>
    <w:p>
      <w:pPr>
        <w:pStyle w:val="Heading3"/>
      </w:pPr>
      <w:r>
        <w:t xml:space="preserve">O que é um medicamento</w:t>
      </w:r>
    </w:p>
    <w:p>
      <w:pPr>
        <w:pStyle w:val="FirstParagraph"/>
      </w:pPr>
      <w:r>
        <w:t xml:space="preserve">A definição de medicamento na UE é dada por uma diretiva (Diretiva 2001/83/CE) e transposta para as leis nacionais de medicamentos. Ela tem dois lados:</w:t>
      </w:r>
    </w:p>
    <w:p>
      <w:pPr>
        <w:numPr>
          <w:ilvl w:val="0"/>
          <w:numId w:val="1028"/>
        </w:numPr>
        <w:pStyle w:val="Compact"/>
      </w:pPr>
      <w:r>
        <w:rPr>
          <w:bCs/>
          <w:b/>
        </w:rPr>
        <w:t xml:space="preserve">Medicamento por apresentação</w:t>
      </w:r>
      <w:r>
        <w:t xml:space="preserve">: um produto é um medicamento quando é</w:t>
      </w:r>
      <w:r>
        <w:t xml:space="preserve"> </w:t>
      </w:r>
      <w:r>
        <w:rPr>
          <w:bCs/>
          <w:b/>
        </w:rPr>
        <w:t xml:space="preserve">apresentado</w:t>
      </w:r>
      <w:r>
        <w:t xml:space="preserve"> </w:t>
      </w:r>
      <w:r>
        <w:t xml:space="preserve">como meio de cura ou prevenção de doenças. A simples publicidade com afirmações como</w:t>
      </w:r>
      <w:r>
        <w:t xml:space="preserve"> </w:t>
      </w:r>
      <w:r>
        <w:t xml:space="preserve">“</w:t>
      </w:r>
      <w:r>
        <w:t xml:space="preserve">acelera a cicatrização de lesões de tendão</w:t>
      </w:r>
      <w:r>
        <w:t xml:space="preserve">”</w:t>
      </w:r>
      <w:r>
        <w:t xml:space="preserve"> </w:t>
      </w:r>
      <w:r>
        <w:t xml:space="preserve">pode transformar um produto em medicamento.</w:t>
      </w:r>
    </w:p>
    <w:p>
      <w:pPr>
        <w:numPr>
          <w:ilvl w:val="0"/>
          <w:numId w:val="1028"/>
        </w:numPr>
        <w:pStyle w:val="Compact"/>
      </w:pPr>
      <w:r>
        <w:rPr>
          <w:bCs/>
          <w:b/>
        </w:rPr>
        <w:t xml:space="preserve">Medicamento por função</w:t>
      </w:r>
      <w:r>
        <w:t xml:space="preserve">: um produto é um medicamento quando pode restaurar, corrigir ou modificar funções do corpo humano por meio de uma</w:t>
      </w:r>
      <w:r>
        <w:t xml:space="preserve"> </w:t>
      </w:r>
      <w:r>
        <w:rPr>
          <w:bCs/>
          <w:b/>
        </w:rPr>
        <w:t xml:space="preserve">ação farmacológica, imunológica ou metabólica</w:t>
      </w:r>
      <w:r>
        <w:t xml:space="preserve"> </w:t>
      </w:r>
      <w:r>
        <w:t xml:space="preserve">– independentemente de como é anunciado.</w:t>
      </w:r>
    </w:p>
    <w:p>
      <w:pPr>
        <w:pStyle w:val="FirstParagraph"/>
      </w:pPr>
      <w:r>
        <w:t xml:space="preserve">Se um produto se enquadra tanto na definição de medicamento quanto na de outro produto, segundo essa diretiva prevalece, em caso de dúvida, o direito dos medicamentos. Para peptídeos com efeito semelhante ao de hormônios – como liberadores do hormônio do crescimento, análogos de GLP-1 ou o melanotan – isso significa: em regra são medicamentos, mesmo quando declarados como suplemento alimentar, cosmético ou</w:t>
      </w:r>
      <w:r>
        <w:t xml:space="preserve"> </w:t>
      </w:r>
      <w:r>
        <w:t xml:space="preserve">“</w:t>
      </w:r>
      <w:r>
        <w:t xml:space="preserve">produto químico de pesquisa</w:t>
      </w:r>
      <w:r>
        <w:t xml:space="preserve">”</w:t>
      </w:r>
      <w:r>
        <w:t xml:space="preserve">.</w:t>
      </w:r>
    </w:p>
    <w:bookmarkEnd w:id="213"/>
    <w:bookmarkStart w:id="214" w:name="aprovação-na-ue"/>
    <w:p>
      <w:pPr>
        <w:pStyle w:val="Heading3"/>
      </w:pPr>
      <w:r>
        <w:t xml:space="preserve">Aprovação na UE</w:t>
      </w:r>
    </w:p>
    <w:p>
      <w:pPr>
        <w:pStyle w:val="FirstParagraph"/>
      </w:pPr>
      <w:r>
        <w:t xml:space="preserve">Na UE, um medicamento só pode ser colocado no mercado se estiver aprovado. Para a aprovação, o fabricante precisa apresentar dados de qualidade, eficácia e segurança – em geral, dos estudos de fase 3 descritos no capítulo</w:t>
      </w:r>
      <w:r>
        <w:t xml:space="preserve"> </w:t>
      </w:r>
      <w:r>
        <w:t xml:space="preserve">“</w:t>
      </w:r>
      <w:r>
        <w:t xml:space="preserve">Como ler estudos corretamente</w:t>
      </w:r>
      <w:r>
        <w:t xml:space="preserve">”</w:t>
      </w:r>
      <w:r>
        <w:t xml:space="preserve">.</w:t>
      </w:r>
    </w:p>
    <w:p>
      <w:pPr>
        <w:pStyle w:val="BodyText"/>
      </w:pPr>
      <w:r>
        <w:t xml:space="preserve">Há dois caminhos principais:</w:t>
      </w:r>
    </w:p>
    <w:p>
      <w:pPr>
        <w:numPr>
          <w:ilvl w:val="0"/>
          <w:numId w:val="1029"/>
        </w:numPr>
        <w:pStyle w:val="Compact"/>
      </w:pPr>
      <w:r>
        <w:rPr>
          <w:bCs/>
          <w:b/>
        </w:rPr>
        <w:t xml:space="preserve">Procedimento centralizado</w:t>
      </w:r>
      <w:r>
        <w:t xml:space="preserve">, por meio da Agência Europeia de Medicamentos (EMA). A aprovação vale então em todos os Estados-Membros. Para medicamentos produzidos por biotecnologia e para novas substâncias ativas contra determinadas doenças – entre elas o diabetes –, esse caminho é obrigatório. A maioria dos medicamentos peptídicos modernos tem aprovação centralizada.</w:t>
      </w:r>
    </w:p>
    <w:p>
      <w:pPr>
        <w:numPr>
          <w:ilvl w:val="0"/>
          <w:numId w:val="1029"/>
        </w:numPr>
        <w:pStyle w:val="Compact"/>
      </w:pPr>
      <w:r>
        <w:rPr>
          <w:bCs/>
          <w:b/>
        </w:rPr>
        <w:t xml:space="preserve">Procedimentos nacionais e descentralizados</w:t>
      </w:r>
      <w:r>
        <w:t xml:space="preserve">, por meio das autoridades dos Estados-Membros: na Áustria, a Agência Federal de Segurança na Saúde (BASG); na Alemanha, o Instituto Federal de Medicamentos e Dispositivos Médicos (BfArM) ou, para certos medicamentos biológicos, o Instituto Paul Ehrlich.</w:t>
      </w:r>
    </w:p>
    <w:p>
      <w:pPr>
        <w:pStyle w:val="FirstParagraph"/>
      </w:pPr>
      <w:r>
        <w:t xml:space="preserve">Junto com a aprovação, define-se se um medicamento está</w:t>
      </w:r>
      <w:r>
        <w:t xml:space="preserve"> </w:t>
      </w:r>
      <w:r>
        <w:rPr>
          <w:bCs/>
          <w:b/>
        </w:rPr>
        <w:t xml:space="preserve">sujeito a prescrição</w:t>
      </w:r>
      <w:r>
        <w:t xml:space="preserve">. Quase todos os medicamentos peptídicos estão. As indicações exatas, dosagens, contraindicações e efeitos colaterais constam da</w:t>
      </w:r>
      <w:r>
        <w:t xml:space="preserve"> </w:t>
      </w:r>
      <w:r>
        <w:rPr>
          <w:bCs/>
          <w:b/>
        </w:rPr>
        <w:t xml:space="preserve">informação técnica</w:t>
      </w:r>
      <w:r>
        <w:t xml:space="preserve"> </w:t>
      </w:r>
      <w:r>
        <w:t xml:space="preserve">(bula para profissionais) e da</w:t>
      </w:r>
      <w:r>
        <w:t xml:space="preserve"> </w:t>
      </w:r>
      <w:r>
        <w:rPr>
          <w:bCs/>
          <w:b/>
        </w:rPr>
        <w:t xml:space="preserve">bula para pacientes</w:t>
      </w:r>
      <w:r>
        <w:t xml:space="preserve">. A aprovação vale para determinadas indicações. Médicas e médicos podem, sob certas condições, prescrever um medicamento aprovado também fora dessas indicações (</w:t>
      </w:r>
      <w:r>
        <w:t xml:space="preserve">“</w:t>
      </w:r>
      <w:r>
        <w:t xml:space="preserve">uso off-label</w:t>
      </w:r>
      <w:r>
        <w:t xml:space="preserve">”</w:t>
      </w:r>
      <w:r>
        <w:t xml:space="preserve">), mas assumem então uma responsabilidade maior pelo esclarecimento e pela ponderação; em regra, os custos não são cobertos pelo seguro de saúde.</w:t>
      </w:r>
    </w:p>
    <w:p>
      <w:pPr>
        <w:pStyle w:val="BodyText"/>
      </w:pPr>
      <w:r>
        <w:t xml:space="preserve">Alguns peptídeos que aparecem neste livro são aprovados em outros países, mas não na UE – como algumas preparações usadas na Rússia. Uma aprovação estrangeira não torna um produto comercializável na UE.</w:t>
      </w:r>
    </w:p>
    <w:bookmarkEnd w:id="214"/>
    <w:bookmarkStart w:id="216" w:name="suplementos-alimentares"/>
    <w:p>
      <w:pPr>
        <w:pStyle w:val="Heading3"/>
      </w:pPr>
      <w:r>
        <w:t xml:space="preserve">Suplementos alimentares</w:t>
      </w:r>
    </w:p>
    <w:p>
      <w:pPr>
        <w:pStyle w:val="FirstParagraph"/>
      </w:pPr>
      <w:r>
        <w:t xml:space="preserve">Juridicamente, os suplementos alimentares são alimentos. Eles se destinam a complementar a alimentação normal e contêm nutrientes ou outras substâncias com efeito nutricional ou fisiológico (Diretiva 2002/46/CE).</w:t>
      </w:r>
      <w:r>
        <w:t xml:space="preserve"> </w:t>
      </w:r>
      <w:r>
        <w:rPr>
          <w:bCs/>
          <w:b/>
        </w:rPr>
        <w:t xml:space="preserve">Não precisam de aprovação</w:t>
      </w:r>
      <w:r>
        <w:t xml:space="preserve">. Dependendo do país, devem ser notificados a uma autoridade antes da primeira venda; na Alemanha, por exemplo, ao Instituto Federal de Proteção do Consumidor e Segurança Alimentar. A segurança é responsabilidade do fabricante, e a fiscalização sanitária de alimentos faz controles por amostragem.</w:t>
      </w:r>
    </w:p>
    <w:p>
      <w:pPr>
        <w:pStyle w:val="BodyText"/>
      </w:pPr>
      <w:r>
        <w:t xml:space="preserve">Limites importantes:</w:t>
      </w:r>
    </w:p>
    <w:p>
      <w:pPr>
        <w:numPr>
          <w:ilvl w:val="0"/>
          <w:numId w:val="1030"/>
        </w:numPr>
        <w:pStyle w:val="Compact"/>
      </w:pPr>
      <w:r>
        <w:t xml:space="preserve">Uma substância com efeito farmacológico não pode ser um suplemento alimentar. Se mesmo assim for vendida como tal, trata-se de um medicamento não aprovado.</w:t>
      </w:r>
    </w:p>
    <w:p>
      <w:pPr>
        <w:numPr>
          <w:ilvl w:val="0"/>
          <w:numId w:val="1030"/>
        </w:numPr>
        <w:pStyle w:val="Compact"/>
      </w:pPr>
      <w:r>
        <w:rPr>
          <w:bCs/>
          <w:b/>
        </w:rPr>
        <w:t xml:space="preserve">Alegações de saúde</w:t>
      </w:r>
      <w:r>
        <w:t xml:space="preserve"> </w:t>
      </w:r>
      <w:r>
        <w:t xml:space="preserve">como</w:t>
      </w:r>
      <w:r>
        <w:t xml:space="preserve"> </w:t>
      </w:r>
      <w:r>
        <w:t xml:space="preserve">“</w:t>
      </w:r>
      <w:r>
        <w:t xml:space="preserve">apoia as articulações</w:t>
      </w:r>
      <w:r>
        <w:t xml:space="preserve">”</w:t>
      </w:r>
      <w:r>
        <w:t xml:space="preserve"> </w:t>
      </w:r>
      <w:r>
        <w:t xml:space="preserve">ou</w:t>
      </w:r>
      <w:r>
        <w:t xml:space="preserve"> </w:t>
      </w:r>
      <w:r>
        <w:t xml:space="preserve">“</w:t>
      </w:r>
      <w:r>
        <w:t xml:space="preserve">reduz a pressão arterial</w:t>
      </w:r>
      <w:r>
        <w:t xml:space="preserve">”</w:t>
      </w:r>
      <w:r>
        <w:t xml:space="preserve"> </w:t>
      </w:r>
      <w:r>
        <w:t xml:space="preserve">só são permitidas se tiverem sido autorizadas pela UE após avaliação da Autoridade Europeia para a Segurança dos Alimentos (EFSA) e constarem de uma lista (Regulamento (CE) n.º 1924/2006). Para muitos efeitos anunciados de alimentos com peptídeos, até onde sabemos, não há alegação autorizada. A publicidade que mesmo assim promete esse efeito é proibida.</w:t>
      </w:r>
    </w:p>
    <w:p>
      <w:pPr>
        <w:numPr>
          <w:ilvl w:val="0"/>
          <w:numId w:val="1030"/>
        </w:numPr>
        <w:pStyle w:val="Compact"/>
      </w:pPr>
      <w:r>
        <w:rPr>
          <w:bCs/>
          <w:b/>
        </w:rPr>
        <w:t xml:space="preserve">Alegações relacionadas a doenças</w:t>
      </w:r>
      <w:r>
        <w:t xml:space="preserve"> </w:t>
      </w:r>
      <w:r>
        <w:t xml:space="preserve">(como</w:t>
      </w:r>
      <w:r>
        <w:t xml:space="preserve"> </w:t>
      </w:r>
      <w:r>
        <w:t xml:space="preserve">“</w:t>
      </w:r>
      <w:r>
        <w:t xml:space="preserve">age contra a artrose</w:t>
      </w:r>
      <w:r>
        <w:t xml:space="preserve">”</w:t>
      </w:r>
      <w:r>
        <w:t xml:space="preserve">) são, em geral, proibidas para alimentos.</w:t>
      </w:r>
    </w:p>
    <w:p>
      <w:pPr>
        <w:pStyle w:val="FirstParagraph"/>
      </w:pPr>
      <w:r>
        <w:t xml:space="preserve">Que também suplementos alimentares não estão livres de substâncias proibidas mostra um caso de um laboratório antidoping: em comprimidos oferecidos como suplemento alimentar de venda livre, foi detectado o peptídeo liberador do hormônio do crescimento GHRP-2</w:t>
      </w:r>
      <w:r>
        <w:rPr>
          <w:rStyle w:val="FootnoteReference"/>
        </w:rPr>
        <w:footnoteReference w:id="215"/>
      </w:r>
      <w:r>
        <w:t xml:space="preserve">.</w:t>
      </w:r>
    </w:p>
    <w:bookmarkEnd w:id="216"/>
    <w:bookmarkStart w:id="217" w:name="novel-food"/>
    <w:p>
      <w:pPr>
        <w:pStyle w:val="Heading3"/>
      </w:pPr>
      <w:r>
        <w:t xml:space="preserve">Novel Food</w:t>
      </w:r>
    </w:p>
    <w:p>
      <w:pPr>
        <w:pStyle w:val="FirstParagraph"/>
      </w:pPr>
      <w:r>
        <w:t xml:space="preserve">Um obstáculo próprio para os alimentos é o</w:t>
      </w:r>
      <w:r>
        <w:t xml:space="preserve"> </w:t>
      </w:r>
      <w:r>
        <w:rPr>
          <w:bCs/>
          <w:b/>
        </w:rPr>
        <w:t xml:space="preserve">Regulamento Novel Food</w:t>
      </w:r>
      <w:r>
        <w:t xml:space="preserve"> </w:t>
      </w:r>
      <w:r>
        <w:t xml:space="preserve">(Regulamento (UE) 2015/2283). São considerados</w:t>
      </w:r>
      <w:r>
        <w:t xml:space="preserve"> </w:t>
      </w:r>
      <w:r>
        <w:t xml:space="preserve">“</w:t>
      </w:r>
      <w:r>
        <w:t xml:space="preserve">novos</w:t>
      </w:r>
      <w:r>
        <w:t xml:space="preserve">”</w:t>
      </w:r>
      <w:r>
        <w:t xml:space="preserve"> </w:t>
      </w:r>
      <w:r>
        <w:t xml:space="preserve">os alimentos e ingredientes que, antes de 15 de maio de 1997, não eram usados em quantidade significativa para consumo humano na UE. Eles só podem ser vendidos após uma avaliação de segurança e uma autorização da UE.</w:t>
      </w:r>
    </w:p>
    <w:p>
      <w:pPr>
        <w:pStyle w:val="BodyText"/>
      </w:pPr>
      <w:r>
        <w:t xml:space="preserve">Para os peptídeos, isso significa: hidrolisados de colágeno obtidos de gelatina têm um longo histórico de consumo e não são Novel Food. Já um peptídeo recém-sintetizado, sem histórico de consumo, que se queira vender como alimento seria, em princípio, um Novel Food e precisaria de autorização – a menos que, de qualquer forma, tenha de ser classificado como medicamento por causa de seu efeito farmacológico. Se uma substância é considerada Novel Food deve ser verificado caso a caso; a Comissão Europeia mantém um catálogo a respeito.</w:t>
      </w:r>
    </w:p>
    <w:bookmarkEnd w:id="217"/>
    <w:bookmarkStart w:id="218" w:name="cosméticos"/>
    <w:p>
      <w:pPr>
        <w:pStyle w:val="Heading3"/>
      </w:pPr>
      <w:r>
        <w:t xml:space="preserve">Cosméticos</w:t>
      </w:r>
    </w:p>
    <w:p>
      <w:pPr>
        <w:pStyle w:val="FirstParagraph"/>
      </w:pPr>
      <w:r>
        <w:t xml:space="preserve">Na UE, os produtos cosméticos são regulados pelo Regulamento de Cosméticos (Regulamento (CE) n.º 1223/2009). Eles se destinam à aplicação externa na pele, nos cabelos, nas unhas, nos lábios, nos dentes ou nas mucosas da boca – para limpar, cuidar, proteger ou alterar a aparência.</w:t>
      </w:r>
    </w:p>
    <w:p>
      <w:pPr>
        <w:numPr>
          <w:ilvl w:val="0"/>
          <w:numId w:val="1031"/>
        </w:numPr>
        <w:pStyle w:val="Compact"/>
      </w:pPr>
      <w:r>
        <w:t xml:space="preserve">Cosméticos</w:t>
      </w:r>
      <w:r>
        <w:t xml:space="preserve"> </w:t>
      </w:r>
      <w:r>
        <w:rPr>
          <w:bCs/>
          <w:b/>
        </w:rPr>
        <w:t xml:space="preserve">não precisam de aprovação</w:t>
      </w:r>
      <w:r>
        <w:t xml:space="preserve">. Uma pessoa responsável na UE, porém, precisa apresentar uma avaliação de segurança e notificar o produto em um portal da UE antes da venda.</w:t>
      </w:r>
    </w:p>
    <w:p>
      <w:pPr>
        <w:numPr>
          <w:ilvl w:val="0"/>
          <w:numId w:val="1031"/>
        </w:numPr>
        <w:pStyle w:val="Compact"/>
      </w:pPr>
      <w:r>
        <w:t xml:space="preserve">Certas substâncias são proibidas ou permitidas apenas com restrições.</w:t>
      </w:r>
    </w:p>
    <w:p>
      <w:pPr>
        <w:numPr>
          <w:ilvl w:val="0"/>
          <w:numId w:val="1031"/>
        </w:numPr>
        <w:pStyle w:val="Compact"/>
      </w:pPr>
      <w:r>
        <w:t xml:space="preserve">As alegações publicitárias precisam ser comprováveis e não podem ser enganosas. Alegações sobre o tratamento de doenças são proibidas.</w:t>
      </w:r>
    </w:p>
    <w:p>
      <w:pPr>
        <w:numPr>
          <w:ilvl w:val="0"/>
          <w:numId w:val="1031"/>
        </w:numPr>
        <w:pStyle w:val="Compact"/>
      </w:pPr>
      <w:r>
        <w:rPr>
          <w:bCs/>
          <w:b/>
        </w:rPr>
        <w:t xml:space="preserve">O que é injetado nunca é cosmético.</w:t>
      </w:r>
      <w:r>
        <w:t xml:space="preserve"> </w:t>
      </w:r>
      <w:r>
        <w:t xml:space="preserve">Injeções não se enquadram na definição de produtos cosméticos.</w:t>
      </w:r>
    </w:p>
    <w:p>
      <w:pPr>
        <w:pStyle w:val="FirstParagraph"/>
      </w:pPr>
      <w:r>
        <w:t xml:space="preserve">Por isso, peptídeos cosméticos como o palmitoil pentapeptídeo-4 ou o acetil hexapeptídeo-8 são legais em cremes e séruns. Já um peptídeo como o melanotan II, que é injetado sob a pele e age no corpo inteiro, não é cosmético, mesmo que seja anunciado como</w:t>
      </w:r>
      <w:r>
        <w:t xml:space="preserve"> </w:t>
      </w:r>
      <w:r>
        <w:t xml:space="preserve">“</w:t>
      </w:r>
      <w:r>
        <w:t xml:space="preserve">bronzeador</w:t>
      </w:r>
      <w:r>
        <w:t xml:space="preserve">”</w:t>
      </w:r>
      <w:r>
        <w:t xml:space="preserve">.</w:t>
      </w:r>
    </w:p>
    <w:bookmarkEnd w:id="218"/>
    <w:bookmarkStart w:id="219" w:name="áustria"/>
    <w:p>
      <w:pPr>
        <w:pStyle w:val="Heading3"/>
      </w:pPr>
      <w:r>
        <w:t xml:space="preserve">Áustria</w:t>
      </w:r>
    </w:p>
    <w:p>
      <w:pPr>
        <w:pStyle w:val="FirstParagraph"/>
      </w:pPr>
      <w:r>
        <w:t xml:space="preserve">Na Áustria, a</w:t>
      </w:r>
      <w:r>
        <w:t xml:space="preserve"> </w:t>
      </w:r>
      <w:r>
        <w:rPr>
          <w:bCs/>
          <w:b/>
        </w:rPr>
        <w:t xml:space="preserve">Lei de Medicamentos (Arzneimittelgesetz, AMG)</w:t>
      </w:r>
      <w:r>
        <w:t xml:space="preserve"> </w:t>
      </w:r>
      <w:r>
        <w:t xml:space="preserve">regula a aprovação, a fabricação e a dispensação de medicamentos. A autoridade competente para aprovação e fiscalização é a Agência Federal de Segurança na Saúde (BASG), com a AGES Medizinmarktaufsicht. Medicamentos sujeitos a prescrição só são dispensados em farmácias mediante receita; a venda a distância por farmácias se limita a medicamentos isentos de prescrição.</w:t>
      </w:r>
    </w:p>
    <w:p>
      <w:pPr>
        <w:pStyle w:val="BodyText"/>
      </w:pPr>
      <w:r>
        <w:t xml:space="preserve">A importação de medicamentos é regulada pela</w:t>
      </w:r>
      <w:r>
        <w:t xml:space="preserve"> </w:t>
      </w:r>
      <w:r>
        <w:rPr>
          <w:bCs/>
          <w:b/>
        </w:rPr>
        <w:t xml:space="preserve">Lei de Importação de Medicamentos (Arzneiwareneinfuhrgesetz)</w:t>
      </w:r>
      <w:r>
        <w:t xml:space="preserve">. Pessoas físicas só podem importar medicamentos sob determinadas condições e em quantidades para uso pessoal; para pedidos de países fora do Espaço Econômico Europeu valem regras mais rígidas. Substâncias não aprovadas de lojas de</w:t>
      </w:r>
      <w:r>
        <w:t xml:space="preserve"> </w:t>
      </w:r>
      <w:r>
        <w:t xml:space="preserve">“</w:t>
      </w:r>
      <w:r>
        <w:t xml:space="preserve">produtos químicos de pesquisa</w:t>
      </w:r>
      <w:r>
        <w:t xml:space="preserve">”</w:t>
      </w:r>
      <w:r>
        <w:t xml:space="preserve"> </w:t>
      </w:r>
      <w:r>
        <w:t xml:space="preserve">em regra não cumprem essas condições. A alfândega pode apreender essas remessas.</w:t>
      </w:r>
    </w:p>
    <w:p>
      <w:pPr>
        <w:pStyle w:val="BodyText"/>
      </w:pPr>
      <w:r>
        <w:t xml:space="preserve">Para o esporte vale a</w:t>
      </w:r>
      <w:r>
        <w:t xml:space="preserve"> </w:t>
      </w:r>
      <w:r>
        <w:rPr>
          <w:bCs/>
          <w:b/>
        </w:rPr>
        <w:t xml:space="preserve">Lei Federal Antidoping de 2021 (Anti-Doping-Bundesgesetz 2021)</w:t>
      </w:r>
      <w:r>
        <w:t xml:space="preserve">. Ela remete à lista de substâncias proibidas da Agência Mundial Antidoping e contém proibições e disposições penais, especialmente para a colocação no mercado e o repasse de substâncias proibidas. A responsável pelos controles é a Agência Nacional Antidoping da Áustria (NADA Austria).</w:t>
      </w:r>
    </w:p>
    <w:p>
      <w:pPr>
        <w:pStyle w:val="BodyText"/>
      </w:pPr>
      <w:r>
        <w:t xml:space="preserve">Situação em 2026, verificar atualização.</w:t>
      </w:r>
    </w:p>
    <w:bookmarkEnd w:id="219"/>
    <w:bookmarkStart w:id="220" w:name="alemanha"/>
    <w:p>
      <w:pPr>
        <w:pStyle w:val="Heading3"/>
      </w:pPr>
      <w:r>
        <w:t xml:space="preserve">Alemanha</w:t>
      </w:r>
    </w:p>
    <w:p>
      <w:pPr>
        <w:pStyle w:val="FirstParagraph"/>
      </w:pPr>
      <w:r>
        <w:t xml:space="preserve">Na Alemanha vale a</w:t>
      </w:r>
      <w:r>
        <w:t xml:space="preserve"> </w:t>
      </w:r>
      <w:r>
        <w:rPr>
          <w:bCs/>
          <w:b/>
        </w:rPr>
        <w:t xml:space="preserve">Lei de Medicamentos (Arzneimittelgesetz, AMG)</w:t>
      </w:r>
      <w:r>
        <w:t xml:space="preserve">. As autoridades de aprovação são o BfArM e o Instituto Paul Ehrlich. Medicamentos sujeitos a prescrição só podem ser dispensados mediante receita, também na venda a distância por farmácias autorizadas para isso.</w:t>
      </w:r>
    </w:p>
    <w:p>
      <w:pPr>
        <w:pStyle w:val="BodyText"/>
      </w:pPr>
      <w:r>
        <w:t xml:space="preserve">Para a importação vale, em princípio, a proibição de trazer para a Alemanha medicamentos não aprovados. Há uma exceção para uso pessoal, quando o medicamento é legalmente comercializado no país de origem e é adquirido de um Estado-Membro da UE ou do Espaço Econômico Europeu sem intermediação comercial; além disso, existem regras especiais bastante restritas. Para peptídeos do mercado cinza que não são aprovados como medicamento em lugar nenhum, essa exceção, no nosso entendimento, não se aplica.</w:t>
      </w:r>
    </w:p>
    <w:p>
      <w:pPr>
        <w:pStyle w:val="BodyText"/>
      </w:pPr>
      <w:r>
        <w:t xml:space="preserve">Quem fabrica, coloca no mercado ou entrega a terceiros medicamentos sem autorização pode cometer crime segundo a AMG. Isso vale especialmente para os chamados medicamentos questionáveis, em relação aos quais há suspeita fundamentada de efeitos nocivos.</w:t>
      </w:r>
    </w:p>
    <w:p>
      <w:pPr>
        <w:pStyle w:val="BodyText"/>
      </w:pPr>
      <w:r>
        <w:t xml:space="preserve">Para o esporte vale, além disso, a</w:t>
      </w:r>
      <w:r>
        <w:t xml:space="preserve"> </w:t>
      </w:r>
      <w:r>
        <w:rPr>
          <w:bCs/>
          <w:b/>
        </w:rPr>
        <w:t xml:space="preserve">Lei Antidoping (Anti-Doping-Gesetz, AntiDopG)</w:t>
      </w:r>
      <w:r>
        <w:t xml:space="preserve">. Ela proíbe, entre outras coisas, a fabricação, o comércio e a colocação no mercado de substâncias dopantes, assim como sua aplicação em outras pessoas. A aquisição e a posse de determinadas substâncias listadas em um anexo da lei – entre elas hormônios peptídicos – são crime quando em quantidade não insignificante e para fins de doping. Para atletas de alto rendimento, também o autodoping é crime. A responsável pelos controles é a Agência Nacional Antidoping da Alemanha (NADA).</w:t>
      </w:r>
    </w:p>
    <w:p>
      <w:pPr>
        <w:pStyle w:val="BodyText"/>
      </w:pPr>
      <w:r>
        <w:t xml:space="preserve">Situação em 2026, verificar atualização.</w:t>
      </w:r>
    </w:p>
    <w:bookmarkEnd w:id="220"/>
    <w:bookmarkStart w:id="223" w:name="eua"/>
    <w:p>
      <w:pPr>
        <w:pStyle w:val="Heading3"/>
      </w:pPr>
      <w:r>
        <w:t xml:space="preserve">EUA</w:t>
      </w:r>
    </w:p>
    <w:p>
      <w:pPr>
        <w:pStyle w:val="FirstParagraph"/>
      </w:pPr>
      <w:r>
        <w:t xml:space="preserve">Nos EUA, a competência é da</w:t>
      </w:r>
      <w:r>
        <w:t xml:space="preserve"> </w:t>
      </w:r>
      <w:r>
        <w:rPr>
          <w:bCs/>
          <w:b/>
        </w:rPr>
        <w:t xml:space="preserve">Food and Drug Administration (FDA)</w:t>
      </w:r>
      <w:r>
        <w:t xml:space="preserve">. Novos medicamentos precisam de aprovação (para substâncias produzidas quimicamente, por meio de uma</w:t>
      </w:r>
      <w:r>
        <w:t xml:space="preserve"> </w:t>
      </w:r>
      <w:r>
        <w:t xml:space="preserve">“</w:t>
      </w:r>
      <w:r>
        <w:t xml:space="preserve">New Drug Application</w:t>
      </w:r>
      <w:r>
        <w:t xml:space="preserve">”</w:t>
      </w:r>
      <w:r>
        <w:t xml:space="preserve">; para substâncias biológicas, por meio de uma</w:t>
      </w:r>
      <w:r>
        <w:t xml:space="preserve"> </w:t>
      </w:r>
      <w:r>
        <w:t xml:space="preserve">“</w:t>
      </w:r>
      <w:r>
        <w:t xml:space="preserve">Biologics License Application</w:t>
      </w:r>
      <w:r>
        <w:t xml:space="preserve">”</w:t>
      </w:r>
      <w:r>
        <w:t xml:space="preserve">).</w:t>
      </w:r>
    </w:p>
    <w:p>
      <w:pPr>
        <w:pStyle w:val="BodyText"/>
      </w:pPr>
      <w:r>
        <w:t xml:space="preserve">Os</w:t>
      </w:r>
      <w:r>
        <w:t xml:space="preserve"> </w:t>
      </w:r>
      <w:r>
        <w:rPr>
          <w:bCs/>
          <w:b/>
        </w:rPr>
        <w:t xml:space="preserve">suplementos alimentares</w:t>
      </w:r>
      <w:r>
        <w:t xml:space="preserve"> </w:t>
      </w:r>
      <w:r>
        <w:t xml:space="preserve">(Dietary Supplements), desde uma lei de 1994, podem em grande parte ser comercializados sem avaliação prévia. Uma substância que foi primeiro aprovada como medicamento ou estudada clinicamente como medicamento em escala considerável, porém, em princípio não pode ser vendida depois como suplemento alimentar. Por esse motivo, muitos peptídeos não podem ser comercializados legalmente como suplemento nos EUA.</w:t>
      </w:r>
    </w:p>
    <w:p>
      <w:pPr>
        <w:pStyle w:val="BodyText"/>
      </w:pPr>
      <w:r>
        <w:rPr>
          <w:bCs/>
          <w:b/>
        </w:rPr>
        <w:t xml:space="preserve">Compounding</w:t>
      </w:r>
      <w:r>
        <w:t xml:space="preserve">: farmácias dos EUA podem, sob certas condições, manipular medicamentos elas mesmas – individualmente para determinados pacientes ou em escala maior em estabelecimentos especialmente fiscalizados. Em caso de falta de medicamentos aprovados, também podem produzir cópias. Com o fim da falta de semaglutida e tirzepatida, pela lei norte-americana, só podem produzir preparações diferentes das aprovadas</w:t>
      </w:r>
      <w:r>
        <w:rPr>
          <w:rStyle w:val="FootnoteReference"/>
        </w:rPr>
        <w:footnoteReference w:id="221"/>
      </w:r>
      <w:r>
        <w:t xml:space="preserve">. Quais substâncias podem ser usadas como matéria-prima para o compounding é definido pela FDA em listas. Até onde sabemos, a FDA classificou vários peptídeos populares do mercado cinza, entre eles o BPC-157, como não adequados para o compounding devido a preocupações de segurança. Essas listas e o debate político sobre elas mudam; verifique a situação atual.</w:t>
      </w:r>
    </w:p>
    <w:p>
      <w:pPr>
        <w:pStyle w:val="BodyText"/>
      </w:pPr>
      <w:r>
        <w:rPr>
          <w:bCs/>
          <w:b/>
        </w:rPr>
        <w:t xml:space="preserve">“</w:t>
      </w:r>
      <w:r>
        <w:rPr>
          <w:bCs/>
          <w:b/>
        </w:rPr>
        <w:t xml:space="preserve">Research Use Only</w:t>
      </w:r>
      <w:r>
        <w:rPr>
          <w:bCs/>
          <w:b/>
        </w:rPr>
        <w:t xml:space="preserve">”</w:t>
      </w:r>
      <w:r>
        <w:t xml:space="preserve">: a venda de peptídeos com o aviso</w:t>
      </w:r>
      <w:r>
        <w:t xml:space="preserve"> </w:t>
      </w:r>
      <w:r>
        <w:t xml:space="preserve">“</w:t>
      </w:r>
      <w:r>
        <w:t xml:space="preserve">apenas para fins de pesquisa</w:t>
      </w:r>
      <w:r>
        <w:t xml:space="preserve">”</w:t>
      </w:r>
      <w:r>
        <w:t xml:space="preserve"> </w:t>
      </w:r>
      <w:r>
        <w:t xml:space="preserve">a consumidores se situa também nos EUA em uma zona cinzenta jurídica, descrita por especialistas como forma de contornar a exigência de prescrição</w:t>
      </w:r>
      <w:r>
        <w:rPr>
          <w:rStyle w:val="FootnoteReference"/>
        </w:rPr>
        <w:footnoteReference w:id="222"/>
      </w:r>
      <w:r>
        <w:t xml:space="preserve">. A FDA enviou cartas de advertência a alguns vendedores.</w:t>
      </w:r>
    </w:p>
    <w:p>
      <w:pPr>
        <w:pStyle w:val="BodyText"/>
      </w:pPr>
      <w:r>
        <w:rPr>
          <w:bCs/>
          <w:b/>
        </w:rPr>
        <w:t xml:space="preserve">Importação</w:t>
      </w:r>
      <w:r>
        <w:t xml:space="preserve">: a FDA tolera, sob condições restritas, a importação de pequenas quantidades de medicamentos para uso pessoal. Não há direito garantido a isso, e substâncias não aprovadas sem acompanhamento médico em regra não se enquadram.</w:t>
      </w:r>
    </w:p>
    <w:p>
      <w:pPr>
        <w:pStyle w:val="BodyText"/>
      </w:pPr>
      <w:r>
        <w:t xml:space="preserve">Situação em 2026, verificar atualização.</w:t>
      </w:r>
    </w:p>
    <w:bookmarkEnd w:id="223"/>
    <w:bookmarkStart w:id="225" w:name="X79518a661e372ae25f0e2f55a22f362d1bfe872"/>
    <w:p>
      <w:pPr>
        <w:pStyle w:val="Heading3"/>
      </w:pPr>
      <w:r>
        <w:t xml:space="preserve">Doping: a lista de substâncias proibidas da WADA</w:t>
      </w:r>
    </w:p>
    <w:p>
      <w:pPr>
        <w:pStyle w:val="FirstParagraph"/>
      </w:pPr>
      <w:r>
        <w:t xml:space="preserve">Para atletas sujeitos a controles antidoping, o que vale é a</w:t>
      </w:r>
      <w:r>
        <w:t xml:space="preserve"> </w:t>
      </w:r>
      <w:r>
        <w:rPr>
          <w:bCs/>
          <w:b/>
        </w:rPr>
        <w:t xml:space="preserve">lista de substâncias proibidas da Agência Mundial Antidoping (WADA)</w:t>
      </w:r>
      <w:r>
        <w:t xml:space="preserve">. Ela é revisada anualmente e entra em vigor sempre em 1º de janeiro. Para os peptídeos, duas seções são especialmente importantes, válidas em competição e fora de competição:</w:t>
      </w:r>
    </w:p>
    <w:p>
      <w:pPr>
        <w:pStyle w:val="BodyText"/>
      </w:pPr>
      <w:r>
        <w:rPr>
          <w:bCs/>
          <w:b/>
        </w:rPr>
        <w:t xml:space="preserve">S0 – Substâncias não aprovadas.</w:t>
      </w:r>
      <w:r>
        <w:t xml:space="preserve"> </w:t>
      </w:r>
      <w:r>
        <w:t xml:space="preserve">São proibidas as substâncias farmacologicamente ativas que não constam de nenhuma outra seção da lista e não foram aprovadas por nenhuma autoridade de saúde para uso em seres humanos – como substâncias em desenvolvimento pré-clínico ou clínico, desenvolvimentos interrompidos, drogas de design e substâncias aprovadas apenas para animais. Muitos peptídeos do mercado cinza entram nesse grupo. O BPC-157, até onde sabemos, é citado expressamente na lista como exemplo.</w:t>
      </w:r>
    </w:p>
    <w:p>
      <w:pPr>
        <w:pStyle w:val="BodyText"/>
      </w:pPr>
      <w:r>
        <w:rPr>
          <w:bCs/>
          <w:b/>
        </w:rPr>
        <w:t xml:space="preserve">S2 – Hormônios peptídicos, fatores de crescimento, substâncias relacionadas e miméticos.</w:t>
      </w:r>
      <w:r>
        <w:t xml:space="preserve"> </w:t>
      </w:r>
      <w:r>
        <w:t xml:space="preserve">Fazem parte desse grupo, entre outros:</w:t>
      </w:r>
    </w:p>
    <w:p>
      <w:pPr>
        <w:numPr>
          <w:ilvl w:val="0"/>
          <w:numId w:val="1032"/>
        </w:numPr>
        <w:pStyle w:val="Compact"/>
      </w:pPr>
      <w:r>
        <w:t xml:space="preserve">o hormônio do crescimento e seus fragmentos (por exemplo, AOD-9604),</w:t>
      </w:r>
    </w:p>
    <w:p>
      <w:pPr>
        <w:numPr>
          <w:ilvl w:val="0"/>
          <w:numId w:val="1032"/>
        </w:numPr>
        <w:pStyle w:val="Compact"/>
      </w:pPr>
      <w:r>
        <w:t xml:space="preserve">o hormônio liberador do hormônio do crescimento e seus análogos (por exemplo, CJC-1295, sermorelina, tesamorelina),</w:t>
      </w:r>
    </w:p>
    <w:p>
      <w:pPr>
        <w:numPr>
          <w:ilvl w:val="0"/>
          <w:numId w:val="1032"/>
        </w:numPr>
        <w:pStyle w:val="Compact"/>
      </w:pPr>
      <w:r>
        <w:t xml:space="preserve">secretagogos do hormônio do crescimento e peptídeos liberadores do hormônio do crescimento (por exemplo, ipamorelina, GHRP-2, GHRP-6, hexarelina, macimorelina e, até onde sabemos, também o ibutamoreno, que não é peptídico),</w:t>
      </w:r>
    </w:p>
    <w:p>
      <w:pPr>
        <w:numPr>
          <w:ilvl w:val="0"/>
          <w:numId w:val="1032"/>
        </w:numPr>
        <w:pStyle w:val="Compact"/>
      </w:pPr>
      <w:r>
        <w:t xml:space="preserve">fatores de crescimento como o IGF-1 e seus análogos, assim como a timosina beta-4 e seus derivados (por exemplo, TB-500),</w:t>
      </w:r>
    </w:p>
    <w:p>
      <w:pPr>
        <w:numPr>
          <w:ilvl w:val="0"/>
          <w:numId w:val="1032"/>
        </w:numPr>
        <w:pStyle w:val="Compact"/>
      </w:pPr>
      <w:r>
        <w:t xml:space="preserve">em homens, hormônios e fatores de liberação do eixo dos hormônios sexuais (por exemplo, gonadorelina e kisspeptina).</w:t>
      </w:r>
    </w:p>
    <w:p>
      <w:pPr>
        <w:pStyle w:val="FirstParagraph"/>
      </w:pPr>
      <w:r>
        <w:t xml:space="preserve">Além disso, na seção S4, entre outros, as insulinas são proibidas como moduladores metabólicos. Medicamentos GLP-1 como semaglutida ou tirzepatida, até onde sabemos, atualmente não estão na lista de substâncias proibidas. A lista cita exemplos, mas não é exaustiva: substâncias não citadas com estrutura química semelhante ou efeito biológico semelhante também podem ser proibidas.</w:t>
      </w:r>
    </w:p>
    <w:p>
      <w:pPr>
        <w:pStyle w:val="BodyText"/>
      </w:pPr>
      <w:r>
        <w:t xml:space="preserve">No direito antidoping vale a</w:t>
      </w:r>
      <w:r>
        <w:t xml:space="preserve"> </w:t>
      </w:r>
      <w:r>
        <w:rPr>
          <w:bCs/>
          <w:b/>
        </w:rPr>
        <w:t xml:space="preserve">responsabilidade objetiva</w:t>
      </w:r>
      <w:r>
        <w:t xml:space="preserve">: se uma substância proibida é encontrada em uma amostra, isso é uma violação – independentemente de ter sido tomada intencionalmente ou de vir, por exemplo, de um suplemento alimentar contaminado. Quem precisa de um medicamento aprovado e proibido por razões médicas pode solicitar uma</w:t>
      </w:r>
      <w:r>
        <w:t xml:space="preserve"> </w:t>
      </w:r>
      <w:r>
        <w:rPr>
          <w:bCs/>
          <w:b/>
        </w:rPr>
        <w:t xml:space="preserve">autorização de uso terapêutico</w:t>
      </w:r>
      <w:r>
        <w:t xml:space="preserve"> </w:t>
      </w:r>
      <w:r>
        <w:t xml:space="preserve">(Therapeutic Use Exemption, TUE). Para substâncias não aprovadas da seção S0, isso está praticamente excluído.</w:t>
      </w:r>
    </w:p>
    <w:p>
      <w:pPr>
        <w:pStyle w:val="BodyText"/>
      </w:pPr>
      <w:r>
        <w:t xml:space="preserve">Os laboratórios de controle antidoping desenvolvem continuamente métodos de detecção para novos peptídeos, muitas vezes com base em produtos apreendidos</w:t>
      </w:r>
      <w:r>
        <w:rPr>
          <w:rStyle w:val="FootnoteReference"/>
        </w:rPr>
        <w:footnoteReference w:id="224"/>
      </w:r>
      <w:r>
        <w:t xml:space="preserve">. O fato de uma substância não ser detectável ontem não significa que não o será amanhã – e amostras congeladas podem ser reanalisadas anos depois.</w:t>
      </w:r>
    </w:p>
    <w:p>
      <w:pPr>
        <w:pStyle w:val="BodyText"/>
      </w:pPr>
      <w:r>
        <w:t xml:space="preserve">Situação em 2026, verificar a lista de substâncias proibidas da WADA atualizada.</w:t>
      </w:r>
    </w:p>
    <w:bookmarkEnd w:id="225"/>
    <w:bookmarkStart w:id="226" w:name="responsabilidade-quem-assume-o-risco"/>
    <w:p>
      <w:pPr>
        <w:pStyle w:val="Heading3"/>
      </w:pPr>
      <w:r>
        <w:t xml:space="preserve">Responsabilidade: quem assume o risco?</w:t>
      </w:r>
    </w:p>
    <w:p>
      <w:pPr>
        <w:pStyle w:val="FirstParagraph"/>
      </w:pPr>
      <w:r>
        <w:t xml:space="preserve">No caso de</w:t>
      </w:r>
      <w:r>
        <w:t xml:space="preserve"> </w:t>
      </w:r>
      <w:r>
        <w:rPr>
          <w:bCs/>
          <w:b/>
        </w:rPr>
        <w:t xml:space="preserve">medicamentos aprovados</w:t>
      </w:r>
      <w:r>
        <w:t xml:space="preserve">, fabricantes, farmácias e médicas e médicos prescritores estão integrados a um sistema de responsabilidade e de obrigação de indenizar. Na Alemanha, a Lei de Medicamentos prevê uma responsabilidade especial do fabricante por danos causados por medicamentos aprovados, que independe de culpa; na Áustria, aplicam-se o direito geral de indenização e a Lei de Responsabilidade pelo Produto. Os efeitos colaterais são notificados, analisados e podem levar a advertências ou à retirada do mercado.</w:t>
      </w:r>
    </w:p>
    <w:p>
      <w:pPr>
        <w:pStyle w:val="BodyText"/>
      </w:pPr>
      <w:r>
        <w:t xml:space="preserve">No caso de</w:t>
      </w:r>
      <w:r>
        <w:t xml:space="preserve"> </w:t>
      </w:r>
      <w:r>
        <w:rPr>
          <w:bCs/>
          <w:b/>
        </w:rPr>
        <w:t xml:space="preserve">produtos do mercado cinza</w:t>
      </w:r>
      <w:r>
        <w:t xml:space="preserve">, esse sistema falta em grande parte:</w:t>
      </w:r>
    </w:p>
    <w:p>
      <w:pPr>
        <w:numPr>
          <w:ilvl w:val="0"/>
          <w:numId w:val="1033"/>
        </w:numPr>
        <w:pStyle w:val="Compact"/>
      </w:pPr>
      <w:r>
        <w:t xml:space="preserve">Os vendedores muitas vezes ficam no exterior, mudam com frequência de nome e de site e são praticamente inalcançáveis.</w:t>
      </w:r>
    </w:p>
    <w:p>
      <w:pPr>
        <w:numPr>
          <w:ilvl w:val="0"/>
          <w:numId w:val="1033"/>
        </w:numPr>
        <w:pStyle w:val="Compact"/>
      </w:pPr>
      <w:r>
        <w:t xml:space="preserve">Com o aviso</w:t>
      </w:r>
      <w:r>
        <w:t xml:space="preserve"> </w:t>
      </w:r>
      <w:r>
        <w:t xml:space="preserve">“</w:t>
      </w:r>
      <w:r>
        <w:t xml:space="preserve">não destinado ao uso em seres humanos</w:t>
      </w:r>
      <w:r>
        <w:t xml:space="preserve">”</w:t>
      </w:r>
      <w:r>
        <w:t xml:space="preserve">, tentam se eximir de qualquer responsabilidade.</w:t>
      </w:r>
    </w:p>
    <w:p>
      <w:pPr>
        <w:numPr>
          <w:ilvl w:val="0"/>
          <w:numId w:val="1033"/>
        </w:numPr>
        <w:pStyle w:val="Compact"/>
      </w:pPr>
      <w:r>
        <w:t xml:space="preserve">Quem usa esse produto em si mesmo assume em grande parte sozinho o risco para a saúde e o risco financeiro.</w:t>
      </w:r>
    </w:p>
    <w:p>
      <w:pPr>
        <w:numPr>
          <w:ilvl w:val="0"/>
          <w:numId w:val="1033"/>
        </w:numPr>
        <w:pStyle w:val="Compact"/>
      </w:pPr>
      <w:r>
        <w:t xml:space="preserve">Quem repassa esse produto a outras pessoas ou o aplica nelas – por exemplo, em uma academia, um estúdio de estética ou um centro de bem-estar – pode cometer crime e, conforme as circunstâncias, responde pelos danos.</w:t>
      </w:r>
    </w:p>
    <w:p>
      <w:pPr>
        <w:pStyle w:val="FirstParagraph"/>
      </w:pPr>
      <w:r>
        <w:t xml:space="preserve">Também na</w:t>
      </w:r>
      <w:r>
        <w:t xml:space="preserve"> </w:t>
      </w:r>
      <w:r>
        <w:rPr>
          <w:bCs/>
          <w:b/>
        </w:rPr>
        <w:t xml:space="preserve">aplicação por médicas e médicos</w:t>
      </w:r>
      <w:r>
        <w:t xml:space="preserve"> </w:t>
      </w:r>
      <w:r>
        <w:t xml:space="preserve">valem critérios rigorosos. Quem administra substâncias não aprovadas precisa esclarecer amplamente sobre a incerteza dos dados e responde por erros de tratamento. Consequências no âmbito do direito profissional são possíveis.</w:t>
      </w:r>
    </w:p>
    <w:bookmarkEnd w:id="226"/>
    <w:bookmarkStart w:id="227" w:name="a-situação-legal-em-resumo"/>
    <w:p>
      <w:pPr>
        <w:pStyle w:val="Heading3"/>
      </w:pPr>
      <w:r>
        <w:t xml:space="preserve">A situação legal em resumo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Situação</w:t>
            </w:r>
          </w:p>
        </w:tc>
        <w:tc>
          <w:tcPr/>
          <w:p>
            <w:pPr>
              <w:pStyle w:val="Compact"/>
              <w:jc w:val="left"/>
            </w:pPr>
            <w:r>
              <w:t xml:space="preserve">Enquadramento (simplificado)</w:t>
            </w:r>
          </w:p>
        </w:tc>
      </w:tr>
      <w:tr>
        <w:tc>
          <w:tcPr/>
          <w:p>
            <w:pPr>
              <w:pStyle w:val="Compact"/>
              <w:jc w:val="left"/>
            </w:pPr>
            <w:r>
              <w:t xml:space="preserve">Peptídeo aprovado, com receita, da farmácia</w:t>
            </w:r>
          </w:p>
        </w:tc>
        <w:tc>
          <w:tcPr/>
          <w:p>
            <w:pPr>
              <w:pStyle w:val="Compact"/>
              <w:jc w:val="left"/>
            </w:pPr>
            <w:r>
              <w:t xml:space="preserve">legal, com acompanhamento médico</w:t>
            </w:r>
          </w:p>
        </w:tc>
      </w:tr>
      <w:tr>
        <w:tc>
          <w:tcPr/>
          <w:p>
            <w:pPr>
              <w:pStyle w:val="Compact"/>
              <w:jc w:val="left"/>
            </w:pPr>
            <w:r>
              <w:t xml:space="preserve">Peptídeo aprovado, sem receita, da internet</w:t>
            </w:r>
          </w:p>
        </w:tc>
        <w:tc>
          <w:tcPr/>
          <w:p>
            <w:pPr>
              <w:pStyle w:val="Compact"/>
              <w:jc w:val="left"/>
            </w:pPr>
            <w:r>
              <w:t xml:space="preserve">em regra ilegal, risco de falsificação</w:t>
            </w:r>
          </w:p>
        </w:tc>
      </w:tr>
      <w:tr>
        <w:tc>
          <w:tcPr/>
          <w:p>
            <w:pPr>
              <w:pStyle w:val="Compact"/>
              <w:jc w:val="left"/>
            </w:pPr>
            <w:r>
              <w:t xml:space="preserve">Peptídeo não aprovado como</w:t>
            </w:r>
            <w:r>
              <w:t xml:space="preserve"> </w:t>
            </w:r>
            <w:r>
              <w:t xml:space="preserve">“</w:t>
            </w:r>
            <w:r>
              <w:t xml:space="preserve">produto químico de pesquisa</w:t>
            </w:r>
            <w:r>
              <w:t xml:space="preserve">”</w:t>
            </w:r>
          </w:p>
        </w:tc>
        <w:tc>
          <w:tcPr/>
          <w:p>
            <w:pPr>
              <w:pStyle w:val="Compact"/>
              <w:jc w:val="left"/>
            </w:pPr>
            <w:r>
              <w:t xml:space="preserve">em regra medicamento não comercializável</w:t>
            </w:r>
          </w:p>
        </w:tc>
      </w:tr>
      <w:tr>
        <w:tc>
          <w:tcPr/>
          <w:p>
            <w:pPr>
              <w:pStyle w:val="Compact"/>
              <w:jc w:val="left"/>
            </w:pPr>
            <w:r>
              <w:t xml:space="preserve">Peptídeos de colágeno como alimento</w:t>
            </w:r>
          </w:p>
        </w:tc>
        <w:tc>
          <w:tcPr/>
          <w:p>
            <w:pPr>
              <w:pStyle w:val="Compact"/>
              <w:jc w:val="left"/>
            </w:pPr>
            <w:r>
              <w:t xml:space="preserve">legal, alegações publicitárias restritas</w:t>
            </w:r>
          </w:p>
        </w:tc>
      </w:tr>
      <w:tr>
        <w:tc>
          <w:tcPr/>
          <w:p>
            <w:pPr>
              <w:pStyle w:val="Compact"/>
              <w:jc w:val="left"/>
            </w:pPr>
            <w:r>
              <w:t xml:space="preserve">Creme com peptídeo como cosmético</w:t>
            </w:r>
          </w:p>
        </w:tc>
        <w:tc>
          <w:tcPr/>
          <w:p>
            <w:pPr>
              <w:pStyle w:val="Compact"/>
              <w:jc w:val="left"/>
            </w:pPr>
            <w:r>
              <w:t xml:space="preserve">legal, desde que seguro e não anunciado como remédio</w:t>
            </w:r>
          </w:p>
        </w:tc>
      </w:tr>
      <w:tr>
        <w:tc>
          <w:tcPr/>
          <w:p>
            <w:pPr>
              <w:pStyle w:val="Compact"/>
              <w:jc w:val="left"/>
            </w:pPr>
            <w:r>
              <w:t xml:space="preserve">Peptídeo proibido no esporte controlado</w:t>
            </w:r>
          </w:p>
        </w:tc>
        <w:tc>
          <w:tcPr/>
          <w:p>
            <w:pPr>
              <w:pStyle w:val="Compact"/>
              <w:jc w:val="left"/>
            </w:pPr>
            <w:r>
              <w:t xml:space="preserve">violação antidoping, às vezes crime</w:t>
            </w:r>
          </w:p>
        </w:tc>
      </w:tr>
    </w:tbl>
    <w:bookmarkEnd w:id="227"/>
    <w:bookmarkStart w:id="228" w:name="o-essencial-em-resumo-4"/>
    <w:p>
      <w:pPr>
        <w:pStyle w:val="Heading3"/>
      </w:pPr>
      <w:r>
        <w:t xml:space="preserve">O essencial em resumo</w:t>
      </w:r>
    </w:p>
    <w:p>
      <w:pPr>
        <w:numPr>
          <w:ilvl w:val="0"/>
          <w:numId w:val="1034"/>
        </w:numPr>
        <w:pStyle w:val="Compact"/>
      </w:pPr>
      <w:r>
        <w:t xml:space="preserve">Se um peptídeo é medicamento, alimento ou cosmético depende do efeito, da finalidade e da apresentação. Havendo efeito farmacológico, prevalece o direito dos medicamentos.</w:t>
      </w:r>
    </w:p>
    <w:p>
      <w:pPr>
        <w:numPr>
          <w:ilvl w:val="0"/>
          <w:numId w:val="1034"/>
        </w:numPr>
        <w:pStyle w:val="Compact"/>
      </w:pPr>
      <w:r>
        <w:t xml:space="preserve">Medicamentos precisam de aprovação. A maioria dos medicamentos peptídicos está sujeita a prescrição.</w:t>
      </w:r>
    </w:p>
    <w:p>
      <w:pPr>
        <w:numPr>
          <w:ilvl w:val="0"/>
          <w:numId w:val="1034"/>
        </w:numPr>
        <w:pStyle w:val="Compact"/>
      </w:pPr>
      <w:r>
        <w:t xml:space="preserve">A inscrição</w:t>
      </w:r>
      <w:r>
        <w:t xml:space="preserve"> </w:t>
      </w:r>
      <w:r>
        <w:t xml:space="preserve">“</w:t>
      </w:r>
      <w:r>
        <w:t xml:space="preserve">apenas para fins de pesquisa</w:t>
      </w:r>
      <w:r>
        <w:t xml:space="preserve">”</w:t>
      </w:r>
      <w:r>
        <w:t xml:space="preserve"> </w:t>
      </w:r>
      <w:r>
        <w:t xml:space="preserve">não torna legal a venda a pessoas físicas nem as protege.</w:t>
      </w:r>
    </w:p>
    <w:p>
      <w:pPr>
        <w:numPr>
          <w:ilvl w:val="0"/>
          <w:numId w:val="1034"/>
        </w:numPr>
        <w:pStyle w:val="Compact"/>
      </w:pPr>
      <w:r>
        <w:t xml:space="preserve">Muitos peptídeos do mercado cinza são proibidos no esporte, muitas vezes pelas seções S0 e S2 da lista da WADA.</w:t>
      </w:r>
    </w:p>
    <w:p>
      <w:pPr>
        <w:numPr>
          <w:ilvl w:val="0"/>
          <w:numId w:val="1034"/>
        </w:numPr>
        <w:pStyle w:val="Compact"/>
      </w:pPr>
      <w:r>
        <w:t xml:space="preserve">Com produtos do mercado cinza, quem os usa assume o risco em grande parte sozinho.</w:t>
      </w:r>
    </w:p>
    <w:p>
      <w:pPr>
        <w:pStyle w:val="FirstParagraph"/>
      </w:pPr>
      <w:r>
        <w:t xml:space="preserve">Todas as informações deste capítulo: situação em 2026, não constitui assessoria jurídica, verificar atualização.</w:t>
      </w:r>
    </w:p>
    <w:bookmarkEnd w:id="228"/>
    <w:bookmarkEnd w:id="229"/>
    <w:bookmarkEnd w:id="230"/>
    <w:bookmarkStart w:id="892" w:name="parte-ii-a-metabolismo-e-peso"/>
    <w:p>
      <w:pPr>
        <w:pStyle w:val="Heading1"/>
      </w:pPr>
      <w:r>
        <w:t xml:space="preserve">Parte II · A – Metabolismo e peso</w:t>
      </w:r>
    </w:p>
    <w:p>
      <w:pPr>
        <w:pStyle w:val="FirstParagraph"/>
      </w:pPr>
      <w:r>
        <w:t xml:space="preserve">Nenhum grupo de peptídeos mudou tanto a medicina dos últimos anos quanto as substâncias desta seção. Elas foram desenvolvidas originalmente para o diabetes tipo 2, tornaram-se depois os medicamentos para emagrecer mais eficazes que já existiram e hoje estão sendo estudadas na insuficiência cardíaca, na apneia do sono, na doença hepática gordurosa e em doenças renais. Ao mesmo tempo, poucas áreas são tão afetadas pelo mercado cinza: substâncias que ainda estão em estudo são vendidas na internet como</w:t>
      </w:r>
      <w:r>
        <w:t xml:space="preserve"> </w:t>
      </w:r>
      <w:r>
        <w:t xml:space="preserve">“</w:t>
      </w:r>
      <w:r>
        <w:t xml:space="preserve">Research Peptides</w:t>
      </w:r>
      <w:r>
        <w:t xml:space="preserve">”</w:t>
      </w:r>
      <w:r>
        <w:t xml:space="preserve">.</w:t>
      </w:r>
    </w:p>
    <w:bookmarkStart w:id="231" w:name="Xcd9084bc0aad736485a809606459ce4bf83d59b"/>
    <w:p>
      <w:pPr>
        <w:pStyle w:val="Heading3"/>
      </w:pPr>
      <w:r>
        <w:t xml:space="preserve">O que une essas substâncias: hormônios do intestino e do pâncreas</w:t>
      </w:r>
    </w:p>
    <w:p>
      <w:pPr>
        <w:pStyle w:val="FirstParagraph"/>
      </w:pPr>
      <w:r>
        <w:t xml:space="preserve">Quase todas as substâncias deste grupo imitam hormônios que o corpo libera em torno de uma refeição. Quatro deles você deve conhecer:</w:t>
      </w:r>
    </w:p>
    <w:p>
      <w:pPr>
        <w:numPr>
          <w:ilvl w:val="0"/>
          <w:numId w:val="1035"/>
        </w:numPr>
        <w:pStyle w:val="Compact"/>
      </w:pPr>
      <w:r>
        <w:rPr>
          <w:bCs/>
          <w:b/>
        </w:rPr>
        <w:t xml:space="preserve">GLP-1 (glucagon-like peptide-1)</w:t>
      </w:r>
      <w:r>
        <w:t xml:space="preserve"> </w:t>
      </w:r>
      <w:r>
        <w:t xml:space="preserve">é liberado por células do intestino delgado e do intestino grosso assim que o alimento chega. Ele aumenta a liberação de insulina – mas apenas quando a glicose está elevada –, retarda o esvaziamento do estômago e sinaliza saciedade ao cérebro. O GLP-1 do próprio corpo é degradado em poucos minutos; os medicamentos são modificados para agir de um dia a uma semana.</w:t>
      </w:r>
    </w:p>
    <w:p>
      <w:pPr>
        <w:numPr>
          <w:ilvl w:val="0"/>
          <w:numId w:val="1035"/>
        </w:numPr>
        <w:pStyle w:val="Compact"/>
      </w:pPr>
      <w:r>
        <w:rPr>
          <w:bCs/>
          <w:b/>
        </w:rPr>
        <w:t xml:space="preserve">GIP (polipeptídeo insulinotrópico dependente de glicose)</w:t>
      </w:r>
      <w:r>
        <w:t xml:space="preserve"> </w:t>
      </w:r>
      <w:r>
        <w:t xml:space="preserve">vem da parte superior do intestino delgado e também aumenta a liberação de insulina. Seu papel no apetite e no peso corporal é contraditório: a tirzepatida ativa o receptor de GIP, a maridebarte cafraglutida o bloqueia – e ambas levam à perda de peso.</w:t>
      </w:r>
    </w:p>
    <w:p>
      <w:pPr>
        <w:numPr>
          <w:ilvl w:val="0"/>
          <w:numId w:val="1035"/>
        </w:numPr>
        <w:pStyle w:val="Compact"/>
      </w:pPr>
      <w:r>
        <w:rPr>
          <w:bCs/>
          <w:b/>
        </w:rPr>
        <w:t xml:space="preserve">Glucagon</w:t>
      </w:r>
      <w:r>
        <w:t xml:space="preserve"> </w:t>
      </w:r>
      <w:r>
        <w:t xml:space="preserve">é o hormônio antagonista da insulina, produzido pelo pâncreas. Ele eleva a glicose, mas também aumenta o gasto de energia e a queima de gordura no fígado. Substâncias mais novas exploram de forma direcionada esse segundo lado.</w:t>
      </w:r>
    </w:p>
    <w:p>
      <w:pPr>
        <w:numPr>
          <w:ilvl w:val="0"/>
          <w:numId w:val="1035"/>
        </w:numPr>
        <w:pStyle w:val="Compact"/>
      </w:pPr>
      <w:r>
        <w:rPr>
          <w:bCs/>
          <w:b/>
        </w:rPr>
        <w:t xml:space="preserve">Amilina</w:t>
      </w:r>
      <w:r>
        <w:t xml:space="preserve"> </w:t>
      </w:r>
      <w:r>
        <w:t xml:space="preserve">é liberada junto com a insulina pelas células beta do pâncreas. Ela age no tronco cerebral promovendo saciedade e retarda o esvaziamento do estômago.</w:t>
      </w:r>
    </w:p>
    <w:p>
      <w:pPr>
        <w:pStyle w:val="FirstParagraph"/>
      </w:pPr>
      <w:r>
        <w:t xml:space="preserve">GLP-1 e GIP são chamados de</w:t>
      </w:r>
      <w:r>
        <w:t xml:space="preserve"> </w:t>
      </w:r>
      <w:r>
        <w:rPr>
          <w:bCs/>
          <w:b/>
        </w:rPr>
        <w:t xml:space="preserve">incretinas</w:t>
      </w:r>
      <w:r>
        <w:t xml:space="preserve"> </w:t>
      </w:r>
      <w:r>
        <w:t xml:space="preserve">(derivado do inglês</w:t>
      </w:r>
      <w:r>
        <w:t xml:space="preserve"> </w:t>
      </w:r>
      <w:r>
        <w:t xml:space="preserve">“</w:t>
      </w:r>
      <w:r>
        <w:t xml:space="preserve">INtestinal seCRETion of INsulin</w:t>
      </w:r>
      <w:r>
        <w:t xml:space="preserve">”</w:t>
      </w:r>
      <w:r>
        <w:t xml:space="preserve">, ou seja, liberação de insulina desencadeada pelo intestino): elas explicam por que o açúcar ingerido libera mais insulina do que a mesma quantidade de açúcar aplicada diretamente na veia. A evolução pode ser lida como uma sequência de etapas: primeiro agonistas puros de GLP-1, depois combinações com GIP, glucagon ou amilina em uma só molécula e, por fim, comprimidos que nem são mais peptídeos.</w:t>
      </w:r>
    </w:p>
    <w:p>
      <w:pPr>
        <w:pStyle w:val="BodyText"/>
      </w:pPr>
      <w:r>
        <w:t xml:space="preserve">Duas substâncias deste grupo não se encaixam nesse esquema: a</w:t>
      </w:r>
      <w:r>
        <w:t xml:space="preserve"> </w:t>
      </w:r>
      <w:r>
        <w:rPr>
          <w:bCs/>
          <w:b/>
        </w:rPr>
        <w:t xml:space="preserve">setmelanotida</w:t>
      </w:r>
      <w:r>
        <w:t xml:space="preserve"> </w:t>
      </w:r>
      <w:r>
        <w:t xml:space="preserve">age mais profundamente no cérebro, no receptor de melanocortina-4, e se destina apenas a formas genéticas raras de obesidade. O</w:t>
      </w:r>
      <w:r>
        <w:t xml:space="preserve"> </w:t>
      </w:r>
      <w:r>
        <w:rPr>
          <w:bCs/>
          <w:b/>
        </w:rPr>
        <w:t xml:space="preserve">AOD-9604</w:t>
      </w:r>
      <w:r>
        <w:t xml:space="preserve"> </w:t>
      </w:r>
      <w:r>
        <w:t xml:space="preserve">é um fragmento do hormônio do crescimento comercializado como</w:t>
      </w:r>
      <w:r>
        <w:t xml:space="preserve"> </w:t>
      </w:r>
      <w:r>
        <w:t xml:space="preserve">“</w:t>
      </w:r>
      <w:r>
        <w:t xml:space="preserve">queimador de gordura</w:t>
      </w:r>
      <w:r>
        <w:t xml:space="preserve">”</w:t>
      </w:r>
      <w:r>
        <w:t xml:space="preserve"> </w:t>
      </w:r>
      <w:r>
        <w:t xml:space="preserve">sem que existam estudos em humanos publicados.</w:t>
      </w:r>
    </w:p>
    <w:bookmarkEnd w:id="231"/>
    <w:bookmarkStart w:id="232" w:name="visão-geral"/>
    <w:p>
      <w:pPr>
        <w:pStyle w:val="Heading3"/>
      </w:pPr>
      <w:r>
        <w:t xml:space="preserve">Visão geral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w:t>
            </w:r>
          </w:p>
        </w:tc>
        <w:tc>
          <w:tcPr/>
          <w:p>
            <w:pPr>
              <w:pStyle w:val="Compact"/>
              <w:jc w:val="left"/>
            </w:pPr>
            <w:r>
              <w:t xml:space="preserve">Em resumo</w:t>
            </w:r>
          </w:p>
        </w:tc>
      </w:tr>
      <w:tr>
        <w:tc>
          <w:tcPr/>
          <w:p>
            <w:pPr>
              <w:pStyle w:val="Compact"/>
              <w:jc w:val="left"/>
            </w:pPr>
            <w:r>
              <w:t xml:space="preserve">Exenatida</w:t>
            </w:r>
          </w:p>
        </w:tc>
        <w:tc>
          <w:tcPr/>
          <w:p>
            <w:pPr>
              <w:pStyle w:val="Compact"/>
              <w:jc w:val="left"/>
            </w:pPr>
            <w:r>
              <w:t xml:space="preserve">A</w:t>
            </w:r>
          </w:p>
        </w:tc>
        <w:tc>
          <w:tcPr/>
          <w:p>
            <w:pPr>
              <w:pStyle w:val="Compact"/>
              <w:jc w:val="left"/>
            </w:pPr>
            <w:r>
              <w:t xml:space="preserve">UE, EUA</w:t>
            </w:r>
          </w:p>
        </w:tc>
        <w:tc>
          <w:tcPr/>
          <w:p>
            <w:pPr>
              <w:pStyle w:val="Compact"/>
              <w:jc w:val="left"/>
            </w:pPr>
            <w:r>
              <w:t xml:space="preserve">primeiro agonista de GLP-1, do veneno de lagarto</w:t>
            </w:r>
          </w:p>
        </w:tc>
      </w:tr>
      <w:tr>
        <w:tc>
          <w:tcPr/>
          <w:p>
            <w:pPr>
              <w:pStyle w:val="Compact"/>
              <w:jc w:val="left"/>
            </w:pPr>
            <w:r>
              <w:t xml:space="preserve">Liraglutida</w:t>
            </w:r>
          </w:p>
        </w:tc>
        <w:tc>
          <w:tcPr/>
          <w:p>
            <w:pPr>
              <w:pStyle w:val="Compact"/>
              <w:jc w:val="left"/>
            </w:pPr>
            <w:r>
              <w:t xml:space="preserve">A</w:t>
            </w:r>
          </w:p>
        </w:tc>
        <w:tc>
          <w:tcPr/>
          <w:p>
            <w:pPr>
              <w:pStyle w:val="Compact"/>
              <w:jc w:val="left"/>
            </w:pPr>
            <w:r>
              <w:t xml:space="preserve">UE, EUA</w:t>
            </w:r>
          </w:p>
        </w:tc>
        <w:tc>
          <w:tcPr/>
          <w:p>
            <w:pPr>
              <w:pStyle w:val="Compact"/>
              <w:jc w:val="left"/>
            </w:pPr>
            <w:r>
              <w:t xml:space="preserve">injeção diária, genéricos</w:t>
            </w:r>
          </w:p>
        </w:tc>
      </w:tr>
      <w:tr>
        <w:tc>
          <w:tcPr/>
          <w:p>
            <w:pPr>
              <w:pStyle w:val="Compact"/>
              <w:jc w:val="left"/>
            </w:pPr>
            <w:r>
              <w:t xml:space="preserve">Dulaglutida</w:t>
            </w:r>
          </w:p>
        </w:tc>
        <w:tc>
          <w:tcPr/>
          <w:p>
            <w:pPr>
              <w:pStyle w:val="Compact"/>
              <w:jc w:val="left"/>
            </w:pPr>
            <w:r>
              <w:t xml:space="preserve">A</w:t>
            </w:r>
          </w:p>
        </w:tc>
        <w:tc>
          <w:tcPr/>
          <w:p>
            <w:pPr>
              <w:pStyle w:val="Compact"/>
              <w:jc w:val="left"/>
            </w:pPr>
            <w:r>
              <w:t xml:space="preserve">UE, EUA</w:t>
            </w:r>
          </w:p>
        </w:tc>
        <w:tc>
          <w:tcPr/>
          <w:p>
            <w:pPr>
              <w:pStyle w:val="Compact"/>
              <w:jc w:val="left"/>
            </w:pPr>
            <w:r>
              <w:t xml:space="preserve">semanal, fusão com anticorpo</w:t>
            </w:r>
          </w:p>
        </w:tc>
      </w:tr>
      <w:tr>
        <w:tc>
          <w:tcPr/>
          <w:p>
            <w:pPr>
              <w:pStyle w:val="Compact"/>
              <w:jc w:val="left"/>
            </w:pPr>
            <w:r>
              <w:t xml:space="preserve">Semaglutida</w:t>
            </w:r>
          </w:p>
        </w:tc>
        <w:tc>
          <w:tcPr/>
          <w:p>
            <w:pPr>
              <w:pStyle w:val="Compact"/>
              <w:jc w:val="left"/>
            </w:pPr>
            <w:r>
              <w:t xml:space="preserve">A</w:t>
            </w:r>
          </w:p>
        </w:tc>
        <w:tc>
          <w:tcPr/>
          <w:p>
            <w:pPr>
              <w:pStyle w:val="Compact"/>
              <w:jc w:val="left"/>
            </w:pPr>
            <w:r>
              <w:t xml:space="preserve">UE, EUA</w:t>
            </w:r>
          </w:p>
        </w:tc>
        <w:tc>
          <w:tcPr/>
          <w:p>
            <w:pPr>
              <w:pStyle w:val="Compact"/>
              <w:jc w:val="left"/>
            </w:pPr>
            <w:r>
              <w:t xml:space="preserve">injeção e comprimido, proteção cardíaca comprovada</w:t>
            </w:r>
          </w:p>
        </w:tc>
      </w:tr>
      <w:tr>
        <w:tc>
          <w:tcPr/>
          <w:p>
            <w:pPr>
              <w:pStyle w:val="Compact"/>
              <w:jc w:val="left"/>
            </w:pPr>
            <w:r>
              <w:t xml:space="preserve">Tirzepatida</w:t>
            </w:r>
          </w:p>
        </w:tc>
        <w:tc>
          <w:tcPr/>
          <w:p>
            <w:pPr>
              <w:pStyle w:val="Compact"/>
              <w:jc w:val="left"/>
            </w:pPr>
            <w:r>
              <w:t xml:space="preserve">A</w:t>
            </w:r>
          </w:p>
        </w:tc>
        <w:tc>
          <w:tcPr/>
          <w:p>
            <w:pPr>
              <w:pStyle w:val="Compact"/>
              <w:jc w:val="left"/>
            </w:pPr>
            <w:r>
              <w:t xml:space="preserve">UE, EUA</w:t>
            </w:r>
          </w:p>
        </w:tc>
        <w:tc>
          <w:tcPr/>
          <w:p>
            <w:pPr>
              <w:pStyle w:val="Compact"/>
              <w:jc w:val="left"/>
            </w:pPr>
            <w:r>
              <w:t xml:space="preserve">GIP mais GLP-1, referência em 2026</w:t>
            </w:r>
          </w:p>
        </w:tc>
      </w:tr>
      <w:tr>
        <w:tc>
          <w:tcPr/>
          <w:p>
            <w:pPr>
              <w:pStyle w:val="Compact"/>
              <w:jc w:val="left"/>
            </w:pPr>
            <w:r>
              <w:t xml:space="preserve">Retatrutida</w:t>
            </w:r>
          </w:p>
        </w:tc>
        <w:tc>
          <w:tcPr/>
          <w:p>
            <w:pPr>
              <w:pStyle w:val="Compact"/>
              <w:jc w:val="left"/>
            </w:pPr>
            <w:r>
              <w:t xml:space="preserve">B</w:t>
            </w:r>
          </w:p>
        </w:tc>
        <w:tc>
          <w:tcPr/>
          <w:p>
            <w:pPr>
              <w:pStyle w:val="Compact"/>
              <w:jc w:val="left"/>
            </w:pPr>
            <w:r>
              <w:t xml:space="preserve">não</w:t>
            </w:r>
          </w:p>
        </w:tc>
        <w:tc>
          <w:tcPr/>
          <w:p>
            <w:pPr>
              <w:pStyle w:val="Compact"/>
              <w:jc w:val="left"/>
            </w:pPr>
            <w:r>
              <w:t xml:space="preserve">GIP, GLP-1 e glucagon</w:t>
            </w:r>
          </w:p>
        </w:tc>
      </w:tr>
      <w:tr>
        <w:tc>
          <w:tcPr/>
          <w:p>
            <w:pPr>
              <w:pStyle w:val="Compact"/>
              <w:jc w:val="left"/>
            </w:pPr>
            <w:r>
              <w:t xml:space="preserve">Survodutida</w:t>
            </w:r>
          </w:p>
        </w:tc>
        <w:tc>
          <w:tcPr/>
          <w:p>
            <w:pPr>
              <w:pStyle w:val="Compact"/>
              <w:jc w:val="left"/>
            </w:pPr>
            <w:r>
              <w:t xml:space="preserve">B</w:t>
            </w:r>
          </w:p>
        </w:tc>
        <w:tc>
          <w:tcPr/>
          <w:p>
            <w:pPr>
              <w:pStyle w:val="Compact"/>
              <w:jc w:val="left"/>
            </w:pPr>
            <w:r>
              <w:t xml:space="preserve">não</w:t>
            </w:r>
          </w:p>
        </w:tc>
        <w:tc>
          <w:tcPr/>
          <w:p>
            <w:pPr>
              <w:pStyle w:val="Compact"/>
              <w:jc w:val="left"/>
            </w:pPr>
            <w:r>
              <w:t xml:space="preserve">glucagon mais GLP-1, foco no fígado</w:t>
            </w:r>
          </w:p>
        </w:tc>
      </w:tr>
      <w:tr>
        <w:tc>
          <w:tcPr/>
          <w:p>
            <w:pPr>
              <w:pStyle w:val="Compact"/>
              <w:jc w:val="left"/>
            </w:pPr>
            <w:r>
              <w:t xml:space="preserve">Mazdutida</w:t>
            </w:r>
          </w:p>
        </w:tc>
        <w:tc>
          <w:tcPr/>
          <w:p>
            <w:pPr>
              <w:pStyle w:val="Compact"/>
              <w:jc w:val="left"/>
            </w:pPr>
            <w:r>
              <w:t xml:space="preserve">A</w:t>
            </w:r>
          </w:p>
        </w:tc>
        <w:tc>
          <w:tcPr/>
          <w:p>
            <w:pPr>
              <w:pStyle w:val="Compact"/>
              <w:jc w:val="left"/>
            </w:pPr>
            <w:r>
              <w:t xml:space="preserve">só China</w:t>
            </w:r>
          </w:p>
        </w:tc>
        <w:tc>
          <w:tcPr/>
          <w:p>
            <w:pPr>
              <w:pStyle w:val="Compact"/>
              <w:jc w:val="left"/>
            </w:pPr>
            <w:r>
              <w:t xml:space="preserve">glucagon mais GLP-1</w:t>
            </w:r>
          </w:p>
        </w:tc>
      </w:tr>
      <w:tr>
        <w:tc>
          <w:tcPr/>
          <w:p>
            <w:pPr>
              <w:pStyle w:val="Compact"/>
              <w:jc w:val="left"/>
            </w:pPr>
            <w:r>
              <w:t xml:space="preserve">Cagrilintida / CagriSema</w:t>
            </w:r>
          </w:p>
        </w:tc>
        <w:tc>
          <w:tcPr/>
          <w:p>
            <w:pPr>
              <w:pStyle w:val="Compact"/>
              <w:jc w:val="left"/>
            </w:pPr>
            <w:r>
              <w:t xml:space="preserve">B</w:t>
            </w:r>
          </w:p>
        </w:tc>
        <w:tc>
          <w:tcPr/>
          <w:p>
            <w:pPr>
              <w:pStyle w:val="Compact"/>
              <w:jc w:val="left"/>
            </w:pPr>
            <w:r>
              <w:t xml:space="preserve">não</w:t>
            </w:r>
          </w:p>
        </w:tc>
        <w:tc>
          <w:tcPr/>
          <w:p>
            <w:pPr>
              <w:pStyle w:val="Compact"/>
              <w:jc w:val="left"/>
            </w:pPr>
            <w:r>
              <w:t xml:space="preserve">amilina, combinada com semaglutida</w:t>
            </w:r>
          </w:p>
        </w:tc>
      </w:tr>
      <w:tr>
        <w:tc>
          <w:tcPr/>
          <w:p>
            <w:pPr>
              <w:pStyle w:val="Compact"/>
              <w:jc w:val="left"/>
            </w:pPr>
            <w:r>
              <w:t xml:space="preserve">Amicretina (zenagamtida)</w:t>
            </w:r>
          </w:p>
        </w:tc>
        <w:tc>
          <w:tcPr/>
          <w:p>
            <w:pPr>
              <w:pStyle w:val="Compact"/>
              <w:jc w:val="left"/>
            </w:pPr>
            <w:r>
              <w:t xml:space="preserve">B</w:t>
            </w:r>
          </w:p>
        </w:tc>
        <w:tc>
          <w:tcPr/>
          <w:p>
            <w:pPr>
              <w:pStyle w:val="Compact"/>
              <w:jc w:val="left"/>
            </w:pPr>
            <w:r>
              <w:t xml:space="preserve">não</w:t>
            </w:r>
          </w:p>
        </w:tc>
        <w:tc>
          <w:tcPr/>
          <w:p>
            <w:pPr>
              <w:pStyle w:val="Compact"/>
              <w:jc w:val="left"/>
            </w:pPr>
            <w:r>
              <w:t xml:space="preserve">amilina e GLP-1 em uma só molécula</w:t>
            </w:r>
          </w:p>
        </w:tc>
      </w:tr>
      <w:tr>
        <w:tc>
          <w:tcPr/>
          <w:p>
            <w:pPr>
              <w:pStyle w:val="Compact"/>
              <w:jc w:val="left"/>
            </w:pPr>
            <w:r>
              <w:t xml:space="preserve">Maridebarte cafraglutida</w:t>
            </w:r>
          </w:p>
        </w:tc>
        <w:tc>
          <w:tcPr/>
          <w:p>
            <w:pPr>
              <w:pStyle w:val="Compact"/>
              <w:jc w:val="left"/>
            </w:pPr>
            <w:r>
              <w:t xml:space="preserve">B</w:t>
            </w:r>
          </w:p>
        </w:tc>
        <w:tc>
          <w:tcPr/>
          <w:p>
            <w:pPr>
              <w:pStyle w:val="Compact"/>
              <w:jc w:val="left"/>
            </w:pPr>
            <w:r>
              <w:t xml:space="preserve">não</w:t>
            </w:r>
          </w:p>
        </w:tc>
        <w:tc>
          <w:tcPr/>
          <w:p>
            <w:pPr>
              <w:pStyle w:val="Compact"/>
              <w:jc w:val="left"/>
            </w:pPr>
            <w:r>
              <w:t xml:space="preserve">bloqueador de GIP, aplicação mensal</w:t>
            </w:r>
          </w:p>
        </w:tc>
      </w:tr>
      <w:tr>
        <w:tc>
          <w:tcPr/>
          <w:p>
            <w:pPr>
              <w:pStyle w:val="Compact"/>
              <w:jc w:val="left"/>
            </w:pPr>
            <w:r>
              <w:t xml:space="preserve">Pranlintida</w:t>
            </w:r>
          </w:p>
        </w:tc>
        <w:tc>
          <w:tcPr/>
          <w:p>
            <w:pPr>
              <w:pStyle w:val="Compact"/>
              <w:jc w:val="left"/>
            </w:pPr>
            <w:r>
              <w:t xml:space="preserve">A</w:t>
            </w:r>
          </w:p>
        </w:tc>
        <w:tc>
          <w:tcPr/>
          <w:p>
            <w:pPr>
              <w:pStyle w:val="Compact"/>
              <w:jc w:val="left"/>
            </w:pPr>
            <w:r>
              <w:t xml:space="preserve">só EUA</w:t>
            </w:r>
          </w:p>
        </w:tc>
        <w:tc>
          <w:tcPr/>
          <w:p>
            <w:pPr>
              <w:pStyle w:val="Compact"/>
              <w:jc w:val="left"/>
            </w:pPr>
            <w:r>
              <w:t xml:space="preserve">primeiro medicamento à base de amilina</w:t>
            </w:r>
          </w:p>
        </w:tc>
      </w:tr>
      <w:tr>
        <w:tc>
          <w:tcPr/>
          <w:p>
            <w:pPr>
              <w:pStyle w:val="Compact"/>
              <w:jc w:val="left"/>
            </w:pPr>
            <w:r>
              <w:t xml:space="preserve">Setmelanotida</w:t>
            </w:r>
          </w:p>
        </w:tc>
        <w:tc>
          <w:tcPr/>
          <w:p>
            <w:pPr>
              <w:pStyle w:val="Compact"/>
              <w:jc w:val="left"/>
            </w:pPr>
            <w:r>
              <w:t xml:space="preserve">A</w:t>
            </w:r>
          </w:p>
        </w:tc>
        <w:tc>
          <w:tcPr/>
          <w:p>
            <w:pPr>
              <w:pStyle w:val="Compact"/>
              <w:jc w:val="left"/>
            </w:pPr>
            <w:r>
              <w:t xml:space="preserve">UE, EUA</w:t>
            </w:r>
          </w:p>
        </w:tc>
        <w:tc>
          <w:tcPr/>
          <w:p>
            <w:pPr>
              <w:pStyle w:val="Compact"/>
              <w:jc w:val="left"/>
            </w:pPr>
            <w:r>
              <w:t xml:space="preserve">obesidade genética rara</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não</w:t>
            </w:r>
          </w:p>
        </w:tc>
        <w:tc>
          <w:tcPr/>
          <w:p>
            <w:pPr>
              <w:pStyle w:val="Compact"/>
              <w:jc w:val="left"/>
            </w:pPr>
            <w:r>
              <w:t xml:space="preserve">fragmento do hormônio do crescimento, mercado cinza</w:t>
            </w:r>
          </w:p>
        </w:tc>
      </w:tr>
      <w:tr>
        <w:tc>
          <w:tcPr/>
          <w:p>
            <w:pPr>
              <w:pStyle w:val="Compact"/>
              <w:jc w:val="left"/>
            </w:pPr>
            <w:r>
              <w:t xml:space="preserve">Orforglipron</w:t>
            </w:r>
          </w:p>
        </w:tc>
        <w:tc>
          <w:tcPr/>
          <w:p>
            <w:pPr>
              <w:pStyle w:val="Compact"/>
              <w:jc w:val="left"/>
            </w:pPr>
            <w:r>
              <w:t xml:space="preserve">A</w:t>
            </w:r>
          </w:p>
        </w:tc>
        <w:tc>
          <w:tcPr/>
          <w:p>
            <w:pPr>
              <w:pStyle w:val="Compact"/>
              <w:jc w:val="left"/>
            </w:pPr>
            <w:r>
              <w:t xml:space="preserve">em aberto</w:t>
            </w:r>
          </w:p>
        </w:tc>
        <w:tc>
          <w:tcPr/>
          <w:p>
            <w:pPr>
              <w:pStyle w:val="Compact"/>
              <w:jc w:val="left"/>
            </w:pPr>
            <w:r>
              <w:t xml:space="preserve">não é peptídeo, comprimido (comparação)</w:t>
            </w:r>
          </w:p>
        </w:tc>
      </w:tr>
    </w:tbl>
    <w:p>
      <w:pPr>
        <w:pStyle w:val="BodyText"/>
      </w:pPr>
      <w:r>
        <w:t xml:space="preserve">Os níveis de evidência são explicados na Parte I. As informações sobre aprovação referem-se à situação em outubro de 2026 e a pelo menos uma indicação; os detalhes estão em cada capítulo. Verifique a situação atual, pois justamente neste grupo as aprovações mudam rapidamente.</w:t>
      </w:r>
    </w:p>
    <w:bookmarkEnd w:id="232"/>
    <w:bookmarkStart w:id="233" w:name="orientação-de-leitura"/>
    <w:p>
      <w:pPr>
        <w:pStyle w:val="Heading3"/>
      </w:pPr>
      <w:r>
        <w:t xml:space="preserve">Orientação de leitura</w:t>
      </w:r>
    </w:p>
    <w:p>
      <w:pPr>
        <w:pStyle w:val="FirstParagraph"/>
      </w:pPr>
      <w:r>
        <w:t xml:space="preserve">Os capítulos seguem, de modo geral, a evolução histórica: dos agonistas de GLP-1 estabelecidos (da exenatida à semaglutida), passando pelas substâncias combinadas (da tirzepatida à maridebarte cafraglutida), aos casos especiais (pranlintida, setmelanotida, AOD-9604) e, por fim, à orforglipron, incluída para comparação por não ser um peptídeo.</w:t>
      </w:r>
    </w:p>
    <w:p>
      <w:pPr>
        <w:pStyle w:val="BodyText"/>
      </w:pPr>
      <w:r>
        <w:t xml:space="preserve">Quem quer ter uma visão geral rápida começa pela semaglutida e pela tirzepatida – todas as outras são medidas por elas. As comparações diretas de perda de peso, redução da glicose, resultados cardiovasculares e efeitos colaterais entre todas as substâncias você encontra na Parte III. Riscos da classe, como problemas na vesícula biliar e no pâncreas, perda muscular e questões sobre a tireoide, são tratados em detalhe na Parte IV.</w:t>
      </w:r>
    </w:p>
    <w:p>
      <w:pPr>
        <w:pStyle w:val="BodyText"/>
      </w:pPr>
      <w:r>
        <w:t xml:space="preserve">Dois princípios valem para todo o grupo: primeiro, os capítulos descrevem resultados de estudos, não instruções de tratamento – para medicamentos aprovados, o que vale são a bula para profissionais e o acompanhamento médico. Segundo, em quase todas as substâncias, grande parte do peso perdido volta quando o tratamento termina. Esses medicamentos agem enquanto são tomados; não são uma cura.</w:t>
      </w:r>
    </w:p>
    <w:bookmarkEnd w:id="233"/>
    <w:bookmarkStart w:id="288" w:name="exenatida"/>
    <w:p>
      <w:pPr>
        <w:pStyle w:val="Heading2"/>
      </w:pPr>
      <w:r>
        <w:t xml:space="preserve">Exenatida</w:t>
      </w:r>
    </w:p>
    <w:bookmarkStart w:id="235" w:name="ficha-técnica"/>
    <w:p>
      <w:pPr>
        <w:pStyle w:val="Heading3"/>
      </w:pPr>
      <w:r>
        <w:t xml:space="preserve">Ficha técnica</w:t>
      </w:r>
    </w:p>
    <w:p>
      <w:pPr>
        <w:numPr>
          <w:ilvl w:val="0"/>
          <w:numId w:val="1036"/>
        </w:numPr>
        <w:pStyle w:val="Compact"/>
      </w:pPr>
      <w:r>
        <w:rPr>
          <w:bCs/>
          <w:b/>
        </w:rPr>
        <w:t xml:space="preserve">Tipo/estrutura:</w:t>
      </w:r>
      <w:r>
        <w:t xml:space="preserve"> </w:t>
      </w:r>
      <w:r>
        <w:t xml:space="preserve">peptídeo de 39 aminoácidos, forma sintética da exendina-4. Cerca de metade da sequência coincide com o hormônio intestinal humano GLP-1.</w:t>
      </w:r>
    </w:p>
    <w:p>
      <w:pPr>
        <w:numPr>
          <w:ilvl w:val="0"/>
          <w:numId w:val="1036"/>
        </w:numPr>
        <w:pStyle w:val="Compact"/>
      </w:pPr>
      <w:r>
        <w:rPr>
          <w:bCs/>
          <w:b/>
        </w:rPr>
        <w:t xml:space="preserve">Origem:</w:t>
      </w:r>
      <w:r>
        <w:t xml:space="preserve"> </w:t>
      </w:r>
      <w:r>
        <w:t xml:space="preserve">a exendina-4 foi isolada em 1992 do veneno do monstro-de-gila (</w:t>
      </w:r>
      <w:r>
        <w:rPr>
          <w:iCs/>
          <w:i/>
        </w:rPr>
        <w:t xml:space="preserve">Heloderma suspectum</w:t>
      </w:r>
      <w:r>
        <w:t xml:space="preserve">)</w:t>
      </w:r>
      <w:r>
        <w:rPr>
          <w:rStyle w:val="FootnoteReference"/>
        </w:rPr>
        <w:footnoteReference w:id="234"/>
      </w:r>
      <w:r>
        <w:t xml:space="preserve">.</w:t>
      </w:r>
    </w:p>
    <w:p>
      <w:pPr>
        <w:numPr>
          <w:ilvl w:val="0"/>
          <w:numId w:val="1036"/>
        </w:numPr>
        <w:pStyle w:val="Compact"/>
      </w:pPr>
      <w:r>
        <w:rPr>
          <w:bCs/>
          <w:b/>
        </w:rPr>
        <w:t xml:space="preserve">Mecanismo de ação:</w:t>
      </w:r>
      <w:r>
        <w:t xml:space="preserve"> </w:t>
      </w:r>
      <w:r>
        <w:t xml:space="preserve">agonista do receptor de GLP-1. A exenatida imita o hormônio de saciedade e incretina GLP-1, mas é degradada muito mais lentamente.</w:t>
      </w:r>
    </w:p>
    <w:p>
      <w:pPr>
        <w:numPr>
          <w:ilvl w:val="0"/>
          <w:numId w:val="1036"/>
        </w:numPr>
        <w:pStyle w:val="Compact"/>
      </w:pPr>
      <w:r>
        <w:rPr>
          <w:bCs/>
          <w:b/>
        </w:rPr>
        <w:t xml:space="preserve">Formas farmacêuticas:</w:t>
      </w:r>
      <w:r>
        <w:t xml:space="preserve"> </w:t>
      </w:r>
      <w:r>
        <w:t xml:space="preserve">duas vezes ao dia (Byetta) e uma vez por semana como depósito com microesferas (Bydureon, mais tarde como caneta preenchida ou autoinjetor). Em estudos, também: implante de bomba (ITCA 650) e variantes peguiladas (PB-119, NLY01).</w:t>
      </w:r>
    </w:p>
    <w:p>
      <w:pPr>
        <w:numPr>
          <w:ilvl w:val="0"/>
          <w:numId w:val="1036"/>
        </w:numPr>
        <w:pStyle w:val="Compact"/>
      </w:pPr>
      <w:r>
        <w:rPr>
          <w:bCs/>
          <w:b/>
        </w:rPr>
        <w:t xml:space="preserve">Aprovação UE:</w:t>
      </w:r>
      <w:r>
        <w:t xml:space="preserve"> </w:t>
      </w:r>
      <w:r>
        <w:t xml:space="preserve">sim, para o tratamento do diabetes tipo 2 (Byetta, Bydureon). Sem aprovação para redução de peso.</w:t>
      </w:r>
    </w:p>
    <w:p>
      <w:pPr>
        <w:numPr>
          <w:ilvl w:val="0"/>
          <w:numId w:val="1036"/>
        </w:numPr>
        <w:pStyle w:val="Compact"/>
      </w:pPr>
      <w:r>
        <w:rPr>
          <w:bCs/>
          <w:b/>
        </w:rPr>
        <w:t xml:space="preserve">Aprovação EUA:</w:t>
      </w:r>
      <w:r>
        <w:t xml:space="preserve"> </w:t>
      </w:r>
      <w:r>
        <w:t xml:space="preserve">sim, diabetes tipo 2 (Byetta em 2005, como o primeiro agonista do receptor de GLP-1 de todos, Bydureon/Bydureon BCise), a forma semanal também para adolescentes a partir de 10 anos. Hoje também há ali versões genéricas da forma de duas vezes ao dia. A disponibilidade de cada preparação varia – verificar atualização.</w:t>
      </w:r>
    </w:p>
    <w:p>
      <w:pPr>
        <w:numPr>
          <w:ilvl w:val="0"/>
          <w:numId w:val="1036"/>
        </w:numPr>
        <w:pStyle w:val="Compact"/>
      </w:pPr>
      <w:r>
        <w:rPr>
          <w:bCs/>
          <w:b/>
        </w:rPr>
        <w:t xml:space="preserve">WADA:</w:t>
      </w:r>
      <w:r>
        <w:t xml:space="preserve"> </w:t>
      </w:r>
      <w:r>
        <w:t xml:space="preserve">não listada.</w:t>
      </w:r>
    </w:p>
    <w:p>
      <w:pPr>
        <w:numPr>
          <w:ilvl w:val="0"/>
          <w:numId w:val="1036"/>
        </w:numPr>
        <w:pStyle w:val="Compact"/>
      </w:pPr>
      <w:r>
        <w:rPr>
          <w:bCs/>
          <w:b/>
        </w:rPr>
        <w:t xml:space="preserve">Nível de evidência:</w:t>
      </w:r>
      <w:r>
        <w:t xml:space="preserve"> </w:t>
      </w:r>
      <w:r>
        <w:rPr>
          <w:bCs/>
          <w:b/>
        </w:rPr>
        <w:t xml:space="preserve">A</w:t>
      </w:r>
      <w:r>
        <w:t xml:space="preserve"> </w:t>
      </w:r>
      <w:r>
        <w:t xml:space="preserve">– numerosos grandes estudos randomizados, um grande estudo de desfechos cardiovasculares, aprovação desde 2005.</w:t>
      </w:r>
    </w:p>
    <w:bookmarkEnd w:id="235"/>
    <w:bookmarkStart w:id="236" w:name="como-deveria-agir"/>
    <w:p>
      <w:pPr>
        <w:pStyle w:val="Heading3"/>
      </w:pPr>
      <w:r>
        <w:t xml:space="preserve">Como deveria agir</w:t>
      </w:r>
    </w:p>
    <w:p>
      <w:pPr>
        <w:pStyle w:val="FirstParagraph"/>
      </w:pPr>
      <w:r>
        <w:t xml:space="preserve">Depois de uma refeição, o intestino libera o hormônio GLP-1 (glucagon-like peptide-1). Ele sinaliza ao pâncreas que libere mais insulina – mas apenas enquanto a glicose estiver elevada. Ao mesmo tempo, freia o hormônio glucagon, que eleva a glicose, retarda o esvaziamento do estômago e age no cérebro sobre centros que controlam fome e saciedade. Como a liberação de insulina depende da glicose, os agonistas do receptor de GLP-1, sozinhos, raramente causam hipoglicemia.</w:t>
      </w:r>
    </w:p>
    <w:p>
      <w:pPr>
        <w:pStyle w:val="BodyText"/>
      </w:pPr>
      <w:r>
        <w:t xml:space="preserve">O GLP-1 do próprio corpo, no entanto, tem uma desvantagem decisiva: a enzima DPP-4 o decompõe em cerca de dois minutos. Como medicamento, ele é, portanto, inútil. A exendina-4 do veneno do lagarto também se liga ao receptor de GLP-1, mas é amplamente insensível à DPP-4. Essa descoberta casual fez da exenatida a primeira representante de uma classe de substâncias que, duas décadas depois, com a semaglutida e a tirzepatida, mudaria a medicina.</w:t>
      </w:r>
    </w:p>
    <w:p>
      <w:pPr>
        <w:pStyle w:val="BodyText"/>
      </w:pPr>
      <w:r>
        <w:t xml:space="preserve">A forma original age apenas algumas horas e, por isso, precisa ser injetada duas vezes ao dia antes das refeições principais. Ela reduz sobretudo o aumento da glicose depois de comer, entre outros motivos porque retarda bastante o esvaziamento do estômago. A forma semanal acondiciona a mesma substância em microesferas de plástico degradáveis (PLGA), das quais é liberada lentamente. Assim, o nível permanece mais constante; o efeito sobre a glicose de jejum fica mais forte, e o efeito sobre o esvaziamento gástrico se atenua um pouco com o tempo.</w:t>
      </w:r>
    </w:p>
    <w:p>
      <w:pPr>
        <w:pStyle w:val="BodyText"/>
      </w:pPr>
      <w:r>
        <w:t xml:space="preserve">Uma diferença importante em relação às substâncias posteriores: a exenatida é apenas cerca de metade semelhante ao GLP-1 humano. Por isso, o sistema imunológico a reconhece com mais frequência como estranha e forma anticorpos. Na maioria dos tratados isso não tem consequências; em uma pequena parte com níveis altos de anticorpos, o efeito pode diminuir.</w:t>
      </w:r>
    </w:p>
    <w:bookmarkEnd w:id="236"/>
    <w:bookmarkStart w:id="264" w:name="estudos-em-humanos"/>
    <w:p>
      <w:pPr>
        <w:pStyle w:val="Heading3"/>
      </w:pPr>
      <w:r>
        <w:t xml:space="preserve">Estudos em humanos</w:t>
      </w:r>
    </w:p>
    <w:p>
      <w:pPr>
        <w:pStyle w:val="FirstParagraph"/>
      </w:pPr>
      <w:r>
        <w:t xml:space="preserve">Os estudos sobre a exenatida são abundantes. A busca no PubMed analisada para este livro (termo</w:t>
      </w:r>
      <w:r>
        <w:t xml:space="preserve"> </w:t>
      </w:r>
      <w:r>
        <w:t xml:space="preserve">“</w:t>
      </w:r>
      <w:r>
        <w:t xml:space="preserve">exenatide</w:t>
      </w:r>
      <w:r>
        <w:t xml:space="preserve">”</w:t>
      </w:r>
      <w:r>
        <w:t xml:space="preserve"> </w:t>
      </w:r>
      <w:r>
        <w:t xml:space="preserve">no título ou no resumo, data da busca outubro de 2026) resultou em 437 estudos em humanos; no ClinicalTrials.gov constam 379 registros com exenatida. Muitos deles são pequenos estudos de mecanismo ou de combinação. Para a avaliação, pesam sobretudo três grupos: os programas de aprovação AMIGO (forma de duas vezes ao dia) e DURATION (forma semanal), o estudo de desfechos cardiovasculares EXSCEL e uma série de estudos para além do diabetes, especialmente sobre a doença de Parkinson.</w:t>
      </w:r>
    </w:p>
    <w:bookmarkStart w:id="238" w:name="os-estudos-amigo-o-início-da-classe"/>
    <w:p>
      <w:pPr>
        <w:pStyle w:val="Heading4"/>
      </w:pPr>
      <w:r>
        <w:t xml:space="preserve">Os estudos AMIGO: o início da classe</w:t>
      </w:r>
    </w:p>
    <w:p>
      <w:pPr>
        <w:pStyle w:val="FirstParagraph"/>
      </w:pPr>
      <w:r>
        <w:t xml:space="preserve">Três estudos controlados por placebo, de 30 semanas cada, formaram a base da primeira aprovação. Eles testaram a exenatida duas vezes ao dia (5 ou 10 microgramas por aplicação) como acréscimo a comprimidos já em uso.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 (braço de 10 µg vs. placebo)</w:t>
            </w:r>
          </w:p>
        </w:tc>
      </w:tr>
      <w:tr>
        <w:tc>
          <w:tcPr/>
          <w:p>
            <w:pPr>
              <w:pStyle w:val="Compact"/>
              <w:jc w:val="left"/>
            </w:pPr>
            <w:r>
              <w:t xml:space="preserve">Buse 2004, PMID 15504997</w:t>
            </w:r>
          </w:p>
        </w:tc>
        <w:tc>
          <w:tcPr/>
          <w:p>
            <w:pPr>
              <w:pStyle w:val="Compact"/>
              <w:jc w:val="left"/>
            </w:pPr>
            <w:r>
              <w:t xml:space="preserve">diabetes tipo 2 em uso de sulfonilureia, ECR contra placebo</w:t>
            </w:r>
          </w:p>
        </w:tc>
        <w:tc>
          <w:tcPr/>
          <w:p>
            <w:pPr>
              <w:pStyle w:val="Compact"/>
              <w:jc w:val="left"/>
            </w:pPr>
            <w:r>
              <w:t xml:space="preserve">30 semanas</w:t>
            </w:r>
          </w:p>
        </w:tc>
        <w:tc>
          <w:tcPr/>
          <w:p>
            <w:pPr>
              <w:pStyle w:val="Compact"/>
              <w:jc w:val="left"/>
            </w:pPr>
            <w:r>
              <w:t xml:space="preserve">HbA1c −0,86 vs. +0,12 ponto percentual; peso −1,6 kg</w:t>
            </w:r>
          </w:p>
        </w:tc>
      </w:tr>
      <w:tr>
        <w:tc>
          <w:tcPr/>
          <w:p>
            <w:pPr>
              <w:pStyle w:val="Compact"/>
              <w:jc w:val="left"/>
            </w:pPr>
            <w:r>
              <w:t xml:space="preserve">DeFronzo 2005, PMID 15855572</w:t>
            </w:r>
          </w:p>
        </w:tc>
        <w:tc>
          <w:tcPr/>
          <w:p>
            <w:pPr>
              <w:pStyle w:val="Compact"/>
              <w:jc w:val="left"/>
            </w:pPr>
            <w:r>
              <w:t xml:space="preserve">diabetes tipo 2 em uso de metformina, ECR contra placebo</w:t>
            </w:r>
          </w:p>
        </w:tc>
        <w:tc>
          <w:tcPr/>
          <w:p>
            <w:pPr>
              <w:pStyle w:val="Compact"/>
              <w:jc w:val="left"/>
            </w:pPr>
            <w:r>
              <w:t xml:space="preserve">30 semanas</w:t>
            </w:r>
          </w:p>
        </w:tc>
        <w:tc>
          <w:tcPr/>
          <w:p>
            <w:pPr>
              <w:pStyle w:val="Compact"/>
              <w:jc w:val="left"/>
            </w:pPr>
            <w:r>
              <w:t xml:space="preserve">HbA1c −0,78 vs. +0,08; peso −2,8 kg; 46% vs. 13% atingiram HbA1c ≤ 7%</w:t>
            </w:r>
          </w:p>
        </w:tc>
      </w:tr>
      <w:tr>
        <w:tc>
          <w:tcPr/>
          <w:p>
            <w:pPr>
              <w:pStyle w:val="Compact"/>
              <w:jc w:val="left"/>
            </w:pPr>
            <w:r>
              <w:t xml:space="preserve">Kendall 2005, PMID 15855571</w:t>
            </w:r>
          </w:p>
        </w:tc>
        <w:tc>
          <w:tcPr/>
          <w:p>
            <w:pPr>
              <w:pStyle w:val="Compact"/>
              <w:jc w:val="left"/>
            </w:pPr>
            <w:r>
              <w:t xml:space="preserve">diabetes tipo 2 em uso de metformina mais sulfonilureia, ECR</w:t>
            </w:r>
          </w:p>
        </w:tc>
        <w:tc>
          <w:tcPr/>
          <w:p>
            <w:pPr>
              <w:pStyle w:val="Compact"/>
              <w:jc w:val="left"/>
            </w:pPr>
            <w:r>
              <w:t xml:space="preserve">30 semanas</w:t>
            </w:r>
          </w:p>
        </w:tc>
        <w:tc>
          <w:tcPr/>
          <w:p>
            <w:pPr>
              <w:pStyle w:val="Compact"/>
              <w:jc w:val="left"/>
            </w:pPr>
            <w:r>
              <w:t xml:space="preserve">HbA1c −0,8 vs. +0,2; hipoglicemias leves 28% vs. 13%</w:t>
            </w:r>
          </w:p>
        </w:tc>
      </w:tr>
      <w:tr>
        <w:tc>
          <w:tcPr/>
          <w:p>
            <w:pPr>
              <w:pStyle w:val="Compact"/>
              <w:jc w:val="left"/>
            </w:pPr>
            <w:r>
              <w:t xml:space="preserve">Heine 2005, PMID 16230722</w:t>
            </w:r>
          </w:p>
        </w:tc>
        <w:tc>
          <w:tcPr/>
          <w:p>
            <w:pPr>
              <w:pStyle w:val="Compact"/>
              <w:jc w:val="left"/>
            </w:pPr>
            <w:r>
              <w:t xml:space="preserve">551 pessoas, comparação aberta com insulina glargina</w:t>
            </w:r>
          </w:p>
        </w:tc>
        <w:tc>
          <w:tcPr/>
          <w:p>
            <w:pPr>
              <w:pStyle w:val="Compact"/>
              <w:jc w:val="left"/>
            </w:pPr>
            <w:r>
              <w:t xml:space="preserve">26 semanas</w:t>
            </w:r>
          </w:p>
        </w:tc>
        <w:tc>
          <w:tcPr/>
          <w:p>
            <w:pPr>
              <w:pStyle w:val="Compact"/>
              <w:jc w:val="left"/>
            </w:pPr>
            <w:r>
              <w:t xml:space="preserve">HbA1c −1,11 em ambos; peso −2,3 kg vs. +1,8 kg</w:t>
            </w:r>
          </w:p>
        </w:tc>
      </w:tr>
    </w:tbl>
    <w:p>
      <w:pPr>
        <w:pStyle w:val="BodyText"/>
      </w:pPr>
      <w:r>
        <w:t xml:space="preserve">A HbA1c (glicose de longo prazo) descreve a fração do pigmento vermelho do sangue</w:t>
      </w:r>
      <w:r>
        <w:t xml:space="preserve"> </w:t>
      </w:r>
      <w:r>
        <w:t xml:space="preserve">“</w:t>
      </w:r>
      <w:r>
        <w:t xml:space="preserve">glicado</w:t>
      </w:r>
      <w:r>
        <w:t xml:space="preserve">”</w:t>
      </w:r>
      <w:r>
        <w:t xml:space="preserve"> </w:t>
      </w:r>
      <w:r>
        <w:t xml:space="preserve">e reflete a glicose dos últimos dois a três meses. Uma redução de 0,8 a 1 ponto percentual era considerada clinicamente relevante na época. A novidade era que o peso não subia, como é comum com insulina ou sulfonilureias, mas caía. O estudo de Kendall, porém, também mostra: em combinação com uma sulfonilureia, que libera insulina independentemente da glicose, as hipoglicemias leves aumentaram.</w:t>
      </w:r>
    </w:p>
    <w:p>
      <w:pPr>
        <w:pStyle w:val="BodyText"/>
      </w:pPr>
      <w:r>
        <w:t xml:space="preserve">Na comparação direta com a insulina glargina</w:t>
      </w:r>
      <w:r>
        <w:rPr>
          <w:rStyle w:val="FootnoteReference"/>
        </w:rPr>
        <w:footnoteReference w:id="237"/>
      </w:r>
      <w:r>
        <w:t xml:space="preserve">, ambos os tratamentos reduziram a HbA1c na mesma medida. A diferença de peso foi de 4,1 kg a favor da exenatida, e as hipoglicemias noturnas foram mais raras (0,9 vs. 2,4 eventos por paciente-ano). O preço: náuseas ocorreram em 57,1% contra 8,6%, vômitos em 17,4% contra 3,7%. 19,4% do grupo da exenatida abandonaram o estudo, contra 9,7% com insulina.</w:t>
      </w:r>
    </w:p>
    <w:bookmarkEnd w:id="238"/>
    <w:bookmarkStart w:id="242" w:name="o-programa-duration-uma-vez-por-semana"/>
    <w:p>
      <w:pPr>
        <w:pStyle w:val="Heading4"/>
      </w:pPr>
      <w:r>
        <w:t xml:space="preserve">O programa DURATION: uma vez por semana</w:t>
      </w:r>
    </w:p>
    <w:p>
      <w:pPr>
        <w:pStyle w:val="FirstParagraph"/>
      </w:pPr>
      <w:r>
        <w:t xml:space="preserve">A forma semanal foi testada em uma série de estudos chamada DURATION – contra a forma de duas vezes ao dia, contra comprimidos, contra insulina e contra a liraglutida.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DURATION-1 (Drucker 2008), PMID 18782641</w:t>
            </w:r>
          </w:p>
        </w:tc>
        <w:tc>
          <w:tcPr/>
          <w:p>
            <w:pPr>
              <w:pStyle w:val="Compact"/>
              <w:jc w:val="left"/>
            </w:pPr>
            <w:r>
              <w:t xml:space="preserve">295 pessoas, aberto: exenatida semanal vs. duas vezes ao dia</w:t>
            </w:r>
          </w:p>
        </w:tc>
        <w:tc>
          <w:tcPr/>
          <w:p>
            <w:pPr>
              <w:pStyle w:val="Compact"/>
              <w:jc w:val="left"/>
            </w:pPr>
            <w:r>
              <w:t xml:space="preserve">30 semanas</w:t>
            </w:r>
          </w:p>
        </w:tc>
        <w:tc>
          <w:tcPr/>
          <w:p>
            <w:pPr>
              <w:pStyle w:val="Compact"/>
              <w:jc w:val="left"/>
            </w:pPr>
            <w:r>
              <w:t xml:space="preserve">HbA1c −1,9 vs. −1,5; meta ≤ 7% em 77% vs. 61%</w:t>
            </w:r>
          </w:p>
        </w:tc>
      </w:tr>
      <w:tr>
        <w:tc>
          <w:tcPr/>
          <w:p>
            <w:pPr>
              <w:pStyle w:val="Compact"/>
              <w:jc w:val="left"/>
            </w:pPr>
            <w:r>
              <w:t xml:space="preserve">DURATION-1, dados de 5 anos (Wysham 2015), PMID 25744115</w:t>
            </w:r>
          </w:p>
        </w:tc>
        <w:tc>
          <w:tcPr/>
          <w:p>
            <w:pPr>
              <w:pStyle w:val="Compact"/>
              <w:jc w:val="left"/>
            </w:pPr>
            <w:r>
              <w:t xml:space="preserve">258 pessoas na extensão, 153 permaneceram 5 anos</w:t>
            </w:r>
          </w:p>
        </w:tc>
        <w:tc>
          <w:tcPr/>
          <w:p>
            <w:pPr>
              <w:pStyle w:val="Compact"/>
              <w:jc w:val="left"/>
            </w:pPr>
            <w:r>
              <w:t xml:space="preserve">5 anos</w:t>
            </w:r>
          </w:p>
        </w:tc>
        <w:tc>
          <w:tcPr/>
          <w:p>
            <w:pPr>
              <w:pStyle w:val="Compact"/>
              <w:jc w:val="left"/>
            </w:pPr>
            <w:r>
              <w:t xml:space="preserve">HbA1c ainda −1,6; peso −3,0 kg</w:t>
            </w:r>
          </w:p>
        </w:tc>
      </w:tr>
      <w:tr>
        <w:tc>
          <w:tcPr/>
          <w:p>
            <w:pPr>
              <w:pStyle w:val="Compact"/>
              <w:jc w:val="left"/>
            </w:pPr>
            <w:r>
              <w:t xml:space="preserve">DURATION-2 (Bergenstal 2010), PMID 20580422</w:t>
            </w:r>
          </w:p>
        </w:tc>
        <w:tc>
          <w:tcPr/>
          <w:p>
            <w:pPr>
              <w:pStyle w:val="Compact"/>
              <w:jc w:val="left"/>
            </w:pPr>
            <w:r>
              <w:t xml:space="preserve">514 pessoas em uso de metformina, vs. sitagliptina ou pioglitazona</w:t>
            </w:r>
          </w:p>
        </w:tc>
        <w:tc>
          <w:tcPr/>
          <w:p>
            <w:pPr>
              <w:pStyle w:val="Compact"/>
              <w:jc w:val="left"/>
            </w:pPr>
            <w:r>
              <w:t xml:space="preserve">26 semanas</w:t>
            </w:r>
          </w:p>
        </w:tc>
        <w:tc>
          <w:tcPr/>
          <w:p>
            <w:pPr>
              <w:pStyle w:val="Compact"/>
              <w:jc w:val="left"/>
            </w:pPr>
            <w:r>
              <w:t xml:space="preserve">HbA1c −1,5 vs. −0,9 e −1,2; peso −2,3 kg</w:t>
            </w:r>
          </w:p>
        </w:tc>
      </w:tr>
      <w:tr>
        <w:tc>
          <w:tcPr/>
          <w:p>
            <w:pPr>
              <w:pStyle w:val="Compact"/>
              <w:jc w:val="left"/>
            </w:pPr>
            <w:r>
              <w:t xml:space="preserve">DURATION-3 (Diamant 2010), PMID 20609969</w:t>
            </w:r>
          </w:p>
        </w:tc>
        <w:tc>
          <w:tcPr/>
          <w:p>
            <w:pPr>
              <w:pStyle w:val="Compact"/>
              <w:jc w:val="left"/>
            </w:pPr>
            <w:r>
              <w:t xml:space="preserve">456 pessoas, aberto vs. insulina glargina</w:t>
            </w:r>
          </w:p>
        </w:tc>
        <w:tc>
          <w:tcPr/>
          <w:p>
            <w:pPr>
              <w:pStyle w:val="Compact"/>
              <w:jc w:val="left"/>
            </w:pPr>
            <w:r>
              <w:t xml:space="preserve">26 semanas</w:t>
            </w:r>
          </w:p>
        </w:tc>
        <w:tc>
          <w:tcPr/>
          <w:p>
            <w:pPr>
              <w:pStyle w:val="Compact"/>
              <w:jc w:val="left"/>
            </w:pPr>
            <w:r>
              <w:t xml:space="preserve">HbA1c −1,5 vs. −1,3; abandono por efeitos colaterais 5% vs. 1%</w:t>
            </w:r>
          </w:p>
        </w:tc>
      </w:tr>
      <w:tr>
        <w:tc>
          <w:tcPr/>
          <w:p>
            <w:pPr>
              <w:pStyle w:val="Compact"/>
              <w:jc w:val="left"/>
            </w:pPr>
            <w:r>
              <w:t xml:space="preserve">DURATION-6 (Buse 2013), PMID 23141817</w:t>
            </w:r>
          </w:p>
        </w:tc>
        <w:tc>
          <w:tcPr/>
          <w:p>
            <w:pPr>
              <w:pStyle w:val="Compact"/>
              <w:jc w:val="left"/>
            </w:pPr>
            <w:r>
              <w:t xml:space="preserve">911 pessoas, aberto vs. liraglutida diária</w:t>
            </w:r>
          </w:p>
        </w:tc>
        <w:tc>
          <w:tcPr/>
          <w:p>
            <w:pPr>
              <w:pStyle w:val="Compact"/>
              <w:jc w:val="left"/>
            </w:pPr>
            <w:r>
              <w:t xml:space="preserve">26 semanas</w:t>
            </w:r>
          </w:p>
        </w:tc>
        <w:tc>
          <w:tcPr/>
          <w:p>
            <w:pPr>
              <w:pStyle w:val="Compact"/>
              <w:jc w:val="left"/>
            </w:pPr>
            <w:r>
              <w:t xml:space="preserve">HbA1c −1,28 vs. −1,48; não inferioridade não alcançada</w:t>
            </w:r>
          </w:p>
        </w:tc>
      </w:tr>
    </w:tbl>
    <w:p>
      <w:pPr>
        <w:pStyle w:val="BodyText"/>
      </w:pPr>
      <w:r>
        <w:t xml:space="preserve">No DURATION-1, a forma semanal reduziu a glicose de longo prazo mais que a forma diária, com perda de peso comparável e sem mais hipoglicemias. Digna de nota é a análise de cinco anos</w:t>
      </w:r>
      <w:r>
        <w:rPr>
          <w:rStyle w:val="FootnoteReference"/>
        </w:rPr>
        <w:footnoteReference w:id="239"/>
      </w:r>
      <w:r>
        <w:t xml:space="preserve">: das 258 pessoas da fase de extensão, 153 (59,3%) permaneceram cinco anos em tratamento. Nelas, a HbA1c continuava 1,6 ponto percentual abaixo do valor inicial, e 43,9% atingiram um valor abaixo de 7%. Essas extensões, porém, têm um viés embutido: quem respondeu mal ou teve efeitos colaterais muitas vezes já não está mais presente.</w:t>
      </w:r>
    </w:p>
    <w:p>
      <w:pPr>
        <w:pStyle w:val="BodyText"/>
      </w:pPr>
      <w:r>
        <w:t xml:space="preserve">No DURATION-2</w:t>
      </w:r>
      <w:r>
        <w:rPr>
          <w:rStyle w:val="FootnoteReference"/>
        </w:rPr>
        <w:footnoteReference w:id="240"/>
      </w:r>
      <w:r>
        <w:t xml:space="preserve">, a forma semanal foi superior a dois comprimidos comuns na época: a diferença em relação à sitagliptina foi de 0,6 ponto percentual, e em relação à pioglitazona, de 0,3 ponto percentual. No peso, a diferença em relação à pioglitazona, que tende a levar ao ganho de peso, foi de 5,1 kg. No DURATION-3</w:t>
      </w:r>
      <w:r>
        <w:rPr>
          <w:rStyle w:val="FootnoteReference"/>
        </w:rPr>
        <w:footnoteReference w:id="241"/>
      </w:r>
      <w:r>
        <w:t xml:space="preserve">, a exenatida semanal foi ligeiramente superior à insulina basal glargina (diferença de −0,16 ponto percentual), mas mais pessoas interromperam o tratamento por efeitos colaterais.</w:t>
      </w:r>
    </w:p>
    <w:bookmarkEnd w:id="242"/>
    <w:bookmarkStart w:id="245" w:name="X6544452fdd053c71a97e82694f0fb6be2e8b887"/>
    <w:p>
      <w:pPr>
        <w:pStyle w:val="Heading4"/>
      </w:pPr>
      <w:r>
        <w:t xml:space="preserve">Comparações diretas dentro da classe GLP-1</w:t>
      </w:r>
    </w:p>
    <w:p>
      <w:pPr>
        <w:pStyle w:val="FirstParagraph"/>
      </w:pPr>
      <w:r>
        <w:t xml:space="preserve">Para situar a exenatida, os estudos frente a frente com substâncias posteriores são especialmente esclarecedores. Eles mostram que a exenatida é eficaz, mas é superada pelas sucessoras.</w:t>
      </w:r>
    </w:p>
    <w:p>
      <w:pPr>
        <w:pStyle w:val="BodyText"/>
      </w:pPr>
      <w:r>
        <w:t xml:space="preserve">No</w:t>
      </w:r>
      <w:r>
        <w:t xml:space="preserve"> </w:t>
      </w:r>
      <w:r>
        <w:rPr>
          <w:bCs/>
          <w:b/>
        </w:rPr>
        <w:t xml:space="preserve">DURATION-6</w:t>
      </w:r>
      <w:r>
        <w:rPr>
          <w:rStyle w:val="FootnoteReference"/>
        </w:rPr>
        <w:footnoteReference w:id="243"/>
      </w:r>
      <w:r>
        <w:t xml:space="preserve">, a forma semanal enfrentou a liraglutida uma vez ao dia. A liraglutida reduziu a HbA1c em 1,48 ponto percentual, a exenatida em 1,28. A diferença de 0,21 ponto percentual não atingiu o limite predefinido para</w:t>
      </w:r>
      <w:r>
        <w:t xml:space="preserve"> </w:t>
      </w:r>
      <w:r>
        <w:t xml:space="preserve">“</w:t>
      </w:r>
      <w:r>
        <w:t xml:space="preserve">não inferior</w:t>
      </w:r>
      <w:r>
        <w:t xml:space="preserve">”</w:t>
      </w:r>
      <w:r>
        <w:t xml:space="preserve">. Em compensação, a exenatida foi mais bem tolerada: náuseas ocorreram em 9% contra 21%, diarreia em 6% contra 13%, vômitos em 4% contra 11%.</w:t>
      </w:r>
    </w:p>
    <w:p>
      <w:pPr>
        <w:pStyle w:val="BodyText"/>
      </w:pPr>
      <w:r>
        <w:t xml:space="preserve">No</w:t>
      </w:r>
      <w:r>
        <w:t xml:space="preserve"> </w:t>
      </w:r>
      <w:r>
        <w:rPr>
          <w:bCs/>
          <w:b/>
        </w:rPr>
        <w:t xml:space="preserve">SUSTAIN 3</w:t>
      </w:r>
      <w:r>
        <w:rPr>
          <w:rStyle w:val="FootnoteReference"/>
        </w:rPr>
        <w:footnoteReference w:id="244"/>
      </w:r>
      <w:r>
        <w:t xml:space="preserve">, a exenatida semanal perdeu claramente para a semaglutida semanal ao longo de 56 semanas. A HbA1c caiu 0,9 contra 1,5 ponto percentual, o peso 1,9 contra 5,6 kg. Uma HbA1c abaixo de 7% foi alcançada por 40% contra 67%. Queixas gastrointestinais foram um pouco mais raras com exenatida (33,3% vs. 41,8%), mas reações no local da injeção foram muito mais frequentes (22,0% vs. 1,2%).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Comparação</w:t>
            </w:r>
          </w:p>
        </w:tc>
        <w:tc>
          <w:tcPr/>
          <w:p>
            <w:pPr>
              <w:pStyle w:val="Compact"/>
              <w:jc w:val="left"/>
            </w:pPr>
            <w:r>
              <w:t xml:space="preserve">Desenho</w:t>
            </w:r>
          </w:p>
        </w:tc>
        <w:tc>
          <w:tcPr/>
          <w:p>
            <w:pPr>
              <w:pStyle w:val="Compact"/>
              <w:jc w:val="left"/>
            </w:pPr>
            <w:r>
              <w:t xml:space="preserve">Duração</w:t>
            </w:r>
          </w:p>
        </w:tc>
        <w:tc>
          <w:tcPr/>
          <w:p>
            <w:pPr>
              <w:pStyle w:val="Compact"/>
              <w:jc w:val="left"/>
            </w:pPr>
            <w:r>
              <w:t xml:space="preserve">Resultado (exenatida semanal vs. comparador)</w:t>
            </w:r>
          </w:p>
        </w:tc>
      </w:tr>
      <w:tr>
        <w:tc>
          <w:tcPr/>
          <w:p>
            <w:pPr>
              <w:pStyle w:val="Compact"/>
              <w:jc w:val="left"/>
            </w:pPr>
            <w:r>
              <w:t xml:space="preserve">DURATION-6 (Buse 2013), PMID 23141817</w:t>
            </w:r>
          </w:p>
        </w:tc>
        <w:tc>
          <w:tcPr/>
          <w:p>
            <w:pPr>
              <w:pStyle w:val="Compact"/>
              <w:jc w:val="left"/>
            </w:pPr>
            <w:r>
              <w:t xml:space="preserve">911 pessoas, aberto vs. liraglutida</w:t>
            </w:r>
          </w:p>
        </w:tc>
        <w:tc>
          <w:tcPr/>
          <w:p>
            <w:pPr>
              <w:pStyle w:val="Compact"/>
              <w:jc w:val="left"/>
            </w:pPr>
            <w:r>
              <w:t xml:space="preserve">26 semanas</w:t>
            </w:r>
          </w:p>
        </w:tc>
        <w:tc>
          <w:tcPr/>
          <w:p>
            <w:pPr>
              <w:pStyle w:val="Compact"/>
              <w:jc w:val="left"/>
            </w:pPr>
            <w:r>
              <w:t xml:space="preserve">HbA1c −1,28 vs. −1,48; náuseas 9% vs. 21%</w:t>
            </w:r>
          </w:p>
        </w:tc>
      </w:tr>
      <w:tr>
        <w:tc>
          <w:tcPr/>
          <w:p>
            <w:pPr>
              <w:pStyle w:val="Compact"/>
              <w:jc w:val="left"/>
            </w:pPr>
            <w:r>
              <w:t xml:space="preserve">SUSTAIN 3 (Ahmann 2018), PMID 29246950</w:t>
            </w:r>
          </w:p>
        </w:tc>
        <w:tc>
          <w:tcPr/>
          <w:p>
            <w:pPr>
              <w:pStyle w:val="Compact"/>
              <w:jc w:val="left"/>
            </w:pPr>
            <w:r>
              <w:t xml:space="preserve">aberto vs. semaglutida semanal</w:t>
            </w:r>
          </w:p>
        </w:tc>
        <w:tc>
          <w:tcPr/>
          <w:p>
            <w:pPr>
              <w:pStyle w:val="Compact"/>
              <w:jc w:val="left"/>
            </w:pPr>
            <w:r>
              <w:t xml:space="preserve">56 semanas</w:t>
            </w:r>
          </w:p>
        </w:tc>
        <w:tc>
          <w:tcPr/>
          <w:p>
            <w:pPr>
              <w:pStyle w:val="Compact"/>
              <w:jc w:val="left"/>
            </w:pPr>
            <w:r>
              <w:t xml:space="preserve">HbA1c −0,9 vs. −1,5; peso −1,9 vs. −5,6 kg</w:t>
            </w:r>
          </w:p>
        </w:tc>
      </w:tr>
    </w:tbl>
    <w:p>
      <w:pPr>
        <w:pStyle w:val="BodyText"/>
      </w:pPr>
      <w:r>
        <w:t xml:space="preserve">A comparação com a dulaglutida e com a liraglutida contra a forma de duas vezes ao dia (os estudos AWARD-1 e LEAD-6) é discutida nos respectivos capítulos.</w:t>
      </w:r>
    </w:p>
    <w:p>
      <w:pPr>
        <w:pStyle w:val="BodyText"/>
      </w:pPr>
      <w:r>
        <w:t xml:space="preserve">Em resumo, a exenatida se situa na faixa intermediária inferior da classe: mais forte que os inibidores da DPP-4 (gliptinas), mais fraca que a liraglutida, a dulaglutida e, sobretudo, a semaglutida.</w:t>
      </w:r>
    </w:p>
    <w:bookmarkEnd w:id="245"/>
    <w:bookmarkStart w:id="249" w:name="exscel-o-estudo-cardiovascular"/>
    <w:p>
      <w:pPr>
        <w:pStyle w:val="Heading4"/>
      </w:pPr>
      <w:r>
        <w:t xml:space="preserve">EXSCEL: o estudo cardiovascular</w:t>
      </w:r>
    </w:p>
    <w:p>
      <w:pPr>
        <w:pStyle w:val="FirstParagraph"/>
      </w:pPr>
      <w:r>
        <w:t xml:space="preserve">Desde 2008, a agência norte-americana de medicamentos FDA exige de novos medicamentos para diabetes a comprovação de que não aumentam o risco cardiovascular. Para a exenatida semanal, foi realizado para isso o EXSCEL – um dos maiores estudos desse tipo.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EXSCEL (Holman 2017), PMID 28910237</w:t>
            </w:r>
          </w:p>
        </w:tc>
        <w:tc>
          <w:tcPr/>
          <w:p>
            <w:pPr>
              <w:pStyle w:val="Compact"/>
              <w:jc w:val="left"/>
            </w:pPr>
            <w:r>
              <w:t xml:space="preserve">14.752 pessoas com diabetes tipo 2, 73,1% com doença cardiovascular prévia, ECR contra placebo</w:t>
            </w:r>
          </w:p>
        </w:tc>
        <w:tc>
          <w:tcPr/>
          <w:p>
            <w:pPr>
              <w:pStyle w:val="Compact"/>
              <w:jc w:val="left"/>
            </w:pPr>
            <w:r>
              <w:t xml:space="preserve">mediana de 3,2 anos</w:t>
            </w:r>
          </w:p>
        </w:tc>
        <w:tc>
          <w:tcPr/>
          <w:p>
            <w:pPr>
              <w:pStyle w:val="Compact"/>
              <w:jc w:val="left"/>
            </w:pPr>
            <w:r>
              <w:t xml:space="preserve">eventos cardiovasculares graves 11,4% vs. 12,2%; HR 0,91 (0,83–1,00), superioridade não alcançada por pouco (p = 0,06)</w:t>
            </w:r>
          </w:p>
        </w:tc>
      </w:tr>
      <w:tr>
        <w:tc>
          <w:tcPr/>
          <w:p>
            <w:pPr>
              <w:pStyle w:val="Compact"/>
              <w:jc w:val="left"/>
            </w:pPr>
            <w:r>
              <w:t xml:space="preserve">FREEDOM-CVO (Ruff 2022), PMID 34873344</w:t>
            </w:r>
          </w:p>
        </w:tc>
        <w:tc>
          <w:tcPr/>
          <w:p>
            <w:pPr>
              <w:pStyle w:val="Compact"/>
              <w:jc w:val="left"/>
            </w:pPr>
            <w:r>
              <w:t xml:space="preserve">4.156 pessoas, implante de bomba de exenatida ITCA 650 vs. placebo</w:t>
            </w:r>
          </w:p>
        </w:tc>
        <w:tc>
          <w:tcPr/>
          <w:p>
            <w:pPr>
              <w:pStyle w:val="Compact"/>
              <w:jc w:val="left"/>
            </w:pPr>
            <w:r>
              <w:t xml:space="preserve">mediana de 16 meses</w:t>
            </w:r>
          </w:p>
        </w:tc>
        <w:tc>
          <w:tcPr/>
          <w:p>
            <w:pPr>
              <w:pStyle w:val="Compact"/>
              <w:jc w:val="left"/>
            </w:pPr>
            <w:r>
              <w:t xml:space="preserve">eventos 4,6% vs. 3,8%; HR 1,21 (0,90–1,63), critério de segurança cumprido</w:t>
            </w:r>
          </w:p>
        </w:tc>
      </w:tr>
    </w:tbl>
    <w:p>
      <w:pPr>
        <w:pStyle w:val="BodyText"/>
      </w:pPr>
      <w:r>
        <w:t xml:space="preserve">O desfecho principal combinado do EXSCEL</w:t>
      </w:r>
      <w:r>
        <w:rPr>
          <w:rStyle w:val="FootnoteReference"/>
        </w:rPr>
        <w:footnoteReference w:id="246"/>
      </w:r>
      <w:r>
        <w:t xml:space="preserve"> </w:t>
      </w:r>
      <w:r>
        <w:t xml:space="preserve">– morte por causa cardiovascular, infarto não fatal ou AVC – ocorreu com exenatida em 839 de 7.356 pessoas (11,4%) e com placebo em 905 de 7.396 (12,2%). Isso corresponde a um hazard ratio (risco relativo ao longo do tempo) de 0,91. A exenatida se mostrou, portanto, segura, mas não comprovadamente protetora. Pancreatite aguda, câncer de pâncreas e carcinoma medular de tireoide não ocorreram com mais frequência do que com placebo.</w:t>
      </w:r>
    </w:p>
    <w:p>
      <w:pPr>
        <w:pStyle w:val="BodyText"/>
      </w:pPr>
      <w:r>
        <w:t xml:space="preserve">Por que a exenatida teve no EXSCEL um desempenho mais fraco que a liraglutida no LEADER ou a dulaglutida no REWIND não está definitivamente esclarecido. Discutem-se um efeito mais fraco da própria molécula, a alta taxa de abandono no estudo e um desenho pragmático com pouco controle. Em uma metanálise conjunta dos sete grandes estudos de desfechos com GLP-1, com um total de 56.004 participantes</w:t>
      </w:r>
      <w:r>
        <w:rPr>
          <w:rStyle w:val="FootnoteReference"/>
        </w:rPr>
        <w:footnoteReference w:id="247"/>
      </w:r>
      <w:r>
        <w:t xml:space="preserve">, a classe reduziu os eventos cardiovasculares graves em 12% (HR 0,88) – sem diferenças relevantes entre os subgrupos. O EXSCEL, portanto, se encaixa no quadro geral, mas fica no limite mais fraco.</w:t>
      </w:r>
    </w:p>
    <w:p>
      <w:pPr>
        <w:pStyle w:val="BodyText"/>
      </w:pPr>
      <w:r>
        <w:t xml:space="preserve">O implante de bomba ITCA 650, um dispositivo do tamanho de um palito de fósforo que deveria liberar exenatida de forma constante durante meses, cumpriu no FREEDOM-CVO</w:t>
      </w:r>
      <w:r>
        <w:rPr>
          <w:rStyle w:val="FootnoteReference"/>
        </w:rPr>
        <w:footnoteReference w:id="248"/>
      </w:r>
      <w:r>
        <w:t xml:space="preserve"> </w:t>
      </w:r>
      <w:r>
        <w:t xml:space="preserve">apenas o generoso limite de segurança de 2008. A estimativa pontual ficou desfavoravelmente acima de 1, e os efeitos colaterais foram mais frequentes do que com placebo (72% vs. 63,9%). O sistema não obteve aprovação.</w:t>
      </w:r>
    </w:p>
    <w:bookmarkEnd w:id="249"/>
    <w:bookmarkStart w:id="253" w:name="peso-sem-diabetes-e-em-adolescentes"/>
    <w:p>
      <w:pPr>
        <w:pStyle w:val="Heading4"/>
      </w:pPr>
      <w:r>
        <w:t xml:space="preserve">Peso sem diabetes e em adolescentes</w:t>
      </w:r>
    </w:p>
    <w:p>
      <w:pPr>
        <w:pStyle w:val="FirstParagraph"/>
      </w:pPr>
      <w:r>
        <w:t xml:space="preserve">A exenatida não é aprovada para redução de peso, mas foi estudada para isso em estudos menores. Em 152 adultos com obesidade sem diabetes, os participantes perderam com exenatida duas vezes ao dia mais programa de estilo de vida 5,1 kg em 24 semanas, contra 1,6 kg com placebo</w:t>
      </w:r>
      <w:r>
        <w:rPr>
          <w:rStyle w:val="FootnoteReference"/>
        </w:rPr>
        <w:footnoteReference w:id="250"/>
      </w:r>
      <w:r>
        <w:t xml:space="preserve">. Uma metanálise de seis pequenos estudos com 362 participantes encontrou uma perda adicional média de 4,47 kg em relação aos controles</w:t>
      </w:r>
      <w:r>
        <w:rPr>
          <w:rStyle w:val="FootnoteReference"/>
        </w:rPr>
        <w:footnoteReference w:id="251"/>
      </w:r>
      <w:r>
        <w:t xml:space="preserve">. Isso é uma fração do que foi alcançado mais tarde com semaglutida ou tirzepatida.</w:t>
      </w:r>
    </w:p>
    <w:p>
      <w:pPr>
        <w:pStyle w:val="BodyText"/>
      </w:pPr>
      <w:r>
        <w:t xml:space="preserve">Em adolescentes com diabetes tipo 2, a forma semanal reduziu a HbA1c, em um estudo com 83 participantes, 0,85 ponto percentual a mais do que o placebo após 24 semanas</w:t>
      </w:r>
      <w:r>
        <w:rPr>
          <w:rStyle w:val="FootnoteReference"/>
        </w:rPr>
        <w:footnoteReference w:id="252"/>
      </w:r>
      <w:r>
        <w:t xml:space="preserve">. Uma diferença de peso de −1,22 kg não foi estatisticamente comprovada. Esse estudo serviu de base para a extensão da aprovação a adolescentes.</w:t>
      </w:r>
    </w:p>
    <w:bookmarkEnd w:id="253"/>
    <w:bookmarkStart w:id="258" w:name="X9171853045ac841991600842d123e5967179960"/>
    <w:p>
      <w:pPr>
        <w:pStyle w:val="Heading4"/>
      </w:pPr>
      <w:r>
        <w:t xml:space="preserve">Parkinson: esperança, desilusão e uma Expression of Concern</w:t>
      </w:r>
    </w:p>
    <w:p>
      <w:pPr>
        <w:pStyle w:val="FirstParagraph"/>
      </w:pPr>
      <w:r>
        <w:t xml:space="preserve">Nenhuma outra área de uso trouxe à exenatida tanta atenção além do diabetes quanto a doença de Parkinson. O ponto de partida foram experimentos em animais e em células nos quais agonistas do receptor de GLP-1 protegeram neurônios.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Exenatide-PD (Athauda 2017), PMID 28781108</w:t>
            </w:r>
          </w:p>
        </w:tc>
        <w:tc>
          <w:tcPr/>
          <w:p>
            <w:pPr>
              <w:pStyle w:val="Compact"/>
              <w:jc w:val="left"/>
            </w:pPr>
            <w:r>
              <w:t xml:space="preserve">62 pessoas com Parkinson moderado, ECR contra placebo</w:t>
            </w:r>
          </w:p>
        </w:tc>
        <w:tc>
          <w:tcPr/>
          <w:p>
            <w:pPr>
              <w:pStyle w:val="Compact"/>
              <w:jc w:val="left"/>
            </w:pPr>
            <w:r>
              <w:t xml:space="preserve">48 semanas + 12 semanas de washout</w:t>
            </w:r>
          </w:p>
        </w:tc>
        <w:tc>
          <w:tcPr/>
          <w:p>
            <w:pPr>
              <w:pStyle w:val="Compact"/>
              <w:jc w:val="left"/>
            </w:pPr>
            <w:r>
              <w:t xml:space="preserve">escore motor 3,5 pontos melhor que placebo (p = 0,0318)</w:t>
            </w:r>
          </w:p>
        </w:tc>
      </w:tr>
      <w:tr>
        <w:tc>
          <w:tcPr/>
          <w:p>
            <w:pPr>
              <w:pStyle w:val="Compact"/>
              <w:jc w:val="left"/>
            </w:pPr>
            <w:r>
              <w:t xml:space="preserve">Exenatide-PD3 (Vijiaratnam 2025), PMID 39919773</w:t>
            </w:r>
          </w:p>
        </w:tc>
        <w:tc>
          <w:tcPr/>
          <w:p>
            <w:pPr>
              <w:pStyle w:val="Compact"/>
              <w:jc w:val="left"/>
            </w:pPr>
            <w:r>
              <w:t xml:space="preserve">194 pessoas, ECR contra placebo, seis centros</w:t>
            </w:r>
          </w:p>
        </w:tc>
        <w:tc>
          <w:tcPr/>
          <w:p>
            <w:pPr>
              <w:pStyle w:val="Compact"/>
              <w:jc w:val="left"/>
            </w:pPr>
            <w:r>
              <w:t xml:space="preserve">96 semanas</w:t>
            </w:r>
          </w:p>
        </w:tc>
        <w:tc>
          <w:tcPr/>
          <w:p>
            <w:pPr>
              <w:pStyle w:val="Compact"/>
              <w:jc w:val="left"/>
            </w:pPr>
            <w:r>
              <w:t xml:space="preserve">nenhuma diferença: piora de +5,7 vs. +4,5 pontos (p = 0,47)</w:t>
            </w:r>
          </w:p>
        </w:tc>
      </w:tr>
      <w:tr>
        <w:tc>
          <w:tcPr/>
          <w:p>
            <w:pPr>
              <w:pStyle w:val="Compact"/>
              <w:jc w:val="left"/>
            </w:pPr>
            <w:r>
              <w:t xml:space="preserve">NLY01 (McGarry 2024), PMID 38101901</w:t>
            </w:r>
          </w:p>
        </w:tc>
        <w:tc>
          <w:tcPr/>
          <w:p>
            <w:pPr>
              <w:pStyle w:val="Compact"/>
              <w:jc w:val="left"/>
            </w:pPr>
            <w:r>
              <w:t xml:space="preserve">255 pessoas com Parkinson inicial não tratado, exenatida peguilada vs. placebo</w:t>
            </w:r>
          </w:p>
        </w:tc>
        <w:tc>
          <w:tcPr/>
          <w:p>
            <w:pPr>
              <w:pStyle w:val="Compact"/>
              <w:jc w:val="left"/>
            </w:pPr>
            <w:r>
              <w:t xml:space="preserve">36 semanas</w:t>
            </w:r>
          </w:p>
        </w:tc>
        <w:tc>
          <w:tcPr/>
          <w:p>
            <w:pPr>
              <w:pStyle w:val="Compact"/>
              <w:jc w:val="left"/>
            </w:pPr>
            <w:r>
              <w:t xml:space="preserve">nenhuma diferença nos dois grupos de dose</w:t>
            </w:r>
          </w:p>
        </w:tc>
      </w:tr>
    </w:tbl>
    <w:p>
      <w:pPr>
        <w:pStyle w:val="BodyText"/>
      </w:pPr>
      <w:r>
        <w:t xml:space="preserve">O pequeno estudo de Athauda 2017</w:t>
      </w:r>
      <w:r>
        <w:rPr>
          <w:rStyle w:val="FootnoteReference"/>
        </w:rPr>
        <w:footnoteReference w:id="254"/>
      </w:r>
      <w:r>
        <w:t xml:space="preserve"> </w:t>
      </w:r>
      <w:r>
        <w:t xml:space="preserve">encontrou após 60 semanas uma diferença de 3,5 pontos na escala de avaliação motora MDS-UPDRS parte III, que persistiu mesmo após a suspensão. Isso foi amplamente interpretado como um possível primeiro indício de um efeito de retardo da doença. Os autores foram cautelosos: não está claro se a exenatida influencia a evolução da doença ou se tem apenas efeitos sintomáticos duradouros.</w:t>
      </w:r>
    </w:p>
    <w:p>
      <w:pPr>
        <w:pStyle w:val="BodyText"/>
      </w:pPr>
      <w:r>
        <w:t xml:space="preserve">O estudo de fase 3 maior, Exenatide-PD3</w:t>
      </w:r>
      <w:r>
        <w:rPr>
          <w:rStyle w:val="FootnoteReference"/>
        </w:rPr>
        <w:footnoteReference w:id="255"/>
      </w:r>
      <w:r>
        <w:t xml:space="preserve">, não conseguiu confirmar isso. Após 96 semanas, o escore motor havia piorado de modo semelhante nos dois grupos. Os pesquisadores concluíram que não há evidência da exenatida como tratamento modificador da doença. Sobre essa publicação, a revista publicou em 2026 uma chamada Expression of Concern (Expression of Concern, The Lancet 2026, PMID 42330995) – um aviso editorial de que questões sobre uma publicação estão sendo examinadas. O registro no PubMed não contém um resumo dos motivos; a avaliação do estudo deve, portanto, ser feita com reservas até o esclarecimento. Também uma variante peguilada da exenatida, de ação mais longa (NLY01), não mostrou benefício no Parkinson inicial</w:t>
      </w:r>
      <w:r>
        <w:rPr>
          <w:rStyle w:val="FootnoteReference"/>
        </w:rPr>
        <w:footnoteReference w:id="256"/>
      </w:r>
      <w:r>
        <w:t xml:space="preserve">.</w:t>
      </w:r>
    </w:p>
    <w:p>
      <w:pPr>
        <w:pStyle w:val="BodyText"/>
      </w:pPr>
      <w:r>
        <w:t xml:space="preserve">Na atrofia de múltiplos sistemas, uma doença rara aparentada, um estudo aberto com 50 participantes encontrou vantagem no desfecho principal, mas nenhuma diferença em medidas objetivas como biomarcadores ou exames de imagem</w:t>
      </w:r>
      <w:r>
        <w:rPr>
          <w:rStyle w:val="FootnoteReference"/>
        </w:rPr>
        <w:footnoteReference w:id="257"/>
      </w:r>
      <w:r>
        <w:t xml:space="preserve">. Os próprios autores consideram possível um efeito placebo ou do observador.</w:t>
      </w:r>
    </w:p>
    <w:bookmarkEnd w:id="258"/>
    <w:bookmarkStart w:id="263" w:name="outras-áreas-de-uso-em-estudos"/>
    <w:p>
      <w:pPr>
        <w:pStyle w:val="Heading4"/>
      </w:pPr>
      <w:r>
        <w:t xml:space="preserve">Outras áreas de uso em estudos</w:t>
      </w:r>
    </w:p>
    <w:p>
      <w:pPr>
        <w:numPr>
          <w:ilvl w:val="0"/>
          <w:numId w:val="1037"/>
        </w:numPr>
        <w:pStyle w:val="Compact"/>
      </w:pPr>
      <w:r>
        <w:rPr>
          <w:bCs/>
          <w:b/>
        </w:rPr>
        <w:t xml:space="preserve">Alzheimer e comprometimento cognitivo leve:</w:t>
      </w:r>
      <w:r>
        <w:t xml:space="preserve"> </w:t>
      </w:r>
      <w:r>
        <w:t xml:space="preserve">um estudo piloto encerrado antecipadamente não encontrou diferenças em medidas de memória ou de imagem</w:t>
      </w:r>
      <w:r>
        <w:rPr>
          <w:rStyle w:val="FootnoteReference"/>
        </w:rPr>
        <w:footnoteReference w:id="259"/>
      </w:r>
      <w:r>
        <w:t xml:space="preserve">. Um estudo de 32 semanas em comprometimento cognitivo leve também não mostrou benefício</w:t>
      </w:r>
      <w:r>
        <w:rPr>
          <w:rStyle w:val="FootnoteReference"/>
        </w:rPr>
        <w:footnoteReference w:id="260"/>
      </w:r>
      <w:r>
        <w:t xml:space="preserve">.</w:t>
      </w:r>
    </w:p>
    <w:p>
      <w:pPr>
        <w:numPr>
          <w:ilvl w:val="0"/>
          <w:numId w:val="1037"/>
        </w:numPr>
        <w:pStyle w:val="Compact"/>
      </w:pPr>
      <w:r>
        <w:rPr>
          <w:bCs/>
          <w:b/>
        </w:rPr>
        <w:t xml:space="preserve">Dependência de álcool:</w:t>
      </w:r>
      <w:r>
        <w:t xml:space="preserve"> </w:t>
      </w:r>
      <w:r>
        <w:t xml:space="preserve">em um estudo com 127 participantes, a exenatida semanal não reduziu significativamente o número de dias de consumo pesado. Em uma análise de subgrupo posterior, em pessoas com obesidade, observou-se um efeito; na ressonância magnética do cérebro, a reação a estímulos relacionados ao álcool estava atenuada</w:t>
      </w:r>
      <w:r>
        <w:rPr>
          <w:rStyle w:val="FootnoteReference"/>
        </w:rPr>
        <w:footnoteReference w:id="261"/>
      </w:r>
      <w:r>
        <w:t xml:space="preserve">. Esses achados de subgrupo são hipóteses, não evidências.</w:t>
      </w:r>
    </w:p>
    <w:p>
      <w:pPr>
        <w:numPr>
          <w:ilvl w:val="0"/>
          <w:numId w:val="1037"/>
        </w:numPr>
        <w:pStyle w:val="Compact"/>
      </w:pPr>
      <w:r>
        <w:rPr>
          <w:bCs/>
          <w:b/>
        </w:rPr>
        <w:t xml:space="preserve">Hipertensão intracraniana idiopática</w:t>
      </w:r>
      <w:r>
        <w:t xml:space="preserve"> </w:t>
      </w:r>
      <w:r>
        <w:t xml:space="preserve">(pressão intracraniana elevada sem causa identificável, geralmente em mulheres jovens com sobrepeso): em 16 mulheres, a exenatida reduziu a pressão intracraniana medida após 24 horas em média 6,4 cm de coluna de água em relação ao placebo</w:t>
      </w:r>
      <w:r>
        <w:rPr>
          <w:rStyle w:val="FootnoteReference"/>
        </w:rPr>
        <w:footnoteReference w:id="262"/>
      </w:r>
      <w:r>
        <w:t xml:space="preserve">. O estudo é muito pequeno; um estudo maior ainda está por vir.</w:t>
      </w:r>
    </w:p>
    <w:bookmarkEnd w:id="263"/>
    <w:bookmarkEnd w:id="264"/>
    <w:bookmarkStart w:id="268" w:name="estudos-em-animais-e-em-laboratório"/>
    <w:p>
      <w:pPr>
        <w:pStyle w:val="Heading3"/>
      </w:pPr>
      <w:r>
        <w:t xml:space="preserve">Estudos em animais e em laboratório</w:t>
      </w:r>
    </w:p>
    <w:p>
      <w:pPr>
        <w:pStyle w:val="FirstParagraph"/>
      </w:pPr>
      <w:r>
        <w:t xml:space="preserve">A exendina-4 não foi originalmente procurada como medicamento para diabetes. Na descrição original de 1992, os pesquisadores estudaram seu efeito em células do pâncreas de cobaias</w:t>
      </w:r>
      <w:r>
        <w:rPr>
          <w:rStyle w:val="FootnoteReference"/>
        </w:rPr>
        <w:footnoteReference w:id="265"/>
      </w:r>
      <w:r>
        <w:t xml:space="preserve">. Só mais tarde se descobriu que ela age no receptor de GLP-1.</w:t>
      </w:r>
    </w:p>
    <w:p>
      <w:pPr>
        <w:pStyle w:val="BodyText"/>
      </w:pPr>
      <w:r>
        <w:t xml:space="preserve">Em seguida surgiu um grande número de estudos em animais. Em ratos dos quais se havia removido parte do pâncreas, a exendina-4 estimulou a formação e a divisão de células beta produtoras de insulina e atenuou o desenvolvimento de diabetes</w:t>
      </w:r>
      <w:r>
        <w:rPr>
          <w:rStyle w:val="FootnoteReference"/>
        </w:rPr>
        <w:footnoteReference w:id="266"/>
      </w:r>
      <w:r>
        <w:t xml:space="preserve">. Se uma regeneração de células beta desse tipo pode ser alcançada em medida relevante também em seres humanos ainda não está comprovado.</w:t>
      </w:r>
    </w:p>
    <w:p>
      <w:pPr>
        <w:pStyle w:val="BodyText"/>
      </w:pPr>
      <w:r>
        <w:t xml:space="preserve">A isso se somaram experimentos em roedores sobre neuroproteção (Parkinson, Alzheimer, AVC), comportamento relacionado ao álcool e a vícios e pressão intracraniana. Esses dados em animais motivaram os estudos em humanos descritos acima – cujos resultados até agora são bem mais modestos. É um exemplo instrutivo de como é difícil transpor resultados de ratos e camundongos para seres humanos.</w:t>
      </w:r>
    </w:p>
    <w:p>
      <w:pPr>
        <w:pStyle w:val="BodyText"/>
      </w:pPr>
      <w:r>
        <w:t xml:space="preserve">Sobre a tireoide: em ratos e camundongos, os agonistas do receptor de GLP-1 provocam uma proliferação das células C da tireoide; em primatas e humanos, por outro lado, essas células quase não têm o receptor</w:t>
      </w:r>
      <w:r>
        <w:rPr>
          <w:rStyle w:val="FootnoteReference"/>
        </w:rPr>
        <w:footnoteReference w:id="267"/>
      </w:r>
      <w:r>
        <w:t xml:space="preserve">. Mais sobre isso no capítulo sobre a liraglutida e na Parte IV.</w:t>
      </w:r>
    </w:p>
    <w:bookmarkEnd w:id="268"/>
    <w:bookmarkStart w:id="278" w:name="riscos-e-efeitos-colaterais"/>
    <w:p>
      <w:pPr>
        <w:pStyle w:val="Heading3"/>
      </w:pPr>
      <w:r>
        <w:t xml:space="preserve">Riscos e efeitos colaterais</w:t>
      </w:r>
    </w:p>
    <w:p>
      <w:pPr>
        <w:pStyle w:val="FirstParagraph"/>
      </w:pPr>
      <w:r>
        <w:rPr>
          <w:bCs/>
          <w:b/>
        </w:rPr>
        <w:t xml:space="preserve">Comprovados em estudos randomizados:</w:t>
      </w:r>
    </w:p>
    <w:p>
      <w:pPr>
        <w:numPr>
          <w:ilvl w:val="0"/>
          <w:numId w:val="1038"/>
        </w:numPr>
        <w:pStyle w:val="Compact"/>
      </w:pPr>
      <w:r>
        <w:rPr>
          <w:bCs/>
          <w:b/>
        </w:rPr>
        <w:t xml:space="preserve">Queixas gastrointestinais</w:t>
      </w:r>
      <w:r>
        <w:t xml:space="preserve"> </w:t>
      </w:r>
      <w:r>
        <w:t xml:space="preserve">são o efeito colateral mais comum. Com a forma de duas vezes ao dia, na comparação com a insulina glargina, náuseas ocorreram em 57,1% dos tratados e vômitos em 17,4%</w:t>
      </w:r>
      <w:r>
        <w:rPr>
          <w:rStyle w:val="FootnoteReference"/>
        </w:rPr>
        <w:footnoteReference w:id="269"/>
      </w:r>
      <w:r>
        <w:t xml:space="preserve">. A forma semanal causa menos náuseas; no DURATION-6, foram 9%</w:t>
      </w:r>
      <w:r>
        <w:rPr>
          <w:rStyle w:val="FootnoteReference"/>
        </w:rPr>
        <w:footnoteReference w:id="270"/>
      </w:r>
      <w:r>
        <w:t xml:space="preserve">. As queixas geralmente diminuem com o tempo.</w:t>
      </w:r>
    </w:p>
    <w:p>
      <w:pPr>
        <w:numPr>
          <w:ilvl w:val="0"/>
          <w:numId w:val="1038"/>
        </w:numPr>
        <w:pStyle w:val="Compact"/>
      </w:pPr>
      <w:r>
        <w:rPr>
          <w:bCs/>
          <w:b/>
        </w:rPr>
        <w:t xml:space="preserve">Hipoglicemia</w:t>
      </w:r>
      <w:r>
        <w:t xml:space="preserve"> </w:t>
      </w:r>
      <w:r>
        <w:t xml:space="preserve">é rara com a substância isolada, mas se torna mais frequente em combinação com sulfonilureias ou insulina</w:t>
      </w:r>
      <w:r>
        <w:rPr>
          <w:rStyle w:val="FootnoteReference"/>
        </w:rPr>
        <w:footnoteReference w:id="271"/>
      </w:r>
      <w:r>
        <w:t xml:space="preserve">.</w:t>
      </w:r>
    </w:p>
    <w:p>
      <w:pPr>
        <w:numPr>
          <w:ilvl w:val="0"/>
          <w:numId w:val="1038"/>
        </w:numPr>
        <w:pStyle w:val="Compact"/>
      </w:pPr>
      <w:r>
        <w:rPr>
          <w:bCs/>
          <w:b/>
        </w:rPr>
        <w:t xml:space="preserve">Reações no local da injeção:</w:t>
      </w:r>
      <w:r>
        <w:t xml:space="preserve"> </w:t>
      </w:r>
      <w:r>
        <w:t xml:space="preserve">com a forma semanal, formam-se com frequência nódulos palpáveis sob a pele, porque as microesferas são degradadas lentamente ali. Na análise de cinco anos do DURATION-1, essas reações se tornaram mais raras com o tempo</w:t>
      </w:r>
      <w:r>
        <w:rPr>
          <w:rStyle w:val="FootnoteReference"/>
        </w:rPr>
        <w:footnoteReference w:id="272"/>
      </w:r>
      <w:r>
        <w:t xml:space="preserve">.</w:t>
      </w:r>
    </w:p>
    <w:p>
      <w:pPr>
        <w:numPr>
          <w:ilvl w:val="0"/>
          <w:numId w:val="1038"/>
        </w:numPr>
        <w:pStyle w:val="Compact"/>
      </w:pPr>
      <w:r>
        <w:rPr>
          <w:bCs/>
          <w:b/>
        </w:rPr>
        <w:t xml:space="preserve">Formação de anticorpos:</w:t>
      </w:r>
      <w:r>
        <w:t xml:space="preserve"> </w:t>
      </w:r>
      <w:r>
        <w:t xml:space="preserve">devido à origem no veneno do lagarto, uma parte dos tratados forma anticorpos. Isso é descrito em mais detalhes na Parte IV.</w:t>
      </w:r>
    </w:p>
    <w:p>
      <w:pPr>
        <w:pStyle w:val="FirstParagraph"/>
      </w:pPr>
      <w:r>
        <w:rPr>
          <w:bCs/>
          <w:b/>
        </w:rPr>
        <w:t xml:space="preserve">Investigados, mas não confirmados ou incertos:</w:t>
      </w:r>
    </w:p>
    <w:p>
      <w:pPr>
        <w:numPr>
          <w:ilvl w:val="0"/>
          <w:numId w:val="1039"/>
        </w:numPr>
        <w:pStyle w:val="Compact"/>
      </w:pPr>
      <w:r>
        <w:rPr>
          <w:bCs/>
          <w:b/>
        </w:rPr>
        <w:t xml:space="preserve">Inflamação aguda do pâncreas (pancreatite):</w:t>
      </w:r>
      <w:r>
        <w:t xml:space="preserve"> </w:t>
      </w:r>
      <w:r>
        <w:t xml:space="preserve">pouco depois do lançamento no mercado, houve notificações espontâneas que levaram a advertências. Em uma análise agrupada de duas bases de dados de seguradoras com 49.956 pessoas em uso de exenatida duas vezes ao dia, o risco não estava aumentado sem correção (risco relativo 1,0) e, após correção para classificação incorreta, estava levemente aumentado (1,3; intervalo de confiança 1,0–1,7)</w:t>
      </w:r>
      <w:r>
        <w:rPr>
          <w:rStyle w:val="FootnoteReference"/>
        </w:rPr>
        <w:footnoteReference w:id="273"/>
      </w:r>
      <w:r>
        <w:t xml:space="preserve">. No EXSCEL, a pancreatite não ocorreu com mais frequência do que com placebo</w:t>
      </w:r>
      <w:r>
        <w:rPr>
          <w:rStyle w:val="FootnoteReference"/>
        </w:rPr>
        <w:footnoteReference w:id="274"/>
      </w:r>
      <w:r>
        <w:t xml:space="preserve">. A pancreatite continua listada na bula para profissionais como efeito colateral raro.</w:t>
      </w:r>
    </w:p>
    <w:p>
      <w:pPr>
        <w:numPr>
          <w:ilvl w:val="0"/>
          <w:numId w:val="1039"/>
        </w:numPr>
        <w:pStyle w:val="Compact"/>
      </w:pPr>
      <w:r>
        <w:rPr>
          <w:bCs/>
          <w:b/>
        </w:rPr>
        <w:t xml:space="preserve">Câncer de pâncreas e de tireoide:</w:t>
      </w:r>
      <w:r>
        <w:t xml:space="preserve"> </w:t>
      </w:r>
      <w:r>
        <w:t xml:space="preserve">em um estudo de coorte norte-americano com 33.629 pessoas em uso de exenatida, o risco de câncer de pâncreas não estava aumentado (HR 0,76); para câncer de tireoide, a estimativa foi de 1,46, com um intervalo de confiança de 0,98 a 2,19, ou seja, sem comprovação estatística</w:t>
      </w:r>
      <w:r>
        <w:rPr>
          <w:rStyle w:val="FootnoteReference"/>
        </w:rPr>
        <w:footnoteReference w:id="275"/>
      </w:r>
      <w:r>
        <w:t xml:space="preserve">. Uma metanálise de 50 estudos randomizados sobre toda a classe GLP-1 não encontrou, no geral, risco aumentado de câncer, mas sim um sinal para câncer de tireoide (odds ratio 1,55) que precisa ser mais investigado</w:t>
      </w:r>
      <w:r>
        <w:rPr>
          <w:rStyle w:val="FootnoteReference"/>
        </w:rPr>
        <w:footnoteReference w:id="276"/>
      </w:r>
      <w:r>
        <w:t xml:space="preserve">. Um estudo europeu de segurança sobre câncer de pâncreas com exenatida está em andamento</w:t>
      </w:r>
      <w:r>
        <w:rPr>
          <w:rStyle w:val="FootnoteReference"/>
        </w:rPr>
        <w:footnoteReference w:id="277"/>
      </w:r>
      <w:r>
        <w:t xml:space="preserve">.</w:t>
      </w:r>
    </w:p>
    <w:p>
      <w:pPr>
        <w:numPr>
          <w:ilvl w:val="0"/>
          <w:numId w:val="1039"/>
        </w:numPr>
        <w:pStyle w:val="Compact"/>
      </w:pPr>
      <w:r>
        <w:rPr>
          <w:bCs/>
          <w:b/>
        </w:rPr>
        <w:t xml:space="preserve">Risco cardiovascular:</w:t>
      </w:r>
      <w:r>
        <w:t xml:space="preserve"> </w:t>
      </w:r>
      <w:r>
        <w:t xml:space="preserve">não aumentado no EXSCEL.</w:t>
      </w:r>
    </w:p>
    <w:p>
      <w:pPr>
        <w:pStyle w:val="FirstParagraph"/>
      </w:pPr>
      <w:r>
        <w:rPr>
          <w:bCs/>
          <w:b/>
        </w:rPr>
        <w:t xml:space="preserve">Observações para a prática:</w:t>
      </w:r>
      <w:r>
        <w:t xml:space="preserve"> </w:t>
      </w:r>
      <w:r>
        <w:t xml:space="preserve">a exenatida é eliminada pelos rins; em caso de função renal muito reduzida, não é recomendada. Como todos os agonistas do receptor de GLP-1, ela retarda o esvaziamento do estômago e pode assim influenciar a absorção de outros medicamentos. Para uso, contraindicações e interações, o que vale é a bula para profissionais atualizada; o tratamento deve ficar nas mãos de um médico.</w:t>
      </w:r>
    </w:p>
    <w:bookmarkEnd w:id="278"/>
    <w:bookmarkStart w:id="279" w:name="situação-legal"/>
    <w:p>
      <w:pPr>
        <w:pStyle w:val="Heading3"/>
      </w:pPr>
      <w:r>
        <w:t xml:space="preserve">Situação legal</w:t>
      </w:r>
    </w:p>
    <w:p>
      <w:pPr>
        <w:numPr>
          <w:ilvl w:val="0"/>
          <w:numId w:val="1040"/>
        </w:numPr>
        <w:pStyle w:val="Compact"/>
      </w:pPr>
      <w:r>
        <w:rPr>
          <w:bCs/>
          <w:b/>
        </w:rPr>
        <w:t xml:space="preserve">UE:</w:t>
      </w:r>
      <w:r>
        <w:t xml:space="preserve"> </w:t>
      </w:r>
      <w:r>
        <w:t xml:space="preserve">a exenatida tem aprovação centralizada como medicamento sujeito a prescrição para o tratamento do diabetes tipo 2 (Byetta desde 2006, Bydureon desde 2011). Não é aprovada para redução de peso.</w:t>
      </w:r>
    </w:p>
    <w:p>
      <w:pPr>
        <w:numPr>
          <w:ilvl w:val="0"/>
          <w:numId w:val="1040"/>
        </w:numPr>
        <w:pStyle w:val="Compact"/>
      </w:pPr>
      <w:r>
        <w:rPr>
          <w:bCs/>
          <w:b/>
        </w:rPr>
        <w:t xml:space="preserve">Alemanha e Áustria:</w:t>
      </w:r>
      <w:r>
        <w:t xml:space="preserve"> </w:t>
      </w:r>
      <w:r>
        <w:t xml:space="preserve">sujeita a prescrição. A prescrição apenas para perder peso seria uso off-label e, em regra, não é coberta pelos seguros de saúde. Algumas formas farmacêuticas não estão permanentemente no mercado em todos os países – verificar atualização.</w:t>
      </w:r>
    </w:p>
    <w:p>
      <w:pPr>
        <w:numPr>
          <w:ilvl w:val="0"/>
          <w:numId w:val="1040"/>
        </w:numPr>
        <w:pStyle w:val="Compact"/>
      </w:pPr>
      <w:r>
        <w:rPr>
          <w:bCs/>
          <w:b/>
        </w:rPr>
        <w:t xml:space="preserve">EUA:</w:t>
      </w:r>
      <w:r>
        <w:t xml:space="preserve"> </w:t>
      </w:r>
      <w:r>
        <w:t xml:space="preserve">aprovada para diabetes tipo 2; a forma semanal também para adolescentes a partir de 10 anos. Para a forma de duas vezes ao dia, há genéricos aprovados.</w:t>
      </w:r>
    </w:p>
    <w:p>
      <w:pPr>
        <w:numPr>
          <w:ilvl w:val="0"/>
          <w:numId w:val="1040"/>
        </w:numPr>
        <w:pStyle w:val="Compact"/>
      </w:pPr>
      <w:r>
        <w:rPr>
          <w:bCs/>
          <w:b/>
        </w:rPr>
        <w:t xml:space="preserve">Esporte (WADA):</w:t>
      </w:r>
      <w:r>
        <w:t xml:space="preserve"> </w:t>
      </w:r>
      <w:r>
        <w:t xml:space="preserve">os agonistas do receptor de GLP-1 não estão na lista de substâncias proibidas (situação em 2026, verificar atualização).</w:t>
      </w:r>
    </w:p>
    <w:p>
      <w:pPr>
        <w:numPr>
          <w:ilvl w:val="0"/>
          <w:numId w:val="1040"/>
        </w:numPr>
        <w:pStyle w:val="Compact"/>
      </w:pPr>
      <w:r>
        <w:rPr>
          <w:bCs/>
          <w:b/>
        </w:rPr>
        <w:t xml:space="preserve">Mercado cinza:</w:t>
      </w:r>
      <w:r>
        <w:t xml:space="preserve"> </w:t>
      </w:r>
      <w:r>
        <w:t xml:space="preserve">a exenatida quase não tem papel no mercado cinza, ao lado da semaglutida e da tirzepatida. Os riscos gerais de vias de obtenção não autorizadas são descritos na Parte I.</w:t>
      </w:r>
    </w:p>
    <w:bookmarkEnd w:id="279"/>
    <w:bookmarkStart w:id="286" w:name="estudos-em-andamento-e-perspectivas"/>
    <w:p>
      <w:pPr>
        <w:pStyle w:val="Heading3"/>
      </w:pPr>
      <w:r>
        <w:t xml:space="preserve">Estudos em andamento e perspectivas</w:t>
      </w:r>
    </w:p>
    <w:p>
      <w:pPr>
        <w:pStyle w:val="FirstParagraph"/>
      </w:pPr>
      <w:r>
        <w:rPr>
          <w:bCs/>
          <w:b/>
        </w:rPr>
        <w:t xml:space="preserve">Confirmado (estudos registrados):</w:t>
      </w:r>
      <w:r>
        <w:t xml:space="preserve"> </w:t>
      </w:r>
      <w:r>
        <w:t xml:space="preserve">como medicamento para diabetes, a exenatida está em grande parte</w:t>
      </w:r>
      <w:r>
        <w:t xml:space="preserve"> </w:t>
      </w:r>
      <w:r>
        <w:t xml:space="preserve">“</w:t>
      </w:r>
      <w:r>
        <w:t xml:space="preserve">esgotada</w:t>
      </w:r>
      <w:r>
        <w:t xml:space="preserve">”</w:t>
      </w:r>
      <w:r>
        <w:t xml:space="preserve"> </w:t>
      </w:r>
      <w:r>
        <w:t xml:space="preserve">como objeto de pesquisa; quase não há novos estudos de aprovação nessa indicação. Os registros atuais referem-se principalmente a:</w:t>
      </w:r>
    </w:p>
    <w:p>
      <w:pPr>
        <w:numPr>
          <w:ilvl w:val="0"/>
          <w:numId w:val="1041"/>
        </w:numPr>
        <w:pStyle w:val="Compact"/>
      </w:pPr>
      <w:r>
        <w:t xml:space="preserve">Modificações da molécula: na China, estão sendo desenvolvidas variantes peguiladas. Para o PB-119, um estudo de fase 2 com 251 participantes reduziu a HbA1c após 12 semanas até 1,18 ponto percentual a mais do que o placebo</w:t>
      </w:r>
      <w:r>
        <w:rPr>
          <w:rStyle w:val="FootnoteReference"/>
        </w:rPr>
        <w:footnoteReference w:id="280"/>
      </w:r>
      <w:r>
        <w:t xml:space="preserve">. Outro candidato, o JY09 – exendina-4 acoplada a um componente de anticorpo (proteína de fusão Fc), injetado a cada duas semanas nos estudos –, está sendo testado em estudos de fase 3 contra placebo e contra dulaglutida</w:t>
      </w:r>
      <w:r>
        <w:rPr>
          <w:rStyle w:val="FootnoteReference"/>
        </w:rPr>
        <w:footnoteReference w:id="281"/>
      </w:r>
      <w:r>
        <w:t xml:space="preserve">.</w:t>
      </w:r>
    </w:p>
    <w:p>
      <w:pPr>
        <w:numPr>
          <w:ilvl w:val="0"/>
          <w:numId w:val="1041"/>
        </w:numPr>
        <w:pStyle w:val="Compact"/>
      </w:pPr>
      <w:r>
        <w:t xml:space="preserve">Neurologia: a variante peguilada NLY01 está sendo estudada na esclerose múltipla em um estudo de fase 2 com 120 participantes</w:t>
      </w:r>
      <w:r>
        <w:rPr>
          <w:rStyle w:val="FootnoteReference"/>
        </w:rPr>
        <w:footnoteReference w:id="282"/>
      </w:r>
      <w:r>
        <w:t xml:space="preserve">.</w:t>
      </w:r>
    </w:p>
    <w:p>
      <w:pPr>
        <w:numPr>
          <w:ilvl w:val="0"/>
          <w:numId w:val="1041"/>
        </w:numPr>
        <w:pStyle w:val="Compact"/>
      </w:pPr>
      <w:r>
        <w:t xml:space="preserve">Segurança: além do estudo europeu sobre câncer de pâncreas</w:t>
      </w:r>
      <w:r>
        <w:rPr>
          <w:rStyle w:val="FootnoteReference"/>
        </w:rPr>
        <w:footnoteReference w:id="283"/>
      </w:r>
      <w:r>
        <w:t xml:space="preserve">, está em andamento um programa de vigilância de longo prazo para carcinomas medulares de tireoide com agonistas do receptor de GLP-1</w:t>
      </w:r>
      <w:r>
        <w:rPr>
          <w:rStyle w:val="FootnoteReference"/>
        </w:rPr>
        <w:footnoteReference w:id="284"/>
      </w:r>
      <w:r>
        <w:t xml:space="preserve">.</w:t>
      </w:r>
    </w:p>
    <w:p>
      <w:pPr>
        <w:numPr>
          <w:ilvl w:val="0"/>
          <w:numId w:val="1041"/>
        </w:numPr>
        <w:pStyle w:val="Compact"/>
      </w:pPr>
      <w:r>
        <w:t xml:space="preserve">Diagnóstico: a exendina-4 marcada radioativamente é usada como traçador em exames de PET de insulinomas (tumores raros produtores de insulina)</w:t>
      </w:r>
      <w:r>
        <w:rPr>
          <w:rStyle w:val="FootnoteReference"/>
        </w:rPr>
        <w:footnoteReference w:id="285"/>
      </w:r>
      <w:r>
        <w:t xml:space="preserve">.</w:t>
      </w:r>
    </w:p>
    <w:p>
      <w:pPr>
        <w:pStyle w:val="FirstParagraph"/>
      </w:pPr>
      <w:r>
        <w:rPr>
          <w:bCs/>
          <w:b/>
        </w:rPr>
        <w:t xml:space="preserve">Avaliação:</w:t>
      </w:r>
      <w:r>
        <w:t xml:space="preserve"> </w:t>
      </w:r>
      <w:r>
        <w:t xml:space="preserve">a exenatida continuará perdendo importância no tratamento do diabetes, porque há sucessoras mais fortes e mais cômodas de usar. Seu papel duradouro é o de pioneira e de ferramenta de pesquisa. Se a hipótese do Parkinson voltará a ganhar força depende de substâncias que cheguem melhor ao cérebro e do esclarecimento sobre o Exenatide-PD3.</w:t>
      </w:r>
    </w:p>
    <w:bookmarkEnd w:id="286"/>
    <w:bookmarkStart w:id="287" w:name="conclusão"/>
    <w:p>
      <w:pPr>
        <w:pStyle w:val="Heading3"/>
      </w:pPr>
      <w:r>
        <w:t xml:space="preserve">Conclusão</w:t>
      </w:r>
    </w:p>
    <w:p>
      <w:pPr>
        <w:pStyle w:val="FirstParagraph"/>
      </w:pPr>
      <w:r>
        <w:t xml:space="preserve">A exenatida foi em 2005 o primeiro agonista do receptor de GLP-1 no mercado e está entre os medicamentos peptídicos mais bem estudados de todos. Em grandes estudos, reduziu a glicose de longo prazo em cerca de 1 a 1,5 ponto percentual e o peso em alguns quilos; no EXSCEL, com 14.752 participantes, sem aumento do risco cardiovascular, mas também sem proteção comprovada. Na comparação direta, perde para a liraglutida e a semaglutida. Os dados inicialmente promissores sobre a doença de Parkinson não se confirmaram no estudo de fase 3 maior. Para pessoas com diabetes tipo 2, a exenatida continua sendo uma opção testada, mas não mais a primeira escolha – a decisão deve ficar nas mãos de um médico.</w:t>
      </w:r>
    </w:p>
    <w:bookmarkEnd w:id="287"/>
    <w:bookmarkEnd w:id="288"/>
    <w:bookmarkStart w:id="341" w:name="liraglutida"/>
    <w:p>
      <w:pPr>
        <w:pStyle w:val="Heading2"/>
      </w:pPr>
      <w:r>
        <w:t xml:space="preserve">Liraglutida</w:t>
      </w:r>
    </w:p>
    <w:bookmarkStart w:id="290" w:name="ficha-técnica-1"/>
    <w:p>
      <w:pPr>
        <w:pStyle w:val="Heading3"/>
      </w:pPr>
      <w:r>
        <w:t xml:space="preserve">Ficha técnica</w:t>
      </w:r>
    </w:p>
    <w:p>
      <w:pPr>
        <w:numPr>
          <w:ilvl w:val="0"/>
          <w:numId w:val="1042"/>
        </w:numPr>
        <w:pStyle w:val="Compact"/>
      </w:pPr>
      <w:r>
        <w:rPr>
          <w:bCs/>
          <w:b/>
        </w:rPr>
        <w:t xml:space="preserve">Tipo/estrutura:</w:t>
      </w:r>
      <w:r>
        <w:t xml:space="preserve"> </w:t>
      </w:r>
      <w:r>
        <w:t xml:space="preserve">GLP-1 humano modificado, com 31 aminoácidos. Coincide em 97% com o hormônio do próprio corpo; em uma posição, um aminoácido foi trocado; em outra, um ácido graxo de 16 átomos de carbono está ligado por meio de um curto conector.</w:t>
      </w:r>
    </w:p>
    <w:p>
      <w:pPr>
        <w:numPr>
          <w:ilvl w:val="0"/>
          <w:numId w:val="1042"/>
        </w:numPr>
        <w:pStyle w:val="Compact"/>
      </w:pPr>
      <w:r>
        <w:rPr>
          <w:bCs/>
          <w:b/>
        </w:rPr>
        <w:t xml:space="preserve">Origem:</w:t>
      </w:r>
      <w:r>
        <w:t xml:space="preserve"> </w:t>
      </w:r>
      <w:r>
        <w:t xml:space="preserve">desenvolvida pela Novo Nordisk</w:t>
      </w:r>
      <w:r>
        <w:rPr>
          <w:rStyle w:val="FootnoteReference"/>
        </w:rPr>
        <w:footnoteReference w:id="289"/>
      </w:r>
      <w:r>
        <w:t xml:space="preserve">, produzida por engenharia genética em levedura.</w:t>
      </w:r>
    </w:p>
    <w:p>
      <w:pPr>
        <w:numPr>
          <w:ilvl w:val="0"/>
          <w:numId w:val="1042"/>
        </w:numPr>
        <w:pStyle w:val="Compact"/>
      </w:pPr>
      <w:r>
        <w:rPr>
          <w:bCs/>
          <w:b/>
        </w:rPr>
        <w:t xml:space="preserve">Mecanismo de ação:</w:t>
      </w:r>
      <w:r>
        <w:t xml:space="preserve"> </w:t>
      </w:r>
      <w:r>
        <w:t xml:space="preserve">agonista do receptor de GLP-1. O ácido graxo faz a molécula se ligar à proteína sanguínea albumina; com isso, basta uma injeção por dia.</w:t>
      </w:r>
    </w:p>
    <w:p>
      <w:pPr>
        <w:numPr>
          <w:ilvl w:val="0"/>
          <w:numId w:val="1042"/>
        </w:numPr>
        <w:pStyle w:val="Compact"/>
      </w:pPr>
      <w:r>
        <w:rPr>
          <w:bCs/>
          <w:b/>
        </w:rPr>
        <w:t xml:space="preserve">Preparações:</w:t>
      </w:r>
      <w:r>
        <w:t xml:space="preserve"> </w:t>
      </w:r>
      <w:r>
        <w:t xml:space="preserve">Victoza (diabetes tipo 2, até 1,8 mg por dia), Saxenda (controle de peso, até 3,0 mg por dia), Xultophy (combinação fixa com insulina degludeca). Desde 2024 existem preparações genéricas.</w:t>
      </w:r>
    </w:p>
    <w:p>
      <w:pPr>
        <w:numPr>
          <w:ilvl w:val="0"/>
          <w:numId w:val="1042"/>
        </w:numPr>
        <w:pStyle w:val="Compact"/>
      </w:pPr>
      <w:r>
        <w:rPr>
          <w:bCs/>
          <w:b/>
        </w:rPr>
        <w:t xml:space="preserve">Aprovação UE:</w:t>
      </w:r>
      <w:r>
        <w:t xml:space="preserve"> </w:t>
      </w:r>
      <w:r>
        <w:t xml:space="preserve">sim – diabetes tipo 2 (desde 2009) e controle de peso (desde 2015), em ambos os casos também para adolescentes.</w:t>
      </w:r>
    </w:p>
    <w:p>
      <w:pPr>
        <w:numPr>
          <w:ilvl w:val="0"/>
          <w:numId w:val="1042"/>
        </w:numPr>
        <w:pStyle w:val="Compact"/>
      </w:pPr>
      <w:r>
        <w:rPr>
          <w:bCs/>
          <w:b/>
        </w:rPr>
        <w:t xml:space="preserve">Aprovação EUA:</w:t>
      </w:r>
      <w:r>
        <w:t xml:space="preserve"> </w:t>
      </w:r>
      <w:r>
        <w:t xml:space="preserve">sim – diabetes tipo 2 (desde 2010, a partir de 10 anos), redução do risco cardiovascular no diabetes tipo 2 e controle de peso (desde 2014, a partir de 12 anos). Há genéricos aprovados para as duas indicações.</w:t>
      </w:r>
    </w:p>
    <w:p>
      <w:pPr>
        <w:numPr>
          <w:ilvl w:val="0"/>
          <w:numId w:val="1042"/>
        </w:numPr>
        <w:pStyle w:val="Compact"/>
      </w:pPr>
      <w:r>
        <w:rPr>
          <w:bCs/>
          <w:b/>
        </w:rPr>
        <w:t xml:space="preserve">WADA:</w:t>
      </w:r>
      <w:r>
        <w:t xml:space="preserve"> </w:t>
      </w:r>
      <w:r>
        <w:t xml:space="preserve">não listada.</w:t>
      </w:r>
    </w:p>
    <w:p>
      <w:pPr>
        <w:numPr>
          <w:ilvl w:val="0"/>
          <w:numId w:val="1042"/>
        </w:numPr>
        <w:pStyle w:val="Compact"/>
      </w:pPr>
      <w:r>
        <w:rPr>
          <w:bCs/>
          <w:b/>
        </w:rPr>
        <w:t xml:space="preserve">Nível de evidência:</w:t>
      </w:r>
      <w:r>
        <w:t xml:space="preserve"> </w:t>
      </w:r>
      <w:r>
        <w:rPr>
          <w:bCs/>
          <w:b/>
        </w:rPr>
        <w:t xml:space="preserve">A</w:t>
      </w:r>
      <w:r>
        <w:t xml:space="preserve"> </w:t>
      </w:r>
      <w:r>
        <w:t xml:space="preserve">– dois grandes programas de aprovação (LEAD, SCALE), um grande estudo de desfechos (LEADER), estudos em crianças e adolescentes.</w:t>
      </w:r>
    </w:p>
    <w:bookmarkEnd w:id="290"/>
    <w:bookmarkStart w:id="293" w:name="como-deveria-agir-1"/>
    <w:p>
      <w:pPr>
        <w:pStyle w:val="Heading3"/>
      </w:pPr>
      <w:r>
        <w:t xml:space="preserve">Como deveria agir</w:t>
      </w:r>
    </w:p>
    <w:p>
      <w:pPr>
        <w:pStyle w:val="FirstParagraph"/>
      </w:pPr>
      <w:r>
        <w:t xml:space="preserve">A liraglutida age como o hormônio intestinal GLP-1 do próprio corpo: aumenta a liberação de insulina dependente da glicose, inibe o glucagon, que eleva a glicose, retarda o esvaziamento do estômago e reduz o apetite no cérebro. O mecanismo básico da classe está descrito no capítulo sobre a exenatida.</w:t>
      </w:r>
    </w:p>
    <w:p>
      <w:pPr>
        <w:pStyle w:val="BodyText"/>
      </w:pPr>
      <w:r>
        <w:t xml:space="preserve">A diferença está na construção. Enquanto a exenatida vem do veneno de um lagarto e só é metade igual ao hormônio humano, a liraglutida é quase idêntica ao GLP-1 do próprio corpo. O truque que a torna duradoura é o ácido graxo ligado. Ele faz com que a molécula se una à albumina no sangue, se agregue em pequenos conjuntos e fique assim protegida da degradação pela enzima DPP-4 e da eliminação pelos rins. Com isso, a meia-vida sobe de poucos minutos para cerca de meio dia.</w:t>
      </w:r>
    </w:p>
    <w:p>
      <w:pPr>
        <w:pStyle w:val="BodyText"/>
      </w:pPr>
      <w:r>
        <w:t xml:space="preserve">Pela perda de peso são responsáveis sobretudo os efeitos no cérebro. Em camundongos e ratos, a liraglutida marcada chega a determinadas regiões do hipotálamo, o centro de controle da fome e da saciedade, e ali ativa neurônios que promovem a sensação de saciedade</w:t>
      </w:r>
      <w:r>
        <w:rPr>
          <w:rStyle w:val="FootnoteReference"/>
        </w:rPr>
        <w:footnoteReference w:id="291"/>
      </w:r>
      <w:r>
        <w:t xml:space="preserve">. Em seres humanos, isso se manifesta como menor ingestão de alimentos; um aumento relevante do gasto de energia não está comprovado.</w:t>
      </w:r>
    </w:p>
    <w:p>
      <w:pPr>
        <w:pStyle w:val="BodyText"/>
      </w:pPr>
      <w:r>
        <w:t xml:space="preserve">Da liraglutida surgiu mais tarde a semaglutida: a mesma ideia básica, mas com uma ligação mais forte à albumina, que permite uma injeção por semana</w:t>
      </w:r>
      <w:r>
        <w:rPr>
          <w:rStyle w:val="FootnoteReference"/>
        </w:rPr>
        <w:footnoteReference w:id="292"/>
      </w:r>
      <w:r>
        <w:t xml:space="preserve">.</w:t>
      </w:r>
    </w:p>
    <w:bookmarkEnd w:id="293"/>
    <w:bookmarkStart w:id="319" w:name="estudos-em-humanos-1"/>
    <w:p>
      <w:pPr>
        <w:pStyle w:val="Heading3"/>
      </w:pPr>
      <w:r>
        <w:t xml:space="preserve">Estudos em humanos</w:t>
      </w:r>
    </w:p>
    <w:p>
      <w:pPr>
        <w:pStyle w:val="FirstParagraph"/>
      </w:pPr>
      <w:r>
        <w:t xml:space="preserve">A liraglutida está entre os medicamentos peptídicos mais bem estudados. A busca no PubMed analisada para este livro (termo</w:t>
      </w:r>
      <w:r>
        <w:t xml:space="preserve"> </w:t>
      </w:r>
      <w:r>
        <w:t xml:space="preserve">“</w:t>
      </w:r>
      <w:r>
        <w:t xml:space="preserve">liraglutide</w:t>
      </w:r>
      <w:r>
        <w:t xml:space="preserve">”</w:t>
      </w:r>
      <w:r>
        <w:t xml:space="preserve"> </w:t>
      </w:r>
      <w:r>
        <w:t xml:space="preserve">no título ou no resumo, data da busca outubro de 2026) resultou em 613 estudos em humanos – mais do que para qualquer outro peptídeo deste livro. O ClinicalTrials.gov registra 517 entradas. A seguir, o foco está nos estudos de aprovação e de desfechos; além deles, há centenas de estudos menores sobre fígado, coração, cérebro, fertilidade e transtornos alimentares.</w:t>
      </w:r>
    </w:p>
    <w:bookmarkStart w:id="296" w:name="diabetes-tipo-2-o-programa-lead"/>
    <w:p>
      <w:pPr>
        <w:pStyle w:val="Heading4"/>
      </w:pPr>
      <w:r>
        <w:t xml:space="preserve">Diabetes tipo 2: o programa LEAD</w:t>
      </w:r>
    </w:p>
    <w:p>
      <w:pPr>
        <w:pStyle w:val="FirstParagraph"/>
      </w:pPr>
      <w:r>
        <w:t xml:space="preserve">Para a aprovação no diabetes, a liraglutida foi testada em seis estudos sob o nome LEAD (Liraglutide Effect and Action in Diabetes), sempre com 1,2 ou 1,8 mg por dia. Dois são especialmente esclarecedores, porque enfrentaram terapias estabelecidas na época. A isso se soma a comparação com o inibidor da DPP-4 sitagliptina.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LEAD-3 Mono (Garber 2009), PMID 18819705</w:t>
            </w:r>
          </w:p>
        </w:tc>
        <w:tc>
          <w:tcPr/>
          <w:p>
            <w:pPr>
              <w:pStyle w:val="Compact"/>
              <w:jc w:val="left"/>
            </w:pPr>
            <w:r>
              <w:t xml:space="preserve">746 pessoas com diabetes tipo 2 inicial, duplo-cego vs. glimepirida</w:t>
            </w:r>
          </w:p>
        </w:tc>
        <w:tc>
          <w:tcPr/>
          <w:p>
            <w:pPr>
              <w:pStyle w:val="Compact"/>
              <w:jc w:val="left"/>
            </w:pPr>
            <w:r>
              <w:t xml:space="preserve">52 semanas</w:t>
            </w:r>
          </w:p>
        </w:tc>
        <w:tc>
          <w:tcPr/>
          <w:p>
            <w:pPr>
              <w:pStyle w:val="Compact"/>
              <w:jc w:val="left"/>
            </w:pPr>
            <w:r>
              <w:t xml:space="preserve">HbA1c −1,14 (1,8 mg) vs. −0,51 ponto percentual</w:t>
            </w:r>
          </w:p>
        </w:tc>
      </w:tr>
      <w:tr>
        <w:tc>
          <w:tcPr/>
          <w:p>
            <w:pPr>
              <w:pStyle w:val="Compact"/>
              <w:jc w:val="left"/>
            </w:pPr>
            <w:r>
              <w:t xml:space="preserve">LEAD-6 (Buse 2009), PMID 19515413</w:t>
            </w:r>
          </w:p>
        </w:tc>
        <w:tc>
          <w:tcPr/>
          <w:p>
            <w:pPr>
              <w:pStyle w:val="Compact"/>
              <w:jc w:val="left"/>
            </w:pPr>
            <w:r>
              <w:t xml:space="preserve">aberto vs. exenatida duas vezes ao dia</w:t>
            </w:r>
          </w:p>
        </w:tc>
        <w:tc>
          <w:tcPr/>
          <w:p>
            <w:pPr>
              <w:pStyle w:val="Compact"/>
              <w:jc w:val="left"/>
            </w:pPr>
            <w:r>
              <w:t xml:space="preserve">26 semanas</w:t>
            </w:r>
          </w:p>
        </w:tc>
        <w:tc>
          <w:tcPr/>
          <w:p>
            <w:pPr>
              <w:pStyle w:val="Compact"/>
              <w:jc w:val="left"/>
            </w:pPr>
            <w:r>
              <w:t xml:space="preserve">HbA1c −1,12 vs. −0,79; peso −3,24 vs. −2,87 kg</w:t>
            </w:r>
          </w:p>
        </w:tc>
      </w:tr>
      <w:tr>
        <w:tc>
          <w:tcPr/>
          <w:p>
            <w:pPr>
              <w:pStyle w:val="Compact"/>
              <w:jc w:val="left"/>
            </w:pPr>
            <w:r>
              <w:t xml:space="preserve">Pratley 2010, PMID 20417856</w:t>
            </w:r>
          </w:p>
        </w:tc>
        <w:tc>
          <w:tcPr/>
          <w:p>
            <w:pPr>
              <w:pStyle w:val="Compact"/>
              <w:jc w:val="left"/>
            </w:pPr>
            <w:r>
              <w:t xml:space="preserve">658 pessoas em uso de metformina, aberto vs. sitagliptina</w:t>
            </w:r>
          </w:p>
        </w:tc>
        <w:tc>
          <w:tcPr/>
          <w:p>
            <w:pPr>
              <w:pStyle w:val="Compact"/>
              <w:jc w:val="left"/>
            </w:pPr>
            <w:r>
              <w:t xml:space="preserve">26 semanas</w:t>
            </w:r>
          </w:p>
        </w:tc>
        <w:tc>
          <w:tcPr/>
          <w:p>
            <w:pPr>
              <w:pStyle w:val="Compact"/>
              <w:jc w:val="left"/>
            </w:pPr>
            <w:r>
              <w:t xml:space="preserve">HbA1c −1,50 (1,8 mg) vs. −0,90; náuseas 27% vs. 5%</w:t>
            </w:r>
          </w:p>
        </w:tc>
      </w:tr>
    </w:tbl>
    <w:p>
      <w:pPr>
        <w:pStyle w:val="BodyText"/>
      </w:pPr>
      <w:r>
        <w:t xml:space="preserve">A HbA1c, valor de longo prazo da glicose, caiu com liraglutida nesses estudos de 1,1 a 1,5 ponto percentual. No LEAD-3</w:t>
      </w:r>
      <w:r>
        <w:rPr>
          <w:rStyle w:val="FootnoteReference"/>
        </w:rPr>
        <w:footnoteReference w:id="294"/>
      </w:r>
      <w:r>
        <w:t xml:space="preserve">, a liraglutida foi o primeiro medicamento para diabetes superior à sulfonilureia glimepirida, que reduz a glicose independentemente das refeições e leva com mais frequência a hipoglicemias. Contra a sitagliptina</w:t>
      </w:r>
      <w:r>
        <w:rPr>
          <w:rStyle w:val="FootnoteReference"/>
        </w:rPr>
        <w:footnoteReference w:id="295"/>
      </w:r>
      <w:r>
        <w:t xml:space="preserve">, a vantagem foi de 0,6 ponto percentual, porém com bem mais náuseas.</w:t>
      </w:r>
    </w:p>
    <w:bookmarkEnd w:id="296"/>
    <w:bookmarkStart w:id="301" w:name="X2b73cb83d7430f997d352c032ee741500caf14a"/>
    <w:p>
      <w:pPr>
        <w:pStyle w:val="Heading4"/>
      </w:pPr>
      <w:r>
        <w:t xml:space="preserve">Comparações diretas dentro da classe GLP-1</w:t>
      </w:r>
    </w:p>
    <w:p>
      <w:pPr>
        <w:pStyle w:val="FirstParagraph"/>
      </w:pPr>
      <w:r>
        <w:t xml:space="preserve">A liraglutida é o comparador mais usado da classe. Os resultados mostram uma ordem clara: a liraglutida é mais forte que a exenatida, aproximadamente tão forte quanto a dulaglutida e mais fraca que a semaglutida.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Desenho</w:t>
            </w:r>
          </w:p>
        </w:tc>
        <w:tc>
          <w:tcPr/>
          <w:p>
            <w:pPr>
              <w:pStyle w:val="Compact"/>
              <w:jc w:val="left"/>
            </w:pPr>
            <w:r>
              <w:t xml:space="preserve">Duração</w:t>
            </w:r>
          </w:p>
        </w:tc>
        <w:tc>
          <w:tcPr/>
          <w:p>
            <w:pPr>
              <w:pStyle w:val="Compact"/>
              <w:jc w:val="left"/>
            </w:pPr>
            <w:r>
              <w:t xml:space="preserve">Resultado (liraglutida vs. comparador)</w:t>
            </w:r>
          </w:p>
        </w:tc>
      </w:tr>
      <w:tr>
        <w:tc>
          <w:tcPr/>
          <w:p>
            <w:pPr>
              <w:pStyle w:val="Compact"/>
              <w:jc w:val="left"/>
            </w:pPr>
            <w:r>
              <w:t xml:space="preserve">LEAD-6 (Buse 2009), PMID 19515413</w:t>
            </w:r>
          </w:p>
        </w:tc>
        <w:tc>
          <w:tcPr/>
          <w:p>
            <w:pPr>
              <w:pStyle w:val="Compact"/>
              <w:jc w:val="left"/>
            </w:pPr>
            <w:r>
              <w:t xml:space="preserve">vs. exenatida duas vezes ao dia</w:t>
            </w:r>
          </w:p>
        </w:tc>
        <w:tc>
          <w:tcPr/>
          <w:p>
            <w:pPr>
              <w:pStyle w:val="Compact"/>
              <w:jc w:val="left"/>
            </w:pPr>
            <w:r>
              <w:t xml:space="preserve">26 semanas</w:t>
            </w:r>
          </w:p>
        </w:tc>
        <w:tc>
          <w:tcPr/>
          <w:p>
            <w:pPr>
              <w:pStyle w:val="Compact"/>
              <w:jc w:val="left"/>
            </w:pPr>
            <w:r>
              <w:t xml:space="preserve">HbA1c −1,12 vs. −0,79; meta &lt; 7% em 54% vs. 43%</w:t>
            </w:r>
          </w:p>
        </w:tc>
      </w:tr>
      <w:tr>
        <w:tc>
          <w:tcPr/>
          <w:p>
            <w:pPr>
              <w:pStyle w:val="Compact"/>
              <w:jc w:val="left"/>
            </w:pPr>
            <w:r>
              <w:t xml:space="preserve">DURATION-6 (Buse 2013), PMID 23141817</w:t>
            </w:r>
          </w:p>
        </w:tc>
        <w:tc>
          <w:tcPr/>
          <w:p>
            <w:pPr>
              <w:pStyle w:val="Compact"/>
              <w:jc w:val="left"/>
            </w:pPr>
            <w:r>
              <w:t xml:space="preserve">911 pessoas, vs. exenatida semanal</w:t>
            </w:r>
          </w:p>
        </w:tc>
        <w:tc>
          <w:tcPr/>
          <w:p>
            <w:pPr>
              <w:pStyle w:val="Compact"/>
              <w:jc w:val="left"/>
            </w:pPr>
            <w:r>
              <w:t xml:space="preserve">26 semanas</w:t>
            </w:r>
          </w:p>
        </w:tc>
        <w:tc>
          <w:tcPr/>
          <w:p>
            <w:pPr>
              <w:pStyle w:val="Compact"/>
              <w:jc w:val="left"/>
            </w:pPr>
            <w:r>
              <w:t xml:space="preserve">HbA1c −1,48 vs. −1,28; náuseas 21% vs. 9%</w:t>
            </w:r>
          </w:p>
        </w:tc>
      </w:tr>
      <w:tr>
        <w:tc>
          <w:tcPr/>
          <w:p>
            <w:pPr>
              <w:pStyle w:val="Compact"/>
              <w:jc w:val="left"/>
            </w:pPr>
            <w:r>
              <w:t xml:space="preserve">AWARD-6 (Dungan 2014), PMID 25018121</w:t>
            </w:r>
          </w:p>
        </w:tc>
        <w:tc>
          <w:tcPr/>
          <w:p>
            <w:pPr>
              <w:pStyle w:val="Compact"/>
              <w:jc w:val="left"/>
            </w:pPr>
            <w:r>
              <w:t xml:space="preserve">599 pessoas, vs. dulaglutida semanal</w:t>
            </w:r>
          </w:p>
        </w:tc>
        <w:tc>
          <w:tcPr/>
          <w:p>
            <w:pPr>
              <w:pStyle w:val="Compact"/>
              <w:jc w:val="left"/>
            </w:pPr>
            <w:r>
              <w:t xml:space="preserve">26 semanas</w:t>
            </w:r>
          </w:p>
        </w:tc>
        <w:tc>
          <w:tcPr/>
          <w:p>
            <w:pPr>
              <w:pStyle w:val="Compact"/>
              <w:jc w:val="left"/>
            </w:pPr>
            <w:r>
              <w:t xml:space="preserve">HbA1c −1,36 vs. −1,42; equivalentes</w:t>
            </w:r>
          </w:p>
        </w:tc>
      </w:tr>
      <w:tr>
        <w:tc>
          <w:tcPr/>
          <w:p>
            <w:pPr>
              <w:pStyle w:val="Compact"/>
              <w:jc w:val="left"/>
            </w:pPr>
            <w:r>
              <w:t xml:space="preserve">PIONEER 4 (Pratley 2019), PMID 31186120</w:t>
            </w:r>
          </w:p>
        </w:tc>
        <w:tc>
          <w:tcPr/>
          <w:p>
            <w:pPr>
              <w:pStyle w:val="Compact"/>
              <w:jc w:val="left"/>
            </w:pPr>
            <w:r>
              <w:t xml:space="preserve">711 pessoas, vs. comprimido de semaglutida e placebo</w:t>
            </w:r>
          </w:p>
        </w:tc>
        <w:tc>
          <w:tcPr/>
          <w:p>
            <w:pPr>
              <w:pStyle w:val="Compact"/>
              <w:jc w:val="left"/>
            </w:pPr>
            <w:r>
              <w:t xml:space="preserve">52 semanas</w:t>
            </w:r>
          </w:p>
        </w:tc>
        <w:tc>
          <w:tcPr/>
          <w:p>
            <w:pPr>
              <w:pStyle w:val="Compact"/>
              <w:jc w:val="left"/>
            </w:pPr>
            <w:r>
              <w:t xml:space="preserve">HbA1c −1,1 vs. −1,2 após 26 semanas; peso −3,1 vs. −4,4 kg</w:t>
            </w:r>
          </w:p>
        </w:tc>
      </w:tr>
      <w:tr>
        <w:tc>
          <w:tcPr/>
          <w:p>
            <w:pPr>
              <w:pStyle w:val="Compact"/>
              <w:jc w:val="left"/>
            </w:pPr>
            <w:r>
              <w:t xml:space="preserve">SUSTAIN 10 (Capehorn 2020), PMID 31539622</w:t>
            </w:r>
          </w:p>
        </w:tc>
        <w:tc>
          <w:tcPr/>
          <w:p>
            <w:pPr>
              <w:pStyle w:val="Compact"/>
              <w:jc w:val="left"/>
            </w:pPr>
            <w:r>
              <w:t xml:space="preserve">liraglutida 1,2 mg vs. semaglutida 1,0 mg semanal</w:t>
            </w:r>
          </w:p>
        </w:tc>
        <w:tc>
          <w:tcPr/>
          <w:p>
            <w:pPr>
              <w:pStyle w:val="Compact"/>
              <w:jc w:val="left"/>
            </w:pPr>
            <w:r>
              <w:t xml:space="preserve">30 semanas</w:t>
            </w:r>
          </w:p>
        </w:tc>
        <w:tc>
          <w:tcPr/>
          <w:p>
            <w:pPr>
              <w:pStyle w:val="Compact"/>
              <w:jc w:val="left"/>
            </w:pPr>
            <w:r>
              <w:t xml:space="preserve">HbA1c −1,0 vs. −1,7; peso −1,9 vs. −5,8 kg</w:t>
            </w:r>
          </w:p>
        </w:tc>
      </w:tr>
      <w:tr>
        <w:tc>
          <w:tcPr/>
          <w:p>
            <w:pPr>
              <w:pStyle w:val="Compact"/>
              <w:jc w:val="left"/>
            </w:pPr>
            <w:r>
              <w:t xml:space="preserve">STEP 8 (Rubino 2022), PMID 35015037</w:t>
            </w:r>
          </w:p>
        </w:tc>
        <w:tc>
          <w:tcPr/>
          <w:p>
            <w:pPr>
              <w:pStyle w:val="Compact"/>
              <w:jc w:val="left"/>
            </w:pPr>
            <w:r>
              <w:t xml:space="preserve">338 pessoas com obesidade sem diabetes, liraglutida 3,0 mg vs. semaglutida 2,4 mg</w:t>
            </w:r>
          </w:p>
        </w:tc>
        <w:tc>
          <w:tcPr/>
          <w:p>
            <w:pPr>
              <w:pStyle w:val="Compact"/>
              <w:jc w:val="left"/>
            </w:pPr>
            <w:r>
              <w:t xml:space="preserve">68 semanas</w:t>
            </w:r>
          </w:p>
        </w:tc>
        <w:tc>
          <w:tcPr/>
          <w:p>
            <w:pPr>
              <w:pStyle w:val="Compact"/>
              <w:jc w:val="left"/>
            </w:pPr>
            <w:r>
              <w:t xml:space="preserve">peso −6,4% vs. −15,8%</w:t>
            </w:r>
          </w:p>
        </w:tc>
      </w:tr>
    </w:tbl>
    <w:p>
      <w:pPr>
        <w:pStyle w:val="BodyText"/>
      </w:pPr>
      <w:r>
        <w:t xml:space="preserve">No LEAD-6</w:t>
      </w:r>
      <w:r>
        <w:rPr>
          <w:rStyle w:val="FootnoteReference"/>
        </w:rPr>
        <w:footnoteReference w:id="297"/>
      </w:r>
      <w:r>
        <w:t xml:space="preserve">, a liraglutida reduziu a glicose de jejum de forma bem mais acentuada que a exenatida duas vezes ao dia, mas reduziu menos o aumento da glicose após o café da manhã e o jantar – um indício de que formas de ação curta agem mais pelo esvaziamento gástrico. As náuseas duraram menos com liraglutida, e as hipoglicemias leves foram mais raras (25,5% vs. 33,6% dos participantes).</w:t>
      </w:r>
    </w:p>
    <w:p>
      <w:pPr>
        <w:pStyle w:val="BodyText"/>
      </w:pPr>
      <w:r>
        <w:t xml:space="preserve">Contra a dulaglutida, a liraglutida foi equivalente no AWARD-6</w:t>
      </w:r>
      <w:r>
        <w:rPr>
          <w:rStyle w:val="FootnoteReference"/>
        </w:rPr>
        <w:footnoteReference w:id="298"/>
      </w:r>
      <w:r>
        <w:t xml:space="preserve">, com tolerabilidade semelhante; náuseas ocorreram em 18% contra 20%.</w:t>
      </w:r>
    </w:p>
    <w:p>
      <w:pPr>
        <w:pStyle w:val="BodyText"/>
      </w:pPr>
      <w:r>
        <w:t xml:space="preserve">Contra a semaglutida, a liraglutida perdeu em todas as comparações. Isso foi mais evidente no STEP 8</w:t>
      </w:r>
      <w:r>
        <w:rPr>
          <w:rStyle w:val="FootnoteReference"/>
        </w:rPr>
        <w:footnoteReference w:id="299"/>
      </w:r>
      <w:r>
        <w:t xml:space="preserve">, no peso: com a dose aprovada para obesidade de cada uma, os participantes perderam em média 15,8% com semaglutida e 6,4% com liraglutida (placebo: 1,9%). Uma perda de pelo menos 15% foi alcançada por 55,6% contra 12,0%. Interromperam o tratamento antes do fim 27,6% com liraglutida e 13,5% com semaglutida. Com o comprimido de semaglutida, a diferença no PIONEER 4</w:t>
      </w:r>
      <w:r>
        <w:rPr>
          <w:rStyle w:val="FootnoteReference"/>
        </w:rPr>
        <w:footnoteReference w:id="300"/>
      </w:r>
      <w:r>
        <w:t xml:space="preserve"> </w:t>
      </w:r>
      <w:r>
        <w:t xml:space="preserve">foi menor: na HbA1c, o comprimido não foi inferior segundo o método principal de análise; no peso, foi superior em 1,2 kg. Detalhes sobre esses estudos estão no capítulo sobre a semaglutida.</w:t>
      </w:r>
    </w:p>
    <w:bookmarkEnd w:id="301"/>
    <w:bookmarkStart w:id="305" w:name="leader-coração-circulação-e-rins"/>
    <w:p>
      <w:pPr>
        <w:pStyle w:val="Heading4"/>
      </w:pPr>
      <w:r>
        <w:t xml:space="preserve">LEADER: coração, circulação e rins</w:t>
      </w:r>
    </w:p>
    <w:p>
      <w:pPr>
        <w:pStyle w:val="FirstParagraph"/>
      </w:pPr>
      <w:r>
        <w:t xml:space="preserve">O LEADER foi o primeiro grande estudo a mostrar, para um agonista do receptor de GLP-1, proteção contra eventos cardiovasculares. Ele mudou o papel de toda a classe nas diretrizes de 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LEADER (Marso 2016), PMID 27295427</w:t>
            </w:r>
          </w:p>
        </w:tc>
        <w:tc>
          <w:tcPr/>
          <w:p>
            <w:pPr>
              <w:pStyle w:val="Compact"/>
              <w:jc w:val="left"/>
            </w:pPr>
            <w:r>
              <w:t xml:space="preserve">9.340 pessoas com diabetes tipo 2 e alto risco cardiovascular, ECR contra placebo</w:t>
            </w:r>
          </w:p>
        </w:tc>
        <w:tc>
          <w:tcPr/>
          <w:p>
            <w:pPr>
              <w:pStyle w:val="Compact"/>
              <w:jc w:val="left"/>
            </w:pPr>
            <w:r>
              <w:t xml:space="preserve">mediana de 3,8 anos</w:t>
            </w:r>
          </w:p>
        </w:tc>
        <w:tc>
          <w:tcPr/>
          <w:p>
            <w:pPr>
              <w:pStyle w:val="Compact"/>
              <w:jc w:val="left"/>
            </w:pPr>
            <w:r>
              <w:t xml:space="preserve">eventos cardiovasculares graves 13,0% vs. 14,9%; HR 0,87 (0,78–0,97)</w:t>
            </w:r>
          </w:p>
        </w:tc>
      </w:tr>
      <w:tr>
        <w:tc>
          <w:tcPr/>
          <w:p>
            <w:pPr>
              <w:pStyle w:val="Compact"/>
              <w:jc w:val="left"/>
            </w:pPr>
            <w:r>
              <w:t xml:space="preserve">LEADER, análise renal (Mann 2017), PMID 28854085</w:t>
            </w:r>
          </w:p>
        </w:tc>
        <w:tc>
          <w:tcPr/>
          <w:p>
            <w:pPr>
              <w:pStyle w:val="Compact"/>
              <w:jc w:val="left"/>
            </w:pPr>
            <w:r>
              <w:t xml:space="preserve">as mesmas 9.340 pessoas, análise pré-planejada</w:t>
            </w:r>
          </w:p>
        </w:tc>
        <w:tc>
          <w:tcPr/>
          <w:p>
            <w:pPr>
              <w:pStyle w:val="Compact"/>
              <w:jc w:val="left"/>
            </w:pPr>
            <w:r>
              <w:t xml:space="preserve">mediana de 3,84 anos</w:t>
            </w:r>
          </w:p>
        </w:tc>
        <w:tc>
          <w:tcPr/>
          <w:p>
            <w:pPr>
              <w:pStyle w:val="Compact"/>
              <w:jc w:val="left"/>
            </w:pPr>
            <w:r>
              <w:t xml:space="preserve">desfecho renal 268 vs. 337 casos; HR 0,78, sobretudo menos macroalbuminúria nova</w:t>
            </w:r>
          </w:p>
        </w:tc>
      </w:tr>
    </w:tbl>
    <w:p>
      <w:pPr>
        <w:pStyle w:val="BodyText"/>
      </w:pPr>
      <w:r>
        <w:t xml:space="preserve">O desfecho principal – morte por causa cardiovascular, infarto não fatal ou AVC – ocorreu com liraglutida em 608 de 4.668 pessoas (13,0%) e com placebo em 694 de 4.672 (14,9%)</w:t>
      </w:r>
      <w:r>
        <w:rPr>
          <w:rStyle w:val="FootnoteReference"/>
        </w:rPr>
        <w:footnoteReference w:id="302"/>
      </w:r>
      <w:r>
        <w:t xml:space="preserve">. Isso corresponde a uma redução relativa do risco de 13%. O efeito foi sustentado sobretudo por menos mortes cardiovasculares (4,7% vs. 6,0%; HR 0,78). A mortalidade total também foi menor (8,2% vs. 9,6%; HR 0,85). Os componentes individuais infarto, AVC e internação por insuficiência cardíaca, considerados isoladamente, não foram significativamente reduzidos.</w:t>
      </w:r>
    </w:p>
    <w:p>
      <w:pPr>
        <w:pStyle w:val="BodyText"/>
      </w:pPr>
      <w:r>
        <w:t xml:space="preserve">Em números absolutos, isso significa: ao longo de quase quatro anos, cerca de duas em cada cem pessoas tratadas deixaram de ter um evento cardiovascular grave. Para um grupo de alto risco, é um efeito relevante.</w:t>
      </w:r>
    </w:p>
    <w:p>
      <w:pPr>
        <w:pStyle w:val="BodyText"/>
      </w:pPr>
      <w:r>
        <w:t xml:space="preserve">A análise renal</w:t>
      </w:r>
      <w:r>
        <w:rPr>
          <w:rStyle w:val="FootnoteReference"/>
        </w:rPr>
        <w:footnoteReference w:id="303"/>
      </w:r>
      <w:r>
        <w:t xml:space="preserve"> </w:t>
      </w:r>
      <w:r>
        <w:t xml:space="preserve">mostrou menos casos de nova excreção elevada de proteína na urina (macroalbuminúria). Desfechos renais duros, como a necessidade de diálise, foram raros e não diferiram claramente. A insuficiência renal aguda ocorreu com frequência semelhante à do placebo.</w:t>
      </w:r>
    </w:p>
    <w:p>
      <w:pPr>
        <w:pStyle w:val="BodyText"/>
      </w:pPr>
      <w:r>
        <w:t xml:space="preserve">Nem todo grupo cardíaco se beneficia. No estudo FIGHT, com 300 pessoas que pouco antes haviam sido internadas por insuficiência cardíaca grave com função de bombeamento muito reduzida, a liraglutida não melhorou a evolução</w:t>
      </w:r>
      <w:r>
        <w:rPr>
          <w:rStyle w:val="FootnoteReference"/>
        </w:rPr>
        <w:footnoteReference w:id="304"/>
      </w:r>
      <w:r>
        <w:t xml:space="preserve">. Houve até um pouco mais de reinternações por insuficiência cardíaca (41% vs. 34%), sem que a diferença fosse estatisticamente comprovada. Os autores não viram base para o uso nessa situação.</w:t>
      </w:r>
    </w:p>
    <w:bookmarkEnd w:id="305"/>
    <w:bookmarkStart w:id="310" w:name="obesidade-o-programa-scale"/>
    <w:p>
      <w:pPr>
        <w:pStyle w:val="Heading4"/>
      </w:pPr>
      <w:r>
        <w:t xml:space="preserve">Obesidade: o programa SCALE</w:t>
      </w:r>
    </w:p>
    <w:p>
      <w:pPr>
        <w:pStyle w:val="FirstParagraph"/>
      </w:pPr>
      <w:r>
        <w:t xml:space="preserve">Com 3,0 mg por dia – quase o dobro da dose máxima para diabetes –, a liraglutida foi aprovada em 2014/2015 como o primeiro medicamento GLP-1 para redução de peso. A base foi o programa de estudos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SCALE Obesity and Prediabetes (Pi-Sunyer 2015), PMID 26132939</w:t>
            </w:r>
          </w:p>
        </w:tc>
        <w:tc>
          <w:tcPr/>
          <w:p>
            <w:pPr>
              <w:pStyle w:val="Compact"/>
              <w:jc w:val="left"/>
            </w:pPr>
            <w:r>
              <w:t xml:space="preserve">3.731 adultos com obesidade sem diabetes, ECR contra placebo</w:t>
            </w:r>
          </w:p>
        </w:tc>
        <w:tc>
          <w:tcPr/>
          <w:p>
            <w:pPr>
              <w:pStyle w:val="Compact"/>
              <w:jc w:val="left"/>
            </w:pPr>
            <w:r>
              <w:t xml:space="preserve">56 semanas</w:t>
            </w:r>
          </w:p>
        </w:tc>
        <w:tc>
          <w:tcPr/>
          <w:p>
            <w:pPr>
              <w:pStyle w:val="Compact"/>
              <w:jc w:val="left"/>
            </w:pPr>
            <w:r>
              <w:t xml:space="preserve">−8,4 kg vs. −2,8 kg; perda ≥ 5% em 63,2% vs. 27,1%</w:t>
            </w:r>
          </w:p>
        </w:tc>
      </w:tr>
      <w:tr>
        <w:tc>
          <w:tcPr/>
          <w:p>
            <w:pPr>
              <w:pStyle w:val="Compact"/>
              <w:jc w:val="left"/>
            </w:pPr>
            <w:r>
              <w:t xml:space="preserve">SCALE, parte de 3 anos (le Roux 2017), PMID 28237263</w:t>
            </w:r>
          </w:p>
        </w:tc>
        <w:tc>
          <w:tcPr/>
          <w:p>
            <w:pPr>
              <w:pStyle w:val="Compact"/>
              <w:jc w:val="left"/>
            </w:pPr>
            <w:r>
              <w:t xml:space="preserve">2.254 pessoas com pré-diabetes</w:t>
            </w:r>
          </w:p>
        </w:tc>
        <w:tc>
          <w:tcPr/>
          <w:p>
            <w:pPr>
              <w:pStyle w:val="Compact"/>
              <w:jc w:val="left"/>
            </w:pPr>
            <w:r>
              <w:t xml:space="preserve">160 semanas</w:t>
            </w:r>
          </w:p>
        </w:tc>
        <w:tc>
          <w:tcPr/>
          <w:p>
            <w:pPr>
              <w:pStyle w:val="Compact"/>
              <w:jc w:val="left"/>
            </w:pPr>
            <w:r>
              <w:t xml:space="preserve">diabetes novo em 2% vs. 6%; peso −6,1% vs. −1,9%</w:t>
            </w:r>
          </w:p>
        </w:tc>
      </w:tr>
      <w:tr>
        <w:tc>
          <w:tcPr/>
          <w:p>
            <w:pPr>
              <w:pStyle w:val="Compact"/>
              <w:jc w:val="left"/>
            </w:pPr>
            <w:r>
              <w:t xml:space="preserve">SCALE Diabetes (Davies 2015), PMID 26284720</w:t>
            </w:r>
          </w:p>
        </w:tc>
        <w:tc>
          <w:tcPr/>
          <w:p>
            <w:pPr>
              <w:pStyle w:val="Compact"/>
              <w:jc w:val="left"/>
            </w:pPr>
            <w:r>
              <w:t xml:space="preserve">846 pessoas com diabetes tipo 2 e sobrepeso</w:t>
            </w:r>
          </w:p>
        </w:tc>
        <w:tc>
          <w:tcPr/>
          <w:p>
            <w:pPr>
              <w:pStyle w:val="Compact"/>
              <w:jc w:val="left"/>
            </w:pPr>
            <w:r>
              <w:t xml:space="preserve">56 semanas</w:t>
            </w:r>
          </w:p>
        </w:tc>
        <w:tc>
          <w:tcPr/>
          <w:p>
            <w:pPr>
              <w:pStyle w:val="Compact"/>
              <w:jc w:val="left"/>
            </w:pPr>
            <w:r>
              <w:t xml:space="preserve">−6,0% (3,0 mg) vs. −2,0%</w:t>
            </w:r>
          </w:p>
        </w:tc>
      </w:tr>
      <w:tr>
        <w:tc>
          <w:tcPr/>
          <w:p>
            <w:pPr>
              <w:pStyle w:val="Compact"/>
              <w:jc w:val="left"/>
            </w:pPr>
            <w:r>
              <w:t xml:space="preserve">SCALE Maintenance (Wadden 2013), PMID 23812094</w:t>
            </w:r>
          </w:p>
        </w:tc>
        <w:tc>
          <w:tcPr/>
          <w:p>
            <w:pPr>
              <w:pStyle w:val="Compact"/>
              <w:jc w:val="left"/>
            </w:pPr>
            <w:r>
              <w:t xml:space="preserve">422 pessoas após dieta com perda ≥ 5%</w:t>
            </w:r>
          </w:p>
        </w:tc>
        <w:tc>
          <w:tcPr/>
          <w:p>
            <w:pPr>
              <w:pStyle w:val="Compact"/>
              <w:jc w:val="left"/>
            </w:pPr>
            <w:r>
              <w:t xml:space="preserve">56 semanas</w:t>
            </w:r>
          </w:p>
        </w:tc>
        <w:tc>
          <w:tcPr/>
          <w:p>
            <w:pPr>
              <w:pStyle w:val="Compact"/>
              <w:jc w:val="left"/>
            </w:pPr>
            <w:r>
              <w:t xml:space="preserve">adicional −6,2% vs. −0,2%</w:t>
            </w:r>
          </w:p>
        </w:tc>
      </w:tr>
      <w:tr>
        <w:tc>
          <w:tcPr/>
          <w:p>
            <w:pPr>
              <w:pStyle w:val="Compact"/>
              <w:jc w:val="left"/>
            </w:pPr>
            <w:r>
              <w:t xml:space="preserve">SCALE Sleep Apnea (Blackman 2016), PMID 27005405</w:t>
            </w:r>
          </w:p>
        </w:tc>
        <w:tc>
          <w:tcPr/>
          <w:p>
            <w:pPr>
              <w:pStyle w:val="Compact"/>
              <w:jc w:val="left"/>
            </w:pPr>
            <w:r>
              <w:t xml:space="preserve">adultos com obesidade e apneia do sono moderada a grave</w:t>
            </w:r>
          </w:p>
        </w:tc>
        <w:tc>
          <w:tcPr/>
          <w:p>
            <w:pPr>
              <w:pStyle w:val="Compact"/>
              <w:jc w:val="left"/>
            </w:pPr>
            <w:r>
              <w:t xml:space="preserve">32 semanas</w:t>
            </w:r>
          </w:p>
        </w:tc>
        <w:tc>
          <w:tcPr/>
          <w:p>
            <w:pPr>
              <w:pStyle w:val="Compact"/>
              <w:jc w:val="left"/>
            </w:pPr>
            <w:r>
              <w:t xml:space="preserve">pausas respiratórias −12,2 vs. −6,1 por hora; peso −5,7% vs. −1,6%</w:t>
            </w:r>
          </w:p>
        </w:tc>
      </w:tr>
    </w:tbl>
    <w:p>
      <w:pPr>
        <w:pStyle w:val="BodyText"/>
      </w:pPr>
      <w:r>
        <w:t xml:space="preserve">No maior estudo</w:t>
      </w:r>
      <w:r>
        <w:rPr>
          <w:rStyle w:val="FootnoteReference"/>
        </w:rPr>
        <w:footnoteReference w:id="306"/>
      </w:r>
      <w:r>
        <w:t xml:space="preserve">, os participantes perderam em média 8,4 kg com liraglutida e 2,8 kg com placebo – em ambos os casos com orientação sobre alimentação e atividade física. Um terço (33,1%) perdeu mais de 10% do peso corporal, contra 10,6% com placebo. Eventos adversos graves ocorreram em 6,2% contra 5,0%.</w:t>
      </w:r>
    </w:p>
    <w:p>
      <w:pPr>
        <w:pStyle w:val="BodyText"/>
      </w:pPr>
      <w:r>
        <w:t xml:space="preserve">Os participantes com pré-diabetes (estágio anterior ao diabetes) continuaram sendo tratados por três anos</w:t>
      </w:r>
      <w:r>
        <w:rPr>
          <w:rStyle w:val="FootnoteReference"/>
        </w:rPr>
        <w:footnoteReference w:id="307"/>
      </w:r>
      <w:r>
        <w:t xml:space="preserve">. Com liraglutida, 2% desenvolveram diabetes tipo 2; com placebo, 6%. O estudo, porém, tem uma fraqueza importante: apenas metade dos participantes (50%) permaneceu até o fim, e quem saiu não foi mais acompanhado. Os resultados devem, portanto, ser lidos com cautela.</w:t>
      </w:r>
    </w:p>
    <w:p>
      <w:pPr>
        <w:pStyle w:val="BodyText"/>
      </w:pPr>
      <w:r>
        <w:t xml:space="preserve">Em pessoas com diabetes tipo 2, a perda de peso foi menor</w:t>
      </w:r>
      <w:r>
        <w:rPr>
          <w:rStyle w:val="FootnoteReference"/>
        </w:rPr>
        <w:footnoteReference w:id="308"/>
      </w:r>
      <w:r>
        <w:t xml:space="preserve"> </w:t>
      </w:r>
      <w:r>
        <w:t xml:space="preserve">– um padrão que se repete em todos os medicamentos GLP-1. No SCALE Maintenance</w:t>
      </w:r>
      <w:r>
        <w:rPr>
          <w:rStyle w:val="FootnoteReference"/>
        </w:rPr>
        <w:footnoteReference w:id="309"/>
      </w:r>
      <w:r>
        <w:t xml:space="preserve">, a liraglutida ajudou a manter o peso após uma fase de dieta: 81,4% mantiveram a perda de peso alcançada antes, contra 48,9% com placebo.</w:t>
      </w:r>
    </w:p>
    <w:p>
      <w:pPr>
        <w:pStyle w:val="BodyText"/>
      </w:pPr>
      <w:r>
        <w:t xml:space="preserve">Em retrospecto, o efeito da liraglutida sobre o peso parece modesto, desde que a semaglutida e a tirzepatida alcançam em média de 15 a mais de 20%. Para sua época, foi um avanço: nenhum medicamento aprovado anteriormente havia mostrado valores semelhantes em estudos desse porte.</w:t>
      </w:r>
    </w:p>
    <w:bookmarkEnd w:id="310"/>
    <w:bookmarkStart w:id="314" w:name="crianças-e-adolescentes"/>
    <w:p>
      <w:pPr>
        <w:pStyle w:val="Heading4"/>
      </w:pPr>
      <w:r>
        <w:t xml:space="preserve">Crianças e adolescentes</w:t>
      </w:r>
    </w:p>
    <w:p>
      <w:pPr>
        <w:pStyle w:val="FirstParagraph"/>
      </w:pPr>
      <w:r>
        <w:t xml:space="preserve">A liraglutida é uma das poucas substâncias desta classe estudadas especificamente em crianças e adolescentes.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ELLIPSE (Tamborlane 2019), PMID 31034184</w:t>
            </w:r>
          </w:p>
        </w:tc>
        <w:tc>
          <w:tcPr/>
          <w:p>
            <w:pPr>
              <w:pStyle w:val="Compact"/>
              <w:jc w:val="left"/>
            </w:pPr>
            <w:r>
              <w:t xml:space="preserve">134 crianças e adolescentes (10 a menos de 17 anos) com diabetes tipo 2, ECR contra placebo</w:t>
            </w:r>
          </w:p>
        </w:tc>
        <w:tc>
          <w:tcPr/>
          <w:p>
            <w:pPr>
              <w:pStyle w:val="Compact"/>
              <w:jc w:val="left"/>
            </w:pPr>
            <w:r>
              <w:t xml:space="preserve">52 semanas</w:t>
            </w:r>
          </w:p>
        </w:tc>
        <w:tc>
          <w:tcPr/>
          <w:p>
            <w:pPr>
              <w:pStyle w:val="Compact"/>
              <w:jc w:val="left"/>
            </w:pPr>
            <w:r>
              <w:t xml:space="preserve">HbA1c −1,06 ponto percentual em relação ao placebo após 26 semanas, −1,30 após 52 semanas</w:t>
            </w:r>
          </w:p>
        </w:tc>
      </w:tr>
      <w:tr>
        <w:tc>
          <w:tcPr/>
          <w:p>
            <w:pPr>
              <w:pStyle w:val="Compact"/>
              <w:jc w:val="left"/>
            </w:pPr>
            <w:r>
              <w:t xml:space="preserve">SCALE Teens (Kelly 2020), PMID 32233338</w:t>
            </w:r>
          </w:p>
        </w:tc>
        <w:tc>
          <w:tcPr/>
          <w:p>
            <w:pPr>
              <w:pStyle w:val="Compact"/>
              <w:jc w:val="left"/>
            </w:pPr>
            <w:r>
              <w:t xml:space="preserve">251 adolescentes (12 a menos de 18 anos) com obesidade, ECR contra placebo</w:t>
            </w:r>
          </w:p>
        </w:tc>
        <w:tc>
          <w:tcPr/>
          <w:p>
            <w:pPr>
              <w:pStyle w:val="Compact"/>
              <w:jc w:val="left"/>
            </w:pPr>
            <w:r>
              <w:t xml:space="preserve">56 semanas</w:t>
            </w:r>
          </w:p>
        </w:tc>
        <w:tc>
          <w:tcPr/>
          <w:p>
            <w:pPr>
              <w:pStyle w:val="Compact"/>
              <w:jc w:val="left"/>
            </w:pPr>
            <w:r>
              <w:t xml:space="preserve">redução do IMC ≥ 5% em 43,3% vs. 18,7%; peso −4,50 kg em relação ao placebo</w:t>
            </w:r>
          </w:p>
        </w:tc>
      </w:tr>
      <w:tr>
        <w:tc>
          <w:tcPr/>
          <w:p>
            <w:pPr>
              <w:pStyle w:val="Compact"/>
              <w:jc w:val="left"/>
            </w:pPr>
            <w:r>
              <w:t xml:space="preserve">SCALE Kids (Fox 2025), PMID 39258838</w:t>
            </w:r>
          </w:p>
        </w:tc>
        <w:tc>
          <w:tcPr/>
          <w:p>
            <w:pPr>
              <w:pStyle w:val="Compact"/>
              <w:jc w:val="left"/>
            </w:pPr>
            <w:r>
              <w:t xml:space="preserve">82 crianças (6 a menos de 12 anos) com obesidade, ECR contra placebo</w:t>
            </w:r>
          </w:p>
        </w:tc>
        <w:tc>
          <w:tcPr/>
          <w:p>
            <w:pPr>
              <w:pStyle w:val="Compact"/>
              <w:jc w:val="left"/>
            </w:pPr>
            <w:r>
              <w:t xml:space="preserve">56 semanas</w:t>
            </w:r>
          </w:p>
        </w:tc>
        <w:tc>
          <w:tcPr/>
          <w:p>
            <w:pPr>
              <w:pStyle w:val="Compact"/>
              <w:jc w:val="left"/>
            </w:pPr>
            <w:r>
              <w:t xml:space="preserve">IMC −5,8% vs. +1,6%</w:t>
            </w:r>
          </w:p>
        </w:tc>
      </w:tr>
    </w:tbl>
    <w:p>
      <w:pPr>
        <w:pStyle w:val="BodyText"/>
      </w:pPr>
      <w:r>
        <w:t xml:space="preserve">No SCALE Teens</w:t>
      </w:r>
      <w:r>
        <w:rPr>
          <w:rStyle w:val="FootnoteReference"/>
        </w:rPr>
        <w:footnoteReference w:id="311"/>
      </w:r>
      <w:r>
        <w:t xml:space="preserve">, após a suspensão houve um novo aumento do IMC, maior do que com placebo. Queixas gastrointestinais afetaram 64,8% contra 36,5%; 10,4% interromperam o tratamento por efeitos colaterais. No grupo da liraglutida houve um suicídio, que os investigadores classificaram como provavelmente não relacionado ao tratamento.</w:t>
      </w:r>
    </w:p>
    <w:p>
      <w:pPr>
        <w:pStyle w:val="BodyText"/>
      </w:pPr>
      <w:r>
        <w:t xml:space="preserve">No SCALE Kids</w:t>
      </w:r>
      <w:r>
        <w:rPr>
          <w:rStyle w:val="FootnoteReference"/>
        </w:rPr>
        <w:footnoteReference w:id="312"/>
      </w:r>
      <w:r>
        <w:t xml:space="preserve">, o peso corporal das crianças em crescimento aumentou em média 1,6% com liraglutida e 10,0% com placebo. Queixas gastrointestinais ocorreram em 80% contra 54%, e eventos adversos graves em 12% contra 8%. Em crianças, coloca-se de modo especial a questão de quanto tempo esse tratamento deve durar e quais efeitos de longo prazo existem sobre o crescimento e os ossos. Sobre isso, está em andamento, entre outros, um estudo sobre o metabolismo ósseo em jovens de 12 a 21 anos em terapia com GLP-1</w:t>
      </w:r>
      <w:r>
        <w:rPr>
          <w:rStyle w:val="FootnoteReference"/>
        </w:rPr>
        <w:footnoteReference w:id="313"/>
      </w:r>
      <w:r>
        <w:t xml:space="preserve">.</w:t>
      </w:r>
    </w:p>
    <w:bookmarkEnd w:id="314"/>
    <w:bookmarkStart w:id="318" w:name="outras-áreas-de-uso-em-estudos-1"/>
    <w:p>
      <w:pPr>
        <w:pStyle w:val="Heading4"/>
      </w:pPr>
      <w:r>
        <w:t xml:space="preserve">Outras áreas de uso em estudos</w:t>
      </w:r>
    </w:p>
    <w:p>
      <w:pPr>
        <w:numPr>
          <w:ilvl w:val="0"/>
          <w:numId w:val="1043"/>
        </w:numPr>
        <w:pStyle w:val="Compact"/>
      </w:pPr>
      <w:r>
        <w:rPr>
          <w:bCs/>
          <w:b/>
        </w:rPr>
        <w:t xml:space="preserve">Esteato-hepatite (NASH/MASH):</w:t>
      </w:r>
      <w:r>
        <w:t xml:space="preserve"> </w:t>
      </w:r>
      <w:r>
        <w:t xml:space="preserve">no pequeno estudo de fase 2 LEAN, com 52 participantes, a inflamação regrediu na biópsia hepática em 39% com liraglutida e em 9% com placebo; uma progressão da cicatrização (fibrose) foi mais rara (9% vs. 36%)</w:t>
      </w:r>
      <w:r>
        <w:rPr>
          <w:rStyle w:val="FootnoteReference"/>
        </w:rPr>
        <w:footnoteReference w:id="315"/>
      </w:r>
      <w:r>
        <w:t xml:space="preserve">. Estudos maiores foram feitos mais tarde com semaglutida.</w:t>
      </w:r>
    </w:p>
    <w:p>
      <w:pPr>
        <w:numPr>
          <w:ilvl w:val="0"/>
          <w:numId w:val="1043"/>
        </w:numPr>
        <w:pStyle w:val="Compact"/>
      </w:pPr>
      <w:r>
        <w:rPr>
          <w:bCs/>
          <w:b/>
        </w:rPr>
        <w:t xml:space="preserve">Doença de Alzheimer:</w:t>
      </w:r>
      <w:r>
        <w:t xml:space="preserve"> </w:t>
      </w:r>
      <w:r>
        <w:t xml:space="preserve">no estudo de fase 2b ELAD, com 204 pessoas sem diabetes, o desfecho principal, o metabolismo da glicose no cérebro, não se alterou</w:t>
      </w:r>
      <w:r>
        <w:rPr>
          <w:rStyle w:val="FootnoteReference"/>
        </w:rPr>
        <w:footnoteReference w:id="316"/>
      </w:r>
      <w:r>
        <w:t xml:space="preserve">. Em um desfecho secundário sobre funções executivas, a liraglutida teve resultado melhor; em habilidades da vida diária e gravidade da demência, não. Desfechos secundários sem correção para testes múltiplos são apenas indícios.</w:t>
      </w:r>
    </w:p>
    <w:p>
      <w:pPr>
        <w:numPr>
          <w:ilvl w:val="0"/>
          <w:numId w:val="1043"/>
        </w:numPr>
        <w:pStyle w:val="Compact"/>
      </w:pPr>
      <w:r>
        <w:rPr>
          <w:bCs/>
          <w:b/>
        </w:rPr>
        <w:t xml:space="preserve">Álcool e outros vícios:</w:t>
      </w:r>
      <w:r>
        <w:t xml:space="preserve"> </w:t>
      </w:r>
      <w:r>
        <w:t xml:space="preserve">em um estudo de registro sueco com 227.866 pessoas com dependência de álcool, o uso de liraglutida esteve associado a um risco 28% menor de internações relacionadas ao álcool</w:t>
      </w:r>
      <w:r>
        <w:rPr>
          <w:rStyle w:val="FootnoteReference"/>
        </w:rPr>
        <w:footnoteReference w:id="317"/>
      </w:r>
      <w:r>
        <w:t xml:space="preserve">. Dados observacionais desse tipo mostram associações, não relações de causa e efeito.</w:t>
      </w:r>
    </w:p>
    <w:bookmarkEnd w:id="318"/>
    <w:bookmarkEnd w:id="319"/>
    <w:bookmarkStart w:id="322" w:name="estudos-em-animais-e-em-laboratório-1"/>
    <w:p>
      <w:pPr>
        <w:pStyle w:val="Heading3"/>
      </w:pPr>
      <w:r>
        <w:t xml:space="preserve">Estudos em animais e em laboratório</w:t>
      </w:r>
    </w:p>
    <w:p>
      <w:pPr>
        <w:pStyle w:val="FirstParagraph"/>
      </w:pPr>
      <w:r>
        <w:t xml:space="preserve">Grande parte da compreensão atual do efeito do GLP-1 no cérebro vem de experimentos em animais com liraglutida. Em ratos e camundongos, mostrou-se que a molécula, apesar de seu tamanho, alcança determinadas regiões cerebrais sem barreira hematoencefálica densa e ali estimula neurônios que inibem o apetite</w:t>
      </w:r>
      <w:r>
        <w:rPr>
          <w:rStyle w:val="FootnoteReference"/>
        </w:rPr>
        <w:footnoteReference w:id="320"/>
      </w:r>
      <w:r>
        <w:t xml:space="preserve">.</w:t>
      </w:r>
    </w:p>
    <w:p>
      <w:pPr>
        <w:pStyle w:val="BodyText"/>
      </w:pPr>
      <w:r>
        <w:t xml:space="preserve">Particularmente cheios de consequências foram os achados sobre a tireoide. Em experimentos de longo prazo com ratos e camundongos, a liraglutida levou a uma proliferação das células C (que produzem o hormônio calcitonina) e a tumores de células C. A investigação do mecanismo revelou que as células C dos roedores têm muitos receptores de GLP-1, ao passo que as de humanos e macacos quase não têm</w:t>
      </w:r>
      <w:r>
        <w:rPr>
          <w:rStyle w:val="FootnoteReference"/>
        </w:rPr>
        <w:footnoteReference w:id="321"/>
      </w:r>
      <w:r>
        <w:t xml:space="preserve">. Em macacos cinomolgos, 20 meses de liraglutida com uma exposição mais de 60 vezes maior que a humana não levaram a proliferação de células C. Ainda assim, desde então consta para toda a classe uma advertência sobre o carcinoma medular de tireoide na bula para profissionais, especialmente nos EUA.</w:t>
      </w:r>
    </w:p>
    <w:p>
      <w:pPr>
        <w:pStyle w:val="BodyText"/>
      </w:pPr>
      <w:r>
        <w:t xml:space="preserve">Outros estudos em animais trataram de proteção cardíaca, neuroproteção (modelos de Alzheimer e Parkinson), esteatose hepática e danos renais. A transposição para seres humanos, como no caso da exenatida, é limitada: o estudo de Alzheimer ELAD, por exemplo, não atingiu seu desfecho principal, embora os dados em animais fossem positivos.</w:t>
      </w:r>
    </w:p>
    <w:bookmarkEnd w:id="322"/>
    <w:bookmarkStart w:id="332" w:name="riscos-e-efeitos-colaterais-1"/>
    <w:p>
      <w:pPr>
        <w:pStyle w:val="Heading3"/>
      </w:pPr>
      <w:r>
        <w:t xml:space="preserve">Riscos e efeitos colaterais</w:t>
      </w:r>
    </w:p>
    <w:p>
      <w:pPr>
        <w:pStyle w:val="FirstParagraph"/>
      </w:pPr>
      <w:r>
        <w:rPr>
          <w:bCs/>
          <w:b/>
        </w:rPr>
        <w:t xml:space="preserve">Comprovados em estudos randomizados:</w:t>
      </w:r>
    </w:p>
    <w:p>
      <w:pPr>
        <w:numPr>
          <w:ilvl w:val="0"/>
          <w:numId w:val="1044"/>
        </w:numPr>
        <w:pStyle w:val="Compact"/>
      </w:pPr>
      <w:r>
        <w:rPr>
          <w:bCs/>
          <w:b/>
        </w:rPr>
        <w:t xml:space="preserve">Queixas gastrointestinais:</w:t>
      </w:r>
      <w:r>
        <w:t xml:space="preserve"> </w:t>
      </w:r>
      <w:r>
        <w:t xml:space="preserve">náuseas, diarreia, vômitos e prisão de ventre são os efeitos colaterais mais comuns e geralmente o motivo de interrupção do tratamento</w:t>
      </w:r>
      <w:r>
        <w:rPr>
          <w:rStyle w:val="FootnoteReference"/>
        </w:rPr>
        <w:footnoteReference w:id="323"/>
      </w:r>
      <w:r>
        <w:t xml:space="preserve">. Ocorrem sobretudo no início e após aumentos de dose. Com a dose mais alta para obesidade, são mais frequentes do que com a dose para diabetes</w:t>
      </w:r>
      <w:r>
        <w:rPr>
          <w:rStyle w:val="FootnoteReference"/>
        </w:rPr>
        <w:footnoteReference w:id="324"/>
      </w:r>
      <w:r>
        <w:t xml:space="preserve">.</w:t>
      </w:r>
    </w:p>
    <w:p>
      <w:pPr>
        <w:numPr>
          <w:ilvl w:val="0"/>
          <w:numId w:val="1044"/>
        </w:numPr>
        <w:pStyle w:val="Compact"/>
      </w:pPr>
      <w:r>
        <w:rPr>
          <w:bCs/>
          <w:b/>
        </w:rPr>
        <w:t xml:space="preserve">Vesícula biliar:</w:t>
      </w:r>
      <w:r>
        <w:t xml:space="preserve"> </w:t>
      </w:r>
      <w:r>
        <w:t xml:space="preserve">uma metanálise de 76 estudos randomizados com 103.371 participantes encontrou, para a classe GLP-1, um risco relativo 37% maior de doenças da vesícula e das vias biliares, como cálculos biliares e inflamação da vesícula</w:t>
      </w:r>
      <w:r>
        <w:rPr>
          <w:rStyle w:val="FootnoteReference"/>
        </w:rPr>
        <w:footnoteReference w:id="325"/>
      </w:r>
      <w:r>
        <w:t xml:space="preserve">. O risco era maior com doses mais altas, uso mais prolongado e em estudos de perda de peso (risco relativo 2,29). Parte disso deve estar ligada à própria perda de peso rápida.</w:t>
      </w:r>
    </w:p>
    <w:p>
      <w:pPr>
        <w:numPr>
          <w:ilvl w:val="0"/>
          <w:numId w:val="1044"/>
        </w:numPr>
        <w:pStyle w:val="Compact"/>
      </w:pPr>
      <w:r>
        <w:rPr>
          <w:bCs/>
          <w:b/>
        </w:rPr>
        <w:t xml:space="preserve">Hipoglicemia:</w:t>
      </w:r>
      <w:r>
        <w:t xml:space="preserve"> </w:t>
      </w:r>
      <w:r>
        <w:t xml:space="preserve">rara com a substância isolada, mais frequente em combinação com sulfonilureias ou insulina.</w:t>
      </w:r>
    </w:p>
    <w:p>
      <w:pPr>
        <w:numPr>
          <w:ilvl w:val="0"/>
          <w:numId w:val="1044"/>
        </w:numPr>
        <w:pStyle w:val="Compact"/>
      </w:pPr>
      <w:r>
        <w:rPr>
          <w:bCs/>
          <w:b/>
        </w:rPr>
        <w:t xml:space="preserve">Frequência cardíaca:</w:t>
      </w:r>
      <w:r>
        <w:t xml:space="preserve"> </w:t>
      </w:r>
      <w:r>
        <w:t xml:space="preserve">a liraglutida aumenta levemente o pulso em repouso, em alguns batimentos por minuto; a relevância clínica é considerada pequena diante dos resultados do LEADER.</w:t>
      </w:r>
    </w:p>
    <w:p>
      <w:pPr>
        <w:pStyle w:val="FirstParagraph"/>
      </w:pPr>
      <w:r>
        <w:rPr>
          <w:bCs/>
          <w:b/>
        </w:rPr>
        <w:t xml:space="preserve">Investigados, mas incertos ou não confirmados:</w:t>
      </w:r>
    </w:p>
    <w:p>
      <w:pPr>
        <w:numPr>
          <w:ilvl w:val="0"/>
          <w:numId w:val="1045"/>
        </w:numPr>
        <w:pStyle w:val="Compact"/>
      </w:pPr>
      <w:r>
        <w:rPr>
          <w:bCs/>
          <w:b/>
        </w:rPr>
        <w:t xml:space="preserve">Pancreatite:</w:t>
      </w:r>
      <w:r>
        <w:t xml:space="preserve"> </w:t>
      </w:r>
      <w:r>
        <w:t xml:space="preserve">no LEADER, não ocorreu com mais frequência com liraglutida do que com placebo</w:t>
      </w:r>
      <w:r>
        <w:rPr>
          <w:rStyle w:val="FootnoteReference"/>
        </w:rPr>
        <w:footnoteReference w:id="326"/>
      </w:r>
      <w:r>
        <w:t xml:space="preserve">. Uma metanálise mais antiga também não encontrou risco aumentado</w:t>
      </w:r>
      <w:r>
        <w:rPr>
          <w:rStyle w:val="FootnoteReference"/>
        </w:rPr>
        <w:footnoteReference w:id="327"/>
      </w:r>
      <w:r>
        <w:t xml:space="preserve">. A bula para profissionais ainda a lista como efeito colateral raro; em caso de dor abdominal forte e persistente, é necessária avaliação médica.</w:t>
      </w:r>
    </w:p>
    <w:p>
      <w:pPr>
        <w:numPr>
          <w:ilvl w:val="0"/>
          <w:numId w:val="1045"/>
        </w:numPr>
        <w:pStyle w:val="Compact"/>
      </w:pPr>
      <w:r>
        <w:rPr>
          <w:bCs/>
          <w:b/>
        </w:rPr>
        <w:t xml:space="preserve">Câncer de tireoide:</w:t>
      </w:r>
      <w:r>
        <w:t xml:space="preserve"> </w:t>
      </w:r>
      <w:r>
        <w:t xml:space="preserve">os achados em animais estão descritos acima. Em seres humanos, os dados são contraditórios. Um estudo caso-controle francês com 2.562 casos encontrou, após um a três anos de terapia com GLP-1, um risco aumentado de câncer de tireoide no geral (HR 1,58) e do raro carcinoma medular (HR 1,78)</w:t>
      </w:r>
      <w:r>
        <w:rPr>
          <w:rStyle w:val="FootnoteReference"/>
        </w:rPr>
        <w:footnoteReference w:id="328"/>
      </w:r>
      <w:r>
        <w:t xml:space="preserve">. Uma metanálise de 50 estudos randomizados também mostrou um sinal (odds ratio 1,55)</w:t>
      </w:r>
      <w:r>
        <w:rPr>
          <w:rStyle w:val="FootnoteReference"/>
        </w:rPr>
        <w:footnoteReference w:id="329"/>
      </w:r>
      <w:r>
        <w:t xml:space="preserve">. Discute-se se parte disso se deve a exames mais frequentes nas pessoas tratadas. Pessoas com histórico pessoal ou familiar de carcinoma medular de tireoide não devem usar agonistas do receptor de GLP-1, segundo a bula para profissionais.</w:t>
      </w:r>
    </w:p>
    <w:p>
      <w:pPr>
        <w:numPr>
          <w:ilvl w:val="0"/>
          <w:numId w:val="1045"/>
        </w:numPr>
        <w:pStyle w:val="Compact"/>
      </w:pPr>
      <w:r>
        <w:rPr>
          <w:bCs/>
          <w:b/>
        </w:rPr>
        <w:t xml:space="preserve">Efeitos colaterais psíquicos e pensamentos suicidas:</w:t>
      </w:r>
      <w:r>
        <w:t xml:space="preserve"> </w:t>
      </w:r>
      <w:r>
        <w:t xml:space="preserve">após notificações isoladas, as autoridades europeia e norte-americana examinaram em 2023/2024 uma possível relação e não encontraram evidência de relação causal. Em um estudo de coorte escandinavo com 124.517 pessoas em uso de agonistas do receptor de GLP-1, o risco de suicídio não estava aumentado em comparação com os inibidores de SGLT2 (HR 1,25; intervalo de confiança 0,83–1,88)</w:t>
      </w:r>
      <w:r>
        <w:rPr>
          <w:rStyle w:val="FootnoteReference"/>
        </w:rPr>
        <w:footnoteReference w:id="330"/>
      </w:r>
      <w:r>
        <w:t xml:space="preserve">. Uma metanálise de 2026 também não encontrou relação em estudos randomizados</w:t>
      </w:r>
      <w:r>
        <w:rPr>
          <w:rStyle w:val="FootnoteReference"/>
        </w:rPr>
        <w:footnoteReference w:id="331"/>
      </w:r>
      <w:r>
        <w:t xml:space="preserve">. A observação continua sujeita a monitoramento.</w:t>
      </w:r>
    </w:p>
    <w:p>
      <w:pPr>
        <w:pStyle w:val="FirstParagraph"/>
      </w:pPr>
      <w:r>
        <w:rPr>
          <w:bCs/>
          <w:b/>
        </w:rPr>
        <w:t xml:space="preserve">Observações para a prática:</w:t>
      </w:r>
      <w:r>
        <w:t xml:space="preserve"> </w:t>
      </w:r>
      <w:r>
        <w:t xml:space="preserve">a liraglutida não é indicada na gravidez. Como todos os agonistas do receptor de GLP-1, retarda o esvaziamento do estômago, o que pode ter importância em anestesias e na absorção de outros medicamentos. O que vale são a bula para profissionais e o acompanhamento médico, também para o aumento gradual da dose.</w:t>
      </w:r>
    </w:p>
    <w:bookmarkEnd w:id="332"/>
    <w:bookmarkStart w:id="333" w:name="situação-legal-1"/>
    <w:p>
      <w:pPr>
        <w:pStyle w:val="Heading3"/>
      </w:pPr>
      <w:r>
        <w:t xml:space="preserve">Situação legal</w:t>
      </w:r>
    </w:p>
    <w:p>
      <w:pPr>
        <w:numPr>
          <w:ilvl w:val="0"/>
          <w:numId w:val="1046"/>
        </w:numPr>
        <w:pStyle w:val="Compact"/>
      </w:pPr>
      <w:r>
        <w:rPr>
          <w:bCs/>
          <w:b/>
        </w:rPr>
        <w:t xml:space="preserve">UE:</w:t>
      </w:r>
      <w:r>
        <w:t xml:space="preserve"> </w:t>
      </w:r>
      <w:r>
        <w:t xml:space="preserve">o Victoza é aprovado desde 2009 para o tratamento do diabetes tipo 2, e o Saxenda desde 2015 para o controle de peso em adultos e adolescentes. Ambos estão sujeitos a prescrição.</w:t>
      </w:r>
    </w:p>
    <w:p>
      <w:pPr>
        <w:numPr>
          <w:ilvl w:val="0"/>
          <w:numId w:val="1046"/>
        </w:numPr>
        <w:pStyle w:val="Compact"/>
      </w:pPr>
      <w:r>
        <w:rPr>
          <w:bCs/>
          <w:b/>
        </w:rPr>
        <w:t xml:space="preserve">Alemanha:</w:t>
      </w:r>
      <w:r>
        <w:t xml:space="preserve"> </w:t>
      </w:r>
      <w:r>
        <w:t xml:space="preserve">no diabetes, os seguros de saúde públicos reembolsam a liraglutida. Já os medicamentos para redução de peso são, pelo § 34 do SGB V, em princípio excluídos do reembolso; o Saxenda, em regra, precisa ser pago pelos próprios segurados.</w:t>
      </w:r>
    </w:p>
    <w:p>
      <w:pPr>
        <w:numPr>
          <w:ilvl w:val="0"/>
          <w:numId w:val="1046"/>
        </w:numPr>
        <w:pStyle w:val="Compact"/>
      </w:pPr>
      <w:r>
        <w:rPr>
          <w:bCs/>
          <w:b/>
        </w:rPr>
        <w:t xml:space="preserve">Áustria:</w:t>
      </w:r>
      <w:r>
        <w:t xml:space="preserve"> </w:t>
      </w:r>
      <w:r>
        <w:t xml:space="preserve">sujeita a prescrição; a cobertura de custos para o controle de peso é restrita e sujeita a condições (verificar atualização).</w:t>
      </w:r>
    </w:p>
    <w:p>
      <w:pPr>
        <w:numPr>
          <w:ilvl w:val="0"/>
          <w:numId w:val="1046"/>
        </w:numPr>
        <w:pStyle w:val="Compact"/>
      </w:pPr>
      <w:r>
        <w:rPr>
          <w:bCs/>
          <w:b/>
        </w:rPr>
        <w:t xml:space="preserve">EUA:</w:t>
      </w:r>
      <w:r>
        <w:t xml:space="preserve"> </w:t>
      </w:r>
      <w:r>
        <w:t xml:space="preserve">Victoza e Saxenda aprovados, o Victoza também para redução do risco cardiovascular. Desde 2024 há genéricos da forma para diabetes no mercado, e desde 2025 também da forma para obesidade.</w:t>
      </w:r>
    </w:p>
    <w:p>
      <w:pPr>
        <w:numPr>
          <w:ilvl w:val="0"/>
          <w:numId w:val="1046"/>
        </w:numPr>
        <w:pStyle w:val="Compact"/>
      </w:pPr>
      <w:r>
        <w:rPr>
          <w:bCs/>
          <w:b/>
        </w:rPr>
        <w:t xml:space="preserve">Genéricos na Europa:</w:t>
      </w:r>
      <w:r>
        <w:t xml:space="preserve"> </w:t>
      </w:r>
      <w:r>
        <w:t xml:space="preserve">como a liraglutida é um peptídeo que pode ser produzido por síntese ou por engenharia genética e cuja proteção de patente expirou, preparações genéricas também chegam ao mercado na Europa. A situação varia de país para país; verificar atualização.</w:t>
      </w:r>
    </w:p>
    <w:p>
      <w:pPr>
        <w:numPr>
          <w:ilvl w:val="0"/>
          <w:numId w:val="1046"/>
        </w:numPr>
        <w:pStyle w:val="Compact"/>
      </w:pPr>
      <w:r>
        <w:rPr>
          <w:bCs/>
          <w:b/>
        </w:rPr>
        <w:t xml:space="preserve">Esporte (WADA):</w:t>
      </w:r>
      <w:r>
        <w:t xml:space="preserve"> </w:t>
      </w:r>
      <w:r>
        <w:t xml:space="preserve">não listada (situação em 2026, verificar atualização).</w:t>
      </w:r>
    </w:p>
    <w:p>
      <w:pPr>
        <w:pStyle w:val="FirstParagraph"/>
      </w:pPr>
      <w:r>
        <w:t xml:space="preserve">Os genéricos tornam a liraglutida um caso especial da classe: é a primeira substância GLP-1 com benefício cardiovascular comprovado que pode ficar bem mais barata. Isso é importante sobretudo em países com orçamentos de saúde limitados, ainda que a injeção diária e o efeito menor em comparação com a semaglutida continuem sendo desvantagens. Mais sobre vencimento de patentes e preços na Parte V.</w:t>
      </w:r>
    </w:p>
    <w:bookmarkEnd w:id="333"/>
    <w:bookmarkStart w:id="339" w:name="estudos-em-andamento-e-perspectivas-1"/>
    <w:p>
      <w:pPr>
        <w:pStyle w:val="Heading3"/>
      </w:pPr>
      <w:r>
        <w:t xml:space="preserve">Estudos em andamento e perspectivas</w:t>
      </w:r>
    </w:p>
    <w:p>
      <w:pPr>
        <w:pStyle w:val="FirstParagraph"/>
      </w:pPr>
      <w:r>
        <w:rPr>
          <w:bCs/>
          <w:b/>
        </w:rPr>
        <w:t xml:space="preserve">Confirmado (estudos registrados):</w:t>
      </w:r>
      <w:r>
        <w:t xml:space="preserve"> </w:t>
      </w:r>
      <w:r>
        <w:t xml:space="preserve">quase não há mais novos estudos de aprovação da Novo Nordisk; a pesquisa é conduzida principalmente por clínicas e universidades. Exemplos:</w:t>
      </w:r>
    </w:p>
    <w:p>
      <w:pPr>
        <w:numPr>
          <w:ilvl w:val="0"/>
          <w:numId w:val="1047"/>
        </w:numPr>
        <w:pStyle w:val="Compact"/>
      </w:pPr>
      <w:r>
        <w:t xml:space="preserve">Um estudo com 890 mulheres com obesidade, desejo de engravidar não realizado e síndrome dos ovários policísticos (SOP) testa a liraglutida antes de um tratamento de fertilidade</w:t>
      </w:r>
      <w:r>
        <w:rPr>
          <w:rStyle w:val="FootnoteReference"/>
        </w:rPr>
        <w:footnoteReference w:id="334"/>
      </w:r>
      <w:r>
        <w:t xml:space="preserve">.</w:t>
      </w:r>
    </w:p>
    <w:p>
      <w:pPr>
        <w:numPr>
          <w:ilvl w:val="0"/>
          <w:numId w:val="1047"/>
        </w:numPr>
        <w:pStyle w:val="Compact"/>
      </w:pPr>
      <w:r>
        <w:t xml:space="preserve">Um estudo de fase 3 com 260 pessoas idosas com diabetes investiga se a liraglutida pode prevenir delirium após cirurgias cardíacas</w:t>
      </w:r>
      <w:r>
        <w:rPr>
          <w:rStyle w:val="FootnoteReference"/>
        </w:rPr>
        <w:footnoteReference w:id="335"/>
      </w:r>
      <w:r>
        <w:t xml:space="preserve">.</w:t>
      </w:r>
    </w:p>
    <w:p>
      <w:pPr>
        <w:numPr>
          <w:ilvl w:val="0"/>
          <w:numId w:val="1047"/>
        </w:numPr>
        <w:pStyle w:val="Compact"/>
      </w:pPr>
      <w:r>
        <w:t xml:space="preserve">Em uma forma hereditária de diabetes (MODY), a liraglutida está sendo estudada em um estudo de fase 2</w:t>
      </w:r>
      <w:r>
        <w:rPr>
          <w:rStyle w:val="FootnoteReference"/>
        </w:rPr>
        <w:footnoteReference w:id="336"/>
      </w:r>
      <w:r>
        <w:t xml:space="preserve">.</w:t>
      </w:r>
    </w:p>
    <w:p>
      <w:pPr>
        <w:numPr>
          <w:ilvl w:val="0"/>
          <w:numId w:val="1047"/>
        </w:numPr>
        <w:pStyle w:val="Compact"/>
      </w:pPr>
      <w:r>
        <w:t xml:space="preserve">Um grande estudo pragmático com 6.000 participantes compara estratégias de tratamento para prevenir doenças cardíacas e renais no diabetes tipo 2</w:t>
      </w:r>
      <w:r>
        <w:rPr>
          <w:rStyle w:val="FootnoteReference"/>
        </w:rPr>
        <w:footnoteReference w:id="337"/>
      </w:r>
      <w:r>
        <w:t xml:space="preserve">.</w:t>
      </w:r>
    </w:p>
    <w:p>
      <w:pPr>
        <w:numPr>
          <w:ilvl w:val="0"/>
          <w:numId w:val="1047"/>
        </w:numPr>
        <w:pStyle w:val="Compact"/>
      </w:pPr>
      <w:r>
        <w:t xml:space="preserve">O acompanhamento de longo prazo dos participantes do SCALE Kids continua</w:t>
      </w:r>
      <w:r>
        <w:rPr>
          <w:rStyle w:val="FootnoteReference"/>
        </w:rPr>
        <w:footnoteReference w:id="338"/>
      </w:r>
      <w:r>
        <w:t xml:space="preserve">.</w:t>
      </w:r>
    </w:p>
    <w:p>
      <w:pPr>
        <w:pStyle w:val="FirstParagraph"/>
      </w:pPr>
      <w:r>
        <w:rPr>
          <w:bCs/>
          <w:b/>
        </w:rPr>
        <w:t xml:space="preserve">Avaliação:</w:t>
      </w:r>
      <w:r>
        <w:t xml:space="preserve"> </w:t>
      </w:r>
      <w:r>
        <w:t xml:space="preserve">nos países ricos, a liraglutida vem sendo cada vez mais substituída por substâncias semanais, como semaglutida e tirzepatida. Com os genéricos, porém, ela deve viver uma segunda carreira como alternativa de baixo custo – sobretudo onde os medicamentos mais novos não são acessíveis ou não estão disponíveis. Cientificamente, continua sendo um importante padrão de comparação.</w:t>
      </w:r>
    </w:p>
    <w:bookmarkEnd w:id="339"/>
    <w:bookmarkStart w:id="340" w:name="conclusão-1"/>
    <w:p>
      <w:pPr>
        <w:pStyle w:val="Heading3"/>
      </w:pPr>
      <w:r>
        <w:t xml:space="preserve">Conclusão</w:t>
      </w:r>
    </w:p>
    <w:p>
      <w:pPr>
        <w:pStyle w:val="FirstParagraph"/>
      </w:pPr>
      <w:r>
        <w:t xml:space="preserve">A liraglutida foi a primeira substância GLP-1 quase idêntica à humana e a primeira para a qual um grande estudo mostrou proteção contra eventos cardiovasculares (LEADER, 9.340 participantes, redução relativa do risco de 13%). Como Saxenda, foi o primeiro medicamento GLP-1 para redução de peso; em média, participantes sem diabetes perderam cerca de 8 kg em um ano. Na comparação direta, é superior à exenatida, equivalente à dulaglutida e claramente inferior à semaglutida. Os efeitos colaterais mais comuns são queixas gastrointestinais, além de um risco aumentado na vesícula biliar; a questão do câncer de tireoide não está definitivamente esclarecida. Com o vencimento da proteção de patente, ela se torna a primeira opção de baixo custo da classe – o tratamento, ainda assim, deve ficar nas mãos de um médico.</w:t>
      </w:r>
    </w:p>
    <w:bookmarkEnd w:id="340"/>
    <w:bookmarkEnd w:id="341"/>
    <w:bookmarkStart w:id="401" w:name="dulaglutida"/>
    <w:p>
      <w:pPr>
        <w:pStyle w:val="Heading2"/>
      </w:pPr>
      <w:r>
        <w:t xml:space="preserve">Dulaglutida</w:t>
      </w:r>
    </w:p>
    <w:bookmarkStart w:id="343" w:name="ficha-técnica-2"/>
    <w:p>
      <w:pPr>
        <w:pStyle w:val="Heading3"/>
      </w:pPr>
      <w:r>
        <w:t xml:space="preserve">Ficha técnica</w:t>
      </w:r>
    </w:p>
    <w:p>
      <w:pPr>
        <w:numPr>
          <w:ilvl w:val="0"/>
          <w:numId w:val="1048"/>
        </w:numPr>
        <w:pStyle w:val="Compact"/>
      </w:pPr>
      <w:r>
        <w:rPr>
          <w:bCs/>
          <w:b/>
        </w:rPr>
        <w:t xml:space="preserve">Tipo/estrutura:</w:t>
      </w:r>
      <w:r>
        <w:t xml:space="preserve"> </w:t>
      </w:r>
      <w:r>
        <w:t xml:space="preserve">proteína de fusão. Duas cadeias de GLP-1 levemente modificadas estão acopladas, por meio de um curto conector, à parte constante (porção Fc) de um anticorpo humano do tipo IgG4. A dulaglutida é, portanto, muitas vezes maior que a liraglutida – a rigor, mais uma proteína do que um pequeno peptídeo.</w:t>
      </w:r>
    </w:p>
    <w:p>
      <w:pPr>
        <w:numPr>
          <w:ilvl w:val="0"/>
          <w:numId w:val="1048"/>
        </w:numPr>
        <w:pStyle w:val="Compact"/>
      </w:pPr>
      <w:r>
        <w:rPr>
          <w:bCs/>
          <w:b/>
        </w:rPr>
        <w:t xml:space="preserve">Origem:</w:t>
      </w:r>
      <w:r>
        <w:t xml:space="preserve"> </w:t>
      </w:r>
      <w:r>
        <w:t xml:space="preserve">desenvolvida pela Eli Lilly, produzida por engenharia genética em células de mamíferos</w:t>
      </w:r>
      <w:r>
        <w:rPr>
          <w:rStyle w:val="FootnoteReference"/>
        </w:rPr>
        <w:footnoteReference w:id="342"/>
      </w:r>
      <w:r>
        <w:t xml:space="preserve">.</w:t>
      </w:r>
    </w:p>
    <w:p>
      <w:pPr>
        <w:numPr>
          <w:ilvl w:val="0"/>
          <w:numId w:val="1048"/>
        </w:numPr>
        <w:pStyle w:val="Compact"/>
      </w:pPr>
      <w:r>
        <w:rPr>
          <w:bCs/>
          <w:b/>
        </w:rPr>
        <w:t xml:space="preserve">Mecanismo de ação:</w:t>
      </w:r>
      <w:r>
        <w:t xml:space="preserve"> </w:t>
      </w:r>
      <w:r>
        <w:t xml:space="preserve">agonista do receptor de GLP-1. A parte de anticorpo protege contra a degradação e a eliminação pelos rins; basta uma injeção por semana.</w:t>
      </w:r>
    </w:p>
    <w:p>
      <w:pPr>
        <w:numPr>
          <w:ilvl w:val="0"/>
          <w:numId w:val="1048"/>
        </w:numPr>
        <w:pStyle w:val="Compact"/>
      </w:pPr>
      <w:r>
        <w:rPr>
          <w:bCs/>
          <w:b/>
        </w:rPr>
        <w:t xml:space="preserve">Preparação:</w:t>
      </w:r>
      <w:r>
        <w:t xml:space="preserve"> </w:t>
      </w:r>
      <w:r>
        <w:t xml:space="preserve">Trulicity (caneta preenchida, semanal; concentrações aprovadas até 4,5 mg).</w:t>
      </w:r>
    </w:p>
    <w:p>
      <w:pPr>
        <w:numPr>
          <w:ilvl w:val="0"/>
          <w:numId w:val="1048"/>
        </w:numPr>
        <w:pStyle w:val="Compact"/>
      </w:pPr>
      <w:r>
        <w:rPr>
          <w:bCs/>
          <w:b/>
        </w:rPr>
        <w:t xml:space="preserve">Aprovação UE:</w:t>
      </w:r>
      <w:r>
        <w:t xml:space="preserve"> </w:t>
      </w:r>
      <w:r>
        <w:t xml:space="preserve">sim, diabetes tipo 2 em adultos e adolescentes a partir de 10 anos. Sem aprovação para redução de peso.</w:t>
      </w:r>
    </w:p>
    <w:p>
      <w:pPr>
        <w:numPr>
          <w:ilvl w:val="0"/>
          <w:numId w:val="1048"/>
        </w:numPr>
        <w:pStyle w:val="Compact"/>
      </w:pPr>
      <w:r>
        <w:rPr>
          <w:bCs/>
          <w:b/>
        </w:rPr>
        <w:t xml:space="preserve">Aprovação EUA:</w:t>
      </w:r>
      <w:r>
        <w:t xml:space="preserve"> </w:t>
      </w:r>
      <w:r>
        <w:t xml:space="preserve">sim, diabetes tipo 2 a partir de 10 anos e redução do risco cardiovascular em adultos com diabetes tipo 2.</w:t>
      </w:r>
    </w:p>
    <w:p>
      <w:pPr>
        <w:numPr>
          <w:ilvl w:val="0"/>
          <w:numId w:val="1048"/>
        </w:numPr>
        <w:pStyle w:val="Compact"/>
      </w:pPr>
      <w:r>
        <w:rPr>
          <w:bCs/>
          <w:b/>
        </w:rPr>
        <w:t xml:space="preserve">WADA:</w:t>
      </w:r>
      <w:r>
        <w:t xml:space="preserve"> </w:t>
      </w:r>
      <w:r>
        <w:t xml:space="preserve">não listada.</w:t>
      </w:r>
    </w:p>
    <w:p>
      <w:pPr>
        <w:numPr>
          <w:ilvl w:val="0"/>
          <w:numId w:val="1048"/>
        </w:numPr>
        <w:pStyle w:val="Compact"/>
      </w:pPr>
      <w:r>
        <w:rPr>
          <w:bCs/>
          <w:b/>
        </w:rPr>
        <w:t xml:space="preserve">Nível de evidência:</w:t>
      </w:r>
      <w:r>
        <w:t xml:space="preserve"> </w:t>
      </w:r>
      <w:r>
        <w:rPr>
          <w:bCs/>
          <w:b/>
        </w:rPr>
        <w:t xml:space="preserve">A</w:t>
      </w:r>
      <w:r>
        <w:t xml:space="preserve"> </w:t>
      </w:r>
      <w:r>
        <w:t xml:space="preserve">– programa de estudos AWARD com mais de dez estudos randomizados de fase 3, estudo de desfechos REWIND, estudo em adolescentes.</w:t>
      </w:r>
    </w:p>
    <w:bookmarkEnd w:id="343"/>
    <w:bookmarkStart w:id="346" w:name="como-deveria-agir-2"/>
    <w:p>
      <w:pPr>
        <w:pStyle w:val="Heading3"/>
      </w:pPr>
      <w:r>
        <w:t xml:space="preserve">Como deveria agir</w:t>
      </w:r>
    </w:p>
    <w:p>
      <w:pPr>
        <w:pStyle w:val="FirstParagraph"/>
      </w:pPr>
      <w:r>
        <w:t xml:space="preserve">A dulaglutida age no receptor de GLP-1 como a exenatida, a liraglutida e a semaglutida: aumenta a liberação de insulina dependente da glicose, freia o hormônio glucagon, retarda o esvaziamento do estômago e reduz o apetite. O mecanismo básico está explicado no capítulo sobre a exenatida.</w:t>
      </w:r>
    </w:p>
    <w:p>
      <w:pPr>
        <w:pStyle w:val="BodyText"/>
      </w:pPr>
      <w:r>
        <w:t xml:space="preserve">A diferença está na</w:t>
      </w:r>
      <w:r>
        <w:t xml:space="preserve"> </w:t>
      </w:r>
      <w:r>
        <w:t xml:space="preserve">“</w:t>
      </w:r>
      <w:r>
        <w:t xml:space="preserve">embalagem</w:t>
      </w:r>
      <w:r>
        <w:t xml:space="preserve">”</w:t>
      </w:r>
      <w:r>
        <w:t xml:space="preserve">. A liraglutida e a semaglutida se ligam a proteínas do sangue por meio de um ácido graxo ligado. A Lilly seguiu outro caminho e acoplou o hormônio à porção Fc de um anticorpo. Esse componente é conhecido da biotecnologia: ele torna as moléculas tão grandes que os rins não conseguem mais filtrá-las e aproveita uma via de reciclagem do próprio corpo, pela qual os anticorpos são protegidos da degradação. Em ratos e macacos cinomolgos, a meia-vida da substância foi de 1,5 a 2 dias; em humanos, é mais longa e permite a aplicação semanal</w:t>
      </w:r>
      <w:r>
        <w:rPr>
          <w:rStyle w:val="FootnoteReference"/>
        </w:rPr>
        <w:footnoteReference w:id="344"/>
      </w:r>
      <w:r>
        <w:t xml:space="preserve">.</w:t>
      </w:r>
    </w:p>
    <w:p>
      <w:pPr>
        <w:pStyle w:val="BodyText"/>
      </w:pPr>
      <w:r>
        <w:t xml:space="preserve">Nas próprias cadeias de GLP-1, alguns aminoácidos foram trocados – em parte para impedir a degradação pela enzima DPP-4, em parte para reduzir a formação de anticorpos contra a substância. De fato, em nove estudos, apenas 1,6% dos tratados com dulaglutida formaram anticorpos contra o medicamento</w:t>
      </w:r>
      <w:r>
        <w:rPr>
          <w:rStyle w:val="FootnoteReference"/>
        </w:rPr>
        <w:footnoteReference w:id="345"/>
      </w:r>
      <w:r>
        <w:t xml:space="preserve"> </w:t>
      </w:r>
      <w:r>
        <w:t xml:space="preserve">– bem menos do que com a exenatida.</w:t>
      </w:r>
    </w:p>
    <w:p>
      <w:pPr>
        <w:pStyle w:val="BodyText"/>
      </w:pPr>
      <w:r>
        <w:t xml:space="preserve">Uma desvantagem do tamanho: a molécula provavelmente chega com mais dificuldade às regiões do cérebro que controlam o apetite. Isso poderia explicar por que a dulaglutida, com redução da glicose comparável, provoca menos perda de peso que a semaglutida. Essa explicação é plausível, mas não está comprovada.</w:t>
      </w:r>
    </w:p>
    <w:bookmarkEnd w:id="346"/>
    <w:bookmarkStart w:id="378" w:name="estudos-em-humanos-2"/>
    <w:p>
      <w:pPr>
        <w:pStyle w:val="Heading3"/>
      </w:pPr>
      <w:r>
        <w:t xml:space="preserve">Estudos em humanos</w:t>
      </w:r>
    </w:p>
    <w:p>
      <w:pPr>
        <w:pStyle w:val="FirstParagraph"/>
      </w:pPr>
      <w:r>
        <w:t xml:space="preserve">A busca no PubMed analisada para este livro (termo</w:t>
      </w:r>
      <w:r>
        <w:t xml:space="preserve"> </w:t>
      </w:r>
      <w:r>
        <w:t xml:space="preserve">“</w:t>
      </w:r>
      <w:r>
        <w:t xml:space="preserve">dulaglutide</w:t>
      </w:r>
      <w:r>
        <w:t xml:space="preserve">”</w:t>
      </w:r>
      <w:r>
        <w:t xml:space="preserve"> </w:t>
      </w:r>
      <w:r>
        <w:t xml:space="preserve">no título ou no resumo, data da busca outubro de 2026) resultou em 158 estudos em humanos; o ClinicalTrials.gov registra 143 entradas. O número é menor que o da liraglutida ou da semaglutida, mas os estudos foram planejados de forma especialmente sistemática: o programa AWARD (Assessment of Weekly AdministRation of LY2189265 in Diabetes) testou a dulaglutida contra quase todas as terapias comuns para diabetes. Chama a atenção, além disso, a frequência com que a própria dulaglutida serve de comparador para substâncias mais novas – da semaglutida à tirzepatida e a novos desenvolvimentos chineses.</w:t>
      </w:r>
    </w:p>
    <w:bookmarkStart w:id="351" w:name="o-programa-award"/>
    <w:p>
      <w:pPr>
        <w:pStyle w:val="Heading4"/>
      </w:pPr>
      <w:r>
        <w:t xml:space="preserve">O programa AWARD</w:t>
      </w:r>
    </w:p>
    <w:p>
      <w:pPr>
        <w:pStyle w:val="FirstParagraph"/>
      </w:pPr>
      <w:r>
        <w:t xml:space="preserve">Na maioria dos estudos AWARD foram testadas as doses de 0,75 e 1,5 mg por semana. A tabela mostra, em cada caso, o resultado da dose mais alta.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 (dulaglutida 1,5 mg vs. comparador)</w:t>
            </w:r>
          </w:p>
        </w:tc>
      </w:tr>
      <w:tr>
        <w:tc>
          <w:tcPr/>
          <w:p>
            <w:pPr>
              <w:pStyle w:val="Compact"/>
              <w:jc w:val="left"/>
            </w:pPr>
            <w:r>
              <w:t xml:space="preserve">AWARD-1 (Wysham 2014), PMID 24879836</w:t>
            </w:r>
          </w:p>
        </w:tc>
        <w:tc>
          <w:tcPr/>
          <w:p>
            <w:pPr>
              <w:pStyle w:val="Compact"/>
              <w:jc w:val="left"/>
            </w:pPr>
            <w:r>
              <w:t xml:space="preserve">diabetes tipo 2 em uso de metformina e pioglitazona; vs. exenatida duas vezes ao dia e placebo</w:t>
            </w:r>
          </w:p>
        </w:tc>
        <w:tc>
          <w:tcPr/>
          <w:p>
            <w:pPr>
              <w:pStyle w:val="Compact"/>
              <w:jc w:val="left"/>
            </w:pPr>
            <w:r>
              <w:t xml:space="preserve">52 semanas (desfecho principal em 26)</w:t>
            </w:r>
          </w:p>
        </w:tc>
        <w:tc>
          <w:tcPr/>
          <w:p>
            <w:pPr>
              <w:pStyle w:val="Compact"/>
              <w:jc w:val="left"/>
            </w:pPr>
            <w:r>
              <w:t xml:space="preserve">HbA1c −1,51 vs. −0,99 (exenatida) vs. −0,46 (placebo)</w:t>
            </w:r>
          </w:p>
        </w:tc>
      </w:tr>
      <w:tr>
        <w:tc>
          <w:tcPr/>
          <w:p>
            <w:pPr>
              <w:pStyle w:val="Compact"/>
              <w:jc w:val="left"/>
            </w:pPr>
            <w:r>
              <w:t xml:space="preserve">AWARD-2 (Giorgino 2015), PMID 26089386</w:t>
            </w:r>
          </w:p>
        </w:tc>
        <w:tc>
          <w:tcPr/>
          <w:p>
            <w:pPr>
              <w:pStyle w:val="Compact"/>
              <w:jc w:val="left"/>
            </w:pPr>
            <w:r>
              <w:t xml:space="preserve">810 pessoas em uso de metformina e glimepirida; aberto vs. insulina glargina</w:t>
            </w:r>
          </w:p>
        </w:tc>
        <w:tc>
          <w:tcPr/>
          <w:p>
            <w:pPr>
              <w:pStyle w:val="Compact"/>
              <w:jc w:val="left"/>
            </w:pPr>
            <w:r>
              <w:t xml:space="preserve">78 semanas</w:t>
            </w:r>
          </w:p>
        </w:tc>
        <w:tc>
          <w:tcPr/>
          <w:p>
            <w:pPr>
              <w:pStyle w:val="Compact"/>
              <w:jc w:val="left"/>
            </w:pPr>
            <w:r>
              <w:t xml:space="preserve">HbA1c −1,08 vs. −0,63; peso caiu vs. subiu</w:t>
            </w:r>
          </w:p>
        </w:tc>
      </w:tr>
      <w:tr>
        <w:tc>
          <w:tcPr/>
          <w:p>
            <w:pPr>
              <w:pStyle w:val="Compact"/>
              <w:jc w:val="left"/>
            </w:pPr>
            <w:r>
              <w:t xml:space="preserve">AWARD-3 (Umpierrez 2014), PMID 24842985</w:t>
            </w:r>
          </w:p>
        </w:tc>
        <w:tc>
          <w:tcPr/>
          <w:p>
            <w:pPr>
              <w:pStyle w:val="Compact"/>
              <w:jc w:val="left"/>
            </w:pPr>
            <w:r>
              <w:t xml:space="preserve">diabetes tipo 2 inicial, monoterapia; duplo-cego vs. metformina</w:t>
            </w:r>
          </w:p>
        </w:tc>
        <w:tc>
          <w:tcPr/>
          <w:p>
            <w:pPr>
              <w:pStyle w:val="Compact"/>
              <w:jc w:val="left"/>
            </w:pPr>
            <w:r>
              <w:t xml:space="preserve">52 semanas (desfecho principal em 26)</w:t>
            </w:r>
          </w:p>
        </w:tc>
        <w:tc>
          <w:tcPr/>
          <w:p>
            <w:pPr>
              <w:pStyle w:val="Compact"/>
              <w:jc w:val="left"/>
            </w:pPr>
            <w:r>
              <w:t xml:space="preserve">HbA1c −0,78 vs. −0,56</w:t>
            </w:r>
          </w:p>
        </w:tc>
      </w:tr>
      <w:tr>
        <w:tc>
          <w:tcPr/>
          <w:p>
            <w:pPr>
              <w:pStyle w:val="Compact"/>
              <w:jc w:val="left"/>
            </w:pPr>
            <w:r>
              <w:t xml:space="preserve">AWARD-4 (Blonde 2015), PMID 26009229</w:t>
            </w:r>
          </w:p>
        </w:tc>
        <w:tc>
          <w:tcPr/>
          <w:p>
            <w:pPr>
              <w:pStyle w:val="Compact"/>
              <w:jc w:val="left"/>
            </w:pPr>
            <w:r>
              <w:t xml:space="preserve">884 pessoas com insulina prandial; aberto vs. insulina glargina</w:t>
            </w:r>
          </w:p>
        </w:tc>
        <w:tc>
          <w:tcPr/>
          <w:p>
            <w:pPr>
              <w:pStyle w:val="Compact"/>
              <w:jc w:val="left"/>
            </w:pPr>
            <w:r>
              <w:t xml:space="preserve">52 semanas (desfecho principal em 26)</w:t>
            </w:r>
          </w:p>
        </w:tc>
        <w:tc>
          <w:tcPr/>
          <w:p>
            <w:pPr>
              <w:pStyle w:val="Compact"/>
              <w:jc w:val="left"/>
            </w:pPr>
            <w:r>
              <w:t xml:space="preserve">HbA1c −1,64 vs. −1,41</w:t>
            </w:r>
          </w:p>
        </w:tc>
      </w:tr>
      <w:tr>
        <w:tc>
          <w:tcPr/>
          <w:p>
            <w:pPr>
              <w:pStyle w:val="Compact"/>
              <w:jc w:val="left"/>
            </w:pPr>
            <w:r>
              <w:t xml:space="preserve">AWARD-5 (Nauck 2014), PMID 24742660</w:t>
            </w:r>
          </w:p>
        </w:tc>
        <w:tc>
          <w:tcPr/>
          <w:p>
            <w:pPr>
              <w:pStyle w:val="Compact"/>
              <w:jc w:val="left"/>
            </w:pPr>
            <w:r>
              <w:t xml:space="preserve">1.098 pessoas em uso de metformina; vs. sitagliptina</w:t>
            </w:r>
          </w:p>
        </w:tc>
        <w:tc>
          <w:tcPr/>
          <w:p>
            <w:pPr>
              <w:pStyle w:val="Compact"/>
              <w:jc w:val="left"/>
            </w:pPr>
            <w:r>
              <w:t xml:space="preserve">52 semanas</w:t>
            </w:r>
          </w:p>
        </w:tc>
        <w:tc>
          <w:tcPr/>
          <w:p>
            <w:pPr>
              <w:pStyle w:val="Compact"/>
              <w:jc w:val="left"/>
            </w:pPr>
            <w:r>
              <w:t xml:space="preserve">HbA1c −1,10 vs. −0,39; peso −3,03 vs. −1,53 kg</w:t>
            </w:r>
          </w:p>
        </w:tc>
      </w:tr>
      <w:tr>
        <w:tc>
          <w:tcPr/>
          <w:p>
            <w:pPr>
              <w:pStyle w:val="Compact"/>
              <w:jc w:val="left"/>
            </w:pPr>
            <w:r>
              <w:t xml:space="preserve">AWARD-6 (Dungan 2014), PMID 25018121</w:t>
            </w:r>
          </w:p>
        </w:tc>
        <w:tc>
          <w:tcPr/>
          <w:p>
            <w:pPr>
              <w:pStyle w:val="Compact"/>
              <w:jc w:val="left"/>
            </w:pPr>
            <w:r>
              <w:t xml:space="preserve">599 pessoas em uso de metformina; aberto vs. liraglutida</w:t>
            </w:r>
          </w:p>
        </w:tc>
        <w:tc>
          <w:tcPr/>
          <w:p>
            <w:pPr>
              <w:pStyle w:val="Compact"/>
              <w:jc w:val="left"/>
            </w:pPr>
            <w:r>
              <w:t xml:space="preserve">26 semanas</w:t>
            </w:r>
          </w:p>
        </w:tc>
        <w:tc>
          <w:tcPr/>
          <w:p>
            <w:pPr>
              <w:pStyle w:val="Compact"/>
              <w:jc w:val="left"/>
            </w:pPr>
            <w:r>
              <w:t xml:space="preserve">HbA1c −1,42 vs. −1,36; equivalentes</w:t>
            </w:r>
          </w:p>
        </w:tc>
      </w:tr>
      <w:tr>
        <w:tc>
          <w:tcPr/>
          <w:p>
            <w:pPr>
              <w:pStyle w:val="Compact"/>
              <w:jc w:val="left"/>
            </w:pPr>
            <w:r>
              <w:t xml:space="preserve">AWARD-7 (Tuttle 2018), PMID 29910024</w:t>
            </w:r>
          </w:p>
        </w:tc>
        <w:tc>
          <w:tcPr/>
          <w:p>
            <w:pPr>
              <w:pStyle w:val="Compact"/>
              <w:jc w:val="left"/>
            </w:pPr>
            <w:r>
              <w:t xml:space="preserve">577 pessoas com doença renal crônica moderada a grave; vs. insulina glargina</w:t>
            </w:r>
          </w:p>
        </w:tc>
        <w:tc>
          <w:tcPr/>
          <w:p>
            <w:pPr>
              <w:pStyle w:val="Compact"/>
              <w:jc w:val="left"/>
            </w:pPr>
            <w:r>
              <w:t xml:space="preserve">52 semanas</w:t>
            </w:r>
          </w:p>
        </w:tc>
        <w:tc>
          <w:tcPr/>
          <w:p>
            <w:pPr>
              <w:pStyle w:val="Compact"/>
              <w:jc w:val="left"/>
            </w:pPr>
            <w:r>
              <w:t xml:space="preserve">HbA1c −1,2 vs. −1,1; função renal mais preservada após 52 semanas</w:t>
            </w:r>
          </w:p>
        </w:tc>
      </w:tr>
      <w:tr>
        <w:tc>
          <w:tcPr/>
          <w:p>
            <w:pPr>
              <w:pStyle w:val="Compact"/>
              <w:jc w:val="left"/>
            </w:pPr>
            <w:r>
              <w:t xml:space="preserve">AWARD-8 (Dungan 2016), PMID 26799540</w:t>
            </w:r>
          </w:p>
        </w:tc>
        <w:tc>
          <w:tcPr/>
          <w:p>
            <w:pPr>
              <w:pStyle w:val="Compact"/>
              <w:jc w:val="left"/>
            </w:pPr>
            <w:r>
              <w:t xml:space="preserve">diabetes tipo 2 em uso de glimepirida; vs. placebo</w:t>
            </w:r>
          </w:p>
        </w:tc>
        <w:tc>
          <w:tcPr/>
          <w:p>
            <w:pPr>
              <w:pStyle w:val="Compact"/>
              <w:jc w:val="left"/>
            </w:pPr>
            <w:r>
              <w:t xml:space="preserve">24 semanas</w:t>
            </w:r>
          </w:p>
        </w:tc>
        <w:tc>
          <w:tcPr/>
          <w:p>
            <w:pPr>
              <w:pStyle w:val="Compact"/>
              <w:jc w:val="left"/>
            </w:pPr>
            <w:r>
              <w:t xml:space="preserve">diferença de HbA1c −1,3 ponto percentual; mais hipoglicemias</w:t>
            </w:r>
          </w:p>
        </w:tc>
      </w:tr>
      <w:tr>
        <w:tc>
          <w:tcPr/>
          <w:p>
            <w:pPr>
              <w:pStyle w:val="Compact"/>
              <w:jc w:val="left"/>
            </w:pPr>
            <w:r>
              <w:t xml:space="preserve">AWARD-10 (Ludvik 2018), PMID 29483060</w:t>
            </w:r>
          </w:p>
        </w:tc>
        <w:tc>
          <w:tcPr/>
          <w:p>
            <w:pPr>
              <w:pStyle w:val="Compact"/>
              <w:jc w:val="left"/>
            </w:pPr>
            <w:r>
              <w:t xml:space="preserve">424 pessoas em uso de inibidor de SGLT2; vs. placebo</w:t>
            </w:r>
          </w:p>
        </w:tc>
        <w:tc>
          <w:tcPr/>
          <w:p>
            <w:pPr>
              <w:pStyle w:val="Compact"/>
              <w:jc w:val="left"/>
            </w:pPr>
            <w:r>
              <w:t xml:space="preserve">24 semanas</w:t>
            </w:r>
          </w:p>
        </w:tc>
        <w:tc>
          <w:tcPr/>
          <w:p>
            <w:pPr>
              <w:pStyle w:val="Compact"/>
              <w:jc w:val="left"/>
            </w:pPr>
            <w:r>
              <w:t xml:space="preserve">HbA1c −1,34 vs. −0,54</w:t>
            </w:r>
          </w:p>
        </w:tc>
      </w:tr>
      <w:tr>
        <w:tc>
          <w:tcPr/>
          <w:p>
            <w:pPr>
              <w:pStyle w:val="Compact"/>
              <w:jc w:val="left"/>
            </w:pPr>
            <w:r>
              <w:t xml:space="preserve">AWARD-11 (Frias 2021), PMID 33397768</w:t>
            </w:r>
          </w:p>
        </w:tc>
        <w:tc>
          <w:tcPr/>
          <w:p>
            <w:pPr>
              <w:pStyle w:val="Compact"/>
              <w:jc w:val="left"/>
            </w:pPr>
            <w:r>
              <w:t xml:space="preserve">1.842 pessoas em uso de metformina; 4,5 e 3,0 mg vs. 1,5 mg</w:t>
            </w:r>
          </w:p>
        </w:tc>
        <w:tc>
          <w:tcPr/>
          <w:p>
            <w:pPr>
              <w:pStyle w:val="Compact"/>
              <w:jc w:val="left"/>
            </w:pPr>
            <w:r>
              <w:t xml:space="preserve">36 semanas</w:t>
            </w:r>
          </w:p>
        </w:tc>
        <w:tc>
          <w:tcPr/>
          <w:p>
            <w:pPr>
              <w:pStyle w:val="Compact"/>
              <w:jc w:val="left"/>
            </w:pPr>
            <w:r>
              <w:t xml:space="preserve">HbA1c −1,77 (4,5 mg) vs. −1,54; peso −4,6 vs. −3,0 kg</w:t>
            </w:r>
          </w:p>
        </w:tc>
      </w:tr>
    </w:tbl>
    <w:p>
      <w:pPr>
        <w:pStyle w:val="BodyText"/>
      </w:pPr>
      <w:r>
        <w:t xml:space="preserve">Alguns resultados merecem explicação:</w:t>
      </w:r>
    </w:p>
    <w:p>
      <w:pPr>
        <w:pStyle w:val="BodyText"/>
      </w:pPr>
      <w:r>
        <w:rPr>
          <w:bCs/>
          <w:b/>
        </w:rPr>
        <w:t xml:space="preserve">Contra a insulina</w:t>
      </w:r>
      <w:r>
        <w:t xml:space="preserve"> </w:t>
      </w:r>
      <w:r>
        <w:t xml:space="preserve">(AWARD-2 e AWARD-4), a dulaglutida reduziu a glicose de longo prazo um pouco mais, com menos hipoglicemias e sem ganho de peso</w:t>
      </w:r>
      <w:r>
        <w:rPr>
          <w:rStyle w:val="FootnoteReference"/>
        </w:rPr>
        <w:footnoteReference w:id="347"/>
      </w:r>
      <w:r>
        <w:t xml:space="preserve">. No AWARD-2, porém, a dose de insulina não foi aumentada de forma consistente; a dose final média foi de 29 unidades. Uma insulina titulada de forma mais decidida talvez tivesse se saído melhor. Náuseas ocorreram com dulaglutida 1,5 mg em 15,4% e com insulina em 1,5%.</w:t>
      </w:r>
    </w:p>
    <w:p>
      <w:pPr>
        <w:pStyle w:val="BodyText"/>
      </w:pPr>
      <w:r>
        <w:rPr>
          <w:bCs/>
          <w:b/>
        </w:rPr>
        <w:t xml:space="preserve">Na doença renal</w:t>
      </w:r>
      <w:r>
        <w:t xml:space="preserve"> </w:t>
      </w:r>
      <w:r>
        <w:t xml:space="preserve">(AWARD-7), o resultado é especialmente interessante: a glicose caiu na mesma medida que com a insulina, mas a função renal estimada (TFGe) após 52 semanas era maior com dulaglutida – 34,0 contra 31,3 ml/min por 1,73 m²</w:t>
      </w:r>
      <w:r>
        <w:rPr>
          <w:rStyle w:val="FootnoteReference"/>
        </w:rPr>
        <w:footnoteReference w:id="348"/>
      </w:r>
      <w:r>
        <w:t xml:space="preserve">. A excreção de proteína na urina não diferiu significativamente. Isso é um indício, mas não uma prova, de proteção renal.</w:t>
      </w:r>
    </w:p>
    <w:p>
      <w:pPr>
        <w:pStyle w:val="BodyText"/>
      </w:pPr>
      <w:r>
        <w:rPr>
          <w:bCs/>
          <w:b/>
        </w:rPr>
        <w:t xml:space="preserve">Com uma sulfonilureia</w:t>
      </w:r>
      <w:r>
        <w:t xml:space="preserve"> </w:t>
      </w:r>
      <w:r>
        <w:t xml:space="preserve">(AWARD-8), aparece o outro lado: a dulaglutida reduziu a HbA1c 1,3 ponto percentual a mais que o placebo, e 55,3% contra 18,9% atingiram um valor abaixo de 7%. As hipoglicemias, porém, foram bem mais frequentes (2,37 contra 0,07 evento por pessoa por ano), porque a sulfonilureia libera insulina independentemente da glicose</w:t>
      </w:r>
      <w:r>
        <w:rPr>
          <w:rStyle w:val="FootnoteReference"/>
        </w:rPr>
        <w:footnoteReference w:id="349"/>
      </w:r>
      <w:r>
        <w:t xml:space="preserve">. Não ocorreram hipoglicemias graves.</w:t>
      </w:r>
    </w:p>
    <w:p>
      <w:pPr>
        <w:pStyle w:val="BodyText"/>
      </w:pPr>
      <w:r>
        <w:rPr>
          <w:bCs/>
          <w:b/>
        </w:rPr>
        <w:t xml:space="preserve">Doses mais altas</w:t>
      </w:r>
      <w:r>
        <w:t xml:space="preserve"> </w:t>
      </w:r>
      <w:r>
        <w:t xml:space="preserve">(AWARD-11): para acompanhar a semaglutida, a Lilly testou 3,0 e 4,5 mg. A dose mais alta reduziu a HbA1c em mais 0,24 ponto percentual e o peso em mais 1,6 kg em comparação com 1,5 mg</w:t>
      </w:r>
      <w:r>
        <w:rPr>
          <w:rStyle w:val="FootnoteReference"/>
        </w:rPr>
        <w:footnoteReference w:id="350"/>
      </w:r>
      <w:r>
        <w:t xml:space="preserve">. As náuseas aumentaram levemente (16,4% vs. 13,4%), assim como os vômitos (9,3% vs. 5,6%). O ganho é mensurável, mas limitado.</w:t>
      </w:r>
    </w:p>
    <w:bookmarkEnd w:id="351"/>
    <w:bookmarkStart w:id="355" w:name="X46711aa0006d1a1a197e74c5050095e5c0ee424"/>
    <w:p>
      <w:pPr>
        <w:pStyle w:val="Heading4"/>
      </w:pPr>
      <w:r>
        <w:t xml:space="preserve">Comparações diretas dentro da classe GLP-1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Desenho</w:t>
            </w:r>
          </w:p>
        </w:tc>
        <w:tc>
          <w:tcPr/>
          <w:p>
            <w:pPr>
              <w:pStyle w:val="Compact"/>
              <w:jc w:val="left"/>
            </w:pPr>
            <w:r>
              <w:t xml:space="preserve">Duração</w:t>
            </w:r>
          </w:p>
        </w:tc>
        <w:tc>
          <w:tcPr/>
          <w:p>
            <w:pPr>
              <w:pStyle w:val="Compact"/>
              <w:jc w:val="left"/>
            </w:pPr>
            <w:r>
              <w:t xml:space="preserve">Resultado (dulaglutida vs. comparador)</w:t>
            </w:r>
          </w:p>
        </w:tc>
      </w:tr>
      <w:tr>
        <w:tc>
          <w:tcPr/>
          <w:p>
            <w:pPr>
              <w:pStyle w:val="Compact"/>
              <w:jc w:val="left"/>
            </w:pPr>
            <w:r>
              <w:t xml:space="preserve">AWARD-1 (Wysham 2014), PMID 24879836</w:t>
            </w:r>
          </w:p>
        </w:tc>
        <w:tc>
          <w:tcPr/>
          <w:p>
            <w:pPr>
              <w:pStyle w:val="Compact"/>
              <w:jc w:val="left"/>
            </w:pPr>
            <w:r>
              <w:t xml:space="preserve">vs. exenatida duas vezes ao dia</w:t>
            </w:r>
          </w:p>
        </w:tc>
        <w:tc>
          <w:tcPr/>
          <w:p>
            <w:pPr>
              <w:pStyle w:val="Compact"/>
              <w:jc w:val="left"/>
            </w:pPr>
            <w:r>
              <w:t xml:space="preserve">26 semanas</w:t>
            </w:r>
          </w:p>
        </w:tc>
        <w:tc>
          <w:tcPr/>
          <w:p>
            <w:pPr>
              <w:pStyle w:val="Compact"/>
              <w:jc w:val="left"/>
            </w:pPr>
            <w:r>
              <w:t xml:space="preserve">HbA1c −1,51 vs. −0,99; menos hipoglicemias</w:t>
            </w:r>
          </w:p>
        </w:tc>
      </w:tr>
      <w:tr>
        <w:tc>
          <w:tcPr/>
          <w:p>
            <w:pPr>
              <w:pStyle w:val="Compact"/>
              <w:jc w:val="left"/>
            </w:pPr>
            <w:r>
              <w:t xml:space="preserve">AWARD-6 (Dungan 2014), PMID 25018121</w:t>
            </w:r>
          </w:p>
        </w:tc>
        <w:tc>
          <w:tcPr/>
          <w:p>
            <w:pPr>
              <w:pStyle w:val="Compact"/>
              <w:jc w:val="left"/>
            </w:pPr>
            <w:r>
              <w:t xml:space="preserve">599 pessoas, vs. liraglutida 1,8 mg diária</w:t>
            </w:r>
          </w:p>
        </w:tc>
        <w:tc>
          <w:tcPr/>
          <w:p>
            <w:pPr>
              <w:pStyle w:val="Compact"/>
              <w:jc w:val="left"/>
            </w:pPr>
            <w:r>
              <w:t xml:space="preserve">26 semanas</w:t>
            </w:r>
          </w:p>
        </w:tc>
        <w:tc>
          <w:tcPr/>
          <w:p>
            <w:pPr>
              <w:pStyle w:val="Compact"/>
              <w:jc w:val="left"/>
            </w:pPr>
            <w:r>
              <w:t xml:space="preserve">HbA1c −1,42 vs. −1,36; náuseas 20% vs. 18%</w:t>
            </w:r>
          </w:p>
        </w:tc>
      </w:tr>
      <w:tr>
        <w:tc>
          <w:tcPr/>
          <w:p>
            <w:pPr>
              <w:pStyle w:val="Compact"/>
              <w:jc w:val="left"/>
            </w:pPr>
            <w:r>
              <w:t xml:space="preserve">SUSTAIN 7 (Pratley 2018), PMID 29397376</w:t>
            </w:r>
          </w:p>
        </w:tc>
        <w:tc>
          <w:tcPr/>
          <w:p>
            <w:pPr>
              <w:pStyle w:val="Compact"/>
              <w:jc w:val="left"/>
            </w:pPr>
            <w:r>
              <w:t xml:space="preserve">1.201 pessoas, dulaglutida 0,75/1,5 mg vs. semaglutida 0,5/1,0 mg</w:t>
            </w:r>
          </w:p>
        </w:tc>
        <w:tc>
          <w:tcPr/>
          <w:p>
            <w:pPr>
              <w:pStyle w:val="Compact"/>
              <w:jc w:val="left"/>
            </w:pPr>
            <w:r>
              <w:t xml:space="preserve">40 semanas</w:t>
            </w:r>
          </w:p>
        </w:tc>
        <w:tc>
          <w:tcPr/>
          <w:p>
            <w:pPr>
              <w:pStyle w:val="Compact"/>
              <w:jc w:val="left"/>
            </w:pPr>
            <w:r>
              <w:t xml:space="preserve">HbA1c −1,4 vs. −1,8 (doses altas); peso −3,0 vs. −6,5 kg</w:t>
            </w:r>
          </w:p>
        </w:tc>
      </w:tr>
    </w:tbl>
    <w:p>
      <w:pPr>
        <w:pStyle w:val="BodyText"/>
      </w:pPr>
      <w:r>
        <w:t xml:space="preserve">A ordem é clara. A dulaglutida foi nitidamente superior à exenatida duas vezes ao dia</w:t>
      </w:r>
      <w:r>
        <w:rPr>
          <w:rStyle w:val="FootnoteReference"/>
        </w:rPr>
        <w:footnoteReference w:id="352"/>
      </w:r>
      <w:r>
        <w:t xml:space="preserve"> </w:t>
      </w:r>
      <w:r>
        <w:t xml:space="preserve">e equivalente à liraglutida</w:t>
      </w:r>
      <w:r>
        <w:rPr>
          <w:rStyle w:val="FootnoteReference"/>
        </w:rPr>
        <w:footnoteReference w:id="353"/>
      </w:r>
      <w:r>
        <w:t xml:space="preserve">. No AWARD-6, ela foi assim o primeiro agonista semanal do receptor de GLP-1 a se igualar, em comparação direta, ao padrão da época, a liraglutida – com bem menos injeções.</w:t>
      </w:r>
    </w:p>
    <w:p>
      <w:pPr>
        <w:pStyle w:val="BodyText"/>
      </w:pPr>
      <w:r>
        <w:t xml:space="preserve">Contra a semaglutida, a dulaglutida perdeu no SUSTAIN 7</w:t>
      </w:r>
      <w:r>
        <w:rPr>
          <w:rStyle w:val="FootnoteReference"/>
        </w:rPr>
        <w:footnoteReference w:id="354"/>
      </w:r>
      <w:r>
        <w:t xml:space="preserve"> </w:t>
      </w:r>
      <w:r>
        <w:t xml:space="preserve">nos dois níveis de dose. Nas doses altas, a HbA1c caiu 1,4 contra 1,8 ponto percentual, e o peso 3,0 contra 6,5 kg. As queixas gastrointestinais tiveram frequência semelhante (48% com dulaglutida 1,5 mg, 44% com semaglutida 1,0 mg). Uma crítica feita mais tarde foi que, no SUSTAIN 7, a dulaglutida só foi dosada até 1,5 mg; as doses mais altas do AWARD-11 ainda não estavam disponíveis na época. Mesmo com 4,5 mg, porém, a diferença de peso provavelmente continuaria existindo.</w:t>
      </w:r>
    </w:p>
    <w:bookmarkEnd w:id="355"/>
    <w:bookmarkStart w:id="360" w:name="rewind-o-estudo-cardiovascular"/>
    <w:p>
      <w:pPr>
        <w:pStyle w:val="Heading4"/>
      </w:pPr>
      <w:r>
        <w:t xml:space="preserve">REWIND: o estudo cardiovascular</w:t>
      </w:r>
    </w:p>
    <w:p>
      <w:pPr>
        <w:pStyle w:val="FirstParagraph"/>
      </w:pPr>
      <w:r>
        <w:t xml:space="preserve">O REWIND era diferente de outros estudos de desfechos com GLP-1: durou mais, incluiu pessoas mais velhas com glicose relativamente bem controlada (HbA1c mediana de 7,2%) e admitiu também muitas pessoas sem doença cardiovascular prévia, que tinham apenas fatores de risco. Com isso, a população do estudo se parece mais com o dia a dia dos consultórios de clínica geral do que em outros estudos de desfechos.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REWIND (Gerstein 2019), PMID 31189511</w:t>
            </w:r>
          </w:p>
        </w:tc>
        <w:tc>
          <w:tcPr/>
          <w:p>
            <w:pPr>
              <w:pStyle w:val="Compact"/>
              <w:jc w:val="left"/>
            </w:pPr>
            <w:r>
              <w:t xml:space="preserve">9.901 pessoas com diabetes tipo 2, idade média de 66,2 anos, 46,3% mulheres; ECR contra placebo</w:t>
            </w:r>
          </w:p>
        </w:tc>
        <w:tc>
          <w:tcPr/>
          <w:p>
            <w:pPr>
              <w:pStyle w:val="Compact"/>
              <w:jc w:val="left"/>
            </w:pPr>
            <w:r>
              <w:t xml:space="preserve">mediana de 5,4 anos</w:t>
            </w:r>
          </w:p>
        </w:tc>
        <w:tc>
          <w:tcPr/>
          <w:p>
            <w:pPr>
              <w:pStyle w:val="Compact"/>
              <w:jc w:val="left"/>
            </w:pPr>
            <w:r>
              <w:t xml:space="preserve">eventos cardiovasculares graves 12,0% vs. 13,4%; HR 0,88 (0,79–0,99)</w:t>
            </w:r>
          </w:p>
        </w:tc>
      </w:tr>
      <w:tr>
        <w:tc>
          <w:tcPr/>
          <w:p>
            <w:pPr>
              <w:pStyle w:val="Compact"/>
              <w:jc w:val="left"/>
            </w:pPr>
            <w:r>
              <w:t xml:space="preserve">REWIND, rins (Gerstein 2019), PMID 31189509</w:t>
            </w:r>
          </w:p>
        </w:tc>
        <w:tc>
          <w:tcPr/>
          <w:p>
            <w:pPr>
              <w:pStyle w:val="Compact"/>
              <w:jc w:val="left"/>
            </w:pPr>
            <w:r>
              <w:t xml:space="preserve">o mesmo estudo, análise exploratória</w:t>
            </w:r>
          </w:p>
        </w:tc>
        <w:tc>
          <w:tcPr/>
          <w:p>
            <w:pPr>
              <w:pStyle w:val="Compact"/>
              <w:jc w:val="left"/>
            </w:pPr>
            <w:r>
              <w:t xml:space="preserve">mediana de 5,4 anos</w:t>
            </w:r>
          </w:p>
        </w:tc>
        <w:tc>
          <w:tcPr/>
          <w:p>
            <w:pPr>
              <w:pStyle w:val="Compact"/>
              <w:jc w:val="left"/>
            </w:pPr>
            <w:r>
              <w:t xml:space="preserve">desfecho renal 17,1% vs. 19,6%; HR 0,85, sobretudo menos macroalbuminúria nova</w:t>
            </w:r>
          </w:p>
        </w:tc>
      </w:tr>
      <w:tr>
        <w:tc>
          <w:tcPr/>
          <w:p>
            <w:pPr>
              <w:pStyle w:val="Compact"/>
              <w:jc w:val="left"/>
            </w:pPr>
            <w:r>
              <w:t xml:space="preserve">REWIND, cognição (Cukierman-Yaffe 2020), PMID 32562683</w:t>
            </w:r>
          </w:p>
        </w:tc>
        <w:tc>
          <w:tcPr/>
          <w:p>
            <w:pPr>
              <w:pStyle w:val="Compact"/>
              <w:jc w:val="left"/>
            </w:pPr>
            <w:r>
              <w:t xml:space="preserve">8.828 pessoas com testes de memória</w:t>
            </w:r>
          </w:p>
        </w:tc>
        <w:tc>
          <w:tcPr/>
          <w:p>
            <w:pPr>
              <w:pStyle w:val="Compact"/>
              <w:jc w:val="left"/>
            </w:pPr>
            <w:r>
              <w:t xml:space="preserve">mediana de 5,4 anos</w:t>
            </w:r>
          </w:p>
        </w:tc>
        <w:tc>
          <w:tcPr/>
          <w:p>
            <w:pPr>
              <w:pStyle w:val="Compact"/>
              <w:jc w:val="left"/>
            </w:pPr>
            <w:r>
              <w:t xml:space="preserve">HR 0,93 (não significativo); após ajuste posterior, HR 0,86</w:t>
            </w:r>
          </w:p>
        </w:tc>
      </w:tr>
    </w:tbl>
    <w:p>
      <w:pPr>
        <w:pStyle w:val="BodyText"/>
      </w:pPr>
      <w:r>
        <w:t xml:space="preserve">O desfecho principal – morte por causa cardiovascular, infarto não fatal ou AVC – ocorreu com dulaglutida em 594 de 4.949 pessoas (12,0%) e com placebo em 663 de 4.952 (13,4%)</w:t>
      </w:r>
      <w:r>
        <w:rPr>
          <w:rStyle w:val="FootnoteReference"/>
        </w:rPr>
        <w:footnoteReference w:id="356"/>
      </w:r>
      <w:r>
        <w:t xml:space="preserve">. Isso corresponde a uma redução relativa de 12%. A mortalidade total não diferiu significativamente (10,8% vs. 12,0%; HR 0,90). Efeitos colaterais gastrointestinais foram relatados por 47,4% contra 34,1%.</w:t>
      </w:r>
    </w:p>
    <w:p>
      <w:pPr>
        <w:pStyle w:val="BodyText"/>
      </w:pPr>
      <w:r>
        <w:t xml:space="preserve">Na análise renal</w:t>
      </w:r>
      <w:r>
        <w:rPr>
          <w:rStyle w:val="FootnoteReference"/>
        </w:rPr>
        <w:footnoteReference w:id="357"/>
      </w:r>
      <w:r>
        <w:t xml:space="preserve">, o efeito se deveu sobretudo a uma macroalbuminúria nova (HR 0,77). Para uma queda persistente da função renal de pelo menos 30%, a estimativa foi de 0,89; para diálise ou transplante renal, de 0,75 – ambas sem comprovação estatística.</w:t>
      </w:r>
    </w:p>
    <w:p>
      <w:pPr>
        <w:pStyle w:val="BodyText"/>
      </w:pPr>
      <w:r>
        <w:t xml:space="preserve">A análise sobre o desempenho cognitivo</w:t>
      </w:r>
      <w:r>
        <w:rPr>
          <w:rStyle w:val="FootnoteReference"/>
        </w:rPr>
        <w:footnoteReference w:id="358"/>
      </w:r>
      <w:r>
        <w:t xml:space="preserve"> </w:t>
      </w:r>
      <w:r>
        <w:t xml:space="preserve">é às vezes citada como evidência de proteção contra demência. Isso é ir longe demais: a comparação definida previamente não foi significativa. Só após um ajuste estatístico posterior resultou um risco relativo 14% menor de piora acentuada do desempenho cognitivo (hazard ratio 0,86). Os próprios autores falam de uma análise exploratória que justifica novos estudos.</w:t>
      </w:r>
    </w:p>
    <w:p>
      <w:pPr>
        <w:pStyle w:val="BodyText"/>
      </w:pPr>
      <w:r>
        <w:t xml:space="preserve">Em uma metanálise de todos os grandes estudos de desfechos com GLP-1, o REWIND se encaixou bem no quadro geral, segundo o qual a classe reduz os eventos cardiovasculares graves em cerca de 12%</w:t>
      </w:r>
      <w:r>
        <w:rPr>
          <w:rStyle w:val="FootnoteReference"/>
        </w:rPr>
        <w:footnoteReference w:id="359"/>
      </w:r>
      <w:r>
        <w:t xml:space="preserve">.</w:t>
      </w:r>
    </w:p>
    <w:bookmarkEnd w:id="360"/>
    <w:bookmarkStart w:id="365" w:name="X4876d8ef6087ed61ee3743be2b74b95fad3715b"/>
    <w:p>
      <w:pPr>
        <w:pStyle w:val="Heading4"/>
      </w:pPr>
      <w:r>
        <w:t xml:space="preserve">O que explica o benefício – e o que não explica?</w:t>
      </w:r>
    </w:p>
    <w:p>
      <w:pPr>
        <w:pStyle w:val="FirstParagraph"/>
      </w:pPr>
      <w:r>
        <w:t xml:space="preserve">Várias análises posteriores do REWIND tentaram entender melhor o efeito cardiovascular. Em uma análise parcial com 9.543 pessoas sem fibrilação atrial no início do estudo, 31% já tinham uma doença cardiovascular e as demais</w:t>
      </w:r>
      <w:r>
        <w:t xml:space="preserve"> </w:t>
      </w:r>
      <w:r>
        <w:t xml:space="preserve">“</w:t>
      </w:r>
      <w:r>
        <w:t xml:space="preserve">apenas</w:t>
      </w:r>
      <w:r>
        <w:t xml:space="preserve">”</w:t>
      </w:r>
      <w:r>
        <w:t xml:space="preserve"> </w:t>
      </w:r>
      <w:r>
        <w:t xml:space="preserve">fatores de risco</w:t>
      </w:r>
      <w:r>
        <w:rPr>
          <w:rStyle w:val="FootnoteReference"/>
        </w:rPr>
        <w:footnoteReference w:id="361"/>
      </w:r>
      <w:r>
        <w:t xml:space="preserve">. Isso reforça que o REWIND, muito mais que outros estudos de desfechos, investigou pessoas no contexto da prevenção.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Análise</w:t>
            </w:r>
          </w:p>
        </w:tc>
        <w:tc>
          <w:tcPr/>
          <w:p>
            <w:pPr>
              <w:pStyle w:val="Compact"/>
              <w:jc w:val="left"/>
            </w:pPr>
            <w:r>
              <w:t xml:space="preserve">Pergunta</w:t>
            </w:r>
          </w:p>
        </w:tc>
        <w:tc>
          <w:tcPr/>
          <w:p>
            <w:pPr>
              <w:pStyle w:val="Compact"/>
              <w:jc w:val="left"/>
            </w:pPr>
            <w:r>
              <w:t xml:space="preserve">Resultado</w:t>
            </w:r>
          </w:p>
        </w:tc>
      </w:tr>
      <w:tr>
        <w:tc>
          <w:tcPr/>
          <w:p>
            <w:pPr>
              <w:pStyle w:val="Compact"/>
              <w:jc w:val="left"/>
            </w:pPr>
            <w:r>
              <w:t xml:space="preserve">Konig 2021, PMID 34563178</w:t>
            </w:r>
          </w:p>
        </w:tc>
        <w:tc>
          <w:tcPr/>
          <w:p>
            <w:pPr>
              <w:pStyle w:val="Compact"/>
              <w:jc w:val="left"/>
            </w:pPr>
            <w:r>
              <w:t xml:space="preserve">Que mudanças explicam o benefício?</w:t>
            </w:r>
          </w:p>
        </w:tc>
        <w:tc>
          <w:tcPr/>
          <w:p>
            <w:pPr>
              <w:pStyle w:val="Compact"/>
              <w:jc w:val="left"/>
            </w:pPr>
            <w:r>
              <w:t xml:space="preserve">em parte a redução da HbA1c e da excreção de proteína na urina, não o peso, a pressão arterial ou o colesterol LDL</w:t>
            </w:r>
          </w:p>
        </w:tc>
      </w:tr>
      <w:tr>
        <w:tc>
          <w:tcPr/>
          <w:p>
            <w:pPr>
              <w:pStyle w:val="Compact"/>
              <w:jc w:val="left"/>
            </w:pPr>
            <w:r>
              <w:t xml:space="preserve">Branch 2022, PMID 36073143</w:t>
            </w:r>
          </w:p>
        </w:tc>
        <w:tc>
          <w:tcPr/>
          <w:p>
            <w:pPr>
              <w:pStyle w:val="Compact"/>
              <w:jc w:val="left"/>
            </w:pPr>
            <w:r>
              <w:t xml:space="preserve">Eventos de insuficiência cardíaca</w:t>
            </w:r>
          </w:p>
        </w:tc>
        <w:tc>
          <w:tcPr/>
          <w:p>
            <w:pPr>
              <w:pStyle w:val="Compact"/>
              <w:jc w:val="left"/>
            </w:pPr>
            <w:r>
              <w:t xml:space="preserve">4,3% vs. 4,6%; HR 0,93, sem diferença significativa</w:t>
            </w:r>
          </w:p>
        </w:tc>
      </w:tr>
      <w:tr>
        <w:tc>
          <w:tcPr/>
          <w:p>
            <w:pPr>
              <w:pStyle w:val="Compact"/>
              <w:jc w:val="left"/>
            </w:pPr>
            <w:r>
              <w:t xml:space="preserve">Raubenheimer 2022, PMID 34984808</w:t>
            </w:r>
          </w:p>
        </w:tc>
        <w:tc>
          <w:tcPr/>
          <w:p>
            <w:pPr>
              <w:pStyle w:val="Compact"/>
              <w:jc w:val="left"/>
            </w:pPr>
            <w:r>
              <w:t xml:space="preserve">Fibrilação ou flutter atrial novos</w:t>
            </w:r>
          </w:p>
        </w:tc>
        <w:tc>
          <w:tcPr/>
          <w:p>
            <w:pPr>
              <w:pStyle w:val="Compact"/>
              <w:jc w:val="left"/>
            </w:pPr>
            <w:r>
              <w:t xml:space="preserve">5,6% vs. 5,3%; nenhuma diferença</w:t>
            </w:r>
          </w:p>
        </w:tc>
      </w:tr>
    </w:tbl>
    <w:p>
      <w:pPr>
        <w:pStyle w:val="BodyText"/>
      </w:pPr>
      <w:r>
        <w:t xml:space="preserve">Segundo a análise de Konig 2021</w:t>
      </w:r>
      <w:r>
        <w:rPr>
          <w:rStyle w:val="FootnoteReference"/>
        </w:rPr>
        <w:footnoteReference w:id="362"/>
      </w:r>
      <w:r>
        <w:t xml:space="preserve">, parte do efeito pôde ser explicada estatisticamente pelo melhor controle da glicose e pela menor excreção de proteína na urina; outra parte ficou sem explicação. A perda de peso não teve papel mensurável nessa análise. Isso combina com a suposição difundida de que os agonistas do receptor de GLP-1 também têm efeitos diretos sobre os vasos e os processos inflamatórios – em seres humanos, porém, isso não está comprovado.</w:t>
      </w:r>
    </w:p>
    <w:p>
      <w:pPr>
        <w:pStyle w:val="BodyText"/>
      </w:pPr>
      <w:r>
        <w:t xml:space="preserve">A dulaglutida não mostrou proteção contra eventos de insuficiência cardíaca</w:t>
      </w:r>
      <w:r>
        <w:rPr>
          <w:rStyle w:val="FootnoteReference"/>
        </w:rPr>
        <w:footnoteReference w:id="363"/>
      </w:r>
      <w:r>
        <w:t xml:space="preserve"> </w:t>
      </w:r>
      <w:r>
        <w:t xml:space="preserve">nem contra fibrilação atrial nova</w:t>
      </w:r>
      <w:r>
        <w:rPr>
          <w:rStyle w:val="FootnoteReference"/>
        </w:rPr>
        <w:footnoteReference w:id="364"/>
      </w:r>
      <w:r>
        <w:t xml:space="preserve">. Também entre os 853 participantes que já tinham insuficiência cardíaca no início do estudo, o quadro não foi diferente. Para a insuficiência cardíaca com fração de ejeção preservada na obesidade, há hoje dados sobre semaglutida e tirzepatida; para a dulaglutida, eles faltam.</w:t>
      </w:r>
    </w:p>
    <w:bookmarkEnd w:id="365"/>
    <w:bookmarkStart w:id="368" w:name="Xd9c62d8f04a8adf6561029b81ae79220580578e"/>
    <w:p>
      <w:pPr>
        <w:pStyle w:val="Heading4"/>
      </w:pPr>
      <w:r>
        <w:t xml:space="preserve">A dulaglutida como padrão de comparação para novas substâncias</w:t>
      </w:r>
    </w:p>
    <w:p>
      <w:pPr>
        <w:pStyle w:val="FirstParagraph"/>
      </w:pPr>
      <w:r>
        <w:t xml:space="preserve">Como a dulaglutida é amplamente usada no mundo todo, bem tolerada e tem benefício cardiovascular comprovado, os fabricantes a escolhem com frequência como comparador ativo. Os resultados desses estudos pertencem, em termos de conteúdo, aos capítulos das respectivas substâncias novas; aqui, apenas a visão geral: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SURPASS-CVOT (Nicholls 2025), PMID 41406444</w:t>
            </w:r>
          </w:p>
        </w:tc>
        <w:tc>
          <w:tcPr/>
          <w:p>
            <w:pPr>
              <w:pStyle w:val="Compact"/>
              <w:jc w:val="left"/>
            </w:pPr>
            <w:r>
              <w:t xml:space="preserve">13.165 pessoas com diabetes tipo 2 e doença vascular; tirzepatida vs. dulaglutida</w:t>
            </w:r>
          </w:p>
        </w:tc>
        <w:tc>
          <w:tcPr/>
          <w:p>
            <w:pPr>
              <w:pStyle w:val="Compact"/>
              <w:jc w:val="left"/>
            </w:pPr>
            <w:r>
              <w:t xml:space="preserve">vários anos</w:t>
            </w:r>
          </w:p>
        </w:tc>
        <w:tc>
          <w:tcPr/>
          <w:p>
            <w:pPr>
              <w:pStyle w:val="Compact"/>
              <w:jc w:val="left"/>
            </w:pPr>
            <w:r>
              <w:t xml:space="preserve">eventos cardiovasculares graves 12,2% vs. 13,1%; HR 0,92, não inferior, superioridade não demonstrada</w:t>
            </w:r>
          </w:p>
        </w:tc>
      </w:tr>
      <w:tr>
        <w:tc>
          <w:tcPr/>
          <w:p>
            <w:pPr>
              <w:pStyle w:val="Compact"/>
              <w:jc w:val="left"/>
            </w:pPr>
            <w:r>
              <w:t xml:space="preserve">SURPASS J-mono (Inagaki 2022), PMID 35914543</w:t>
            </w:r>
          </w:p>
        </w:tc>
        <w:tc>
          <w:tcPr/>
          <w:p>
            <w:pPr>
              <w:pStyle w:val="Compact"/>
              <w:jc w:val="left"/>
            </w:pPr>
            <w:r>
              <w:t xml:space="preserve">636 pessoas no Japão; tirzepatida vs. dulaglutida 0,75 mg</w:t>
            </w:r>
          </w:p>
        </w:tc>
        <w:tc>
          <w:tcPr/>
          <w:p>
            <w:pPr>
              <w:pStyle w:val="Compact"/>
              <w:jc w:val="left"/>
            </w:pPr>
            <w:r>
              <w:t xml:space="preserve">52 semanas</w:t>
            </w:r>
          </w:p>
        </w:tc>
        <w:tc>
          <w:tcPr/>
          <w:p>
            <w:pPr>
              <w:pStyle w:val="Compact"/>
              <w:jc w:val="left"/>
            </w:pPr>
            <w:r>
              <w:t xml:space="preserve">HbA1c −2,4 a −2,8 vs. −1,3</w:t>
            </w:r>
          </w:p>
        </w:tc>
      </w:tr>
      <w:tr>
        <w:tc>
          <w:tcPr/>
          <w:p>
            <w:pPr>
              <w:pStyle w:val="Compact"/>
              <w:jc w:val="left"/>
            </w:pPr>
            <w:r>
              <w:t xml:space="preserve">Guo 2026, PMID 41407860</w:t>
            </w:r>
          </w:p>
        </w:tc>
        <w:tc>
          <w:tcPr/>
          <w:p>
            <w:pPr>
              <w:pStyle w:val="Compact"/>
              <w:jc w:val="left"/>
            </w:pPr>
            <w:r>
              <w:t xml:space="preserve">731 pessoas na China; mazdutida vs. dulaglutida 1,5 mg</w:t>
            </w:r>
          </w:p>
        </w:tc>
        <w:tc>
          <w:tcPr/>
          <w:p>
            <w:pPr>
              <w:pStyle w:val="Compact"/>
              <w:jc w:val="left"/>
            </w:pPr>
            <w:r>
              <w:t xml:space="preserve">28 semanas</w:t>
            </w:r>
          </w:p>
        </w:tc>
        <w:tc>
          <w:tcPr/>
          <w:p>
            <w:pPr>
              <w:pStyle w:val="Compact"/>
              <w:jc w:val="left"/>
            </w:pPr>
            <w:r>
              <w:t xml:space="preserve">diferença de HbA1c de −0,24 e −0,30 ponto percentual a favor da mazdutida</w:t>
            </w:r>
          </w:p>
        </w:tc>
      </w:tr>
      <w:tr>
        <w:tc>
          <w:tcPr/>
          <w:p>
            <w:pPr>
              <w:pStyle w:val="Compact"/>
              <w:jc w:val="left"/>
            </w:pPr>
            <w:r>
              <w:t xml:space="preserve">EECOH-2 (He 2025), PMID 40854315</w:t>
            </w:r>
          </w:p>
        </w:tc>
        <w:tc>
          <w:tcPr/>
          <w:p>
            <w:pPr>
              <w:pStyle w:val="Compact"/>
              <w:jc w:val="left"/>
            </w:pPr>
            <w:r>
              <w:t xml:space="preserve">621 pessoas na China; ecnoglutida vs. dulaglutida 1,5 mg</w:t>
            </w:r>
          </w:p>
        </w:tc>
        <w:tc>
          <w:tcPr/>
          <w:p>
            <w:pPr>
              <w:pStyle w:val="Compact"/>
              <w:jc w:val="left"/>
            </w:pPr>
            <w:r>
              <w:t xml:space="preserve">52 semanas (desfecho principal em 32)</w:t>
            </w:r>
          </w:p>
        </w:tc>
        <w:tc>
          <w:tcPr/>
          <w:p>
            <w:pPr>
              <w:pStyle w:val="Compact"/>
              <w:jc w:val="left"/>
            </w:pPr>
            <w:r>
              <w:t xml:space="preserve">HbA1c −1,89 a −1,91 vs. −1,65</w:t>
            </w:r>
          </w:p>
        </w:tc>
      </w:tr>
    </w:tbl>
    <w:p>
      <w:pPr>
        <w:pStyle w:val="BodyText"/>
      </w:pPr>
      <w:r>
        <w:t xml:space="preserve">Particularmente esclarecedor é o SURPASS-CVOT</w:t>
      </w:r>
      <w:r>
        <w:rPr>
          <w:rStyle w:val="FootnoteReference"/>
        </w:rPr>
        <w:footnoteReference w:id="366"/>
      </w:r>
      <w:r>
        <w:t xml:space="preserve">, o primeiro grande estudo de desfechos em que dois medicamentos à base de incretinas se enfrentaram diretamente. A tirzepatida não foi inferior, mas também não comprovadamente superior à dulaglutida. Como a própria dulaglutida havia reduzido o risco no REWIND, um</w:t>
      </w:r>
      <w:r>
        <w:t xml:space="preserve"> </w:t>
      </w:r>
      <w:r>
        <w:t xml:space="preserve">“</w:t>
      </w:r>
      <w:r>
        <w:t xml:space="preserve">empate</w:t>
      </w:r>
      <w:r>
        <w:t xml:space="preserve">”</w:t>
      </w:r>
      <w:r>
        <w:t xml:space="preserve"> </w:t>
      </w:r>
      <w:r>
        <w:t xml:space="preserve">contra a dulaglutida é um resultado forte para ambas as substâncias. Uma análise posterior com um desfecho cardiorrenal mais amplo encontrou vantagem para a tirzepatida (23,7% vs. 27,4%; HR 0,84)</w:t>
      </w:r>
      <w:r>
        <w:rPr>
          <w:rStyle w:val="FootnoteReference"/>
        </w:rPr>
        <w:footnoteReference w:id="367"/>
      </w:r>
      <w:r>
        <w:t xml:space="preserve">. Análises posteriores, porém, são menos sólidas que o desfecho principal definido previamente.</w:t>
      </w:r>
    </w:p>
    <w:bookmarkEnd w:id="368"/>
    <w:bookmarkStart w:id="371" w:name="manuseio-a-caneta-preenchida"/>
    <w:p>
      <w:pPr>
        <w:pStyle w:val="Heading4"/>
      </w:pPr>
      <w:r>
        <w:t xml:space="preserve">Manuseio: a caneta preenchida</w:t>
      </w:r>
    </w:p>
    <w:p>
      <w:pPr>
        <w:pStyle w:val="FirstParagraph"/>
      </w:pPr>
      <w:r>
        <w:t xml:space="preserve">Um ponto prático raramente valorizado nos estudos é a aplicação. A dulaglutida é fornecida em uma caneta preenchida descartável, na qual não é preciso encaixar agulha nem ajustar dose. Em um estudo com 211 pessoas com diabetes tipo 2 que nunca haviam se injetado, a injeção foi bem-sucedida ao final em 99,1% dos casos; o medo de injeção diminuiu</w:t>
      </w:r>
      <w:r>
        <w:rPr>
          <w:rStyle w:val="FootnoteReference"/>
        </w:rPr>
        <w:footnoteReference w:id="369"/>
      </w:r>
      <w:r>
        <w:t xml:space="preserve">. Em um estudo comparativo financiado pelo fabricante, com 310 participantes, 84,2% preferiram a caneta de dulaglutida à caneta de semaglutida da época</w:t>
      </w:r>
      <w:r>
        <w:rPr>
          <w:rStyle w:val="FootnoteReference"/>
        </w:rPr>
        <w:footnoteReference w:id="370"/>
      </w:r>
      <w:r>
        <w:t xml:space="preserve">. Esses estudos de preferência não dizem nada sobre a eficácia, mas podem explicar por que a dulaglutida é difundida justamente entre pessoas idosas.</w:t>
      </w:r>
    </w:p>
    <w:bookmarkEnd w:id="371"/>
    <w:bookmarkStart w:id="373" w:name="crianças-e-adolescentes-1"/>
    <w:p>
      <w:pPr>
        <w:pStyle w:val="Heading4"/>
      </w:pPr>
      <w:r>
        <w:t xml:space="preserve">Crianças e adolescentes</w:t>
      </w:r>
    </w:p>
    <w:p>
      <w:pPr>
        <w:pStyle w:val="FirstParagraph"/>
      </w:pPr>
      <w:r>
        <w:t xml:space="preserve">No AWARD-PEDS, com 154 adolescentes com diabetes tipo 2, a HbA1c subiu 0,6 ponto percentual com placebo após 26 semanas e caiu com dulaglutida 0,6 (0,75 mg) e 0,9 ponto percentual (1,5 mg)</w:t>
      </w:r>
      <w:r>
        <w:rPr>
          <w:rStyle w:val="FootnoteReference"/>
        </w:rPr>
        <w:footnoteReference w:id="372"/>
      </w:r>
      <w:r>
        <w:t xml:space="preserve">. Uma HbA1c abaixo de 7% foi alcançada por 51% contra 14%. Sobre o índice de massa corporal, a dulaglutida não teve influência nessa faixa etária. Esse estudo foi a base para a aprovação a partir de 10 anos.</w:t>
      </w:r>
    </w:p>
    <w:bookmarkEnd w:id="373"/>
    <w:bookmarkStart w:id="377" w:name="outras-áreas-de-uso-em-estudos-2"/>
    <w:p>
      <w:pPr>
        <w:pStyle w:val="Heading4"/>
      </w:pPr>
      <w:r>
        <w:t xml:space="preserve">Outras áreas de uso em estudos</w:t>
      </w:r>
    </w:p>
    <w:p>
      <w:pPr>
        <w:numPr>
          <w:ilvl w:val="0"/>
          <w:numId w:val="1049"/>
        </w:numPr>
        <w:pStyle w:val="Compact"/>
      </w:pPr>
      <w:r>
        <w:rPr>
          <w:bCs/>
          <w:b/>
        </w:rPr>
        <w:t xml:space="preserve">Parar de fumar:</w:t>
      </w:r>
      <w:r>
        <w:t xml:space="preserve"> </w:t>
      </w:r>
      <w:r>
        <w:t xml:space="preserve">em um estudo com 255 pessoas, a dulaglutida não melhorou a taxa de abstinência; após 52 semanas, 32% estavam sem fumar nos dois grupos</w:t>
      </w:r>
      <w:r>
        <w:rPr>
          <w:rStyle w:val="FootnoteReference"/>
        </w:rPr>
        <w:footnoteReference w:id="374"/>
      </w:r>
      <w:r>
        <w:t xml:space="preserve">. O ganho de peso habitual após parar de fumar foi evitado nas primeiras 12 semanas; após um ano, a diferença havia desaparecido.</w:t>
      </w:r>
    </w:p>
    <w:p>
      <w:pPr>
        <w:numPr>
          <w:ilvl w:val="0"/>
          <w:numId w:val="1049"/>
        </w:numPr>
        <w:pStyle w:val="Compact"/>
      </w:pPr>
      <w:r>
        <w:rPr>
          <w:bCs/>
          <w:b/>
        </w:rPr>
        <w:t xml:space="preserve">Álcool:</w:t>
      </w:r>
      <w:r>
        <w:t xml:space="preserve"> </w:t>
      </w:r>
      <w:r>
        <w:t xml:space="preserve">em uma análise adicional pré-planejada do mesmo estudo, os participantes com dulaglutida beberam após 12 semanas 29% menos álcool do que com placebo</w:t>
      </w:r>
      <w:r>
        <w:rPr>
          <w:rStyle w:val="FootnoteReference"/>
        </w:rPr>
        <w:footnoteReference w:id="375"/>
      </w:r>
      <w:r>
        <w:t xml:space="preserve">. O estudo não foi desenhado para essa questão.</w:t>
      </w:r>
    </w:p>
    <w:p>
      <w:pPr>
        <w:numPr>
          <w:ilvl w:val="0"/>
          <w:numId w:val="1049"/>
        </w:numPr>
        <w:pStyle w:val="Compact"/>
      </w:pPr>
      <w:r>
        <w:rPr>
          <w:bCs/>
          <w:b/>
        </w:rPr>
        <w:t xml:space="preserve">Polidipsia primária</w:t>
      </w:r>
      <w:r>
        <w:t xml:space="preserve"> </w:t>
      </w:r>
      <w:r>
        <w:t xml:space="preserve">(aumento patológico da ingestão de líquidos): em um estudo cruzado com 34 pessoas, a dulaglutida reduziu a quantidade ingerida durante um teste de oito horas em 490 ml, o que corresponde a 17%</w:t>
      </w:r>
      <w:r>
        <w:rPr>
          <w:rStyle w:val="FootnoteReference"/>
        </w:rPr>
        <w:footnoteReference w:id="376"/>
      </w:r>
      <w:r>
        <w:t xml:space="preserve">. Um indício de que o GLP-1 também influencia a sensação de sede.</w:t>
      </w:r>
    </w:p>
    <w:bookmarkEnd w:id="377"/>
    <w:bookmarkEnd w:id="378"/>
    <w:bookmarkStart w:id="381" w:name="estudos-em-animais-e-em-laboratório-2"/>
    <w:p>
      <w:pPr>
        <w:pStyle w:val="Heading3"/>
      </w:pPr>
      <w:r>
        <w:t xml:space="preserve">Estudos em animais e em laboratório</w:t>
      </w:r>
    </w:p>
    <w:p>
      <w:pPr>
        <w:pStyle w:val="FirstParagraph"/>
      </w:pPr>
      <w:r>
        <w:t xml:space="preserve">A caracterização pré-clínica da dulaglutida (então LY2189265) foi feita em células, ratos, camundongos e macacos cinomolgos</w:t>
      </w:r>
      <w:r>
        <w:rPr>
          <w:rStyle w:val="FootnoteReference"/>
        </w:rPr>
        <w:footnoteReference w:id="379"/>
      </w:r>
      <w:r>
        <w:t xml:space="preserve">. Em experimentos de laboratório, a proteína de fusão manteve o efeito completo no receptor de GLP-1. Em camundongos diabéticos, uma única aplicação melhorou a tolerância à glicose; aplicações duas vezes por semana durante quatro semanas reduziram o peso e retardaram o aumento da glicose. Em macacos, o efeito sobre a liberação de insulina após uma dose durou até uma semana.</w:t>
      </w:r>
    </w:p>
    <w:p>
      <w:pPr>
        <w:pStyle w:val="BodyText"/>
      </w:pPr>
      <w:r>
        <w:t xml:space="preserve">Como com todos os agonistas do receptor de GLP-1, em estudos de longo prazo com roedores ocorreram alterações nas células C da tireoide; o mecanismo e sua transposição limitada para seres humanos estão descritos no capítulo sobre a liraglutida</w:t>
      </w:r>
      <w:r>
        <w:rPr>
          <w:rStyle w:val="FootnoteReference"/>
        </w:rPr>
        <w:footnoteReference w:id="380"/>
      </w:r>
      <w:r>
        <w:t xml:space="preserve">.</w:t>
      </w:r>
    </w:p>
    <w:bookmarkEnd w:id="381"/>
    <w:bookmarkStart w:id="391" w:name="riscos-e-efeitos-colaterais-2"/>
    <w:p>
      <w:pPr>
        <w:pStyle w:val="Heading3"/>
      </w:pPr>
      <w:r>
        <w:t xml:space="preserve">Riscos e efeitos colaterais</w:t>
      </w:r>
    </w:p>
    <w:p>
      <w:pPr>
        <w:pStyle w:val="FirstParagraph"/>
      </w:pPr>
      <w:r>
        <w:rPr>
          <w:bCs/>
          <w:b/>
        </w:rPr>
        <w:t xml:space="preserve">Comprovados em estudos randomizados:</w:t>
      </w:r>
    </w:p>
    <w:p>
      <w:pPr>
        <w:numPr>
          <w:ilvl w:val="0"/>
          <w:numId w:val="1050"/>
        </w:numPr>
        <w:pStyle w:val="Compact"/>
      </w:pPr>
      <w:r>
        <w:rPr>
          <w:bCs/>
          <w:b/>
        </w:rPr>
        <w:t xml:space="preserve">Queixas gastrointestinais:</w:t>
      </w:r>
      <w:r>
        <w:t xml:space="preserve"> </w:t>
      </w:r>
      <w:r>
        <w:t xml:space="preserve">náuseas, diarreia e vômitos são os efeitos colaterais mais comuns. No REWIND, 47,4% dos tratados relataram queixas gastrointestinais, contra 34,1% com placebo</w:t>
      </w:r>
      <w:r>
        <w:rPr>
          <w:rStyle w:val="FootnoteReference"/>
        </w:rPr>
        <w:footnoteReference w:id="382"/>
      </w:r>
      <w:r>
        <w:t xml:space="preserve">. Com doses mais altas, elas aumentam</w:t>
      </w:r>
      <w:r>
        <w:rPr>
          <w:rStyle w:val="FootnoteReference"/>
        </w:rPr>
        <w:footnoteReference w:id="383"/>
      </w:r>
      <w:r>
        <w:t xml:space="preserve">.</w:t>
      </w:r>
    </w:p>
    <w:p>
      <w:pPr>
        <w:numPr>
          <w:ilvl w:val="0"/>
          <w:numId w:val="1050"/>
        </w:numPr>
        <w:pStyle w:val="Compact"/>
      </w:pPr>
      <w:r>
        <w:rPr>
          <w:bCs/>
          <w:b/>
        </w:rPr>
        <w:t xml:space="preserve">Hipoglicemia:</w:t>
      </w:r>
      <w:r>
        <w:t xml:space="preserve"> </w:t>
      </w:r>
      <w:r>
        <w:t xml:space="preserve">rara com a substância isolada; mais frequente em combinação com insulina ou sulfonilureias, mas menos frequente do que com insulina isolada</w:t>
      </w:r>
      <w:r>
        <w:rPr>
          <w:rStyle w:val="FootnoteReference"/>
        </w:rPr>
        <w:footnoteReference w:id="384"/>
      </w:r>
      <w:r>
        <w:t xml:space="preserve">.</w:t>
      </w:r>
    </w:p>
    <w:p>
      <w:pPr>
        <w:numPr>
          <w:ilvl w:val="0"/>
          <w:numId w:val="1050"/>
        </w:numPr>
        <w:pStyle w:val="Compact"/>
      </w:pPr>
      <w:r>
        <w:rPr>
          <w:bCs/>
          <w:b/>
        </w:rPr>
        <w:t xml:space="preserve">Enzimas pancreáticas:</w:t>
      </w:r>
      <w:r>
        <w:t xml:space="preserve"> </w:t>
      </w:r>
      <w:r>
        <w:t xml:space="preserve">no AWARD-2, as enzimas do pâncreas aumentaram com dulaglutida</w:t>
      </w:r>
      <w:r>
        <w:rPr>
          <w:rStyle w:val="FootnoteReference"/>
        </w:rPr>
        <w:footnoteReference w:id="385"/>
      </w:r>
      <w:r>
        <w:t xml:space="preserve">. A relevância clínica desses aumentos sem sintomas não está clara.</w:t>
      </w:r>
    </w:p>
    <w:p>
      <w:pPr>
        <w:numPr>
          <w:ilvl w:val="0"/>
          <w:numId w:val="1050"/>
        </w:numPr>
        <w:pStyle w:val="Compact"/>
      </w:pPr>
      <w:r>
        <w:rPr>
          <w:bCs/>
          <w:b/>
        </w:rPr>
        <w:t xml:space="preserve">Anticorpos:</w:t>
      </w:r>
      <w:r>
        <w:t xml:space="preserve"> </w:t>
      </w:r>
      <w:r>
        <w:t xml:space="preserve">raros (1,6% dos tratados), sem acúmulo de reações de hipersensibilidade</w:t>
      </w:r>
      <w:r>
        <w:rPr>
          <w:rStyle w:val="FootnoteReference"/>
        </w:rPr>
        <w:footnoteReference w:id="386"/>
      </w:r>
      <w:r>
        <w:t xml:space="preserve">.</w:t>
      </w:r>
    </w:p>
    <w:p>
      <w:pPr>
        <w:numPr>
          <w:ilvl w:val="0"/>
          <w:numId w:val="1050"/>
        </w:numPr>
        <w:pStyle w:val="Compact"/>
      </w:pPr>
      <w:r>
        <w:rPr>
          <w:bCs/>
          <w:b/>
        </w:rPr>
        <w:t xml:space="preserve">Vesícula biliar:</w:t>
      </w:r>
      <w:r>
        <w:t xml:space="preserve"> </w:t>
      </w:r>
      <w:r>
        <w:t xml:space="preserve">para toda a classe, está comprovado um risco aumentado de cálculos biliares e inflamação da vesícula</w:t>
      </w:r>
      <w:r>
        <w:rPr>
          <w:rStyle w:val="FootnoteReference"/>
        </w:rPr>
        <w:footnoteReference w:id="387"/>
      </w:r>
      <w:r>
        <w:t xml:space="preserve">; detalhes no capítulo sobre a liraglutida.</w:t>
      </w:r>
    </w:p>
    <w:p>
      <w:pPr>
        <w:pStyle w:val="FirstParagraph"/>
      </w:pPr>
      <w:r>
        <w:rPr>
          <w:bCs/>
          <w:b/>
        </w:rPr>
        <w:t xml:space="preserve">Investigados, mas incertos:</w:t>
      </w:r>
    </w:p>
    <w:p>
      <w:pPr>
        <w:numPr>
          <w:ilvl w:val="0"/>
          <w:numId w:val="1051"/>
        </w:numPr>
        <w:pStyle w:val="Compact"/>
      </w:pPr>
      <w:r>
        <w:rPr>
          <w:bCs/>
          <w:b/>
        </w:rPr>
        <w:t xml:space="preserve">Pancreatite e câncer de pâncreas:</w:t>
      </w:r>
      <w:r>
        <w:t xml:space="preserve"> </w:t>
      </w:r>
      <w:r>
        <w:t xml:space="preserve">na metanálise dos estudos de desfechos, sem risco aumentado para a classe</w:t>
      </w:r>
      <w:r>
        <w:rPr>
          <w:rStyle w:val="FootnoteReference"/>
        </w:rPr>
        <w:footnoteReference w:id="388"/>
      </w:r>
      <w:r>
        <w:t xml:space="preserve">. A pancreatite, ainda assim, consta da bula para profissionais como efeito colateral raro.</w:t>
      </w:r>
    </w:p>
    <w:p>
      <w:pPr>
        <w:numPr>
          <w:ilvl w:val="0"/>
          <w:numId w:val="1051"/>
        </w:numPr>
        <w:pStyle w:val="Compact"/>
      </w:pPr>
      <w:r>
        <w:rPr>
          <w:bCs/>
          <w:b/>
        </w:rPr>
        <w:t xml:space="preserve">Câncer de tireoide:</w:t>
      </w:r>
      <w:r>
        <w:t xml:space="preserve"> </w:t>
      </w:r>
      <w:r>
        <w:t xml:space="preserve">sinal em estudos observacionais e metanálises para toda a classe</w:t>
      </w:r>
      <w:r>
        <w:rPr>
          <w:rStyle w:val="FootnoteReference"/>
        </w:rPr>
        <w:footnoteReference w:id="389"/>
      </w:r>
      <w:r>
        <w:t xml:space="preserve">, não específico da dulaglutida; ver o capítulo sobre a liraglutida e a Parte IV.</w:t>
      </w:r>
    </w:p>
    <w:p>
      <w:pPr>
        <w:pStyle w:val="FirstParagraph"/>
      </w:pPr>
      <w:r>
        <w:rPr>
          <w:bCs/>
          <w:b/>
        </w:rPr>
        <w:t xml:space="preserve">Observações para a prática:</w:t>
      </w:r>
      <w:r>
        <w:t xml:space="preserve"> </w:t>
      </w:r>
      <w:r>
        <w:t xml:space="preserve">a dulaglutida retarda o esvaziamento do estômago, o que tem importância em anestesias e endoscopias digestivas; sobre isso, está em andamento um grande estudo sobre se os agonistas do receptor de GLP-1 devem ser suspensos antes de uma endoscopia</w:t>
      </w:r>
      <w:r>
        <w:rPr>
          <w:rStyle w:val="FootnoteReference"/>
        </w:rPr>
        <w:footnoteReference w:id="390"/>
      </w:r>
      <w:r>
        <w:t xml:space="preserve">. O que vale são a bula para profissionais e o acompanhamento médico.</w:t>
      </w:r>
    </w:p>
    <w:bookmarkEnd w:id="391"/>
    <w:bookmarkStart w:id="392" w:name="situação-legal-2"/>
    <w:p>
      <w:pPr>
        <w:pStyle w:val="Heading3"/>
      </w:pPr>
      <w:r>
        <w:t xml:space="preserve">Situação legal</w:t>
      </w:r>
    </w:p>
    <w:p>
      <w:pPr>
        <w:numPr>
          <w:ilvl w:val="0"/>
          <w:numId w:val="1052"/>
        </w:numPr>
        <w:pStyle w:val="Compact"/>
      </w:pPr>
      <w:r>
        <w:rPr>
          <w:bCs/>
          <w:b/>
        </w:rPr>
        <w:t xml:space="preserve">UE:</w:t>
      </w:r>
      <w:r>
        <w:t xml:space="preserve"> </w:t>
      </w:r>
      <w:r>
        <w:t xml:space="preserve">o Trulicity tem aprovação centralizada desde 2014 para o tratamento do diabetes tipo 2, hoje também para adolescentes a partir de 10 anos. Sujeito a prescrição. Sem aprovação para redução de peso.</w:t>
      </w:r>
    </w:p>
    <w:p>
      <w:pPr>
        <w:numPr>
          <w:ilvl w:val="0"/>
          <w:numId w:val="1052"/>
        </w:numPr>
        <w:pStyle w:val="Compact"/>
      </w:pPr>
      <w:r>
        <w:rPr>
          <w:bCs/>
          <w:b/>
        </w:rPr>
        <w:t xml:space="preserve">Alemanha e Áustria:</w:t>
      </w:r>
      <w:r>
        <w:t xml:space="preserve"> </w:t>
      </w:r>
      <w:r>
        <w:t xml:space="preserve">sujeita a prescrição; reembolsável no diabetes tipo 2. A partir de 2022, como com outras preparações de GLP-1, houve períodos de falta de produto (verificar atualização).</w:t>
      </w:r>
    </w:p>
    <w:p>
      <w:pPr>
        <w:numPr>
          <w:ilvl w:val="0"/>
          <w:numId w:val="1052"/>
        </w:numPr>
        <w:pStyle w:val="Compact"/>
      </w:pPr>
      <w:r>
        <w:rPr>
          <w:bCs/>
          <w:b/>
        </w:rPr>
        <w:t xml:space="preserve">EUA:</w:t>
      </w:r>
      <w:r>
        <w:t xml:space="preserve"> </w:t>
      </w:r>
      <w:r>
        <w:t xml:space="preserve">aprovada para diabetes tipo 2 a partir de 10 anos e para redução do risco cardiovascular.</w:t>
      </w:r>
    </w:p>
    <w:p>
      <w:pPr>
        <w:numPr>
          <w:ilvl w:val="0"/>
          <w:numId w:val="1052"/>
        </w:numPr>
        <w:pStyle w:val="Compact"/>
      </w:pPr>
      <w:r>
        <w:rPr>
          <w:bCs/>
          <w:b/>
        </w:rPr>
        <w:t xml:space="preserve">Genéricos:</w:t>
      </w:r>
      <w:r>
        <w:t xml:space="preserve"> </w:t>
      </w:r>
      <w:r>
        <w:t xml:space="preserve">como a dulaglutida é uma proteína de fusão produzida por engenharia genética, as versões de imitação seriam biossimilares, com processo de aprovação mais complexo do que para a liraglutida ou a semaglutida. No momento da publicação, até onde se sabe, não há biossimilar no mercado da UE (verificar atualização).</w:t>
      </w:r>
    </w:p>
    <w:p>
      <w:pPr>
        <w:numPr>
          <w:ilvl w:val="0"/>
          <w:numId w:val="1052"/>
        </w:numPr>
        <w:pStyle w:val="Compact"/>
      </w:pPr>
      <w:r>
        <w:rPr>
          <w:bCs/>
          <w:b/>
        </w:rPr>
        <w:t xml:space="preserve">Esporte (WADA):</w:t>
      </w:r>
      <w:r>
        <w:t xml:space="preserve"> </w:t>
      </w:r>
      <w:r>
        <w:t xml:space="preserve">não listada (situação em 2026, verificar atualização).</w:t>
      </w:r>
    </w:p>
    <w:p>
      <w:pPr>
        <w:numPr>
          <w:ilvl w:val="0"/>
          <w:numId w:val="1052"/>
        </w:numPr>
        <w:pStyle w:val="Compact"/>
      </w:pPr>
      <w:r>
        <w:rPr>
          <w:bCs/>
          <w:b/>
        </w:rPr>
        <w:t xml:space="preserve">Mercado cinza:</w:t>
      </w:r>
      <w:r>
        <w:t xml:space="preserve"> </w:t>
      </w:r>
      <w:r>
        <w:t xml:space="preserve">a dulaglutida praticamente não tem papel no mercado cinza, porque uma grande proteína de fusão não pode ser produzida sinteticamente como os peptídeos pequenos.</w:t>
      </w:r>
    </w:p>
    <w:bookmarkEnd w:id="392"/>
    <w:bookmarkStart w:id="399" w:name="estudos-em-andamento-e-perspectivas-2"/>
    <w:p>
      <w:pPr>
        <w:pStyle w:val="Heading3"/>
      </w:pPr>
      <w:r>
        <w:t xml:space="preserve">Estudos em andamento e perspectivas</w:t>
      </w:r>
    </w:p>
    <w:p>
      <w:pPr>
        <w:pStyle w:val="FirstParagraph"/>
      </w:pPr>
      <w:r>
        <w:rPr>
          <w:bCs/>
          <w:b/>
        </w:rPr>
        <w:t xml:space="preserve">Confirmado (estudos registrados):</w:t>
      </w:r>
    </w:p>
    <w:p>
      <w:pPr>
        <w:numPr>
          <w:ilvl w:val="0"/>
          <w:numId w:val="1053"/>
        </w:numPr>
        <w:pStyle w:val="Compact"/>
      </w:pPr>
      <w:r>
        <w:rPr>
          <w:bCs/>
          <w:b/>
        </w:rPr>
        <w:t xml:space="preserve">Crianças e adolescentes:</w:t>
      </w:r>
      <w:r>
        <w:t xml:space="preserve"> </w:t>
      </w:r>
      <w:r>
        <w:t xml:space="preserve">a Lilly testa as doses mais altas de 3,0 e 4,5 mg em adolescentes com diabetes tipo 2</w:t>
      </w:r>
      <w:r>
        <w:rPr>
          <w:rStyle w:val="FootnoteReference"/>
        </w:rPr>
        <w:footnoteReference w:id="393"/>
      </w:r>
      <w:r>
        <w:t xml:space="preserve"> </w:t>
      </w:r>
      <w:r>
        <w:t xml:space="preserve">e compara o comprimido de orforglipron com a dulaglutida nessa faixa etária</w:t>
      </w:r>
      <w:r>
        <w:rPr>
          <w:rStyle w:val="FootnoteReference"/>
        </w:rPr>
        <w:footnoteReference w:id="394"/>
      </w:r>
      <w:r>
        <w:t xml:space="preserve">.</w:t>
      </w:r>
    </w:p>
    <w:p>
      <w:pPr>
        <w:numPr>
          <w:ilvl w:val="0"/>
          <w:numId w:val="1053"/>
        </w:numPr>
        <w:pStyle w:val="Compact"/>
      </w:pPr>
      <w:r>
        <w:rPr>
          <w:bCs/>
          <w:b/>
        </w:rPr>
        <w:t xml:space="preserve">Vasos e cirurgias:</w:t>
      </w:r>
      <w:r>
        <w:t xml:space="preserve"> </w:t>
      </w:r>
      <w:r>
        <w:t xml:space="preserve">um estudo investiga a dulaglutida no estreitamento grave dos vasos cerebrais</w:t>
      </w:r>
      <w:r>
        <w:rPr>
          <w:rStyle w:val="FootnoteReference"/>
        </w:rPr>
        <w:footnoteReference w:id="395"/>
      </w:r>
      <w:r>
        <w:t xml:space="preserve">, e outro, se ela reduz danos ao músculo cardíaco após cirurgias não cardíacas</w:t>
      </w:r>
      <w:r>
        <w:rPr>
          <w:rStyle w:val="FootnoteReference"/>
        </w:rPr>
        <w:footnoteReference w:id="396"/>
      </w:r>
      <w:r>
        <w:t xml:space="preserve">.</w:t>
      </w:r>
    </w:p>
    <w:p>
      <w:pPr>
        <w:numPr>
          <w:ilvl w:val="0"/>
          <w:numId w:val="1053"/>
        </w:numPr>
        <w:pStyle w:val="Compact"/>
      </w:pPr>
      <w:r>
        <w:rPr>
          <w:bCs/>
          <w:b/>
        </w:rPr>
        <w:t xml:space="preserve">Fibrose cística:</w:t>
      </w:r>
      <w:r>
        <w:t xml:space="preserve"> </w:t>
      </w:r>
      <w:r>
        <w:t xml:space="preserve">um pequeno estudo de fase 2 investiga a dulaglutida no distúrbio do aproveitamento da glicose decorrente da doença</w:t>
      </w:r>
      <w:r>
        <w:rPr>
          <w:rStyle w:val="FootnoteReference"/>
        </w:rPr>
        <w:footnoteReference w:id="397"/>
      </w:r>
      <w:r>
        <w:t xml:space="preserve">.</w:t>
      </w:r>
    </w:p>
    <w:p>
      <w:pPr>
        <w:numPr>
          <w:ilvl w:val="0"/>
          <w:numId w:val="1053"/>
        </w:numPr>
        <w:pStyle w:val="Compact"/>
      </w:pPr>
      <w:r>
        <w:rPr>
          <w:bCs/>
          <w:b/>
        </w:rPr>
        <w:t xml:space="preserve">Como comparador:</w:t>
      </w:r>
      <w:r>
        <w:t xml:space="preserve"> </w:t>
      </w:r>
      <w:r>
        <w:t xml:space="preserve">numerosas substâncias novas estão sendo testadas em estudos de fase 3 contra a dulaglutida, entre elas a proteína de fusão de exendina-4 JY09</w:t>
      </w:r>
      <w:r>
        <w:rPr>
          <w:rStyle w:val="FootnoteReference"/>
        </w:rPr>
        <w:footnoteReference w:id="398"/>
      </w:r>
      <w:r>
        <w:t xml:space="preserve">.</w:t>
      </w:r>
    </w:p>
    <w:p>
      <w:pPr>
        <w:pStyle w:val="FirstParagraph"/>
      </w:pPr>
      <w:r>
        <w:rPr>
          <w:bCs/>
          <w:b/>
        </w:rPr>
        <w:t xml:space="preserve">Avaliação:</w:t>
      </w:r>
      <w:r>
        <w:t xml:space="preserve"> </w:t>
      </w:r>
      <w:r>
        <w:t xml:space="preserve">a dulaglutida é uma substância sólida e bem estudada, com benefício cardiovascular comprovado, mas superada pela semaglutida e pela tirzepatida na glicose e no peso. Seu papel deve se deslocar cada vez mais para o de padrão de comparação em estudos. Como a Lilly oferece sucessoras próprias, a tirzepatida e a orforglipron, um desenvolvimento adicional da dulaglutida para novas indicações é pouco provável.</w:t>
      </w:r>
    </w:p>
    <w:bookmarkEnd w:id="399"/>
    <w:bookmarkStart w:id="400" w:name="conclusão-2"/>
    <w:p>
      <w:pPr>
        <w:pStyle w:val="Heading3"/>
      </w:pPr>
      <w:r>
        <w:t xml:space="preserve">Conclusão</w:t>
      </w:r>
    </w:p>
    <w:p>
      <w:pPr>
        <w:pStyle w:val="FirstParagraph"/>
      </w:pPr>
      <w:r>
        <w:t xml:space="preserve">A dulaglutida é uma proteína de fusão de GLP-1 injetada semanalmente, testada no programa AWARD contra quase todos os medicamentos comuns para diabetes. Ela reduziu a glicose de longo prazo mais ou menos tanto quanto a liraglutida e mais que a exenatida, a sitagliptina ou a metformina, mas perdeu para a semaglutida no SUSTAIN 7, sobretudo no peso. No REWIND, com 9.901 participantes, entre eles muitos sem doença cardiovascular conhecida, reduziu os eventos cardiovasculares graves em 12%. Os efeitos colaterais correspondem aos da classe; anticorpos são raros. Ela não é aprovada para redução de peso, e o tratamento deve ficar nas mãos de um médico.</w:t>
      </w:r>
    </w:p>
    <w:bookmarkEnd w:id="400"/>
    <w:bookmarkEnd w:id="401"/>
    <w:bookmarkStart w:id="476" w:name="semaglutida"/>
    <w:p>
      <w:pPr>
        <w:pStyle w:val="Heading2"/>
      </w:pPr>
      <w:r>
        <w:t xml:space="preserve">Semaglutida</w:t>
      </w:r>
    </w:p>
    <w:bookmarkStart w:id="403" w:name="ficha-técnica-3"/>
    <w:p>
      <w:pPr>
        <w:pStyle w:val="Heading3"/>
      </w:pPr>
      <w:r>
        <w:t xml:space="preserve">Ficha técnica</w:t>
      </w:r>
    </w:p>
    <w:p>
      <w:pPr>
        <w:numPr>
          <w:ilvl w:val="0"/>
          <w:numId w:val="1054"/>
        </w:numPr>
        <w:pStyle w:val="Compact"/>
      </w:pPr>
      <w:r>
        <w:rPr>
          <w:bCs/>
          <w:b/>
        </w:rPr>
        <w:t xml:space="preserve">Tipo/estrutura:</w:t>
      </w:r>
      <w:r>
        <w:t xml:space="preserve"> </w:t>
      </w:r>
      <w:r>
        <w:t xml:space="preserve">GLP-1 humano modificado, com 31 aminoácidos. Em relação ao hormônio do próprio corpo, dois aminoácidos foram trocados; em uma terceira posição, uma cadeia de ácido graxo está ligada por meio de um conector, o que faz a molécula se ligar fortemente à proteína sanguínea albumina</w:t>
      </w:r>
      <w:r>
        <w:rPr>
          <w:rStyle w:val="FootnoteReference"/>
        </w:rPr>
        <w:footnoteReference w:id="402"/>
      </w:r>
      <w:r>
        <w:t xml:space="preserve">.</w:t>
      </w:r>
    </w:p>
    <w:p>
      <w:pPr>
        <w:numPr>
          <w:ilvl w:val="0"/>
          <w:numId w:val="1054"/>
        </w:numPr>
        <w:pStyle w:val="Compact"/>
      </w:pPr>
      <w:r>
        <w:rPr>
          <w:bCs/>
          <w:b/>
        </w:rPr>
        <w:t xml:space="preserve">Origem:</w:t>
      </w:r>
      <w:r>
        <w:t xml:space="preserve"> </w:t>
      </w:r>
      <w:r>
        <w:t xml:space="preserve">desenvolvida pela Novo Nordisk como evolução da liraglutida.</w:t>
      </w:r>
    </w:p>
    <w:p>
      <w:pPr>
        <w:numPr>
          <w:ilvl w:val="0"/>
          <w:numId w:val="1054"/>
        </w:numPr>
        <w:pStyle w:val="Compact"/>
      </w:pPr>
      <w:r>
        <w:rPr>
          <w:bCs/>
          <w:b/>
        </w:rPr>
        <w:t xml:space="preserve">Mecanismo de ação:</w:t>
      </w:r>
      <w:r>
        <w:t xml:space="preserve"> </w:t>
      </w:r>
      <w:r>
        <w:t xml:space="preserve">agonista do receptor de GLP-1 com duração de ação muito longa – uma injeção por semana ou um comprimido por dia.</w:t>
      </w:r>
    </w:p>
    <w:p>
      <w:pPr>
        <w:numPr>
          <w:ilvl w:val="0"/>
          <w:numId w:val="1054"/>
        </w:numPr>
        <w:pStyle w:val="Compact"/>
      </w:pPr>
      <w:r>
        <w:rPr>
          <w:bCs/>
          <w:b/>
        </w:rPr>
        <w:t xml:space="preserve">Preparações:</w:t>
      </w:r>
      <w:r>
        <w:t xml:space="preserve"> </w:t>
      </w:r>
      <w:r>
        <w:t xml:space="preserve">Ozempic (injeção, diabetes tipo 2), Wegovy (injeção, controle de peso e redução do risco cardiovascular), Rybelsus (comprimido, diabetes tipo 2). Nos EUA, desde o fim de 2025, também está aprovado um comprimido de Wegovy para controle de peso (verificar atualização).</w:t>
      </w:r>
    </w:p>
    <w:p>
      <w:pPr>
        <w:numPr>
          <w:ilvl w:val="0"/>
          <w:numId w:val="1054"/>
        </w:numPr>
        <w:pStyle w:val="Compact"/>
      </w:pPr>
      <w:r>
        <w:rPr>
          <w:bCs/>
          <w:b/>
        </w:rPr>
        <w:t xml:space="preserve">Aprovação UE:</w:t>
      </w:r>
      <w:r>
        <w:t xml:space="preserve"> </w:t>
      </w:r>
      <w:r>
        <w:t xml:space="preserve">sim – diabetes tipo 2 (injeção desde 2018, comprimido desde 2020), controle de peso (desde 2022, também para adolescentes a partir de 12 anos).</w:t>
      </w:r>
    </w:p>
    <w:p>
      <w:pPr>
        <w:numPr>
          <w:ilvl w:val="0"/>
          <w:numId w:val="1054"/>
        </w:numPr>
        <w:pStyle w:val="Compact"/>
      </w:pPr>
      <w:r>
        <w:rPr>
          <w:bCs/>
          <w:b/>
        </w:rPr>
        <w:t xml:space="preserve">Aprovação EUA:</w:t>
      </w:r>
      <w:r>
        <w:t xml:space="preserve"> </w:t>
      </w:r>
      <w:r>
        <w:t xml:space="preserve">sim – diabetes tipo 2, controle de peso, redução do risco cardiovascular no sobrepeso com doença cardiovascular, proteção renal no diabetes tipo 2 com doença renal crônica e esteato-hepatite (MASH) com fibrose.</w:t>
      </w:r>
    </w:p>
    <w:p>
      <w:pPr>
        <w:numPr>
          <w:ilvl w:val="0"/>
          <w:numId w:val="1054"/>
        </w:numPr>
        <w:pStyle w:val="Compact"/>
      </w:pPr>
      <w:r>
        <w:rPr>
          <w:bCs/>
          <w:b/>
        </w:rPr>
        <w:t xml:space="preserve">WADA:</w:t>
      </w:r>
      <w:r>
        <w:t xml:space="preserve"> </w:t>
      </w:r>
      <w:r>
        <w:t xml:space="preserve">não listada.</w:t>
      </w:r>
    </w:p>
    <w:p>
      <w:pPr>
        <w:numPr>
          <w:ilvl w:val="0"/>
          <w:numId w:val="1054"/>
        </w:numPr>
        <w:pStyle w:val="Compact"/>
      </w:pPr>
      <w:r>
        <w:rPr>
          <w:bCs/>
          <w:b/>
        </w:rPr>
        <w:t xml:space="preserve">Nível de evidência:</w:t>
      </w:r>
      <w:r>
        <w:t xml:space="preserve"> </w:t>
      </w:r>
      <w:r>
        <w:rPr>
          <w:bCs/>
          <w:b/>
        </w:rPr>
        <w:t xml:space="preserve">A</w:t>
      </w:r>
      <w:r>
        <w:t xml:space="preserve"> </w:t>
      </w:r>
      <w:r>
        <w:t xml:space="preserve">– quatro grandes programas de aprovação (SUSTAIN, PIONEER, STEP, OASIS), vários estudos de desfechos com, ao todo, mais de 40.000 participantes.</w:t>
      </w:r>
    </w:p>
    <w:bookmarkEnd w:id="403"/>
    <w:bookmarkStart w:id="406" w:name="como-deveria-agir-3"/>
    <w:p>
      <w:pPr>
        <w:pStyle w:val="Heading3"/>
      </w:pPr>
      <w:r>
        <w:t xml:space="preserve">Como deveria agir</w:t>
      </w:r>
    </w:p>
    <w:p>
      <w:pPr>
        <w:pStyle w:val="FirstParagraph"/>
      </w:pPr>
      <w:r>
        <w:t xml:space="preserve">A semaglutida age como o hormônio intestinal GLP-1: aumenta a liberação de insulina dependente da glicose, inibe o glucagon, que eleva a glicose, retarda o esvaziamento do estômago e reduz no cérebro a fome e o desejo de comer. O mecanismo básico da classe está explicado no capítulo sobre a exenatida.</w:t>
      </w:r>
    </w:p>
    <w:p>
      <w:pPr>
        <w:pStyle w:val="BodyText"/>
      </w:pPr>
      <w:r>
        <w:t xml:space="preserve">A novidade da semaglutida é a durabilidade. Os desenvolvedores partiram da liraglutida e alteraram duas coisas</w:t>
      </w:r>
      <w:r>
        <w:rPr>
          <w:rStyle w:val="FootnoteReference"/>
        </w:rPr>
        <w:footnoteReference w:id="404"/>
      </w:r>
      <w:r>
        <w:t xml:space="preserve">: uma troca de aminoácido na posição 8 torna a molécula completamente insensível à enzima degradadora DPP-4. E uma cadeia de ácido graxo mais longa, com outro conector, se liga muito mais firmemente à albumina. Com isso, a semaglutida é liberada e eliminada apenas lentamente. Em minipigs, a meia-vida após aplicação na veia foi de 46,1 horas; em humanos, é ainda mais longa e permite uma injeção por semana.</w:t>
      </w:r>
    </w:p>
    <w:p>
      <w:pPr>
        <w:pStyle w:val="BodyText"/>
      </w:pPr>
      <w:r>
        <w:t xml:space="preserve">Para a perda de peso, são decisivos sobretudo os efeitos no cérebro. A semaglutida reduz a ingestão de alimentos, a sensação de fome e a vontade de comer alimentos especialmente ricos em gordura e açúcar. Um gasto de energia relevantemente maior não está comprovado.</w:t>
      </w:r>
    </w:p>
    <w:p>
      <w:pPr>
        <w:pStyle w:val="BodyText"/>
      </w:pPr>
      <w:r>
        <w:rPr>
          <w:bCs/>
          <w:b/>
        </w:rPr>
        <w:t xml:space="preserve">O comprimido:</w:t>
      </w:r>
      <w:r>
        <w:t xml:space="preserve"> </w:t>
      </w:r>
      <w:r>
        <w:t xml:space="preserve">normalmente, os peptídeos são digeridos no estômago e quase não são absorvidos. No Rybelsus, a semaglutida é combinada com o excipiente SNAC. Ele tampona o ácido gástrico diretamente na superfície do comprimido, protege assim contra a degradação e facilita por pouco tempo a absorção pela mucosa gástrica – em estudos com humanos e cães, exclusivamente no estômago, não no intestino</w:t>
      </w:r>
      <w:r>
        <w:rPr>
          <w:rStyle w:val="FootnoteReference"/>
        </w:rPr>
        <w:footnoteReference w:id="405"/>
      </w:r>
      <w:r>
        <w:t xml:space="preserve">. Mesmo assim, apenas uma fração muito pequena da substância chega ao sangue. Por isso, o comprimido contém um múltiplo da dose da injeção e precisa ser tomado em jejum com pouca água; a bula para profissionais regula os detalhes.</w:t>
      </w:r>
    </w:p>
    <w:bookmarkEnd w:id="406"/>
    <w:bookmarkStart w:id="447" w:name="estudos-em-humanos-3"/>
    <w:p>
      <w:pPr>
        <w:pStyle w:val="Heading3"/>
      </w:pPr>
      <w:r>
        <w:t xml:space="preserve">Estudos em humanos</w:t>
      </w:r>
    </w:p>
    <w:p>
      <w:pPr>
        <w:pStyle w:val="FirstParagraph"/>
      </w:pPr>
      <w:r>
        <w:t xml:space="preserve">A semaglutida é atualmente a substância mais estudada de sua classe. A busca no PubMed analisada para este livro (termo</w:t>
      </w:r>
      <w:r>
        <w:t xml:space="preserve"> </w:t>
      </w:r>
      <w:r>
        <w:t xml:space="preserve">“</w:t>
      </w:r>
      <w:r>
        <w:t xml:space="preserve">semaglutide</w:t>
      </w:r>
      <w:r>
        <w:t xml:space="preserve">”</w:t>
      </w:r>
      <w:r>
        <w:t xml:space="preserve"> </w:t>
      </w:r>
      <w:r>
        <w:t xml:space="preserve">no título ou no resumo, data da busca outubro de 2026) resultou em 342 estudos em humanos. Esse número subestima o volume real de pesquisa, porque muitas análises de grandes estudos são publicadas sob o nome deles. No ClinicalTrials.gov constam 793 registros – mais do que para qualquer outro peptídeo deste livro.</w:t>
      </w:r>
    </w:p>
    <w:p>
      <w:pPr>
        <w:pStyle w:val="BodyText"/>
      </w:pPr>
      <w:r>
        <w:t xml:space="preserve">Os estudos podem ser agrupados em quatro programas: SUSTAIN (injeção no diabetes tipo 2), PIONEER (comprimido no diabetes tipo 2), STEP (injeção na obesidade) e OASIS (comprimido na obesidade). A isso se somam grandes estudos de desfechos sobre coração (SUSTAIN 6, PIONEER 6, SOUL, SELECT), rins (FLOW), fígado (ESSENCE), insuficiência cardíaca, articulações e cérebro (evoke).</w:t>
      </w:r>
    </w:p>
    <w:bookmarkStart w:id="410" w:name="diabetes-tipo-2-com-a-injeção-sustain"/>
    <w:p>
      <w:pPr>
        <w:pStyle w:val="Heading4"/>
      </w:pPr>
      <w:r>
        <w:t xml:space="preserve">Diabetes tipo 2 com a injeção: SUSTAIN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SUSTAIN 1 (Sorli 2017), PMID 28110911</w:t>
            </w:r>
          </w:p>
        </w:tc>
        <w:tc>
          <w:tcPr/>
          <w:p>
            <w:pPr>
              <w:pStyle w:val="Compact"/>
              <w:jc w:val="left"/>
            </w:pPr>
            <w:r>
              <w:t xml:space="preserve">388 pessoas, monoterapia vs. placebo</w:t>
            </w:r>
          </w:p>
        </w:tc>
        <w:tc>
          <w:tcPr/>
          <w:p>
            <w:pPr>
              <w:pStyle w:val="Compact"/>
              <w:jc w:val="left"/>
            </w:pPr>
            <w:r>
              <w:t xml:space="preserve">30 semanas</w:t>
            </w:r>
          </w:p>
        </w:tc>
        <w:tc>
          <w:tcPr/>
          <w:p>
            <w:pPr>
              <w:pStyle w:val="Compact"/>
              <w:jc w:val="left"/>
            </w:pPr>
            <w:r>
              <w:t xml:space="preserve">HbA1c −1,55 (1,0 mg) vs. −0,02 ponto percentual; peso −4,53 vs. −0,98 kg</w:t>
            </w:r>
          </w:p>
        </w:tc>
      </w:tr>
      <w:tr>
        <w:tc>
          <w:tcPr/>
          <w:p>
            <w:pPr>
              <w:pStyle w:val="Compact"/>
              <w:jc w:val="left"/>
            </w:pPr>
            <w:r>
              <w:t xml:space="preserve">SUSTAIN FORTE (Frías 2021), PMID 34293304</w:t>
            </w:r>
          </w:p>
        </w:tc>
        <w:tc>
          <w:tcPr/>
          <w:p>
            <w:pPr>
              <w:pStyle w:val="Compact"/>
              <w:jc w:val="left"/>
            </w:pPr>
            <w:r>
              <w:t xml:space="preserve">961 pessoas; 2,0 mg vs. 1,0 mg</w:t>
            </w:r>
          </w:p>
        </w:tc>
        <w:tc>
          <w:tcPr/>
          <w:p>
            <w:pPr>
              <w:pStyle w:val="Compact"/>
              <w:jc w:val="left"/>
            </w:pPr>
            <w:r>
              <w:t xml:space="preserve">40 semanas</w:t>
            </w:r>
          </w:p>
        </w:tc>
        <w:tc>
          <w:tcPr/>
          <w:p>
            <w:pPr>
              <w:pStyle w:val="Compact"/>
              <w:jc w:val="left"/>
            </w:pPr>
            <w:r>
              <w:t xml:space="preserve">HbA1c −2,2 vs. −1,9; peso −6,9 vs. −6,0 kg</w:t>
            </w:r>
          </w:p>
        </w:tc>
      </w:tr>
      <w:tr>
        <w:tc>
          <w:tcPr/>
          <w:p>
            <w:pPr>
              <w:pStyle w:val="Compact"/>
              <w:jc w:val="left"/>
            </w:pPr>
            <w:r>
              <w:t xml:space="preserve">SUSTAIN 6 (Marso 2016), PMID 27633186</w:t>
            </w:r>
          </w:p>
        </w:tc>
        <w:tc>
          <w:tcPr/>
          <w:p>
            <w:pPr>
              <w:pStyle w:val="Compact"/>
              <w:jc w:val="left"/>
            </w:pPr>
            <w:r>
              <w:t xml:space="preserve">3.297 pessoas com alto risco cardiovascular, vs. placebo</w:t>
            </w:r>
          </w:p>
        </w:tc>
        <w:tc>
          <w:tcPr/>
          <w:p>
            <w:pPr>
              <w:pStyle w:val="Compact"/>
              <w:jc w:val="left"/>
            </w:pPr>
            <w:r>
              <w:t xml:space="preserve">104 semanas</w:t>
            </w:r>
          </w:p>
        </w:tc>
        <w:tc>
          <w:tcPr/>
          <w:p>
            <w:pPr>
              <w:pStyle w:val="Compact"/>
              <w:jc w:val="left"/>
            </w:pPr>
            <w:r>
              <w:t xml:space="preserve">eventos cardiovasculares graves 6,6% vs. 8,9%; HR 0,74</w:t>
            </w:r>
          </w:p>
        </w:tc>
      </w:tr>
    </w:tbl>
    <w:p>
      <w:pPr>
        <w:pStyle w:val="BodyText"/>
      </w:pPr>
      <w:r>
        <w:t xml:space="preserve">Já o estudo de monoterapia SUSTAIN 1</w:t>
      </w:r>
      <w:r>
        <w:rPr>
          <w:rStyle w:val="FootnoteReference"/>
        </w:rPr>
        <w:footnoteReference w:id="407"/>
      </w:r>
      <w:r>
        <w:t xml:space="preserve"> </w:t>
      </w:r>
      <w:r>
        <w:t xml:space="preserve">mostrou que a semaglutida reduz a HbA1c, a glicose de longo prazo, em cerca de 1,5 ponto percentual. Em estudos posteriores, com participantes que tinham valores iniciais mais altos, a redução foi maior; com a dose de 2,0 mg, chegou a 2,2 pontos percentuais no SUSTAIN FORTE</w:t>
      </w:r>
      <w:r>
        <w:rPr>
          <w:rStyle w:val="FootnoteReference"/>
        </w:rPr>
        <w:footnoteReference w:id="408"/>
      </w:r>
      <w:r>
        <w:t xml:space="preserve">.</w:t>
      </w:r>
    </w:p>
    <w:p>
      <w:pPr>
        <w:pStyle w:val="BodyText"/>
      </w:pPr>
      <w:r>
        <w:t xml:space="preserve">O</w:t>
      </w:r>
      <w:r>
        <w:t xml:space="preserve"> </w:t>
      </w:r>
      <w:r>
        <w:rPr>
          <w:bCs/>
          <w:b/>
        </w:rPr>
        <w:t xml:space="preserve">SUSTAIN 6</w:t>
      </w:r>
      <w:r>
        <w:rPr>
          <w:rStyle w:val="FootnoteReference"/>
        </w:rPr>
        <w:footnoteReference w:id="409"/>
      </w:r>
      <w:r>
        <w:t xml:space="preserve"> </w:t>
      </w:r>
      <w:r>
        <w:t xml:space="preserve">foi planejado como estudo de segurança, mas mostrou uma vantagem clara: morte por causa cardiovascular, infarto não fatal ou AVC ocorreram em 108 de 1.648 pessoas com semaglutida (6,6%), contra 146 de 1.649 com placebo (8,9%). Os AVCs foram significativamente mais raros (1,6% vs. 2,7%). Ao mesmo tempo, surgiu um sinal de alerta: complicações da doença diabética da retina (retinopatia) – como hemorragias vítreas ou achados que exigiam tratamento – foram mais frequentes com semaglutida (HR 1,76). Esse sinal é discutido na seção de riscos.</w:t>
      </w:r>
    </w:p>
    <w:bookmarkEnd w:id="410"/>
    <w:bookmarkStart w:id="416" w:name="X7e2cfe3b96d1db07a3b3f5f25ea6ae0847ec6fa"/>
    <w:p>
      <w:pPr>
        <w:pStyle w:val="Heading4"/>
      </w:pPr>
      <w:r>
        <w:t xml:space="preserve">Comparações diretas dentro da classe GLP-1</w:t>
      </w:r>
    </w:p>
    <w:p>
      <w:pPr>
        <w:pStyle w:val="FirstParagraph"/>
      </w:pPr>
      <w:r>
        <w:t xml:space="preserve">Em estudos de comparação direta, a semaglutida enfrentou todos os agonistas do receptor de GLP-1 mais antigos e superou cada um deles.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Desenho</w:t>
            </w:r>
          </w:p>
        </w:tc>
        <w:tc>
          <w:tcPr/>
          <w:p>
            <w:pPr>
              <w:pStyle w:val="Compact"/>
              <w:jc w:val="left"/>
            </w:pPr>
            <w:r>
              <w:t xml:space="preserve">Duração</w:t>
            </w:r>
          </w:p>
        </w:tc>
        <w:tc>
          <w:tcPr/>
          <w:p>
            <w:pPr>
              <w:pStyle w:val="Compact"/>
              <w:jc w:val="left"/>
            </w:pPr>
            <w:r>
              <w:t xml:space="preserve">Resultado (semaglutida vs. comparador)</w:t>
            </w:r>
          </w:p>
        </w:tc>
      </w:tr>
      <w:tr>
        <w:tc>
          <w:tcPr/>
          <w:p>
            <w:pPr>
              <w:pStyle w:val="Compact"/>
              <w:jc w:val="left"/>
            </w:pPr>
            <w:r>
              <w:t xml:space="preserve">SUSTAIN 3 (Ahmann 2018), PMID 29246950</w:t>
            </w:r>
          </w:p>
        </w:tc>
        <w:tc>
          <w:tcPr/>
          <w:p>
            <w:pPr>
              <w:pStyle w:val="Compact"/>
              <w:jc w:val="left"/>
            </w:pPr>
            <w:r>
              <w:t xml:space="preserve">vs. exenatida semanal, aberto</w:t>
            </w:r>
          </w:p>
        </w:tc>
        <w:tc>
          <w:tcPr/>
          <w:p>
            <w:pPr>
              <w:pStyle w:val="Compact"/>
              <w:jc w:val="left"/>
            </w:pPr>
            <w:r>
              <w:t xml:space="preserve">56 semanas</w:t>
            </w:r>
          </w:p>
        </w:tc>
        <w:tc>
          <w:tcPr/>
          <w:p>
            <w:pPr>
              <w:pStyle w:val="Compact"/>
              <w:jc w:val="left"/>
            </w:pPr>
            <w:r>
              <w:t xml:space="preserve">HbA1c −1,5 vs. −0,9; peso −5,6 vs. −1,9 kg</w:t>
            </w:r>
          </w:p>
        </w:tc>
      </w:tr>
      <w:tr>
        <w:tc>
          <w:tcPr/>
          <w:p>
            <w:pPr>
              <w:pStyle w:val="Compact"/>
              <w:jc w:val="left"/>
            </w:pPr>
            <w:r>
              <w:t xml:space="preserve">SUSTAIN 7 (Pratley 2018), PMID 29397376</w:t>
            </w:r>
          </w:p>
        </w:tc>
        <w:tc>
          <w:tcPr/>
          <w:p>
            <w:pPr>
              <w:pStyle w:val="Compact"/>
              <w:jc w:val="left"/>
            </w:pPr>
            <w:r>
              <w:t xml:space="preserve">1.201 pessoas; 0,5/1,0 mg vs. dulaglutida 0,75/1,5 mg</w:t>
            </w:r>
          </w:p>
        </w:tc>
        <w:tc>
          <w:tcPr/>
          <w:p>
            <w:pPr>
              <w:pStyle w:val="Compact"/>
              <w:jc w:val="left"/>
            </w:pPr>
            <w:r>
              <w:t xml:space="preserve">40 semanas</w:t>
            </w:r>
          </w:p>
        </w:tc>
        <w:tc>
          <w:tcPr/>
          <w:p>
            <w:pPr>
              <w:pStyle w:val="Compact"/>
              <w:jc w:val="left"/>
            </w:pPr>
            <w:r>
              <w:t xml:space="preserve">HbA1c −1,8 vs. −1,4; peso −6,5 vs. −3,0 kg (doses altas)</w:t>
            </w:r>
          </w:p>
        </w:tc>
      </w:tr>
      <w:tr>
        <w:tc>
          <w:tcPr/>
          <w:p>
            <w:pPr>
              <w:pStyle w:val="Compact"/>
              <w:jc w:val="left"/>
            </w:pPr>
            <w:r>
              <w:t xml:space="preserve">SUSTAIN 10 (Capehorn 2020), PMID 31539622</w:t>
            </w:r>
          </w:p>
        </w:tc>
        <w:tc>
          <w:tcPr/>
          <w:p>
            <w:pPr>
              <w:pStyle w:val="Compact"/>
              <w:jc w:val="left"/>
            </w:pPr>
            <w:r>
              <w:t xml:space="preserve">1,0 mg vs. liraglutida 1,2 mg</w:t>
            </w:r>
          </w:p>
        </w:tc>
        <w:tc>
          <w:tcPr/>
          <w:p>
            <w:pPr>
              <w:pStyle w:val="Compact"/>
              <w:jc w:val="left"/>
            </w:pPr>
            <w:r>
              <w:t xml:space="preserve">30 semanas</w:t>
            </w:r>
          </w:p>
        </w:tc>
        <w:tc>
          <w:tcPr/>
          <w:p>
            <w:pPr>
              <w:pStyle w:val="Compact"/>
              <w:jc w:val="left"/>
            </w:pPr>
            <w:r>
              <w:t xml:space="preserve">HbA1c −1,7 vs. −1,0; peso −5,8 vs. −1,9 kg</w:t>
            </w:r>
          </w:p>
        </w:tc>
      </w:tr>
      <w:tr>
        <w:tc>
          <w:tcPr/>
          <w:p>
            <w:pPr>
              <w:pStyle w:val="Compact"/>
              <w:jc w:val="left"/>
            </w:pPr>
            <w:r>
              <w:t xml:space="preserve">PIONEER 4 (Pratley 2019), PMID 31186120</w:t>
            </w:r>
          </w:p>
        </w:tc>
        <w:tc>
          <w:tcPr/>
          <w:p>
            <w:pPr>
              <w:pStyle w:val="Compact"/>
              <w:jc w:val="left"/>
            </w:pPr>
            <w:r>
              <w:t xml:space="preserve">711 pessoas; comprimido de 14 mg vs. injeção de liraglutida 1,8 mg vs. placebo</w:t>
            </w:r>
          </w:p>
        </w:tc>
        <w:tc>
          <w:tcPr/>
          <w:p>
            <w:pPr>
              <w:pStyle w:val="Compact"/>
              <w:jc w:val="left"/>
            </w:pPr>
            <w:r>
              <w:t xml:space="preserve">52 semanas (análise principal após 26 semanas)</w:t>
            </w:r>
          </w:p>
        </w:tc>
        <w:tc>
          <w:tcPr/>
          <w:p>
            <w:pPr>
              <w:pStyle w:val="Compact"/>
              <w:jc w:val="left"/>
            </w:pPr>
            <w:r>
              <w:t xml:space="preserve">HbA1c −1,2 vs. −1,1 (não inferior); peso −4,4 vs. −3,1 kg</w:t>
            </w:r>
          </w:p>
        </w:tc>
      </w:tr>
      <w:tr>
        <w:tc>
          <w:tcPr/>
          <w:p>
            <w:pPr>
              <w:pStyle w:val="Compact"/>
              <w:jc w:val="left"/>
            </w:pPr>
            <w:r>
              <w:t xml:space="preserve">STEP 8 (Rubino 2022), PMID 35015037</w:t>
            </w:r>
          </w:p>
        </w:tc>
        <w:tc>
          <w:tcPr/>
          <w:p>
            <w:pPr>
              <w:pStyle w:val="Compact"/>
              <w:jc w:val="left"/>
            </w:pPr>
            <w:r>
              <w:t xml:space="preserve">338 pessoas com obesidade sem diabetes; 2,4 mg vs. liraglutida 3,0 mg</w:t>
            </w:r>
          </w:p>
        </w:tc>
        <w:tc>
          <w:tcPr/>
          <w:p>
            <w:pPr>
              <w:pStyle w:val="Compact"/>
              <w:jc w:val="left"/>
            </w:pPr>
            <w:r>
              <w:t xml:space="preserve">68 semanas</w:t>
            </w:r>
          </w:p>
        </w:tc>
        <w:tc>
          <w:tcPr/>
          <w:p>
            <w:pPr>
              <w:pStyle w:val="Compact"/>
              <w:jc w:val="left"/>
            </w:pPr>
            <w:r>
              <w:t xml:space="preserve">peso −15,8% vs. −6,4%</w:t>
            </w:r>
          </w:p>
        </w:tc>
      </w:tr>
    </w:tbl>
    <w:p>
      <w:pPr>
        <w:pStyle w:val="BodyText"/>
      </w:pPr>
      <w:r>
        <w:t xml:space="preserve">As diferenças na glicose de longo prazo ficam entre 0,1 e 0,7 ponto percentual a favor da semaglutida e, no peso, entre 1,2 e cerca de 4 kg no diabetes. A distância foi maior na obesidade: no STEP 8</w:t>
      </w:r>
      <w:r>
        <w:rPr>
          <w:rStyle w:val="FootnoteReference"/>
        </w:rPr>
        <w:footnoteReference w:id="411"/>
      </w:r>
      <w:r>
        <w:t xml:space="preserve">, 38,5% perderam com semaglutida pelo menos 20% do peso, contra 6,0% com liraglutida. O preço, em algumas comparações, é uma taxa um pouco maior de queixas gastrointestinais: no SUSTAIN 10, 11,4% contra 6,6% interromperam o tratamento por efeitos colaterais</w:t>
      </w:r>
      <w:r>
        <w:rPr>
          <w:rStyle w:val="FootnoteReference"/>
        </w:rPr>
        <w:footnoteReference w:id="412"/>
      </w:r>
      <w:r>
        <w:t xml:space="preserve">. Já no SUSTAIN 3, as reações no local da injeção foram muito mais frequentes com exenatida (22,0% vs. 1,2%)</w:t>
      </w:r>
      <w:r>
        <w:rPr>
          <w:rStyle w:val="FootnoteReference"/>
        </w:rPr>
        <w:footnoteReference w:id="413"/>
      </w:r>
      <w:r>
        <w:t xml:space="preserve">.</w:t>
      </w:r>
    </w:p>
    <w:p>
      <w:pPr>
        <w:pStyle w:val="BodyText"/>
      </w:pPr>
      <w:r>
        <w:t xml:space="preserve">O PIONEER 4</w:t>
      </w:r>
      <w:r>
        <w:rPr>
          <w:rStyle w:val="FootnoteReference"/>
        </w:rPr>
        <w:footnoteReference w:id="414"/>
      </w:r>
      <w:r>
        <w:t xml:space="preserve"> </w:t>
      </w:r>
      <w:r>
        <w:t xml:space="preserve">é notável porque nele um comprimido enfrentou uma injeção: na HbA1c, o comprimido de semaglutida não foi inferior à injeção de liraglutida e, no peso, foi superior em 1,2 kg.</w:t>
      </w:r>
    </w:p>
    <w:p>
      <w:pPr>
        <w:pStyle w:val="BodyText"/>
      </w:pPr>
      <w:r>
        <w:t xml:space="preserve">Fora da classe GLP-1, a semaglutida, por sua vez, foi superada: na comparação direta com o agonista duplo GIP/GLP-1 tirzepatida em 751 pessoas com obesidade, a perda de peso após 72 semanas foi de −13,7% contra −20,2%</w:t>
      </w:r>
      <w:r>
        <w:rPr>
          <w:rStyle w:val="FootnoteReference"/>
        </w:rPr>
        <w:footnoteReference w:id="415"/>
      </w:r>
      <w:r>
        <w:t xml:space="preserve">. Os detalhes estão no capítulo sobre a tirzepatida.</w:t>
      </w:r>
    </w:p>
    <w:bookmarkEnd w:id="416"/>
    <w:bookmarkStart w:id="420" w:name="X8579dde799517b6713d02f5118a99e70a6db83e"/>
    <w:p>
      <w:pPr>
        <w:pStyle w:val="Heading4"/>
      </w:pPr>
      <w:r>
        <w:t xml:space="preserve">Diabetes tipo 2 com o comprimido: PIONEER e SOUL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PIONEER 1 (Aroda 2019), PMID 31186300</w:t>
            </w:r>
          </w:p>
        </w:tc>
        <w:tc>
          <w:tcPr/>
          <w:p>
            <w:pPr>
              <w:pStyle w:val="Compact"/>
              <w:jc w:val="left"/>
            </w:pPr>
            <w:r>
              <w:t xml:space="preserve">703 pessoas, monoterapia; 3/7/14 mg vs. placebo</w:t>
            </w:r>
          </w:p>
        </w:tc>
        <w:tc>
          <w:tcPr/>
          <w:p>
            <w:pPr>
              <w:pStyle w:val="Compact"/>
              <w:jc w:val="left"/>
            </w:pPr>
            <w:r>
              <w:t xml:space="preserve">26 semanas</w:t>
            </w:r>
          </w:p>
        </w:tc>
        <w:tc>
          <w:tcPr/>
          <w:p>
            <w:pPr>
              <w:pStyle w:val="Compact"/>
              <w:jc w:val="left"/>
            </w:pPr>
            <w:r>
              <w:t xml:space="preserve">HbA1c −1,1 ponto percentual (14 mg) em relação ao placebo; peso −2,3 kg em relação ao placebo</w:t>
            </w:r>
          </w:p>
        </w:tc>
      </w:tr>
      <w:tr>
        <w:tc>
          <w:tcPr/>
          <w:p>
            <w:pPr>
              <w:pStyle w:val="Compact"/>
              <w:jc w:val="left"/>
            </w:pPr>
            <w:r>
              <w:t xml:space="preserve">PIONEER 6 (Husain 2019), PMID 31185157</w:t>
            </w:r>
          </w:p>
        </w:tc>
        <w:tc>
          <w:tcPr/>
          <w:p>
            <w:pPr>
              <w:pStyle w:val="Compact"/>
              <w:jc w:val="left"/>
            </w:pPr>
            <w:r>
              <w:t xml:space="preserve">3.183 pessoas de alto risco; vs. placebo</w:t>
            </w:r>
          </w:p>
        </w:tc>
        <w:tc>
          <w:tcPr/>
          <w:p>
            <w:pPr>
              <w:pStyle w:val="Compact"/>
              <w:jc w:val="left"/>
            </w:pPr>
            <w:r>
              <w:t xml:space="preserve">mediana de 15,9 meses</w:t>
            </w:r>
          </w:p>
        </w:tc>
        <w:tc>
          <w:tcPr/>
          <w:p>
            <w:pPr>
              <w:pStyle w:val="Compact"/>
              <w:jc w:val="left"/>
            </w:pPr>
            <w:r>
              <w:t xml:space="preserve">eventos 3,8% vs. 4,8%; HR 0,79, não inferior</w:t>
            </w:r>
          </w:p>
        </w:tc>
      </w:tr>
      <w:tr>
        <w:tc>
          <w:tcPr/>
          <w:p>
            <w:pPr>
              <w:pStyle w:val="Compact"/>
              <w:jc w:val="left"/>
            </w:pPr>
            <w:r>
              <w:t xml:space="preserve">PIONEER PLUS (Aroda 2023), PMID 37385279</w:t>
            </w:r>
          </w:p>
        </w:tc>
        <w:tc>
          <w:tcPr/>
          <w:p>
            <w:pPr>
              <w:pStyle w:val="Compact"/>
              <w:jc w:val="left"/>
            </w:pPr>
            <w:r>
              <w:t xml:space="preserve">1.606 pessoas; 25 e 50 mg vs. 14 mg</w:t>
            </w:r>
          </w:p>
        </w:tc>
        <w:tc>
          <w:tcPr/>
          <w:p>
            <w:pPr>
              <w:pStyle w:val="Compact"/>
              <w:jc w:val="left"/>
            </w:pPr>
            <w:r>
              <w:t xml:space="preserve">52 semanas</w:t>
            </w:r>
          </w:p>
        </w:tc>
        <w:tc>
          <w:tcPr/>
          <w:p>
            <w:pPr>
              <w:pStyle w:val="Compact"/>
              <w:jc w:val="left"/>
            </w:pPr>
            <w:r>
              <w:t xml:space="preserve">HbA1c −2,0 (50 mg) vs. −1,5 (14 mg)</w:t>
            </w:r>
          </w:p>
        </w:tc>
      </w:tr>
      <w:tr>
        <w:tc>
          <w:tcPr/>
          <w:p>
            <w:pPr>
              <w:pStyle w:val="Compact"/>
              <w:jc w:val="left"/>
            </w:pPr>
            <w:r>
              <w:t xml:space="preserve">SOUL (McGuire 2025), PMID 40162642</w:t>
            </w:r>
          </w:p>
        </w:tc>
        <w:tc>
          <w:tcPr/>
          <w:p>
            <w:pPr>
              <w:pStyle w:val="Compact"/>
              <w:jc w:val="left"/>
            </w:pPr>
            <w:r>
              <w:t xml:space="preserve">9.650 pessoas com doença vascular e/ou renal; vs. placebo</w:t>
            </w:r>
          </w:p>
        </w:tc>
        <w:tc>
          <w:tcPr/>
          <w:p>
            <w:pPr>
              <w:pStyle w:val="Compact"/>
              <w:jc w:val="left"/>
            </w:pPr>
            <w:r>
              <w:t xml:space="preserve">mediana de 49,5 meses</w:t>
            </w:r>
          </w:p>
        </w:tc>
        <w:tc>
          <w:tcPr/>
          <w:p>
            <w:pPr>
              <w:pStyle w:val="Compact"/>
              <w:jc w:val="left"/>
            </w:pPr>
            <w:r>
              <w:t xml:space="preserve">eventos 12,0% vs. 13,8%; HR 0,86 (0,77–0,96)</w:t>
            </w:r>
          </w:p>
        </w:tc>
      </w:tr>
    </w:tbl>
    <w:p>
      <w:pPr>
        <w:pStyle w:val="BodyText"/>
      </w:pPr>
      <w:r>
        <w:t xml:space="preserve">Na dose padrão de 14 mg, o comprimido age um pouco menos que a injeção. O PIONEER PLUS</w:t>
      </w:r>
      <w:r>
        <w:rPr>
          <w:rStyle w:val="FootnoteReference"/>
        </w:rPr>
        <w:footnoteReference w:id="417"/>
      </w:r>
      <w:r>
        <w:t xml:space="preserve"> </w:t>
      </w:r>
      <w:r>
        <w:t xml:space="preserve">mostrou que doses mais altas do comprimido reduzem a diferença. O PIONEER 6</w:t>
      </w:r>
      <w:r>
        <w:rPr>
          <w:rStyle w:val="FootnoteReference"/>
        </w:rPr>
        <w:footnoteReference w:id="418"/>
      </w:r>
      <w:r>
        <w:t xml:space="preserve"> </w:t>
      </w:r>
      <w:r>
        <w:t xml:space="preserve">foi um estudo curto de segurança; provou que o comprimido não aumenta o risco cardiovascular, mas era pequeno demais para comprovar benefício.</w:t>
      </w:r>
    </w:p>
    <w:p>
      <w:pPr>
        <w:pStyle w:val="BodyText"/>
      </w:pPr>
      <w:r>
        <w:t xml:space="preserve">Essa comprovação veio com o</w:t>
      </w:r>
      <w:r>
        <w:t xml:space="preserve"> </w:t>
      </w:r>
      <w:r>
        <w:rPr>
          <w:bCs/>
          <w:b/>
        </w:rPr>
        <w:t xml:space="preserve">SOUL</w:t>
      </w:r>
      <w:r>
        <w:rPr>
          <w:rStyle w:val="FootnoteReference"/>
        </w:rPr>
        <w:footnoteReference w:id="419"/>
      </w:r>
      <w:r>
        <w:t xml:space="preserve">: em 9.650 pessoas com diabetes tipo 2 e doença vascular ou renal, o comprimido de semaglutida reduziu os eventos cardiovasculares graves em 14% ao longo de cerca de quatro anos. Os desfechos secundários confirmatórios, entre eles resultados renais, não diferiram significativamente. Eventos adversos graves não foram mais frequentes com semaglutida (47,9% vs. 50,3%).</w:t>
      </w:r>
    </w:p>
    <w:bookmarkEnd w:id="420"/>
    <w:bookmarkStart w:id="426" w:name="obesidade-com-a-injeção-step"/>
    <w:p>
      <w:pPr>
        <w:pStyle w:val="Heading4"/>
      </w:pPr>
      <w:r>
        <w:t xml:space="preserve">Obesidade com a injeção: STEP</w:t>
      </w:r>
    </w:p>
    <w:p>
      <w:pPr>
        <w:pStyle w:val="FirstParagraph"/>
      </w:pPr>
      <w:r>
        <w:t xml:space="preserve">Com a dose de 2,4 mg por semana, a semaglutida, como Wegovy, tornou-se o primeiro medicamento com o qual pessoas com obesidade perderam em grandes estudos, em média, cerca de 15% do peso corporal.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STEP 1 (Wilding 2021), PMID 33567185</w:t>
            </w:r>
          </w:p>
        </w:tc>
        <w:tc>
          <w:tcPr/>
          <w:p>
            <w:pPr>
              <w:pStyle w:val="Compact"/>
              <w:jc w:val="left"/>
            </w:pPr>
            <w:r>
              <w:t xml:space="preserve">1.961 adultos com obesidade sem diabetes, ECR contra placebo</w:t>
            </w:r>
          </w:p>
        </w:tc>
        <w:tc>
          <w:tcPr/>
          <w:p>
            <w:pPr>
              <w:pStyle w:val="Compact"/>
              <w:jc w:val="left"/>
            </w:pPr>
            <w:r>
              <w:t xml:space="preserve">68 semanas</w:t>
            </w:r>
          </w:p>
        </w:tc>
        <w:tc>
          <w:tcPr/>
          <w:p>
            <w:pPr>
              <w:pStyle w:val="Compact"/>
              <w:jc w:val="left"/>
            </w:pPr>
            <w:r>
              <w:t xml:space="preserve">−14,9% do peso corporal vs. −2,4%</w:t>
            </w:r>
          </w:p>
        </w:tc>
      </w:tr>
      <w:tr>
        <w:tc>
          <w:tcPr/>
          <w:p>
            <w:pPr>
              <w:pStyle w:val="Compact"/>
              <w:jc w:val="left"/>
            </w:pPr>
            <w:r>
              <w:t xml:space="preserve">STEP 2 (Davies 2021), PMID 33667417</w:t>
            </w:r>
          </w:p>
        </w:tc>
        <w:tc>
          <w:tcPr/>
          <w:p>
            <w:pPr>
              <w:pStyle w:val="Compact"/>
              <w:jc w:val="left"/>
            </w:pPr>
            <w:r>
              <w:t xml:space="preserve">1.210 pessoas com sobrepeso e diabetes tipo 2</w:t>
            </w:r>
          </w:p>
        </w:tc>
        <w:tc>
          <w:tcPr/>
          <w:p>
            <w:pPr>
              <w:pStyle w:val="Compact"/>
              <w:jc w:val="left"/>
            </w:pPr>
            <w:r>
              <w:t xml:space="preserve">68 semanas</w:t>
            </w:r>
          </w:p>
        </w:tc>
        <w:tc>
          <w:tcPr/>
          <w:p>
            <w:pPr>
              <w:pStyle w:val="Compact"/>
              <w:jc w:val="left"/>
            </w:pPr>
            <w:r>
              <w:t xml:space="preserve">−9,6% vs. −3,4%</w:t>
            </w:r>
          </w:p>
        </w:tc>
      </w:tr>
      <w:tr>
        <w:tc>
          <w:tcPr/>
          <w:p>
            <w:pPr>
              <w:pStyle w:val="Compact"/>
              <w:jc w:val="left"/>
            </w:pPr>
            <w:r>
              <w:t xml:space="preserve">STEP 3 (Wadden 2021), PMID 33625476</w:t>
            </w:r>
          </w:p>
        </w:tc>
        <w:tc>
          <w:tcPr/>
          <w:p>
            <w:pPr>
              <w:pStyle w:val="Compact"/>
              <w:jc w:val="left"/>
            </w:pPr>
            <w:r>
              <w:t xml:space="preserve">611 pessoas, com terapia comportamental intensiva adicional</w:t>
            </w:r>
          </w:p>
        </w:tc>
        <w:tc>
          <w:tcPr/>
          <w:p>
            <w:pPr>
              <w:pStyle w:val="Compact"/>
              <w:jc w:val="left"/>
            </w:pPr>
            <w:r>
              <w:t xml:space="preserve">68 semanas</w:t>
            </w:r>
          </w:p>
        </w:tc>
        <w:tc>
          <w:tcPr/>
          <w:p>
            <w:pPr>
              <w:pStyle w:val="Compact"/>
              <w:jc w:val="left"/>
            </w:pPr>
            <w:r>
              <w:t xml:space="preserve">−16,0% vs. −5,7%</w:t>
            </w:r>
          </w:p>
        </w:tc>
      </w:tr>
      <w:tr>
        <w:tc>
          <w:tcPr/>
          <w:p>
            <w:pPr>
              <w:pStyle w:val="Compact"/>
              <w:jc w:val="left"/>
            </w:pPr>
            <w:r>
              <w:t xml:space="preserve">STEP 4 (Rubino 2021), PMID 33755728</w:t>
            </w:r>
          </w:p>
        </w:tc>
        <w:tc>
          <w:tcPr/>
          <w:p>
            <w:pPr>
              <w:pStyle w:val="Compact"/>
              <w:jc w:val="left"/>
            </w:pPr>
            <w:r>
              <w:t xml:space="preserve">803 pessoas após 20 semanas de semaglutida: continuar ou trocar para placebo</w:t>
            </w:r>
          </w:p>
        </w:tc>
        <w:tc>
          <w:tcPr/>
          <w:p>
            <w:pPr>
              <w:pStyle w:val="Compact"/>
              <w:jc w:val="left"/>
            </w:pPr>
            <w:r>
              <w:t xml:space="preserve">48 semanas</w:t>
            </w:r>
          </w:p>
        </w:tc>
        <w:tc>
          <w:tcPr/>
          <w:p>
            <w:pPr>
              <w:pStyle w:val="Compact"/>
              <w:jc w:val="left"/>
            </w:pPr>
            <w:r>
              <w:t xml:space="preserve">−7,9% (continuou) vs. +6,9% (suspendeu)</w:t>
            </w:r>
          </w:p>
        </w:tc>
      </w:tr>
      <w:tr>
        <w:tc>
          <w:tcPr/>
          <w:p>
            <w:pPr>
              <w:pStyle w:val="Compact"/>
              <w:jc w:val="left"/>
            </w:pPr>
            <w:r>
              <w:t xml:space="preserve">STEP 5 (Garvey 2022), PMID 36216945</w:t>
            </w:r>
          </w:p>
        </w:tc>
        <w:tc>
          <w:tcPr/>
          <w:p>
            <w:pPr>
              <w:pStyle w:val="Compact"/>
              <w:jc w:val="left"/>
            </w:pPr>
            <w:r>
              <w:t xml:space="preserve">304 pessoas</w:t>
            </w:r>
          </w:p>
        </w:tc>
        <w:tc>
          <w:tcPr/>
          <w:p>
            <w:pPr>
              <w:pStyle w:val="Compact"/>
              <w:jc w:val="left"/>
            </w:pPr>
            <w:r>
              <w:t xml:space="preserve">104 semanas</w:t>
            </w:r>
          </w:p>
        </w:tc>
        <w:tc>
          <w:tcPr/>
          <w:p>
            <w:pPr>
              <w:pStyle w:val="Compact"/>
              <w:jc w:val="left"/>
            </w:pPr>
            <w:r>
              <w:t xml:space="preserve">−15,2% vs. −2,6%</w:t>
            </w:r>
          </w:p>
        </w:tc>
      </w:tr>
      <w:tr>
        <w:tc>
          <w:tcPr/>
          <w:p>
            <w:pPr>
              <w:pStyle w:val="Compact"/>
              <w:jc w:val="left"/>
            </w:pPr>
            <w:r>
              <w:t xml:space="preserve">STEP 6 (Kadowaki 2022), PMID 35131037</w:t>
            </w:r>
          </w:p>
        </w:tc>
        <w:tc>
          <w:tcPr/>
          <w:p>
            <w:pPr>
              <w:pStyle w:val="Compact"/>
              <w:jc w:val="left"/>
            </w:pPr>
            <w:r>
              <w:t xml:space="preserve">401 pessoas no Leste Asiático</w:t>
            </w:r>
          </w:p>
        </w:tc>
        <w:tc>
          <w:tcPr/>
          <w:p>
            <w:pPr>
              <w:pStyle w:val="Compact"/>
              <w:jc w:val="left"/>
            </w:pPr>
            <w:r>
              <w:t xml:space="preserve">68 semanas</w:t>
            </w:r>
          </w:p>
        </w:tc>
        <w:tc>
          <w:tcPr/>
          <w:p>
            <w:pPr>
              <w:pStyle w:val="Compact"/>
              <w:jc w:val="left"/>
            </w:pPr>
            <w:r>
              <w:t xml:space="preserve">−13,2% vs. −2,1%</w:t>
            </w:r>
          </w:p>
        </w:tc>
      </w:tr>
      <w:tr>
        <w:tc>
          <w:tcPr/>
          <w:p>
            <w:pPr>
              <w:pStyle w:val="Compact"/>
              <w:jc w:val="left"/>
            </w:pPr>
            <w:r>
              <w:t xml:space="preserve">STEP UP (Wharton 2025), PMID 40961952</w:t>
            </w:r>
          </w:p>
        </w:tc>
        <w:tc>
          <w:tcPr/>
          <w:p>
            <w:pPr>
              <w:pStyle w:val="Compact"/>
              <w:jc w:val="left"/>
            </w:pPr>
            <w:r>
              <w:t xml:space="preserve">1.407 pessoas; 7,2 mg vs. 2,4 mg vs. placebo</w:t>
            </w:r>
          </w:p>
        </w:tc>
        <w:tc>
          <w:tcPr/>
          <w:p>
            <w:pPr>
              <w:pStyle w:val="Compact"/>
              <w:jc w:val="left"/>
            </w:pPr>
            <w:r>
              <w:t xml:space="preserve">72 semanas</w:t>
            </w:r>
          </w:p>
        </w:tc>
        <w:tc>
          <w:tcPr/>
          <w:p>
            <w:pPr>
              <w:pStyle w:val="Compact"/>
              <w:jc w:val="left"/>
            </w:pPr>
            <w:r>
              <w:t xml:space="preserve">−18,7% vs. −15,6% vs. −3,9%</w:t>
            </w:r>
          </w:p>
        </w:tc>
      </w:tr>
    </w:tbl>
    <w:p>
      <w:pPr>
        <w:pStyle w:val="BodyText"/>
      </w:pPr>
      <w:r>
        <w:t xml:space="preserve">No</w:t>
      </w:r>
      <w:r>
        <w:t xml:space="preserve"> </w:t>
      </w:r>
      <w:r>
        <w:rPr>
          <w:bCs/>
          <w:b/>
        </w:rPr>
        <w:t xml:space="preserve">STEP 1</w:t>
      </w:r>
      <w:r>
        <w:rPr>
          <w:rStyle w:val="FootnoteReference"/>
        </w:rPr>
        <w:footnoteReference w:id="421"/>
      </w:r>
      <w:r>
        <w:t xml:space="preserve">, os participantes perderam em média 15,3 kg, contra 2,6 kg com placebo. Metade (50,5%) perdeu pelo menos 15% do peso. Por queixas gastrointestinais, 4,5% interromperam o tratamento, contra 0,8% com placebo.</w:t>
      </w:r>
    </w:p>
    <w:p>
      <w:pPr>
        <w:pStyle w:val="BodyText"/>
      </w:pPr>
      <w:r>
        <w:t xml:space="preserve">Em pessoas com diabetes tipo 2, a perda foi menor (STEP 2, Davies 2021, PMID 33667417) – um padrão que ocorre em todas as substâncias desta classe. No</w:t>
      </w:r>
      <w:r>
        <w:t xml:space="preserve"> </w:t>
      </w:r>
      <w:r>
        <w:rPr>
          <w:bCs/>
          <w:b/>
        </w:rPr>
        <w:t xml:space="preserve">STEP 5</w:t>
      </w:r>
      <w:r>
        <w:rPr>
          <w:rStyle w:val="FootnoteReference"/>
        </w:rPr>
        <w:footnoteReference w:id="422"/>
      </w:r>
      <w:r>
        <w:t xml:space="preserve">, o efeito permaneceu estável ao longo de dois anos.</w:t>
      </w:r>
    </w:p>
    <w:p>
      <w:pPr>
        <w:pStyle w:val="BodyText"/>
      </w:pPr>
      <w:r>
        <w:rPr>
          <w:bCs/>
          <w:b/>
        </w:rPr>
        <w:t xml:space="preserve">O que acontece após a suspensão?</w:t>
      </w:r>
      <w:r>
        <w:t xml:space="preserve"> </w:t>
      </w:r>
      <w:r>
        <w:t xml:space="preserve">Essa pergunta é central para a prática. No STEP 4</w:t>
      </w:r>
      <w:r>
        <w:rPr>
          <w:rStyle w:val="FootnoteReference"/>
        </w:rPr>
        <w:footnoteReference w:id="423"/>
      </w:r>
      <w:r>
        <w:t xml:space="preserve">, todos os participantes receberam primeiro 20 semanas de semaglutida e haviam perdido nesse período, em média, 10,6%. Quem depois trocou para placebo voltou a ganhar 6,9% nas 48 semanas seguintes; quem continuou o tratamento perdeu mais 7,9%. Na extensão do STEP 1</w:t>
      </w:r>
      <w:r>
        <w:rPr>
          <w:rStyle w:val="FootnoteReference"/>
        </w:rPr>
        <w:footnoteReference w:id="424"/>
      </w:r>
      <w:r>
        <w:t xml:space="preserve">, um ano após a suspensão, os participantes haviam recuperado cerca de dois terços do peso perdido; também a pressão arterial, os lipídios no sangue e a glicose voltaram a se aproximar dos valores iniciais. Os autores concluem que a obesidade é uma doença crônica e que o tratamento provavelmente precisa ser permanente.</w:t>
      </w:r>
    </w:p>
    <w:p>
      <w:pPr>
        <w:pStyle w:val="BodyText"/>
      </w:pPr>
      <w:r>
        <w:rPr>
          <w:bCs/>
          <w:b/>
        </w:rPr>
        <w:t xml:space="preserve">Dose mais alta:</w:t>
      </w:r>
      <w:r>
        <w:t xml:space="preserve"> </w:t>
      </w:r>
      <w:r>
        <w:t xml:space="preserve">no STEP UP</w:t>
      </w:r>
      <w:r>
        <w:rPr>
          <w:rStyle w:val="FootnoteReference"/>
        </w:rPr>
        <w:footnoteReference w:id="425"/>
      </w:r>
      <w:r>
        <w:t xml:space="preserve">, a dose triplicada de 7,2 mg levou a 18,7% de perda de peso. As queixas gastrointestinais foram mais frequentes (70,8% vs. 61,2% com 2,4 mg), e 22,9% relataram sensações anormais na pele (disestesia), contra 6,0% com 2,4 mg.</w:t>
      </w:r>
    </w:p>
    <w:bookmarkEnd w:id="426"/>
    <w:bookmarkStart w:id="428" w:name="obesidade-com-o-comprimido-oasis"/>
    <w:p>
      <w:pPr>
        <w:pStyle w:val="Heading4"/>
      </w:pPr>
      <w:r>
        <w:t xml:space="preserve">Obesidade com o comprimido: OASIS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OASIS 1 (Knop 2023), PMID 37385278</w:t>
            </w:r>
          </w:p>
        </w:tc>
        <w:tc>
          <w:tcPr/>
          <w:p>
            <w:pPr>
              <w:pStyle w:val="Compact"/>
              <w:jc w:val="left"/>
            </w:pPr>
            <w:r>
              <w:t xml:space="preserve">667 pessoas com obesidade sem diabetes; 50 mg por dia vs. placebo</w:t>
            </w:r>
          </w:p>
        </w:tc>
        <w:tc>
          <w:tcPr/>
          <w:p>
            <w:pPr>
              <w:pStyle w:val="Compact"/>
              <w:jc w:val="left"/>
            </w:pPr>
            <w:r>
              <w:t xml:space="preserve">68 semanas</w:t>
            </w:r>
          </w:p>
        </w:tc>
        <w:tc>
          <w:tcPr/>
          <w:p>
            <w:pPr>
              <w:pStyle w:val="Compact"/>
              <w:jc w:val="left"/>
            </w:pPr>
            <w:r>
              <w:t xml:space="preserve">−15,1% vs. −2,4%</w:t>
            </w:r>
          </w:p>
        </w:tc>
      </w:tr>
      <w:tr>
        <w:tc>
          <w:tcPr/>
          <w:p>
            <w:pPr>
              <w:pStyle w:val="Compact"/>
              <w:jc w:val="left"/>
            </w:pPr>
            <w:r>
              <w:t xml:space="preserve">OASIS 4 (Wharton 2025), PMID 40934115</w:t>
            </w:r>
          </w:p>
        </w:tc>
        <w:tc>
          <w:tcPr/>
          <w:p>
            <w:pPr>
              <w:pStyle w:val="Compact"/>
              <w:jc w:val="left"/>
            </w:pPr>
            <w:r>
              <w:t xml:space="preserve">307 pessoas; 25 mg por dia vs. placebo</w:t>
            </w:r>
          </w:p>
        </w:tc>
        <w:tc>
          <w:tcPr/>
          <w:p>
            <w:pPr>
              <w:pStyle w:val="Compact"/>
              <w:jc w:val="left"/>
            </w:pPr>
            <w:r>
              <w:t xml:space="preserve">64 semanas</w:t>
            </w:r>
          </w:p>
        </w:tc>
        <w:tc>
          <w:tcPr/>
          <w:p>
            <w:pPr>
              <w:pStyle w:val="Compact"/>
              <w:jc w:val="left"/>
            </w:pPr>
            <w:r>
              <w:t xml:space="preserve">−13,6% vs. −2,2%</w:t>
            </w:r>
          </w:p>
        </w:tc>
      </w:tr>
    </w:tbl>
    <w:p>
      <w:pPr>
        <w:pStyle w:val="BodyText"/>
      </w:pPr>
      <w:r>
        <w:t xml:space="preserve">Os comprimidos alcançaram nesses estudos valores semelhantes aos da injeção no STEP 1</w:t>
      </w:r>
      <w:r>
        <w:rPr>
          <w:rStyle w:val="FootnoteReference"/>
        </w:rPr>
        <w:footnoteReference w:id="427"/>
      </w:r>
      <w:r>
        <w:t xml:space="preserve">. Queixas gastrointestinais ocorreram em 74% a 80%. O comprimido de 25 mg do OASIS 4 é a base do comprimido de Wegovy aprovado nos EUA. Uma comparação direta com a injeção em um grande estudo ainda não existe.</w:t>
      </w:r>
    </w:p>
    <w:bookmarkEnd w:id="428"/>
    <w:bookmarkStart w:id="431" w:name="crianças-e-adolescentes-2"/>
    <w:p>
      <w:pPr>
        <w:pStyle w:val="Heading4"/>
      </w:pPr>
      <w:r>
        <w:t xml:space="preserve">Crianças e adolescentes</w:t>
      </w:r>
    </w:p>
    <w:p>
      <w:pPr>
        <w:pStyle w:val="FirstParagraph"/>
      </w:pPr>
      <w:r>
        <w:t xml:space="preserve">No</w:t>
      </w:r>
      <w:r>
        <w:t xml:space="preserve"> </w:t>
      </w:r>
      <w:r>
        <w:rPr>
          <w:bCs/>
          <w:b/>
        </w:rPr>
        <w:t xml:space="preserve">STEP TEENS</w:t>
      </w:r>
      <w:r>
        <w:t xml:space="preserve">, com 201 adolescentes com obesidade, o índice de massa corporal (IMC) caiu 16,1% após 68 semanas, enquanto com placebo subiu 0,6%</w:t>
      </w:r>
      <w:r>
        <w:rPr>
          <w:rStyle w:val="FootnoteReference"/>
        </w:rPr>
        <w:footnoteReference w:id="429"/>
      </w:r>
      <w:r>
        <w:t xml:space="preserve">. 73% perderam pelo menos 5% do peso, contra 18% com placebo. Cinco adolescentes (4%) com semaglutida desenvolveram cálculos biliares, e nenhum com placebo. Um estudo com crianças a partir de 6 anos está em andamento</w:t>
      </w:r>
      <w:r>
        <w:rPr>
          <w:rStyle w:val="FootnoteReference"/>
        </w:rPr>
        <w:footnoteReference w:id="430"/>
      </w:r>
      <w:r>
        <w:t xml:space="preserve">.</w:t>
      </w:r>
    </w:p>
    <w:bookmarkEnd w:id="431"/>
    <w:bookmarkStart w:id="433" w:name="Xbb79f13992184f68f3f1de2962950897fec96c8"/>
    <w:p>
      <w:pPr>
        <w:pStyle w:val="Heading4"/>
      </w:pPr>
      <w:r>
        <w:t xml:space="preserve">SELECT: proteção cardíaca também sem diabetes</w:t>
      </w:r>
    </w:p>
    <w:p>
      <w:pPr>
        <w:pStyle w:val="FirstParagraph"/>
      </w:pPr>
      <w:r>
        <w:t xml:space="preserve">O SELECT foi um marco, porque mostrou pela primeira vez que um medicamento para redução de peso diminui infartos, AVCs e mortes cardiovasculares em pessoas sem 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SELECT (Lincoff 2023), PMID 37952131</w:t>
            </w:r>
          </w:p>
        </w:tc>
        <w:tc>
          <w:tcPr/>
          <w:p>
            <w:pPr>
              <w:pStyle w:val="Compact"/>
              <w:jc w:val="left"/>
            </w:pPr>
            <w:r>
              <w:t xml:space="preserve">17.604 pessoas com sobrepeso ou obesidade e doença cardiovascular, sem diabetes; 2,4 mg vs. placebo</w:t>
            </w:r>
          </w:p>
        </w:tc>
        <w:tc>
          <w:tcPr/>
          <w:p>
            <w:pPr>
              <w:pStyle w:val="Compact"/>
              <w:jc w:val="left"/>
            </w:pPr>
            <w:r>
              <w:t xml:space="preserve">acompanhamento médio de 39,8 meses</w:t>
            </w:r>
          </w:p>
        </w:tc>
        <w:tc>
          <w:tcPr/>
          <w:p>
            <w:pPr>
              <w:pStyle w:val="Compact"/>
              <w:jc w:val="left"/>
            </w:pPr>
            <w:r>
              <w:t xml:space="preserve">eventos cardiovasculares graves 6,5% vs. 8,0%; HR 0,80 (0,72–0,90)</w:t>
            </w:r>
          </w:p>
        </w:tc>
      </w:tr>
    </w:tbl>
    <w:p>
      <w:pPr>
        <w:pStyle w:val="BodyText"/>
      </w:pPr>
      <w:r>
        <w:t xml:space="preserve">A redução relativa do risco foi de 20%</w:t>
      </w:r>
      <w:r>
        <w:rPr>
          <w:rStyle w:val="FootnoteReference"/>
        </w:rPr>
        <w:footnoteReference w:id="432"/>
      </w:r>
      <w:r>
        <w:t xml:space="preserve">. Em números absolutos, ao longo de pouco mais de três anos, cerca de 1,5 em cada cem tratados deixou de ter um evento desse tipo. Chamou a atenção a alta taxa de abandono: 16,6% encerraram o tratamento definitivamente por efeitos colaterais, contra 8,2% com placebo. Se o benefício se deve apenas à perda de peso ou também a efeitos diretos sobre os vasos e a inflamação não está definitivamente esclarecido.</w:t>
      </w:r>
    </w:p>
    <w:bookmarkEnd w:id="433"/>
    <w:bookmarkStart w:id="435" w:name="flow-proteção-dos-rins"/>
    <w:p>
      <w:pPr>
        <w:pStyle w:val="Heading4"/>
      </w:pPr>
      <w:r>
        <w:t xml:space="preserve">FLOW: proteção dos rins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FLOW (Perkovic 2024), PMID 38785209</w:t>
            </w:r>
          </w:p>
        </w:tc>
        <w:tc>
          <w:tcPr/>
          <w:p>
            <w:pPr>
              <w:pStyle w:val="Compact"/>
              <w:jc w:val="left"/>
            </w:pPr>
            <w:r>
              <w:t xml:space="preserve">3.533 pessoas com diabetes tipo 2 e doença renal crônica; 1,0 mg vs. placebo</w:t>
            </w:r>
          </w:p>
        </w:tc>
        <w:tc>
          <w:tcPr/>
          <w:p>
            <w:pPr>
              <w:pStyle w:val="Compact"/>
              <w:jc w:val="left"/>
            </w:pPr>
            <w:r>
              <w:t xml:space="preserve">mediana de 3,4 anos (encerrado antecipadamente por eficácia)</w:t>
            </w:r>
          </w:p>
        </w:tc>
        <w:tc>
          <w:tcPr/>
          <w:p>
            <w:pPr>
              <w:pStyle w:val="Compact"/>
              <w:jc w:val="left"/>
            </w:pPr>
            <w:r>
              <w:t xml:space="preserve">desfecho renal 331 vs. 410 eventos; HR 0,76; mortalidade total HR 0,80</w:t>
            </w:r>
          </w:p>
        </w:tc>
      </w:tr>
    </w:tbl>
    <w:p>
      <w:pPr>
        <w:pStyle w:val="BodyText"/>
      </w:pPr>
      <w:r>
        <w:t xml:space="preserve">O FLOW</w:t>
      </w:r>
      <w:r>
        <w:rPr>
          <w:rStyle w:val="FootnoteReference"/>
        </w:rPr>
        <w:footnoteReference w:id="434"/>
      </w:r>
      <w:r>
        <w:t xml:space="preserve"> </w:t>
      </w:r>
      <w:r>
        <w:t xml:space="preserve">foi o primeiro grande estudo com um agonista do receptor de GLP-1 em que um desfecho renal duro – insuficiência renal, perda acentuada de função ou morte por causa renal ou cardiovascular – foi o objetivo principal. Ele foi encerrado antecipadamente após uma análise interina por eficácia clara. A perda anual de função renal (TFGe) foi 1,16 ml/min por 1,73 m² menor com semaglutida. Também os eventos cardiovasculares (HR 0,82) e a mortalidade total (HR 0,80) foram reduzidos.</w:t>
      </w:r>
    </w:p>
    <w:bookmarkEnd w:id="435"/>
    <w:bookmarkStart w:id="441" w:name="X27cf382b15f19a5160f7a1e9a5a19587a45411f"/>
    <w:p>
      <w:pPr>
        <w:pStyle w:val="Heading4"/>
      </w:pPr>
      <w:r>
        <w:t xml:space="preserve">Outros órgãos: fígado, insuficiência cardíaca, vasos, articulações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ESSENCE (Sanyal 2025), PMID 40305708</w:t>
            </w:r>
          </w:p>
        </w:tc>
        <w:tc>
          <w:tcPr/>
          <w:p>
            <w:pPr>
              <w:pStyle w:val="Compact"/>
              <w:jc w:val="left"/>
            </w:pPr>
            <w:r>
              <w:t xml:space="preserve">1.197 pessoas com esteato-hepatite (MASH) e fibrose estágio 2–3; análise interina dos primeiros 800</w:t>
            </w:r>
          </w:p>
        </w:tc>
        <w:tc>
          <w:tcPr/>
          <w:p>
            <w:pPr>
              <w:pStyle w:val="Compact"/>
              <w:jc w:val="left"/>
            </w:pPr>
            <w:r>
              <w:t xml:space="preserve">72 semanas (primeira parte)</w:t>
            </w:r>
          </w:p>
        </w:tc>
        <w:tc>
          <w:tcPr/>
          <w:p>
            <w:pPr>
              <w:pStyle w:val="Compact"/>
              <w:jc w:val="left"/>
            </w:pPr>
            <w:r>
              <w:t xml:space="preserve">resolução da inflamação 62,9% vs. 34,3%; menos fibrose 36,8% vs. 22,4%</w:t>
            </w:r>
          </w:p>
        </w:tc>
      </w:tr>
      <w:tr>
        <w:tc>
          <w:tcPr/>
          <w:p>
            <w:pPr>
              <w:pStyle w:val="Compact"/>
              <w:jc w:val="left"/>
            </w:pPr>
            <w:r>
              <w:t xml:space="preserve">STEP-HFpEF (Kosiborod 2023), PMID 37622681</w:t>
            </w:r>
          </w:p>
        </w:tc>
        <w:tc>
          <w:tcPr/>
          <w:p>
            <w:pPr>
              <w:pStyle w:val="Compact"/>
              <w:jc w:val="left"/>
            </w:pPr>
            <w:r>
              <w:t xml:space="preserve">529 pessoas com insuficiência cardíaca com fração de ejeção preservada e obesidade; 2,4 mg vs. placebo</w:t>
            </w:r>
          </w:p>
        </w:tc>
        <w:tc>
          <w:tcPr/>
          <w:p>
            <w:pPr>
              <w:pStyle w:val="Compact"/>
              <w:jc w:val="left"/>
            </w:pPr>
            <w:r>
              <w:t xml:space="preserve">52 semanas</w:t>
            </w:r>
          </w:p>
        </w:tc>
        <w:tc>
          <w:tcPr/>
          <w:p>
            <w:pPr>
              <w:pStyle w:val="Compact"/>
              <w:jc w:val="left"/>
            </w:pPr>
            <w:r>
              <w:t xml:space="preserve">escore de sintomas +16,6 vs. +8,7 pontos; distância de caminhada +21,5 vs. +1,2 m</w:t>
            </w:r>
          </w:p>
        </w:tc>
      </w:tr>
      <w:tr>
        <w:tc>
          <w:tcPr/>
          <w:p>
            <w:pPr>
              <w:pStyle w:val="Compact"/>
              <w:jc w:val="left"/>
            </w:pPr>
            <w:r>
              <w:t xml:space="preserve">STRIDE (Bonaca 2025), PMID 40169145</w:t>
            </w:r>
          </w:p>
        </w:tc>
        <w:tc>
          <w:tcPr/>
          <w:p>
            <w:pPr>
              <w:pStyle w:val="Compact"/>
              <w:jc w:val="left"/>
            </w:pPr>
            <w:r>
              <w:t xml:space="preserve">792 pessoas com doença arterial periférica e diabetes tipo 2; 1,0 mg vs. placebo</w:t>
            </w:r>
          </w:p>
        </w:tc>
        <w:tc>
          <w:tcPr/>
          <w:p>
            <w:pPr>
              <w:pStyle w:val="Compact"/>
              <w:jc w:val="left"/>
            </w:pPr>
            <w:r>
              <w:t xml:space="preserve">52 semanas</w:t>
            </w:r>
          </w:p>
        </w:tc>
        <w:tc>
          <w:tcPr/>
          <w:p>
            <w:pPr>
              <w:pStyle w:val="Compact"/>
              <w:jc w:val="left"/>
            </w:pPr>
            <w:r>
              <w:t xml:space="preserve">distância máxima de caminhada com melhora 13% maior</w:t>
            </w:r>
          </w:p>
        </w:tc>
      </w:tr>
      <w:tr>
        <w:tc>
          <w:tcPr/>
          <w:p>
            <w:pPr>
              <w:pStyle w:val="Compact"/>
              <w:jc w:val="left"/>
            </w:pPr>
            <w:r>
              <w:t xml:space="preserve">STEP 9 (Bliddal 2024), PMID 39476339</w:t>
            </w:r>
          </w:p>
        </w:tc>
        <w:tc>
          <w:tcPr/>
          <w:p>
            <w:pPr>
              <w:pStyle w:val="Compact"/>
              <w:jc w:val="left"/>
            </w:pPr>
            <w:r>
              <w:t xml:space="preserve">407 pessoas com obesidade e artrose de joelho</w:t>
            </w:r>
          </w:p>
        </w:tc>
        <w:tc>
          <w:tcPr/>
          <w:p>
            <w:pPr>
              <w:pStyle w:val="Compact"/>
              <w:jc w:val="left"/>
            </w:pPr>
            <w:r>
              <w:t xml:space="preserve">68 semanas</w:t>
            </w:r>
          </w:p>
        </w:tc>
        <w:tc>
          <w:tcPr/>
          <w:p>
            <w:pPr>
              <w:pStyle w:val="Compact"/>
              <w:jc w:val="left"/>
            </w:pPr>
            <w:r>
              <w:t xml:space="preserve">escore de dor −41,7 vs. −27,5 pontos; peso −13,7% vs. −3,2%</w:t>
            </w:r>
          </w:p>
        </w:tc>
      </w:tr>
    </w:tbl>
    <w:p>
      <w:pPr>
        <w:pStyle w:val="BodyText"/>
      </w:pPr>
      <w:r>
        <w:rPr>
          <w:bCs/>
          <w:b/>
        </w:rPr>
        <w:t xml:space="preserve">Fígado:</w:t>
      </w:r>
      <w:r>
        <w:t xml:space="preserve"> </w:t>
      </w:r>
      <w:r>
        <w:t xml:space="preserve">no ESSENCE</w:t>
      </w:r>
      <w:r>
        <w:rPr>
          <w:rStyle w:val="FootnoteReference"/>
        </w:rPr>
        <w:footnoteReference w:id="436"/>
      </w:r>
      <w:r>
        <w:t xml:space="preserve">, a esteato-hepatite regrediu na amostra de tecido em quase dois terços dos tratados, sem aumento da cicatrização. Uma redução da fibrose – o objetivo clinicamente mais importante – foi alcançada por 36,8% contra 22,4%. A segunda parte do estudo, com desfechos hepáticos duros como a cirrose, vai até 2029</w:t>
      </w:r>
      <w:r>
        <w:rPr>
          <w:rStyle w:val="FootnoteReference"/>
        </w:rPr>
        <w:footnoteReference w:id="437"/>
      </w:r>
      <w:r>
        <w:t xml:space="preserve">.</w:t>
      </w:r>
    </w:p>
    <w:p>
      <w:pPr>
        <w:pStyle w:val="BodyText"/>
      </w:pPr>
      <w:r>
        <w:rPr>
          <w:bCs/>
          <w:b/>
        </w:rPr>
        <w:t xml:space="preserve">Insuficiência cardíaca:</w:t>
      </w:r>
      <w:r>
        <w:t xml:space="preserve"> </w:t>
      </w:r>
      <w:r>
        <w:t xml:space="preserve">na insuficiência cardíaca com fração de ejeção preservada e obesidade, os sintomas e a capacidade de esforço melhoraram claramente</w:t>
      </w:r>
      <w:r>
        <w:rPr>
          <w:rStyle w:val="FootnoteReference"/>
        </w:rPr>
        <w:footnoteReference w:id="438"/>
      </w:r>
      <w:r>
        <w:t xml:space="preserve">. Eventos adversos graves foram mais raros com semaglutida (13,3% vs. 26,7%). Se a semaglutida também reduz internações ou mortes por insuficiência cardíaca não era o objetivo principal desse estudo.</w:t>
      </w:r>
    </w:p>
    <w:p>
      <w:pPr>
        <w:pStyle w:val="BodyText"/>
      </w:pPr>
      <w:r>
        <w:rPr>
          <w:bCs/>
          <w:b/>
        </w:rPr>
        <w:t xml:space="preserve">Doença arterial periférica:</w:t>
      </w:r>
      <w:r>
        <w:t xml:space="preserve"> </w:t>
      </w:r>
      <w:r>
        <w:t xml:space="preserve">na doença arterial obstrutiva periférica, a semaglutida aumentou a distância máxima de caminhada</w:t>
      </w:r>
      <w:r>
        <w:rPr>
          <w:rStyle w:val="FootnoteReference"/>
        </w:rPr>
        <w:footnoteReference w:id="439"/>
      </w:r>
      <w:r>
        <w:t xml:space="preserve">.</w:t>
      </w:r>
    </w:p>
    <w:p>
      <w:pPr>
        <w:pStyle w:val="BodyText"/>
      </w:pPr>
      <w:r>
        <w:rPr>
          <w:bCs/>
          <w:b/>
        </w:rPr>
        <w:t xml:space="preserve">Artrose de joelho:</w:t>
      </w:r>
      <w:r>
        <w:t xml:space="preserve"> </w:t>
      </w:r>
      <w:r>
        <w:t xml:space="preserve">no STEP 9</w:t>
      </w:r>
      <w:r>
        <w:rPr>
          <w:rStyle w:val="FootnoteReference"/>
        </w:rPr>
        <w:footnoteReference w:id="440"/>
      </w:r>
      <w:r>
        <w:t xml:space="preserve">, a dor no joelho diminuiu mais do que com placebo. Se isso se deve apenas à perda de peso, o estudo deixa em aberto.</w:t>
      </w:r>
    </w:p>
    <w:bookmarkEnd w:id="441"/>
    <w:bookmarkStart w:id="446" w:name="cérebro-e-vícios"/>
    <w:p>
      <w:pPr>
        <w:pStyle w:val="Heading4"/>
      </w:pPr>
      <w:r>
        <w:t xml:space="preserve">Cérebro e vícios</w:t>
      </w:r>
    </w:p>
    <w:p>
      <w:pPr>
        <w:pStyle w:val="FirstParagraph"/>
      </w:pPr>
      <w:r>
        <w:rPr>
          <w:bCs/>
          <w:b/>
        </w:rPr>
        <w:t xml:space="preserve">Doença de Alzheimer:</w:t>
      </w:r>
      <w:r>
        <w:t xml:space="preserve"> </w:t>
      </w:r>
      <w:r>
        <w:t xml:space="preserve">a esperança de que os agonistas do receptor de GLP-1 pudessem frear o declínio cognitivo se apoiava em experimentos com animais e dados observacionais. A Novo Nordisk testou isso em dois grandes estudos de fase 3, evoke e evoke+, com um total de 3.808 pessoas com doença de Alzheimer inicial, que receberam durante 104 semanas comprimidos diários de semaglutida ou placebo</w:t>
      </w:r>
      <w:r>
        <w:rPr>
          <w:rStyle w:val="FootnoteReference"/>
        </w:rPr>
        <w:footnoteReference w:id="442"/>
      </w:r>
      <w:r>
        <w:t xml:space="preserve">. O resultado foi claramente negativo: a doença progrediu na mesma velocidade nos dois grupos (diferença na escala de demência CDR-SB de −0,08 e +0,10 ponto, não significativa). Com isso, a semaglutida, pelo conhecimento atual, fracassou como medicamento para Alzheimer; um comentário na mesma revista discute as consequências para o campo de pesquisa</w:t>
      </w:r>
      <w:r>
        <w:rPr>
          <w:rStyle w:val="FootnoteReference"/>
        </w:rPr>
        <w:footnoteReference w:id="443"/>
      </w:r>
      <w:r>
        <w:t xml:space="preserve">.</w:t>
      </w:r>
    </w:p>
    <w:p>
      <w:pPr>
        <w:pStyle w:val="BodyText"/>
      </w:pPr>
      <w:r>
        <w:rPr>
          <w:bCs/>
          <w:b/>
        </w:rPr>
        <w:t xml:space="preserve">Álcool:</w:t>
      </w:r>
      <w:r>
        <w:t xml:space="preserve"> </w:t>
      </w:r>
      <w:r>
        <w:t xml:space="preserve">em um pequeno estudo randomizado com 48 pessoas com transtorno por uso de álcool, a semaglutida em dose baixa reduziu a quantidade de álcool bebida em um teste de laboratório, o desejo por álcool e o número de doses nos dias de consumo; o número de dias de consumo não se alterou</w:t>
      </w:r>
      <w:r>
        <w:rPr>
          <w:rStyle w:val="FootnoteReference"/>
        </w:rPr>
        <w:footnoteReference w:id="444"/>
      </w:r>
      <w:r>
        <w:t xml:space="preserve">. Em um estudo de registro sueco, a semaglutida esteve associada a um risco 36% menor de internações relacionadas ao álcool</w:t>
      </w:r>
      <w:r>
        <w:rPr>
          <w:rStyle w:val="FootnoteReference"/>
        </w:rPr>
        <w:footnoteReference w:id="445"/>
      </w:r>
      <w:r>
        <w:t xml:space="preserve">. Estudos randomizados maiores estão em andamento.</w:t>
      </w:r>
    </w:p>
    <w:bookmarkEnd w:id="446"/>
    <w:bookmarkEnd w:id="447"/>
    <w:bookmarkStart w:id="451" w:name="estudos-em-animais-e-em-laboratório-3"/>
    <w:p>
      <w:pPr>
        <w:pStyle w:val="Heading3"/>
      </w:pPr>
      <w:r>
        <w:t xml:space="preserve">Estudos em animais e em laboratório</w:t>
      </w:r>
    </w:p>
    <w:p>
      <w:pPr>
        <w:pStyle w:val="FirstParagraph"/>
      </w:pPr>
      <w:r>
        <w:t xml:space="preserve">A semaglutida foi desenhada de forma planejada na prancheta: entre numerosas variantes, os desenvolvedores escolheram aquela com a melhor combinação de ligação à albumina, ação no receptor e estabilidade</w:t>
      </w:r>
      <w:r>
        <w:rPr>
          <w:rStyle w:val="FootnoteReference"/>
        </w:rPr>
        <w:footnoteReference w:id="448"/>
      </w:r>
      <w:r>
        <w:t xml:space="preserve">. A meia-vida foi determinada primeiro em minipigs. A absorção do comprimido pela mucosa gástrica foi estudada em cães e em seres humanos</w:t>
      </w:r>
      <w:r>
        <w:rPr>
          <w:rStyle w:val="FootnoteReference"/>
        </w:rPr>
        <w:footnoteReference w:id="449"/>
      </w:r>
      <w:r>
        <w:t xml:space="preserve">.</w:t>
      </w:r>
    </w:p>
    <w:p>
      <w:pPr>
        <w:pStyle w:val="BodyText"/>
      </w:pPr>
      <w:r>
        <w:t xml:space="preserve">Como com a liraglutida, experimentos de longo prazo em roedores levaram a tumores de células C da tireoide; a transposição para humanos é considerada questionável devido à baixa densidade de receptores nas células C humanas</w:t>
      </w:r>
      <w:r>
        <w:rPr>
          <w:rStyle w:val="FootnoteReference"/>
        </w:rPr>
        <w:footnoteReference w:id="450"/>
      </w:r>
      <w:r>
        <w:t xml:space="preserve">. Experimentos em animais sobre neuroproteção, vícios e inflamação formaram a base dos estudos em humanos descritos acima – com resultado misto, como mostra o fracasso do evoke.</w:t>
      </w:r>
    </w:p>
    <w:bookmarkEnd w:id="451"/>
    <w:bookmarkStart w:id="463" w:name="riscos-e-efeitos-colaterais-3"/>
    <w:p>
      <w:pPr>
        <w:pStyle w:val="Heading3"/>
      </w:pPr>
      <w:r>
        <w:t xml:space="preserve">Riscos e efeitos colaterais</w:t>
      </w:r>
    </w:p>
    <w:p>
      <w:pPr>
        <w:pStyle w:val="FirstParagraph"/>
      </w:pPr>
      <w:r>
        <w:rPr>
          <w:bCs/>
          <w:b/>
        </w:rPr>
        <w:t xml:space="preserve">Comprovados em estudos randomizados:</w:t>
      </w:r>
    </w:p>
    <w:p>
      <w:pPr>
        <w:numPr>
          <w:ilvl w:val="0"/>
          <w:numId w:val="1055"/>
        </w:numPr>
        <w:pStyle w:val="Compact"/>
      </w:pPr>
      <w:r>
        <w:rPr>
          <w:bCs/>
          <w:b/>
        </w:rPr>
        <w:t xml:space="preserve">Queixas gastrointestinais:</w:t>
      </w:r>
      <w:r>
        <w:t xml:space="preserve"> </w:t>
      </w:r>
      <w:r>
        <w:t xml:space="preserve">náuseas, diarreia, vômitos e prisão de ventre afetam, nos estudos de obesidade, a maioria dos tratados, em geral de forma leve a moderada e passageira, sobretudo durante o aumento da dose</w:t>
      </w:r>
      <w:r>
        <w:rPr>
          <w:rStyle w:val="FootnoteReference"/>
        </w:rPr>
        <w:footnoteReference w:id="452"/>
      </w:r>
      <w:r>
        <w:t xml:space="preserve">. São o motivo mais comum de interrupção do tratamento.</w:t>
      </w:r>
    </w:p>
    <w:p>
      <w:pPr>
        <w:numPr>
          <w:ilvl w:val="0"/>
          <w:numId w:val="1055"/>
        </w:numPr>
        <w:pStyle w:val="Compact"/>
      </w:pPr>
      <w:r>
        <w:rPr>
          <w:bCs/>
          <w:b/>
        </w:rPr>
        <w:t xml:space="preserve">Cálculos biliares e inflamação da vesícula:</w:t>
      </w:r>
      <w:r>
        <w:t xml:space="preserve"> </w:t>
      </w:r>
      <w:r>
        <w:t xml:space="preserve">aumentados na classe como um todo, especialmente com doses altas e na redução de peso</w:t>
      </w:r>
      <w:r>
        <w:rPr>
          <w:rStyle w:val="FootnoteReference"/>
        </w:rPr>
        <w:footnoteReference w:id="453"/>
      </w:r>
      <w:r>
        <w:t xml:space="preserve">; no STEP TEENS, em 4% dos adolescentes</w:t>
      </w:r>
      <w:r>
        <w:rPr>
          <w:rStyle w:val="FootnoteReference"/>
        </w:rPr>
        <w:footnoteReference w:id="454"/>
      </w:r>
      <w:r>
        <w:t xml:space="preserve">.</w:t>
      </w:r>
    </w:p>
    <w:p>
      <w:pPr>
        <w:numPr>
          <w:ilvl w:val="0"/>
          <w:numId w:val="1055"/>
        </w:numPr>
        <w:pStyle w:val="Compact"/>
      </w:pPr>
      <w:r>
        <w:rPr>
          <w:bCs/>
          <w:b/>
        </w:rPr>
        <w:t xml:space="preserve">Piora da doença diabética da retina:</w:t>
      </w:r>
      <w:r>
        <w:t xml:space="preserve"> </w:t>
      </w:r>
      <w:r>
        <w:t xml:space="preserve">mais frequente no SUSTAIN 6 (HR 1,76)</w:t>
      </w:r>
      <w:r>
        <w:rPr>
          <w:rStyle w:val="FootnoteReference"/>
        </w:rPr>
        <w:footnoteReference w:id="455"/>
      </w:r>
      <w:r>
        <w:t xml:space="preserve">. Supõe-se que uma redução muito rápida da glicose, quando já existe retinopatia, cause dano temporário – um efeito também conhecido com a insulina. Um estudo próprio, com 1.500 participantes, sobre essa questão está em andamento</w:t>
      </w:r>
      <w:r>
        <w:rPr>
          <w:rStyle w:val="FootnoteReference"/>
        </w:rPr>
        <w:footnoteReference w:id="456"/>
      </w:r>
      <w:r>
        <w:t xml:space="preserve">. Pessoas com retinopatia devem ter acompanhamento oftalmológico.</w:t>
      </w:r>
    </w:p>
    <w:p>
      <w:pPr>
        <w:numPr>
          <w:ilvl w:val="0"/>
          <w:numId w:val="1055"/>
        </w:numPr>
        <w:pStyle w:val="Compact"/>
      </w:pPr>
      <w:r>
        <w:rPr>
          <w:bCs/>
          <w:b/>
        </w:rPr>
        <w:t xml:space="preserve">Perda de massa muscular:</w:t>
      </w:r>
      <w:r>
        <w:t xml:space="preserve"> </w:t>
      </w:r>
      <w:r>
        <w:t xml:space="preserve">em toda perda de peso acentuada perde-se também massa magra. O quanto isso é relevante com semaglutida, especialmente em pessoas idosas, ainda está sendo investigado; a Parte IV trata disso.</w:t>
      </w:r>
    </w:p>
    <w:p>
      <w:pPr>
        <w:pStyle w:val="FirstParagraph"/>
      </w:pPr>
      <w:r>
        <w:rPr>
          <w:bCs/>
          <w:b/>
        </w:rPr>
        <w:t xml:space="preserve">Dados observacionais e sinais:</w:t>
      </w:r>
    </w:p>
    <w:p>
      <w:pPr>
        <w:numPr>
          <w:ilvl w:val="0"/>
          <w:numId w:val="1056"/>
        </w:numPr>
        <w:pStyle w:val="Compact"/>
      </w:pPr>
      <w:r>
        <w:rPr>
          <w:bCs/>
          <w:b/>
        </w:rPr>
        <w:t xml:space="preserve">NAION (distúrbio de irrigação do nervo óptico):</w:t>
      </w:r>
      <w:r>
        <w:t xml:space="preserve"> </w:t>
      </w:r>
      <w:r>
        <w:t xml:space="preserve">em 2024, um estudo norte-americano de uma clínica oftalmológica relatou um risco muito aumentado de neuropatia óptica isquêmica anterior não arterítica, uma perda súbita de visão, geralmente indolor, em um olho</w:t>
      </w:r>
      <w:r>
        <w:rPr>
          <w:rStyle w:val="FootnoteReference"/>
        </w:rPr>
        <w:footnoteReference w:id="457"/>
      </w:r>
      <w:r>
        <w:t xml:space="preserve">. Nesse estudo, o hazard ratio foi de 4,28 (diabetes) e 7,64 (obesidade), porém com números de casos muito pequenos. Um estudo de registro dinamarquês-norueguês com mais de 60.000 pessoas com diabetes tipo 2 confirmou um risco relativo aumentado (HR 2,81), com risco absoluto baixo: cerca de 1,4 caso adicional por 10.000 pessoas-ano</w:t>
      </w:r>
      <w:r>
        <w:rPr>
          <w:rStyle w:val="FootnoteReference"/>
        </w:rPr>
        <w:footnoteReference w:id="458"/>
      </w:r>
      <w:r>
        <w:t xml:space="preserve">. Uma metanálise de 2026 encontrou o sinal apenas em estudos observacionais no diabetes (HR 1,85), não em estudos randomizados nem na obesidade</w:t>
      </w:r>
      <w:r>
        <w:rPr>
          <w:rStyle w:val="FootnoteReference"/>
        </w:rPr>
        <w:footnoteReference w:id="459"/>
      </w:r>
      <w:r>
        <w:t xml:space="preserve">. A Agência Europeia de Medicamentos incluiu em 2025 a NAION como efeito colateral muito raro na bula para profissionais. Quem, usando semaglutida, passar a enxergar pior de repente deve procurar ajuda médica imediatamente.</w:t>
      </w:r>
    </w:p>
    <w:p>
      <w:pPr>
        <w:numPr>
          <w:ilvl w:val="0"/>
          <w:numId w:val="1056"/>
        </w:numPr>
        <w:pStyle w:val="Compact"/>
      </w:pPr>
      <w:r>
        <w:rPr>
          <w:bCs/>
          <w:b/>
        </w:rPr>
        <w:t xml:space="preserve">Pancreatite e obstrução intestinal:</w:t>
      </w:r>
      <w:r>
        <w:t xml:space="preserve"> </w:t>
      </w:r>
      <w:r>
        <w:t xml:space="preserve">uma análise de dados de seguradoras encontrou, com agonistas do receptor de GLP-1 para perda de peso, um risco aumentado de pancreatite, obstrução intestinal e gastroparesia</w:t>
      </w:r>
      <w:r>
        <w:rPr>
          <w:rStyle w:val="FootnoteReference"/>
        </w:rPr>
        <w:footnoteReference w:id="460"/>
      </w:r>
      <w:r>
        <w:t xml:space="preserve">. Nos grandes estudos randomizados, a pancreatite foi rara. A bula para profissionais a cita como possível efeito colateral.</w:t>
      </w:r>
    </w:p>
    <w:p>
      <w:pPr>
        <w:numPr>
          <w:ilvl w:val="0"/>
          <w:numId w:val="1056"/>
        </w:numPr>
        <w:pStyle w:val="Compact"/>
      </w:pPr>
      <w:r>
        <w:rPr>
          <w:bCs/>
          <w:b/>
        </w:rPr>
        <w:t xml:space="preserve">Câncer de tireoide:</w:t>
      </w:r>
      <w:r>
        <w:t xml:space="preserve"> </w:t>
      </w:r>
      <w:r>
        <w:t xml:space="preserve">sinal em estudos observacionais e metanálises para a classe</w:t>
      </w:r>
      <w:r>
        <w:rPr>
          <w:rStyle w:val="FootnoteReference"/>
        </w:rPr>
        <w:footnoteReference w:id="461"/>
      </w:r>
      <w:r>
        <w:t xml:space="preserve">; ver o capítulo sobre a liraglutida.</w:t>
      </w:r>
    </w:p>
    <w:p>
      <w:pPr>
        <w:numPr>
          <w:ilvl w:val="0"/>
          <w:numId w:val="1056"/>
        </w:numPr>
        <w:pStyle w:val="Compact"/>
      </w:pPr>
      <w:r>
        <w:rPr>
          <w:bCs/>
          <w:b/>
        </w:rPr>
        <w:t xml:space="preserve">Efeitos colaterais psíquicos:</w:t>
      </w:r>
      <w:r>
        <w:t xml:space="preserve"> </w:t>
      </w:r>
      <w:r>
        <w:t xml:space="preserve">após notificações de pensamentos suicidas, as autoridades examinaram a questão em 2023/2024 e não encontraram evidência de relação causal. Em uma grande coorte norte-americana com 240.618 pessoas com sobrepeso, a semaglutida esteve até associada a menos pensamentos suicidas novos do que outros medicamentos para redução de peso</w:t>
      </w:r>
      <w:r>
        <w:rPr>
          <w:rStyle w:val="FootnoteReference"/>
        </w:rPr>
        <w:footnoteReference w:id="462"/>
      </w:r>
      <w:r>
        <w:t xml:space="preserve">. Dados observacionais não conseguem excluir vieses com segurança.</w:t>
      </w:r>
    </w:p>
    <w:p>
      <w:pPr>
        <w:pStyle w:val="FirstParagraph"/>
      </w:pPr>
      <w:r>
        <w:rPr>
          <w:bCs/>
          <w:b/>
        </w:rPr>
        <w:t xml:space="preserve">Observações para a prática:</w:t>
      </w:r>
      <w:r>
        <w:t xml:space="preserve"> </w:t>
      </w:r>
      <w:r>
        <w:t xml:space="preserve">a semaglutida não é indicada na gravidez; a bula para profissionais recomenda suspendê-la com antecedência antes de uma gravidez planejada. Devido ao esvaziamento gástrico retardado, pode haver em anestesias um risco maior de o conteúdo do estômago chegar aos pulmões; as pessoas tratadas devem informar isso antes de cirurgias e endoscopias digestivas. Sobre uso, aumento de dose e contraindicações, o que vale são a bula para profissionais e o acompanhamento médico.</w:t>
      </w:r>
    </w:p>
    <w:bookmarkEnd w:id="463"/>
    <w:bookmarkStart w:id="467" w:name="Xa5465430dc88522217e3a1f49569866d57ed9ba"/>
    <w:p>
      <w:pPr>
        <w:pStyle w:val="Heading3"/>
      </w:pPr>
      <w:r>
        <w:t xml:space="preserve">Mercado cinza, compounding e falsificações</w:t>
      </w:r>
    </w:p>
    <w:p>
      <w:pPr>
        <w:pStyle w:val="FirstParagraph"/>
      </w:pPr>
      <w:r>
        <w:t xml:space="preserve">Nenhum outro peptídeo deste livro é obtido com tanta frequência fora das vias regulares quanto a semaglutida. A partir de 2022, a demanda superou a oferta durante anos. Há três problemas a distinguir.</w:t>
      </w:r>
    </w:p>
    <w:p>
      <w:pPr>
        <w:pStyle w:val="BodyText"/>
      </w:pPr>
      <w:r>
        <w:rPr>
          <w:bCs/>
          <w:b/>
        </w:rPr>
        <w:t xml:space="preserve">Compounding (EUA):</w:t>
      </w:r>
      <w:r>
        <w:t xml:space="preserve"> </w:t>
      </w:r>
      <w:r>
        <w:t xml:space="preserve">durante a falta oficial de produto, farmácias norte-americanas puderam manipular semaglutida elas mesmas (</w:t>
      </w:r>
      <w:r>
        <w:t xml:space="preserve">“</w:t>
      </w:r>
      <w:r>
        <w:t xml:space="preserve">compounding</w:t>
      </w:r>
      <w:r>
        <w:t xml:space="preserve">”</w:t>
      </w:r>
      <w:r>
        <w:t xml:space="preserve">), muitas vezes como pó ou solução em frascos, às vezes com outras formas de sal da substância. Com o fim da falta, a FDA restringiu fortemente essa prática. Uma série de casos de um centro de informação toxicológica descreveu superdosagens de dez vezes, porque pacientes lidavam com seringas e frascos em vez de canetas preenchidas e confundiam mililitros, unidades e miligramas</w:t>
      </w:r>
      <w:r>
        <w:rPr>
          <w:rStyle w:val="FootnoteReference"/>
        </w:rPr>
        <w:footnoteReference w:id="464"/>
      </w:r>
      <w:r>
        <w:t xml:space="preserve">. Em uma análise da base norte-americana de notificações de efeitos colaterais, as notificações de erros de fabricação, contaminação e internações hospitalares foram desproporcionalmente frequentes para produtos manipulados</w:t>
      </w:r>
      <w:r>
        <w:rPr>
          <w:rStyle w:val="FootnoteReference"/>
        </w:rPr>
        <w:footnoteReference w:id="465"/>
      </w:r>
      <w:r>
        <w:t xml:space="preserve">.</w:t>
      </w:r>
    </w:p>
    <w:p>
      <w:pPr>
        <w:pStyle w:val="BodyText"/>
      </w:pPr>
      <w:r>
        <w:rPr>
          <w:bCs/>
          <w:b/>
        </w:rPr>
        <w:t xml:space="preserve">Lojas on-line ilegais:</w:t>
      </w:r>
      <w:r>
        <w:t xml:space="preserve"> </w:t>
      </w:r>
      <w:r>
        <w:t xml:space="preserve">em uma pesquisa de mercado, 42,3% dos links de farmácias on-line encontrados levavam a vendedores ilegais que vendiam semaglutida sem receita</w:t>
      </w:r>
      <w:r>
        <w:rPr>
          <w:rStyle w:val="FootnoteReference"/>
        </w:rPr>
        <w:footnoteReference w:id="466"/>
      </w:r>
      <w:r>
        <w:t xml:space="preserve">. Nas compras de teste, canetas de Ozempic encomendadas nem chegaram. Os frascos entregues continham semaglutida, mas a pureza era de apenas 7,7% a 14,37%, em vez dos 99% declarados, e em todas as amostras foram detectadas endotoxinas (componentes de bactérias que podem provocar febre e inflamações).</w:t>
      </w:r>
    </w:p>
    <w:p>
      <w:pPr>
        <w:pStyle w:val="BodyText"/>
      </w:pPr>
      <w:r>
        <w:rPr>
          <w:bCs/>
          <w:b/>
        </w:rPr>
        <w:t xml:space="preserve">Falsificações:</w:t>
      </w:r>
      <w:r>
        <w:t xml:space="preserve"> </w:t>
      </w:r>
      <w:r>
        <w:t xml:space="preserve">canetas de Ozempic falsificadas apareceram na Europa e nos EUA, às vezes contendo insulina ou sem substância ativa; as agências reguladoras e a Organização Mundial da Saúde emitiram vários alertas. Informações gerais sobre produtos do mercado cinza você encontra na Parte I e na Parte IV. Seguro é apenas o caminho regular: prescrição médica e dispensação na farmácia.</w:t>
      </w:r>
    </w:p>
    <w:bookmarkEnd w:id="467"/>
    <w:bookmarkStart w:id="468" w:name="situação-legal-3"/>
    <w:p>
      <w:pPr>
        <w:pStyle w:val="Heading3"/>
      </w:pPr>
      <w:r>
        <w:t xml:space="preserve">Situação legal</w:t>
      </w:r>
    </w:p>
    <w:p>
      <w:pPr>
        <w:numPr>
          <w:ilvl w:val="0"/>
          <w:numId w:val="1057"/>
        </w:numPr>
        <w:pStyle w:val="Compact"/>
      </w:pPr>
      <w:r>
        <w:rPr>
          <w:bCs/>
          <w:b/>
        </w:rPr>
        <w:t xml:space="preserve">UE:</w:t>
      </w:r>
      <w:r>
        <w:t xml:space="preserve"> </w:t>
      </w:r>
      <w:r>
        <w:t xml:space="preserve">Ozempic (2018), Rybelsus (2020) e Wegovy (2022) têm aprovação centralizada e estão sujeitos a prescrição. O Wegovy é aprovado para controle de peso em adultos e adolescentes a partir de 12 anos; a bula para profissionais contém hoje também informações sobre a redução do risco cardiovascular a partir do SELECT.</w:t>
      </w:r>
    </w:p>
    <w:p>
      <w:pPr>
        <w:numPr>
          <w:ilvl w:val="0"/>
          <w:numId w:val="1057"/>
        </w:numPr>
        <w:pStyle w:val="Compact"/>
      </w:pPr>
      <w:r>
        <w:rPr>
          <w:bCs/>
          <w:b/>
        </w:rPr>
        <w:t xml:space="preserve">Alemanha:</w:t>
      </w:r>
      <w:r>
        <w:t xml:space="preserve"> </w:t>
      </w:r>
      <w:r>
        <w:t xml:space="preserve">Ozempic e Rybelsus são reembolsados no diabetes tipo 2. O Wegovy é considerado medicamento para redução de peso e, pelo § 34 do SGB V, está em princípio excluído do reembolso pelo seguro de saúde público; uma mudança está em discussão política. A prescrição de Ozempic apenas para perder peso é uso off-label e foi expressamente criticada pelas autoridades durante a falta de produto.</w:t>
      </w:r>
    </w:p>
    <w:p>
      <w:pPr>
        <w:numPr>
          <w:ilvl w:val="0"/>
          <w:numId w:val="1057"/>
        </w:numPr>
        <w:pStyle w:val="Compact"/>
      </w:pPr>
      <w:r>
        <w:rPr>
          <w:bCs/>
          <w:b/>
        </w:rPr>
        <w:t xml:space="preserve">Áustria:</w:t>
      </w:r>
      <w:r>
        <w:t xml:space="preserve"> </w:t>
      </w:r>
      <w:r>
        <w:t xml:space="preserve">sujeita a prescrição; cobertura de custos para controle de peso apenas limitada (verificar atualização).</w:t>
      </w:r>
    </w:p>
    <w:p>
      <w:pPr>
        <w:numPr>
          <w:ilvl w:val="0"/>
          <w:numId w:val="1057"/>
        </w:numPr>
        <w:pStyle w:val="Compact"/>
      </w:pPr>
      <w:r>
        <w:rPr>
          <w:bCs/>
          <w:b/>
        </w:rPr>
        <w:t xml:space="preserve">EUA:</w:t>
      </w:r>
      <w:r>
        <w:t xml:space="preserve"> </w:t>
      </w:r>
      <w:r>
        <w:t xml:space="preserve">Ozempic, Rybelsus e Wegovy (injeção e comprimido) aprovados, com indicações ampliadas para coração, rins e MASH.</w:t>
      </w:r>
    </w:p>
    <w:p>
      <w:pPr>
        <w:numPr>
          <w:ilvl w:val="0"/>
          <w:numId w:val="1057"/>
        </w:numPr>
        <w:pStyle w:val="Compact"/>
      </w:pPr>
      <w:r>
        <w:rPr>
          <w:bCs/>
          <w:b/>
        </w:rPr>
        <w:t xml:space="preserve">Patentes e genéricos:</w:t>
      </w:r>
      <w:r>
        <w:t xml:space="preserve"> </w:t>
      </w:r>
      <w:r>
        <w:t xml:space="preserve">em vários grandes mercados fora da UE e dos EUA – entre eles Canadá, China, Índia e Brasil – a proteção de patente da semaglutida expira em 2026; as primeiras preparações genéricas foram anunciadas ou já estão no mercado nesses países. Na UE e nos EUA, os genéricos só são esperados por volta de 2031/2032. Mais sobre isso na Parte V.</w:t>
      </w:r>
    </w:p>
    <w:p>
      <w:pPr>
        <w:numPr>
          <w:ilvl w:val="0"/>
          <w:numId w:val="1057"/>
        </w:numPr>
        <w:pStyle w:val="Compact"/>
      </w:pPr>
      <w:r>
        <w:rPr>
          <w:bCs/>
          <w:b/>
        </w:rPr>
        <w:t xml:space="preserve">Esporte (WADA):</w:t>
      </w:r>
      <w:r>
        <w:t xml:space="preserve"> </w:t>
      </w:r>
      <w:r>
        <w:t xml:space="preserve">não listada (situação em 2026, verificar atualização).</w:t>
      </w:r>
    </w:p>
    <w:bookmarkEnd w:id="468"/>
    <w:bookmarkStart w:id="474" w:name="estudos-em-andamento-e-perspectivas-3"/>
    <w:p>
      <w:pPr>
        <w:pStyle w:val="Heading3"/>
      </w:pPr>
      <w:r>
        <w:t xml:space="preserve">Estudos em andamento e perspectivas</w:t>
      </w:r>
    </w:p>
    <w:p>
      <w:pPr>
        <w:pStyle w:val="FirstParagraph"/>
      </w:pPr>
      <w:r>
        <w:rPr>
          <w:bCs/>
          <w:b/>
        </w:rPr>
        <w:t xml:space="preserve">Confirmado (estudos registrados):</w:t>
      </w:r>
      <w:r>
        <w:t xml:space="preserve"> </w:t>
      </w:r>
      <w:r>
        <w:t xml:space="preserve">dos 793 registros, grande parte se refere a combinações e sucessoras. Exemplos:</w:t>
      </w:r>
    </w:p>
    <w:p>
      <w:pPr>
        <w:numPr>
          <w:ilvl w:val="0"/>
          <w:numId w:val="1058"/>
        </w:numPr>
        <w:pStyle w:val="Compact"/>
      </w:pPr>
      <w:r>
        <w:rPr>
          <w:bCs/>
          <w:b/>
        </w:rPr>
        <w:t xml:space="preserve">Olhos:</w:t>
      </w:r>
      <w:r>
        <w:t xml:space="preserve"> </w:t>
      </w:r>
      <w:r>
        <w:t xml:space="preserve">um estudo com 1.500 participantes investiga especificamente o efeito sobre a retinopatia diabética</w:t>
      </w:r>
      <w:r>
        <w:rPr>
          <w:rStyle w:val="FootnoteReference"/>
        </w:rPr>
        <w:footnoteReference w:id="469"/>
      </w:r>
      <w:r>
        <w:t xml:space="preserve">.</w:t>
      </w:r>
    </w:p>
    <w:p>
      <w:pPr>
        <w:numPr>
          <w:ilvl w:val="0"/>
          <w:numId w:val="1058"/>
        </w:numPr>
        <w:pStyle w:val="Compact"/>
      </w:pPr>
      <w:r>
        <w:rPr>
          <w:bCs/>
          <w:b/>
        </w:rPr>
        <w:t xml:space="preserve">Fígado:</w:t>
      </w:r>
      <w:r>
        <w:t xml:space="preserve"> </w:t>
      </w:r>
      <w:r>
        <w:t xml:space="preserve">a segunda parte do ESSENCE, com 1.205 participantes, deve esclarecer se a semaglutida previne cirrose hepática e complicações hepáticas</w:t>
      </w:r>
      <w:r>
        <w:rPr>
          <w:rStyle w:val="FootnoteReference"/>
        </w:rPr>
        <w:footnoteReference w:id="470"/>
      </w:r>
      <w:r>
        <w:t xml:space="preserve">.</w:t>
      </w:r>
    </w:p>
    <w:p>
      <w:pPr>
        <w:numPr>
          <w:ilvl w:val="0"/>
          <w:numId w:val="1058"/>
        </w:numPr>
        <w:pStyle w:val="Compact"/>
      </w:pPr>
      <w:r>
        <w:rPr>
          <w:bCs/>
          <w:b/>
        </w:rPr>
        <w:t xml:space="preserve">Crianças:</w:t>
      </w:r>
      <w:r>
        <w:t xml:space="preserve"> </w:t>
      </w:r>
      <w:r>
        <w:t xml:space="preserve">um estudo com 212 crianças e adolescentes está em andamento</w:t>
      </w:r>
      <w:r>
        <w:rPr>
          <w:rStyle w:val="FootnoteReference"/>
        </w:rPr>
        <w:footnoteReference w:id="471"/>
      </w:r>
      <w:r>
        <w:t xml:space="preserve">.</w:t>
      </w:r>
    </w:p>
    <w:p>
      <w:pPr>
        <w:numPr>
          <w:ilvl w:val="0"/>
          <w:numId w:val="1058"/>
        </w:numPr>
        <w:pStyle w:val="Compact"/>
      </w:pPr>
      <w:r>
        <w:rPr>
          <w:bCs/>
          <w:b/>
        </w:rPr>
        <w:t xml:space="preserve">Comprimido:</w:t>
      </w:r>
      <w:r>
        <w:t xml:space="preserve"> </w:t>
      </w:r>
      <w:r>
        <w:t xml:space="preserve">outros estudos de fase 3 com o comprimido na obesidade foram iniciados</w:t>
      </w:r>
      <w:r>
        <w:rPr>
          <w:rStyle w:val="FootnoteReference"/>
        </w:rPr>
        <w:footnoteReference w:id="472"/>
      </w:r>
      <w:r>
        <w:t xml:space="preserve">.</w:t>
      </w:r>
    </w:p>
    <w:p>
      <w:pPr>
        <w:numPr>
          <w:ilvl w:val="0"/>
          <w:numId w:val="1058"/>
        </w:numPr>
        <w:pStyle w:val="Compact"/>
      </w:pPr>
      <w:r>
        <w:rPr>
          <w:bCs/>
          <w:b/>
        </w:rPr>
        <w:t xml:space="preserve">Combinação CagriSema:</w:t>
      </w:r>
      <w:r>
        <w:t xml:space="preserve"> </w:t>
      </w:r>
      <w:r>
        <w:t xml:space="preserve">a semaglutida em combinação fixa com o análogo de amilina cagrilintida está sendo testada em um estudo cardiovascular com 7.101 participantes</w:t>
      </w:r>
      <w:r>
        <w:rPr>
          <w:rStyle w:val="FootnoteReference"/>
        </w:rPr>
        <w:footnoteReference w:id="473"/>
      </w:r>
      <w:r>
        <w:t xml:space="preserve">; detalhes no capítulo sobre a cagrilintida e o CagriSema.</w:t>
      </w:r>
    </w:p>
    <w:p>
      <w:pPr>
        <w:pStyle w:val="FirstParagraph"/>
      </w:pPr>
      <w:r>
        <w:rPr>
          <w:bCs/>
          <w:b/>
        </w:rPr>
        <w:t xml:space="preserve">Avaliação:</w:t>
      </w:r>
      <w:r>
        <w:t xml:space="preserve"> </w:t>
      </w:r>
      <w:r>
        <w:t xml:space="preserve">nos próximos anos, a semaglutida sofrerá pressão de dois lados – de sucessoras mais eficazes, como a tirzepatida, o CagriSema ou a retatrutida, e de genéricos em grandes mercados. Ao mesmo tempo, é a substância com a base de evidências mais ampla para desfechos duros (coração, rins, fígado). A forma em comprimido pode ampliar consideravelmente o acesso. Os estudos fracassados em Alzheimer mostram que nem toda esperança vinda de experimentos com animais e de dados observacionais se sustenta.</w:t>
      </w:r>
    </w:p>
    <w:bookmarkEnd w:id="474"/>
    <w:bookmarkStart w:id="475" w:name="conclusão-3"/>
    <w:p>
      <w:pPr>
        <w:pStyle w:val="Heading3"/>
      </w:pPr>
      <w:r>
        <w:t xml:space="preserve">Conclusão</w:t>
      </w:r>
    </w:p>
    <w:p>
      <w:pPr>
        <w:pStyle w:val="FirstParagraph"/>
      </w:pPr>
      <w:r>
        <w:t xml:space="preserve">A semaglutida é o agonista do receptor de GLP-1 mais amplamente estudado e superou, em comparações diretas, a exenatida, a liraglutida e a dulaglutida. Na dose de 2,4 mg por semana, pessoas com obesidade perderam no STEP 1, em média, 14,9% do peso; após a suspensão, a maior parte do peso volta. Grandes estudos de desfechos mostraram redução dos eventos cardiovasculares graves – também sem diabetes (SELECT, 20%) –, além de proteção dos rins (FLOW) e melhoras na esteato-hepatite. Efeitos colaterais frequentes afetam o trato gastrointestinal e a vesícula biliar; sinais raros, como a NAION, continuam sendo monitorados, enquanto os estudos em Alzheimer não mostraram benefício. Produtos do mercado cinza envolvem riscos consideráveis – o tratamento deve ficar nas mãos de um médico e passar pela farmácia.</w:t>
      </w:r>
    </w:p>
    <w:bookmarkEnd w:id="475"/>
    <w:bookmarkEnd w:id="476"/>
    <w:bookmarkStart w:id="536" w:name="tirzepatida"/>
    <w:p>
      <w:pPr>
        <w:pStyle w:val="Heading2"/>
      </w:pPr>
      <w:r>
        <w:t xml:space="preserve">Tirzepatida</w:t>
      </w:r>
    </w:p>
    <w:bookmarkStart w:id="477" w:name="ficha-técnica-4"/>
    <w:p>
      <w:pPr>
        <w:pStyle w:val="Heading3"/>
      </w:pPr>
      <w:r>
        <w:t xml:space="preserve">Ficha técnica</w:t>
      </w:r>
    </w:p>
    <w:p>
      <w:pPr>
        <w:numPr>
          <w:ilvl w:val="0"/>
          <w:numId w:val="1059"/>
        </w:numPr>
        <w:pStyle w:val="Compact"/>
      </w:pPr>
      <w:r>
        <w:rPr>
          <w:bCs/>
          <w:b/>
        </w:rPr>
        <w:t xml:space="preserve">Tipo/estrutura:</w:t>
      </w:r>
      <w:r>
        <w:t xml:space="preserve"> </w:t>
      </w:r>
      <w:r>
        <w:t xml:space="preserve">peptídeo sintético cuja estrutura básica foi inspirada no hormônio intestinal GIP do próprio corpo; uma cadeia de ácido graxo ligada o une à albumina no sangue e prolonga a duração de ação a ponto de bastar uma injeção por semana.</w:t>
      </w:r>
    </w:p>
    <w:p>
      <w:pPr>
        <w:numPr>
          <w:ilvl w:val="0"/>
          <w:numId w:val="1059"/>
        </w:numPr>
        <w:pStyle w:val="Compact"/>
      </w:pPr>
      <w:r>
        <w:rPr>
          <w:bCs/>
          <w:b/>
        </w:rPr>
        <w:t xml:space="preserve">Origem:</w:t>
      </w:r>
      <w:r>
        <w:t xml:space="preserve"> </w:t>
      </w:r>
      <w:r>
        <w:t xml:space="preserve">desenvolvida pela Eli Lilly, identificada nos primeiros estudos pelo código LY3298176.</w:t>
      </w:r>
    </w:p>
    <w:p>
      <w:pPr>
        <w:numPr>
          <w:ilvl w:val="0"/>
          <w:numId w:val="1059"/>
        </w:numPr>
        <w:pStyle w:val="Compact"/>
      </w:pPr>
      <w:r>
        <w:rPr>
          <w:bCs/>
          <w:b/>
        </w:rPr>
        <w:t xml:space="preserve">Mecanismo de ação:</w:t>
      </w:r>
      <w:r>
        <w:t xml:space="preserve"> </w:t>
      </w:r>
      <w:r>
        <w:t xml:space="preserve">agonista (ativador) duplo de dois receptores: o receptor de GIP e o receptor de GLP-1. Por isso também é chamada de</w:t>
      </w:r>
      <w:r>
        <w:t xml:space="preserve"> </w:t>
      </w:r>
      <w:r>
        <w:t xml:space="preserve">“</w:t>
      </w:r>
      <w:r>
        <w:t xml:space="preserve">twincretina</w:t>
      </w:r>
      <w:r>
        <w:t xml:space="preserve">”</w:t>
      </w:r>
      <w:r>
        <w:t xml:space="preserve"> </w:t>
      </w:r>
      <w:r>
        <w:t xml:space="preserve">ou</w:t>
      </w:r>
      <w:r>
        <w:t xml:space="preserve"> </w:t>
      </w:r>
      <w:r>
        <w:t xml:space="preserve">“</w:t>
      </w:r>
      <w:r>
        <w:t xml:space="preserve">agonista duplo de incretinas</w:t>
      </w:r>
      <w:r>
        <w:t xml:space="preserve">”</w:t>
      </w:r>
      <w:r>
        <w:t xml:space="preserve">.</w:t>
      </w:r>
    </w:p>
    <w:p>
      <w:pPr>
        <w:numPr>
          <w:ilvl w:val="0"/>
          <w:numId w:val="1059"/>
        </w:numPr>
        <w:pStyle w:val="Compact"/>
      </w:pPr>
      <w:r>
        <w:rPr>
          <w:bCs/>
          <w:b/>
        </w:rPr>
        <w:t xml:space="preserve">Aprovação UE:</w:t>
      </w:r>
      <w:r>
        <w:t xml:space="preserve"> </w:t>
      </w:r>
      <w:r>
        <w:t xml:space="preserve">sim (Mounjaro) para diabetes tipo 2 e para controle de peso na obesidade e no sobrepeso com comorbidades.</w:t>
      </w:r>
    </w:p>
    <w:p>
      <w:pPr>
        <w:numPr>
          <w:ilvl w:val="0"/>
          <w:numId w:val="1059"/>
        </w:numPr>
        <w:pStyle w:val="Compact"/>
      </w:pPr>
      <w:r>
        <w:rPr>
          <w:bCs/>
          <w:b/>
        </w:rPr>
        <w:t xml:space="preserve">Aprovação EUA:</w:t>
      </w:r>
      <w:r>
        <w:t xml:space="preserve"> </w:t>
      </w:r>
      <w:r>
        <w:t xml:space="preserve">sim (Mounjaro para diabetes tipo 2; Zepbound para obesidade e para apneia obstrutiva do sono moderada a grave na obesidade).</w:t>
      </w:r>
    </w:p>
    <w:p>
      <w:pPr>
        <w:numPr>
          <w:ilvl w:val="0"/>
          <w:numId w:val="1059"/>
        </w:numPr>
        <w:pStyle w:val="Compact"/>
      </w:pPr>
      <w:r>
        <w:rPr>
          <w:bCs/>
          <w:b/>
        </w:rPr>
        <w:t xml:space="preserve">WADA:</w:t>
      </w:r>
      <w:r>
        <w:t xml:space="preserve"> </w:t>
      </w:r>
      <w:r>
        <w:t xml:space="preserve">não está na lista de substâncias proibidas.</w:t>
      </w:r>
    </w:p>
    <w:p>
      <w:pPr>
        <w:numPr>
          <w:ilvl w:val="0"/>
          <w:numId w:val="1059"/>
        </w:numPr>
        <w:pStyle w:val="Compact"/>
      </w:pPr>
      <w:r>
        <w:rPr>
          <w:bCs/>
          <w:b/>
        </w:rPr>
        <w:t xml:space="preserve">Nível de evidência:</w:t>
      </w:r>
      <w:r>
        <w:t xml:space="preserve"> </w:t>
      </w:r>
      <w:r>
        <w:rPr>
          <w:bCs/>
          <w:b/>
        </w:rPr>
        <w:t xml:space="preserve">A</w:t>
      </w:r>
      <w:r>
        <w:t xml:space="preserve"> </w:t>
      </w:r>
      <w:r>
        <w:t xml:space="preserve">– numerosos grandes estudos randomizados, estudos de desfechos sobre coração e insuficiência cardíaca, aprovação em muitos países.</w:t>
      </w:r>
    </w:p>
    <w:bookmarkEnd w:id="477"/>
    <w:bookmarkStart w:id="481" w:name="como-deveria-agir-4"/>
    <w:p>
      <w:pPr>
        <w:pStyle w:val="Heading3"/>
      </w:pPr>
      <w:r>
        <w:t xml:space="preserve">Como deveria agir</w:t>
      </w:r>
    </w:p>
    <w:p>
      <w:pPr>
        <w:pStyle w:val="FirstParagraph"/>
      </w:pPr>
      <w:r>
        <w:t xml:space="preserve">Depois de uma refeição, o intestino libera dois hormônios chamados incretinas: GLP-1 (glucagon-like peptide-1) e GIP (polipeptídeo insulinotrópico dependente de glicose). Ambos avisam o pâncreas de que</w:t>
      </w:r>
      <w:r>
        <w:t xml:space="preserve"> </w:t>
      </w:r>
      <w:r>
        <w:t xml:space="preserve">“</w:t>
      </w:r>
      <w:r>
        <w:t xml:space="preserve">vem comida</w:t>
      </w:r>
      <w:r>
        <w:t xml:space="preserve">”</w:t>
      </w:r>
      <w:r>
        <w:t xml:space="preserve"> </w:t>
      </w:r>
      <w:r>
        <w:t xml:space="preserve">e aumentam a liberação de insulina – mas apenas enquanto a glicose estiver elevada. É por isso que os medicamentos à base de incretinas, sozinhos, raramente provocam hipoglicemias. O GLP-1, além disso, freia o esvaziamento do estômago e age no cérebro sobre os centros de saciedade. O papel do GIP no apetite é menos claro e foi por muito tempo controverso; em alguns trabalhos mais antigos, o GIP chegou a ser considerado um</w:t>
      </w:r>
      <w:r>
        <w:t xml:space="preserve"> </w:t>
      </w:r>
      <w:r>
        <w:t xml:space="preserve">“</w:t>
      </w:r>
      <w:r>
        <w:t xml:space="preserve">hormônio que engorda</w:t>
      </w:r>
      <w:r>
        <w:t xml:space="preserve">”</w:t>
      </w:r>
      <w:r>
        <w:t xml:space="preserve">.</w:t>
      </w:r>
    </w:p>
    <w:p>
      <w:pPr>
        <w:pStyle w:val="BodyText"/>
      </w:pPr>
      <w:r>
        <w:t xml:space="preserve">A tirzepatida combina os dois sinais em uma única molécula. Análises de laboratório em linhagens celulares mostraram duas particularidades</w:t>
      </w:r>
      <w:r>
        <w:rPr>
          <w:rStyle w:val="FootnoteReference"/>
        </w:rPr>
        <w:footnoteReference w:id="478"/>
      </w:r>
      <w:r>
        <w:t xml:space="preserve">: primeiro, a tirzepatida é</w:t>
      </w:r>
      <w:r>
        <w:t xml:space="preserve"> </w:t>
      </w:r>
      <w:r>
        <w:t xml:space="preserve">“</w:t>
      </w:r>
      <w:r>
        <w:t xml:space="preserve">desequilibrada</w:t>
      </w:r>
      <w:r>
        <w:t xml:space="preserve">”</w:t>
      </w:r>
      <w:r>
        <w:t xml:space="preserve"> </w:t>
      </w:r>
      <w:r>
        <w:t xml:space="preserve">– nas concentrações alcançadas com as doses de tratamento, ela ocupa mais o receptor de GIP do que o receptor de GLP-1. Segundo, no receptor de GLP-1, ela ativa preferencialmente uma determinada via de sinalização (cAMP) e provoca menos a internalização do receptor, processo em que o receptor é puxado para o interior da célula e, assim, temporariamente desligado. Se essa sinalização</w:t>
      </w:r>
      <w:r>
        <w:t xml:space="preserve"> </w:t>
      </w:r>
      <w:r>
        <w:t xml:space="preserve">“</w:t>
      </w:r>
      <w:r>
        <w:t xml:space="preserve">enviesada</w:t>
      </w:r>
      <w:r>
        <w:t xml:space="preserve">”</w:t>
      </w:r>
      <w:r>
        <w:t xml:space="preserve"> </w:t>
      </w:r>
      <w:r>
        <w:t xml:space="preserve">tem papel em seres humanos é uma hipótese baseada em dados de laboratório.</w:t>
      </w:r>
    </w:p>
    <w:p>
      <w:pPr>
        <w:pStyle w:val="BodyText"/>
      </w:pPr>
      <w:r>
        <w:t xml:space="preserve">Em camundongos com sobrepeso, a tirzepatida melhorou a sensibilidade à insulina mais do que um agonista puro de GLP-1, e em parte independentemente da perda de peso – por meio do receptor de GIP e de uma melhor captação de glicose no tecido adiposo</w:t>
      </w:r>
      <w:r>
        <w:rPr>
          <w:rStyle w:val="FootnoteReference"/>
        </w:rPr>
        <w:footnoteReference w:id="479"/>
      </w:r>
      <w:r>
        <w:t xml:space="preserve">. Em seres humanos, com tirzepatida cai sobretudo a ingestão de alimentos; em um estudo com 117 pessoas com diabetes tipo 2, o apetite, a ingestão de energia e a massa gorda diminuíram com tirzepatida em relação ao placebo. No apetite, porém, ela não se diferenciou de forma mensurável da semaglutida, embora a perda de peso tenha sido maior – por isso os autores consideram possíveis outros mecanismos</w:t>
      </w:r>
      <w:r>
        <w:rPr>
          <w:rStyle w:val="FootnoteReference"/>
        </w:rPr>
        <w:footnoteReference w:id="480"/>
      </w:r>
      <w:r>
        <w:t xml:space="preserve">.</w:t>
      </w:r>
    </w:p>
    <w:p>
      <w:pPr>
        <w:pStyle w:val="BodyText"/>
      </w:pPr>
      <w:r>
        <w:t xml:space="preserve">Em termos simples: a tirzepatida age como um medicamento GLP-1 com um</w:t>
      </w:r>
      <w:r>
        <w:t xml:space="preserve"> </w:t>
      </w:r>
      <w:r>
        <w:t xml:space="preserve">“</w:t>
      </w:r>
      <w:r>
        <w:t xml:space="preserve">amplificador</w:t>
      </w:r>
      <w:r>
        <w:t xml:space="preserve">”</w:t>
      </w:r>
      <w:r>
        <w:t xml:space="preserve"> </w:t>
      </w:r>
      <w:r>
        <w:t xml:space="preserve">adicional de GIP. Os estudos mostram que esse pacote produz mais efeito no peso e na glicose do que os agonistas puros de GLP-1 disponíveis até então – por que exatamente ainda não está totalmente compreendido.</w:t>
      </w:r>
    </w:p>
    <w:bookmarkEnd w:id="481"/>
    <w:bookmarkStart w:id="514" w:name="estudos-em-humanos-4"/>
    <w:p>
      <w:pPr>
        <w:pStyle w:val="Heading3"/>
      </w:pPr>
      <w:r>
        <w:t xml:space="preserve">Estudos em humanos</w:t>
      </w:r>
    </w:p>
    <w:p>
      <w:pPr>
        <w:pStyle w:val="FirstParagraph"/>
      </w:pPr>
      <w:r>
        <w:rPr>
          <w:bCs/>
          <w:b/>
        </w:rPr>
        <w:t xml:space="preserve">Dimensão dos estudos:</w:t>
      </w:r>
      <w:r>
        <w:t xml:space="preserve"> </w:t>
      </w:r>
      <w:r>
        <w:t xml:space="preserve">a busca automatizada no PubMed (outubro de 2026) resultou em 144 publicações classificadas como estudos em humanos com</w:t>
      </w:r>
      <w:r>
        <w:t xml:space="preserve"> </w:t>
      </w:r>
      <w:r>
        <w:t xml:space="preserve">“</w:t>
      </w:r>
      <w:r>
        <w:t xml:space="preserve">tirzepatide</w:t>
      </w:r>
      <w:r>
        <w:t xml:space="preserve">”</w:t>
      </w:r>
      <w:r>
        <w:t xml:space="preserve"> </w:t>
      </w:r>
      <w:r>
        <w:t xml:space="preserve">no título ou no resumo, além de muitíssimos artigos de revisão e metanálises. No ClinicalTrials.gov havia 307 estudos registrados, dos quais mais de 100 ainda em fase de recrutamento (um registro de exemplo claramente fictício, de um patrocinador desconhecido, não foi contado). A tirzepatida está, assim, entre as substâncias mais bem estudadas deste livro. O peso principal está em dois programas de aprovação:</w:t>
      </w:r>
      <w:r>
        <w:t xml:space="preserve"> </w:t>
      </w:r>
      <w:r>
        <w:rPr>
          <w:bCs/>
          <w:b/>
        </w:rPr>
        <w:t xml:space="preserve">SURPASS</w:t>
      </w:r>
      <w:r>
        <w:t xml:space="preserve"> </w:t>
      </w:r>
      <w:r>
        <w:t xml:space="preserve">(diabetes tipo 2) e</w:t>
      </w:r>
      <w:r>
        <w:t xml:space="preserve"> </w:t>
      </w:r>
      <w:r>
        <w:rPr>
          <w:bCs/>
          <w:b/>
        </w:rPr>
        <w:t xml:space="preserve">SURMOUNT</w:t>
      </w:r>
      <w:r>
        <w:t xml:space="preserve"> </w:t>
      </w:r>
      <w:r>
        <w:t xml:space="preserve">(obesidade), complementados por estudos sobre insuficiência cardíaca, apneia do sono e doença hepática gordurosa.</w:t>
      </w:r>
    </w:p>
    <w:bookmarkStart w:id="484" w:name="do-laboratório-à-clínica-fases-1-e-2"/>
    <w:p>
      <w:pPr>
        <w:pStyle w:val="Heading4"/>
      </w:pPr>
      <w:r>
        <w:t xml:space="preserve">Do laboratório à clínica: fases 1 e 2</w:t>
      </w:r>
    </w:p>
    <w:p>
      <w:pPr>
        <w:pStyle w:val="FirstParagraph"/>
      </w:pPr>
      <w:r>
        <w:t xml:space="preserve">Os primeiros dados em humanos vêm de um estudo combinado de fase 1 com 142 pessoas, que receberam tirzepatida, dulaglutida ou placebo. Em pessoas com diabetes tipo 2, doses mais altas reduziram claramente a glicose de jejum após quatro semanas; os efeitos colaterais mais comuns afetaram o trato gastrointestinal</w:t>
      </w:r>
      <w:r>
        <w:rPr>
          <w:rStyle w:val="FootnoteReference"/>
        </w:rPr>
        <w:footnoteReference w:id="482"/>
      </w:r>
      <w:r>
        <w:t xml:space="preserve">.</w:t>
      </w:r>
    </w:p>
    <w:p>
      <w:pPr>
        <w:pStyle w:val="BodyText"/>
      </w:pPr>
      <w:r>
        <w:t xml:space="preserve">No estudo de fase 2, 318 pessoas com diabetes tipo 2 receberam durante 26 semanas uma de quatro doses de tirzepatida, dulaglutida ou placebo. A HbA1c, valor de longo prazo da glicose, caiu de modo dependente da dose em até 1,94 ponto percentual (dulaglutida: −1,21; placebo: −0,06). O peso corporal variou com tirzepatida de −0,9 a −11,3 kg e com dulaglutida −2,7 kg</w:t>
      </w:r>
      <w:r>
        <w:rPr>
          <w:rStyle w:val="FootnoteReference"/>
        </w:rPr>
        <w:footnoteReference w:id="483"/>
      </w:r>
      <w:r>
        <w:t xml:space="preserve">. Essa ordem de grandeza da perda de peso – em um estudo de diabetes – foi o motivo do grande programa de obesidade.</w:t>
      </w:r>
    </w:p>
    <w:bookmarkEnd w:id="484"/>
    <w:bookmarkStart w:id="490" w:name="surpass-diabetes-tipo-2"/>
    <w:p>
      <w:pPr>
        <w:pStyle w:val="Heading4"/>
      </w:pPr>
      <w:r>
        <w:t xml:space="preserve">SURPASS: diabetes tipo 2</w:t>
      </w:r>
    </w:p>
    <w:p>
      <w:pPr>
        <w:pStyle w:val="FirstParagraph"/>
      </w:pPr>
      <w:r>
        <w:t xml:space="preserve">O programa SURPASS testou a tirzepatida em três doses (5, 10 e 15 mg por semana) contra placebo, contra semaglutida e contra insulinas. A HbA1c reflete a glicose média dos últimos dois a três meses; um valor abaixo de 7% é considerado meta terapêutica para muitas pessoas com 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SURPASS-1 (Rosenstock 2021), PMID 34186022</w:t>
            </w:r>
          </w:p>
        </w:tc>
        <w:tc>
          <w:tcPr/>
          <w:p>
            <w:pPr>
              <w:pStyle w:val="Compact"/>
              <w:jc w:val="left"/>
            </w:pPr>
            <w:r>
              <w:t xml:space="preserve">478 adultos, apenas dieta/atividade física, contra placebo</w:t>
            </w:r>
          </w:p>
        </w:tc>
        <w:tc>
          <w:tcPr/>
          <w:p>
            <w:pPr>
              <w:pStyle w:val="Compact"/>
              <w:jc w:val="left"/>
            </w:pPr>
            <w:r>
              <w:t xml:space="preserve">40 semanas</w:t>
            </w:r>
          </w:p>
        </w:tc>
        <w:tc>
          <w:tcPr/>
          <w:p>
            <w:pPr>
              <w:pStyle w:val="Compact"/>
              <w:jc w:val="left"/>
            </w:pPr>
            <w:r>
              <w:t xml:space="preserve">HbA1c −1,87 a −2,07 ponto vs. +0,04; peso −7,0 a −9,5 kg</w:t>
            </w:r>
          </w:p>
        </w:tc>
      </w:tr>
      <w:tr>
        <w:tc>
          <w:tcPr/>
          <w:p>
            <w:pPr>
              <w:pStyle w:val="Compact"/>
              <w:jc w:val="left"/>
            </w:pPr>
            <w:r>
              <w:t xml:space="preserve">SURPASS-2 (Frías 2021), PMID 34170647</w:t>
            </w:r>
          </w:p>
        </w:tc>
        <w:tc>
          <w:tcPr/>
          <w:p>
            <w:pPr>
              <w:pStyle w:val="Compact"/>
              <w:jc w:val="left"/>
            </w:pPr>
            <w:r>
              <w:t xml:space="preserve">1.879 adultos em uso de metformina, aberto contra semaglutida 1 mg</w:t>
            </w:r>
          </w:p>
        </w:tc>
        <w:tc>
          <w:tcPr/>
          <w:p>
            <w:pPr>
              <w:pStyle w:val="Compact"/>
              <w:jc w:val="left"/>
            </w:pPr>
            <w:r>
              <w:t xml:space="preserve">40 semanas</w:t>
            </w:r>
          </w:p>
        </w:tc>
        <w:tc>
          <w:tcPr/>
          <w:p>
            <w:pPr>
              <w:pStyle w:val="Compact"/>
              <w:jc w:val="left"/>
            </w:pPr>
            <w:r>
              <w:t xml:space="preserve">HbA1c −2,01 a −2,30 vs. −1,86; peso adicional de −1,9 a −5,5 kg</w:t>
            </w:r>
          </w:p>
        </w:tc>
      </w:tr>
      <w:tr>
        <w:tc>
          <w:tcPr/>
          <w:p>
            <w:pPr>
              <w:pStyle w:val="Compact"/>
              <w:jc w:val="left"/>
            </w:pPr>
            <w:r>
              <w:t xml:space="preserve">SURPASS-3 (Ludvik 2021), PMID 34370970</w:t>
            </w:r>
          </w:p>
        </w:tc>
        <w:tc>
          <w:tcPr/>
          <w:p>
            <w:pPr>
              <w:pStyle w:val="Compact"/>
              <w:jc w:val="left"/>
            </w:pPr>
            <w:r>
              <w:t xml:space="preserve">1.444 adultos, aberto contra insulina degludeca</w:t>
            </w:r>
          </w:p>
        </w:tc>
        <w:tc>
          <w:tcPr/>
          <w:p>
            <w:pPr>
              <w:pStyle w:val="Compact"/>
              <w:jc w:val="left"/>
            </w:pPr>
            <w:r>
              <w:t xml:space="preserve">52 semanas</w:t>
            </w:r>
          </w:p>
        </w:tc>
        <w:tc>
          <w:tcPr/>
          <w:p>
            <w:pPr>
              <w:pStyle w:val="Compact"/>
              <w:jc w:val="left"/>
            </w:pPr>
            <w:r>
              <w:t xml:space="preserve">HbA1c −1,93 a −2,37 vs. −1,34; peso −7,5 a −12,9 kg vs. +2,3 kg</w:t>
            </w:r>
          </w:p>
        </w:tc>
      </w:tr>
      <w:tr>
        <w:tc>
          <w:tcPr/>
          <w:p>
            <w:pPr>
              <w:pStyle w:val="Compact"/>
              <w:jc w:val="left"/>
            </w:pPr>
            <w:r>
              <w:t xml:space="preserve">SURPASS-4 (Del Prato 2021), PMID 34672967</w:t>
            </w:r>
          </w:p>
        </w:tc>
        <w:tc>
          <w:tcPr/>
          <w:p>
            <w:pPr>
              <w:pStyle w:val="Compact"/>
              <w:jc w:val="left"/>
            </w:pPr>
            <w:r>
              <w:t xml:space="preserve">2.002 adultos com alto risco cardiovascular, aberto contra insulina glargina</w:t>
            </w:r>
          </w:p>
        </w:tc>
        <w:tc>
          <w:tcPr/>
          <w:p>
            <w:pPr>
              <w:pStyle w:val="Compact"/>
              <w:jc w:val="left"/>
            </w:pPr>
            <w:r>
              <w:t xml:space="preserve">52 a 104 semanas</w:t>
            </w:r>
          </w:p>
        </w:tc>
        <w:tc>
          <w:tcPr/>
          <w:p>
            <w:pPr>
              <w:pStyle w:val="Compact"/>
              <w:jc w:val="left"/>
            </w:pPr>
            <w:r>
              <w:t xml:space="preserve">HbA1c −2,43/−2,58 vs. −1,44; MACE-4 não aumentado (HR 0,74)</w:t>
            </w:r>
          </w:p>
        </w:tc>
      </w:tr>
      <w:tr>
        <w:tc>
          <w:tcPr/>
          <w:p>
            <w:pPr>
              <w:pStyle w:val="Compact"/>
              <w:jc w:val="left"/>
            </w:pPr>
            <w:r>
              <w:t xml:space="preserve">SURPASS-5 (Dahl 2022), PMID 35133415</w:t>
            </w:r>
          </w:p>
        </w:tc>
        <w:tc>
          <w:tcPr/>
          <w:p>
            <w:pPr>
              <w:pStyle w:val="Compact"/>
              <w:jc w:val="left"/>
            </w:pPr>
            <w:r>
              <w:t xml:space="preserve">475 adultos em uso de insulina glargina, contra placebo</w:t>
            </w:r>
          </w:p>
        </w:tc>
        <w:tc>
          <w:tcPr/>
          <w:p>
            <w:pPr>
              <w:pStyle w:val="Compact"/>
              <w:jc w:val="left"/>
            </w:pPr>
            <w:r>
              <w:t xml:space="preserve">40 semanas</w:t>
            </w:r>
          </w:p>
        </w:tc>
        <w:tc>
          <w:tcPr/>
          <w:p>
            <w:pPr>
              <w:pStyle w:val="Compact"/>
              <w:jc w:val="left"/>
            </w:pPr>
            <w:r>
              <w:t xml:space="preserve">HbA1c −2,11 a −2,40 vs. −0,86; peso −5,4 a −8,8 kg vs. +1,6 kg</w:t>
            </w:r>
          </w:p>
        </w:tc>
      </w:tr>
      <w:tr>
        <w:tc>
          <w:tcPr/>
          <w:p>
            <w:pPr>
              <w:pStyle w:val="Compact"/>
              <w:jc w:val="left"/>
            </w:pPr>
            <w:r>
              <w:t xml:space="preserve">SURPASS-PEDS (Hannon 2025), PMID 40975112</w:t>
            </w:r>
          </w:p>
        </w:tc>
        <w:tc>
          <w:tcPr/>
          <w:p>
            <w:pPr>
              <w:pStyle w:val="Compact"/>
              <w:jc w:val="left"/>
            </w:pPr>
            <w:r>
              <w:t xml:space="preserve">99 adolescentes (10–17 anos) com diabetes tipo 2, contra placebo</w:t>
            </w:r>
          </w:p>
        </w:tc>
        <w:tc>
          <w:tcPr/>
          <w:p>
            <w:pPr>
              <w:pStyle w:val="Compact"/>
              <w:jc w:val="left"/>
            </w:pPr>
            <w:r>
              <w:t xml:space="preserve">30 semanas (+22 abertas)</w:t>
            </w:r>
          </w:p>
        </w:tc>
        <w:tc>
          <w:tcPr/>
          <w:p>
            <w:pPr>
              <w:pStyle w:val="Compact"/>
              <w:jc w:val="left"/>
            </w:pPr>
            <w:r>
              <w:t xml:space="preserve">HbA1c −2,23 vs. +0,05; IMC −7,4 a −11,2%</w:t>
            </w:r>
          </w:p>
        </w:tc>
      </w:tr>
    </w:tbl>
    <w:p>
      <w:pPr>
        <w:pStyle w:val="BodyText"/>
      </w:pPr>
      <w:r>
        <w:t xml:space="preserve">Alguns pontos merecem destaque:</w:t>
      </w:r>
    </w:p>
    <w:p>
      <w:pPr>
        <w:numPr>
          <w:ilvl w:val="0"/>
          <w:numId w:val="1060"/>
        </w:numPr>
        <w:pStyle w:val="Compact"/>
      </w:pPr>
      <w:r>
        <w:rPr>
          <w:bCs/>
          <w:b/>
        </w:rPr>
        <w:t xml:space="preserve">Na comparação direta com a semaglutida</w:t>
      </w:r>
      <w:r>
        <w:t xml:space="preserve"> </w:t>
      </w:r>
      <w:r>
        <w:t xml:space="preserve">(SURPASS-2), a tirzepatida, nas três doses, foi não inferior e superior na HbA1c. O estudo, porém, usou a semaglutida na dose de 1 mg; a dose mais alta para diabetes, aprovada depois, não foi o comparador. A frequência de náuseas (17–22% vs. 18%) e vômitos (6–10% vs. 8%) foi semelhante; eventos adversos graves ocorreram com tirzepatida em 5–7%, contra 3% com semaglutida</w:t>
      </w:r>
      <w:r>
        <w:rPr>
          <w:rStyle w:val="FootnoteReference"/>
        </w:rPr>
        <w:footnoteReference w:id="485"/>
      </w:r>
      <w:r>
        <w:t xml:space="preserve">.</w:t>
      </w:r>
    </w:p>
    <w:p>
      <w:pPr>
        <w:numPr>
          <w:ilvl w:val="0"/>
          <w:numId w:val="1060"/>
        </w:numPr>
        <w:pStyle w:val="Compact"/>
      </w:pPr>
      <w:r>
        <w:rPr>
          <w:bCs/>
          <w:b/>
        </w:rPr>
        <w:t xml:space="preserve">Em comparação com a insulina</w:t>
      </w:r>
      <w:r>
        <w:t xml:space="preserve">, a tirzepatida levou a maior redução da glicose e, ao mesmo tempo, a perda de peso em vez de ganho. As hipoglicemias (abaixo de 54 mg/dl ou graves) foram muito mais raras no SURPASS-3: 1–2% contra 7% com insulina degludeca</w:t>
      </w:r>
      <w:r>
        <w:rPr>
          <w:rStyle w:val="FootnoteReference"/>
        </w:rPr>
        <w:footnoteReference w:id="486"/>
      </w:r>
      <w:r>
        <w:t xml:space="preserve">.</w:t>
      </w:r>
    </w:p>
    <w:p>
      <w:pPr>
        <w:numPr>
          <w:ilvl w:val="0"/>
          <w:numId w:val="1060"/>
        </w:numPr>
        <w:pStyle w:val="Compact"/>
      </w:pPr>
      <w:r>
        <w:rPr>
          <w:bCs/>
          <w:b/>
        </w:rPr>
        <w:t xml:space="preserve">Crianças e adolescentes:</w:t>
      </w:r>
      <w:r>
        <w:t xml:space="preserve"> </w:t>
      </w:r>
      <w:r>
        <w:t xml:space="preserve">o SURPASS-PEDS é um dos poucos estudos com incretinas no diabetes tipo 2 juvenil. O efeito se manteve na extensão aberta até a semana 52; o perfil de efeitos colaterais correspondeu ao dos adultos</w:t>
      </w:r>
      <w:r>
        <w:rPr>
          <w:rStyle w:val="FootnoteReference"/>
        </w:rPr>
        <w:footnoteReference w:id="487"/>
      </w:r>
      <w:r>
        <w:t xml:space="preserve">.</w:t>
      </w:r>
    </w:p>
    <w:p>
      <w:pPr>
        <w:numPr>
          <w:ilvl w:val="0"/>
          <w:numId w:val="1060"/>
        </w:numPr>
        <w:pStyle w:val="Compact"/>
      </w:pPr>
      <w:r>
        <w:rPr>
          <w:bCs/>
          <w:b/>
        </w:rPr>
        <w:t xml:space="preserve">Diabetes tipo 1:</w:t>
      </w:r>
      <w:r>
        <w:t xml:space="preserve"> </w:t>
      </w:r>
      <w:r>
        <w:t xml:space="preserve">um pequeno estudo de fase 2 com 24 adultos com diabetes tipo 1 e obesidade mostrou após doze semanas uma perda de peso de 10,3 kg contra 0,7 kg com placebo e uma necessidade de insulina 35% menor</w:t>
      </w:r>
      <w:r>
        <w:rPr>
          <w:rStyle w:val="FootnoteReference"/>
        </w:rPr>
        <w:footnoteReference w:id="488"/>
      </w:r>
      <w:r>
        <w:t xml:space="preserve">. A tirzepatida não é aprovada para diabetes tipo 1; estudos maiores estão em andamento (ver perspectivas).</w:t>
      </w:r>
    </w:p>
    <w:p>
      <w:pPr>
        <w:pStyle w:val="FirstParagraph"/>
      </w:pPr>
      <w:r>
        <w:t xml:space="preserve">Uma metanálise pré-planejada de todos os sete estudos SURPASS com pelo menos 26 semanas de duração (4.887 pessoas com tirzepatida, 2.328 nos grupos controle) não encontrou aumento do risco de eventos cardiovasculares graves (MACE-4, hazard ratio 0,80; intervalo de confiança de 95% 0,57–1,11)</w:t>
      </w:r>
      <w:r>
        <w:rPr>
          <w:rStyle w:val="FootnoteReference"/>
        </w:rPr>
        <w:footnoteReference w:id="489"/>
      </w:r>
      <w:r>
        <w:t xml:space="preserve">. Trata-se de uma afirmação de segurança, não de benefício – para isso foi necessário o estudo de desfechos SURPASS-CVOT.</w:t>
      </w:r>
    </w:p>
    <w:bookmarkEnd w:id="490"/>
    <w:bookmarkStart w:id="494" w:name="surpass-cvot-desfechos-cardiovasculares"/>
    <w:p>
      <w:pPr>
        <w:pStyle w:val="Heading4"/>
      </w:pPr>
      <w:r>
        <w:t xml:space="preserve">SURPASS-CVOT: desfechos cardiovasculares</w:t>
      </w:r>
    </w:p>
    <w:p>
      <w:pPr>
        <w:pStyle w:val="FirstParagraph"/>
      </w:pPr>
      <w:r>
        <w:t xml:space="preserve">No caso dos medicamentos para diabetes, as autoridades exigem a comprovação de que não colocam o coração em risco. O SURPASS-CVOT foi um passo além: em vez de enfrentar o placebo, a tirzepatida enfrentou a dulaglutida, um medicamento GLP-1 que no estudo REWIND havia ele próprio reduzido eventos cardiovasculares. Foram randomizadas 13.299 pessoas com diabetes tipo 2 e doença aterosclerótica estabelecida; foram analisadas 13.165</w:t>
      </w:r>
      <w:r>
        <w:rPr>
          <w:rStyle w:val="FootnoteReference"/>
        </w:rPr>
        <w:footnoteReference w:id="491"/>
      </w:r>
      <w:r>
        <w:t xml:space="preserve">.</w:t>
      </w:r>
    </w:p>
    <w:p>
      <w:pPr>
        <w:pStyle w:val="BodyText"/>
      </w:pPr>
      <w:r>
        <w:t xml:space="preserve">O desfecho principal – morte cardiovascular, infarto ou AVC – ocorreu em 801 pessoas (12,2%) com tirzepatida e em 862 (13,1%) com dulaglutida (hazard ratio 0,92; IC de 95,3% 0,83–1,01). A tirzepatida foi, portanto,</w:t>
      </w:r>
      <w:r>
        <w:t xml:space="preserve"> </w:t>
      </w:r>
      <w:r>
        <w:rPr>
          <w:bCs/>
          <w:b/>
        </w:rPr>
        <w:t xml:space="preserve">não inferior</w:t>
      </w:r>
      <w:r>
        <w:t xml:space="preserve">; a superioridade formal não foi alcançada por pouco (p = 0,09). Efeitos colaterais gastrointestinais foram mais frequentes com tirzepatida.</w:t>
      </w:r>
    </w:p>
    <w:p>
      <w:pPr>
        <w:pStyle w:val="BodyText"/>
      </w:pPr>
      <w:r>
        <w:t xml:space="preserve">Uma análise posterior (post hoc) com um desfecho mais amplo de seis componentes – morte por qualquer causa, infarto, AVC, revascularização, internação por insuficiência cardíaca e eventos renais – encontrou, após uma duração mediana de tratamento de quase quatro anos, eventos em 23,7% contra 27,4% (hazard ratio 0,84; IC de 95% 0,79–0,90)</w:t>
      </w:r>
      <w:r>
        <w:rPr>
          <w:rStyle w:val="FootnoteReference"/>
        </w:rPr>
        <w:footnoteReference w:id="492"/>
      </w:r>
      <w:r>
        <w:t xml:space="preserve">. Análises post hoc servem para gerar hipóteses; elas não podem substituir uma análise principal definida previamente.</w:t>
      </w:r>
    </w:p>
    <w:p>
      <w:pPr>
        <w:pStyle w:val="BodyText"/>
      </w:pPr>
      <w:r>
        <w:t xml:space="preserve">Qual seria o tamanho do benefício em comparação com</w:t>
      </w:r>
      <w:r>
        <w:t xml:space="preserve"> </w:t>
      </w:r>
      <w:r>
        <w:rPr>
          <w:iCs/>
          <w:i/>
        </w:rPr>
        <w:t xml:space="preserve">nenhum</w:t>
      </w:r>
      <w:r>
        <w:t xml:space="preserve"> </w:t>
      </w:r>
      <w:r>
        <w:t xml:space="preserve">tratamento não pode ser lido diretamente de uma comparação contra um medicamento eficaz. Uma análise pré-planejada, mas indireta, calculou um</w:t>
      </w:r>
      <w:r>
        <w:t xml:space="preserve"> </w:t>
      </w:r>
      <w:r>
        <w:t xml:space="preserve">“</w:t>
      </w:r>
      <w:r>
        <w:t xml:space="preserve">braço placebo</w:t>
      </w:r>
      <w:r>
        <w:t xml:space="preserve">”</w:t>
      </w:r>
      <w:r>
        <w:t xml:space="preserve"> </w:t>
      </w:r>
      <w:r>
        <w:t xml:space="preserve">a partir dos dados do estudo REWIND e chegou, para a tirzepatida em relação a esse placebo calculado, a um hazard ratio de 0,72 (IC de 95% 0,55–0,94) para morte cardiovascular, infarto ou AVC</w:t>
      </w:r>
      <w:r>
        <w:rPr>
          <w:rStyle w:val="FootnoteReference"/>
        </w:rPr>
        <w:footnoteReference w:id="493"/>
      </w:r>
      <w:r>
        <w:t xml:space="preserve">. Cálculos de modelagem como esse se baseiam em suposições e não substituem uma comparação real com placebo.</w:t>
      </w:r>
    </w:p>
    <w:bookmarkEnd w:id="494"/>
    <w:bookmarkStart w:id="500" w:name="surmount-obesidade"/>
    <w:p>
      <w:pPr>
        <w:pStyle w:val="Heading4"/>
      </w:pPr>
      <w:r>
        <w:t xml:space="preserve">SURMOUNT: obesidade</w:t>
      </w:r>
    </w:p>
    <w:p>
      <w:pPr>
        <w:pStyle w:val="FirstParagraph"/>
      </w:pPr>
      <w:r>
        <w:t xml:space="preserve">No programa de obesidade, a tirzepatida foi estudada em pessoas com índice de massa corporal (IMC) a partir de 30, ou a partir de 27 mais uma comorbidade, sempre em acréscimo a orientação sobre alimentação e atividade física.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SURMOUNT-1 (Jastreboff 2022), PMID 35658024</w:t>
            </w:r>
          </w:p>
        </w:tc>
        <w:tc>
          <w:tcPr/>
          <w:p>
            <w:pPr>
              <w:pStyle w:val="Compact"/>
              <w:jc w:val="left"/>
            </w:pPr>
            <w:r>
              <w:t xml:space="preserve">2.539 adultos sem diabetes, contra placebo</w:t>
            </w:r>
          </w:p>
        </w:tc>
        <w:tc>
          <w:tcPr/>
          <w:p>
            <w:pPr>
              <w:pStyle w:val="Compact"/>
              <w:jc w:val="left"/>
            </w:pPr>
            <w:r>
              <w:t xml:space="preserve">72 semanas</w:t>
            </w:r>
          </w:p>
        </w:tc>
        <w:tc>
          <w:tcPr/>
          <w:p>
            <w:pPr>
              <w:pStyle w:val="Compact"/>
              <w:jc w:val="left"/>
            </w:pPr>
            <w:r>
              <w:t xml:space="preserve">−15,0 / −19,5 / −20,9% do peso (5/10/15 mg) vs. −3,1%</w:t>
            </w:r>
          </w:p>
        </w:tc>
      </w:tr>
      <w:tr>
        <w:tc>
          <w:tcPr/>
          <w:p>
            <w:pPr>
              <w:pStyle w:val="Compact"/>
              <w:jc w:val="left"/>
            </w:pPr>
            <w:r>
              <w:t xml:space="preserve">SURMOUNT-2 (Garvey 2023), PMID 37385275</w:t>
            </w:r>
          </w:p>
        </w:tc>
        <w:tc>
          <w:tcPr/>
          <w:p>
            <w:pPr>
              <w:pStyle w:val="Compact"/>
              <w:jc w:val="left"/>
            </w:pPr>
            <w:r>
              <w:t xml:space="preserve">938 adultos com diabetes tipo 2, contra placebo</w:t>
            </w:r>
          </w:p>
        </w:tc>
        <w:tc>
          <w:tcPr/>
          <w:p>
            <w:pPr>
              <w:pStyle w:val="Compact"/>
              <w:jc w:val="left"/>
            </w:pPr>
            <w:r>
              <w:t xml:space="preserve">72 semanas</w:t>
            </w:r>
          </w:p>
        </w:tc>
        <w:tc>
          <w:tcPr/>
          <w:p>
            <w:pPr>
              <w:pStyle w:val="Compact"/>
              <w:jc w:val="left"/>
            </w:pPr>
            <w:r>
              <w:t xml:space="preserve">−12,8 / −14,7% vs. −3,2%</w:t>
            </w:r>
          </w:p>
        </w:tc>
      </w:tr>
      <w:tr>
        <w:tc>
          <w:tcPr/>
          <w:p>
            <w:pPr>
              <w:pStyle w:val="Compact"/>
              <w:jc w:val="left"/>
            </w:pPr>
            <w:r>
              <w:t xml:space="preserve">SURMOUNT-3 (Wadden 2023), PMID 37840095</w:t>
            </w:r>
          </w:p>
        </w:tc>
        <w:tc>
          <w:tcPr/>
          <w:p>
            <w:pPr>
              <w:pStyle w:val="Compact"/>
              <w:jc w:val="left"/>
            </w:pPr>
            <w:r>
              <w:t xml:space="preserve">579 adultos após intervenção bem-sucedida de 12 semanas no estilo de vida</w:t>
            </w:r>
          </w:p>
        </w:tc>
        <w:tc>
          <w:tcPr/>
          <w:p>
            <w:pPr>
              <w:pStyle w:val="Compact"/>
              <w:jc w:val="left"/>
            </w:pPr>
            <w:r>
              <w:t xml:space="preserve">72 semanas</w:t>
            </w:r>
          </w:p>
        </w:tc>
        <w:tc>
          <w:tcPr/>
          <w:p>
            <w:pPr>
              <w:pStyle w:val="Compact"/>
              <w:jc w:val="left"/>
            </w:pPr>
            <w:r>
              <w:t xml:space="preserve">adicional −18,4% vs. +2,5%</w:t>
            </w:r>
          </w:p>
        </w:tc>
      </w:tr>
      <w:tr>
        <w:tc>
          <w:tcPr/>
          <w:p>
            <w:pPr>
              <w:pStyle w:val="Compact"/>
              <w:jc w:val="left"/>
            </w:pPr>
            <w:r>
              <w:t xml:space="preserve">SURMOUNT-4 (Aronne 2024), PMID 38078870</w:t>
            </w:r>
          </w:p>
        </w:tc>
        <w:tc>
          <w:tcPr/>
          <w:p>
            <w:pPr>
              <w:pStyle w:val="Compact"/>
              <w:jc w:val="left"/>
            </w:pPr>
            <w:r>
              <w:t xml:space="preserve">670 adultos após 36 semanas de tirzepatida, continuação vs. suspensão</w:t>
            </w:r>
          </w:p>
        </w:tc>
        <w:tc>
          <w:tcPr/>
          <w:p>
            <w:pPr>
              <w:pStyle w:val="Compact"/>
              <w:jc w:val="left"/>
            </w:pPr>
            <w:r>
              <w:t xml:space="preserve">52 semanas (após a fase inicial)</w:t>
            </w:r>
          </w:p>
        </w:tc>
        <w:tc>
          <w:tcPr/>
          <w:p>
            <w:pPr>
              <w:pStyle w:val="Compact"/>
              <w:jc w:val="left"/>
            </w:pPr>
            <w:r>
              <w:t xml:space="preserve">−5,5% ao continuar vs. +14,0% de reganho</w:t>
            </w:r>
          </w:p>
        </w:tc>
      </w:tr>
      <w:tr>
        <w:tc>
          <w:tcPr/>
          <w:p>
            <w:pPr>
              <w:pStyle w:val="Compact"/>
              <w:jc w:val="left"/>
            </w:pPr>
            <w:r>
              <w:t xml:space="preserve">SURMOUNT-5 (Aronne 2025), PMID 40353578</w:t>
            </w:r>
          </w:p>
        </w:tc>
        <w:tc>
          <w:tcPr/>
          <w:p>
            <w:pPr>
              <w:pStyle w:val="Compact"/>
              <w:jc w:val="left"/>
            </w:pPr>
            <w:r>
              <w:t xml:space="preserve">751 adultos sem diabetes, aberto contra semaglutida 2,4 mg</w:t>
            </w:r>
          </w:p>
        </w:tc>
        <w:tc>
          <w:tcPr/>
          <w:p>
            <w:pPr>
              <w:pStyle w:val="Compact"/>
              <w:jc w:val="left"/>
            </w:pPr>
            <w:r>
              <w:t xml:space="preserve">72 semanas</w:t>
            </w:r>
          </w:p>
        </w:tc>
        <w:tc>
          <w:tcPr/>
          <w:p>
            <w:pPr>
              <w:pStyle w:val="Compact"/>
              <w:jc w:val="left"/>
            </w:pPr>
            <w:r>
              <w:t xml:space="preserve">−20,2% vs. −13,7%</w:t>
            </w:r>
          </w:p>
        </w:tc>
      </w:tr>
      <w:tr>
        <w:tc>
          <w:tcPr/>
          <w:p>
            <w:pPr>
              <w:pStyle w:val="Compact"/>
              <w:jc w:val="left"/>
            </w:pPr>
            <w:r>
              <w:t xml:space="preserve">SURMOUNT-1, dados de 3 anos (Jastreboff 2025), PMID 39536238</w:t>
            </w:r>
          </w:p>
        </w:tc>
        <w:tc>
          <w:tcPr/>
          <w:p>
            <w:pPr>
              <w:pStyle w:val="Compact"/>
              <w:jc w:val="left"/>
            </w:pPr>
            <w:r>
              <w:t xml:space="preserve">1.032 adultos com obesidade e pré-diabetes</w:t>
            </w:r>
          </w:p>
        </w:tc>
        <w:tc>
          <w:tcPr/>
          <w:p>
            <w:pPr>
              <w:pStyle w:val="Compact"/>
              <w:jc w:val="left"/>
            </w:pPr>
            <w:r>
              <w:t xml:space="preserve">176 semanas</w:t>
            </w:r>
          </w:p>
        </w:tc>
        <w:tc>
          <w:tcPr/>
          <w:p>
            <w:pPr>
              <w:pStyle w:val="Compact"/>
              <w:jc w:val="left"/>
            </w:pPr>
            <w:r>
              <w:t xml:space="preserve">−12,3 a −19,7% vs. −1,3%; diabetes tipo 2 1,3% vs. 13,3%</w:t>
            </w:r>
          </w:p>
        </w:tc>
      </w:tr>
    </w:tbl>
    <w:p>
      <w:pPr>
        <w:pStyle w:val="BodyText"/>
      </w:pPr>
      <w:r>
        <w:t xml:space="preserve">O</w:t>
      </w:r>
      <w:r>
        <w:t xml:space="preserve"> </w:t>
      </w:r>
      <w:r>
        <w:rPr>
          <w:bCs/>
          <w:b/>
        </w:rPr>
        <w:t xml:space="preserve">SURMOUNT-1</w:t>
      </w:r>
      <w:r>
        <w:t xml:space="preserve"> </w:t>
      </w:r>
      <w:r>
        <w:t xml:space="preserve">foi o estudo que tornou a tirzepatida conhecida como medicamento para obesidade. Com um peso inicial médio de 104,8 kg, os participantes perderam na dose mais alta, em média, 20,9% do peso corporal. 57% no grupo de 15 mg alcançaram pelo menos 20% de perda de peso, contra 3% com placebo. Por efeitos colaterais, 4,3–7,1% com tirzepatida e 2,6% com placebo interromperam o tratamento</w:t>
      </w:r>
      <w:r>
        <w:rPr>
          <w:rStyle w:val="FootnoteReference"/>
        </w:rPr>
        <w:footnoteReference w:id="495"/>
      </w:r>
      <w:r>
        <w:t xml:space="preserve">.</w:t>
      </w:r>
    </w:p>
    <w:p>
      <w:pPr>
        <w:pStyle w:val="BodyText"/>
      </w:pPr>
      <w:r>
        <w:rPr>
          <w:bCs/>
          <w:b/>
        </w:rPr>
        <w:t xml:space="preserve">Pessoas com diabetes tipo 2</w:t>
      </w:r>
      <w:r>
        <w:t xml:space="preserve"> </w:t>
      </w:r>
      <w:r>
        <w:t xml:space="preserve">perdem menos peso com todos os medicamentos à base de incretinas do que pessoas sem diabetes. Isso também se viu no SURMOUNT-2: a diferença em relação ao placebo foi de 9,6 e 11,6 pontos percentuais</w:t>
      </w:r>
      <w:r>
        <w:rPr>
          <w:rStyle w:val="FootnoteReference"/>
        </w:rPr>
        <w:footnoteReference w:id="496"/>
      </w:r>
      <w:r>
        <w:t xml:space="preserve">.</w:t>
      </w:r>
    </w:p>
    <w:p>
      <w:pPr>
        <w:pStyle w:val="BodyText"/>
      </w:pPr>
      <w:r>
        <w:rPr>
          <w:bCs/>
          <w:b/>
        </w:rPr>
        <w:t xml:space="preserve">O que acontece após a suspensão?</w:t>
      </w:r>
      <w:r>
        <w:t xml:space="preserve"> </w:t>
      </w:r>
      <w:r>
        <w:t xml:space="preserve">O SURMOUNT-4 respondeu a essa pergunta com um desenho de</w:t>
      </w:r>
      <w:r>
        <w:t xml:space="preserve"> </w:t>
      </w:r>
      <w:r>
        <w:t xml:space="preserve">“</w:t>
      </w:r>
      <w:r>
        <w:t xml:space="preserve">retirada randomizada</w:t>
      </w:r>
      <w:r>
        <w:t xml:space="preserve">”</w:t>
      </w:r>
      <w:r>
        <w:t xml:space="preserve">: todos receberam primeiro 36 semanas de tirzepatida e perderam em média 20,9%. Depois sorteou-se quem continuaria com tirzepatida e quem receberia placebo sem saber. Nas 52 semanas seguintes, o grupo placebo voltou a ganhar 14,0%, e o grupo tirzepatida perdeu mais 5,5%. Ao longo de todo o estudo, a perda de peso foi de 25,3% contra 9,9%</w:t>
      </w:r>
      <w:r>
        <w:rPr>
          <w:rStyle w:val="FootnoteReference"/>
        </w:rPr>
        <w:footnoteReference w:id="497"/>
      </w:r>
      <w:r>
        <w:t xml:space="preserve">. A mensagem dos autores: a obesidade se comporta como uma doença crônica, cujo tratamento geralmente precisa ser permanente.</w:t>
      </w:r>
    </w:p>
    <w:p>
      <w:pPr>
        <w:pStyle w:val="BodyText"/>
      </w:pPr>
      <w:r>
        <w:rPr>
          <w:bCs/>
          <w:b/>
        </w:rPr>
        <w:t xml:space="preserve">Dose de manutenção menor:</w:t>
      </w:r>
      <w:r>
        <w:t xml:space="preserve"> </w:t>
      </w:r>
      <w:r>
        <w:t xml:space="preserve">se, depois de emagrecer, é possível passar para uma dose menor foi investigado pelo SURMOUNT-MAINTAIN, com 378 pessoas randomizadas nos EUA. Após 60 semanas na dose máxima, elas foram distribuídas em três grupos. Na semana 112, a perda de peso desde o início do estudo era de −21,9% (continuação da dose máxima), −16,6% (redução para 5 mg) e −9,9% (placebo). Uma terapia de resgate por reganho de pelo menos 50% foi necessária para 8%, 25% e 67%, respectivamente</w:t>
      </w:r>
      <w:r>
        <w:rPr>
          <w:rStyle w:val="FootnoteReference"/>
        </w:rPr>
        <w:footnoteReference w:id="498"/>
      </w:r>
      <w:r>
        <w:t xml:space="preserve">. A redução da dose é, portanto, uma solução intermediária, com sucesso muito variável de pessoa para pessoa.</w:t>
      </w:r>
    </w:p>
    <w:p>
      <w:pPr>
        <w:pStyle w:val="BodyText"/>
      </w:pPr>
      <w:r>
        <w:rPr>
          <w:bCs/>
          <w:b/>
        </w:rPr>
        <w:t xml:space="preserve">Prevenção do diabetes:</w:t>
      </w:r>
      <w:r>
        <w:t xml:space="preserve"> </w:t>
      </w:r>
      <w:r>
        <w:t xml:space="preserve">na análise de três anos do SURMOUNT-1 em pessoas com pré-diabetes (estágio anterior ao diabetes), 1,3% com tirzepatida e 13,3% com placebo desenvolveram diabetes tipo 2. Mesmo 17 semanas após a suspensão, a diferença continuou clara (2,4% vs. 13,7%). Nenhum novo sinal de segurança surgiu nesses três anos</w:t>
      </w:r>
      <w:r>
        <w:rPr>
          <w:rStyle w:val="FootnoteReference"/>
        </w:rPr>
        <w:footnoteReference w:id="499"/>
      </w:r>
      <w:r>
        <w:t xml:space="preserve">.</w:t>
      </w:r>
    </w:p>
    <w:bookmarkEnd w:id="500"/>
    <w:bookmarkStart w:id="503" w:name="Xbaf038669afaf113715008b59b1ecb9559d272d"/>
    <w:p>
      <w:pPr>
        <w:pStyle w:val="Heading4"/>
      </w:pPr>
      <w:r>
        <w:t xml:space="preserve">SURMOUNT-5: tirzepatida contra semaglutida</w:t>
      </w:r>
    </w:p>
    <w:p>
      <w:pPr>
        <w:pStyle w:val="FirstParagraph"/>
      </w:pPr>
      <w:r>
        <w:t xml:space="preserve">O confronto direto, esperado por muitos, na obesidade sem diabetes veio com o SURMOUNT-5</w:t>
      </w:r>
      <w:r>
        <w:rPr>
          <w:rStyle w:val="FootnoteReference"/>
        </w:rPr>
        <w:footnoteReference w:id="501"/>
      </w:r>
      <w:r>
        <w:t xml:space="preserve">. 751 adultos receberam de forma aberta (ou seja, sem cegamento) a dose máxima tolerada de tirzepatida (10 ou 15 mg) ou de semaglutida (1,7 ou 2,4 mg). Após 72 semanas:</w:t>
      </w:r>
    </w:p>
    <w:p>
      <w:pPr>
        <w:numPr>
          <w:ilvl w:val="0"/>
          <w:numId w:val="1061"/>
        </w:numPr>
        <w:pStyle w:val="Compact"/>
      </w:pPr>
      <w:r>
        <w:t xml:space="preserve">Variação do peso: −20,2% com tirzepatida contra −13,7% com semaglutida.</w:t>
      </w:r>
    </w:p>
    <w:p>
      <w:pPr>
        <w:numPr>
          <w:ilvl w:val="0"/>
          <w:numId w:val="1061"/>
        </w:numPr>
        <w:pStyle w:val="Compact"/>
      </w:pPr>
      <w:r>
        <w:t xml:space="preserve">Circunferência da cintura: −18,4 cm contra −13,0 cm.</w:t>
      </w:r>
    </w:p>
    <w:p>
      <w:pPr>
        <w:numPr>
          <w:ilvl w:val="0"/>
          <w:numId w:val="1061"/>
        </w:numPr>
        <w:pStyle w:val="Compact"/>
      </w:pPr>
      <w:r>
        <w:t xml:space="preserve">Mais participantes com tirzepatida alcançaram cada um dos limiares de 10, 15, 20 e 25%.</w:t>
      </w:r>
    </w:p>
    <w:p>
      <w:pPr>
        <w:numPr>
          <w:ilvl w:val="0"/>
          <w:numId w:val="1061"/>
        </w:numPr>
        <w:pStyle w:val="Compact"/>
      </w:pPr>
      <w:r>
        <w:t xml:space="preserve">Os efeitos colaterais nos dois grupos foram predominantemente queixas gastrointestinais, em geral leves a moderadas e sobretudo na fase de aumento da dose.</w:t>
      </w:r>
    </w:p>
    <w:p>
      <w:pPr>
        <w:pStyle w:val="FirstParagraph"/>
      </w:pPr>
      <w:r>
        <w:t xml:space="preserve">Uma análise posterior mostrou que 44% com tirzepatida e 21% com semaglutida já haviam perdido pelo menos 15% até a semana 24 (</w:t>
      </w:r>
      <w:r>
        <w:t xml:space="preserve">“</w:t>
      </w:r>
      <w:r>
        <w:t xml:space="preserve">respondedores rápidos</w:t>
      </w:r>
      <w:r>
        <w:t xml:space="preserve">”</w:t>
      </w:r>
      <w:r>
        <w:t xml:space="preserve">). Esses tiveram um pouco mais de eventos gastrointestinais e biliares, mas não interromperam o tratamento com mais frequência</w:t>
      </w:r>
      <w:r>
        <w:rPr>
          <w:rStyle w:val="FootnoteReference"/>
        </w:rPr>
        <w:footnoteReference w:id="502"/>
      </w:r>
      <w:r>
        <w:t xml:space="preserve">.</w:t>
      </w:r>
    </w:p>
    <w:p>
      <w:pPr>
        <w:pStyle w:val="BodyText"/>
      </w:pPr>
      <w:r>
        <w:t xml:space="preserve">Para contextualizar: o SURMOUNT-5 foi financiado pelo fabricante da tirzepatida e conduzido de forma aberta. Ainda assim, a diferença é grande o suficiente para que dificilmente possa ser explicada apenas por essas limitações. Uma comparação de todos os medicamentos GLP-1 você encontra na Parte III.</w:t>
      </w:r>
    </w:p>
    <w:bookmarkEnd w:id="503"/>
    <w:bookmarkStart w:id="506" w:name="insuficiência-cardíaca-summit"/>
    <w:p>
      <w:pPr>
        <w:pStyle w:val="Heading4"/>
      </w:pPr>
      <w:r>
        <w:t xml:space="preserve">Insuficiência cardíaca: SUMMIT</w:t>
      </w:r>
    </w:p>
    <w:p>
      <w:pPr>
        <w:pStyle w:val="FirstParagraph"/>
      </w:pPr>
      <w:r>
        <w:t xml:space="preserve">A insuficiência cardíaca com fração de ejeção preservada (ICFEp) é uma forma comum de insuficiência cardíaca em que o coração bombeia normalmente, mas se enche mal. A obesidade é um fator importante. No SUMMIT, 731 pessoas com ICFEp e IMC a partir de 30 foram randomizadas para tirzepatida ou placebo e acompanhadas por uma mediana de 104 semanas</w:t>
      </w:r>
      <w:r>
        <w:rPr>
          <w:rStyle w:val="FootnoteReference"/>
        </w:rPr>
        <w:footnoteReference w:id="504"/>
      </w:r>
      <w:r>
        <w:t xml:space="preserve">.</w:t>
      </w:r>
    </w:p>
    <w:p>
      <w:pPr>
        <w:numPr>
          <w:ilvl w:val="0"/>
          <w:numId w:val="1062"/>
        </w:numPr>
        <w:pStyle w:val="Compact"/>
      </w:pPr>
      <w:r>
        <w:t xml:space="preserve">Morte cardiovascular ou piora da insuficiência cardíaca: 9,9% com tirzepatida vs. 15,3% com placebo (hazard ratio 0,62; IC de 95% 0,41–0,95).</w:t>
      </w:r>
    </w:p>
    <w:p>
      <w:pPr>
        <w:numPr>
          <w:ilvl w:val="0"/>
          <w:numId w:val="1062"/>
        </w:numPr>
        <w:pStyle w:val="Compact"/>
      </w:pPr>
      <w:r>
        <w:t xml:space="preserve">Essa diferença se deveu a menos eventos de piora (8,0% vs. 14,2%). As mortes cardiovasculares foram raras e numericamente até um pouco mais frequentes com tirzepatida (2,2% vs. 1,4%), com uma faixa de incerteza muito ampla.</w:t>
      </w:r>
    </w:p>
    <w:p>
      <w:pPr>
        <w:numPr>
          <w:ilvl w:val="0"/>
          <w:numId w:val="1062"/>
        </w:numPr>
        <w:pStyle w:val="Compact"/>
      </w:pPr>
      <w:r>
        <w:t xml:space="preserve">A qualidade de vida (questionário KCCQ) melhorou mais: +19,5 contra +12,7 pontos.</w:t>
      </w:r>
    </w:p>
    <w:p>
      <w:pPr>
        <w:numPr>
          <w:ilvl w:val="0"/>
          <w:numId w:val="1062"/>
        </w:numPr>
        <w:pStyle w:val="Compact"/>
      </w:pPr>
      <w:r>
        <w:t xml:space="preserve">Interrupções por efeitos colaterais: 6,3% vs. 1,4%.</w:t>
      </w:r>
    </w:p>
    <w:p>
      <w:pPr>
        <w:pStyle w:val="FirstParagraph"/>
      </w:pPr>
      <w:r>
        <w:t xml:space="preserve">Um subestudo de ressonância magnética cardíaca mostrou redução da massa muscular do ventrículo esquerdo e do tecido adiposo em torno do coração</w:t>
      </w:r>
      <w:r>
        <w:rPr>
          <w:rStyle w:val="FootnoteReference"/>
        </w:rPr>
        <w:footnoteReference w:id="505"/>
      </w:r>
      <w:r>
        <w:t xml:space="preserve">. Com 731 pessoas e 92 eventos de desfecho, o SUMMIT é um estudo de desfechos relativamente pequeno; os resultados são animadores, mas não tão sólidos quanto dados de estudos com milhares de participantes.</w:t>
      </w:r>
    </w:p>
    <w:bookmarkEnd w:id="506"/>
    <w:bookmarkStart w:id="508" w:name="apneia-obstrutiva-do-sono-surmount-osa"/>
    <w:p>
      <w:pPr>
        <w:pStyle w:val="Heading4"/>
      </w:pPr>
      <w:r>
        <w:t xml:space="preserve">Apneia obstrutiva do sono: SURMOUNT-OSA</w:t>
      </w:r>
    </w:p>
    <w:p>
      <w:pPr>
        <w:pStyle w:val="FirstParagraph"/>
      </w:pPr>
      <w:r>
        <w:t xml:space="preserve">Na apneia obstrutiva do sono, as vias aéreas superiores colapsam repetidamente durante o sono; a respiração para (apneia) ou fica superficial (hipopneia). O índice de apneia-hipopneia (IAH) conta esses eventos por hora; a partir de 30, a apneia do sono é considerada grave. O excesso de peso é um fator de risco principal.</w:t>
      </w:r>
    </w:p>
    <w:p>
      <w:pPr>
        <w:pStyle w:val="BodyText"/>
      </w:pPr>
      <w:r>
        <w:t xml:space="preserve">O SURMOUNT-OSA consistiu em dois estudos paralelos com pessoas com obesidade e apneia do sono moderada a grave: sem terapia com máscara respiratória (estudo 1) e com máscara (CPAP, estudo 2). IAH inicial de cerca de 50 eventos por hora. Após 52 semanas</w:t>
      </w:r>
      <w:r>
        <w:rPr>
          <w:rStyle w:val="FootnoteReference"/>
        </w:rPr>
        <w:footnoteReference w:id="507"/>
      </w:r>
      <w:r>
        <w:t xml:space="preserve">:</w:t>
      </w:r>
    </w:p>
    <w:p>
      <w:pPr>
        <w:numPr>
          <w:ilvl w:val="0"/>
          <w:numId w:val="1063"/>
        </w:numPr>
        <w:pStyle w:val="Compact"/>
      </w:pPr>
      <w:r>
        <w:t xml:space="preserve">Estudo 1: IAH −25,3 eventos/hora com tirzepatida vs. −5,3 com placebo.</w:t>
      </w:r>
    </w:p>
    <w:p>
      <w:pPr>
        <w:numPr>
          <w:ilvl w:val="0"/>
          <w:numId w:val="1063"/>
        </w:numPr>
        <w:pStyle w:val="Compact"/>
      </w:pPr>
      <w:r>
        <w:t xml:space="preserve">Estudo 2: IAH −29,3 vs. −5,5.</w:t>
      </w:r>
    </w:p>
    <w:p>
      <w:pPr>
        <w:numPr>
          <w:ilvl w:val="0"/>
          <w:numId w:val="1063"/>
        </w:numPr>
        <w:pStyle w:val="Compact"/>
      </w:pPr>
      <w:r>
        <w:t xml:space="preserve">Além disso, melhoraram a carga de falta de oxigênio, marcadores inflamatórios (PCR-us), a pressão arterial e as queixas de sono relatadas pelos participantes.</w:t>
      </w:r>
    </w:p>
    <w:p>
      <w:pPr>
        <w:pStyle w:val="FirstParagraph"/>
      </w:pPr>
      <w:r>
        <w:t xml:space="preserve">Com base nisso, a tirzepatida foi aprovada nos EUA como o primeiro medicamento para o tratamento da apneia do sono na obesidade. Ela não substitui automaticamente uma máscara respiratória: mesmo após a redução, o IAH de muitos participantes ainda estava na faixa que exige tratamento. A decisão sobre a terapia deve ficar nas mãos de especialistas em medicina do sono.</w:t>
      </w:r>
    </w:p>
    <w:bookmarkEnd w:id="508"/>
    <w:bookmarkStart w:id="510" w:name="doença-hepática-gordurosa-mash"/>
    <w:p>
      <w:pPr>
        <w:pStyle w:val="Heading4"/>
      </w:pPr>
      <w:r>
        <w:t xml:space="preserve">Doença hepática gordurosa (MASH)</w:t>
      </w:r>
    </w:p>
    <w:p>
      <w:pPr>
        <w:pStyle w:val="FirstParagraph"/>
      </w:pPr>
      <w:r>
        <w:t xml:space="preserve">A esteato-hepatite associada à disfunção metabólica (MASH, antes NASH) é uma forma inflamatória de doença hepática gordurosa que pode evoluir para cicatrização (fibrose) e cirrose. No estudo de fase 2 SYNERGY-NASH, 190 pessoas com MASH confirmada por biópsia e fibrose moderada a grave receberam tirzepatida ou placebo. Após 52 semanas, a MASH desapareceu sem piora da fibrose em 44–62% com tirzepatida, contra 10% com placebo; uma melhora da fibrose de pelo menos um estágio foi observada em 51–55% contra 30%</w:t>
      </w:r>
      <w:r>
        <w:rPr>
          <w:rStyle w:val="FootnoteReference"/>
        </w:rPr>
        <w:footnoteReference w:id="509"/>
      </w:r>
      <w:r>
        <w:t xml:space="preserve">. Um estudo de fase 3 está em andamento (ver perspectivas).</w:t>
      </w:r>
    </w:p>
    <w:bookmarkEnd w:id="510"/>
    <w:bookmarkStart w:id="513" w:name="outras-áreas-de-uso-e-metanálises"/>
    <w:p>
      <w:pPr>
        <w:pStyle w:val="Heading4"/>
      </w:pPr>
      <w:r>
        <w:t xml:space="preserve">Outras áreas de uso e metanálises</w:t>
      </w:r>
    </w:p>
    <w:p>
      <w:pPr>
        <w:pStyle w:val="FirstParagraph"/>
      </w:pPr>
      <w:r>
        <w:t xml:space="preserve">A literatura sobre a tirzepatida cresce muito rápido. Além dos grandes programas, há estudos sobre psoríase e artrite psoriásica em combinação com biológicos: em um estudo aberto de fase 3b com 274 pessoas, 27,1% com ixequizumabe mais tirzepatida alcançaram ao mesmo tempo a cura completa das lesões de pele (PASI 100) e pelo menos 10% de perda de peso, contra 5,8% com ixequizumabe isolado</w:t>
      </w:r>
      <w:r>
        <w:rPr>
          <w:rStyle w:val="FootnoteReference"/>
        </w:rPr>
        <w:footnoteReference w:id="511"/>
      </w:r>
      <w:r>
        <w:t xml:space="preserve">. Outros trabalhos tratam da síndrome dos ovários policísticos, da função renal e de populações específicas da Ásia (SURMOUNT-J, SURMOUNT-CN, SURPASS-AP-Combo). Uma apresentação completa de todos os estudos individuais extrapolaria o escopo; eles estão listados na lista de estudos do apêndice.</w:t>
      </w:r>
    </w:p>
    <w:p>
      <w:pPr>
        <w:pStyle w:val="BodyText"/>
      </w:pPr>
      <w:r>
        <w:t xml:space="preserve">Sobre a composição corporal: em um subestudo de DXA do SURMOUNT-1 com 160 pessoas, cerca de 75% do peso perdido era gordura e cerca de 25% massa magra (da qual faz parte a musculatura) – na mesma proporção que no grupo placebo</w:t>
      </w:r>
      <w:r>
        <w:rPr>
          <w:rStyle w:val="FootnoteReference"/>
        </w:rPr>
        <w:footnoteReference w:id="512"/>
      </w:r>
      <w:r>
        <w:t xml:space="preserve">. A preocupação com a perda muscular é, portanto, justificada, mas não é um efeito específico da tirzepatida, e sim típico de qualquer perda de peso acentuada.</w:t>
      </w:r>
    </w:p>
    <w:bookmarkEnd w:id="513"/>
    <w:bookmarkEnd w:id="514"/>
    <w:bookmarkStart w:id="518" w:name="estudos-em-animais-e-em-laboratório-4"/>
    <w:p>
      <w:pPr>
        <w:pStyle w:val="Heading3"/>
      </w:pPr>
      <w:r>
        <w:t xml:space="preserve">Estudos em animais e em laboratório</w:t>
      </w:r>
    </w:p>
    <w:p>
      <w:pPr>
        <w:pStyle w:val="FirstParagraph"/>
      </w:pPr>
      <w:r>
        <w:t xml:space="preserve">O desenvolvimento pré-clínico foi publicado de forma incomumente completa. Em culturas de células, a tirzepatida ativa os dois receptores; em camundongos, reduziu o peso e a ingestão de alimentos mais do que um agonista puro de GLP-1</w:t>
      </w:r>
      <w:r>
        <w:rPr>
          <w:rStyle w:val="FootnoteReference"/>
        </w:rPr>
        <w:footnoteReference w:id="515"/>
      </w:r>
      <w:r>
        <w:t xml:space="preserve">. Estudos com camundongos sem receptor de GLP-1 funcional mostraram que a parte GIP melhora a sensibilidade à insulina no tecido adiposo</w:t>
      </w:r>
      <w:r>
        <w:rPr>
          <w:rStyle w:val="FootnoteReference"/>
        </w:rPr>
        <w:footnoteReference w:id="516"/>
      </w:r>
      <w:r>
        <w:t xml:space="preserve">. Sobre a distribuição e a degradação no organismo, há estudos em humanos, ratos e macacos: a molécula é metabolizada pela clivagem da estrutura peptídica e pela degradação da cadeia de ácido graxo; em humanos, cerca de 66% da substância marcada foram encontrados na urina e cerca de 33% nas fezes, mas tirzepatida inalterada não foi encontrada em nenhuma das duas</w:t>
      </w:r>
      <w:r>
        <w:rPr>
          <w:rStyle w:val="FootnoteReference"/>
        </w:rPr>
        <w:footnoteReference w:id="517"/>
      </w:r>
      <w:r>
        <w:t xml:space="preserve">.</w:t>
      </w:r>
    </w:p>
    <w:p>
      <w:pPr>
        <w:pStyle w:val="BodyText"/>
      </w:pPr>
      <w:r>
        <w:t xml:space="preserve">Como com todos os agonistas de GLP-1 de ação prolongada, ocorreram em estudos de longo prazo com roedores tumores das células C da tireoide. Se esse achado pode ser transposto para humanos não está claro, porque os roedores têm muito mais receptores de GLP-1 nessas células. Esse resultado em animais é a base das advertências na bula para profissionais (ver abaixo).</w:t>
      </w:r>
    </w:p>
    <w:bookmarkEnd w:id="518"/>
    <w:bookmarkStart w:id="527" w:name="riscos-e-efeitos-colaterais-4"/>
    <w:p>
      <w:pPr>
        <w:pStyle w:val="Heading3"/>
      </w:pPr>
      <w:r>
        <w:t xml:space="preserve">Riscos e efeitos colaterais</w:t>
      </w:r>
    </w:p>
    <w:p>
      <w:pPr>
        <w:pStyle w:val="FirstParagraph"/>
      </w:pPr>
      <w:r>
        <w:rPr>
          <w:bCs/>
          <w:b/>
        </w:rPr>
        <w:t xml:space="preserve">Comprovados em estudos:</w:t>
      </w:r>
    </w:p>
    <w:p>
      <w:pPr>
        <w:numPr>
          <w:ilvl w:val="0"/>
          <w:numId w:val="1064"/>
        </w:numPr>
        <w:pStyle w:val="Compact"/>
      </w:pPr>
      <w:r>
        <w:rPr>
          <w:bCs/>
          <w:b/>
        </w:rPr>
        <w:t xml:space="preserve">Queixas gastrointestinais</w:t>
      </w:r>
      <w:r>
        <w:t xml:space="preserve"> </w:t>
      </w:r>
      <w:r>
        <w:t xml:space="preserve">são, de longe, as mais comuns: náuseas, diarreia, vômitos, prisão de ventre, diminuição do apetite. No SURPASS-3, 12–24% relataram náuseas, 15–17% diarreia e 6–10% vômitos</w:t>
      </w:r>
      <w:r>
        <w:rPr>
          <w:rStyle w:val="FootnoteReference"/>
        </w:rPr>
        <w:footnoteReference w:id="519"/>
      </w:r>
      <w:r>
        <w:t xml:space="preserve">. As queixas ocorrem sobretudo na fase de aumento da dose e geralmente diminuem. São o motivo mais comum de interrupção do tratamento.</w:t>
      </w:r>
    </w:p>
    <w:p>
      <w:pPr>
        <w:numPr>
          <w:ilvl w:val="0"/>
          <w:numId w:val="1064"/>
        </w:numPr>
        <w:pStyle w:val="Compact"/>
      </w:pPr>
      <w:r>
        <w:rPr>
          <w:bCs/>
          <w:b/>
        </w:rPr>
        <w:t xml:space="preserve">Vesícula e vias biliares:</w:t>
      </w:r>
      <w:r>
        <w:t xml:space="preserve"> </w:t>
      </w:r>
      <w:r>
        <w:t xml:space="preserve">uma metanálise de nove estudos com 9.871 participantes encontrou um risco aumentado para a categoria geral de doenças da vesícula ou das vias biliares em comparação com placebo ou insulina (risco relativo 1,97; IC de 95% 1,14–3,42), mas nenhum aumento estatisticamente comprovado de pancreatite</w:t>
      </w:r>
      <w:r>
        <w:rPr>
          <w:rStyle w:val="FootnoteReference"/>
        </w:rPr>
        <w:footnoteReference w:id="520"/>
      </w:r>
      <w:r>
        <w:t xml:space="preserve">. A própria perda de peso rápida favorece cálculos biliares.</w:t>
      </w:r>
    </w:p>
    <w:p>
      <w:pPr>
        <w:numPr>
          <w:ilvl w:val="0"/>
          <w:numId w:val="1064"/>
        </w:numPr>
        <w:pStyle w:val="Compact"/>
      </w:pPr>
      <w:r>
        <w:rPr>
          <w:bCs/>
          <w:b/>
        </w:rPr>
        <w:t xml:space="preserve">Hipoglicemia:</w:t>
      </w:r>
      <w:r>
        <w:t xml:space="preserve"> </w:t>
      </w:r>
      <w:r>
        <w:t xml:space="preserve">rara com a substância isolada. O risco aumenta quando se tomam ao mesmo tempo insulina ou sulfonilureias – no SURPASS-4, hipoglicemias sem sulfonilureia ocorreram em 1–3%</w:t>
      </w:r>
      <w:r>
        <w:rPr>
          <w:rStyle w:val="FootnoteReference"/>
        </w:rPr>
        <w:footnoteReference w:id="521"/>
      </w:r>
      <w:r>
        <w:t xml:space="preserve">.</w:t>
      </w:r>
    </w:p>
    <w:p>
      <w:pPr>
        <w:numPr>
          <w:ilvl w:val="0"/>
          <w:numId w:val="1064"/>
        </w:numPr>
        <w:pStyle w:val="Compact"/>
      </w:pPr>
      <w:r>
        <w:rPr>
          <w:bCs/>
          <w:b/>
        </w:rPr>
        <w:t xml:space="preserve">Saúde mental:</w:t>
      </w:r>
      <w:r>
        <w:t xml:space="preserve"> </w:t>
      </w:r>
      <w:r>
        <w:t xml:space="preserve">uma análise posterior dos SURMOUNT-1 a -3, com 4.056 pessoas sem doença mental grave conhecida, não encontrou indício de aumento de depressões; pensamentos suicidas foram relatados por 0,6% nos dois grupos</w:t>
      </w:r>
      <w:r>
        <w:rPr>
          <w:rStyle w:val="FootnoteReference"/>
        </w:rPr>
        <w:footnoteReference w:id="522"/>
      </w:r>
      <w:r>
        <w:t xml:space="preserve">. Para pessoas com doenças mentais graves, faltam dados suficientes.</w:t>
      </w:r>
    </w:p>
    <w:p>
      <w:pPr>
        <w:numPr>
          <w:ilvl w:val="0"/>
          <w:numId w:val="1064"/>
        </w:numPr>
        <w:pStyle w:val="Compact"/>
      </w:pPr>
      <w:r>
        <w:rPr>
          <w:bCs/>
          <w:b/>
        </w:rPr>
        <w:t xml:space="preserve">Perda de massa magra:</w:t>
      </w:r>
      <w:r>
        <w:t xml:space="preserve"> </w:t>
      </w:r>
      <w:r>
        <w:t xml:space="preserve">cerca de um quarto do peso perdido</w:t>
      </w:r>
      <w:r>
        <w:rPr>
          <w:rStyle w:val="FootnoteReference"/>
        </w:rPr>
        <w:footnoteReference w:id="523"/>
      </w:r>
      <w:r>
        <w:t xml:space="preserve">. Treinamento de força e ingestão suficiente de proteína são recomendados por especialistas para compensar; dados sólidos de estudos sobre o benefício funcional são limitados.</w:t>
      </w:r>
    </w:p>
    <w:p>
      <w:pPr>
        <w:pStyle w:val="FirstParagraph"/>
      </w:pPr>
      <w:r>
        <w:rPr>
          <w:bCs/>
          <w:b/>
        </w:rPr>
        <w:t xml:space="preserve">De dados após o lançamento no mercado:</w:t>
      </w:r>
      <w:r>
        <w:t xml:space="preserve"> </w:t>
      </w:r>
      <w:r>
        <w:t xml:space="preserve">uma análise da base norte-americana de notificações de efeitos colaterais FAERS encontrou um número desproporcional de notificações de náuseas, pancreatite, doença diabética da retina e câncer medular de tireoide – mas, em comparação com outros agonistas de GLP-1, nenhum risco aumentado</w:t>
      </w:r>
      <w:r>
        <w:rPr>
          <w:rStyle w:val="FootnoteReference"/>
        </w:rPr>
        <w:footnoteReference w:id="524"/>
      </w:r>
      <w:r>
        <w:t xml:space="preserve">. Esses dados de notificação mostram sinais, não causas: riscos conhecidos são notificados com mais frequência. Em um grande estudo de coorte com mais de 46.000 pares em tratamento de rotina, o risco de eventos gastrointestinais graves (pancreatite, doenças das vias biliares, obstrução intestinal, gastroparesia, prisão de ventre grave) não diferiu substancialmente entre tirzepatida e semaglutida (hazard ratio 1,07; IC de 95% 0,90–1,26)</w:t>
      </w:r>
      <w:r>
        <w:rPr>
          <w:rStyle w:val="FootnoteReference"/>
        </w:rPr>
        <w:footnoteReference w:id="525"/>
      </w:r>
      <w:r>
        <w:t xml:space="preserve">.</w:t>
      </w:r>
    </w:p>
    <w:p>
      <w:pPr>
        <w:pStyle w:val="BodyText"/>
      </w:pPr>
      <w:r>
        <w:rPr>
          <w:bCs/>
          <w:b/>
        </w:rPr>
        <w:t xml:space="preserve">Teóricos ou derivados de dados em animais:</w:t>
      </w:r>
      <w:r>
        <w:t xml:space="preserve"> </w:t>
      </w:r>
      <w:r>
        <w:t xml:space="preserve">câncer medular de tireoide (achado em animais, ver acima). Por isso, as bulas para profissionais contêm uma advertência ou contraindicação em caso de histórico pessoal ou familiar de carcinoma medular de tireoide e de síndrome NEM 2.</w:t>
      </w:r>
    </w:p>
    <w:p>
      <w:pPr>
        <w:pStyle w:val="BodyText"/>
      </w:pPr>
      <w:r>
        <w:rPr>
          <w:bCs/>
          <w:b/>
        </w:rPr>
        <w:t xml:space="preserve">Importante para a prática (segundo a bula para profissionais, não deve ser entendido como instrução):</w:t>
      </w:r>
      <w:r>
        <w:t xml:space="preserve"> </w:t>
      </w:r>
      <w:r>
        <w:t xml:space="preserve">o esvaziamento gástrico retardado pode influenciar a absorção de comprimidos, o que é relevante, por exemplo, para a pílula anticoncepcional. Na gravidez e na amamentação, a tirzepatida não é usada. Antes de cirurgias com anestesia, o esvaziamento gástrico retardado deve ser levado em conta. Todos os detalhes são informados pela bula para profissionais e pela médica ou pelo médico responsável.</w:t>
      </w:r>
    </w:p>
    <w:p>
      <w:pPr>
        <w:pStyle w:val="BodyText"/>
      </w:pPr>
      <w:r>
        <w:rPr>
          <w:bCs/>
          <w:b/>
        </w:rPr>
        <w:t xml:space="preserve">Produtos de imitação:</w:t>
      </w:r>
      <w:r>
        <w:t xml:space="preserve"> </w:t>
      </w:r>
      <w:r>
        <w:t xml:space="preserve">durante a falta de produto entre 2022 e 2024, preparações de tirzepatida foram manipuladas em farmácias nos EUA (</w:t>
      </w:r>
      <w:r>
        <w:t xml:space="preserve">“</w:t>
      </w:r>
      <w:r>
        <w:t xml:space="preserve">compounding</w:t>
      </w:r>
      <w:r>
        <w:t xml:space="preserve">”</w:t>
      </w:r>
      <w:r>
        <w:t xml:space="preserve">), e paralelamente surgiu um grande mercado cinza on-line. Uma investigação de 2025 encontrou 33 preparações com semaglutida ou tirzepatida em formas farmacêuticas não aprovadas – como pastilhas ou misturas com vitaminas; dados de eficácia e segurança faltam para esses produtos</w:t>
      </w:r>
      <w:r>
        <w:rPr>
          <w:rStyle w:val="FootnoteReference"/>
        </w:rPr>
        <w:footnoteReference w:id="526"/>
      </w:r>
      <w:r>
        <w:t xml:space="preserve">. Para mercadorias</w:t>
      </w:r>
      <w:r>
        <w:t xml:space="preserve"> </w:t>
      </w:r>
      <w:r>
        <w:t xml:space="preserve">“</w:t>
      </w:r>
      <w:r>
        <w:t xml:space="preserve">de pesquisa</w:t>
      </w:r>
      <w:r>
        <w:t xml:space="preserve">”</w:t>
      </w:r>
      <w:r>
        <w:t xml:space="preserve"> </w:t>
      </w:r>
      <w:r>
        <w:t xml:space="preserve">sem aprovação como medicamento, isso vale em grau ainda maior (ver Parte I e Parte IV).</w:t>
      </w:r>
    </w:p>
    <w:bookmarkEnd w:id="527"/>
    <w:bookmarkStart w:id="528" w:name="situação-legal-4"/>
    <w:p>
      <w:pPr>
        <w:pStyle w:val="Heading3"/>
      </w:pPr>
      <w:r>
        <w:t xml:space="preserve">Situação legal</w:t>
      </w:r>
    </w:p>
    <w:p>
      <w:pPr>
        <w:numPr>
          <w:ilvl w:val="0"/>
          <w:numId w:val="1065"/>
        </w:numPr>
        <w:pStyle w:val="Compact"/>
      </w:pPr>
      <w:r>
        <w:rPr>
          <w:bCs/>
          <w:b/>
        </w:rPr>
        <w:t xml:space="preserve">UE / Áustria / Alemanha:</w:t>
      </w:r>
      <w:r>
        <w:t xml:space="preserve"> </w:t>
      </w:r>
      <w:r>
        <w:t xml:space="preserve">a tirzepatida tem aprovação centralizada na UE como Mounjaro (2022 para diabetes tipo 2, desde o fim de 2023 também para controle de peso). Está sujeita a prescrição. Se o seguro de saúde cobre os custos depende da indicação: para diabetes tipo 2, o reembolso é em princípio possível; medicamentos para redução de peso estão, na Alemanha, em grande parte excluídos por lei do reembolso, e na Áustria valem regras próprias e restritivas. Os detalhes mudam – verificar atualização.</w:t>
      </w:r>
    </w:p>
    <w:p>
      <w:pPr>
        <w:numPr>
          <w:ilvl w:val="0"/>
          <w:numId w:val="1065"/>
        </w:numPr>
        <w:pStyle w:val="Compact"/>
      </w:pPr>
      <w:r>
        <w:rPr>
          <w:bCs/>
          <w:b/>
        </w:rPr>
        <w:t xml:space="preserve">EUA:</w:t>
      </w:r>
      <w:r>
        <w:t xml:space="preserve"> </w:t>
      </w:r>
      <w:r>
        <w:t xml:space="preserve">aprovada como Mounjaro (2022, diabetes tipo 2) e como Zepbound (2023, controle crônico de peso; em 2024, também apneia obstrutiva do sono na obesidade). Com o fim da falta oficial de produto, a FDA restringiu fortemente a produção de cópias em farmácias.</w:t>
      </w:r>
    </w:p>
    <w:p>
      <w:pPr>
        <w:numPr>
          <w:ilvl w:val="0"/>
          <w:numId w:val="1065"/>
        </w:numPr>
        <w:pStyle w:val="Compact"/>
      </w:pPr>
      <w:r>
        <w:rPr>
          <w:bCs/>
          <w:b/>
        </w:rPr>
        <w:t xml:space="preserve">Esporte:</w:t>
      </w:r>
      <w:r>
        <w:t xml:space="preserve"> </w:t>
      </w:r>
      <w:r>
        <w:t xml:space="preserve">a tirzepatida não está na lista de substâncias proibidas da WADA (situação em 2026, verificar atualização).</w:t>
      </w:r>
    </w:p>
    <w:p>
      <w:pPr>
        <w:numPr>
          <w:ilvl w:val="0"/>
          <w:numId w:val="1065"/>
        </w:numPr>
        <w:pStyle w:val="Compact"/>
      </w:pPr>
      <w:r>
        <w:rPr>
          <w:bCs/>
          <w:b/>
        </w:rPr>
        <w:t xml:space="preserve">Mercado cinza:</w:t>
      </w:r>
      <w:r>
        <w:t xml:space="preserve"> </w:t>
      </w:r>
      <w:r>
        <w:t xml:space="preserve">o comércio de produtos de tirzepatida não aprovados (</w:t>
      </w:r>
      <w:r>
        <w:t xml:space="preserve">“</w:t>
      </w:r>
      <w:r>
        <w:t xml:space="preserve">for research use only</w:t>
      </w:r>
      <w:r>
        <w:t xml:space="preserve">”</w:t>
      </w:r>
      <w:r>
        <w:t xml:space="preserve">) não é, na UE, uma via legal para obter o medicamento; os produtos não passam por nenhum controle de qualidade.</w:t>
      </w:r>
    </w:p>
    <w:bookmarkEnd w:id="528"/>
    <w:bookmarkStart w:id="534" w:name="estudos-em-andamento-e-perspectivas-4"/>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066"/>
        </w:numPr>
        <w:pStyle w:val="Compact"/>
      </w:pPr>
      <w:r>
        <w:rPr>
          <w:bCs/>
          <w:b/>
        </w:rPr>
        <w:t xml:space="preserve">SURMOUNT-MMO</w:t>
      </w:r>
      <w:r>
        <w:rPr>
          <w:rStyle w:val="FootnoteReference"/>
        </w:rPr>
        <w:footnoteReference w:id="529"/>
      </w:r>
      <w:r>
        <w:t xml:space="preserve">: estudo de desfechos com cerca de 15.000 pessoas com obesidade sem diabetes e alto risco cardiovascular, tirzepatida contra placebo. O desfecho principal são infarto, AVC, revascularização, eventos de insuficiência cardíaca e morte por qualquer causa; término previsto para 2027. Segundo a publicação do desenho, é o primeiro estudo de desfechos com incretinas que investiga tanto a prevenção primária quanto a secundária de doenças cardiovasculares</w:t>
      </w:r>
      <w:r>
        <w:rPr>
          <w:rStyle w:val="FootnoteReference"/>
        </w:rPr>
        <w:footnoteReference w:id="530"/>
      </w:r>
      <w:r>
        <w:t xml:space="preserve">.</w:t>
      </w:r>
    </w:p>
    <w:p>
      <w:pPr>
        <w:numPr>
          <w:ilvl w:val="0"/>
          <w:numId w:val="1066"/>
        </w:numPr>
        <w:pStyle w:val="Compact"/>
      </w:pPr>
      <w:r>
        <w:rPr>
          <w:bCs/>
          <w:b/>
        </w:rPr>
        <w:t xml:space="preserve">SYNERGY-Outcomes</w:t>
      </w:r>
      <w:r>
        <w:rPr>
          <w:rStyle w:val="FootnoteReference"/>
        </w:rPr>
        <w:footnoteReference w:id="531"/>
      </w:r>
      <w:r>
        <w:t xml:space="preserve">: protocolo mestre de fase 3 sobre doença hepática gordurosa, com 4.500 participantes previstos.</w:t>
      </w:r>
    </w:p>
    <w:p>
      <w:pPr>
        <w:numPr>
          <w:ilvl w:val="0"/>
          <w:numId w:val="1066"/>
        </w:numPr>
        <w:pStyle w:val="Compact"/>
      </w:pPr>
      <w:r>
        <w:rPr>
          <w:bCs/>
          <w:b/>
        </w:rPr>
        <w:t xml:space="preserve">Diabetes tipo 1 com obesidade</w:t>
      </w:r>
      <w:r>
        <w:rPr>
          <w:rStyle w:val="FootnoteReference"/>
        </w:rPr>
        <w:footnoteReference w:id="532"/>
      </w:r>
      <w:r>
        <w:t xml:space="preserve">: dois estudos de fase 3.</w:t>
      </w:r>
    </w:p>
    <w:p>
      <w:pPr>
        <w:numPr>
          <w:ilvl w:val="0"/>
          <w:numId w:val="1066"/>
        </w:numPr>
        <w:pStyle w:val="Compact"/>
      </w:pPr>
      <w:r>
        <w:rPr>
          <w:bCs/>
          <w:b/>
        </w:rPr>
        <w:t xml:space="preserve">Adolescentes com obesidade</w:t>
      </w:r>
      <w:r>
        <w:t xml:space="preserve"> </w:t>
      </w:r>
      <w:r>
        <w:t xml:space="preserve">(NCT06439277, SURMOUNT-ADOLESCENTS-2) e crianças</w:t>
      </w:r>
      <w:r>
        <w:rPr>
          <w:rStyle w:val="FootnoteReference"/>
        </w:rPr>
        <w:footnoteReference w:id="533"/>
      </w:r>
      <w:r>
        <w:t xml:space="preserve">.</w:t>
      </w:r>
    </w:p>
    <w:p>
      <w:pPr>
        <w:numPr>
          <w:ilvl w:val="0"/>
          <w:numId w:val="1066"/>
        </w:numPr>
        <w:pStyle w:val="Compact"/>
      </w:pPr>
      <w:r>
        <w:rPr>
          <w:bCs/>
          <w:b/>
        </w:rPr>
        <w:t xml:space="preserve">Comparação direta com a sucessora retatrutida</w:t>
      </w:r>
      <w:r>
        <w:t xml:space="preserve"> </w:t>
      </w:r>
      <w:r>
        <w:t xml:space="preserve">(NCT06662383, ver o capítulo sobre a retatrutida).</w:t>
      </w:r>
    </w:p>
    <w:p>
      <w:pPr>
        <w:numPr>
          <w:ilvl w:val="0"/>
          <w:numId w:val="1066"/>
        </w:numPr>
        <w:pStyle w:val="Compact"/>
      </w:pPr>
      <w:r>
        <w:t xml:space="preserve">Numerosos estudos sobre artrose de joelho, psoríase, doenças renais e AVC.</w:t>
      </w:r>
    </w:p>
    <w:p>
      <w:pPr>
        <w:pStyle w:val="FirstParagraph"/>
      </w:pPr>
      <w:r>
        <w:rPr>
          <w:bCs/>
          <w:b/>
        </w:rPr>
        <w:t xml:space="preserve">Avaliação:</w:t>
      </w:r>
      <w:r>
        <w:t xml:space="preserve"> </w:t>
      </w:r>
      <w:r>
        <w:t xml:space="preserve">em 2026, a tirzepatida é a referência pela qual os novos medicamentos para emagrecer precisam ser medidos. A próxima grande questão é se o SURMOUNT-MMO mostrará, em pessoas sem diabetes, um benefício cardiovascular semelhante ao que o estudo SELECT mostrou para a semaglutida. A concorrência vem de agonistas triplos (retatrutida), combinações com amilina (CagriSema, amicretina) e comprimidos (orforglipron). Quando as patentes expiram e preparações genéricas mais baratas se tornam possíveis é tratado na Parte V.</w:t>
      </w:r>
    </w:p>
    <w:bookmarkEnd w:id="534"/>
    <w:bookmarkStart w:id="535" w:name="conclusão-4"/>
    <w:p>
      <w:pPr>
        <w:pStyle w:val="Heading3"/>
      </w:pPr>
      <w:r>
        <w:t xml:space="preserve">Conclusão</w:t>
      </w:r>
    </w:p>
    <w:p>
      <w:pPr>
        <w:pStyle w:val="FirstParagraph"/>
      </w:pPr>
      <w:r>
        <w:t xml:space="preserve">A tirzepatida é um agonista duplo GIP/GLP-1 estudado em um dos maiores programas de pesquisa da medicina do diabetes e da obesidade. No SURMOUNT-1, o peso corporal caiu na dose mais alta, em média, cerca de 21%; na comparação direta com a semaglutida (SURMOUNT-5), 20,2% contra 13,7%. Contra a dulaglutida, foi não inferior em eventos cardiovasculares; na insuficiência cardíaca com fração de ejeção preservada e na apneia do sono, mostraram-se efeitos favoráveis. Os efeitos colaterais afetam sobretudo o trato gastrointestinal e a vesícula biliar; após a suspensão, grande parte do peso volta. O tratamento deve ficar nas mãos de um médico – com a preparação original, não com produtos do mercado cinza.</w:t>
      </w:r>
    </w:p>
    <w:bookmarkEnd w:id="535"/>
    <w:bookmarkEnd w:id="536"/>
    <w:bookmarkStart w:id="576" w:name="retatrutida"/>
    <w:p>
      <w:pPr>
        <w:pStyle w:val="Heading2"/>
      </w:pPr>
      <w:r>
        <w:t xml:space="preserve">Retatrutida</w:t>
      </w:r>
    </w:p>
    <w:bookmarkStart w:id="537" w:name="ficha-técnica-5"/>
    <w:p>
      <w:pPr>
        <w:pStyle w:val="Heading3"/>
      </w:pPr>
      <w:r>
        <w:t xml:space="preserve">Ficha técnica</w:t>
      </w:r>
    </w:p>
    <w:p>
      <w:pPr>
        <w:numPr>
          <w:ilvl w:val="0"/>
          <w:numId w:val="1067"/>
        </w:numPr>
        <w:pStyle w:val="Compact"/>
      </w:pPr>
      <w:r>
        <w:rPr>
          <w:bCs/>
          <w:b/>
        </w:rPr>
        <w:t xml:space="preserve">Tipo/estrutura:</w:t>
      </w:r>
      <w:r>
        <w:t xml:space="preserve"> </w:t>
      </w:r>
      <w:r>
        <w:t xml:space="preserve">peptídeo sintético com uma cadeia de ácido graxo acoplada, para administração subcutânea uma vez por semana; código de desenvolvimento LY3437943.</w:t>
      </w:r>
    </w:p>
    <w:p>
      <w:pPr>
        <w:numPr>
          <w:ilvl w:val="0"/>
          <w:numId w:val="1067"/>
        </w:numPr>
        <w:pStyle w:val="Compact"/>
      </w:pPr>
      <w:r>
        <w:rPr>
          <w:bCs/>
          <w:b/>
        </w:rPr>
        <w:t xml:space="preserve">Origem:</w:t>
      </w:r>
      <w:r>
        <w:t xml:space="preserve"> </w:t>
      </w:r>
      <w:r>
        <w:t xml:space="preserve">desenvolvida pela Eli Lilly como sucessora da tirzepatida.</w:t>
      </w:r>
    </w:p>
    <w:p>
      <w:pPr>
        <w:numPr>
          <w:ilvl w:val="0"/>
          <w:numId w:val="1067"/>
        </w:numPr>
        <w:pStyle w:val="Compact"/>
      </w:pPr>
      <w:r>
        <w:rPr>
          <w:bCs/>
          <w:b/>
        </w:rPr>
        <w:t xml:space="preserve">Princípio de ação:</w:t>
      </w:r>
      <w:r>
        <w:t xml:space="preserve"> </w:t>
      </w:r>
      <w:r>
        <w:t xml:space="preserve">“</w:t>
      </w:r>
      <w:r>
        <w:t xml:space="preserve">agonista triplo</w:t>
      </w:r>
      <w:r>
        <w:t xml:space="preserve">”</w:t>
      </w:r>
      <w:r>
        <w:t xml:space="preserve"> </w:t>
      </w:r>
      <w:r>
        <w:t xml:space="preserve">em três receptores: GIP, GLP-1 e glucagon. Na mídia, muitas vezes chamada de</w:t>
      </w:r>
      <w:r>
        <w:t xml:space="preserve"> </w:t>
      </w:r>
      <w:r>
        <w:t xml:space="preserve">“</w:t>
      </w:r>
      <w:r>
        <w:t xml:space="preserve">Triple G</w:t>
      </w:r>
      <w:r>
        <w:t xml:space="preserve">”</w:t>
      </w:r>
      <w:r>
        <w:t xml:space="preserve">.</w:t>
      </w:r>
    </w:p>
    <w:p>
      <w:pPr>
        <w:numPr>
          <w:ilvl w:val="0"/>
          <w:numId w:val="1067"/>
        </w:numPr>
        <w:pStyle w:val="Compact"/>
      </w:pPr>
      <w:r>
        <w:rPr>
          <w:bCs/>
          <w:b/>
        </w:rPr>
        <w:t xml:space="preserve">Aprovação UE:</w:t>
      </w:r>
      <w:r>
        <w:t xml:space="preserve"> </w:t>
      </w:r>
      <w:r>
        <w:t xml:space="preserve">não (situação em outubro de 2026; programa de fase 3 TRIUMPH parcialmente concluído).</w:t>
      </w:r>
    </w:p>
    <w:p>
      <w:pPr>
        <w:numPr>
          <w:ilvl w:val="0"/>
          <w:numId w:val="1067"/>
        </w:numPr>
        <w:pStyle w:val="Compact"/>
      </w:pPr>
      <w:r>
        <w:rPr>
          <w:bCs/>
          <w:b/>
        </w:rPr>
        <w:t xml:space="preserve">Aprovação EUA:</w:t>
      </w:r>
      <w:r>
        <w:t xml:space="preserve"> </w:t>
      </w:r>
      <w:r>
        <w:t xml:space="preserve">não (situação em outubro de 2026, verificar atualização).</w:t>
      </w:r>
    </w:p>
    <w:p>
      <w:pPr>
        <w:numPr>
          <w:ilvl w:val="0"/>
          <w:numId w:val="1067"/>
        </w:numPr>
        <w:pStyle w:val="Compact"/>
      </w:pPr>
      <w:r>
        <w:rPr>
          <w:bCs/>
          <w:b/>
        </w:rPr>
        <w:t xml:space="preserve">WADA:</w:t>
      </w:r>
      <w:r>
        <w:t xml:space="preserve"> </w:t>
      </w:r>
      <w:r>
        <w:t xml:space="preserve">não listada nominalmente; mas, por ser uma substância não aprovada em nenhum lugar, a retatrutida se enquadra na classe S0</w:t>
      </w:r>
      <w:r>
        <w:t xml:space="preserve"> </w:t>
      </w:r>
      <w:r>
        <w:t xml:space="preserve">“</w:t>
      </w:r>
      <w:r>
        <w:t xml:space="preserve">Substâncias não aprovadas</w:t>
      </w:r>
      <w:r>
        <w:t xml:space="preserve">”</w:t>
      </w:r>
      <w:r>
        <w:t xml:space="preserve"> </w:t>
      </w:r>
      <w:r>
        <w:t xml:space="preserve">e, portanto, é proibida no esporte em qualquer momento.</w:t>
      </w:r>
    </w:p>
    <w:p>
      <w:pPr>
        <w:numPr>
          <w:ilvl w:val="0"/>
          <w:numId w:val="1067"/>
        </w:numPr>
        <w:pStyle w:val="Compact"/>
      </w:pPr>
      <w:r>
        <w:rPr>
          <w:bCs/>
          <w:b/>
        </w:rPr>
        <w:t xml:space="preserve">Nível de evidência:</w:t>
      </w:r>
      <w:r>
        <w:t xml:space="preserve"> </w:t>
      </w:r>
      <w:r>
        <w:rPr>
          <w:bCs/>
          <w:b/>
        </w:rPr>
        <w:t xml:space="preserve">B</w:t>
      </w:r>
      <w:r>
        <w:t xml:space="preserve"> </w:t>
      </w:r>
      <w:r>
        <w:t xml:space="preserve">– vários grandes estudos de fase 3 publicados, mas ainda sem aprovação e sem dados de desfechos cardíacos e renais. Com uma aprovação, seria atingido o nível A.</w:t>
      </w:r>
    </w:p>
    <w:bookmarkEnd w:id="537"/>
    <w:bookmarkStart w:id="541" w:name="como-deveria-agir-5"/>
    <w:p>
      <w:pPr>
        <w:pStyle w:val="Heading3"/>
      </w:pPr>
      <w:r>
        <w:t xml:space="preserve">Como deveria agir</w:t>
      </w:r>
    </w:p>
    <w:p>
      <w:pPr>
        <w:pStyle w:val="FirstParagraph"/>
      </w:pPr>
      <w:r>
        <w:t xml:space="preserve">A retatrutida parte do princípio da tirzepatida (veja esse capítulo) e acrescenta um terceiro alvo: o receptor de glucagon. À primeira vista isso parece contraditório, pois o glucagon é o</w:t>
      </w:r>
      <w:r>
        <w:t xml:space="preserve"> </w:t>
      </w:r>
      <w:r>
        <w:t xml:space="preserve">“</w:t>
      </w:r>
      <w:r>
        <w:t xml:space="preserve">contra-hormônio</w:t>
      </w:r>
      <w:r>
        <w:t xml:space="preserve">”</w:t>
      </w:r>
      <w:r>
        <w:t xml:space="preserve"> </w:t>
      </w:r>
      <w:r>
        <w:t xml:space="preserve">da insulina – ele faz o fígado liberar açúcar e eleva a glicemia. Mas o glucagon tem outros efeitos: aumenta o gasto energético, favorece a degradação de gordura no fígado e contribui para a saciedade. A ideia por trás da retatrutida é aproveitar esses efeitos favoráveis, enquanto a parte GLP-1 e GIP compensa o efeito de elevação da glicemia.</w:t>
      </w:r>
    </w:p>
    <w:p>
      <w:pPr>
        <w:pStyle w:val="BodyText"/>
      </w:pPr>
      <w:r>
        <w:t xml:space="preserve">Em experimentos com células, a retatrutida age com intensidade semelhante nos receptores de glucagon e de GLP-1, e com mais força no receptor de GIP. Em camundongos com excesso de peso, a parte glucagon intensificou a perda de peso por meio de um gasto energético maior, enquanto GIP e GLP-1 reduziram a ingestão calórica</w:t>
      </w:r>
      <w:r>
        <w:rPr>
          <w:rStyle w:val="FootnoteReference"/>
        </w:rPr>
        <w:footnoteReference w:id="538"/>
      </w:r>
      <w:r>
        <w:t xml:space="preserve">. Se o gasto energético também aumenta de forma relevante em humanos ainda não foi suficientemente estudado; um estudo de fase 1 correspondente está registrado</w:t>
      </w:r>
      <w:r>
        <w:rPr>
          <w:rStyle w:val="FootnoteReference"/>
        </w:rPr>
        <w:footnoteReference w:id="539"/>
      </w:r>
      <w:r>
        <w:t xml:space="preserve">.</w:t>
      </w:r>
    </w:p>
    <w:p>
      <w:pPr>
        <w:pStyle w:val="BodyText"/>
      </w:pPr>
      <w:r>
        <w:t xml:space="preserve">Em humanos, participantes de um estudo de fase 2 relataram, com doses mais altas, menos fome e menos tendência à</w:t>
      </w:r>
      <w:r>
        <w:t xml:space="preserve"> </w:t>
      </w:r>
      <w:r>
        <w:t xml:space="preserve">“</w:t>
      </w:r>
      <w:r>
        <w:t xml:space="preserve">perda de controle</w:t>
      </w:r>
      <w:r>
        <w:t xml:space="preserve">”</w:t>
      </w:r>
      <w:r>
        <w:t xml:space="preserve"> </w:t>
      </w:r>
      <w:r>
        <w:t xml:space="preserve">ao comer; essas mudanças estavam relacionadas à perda de peso</w:t>
      </w:r>
      <w:r>
        <w:rPr>
          <w:rStyle w:val="FootnoteReference"/>
        </w:rPr>
        <w:footnoteReference w:id="540"/>
      </w:r>
      <w:r>
        <w:t xml:space="preserve">.</w:t>
      </w:r>
    </w:p>
    <w:bookmarkEnd w:id="541"/>
    <w:bookmarkStart w:id="556" w:name="estudos-em-humanos-5"/>
    <w:p>
      <w:pPr>
        <w:pStyle w:val="Heading3"/>
      </w:pPr>
      <w:r>
        <w:t xml:space="preserve">Estudos em humanos</w:t>
      </w:r>
    </w:p>
    <w:p>
      <w:pPr>
        <w:pStyle w:val="FirstParagraph"/>
      </w:pPr>
      <w:r>
        <w:rPr>
          <w:bCs/>
          <w:b/>
        </w:rPr>
        <w:t xml:space="preserve">Dimensão da base de estudos:</w:t>
      </w:r>
      <w:r>
        <w:t xml:space="preserve"> </w:t>
      </w:r>
      <w:r>
        <w:t xml:space="preserve">a consulta automatizada ao PubMed (outubro de 2026) encontrou 10 estudos em humanos, complementados pela busca direcionada das publicações de fase 1 e fase 3. No ClinicalTrials.gov havia 32 estudos registrados (um registro de exemplo obviamente fictício não foi contado), entre eles o programa de aprovação TRIUMPH (obesidade) e TRANSCEND (diabetes tipo 2). Para uma substância sem aprovação, essa é uma base de dados excepcionalmente sólida – embora venha quase inteiramente de estudos financiados pelo fabricante.</w:t>
      </w:r>
    </w:p>
    <w:bookmarkStart w:id="544" w:name="estudos-iniciais"/>
    <w:p>
      <w:pPr>
        <w:pStyle w:val="Heading4"/>
      </w:pPr>
      <w:r>
        <w:t xml:space="preserve">Estudos iniciais</w:t>
      </w:r>
    </w:p>
    <w:p>
      <w:pPr>
        <w:pStyle w:val="FirstParagraph"/>
      </w:pPr>
      <w:r>
        <w:t xml:space="preserve">Depois de um estudo de dose única em pessoas saudáveis, no qual o peso corporal permaneceu reduzido por até 43 dias após uma única injeção</w:t>
      </w:r>
      <w:r>
        <w:rPr>
          <w:rStyle w:val="FootnoteReference"/>
        </w:rPr>
        <w:footnoteReference w:id="542"/>
      </w:r>
      <w:r>
        <w:t xml:space="preserve">, seguiu-se um estudo de fase 1b de doze semanas com 72 pessoas com diabetes tipo 2. A meia-vida foi de cerca de seis dias, o que permite a administração semanal. No grupo de dose mais alta, a perda de peso em relação ao placebo chegou a quase 9 kg</w:t>
      </w:r>
      <w:r>
        <w:rPr>
          <w:rStyle w:val="FootnoteReference"/>
        </w:rPr>
        <w:footnoteReference w:id="543"/>
      </w:r>
      <w:r>
        <w:t xml:space="preserve">.</w:t>
      </w:r>
    </w:p>
    <w:bookmarkEnd w:id="544"/>
    <w:bookmarkStart w:id="550" w:name="fase-2-obesidade-e-diabetes-tipo-2"/>
    <w:p>
      <w:pPr>
        <w:pStyle w:val="Heading4"/>
      </w:pPr>
      <w:r>
        <w:t xml:space="preserve">Fase 2: obesidade e diabetes tipo 2</w:t>
      </w:r>
    </w:p>
    <w:p>
      <w:pPr>
        <w:pStyle w:val="FirstParagraph"/>
      </w:pPr>
      <w:r>
        <w:t xml:space="preserve">O estudo de fase 2 em obesidade ganhou as manchetes em 2023</w:t>
      </w:r>
      <w:r>
        <w:rPr>
          <w:rStyle w:val="FootnoteReference"/>
        </w:rPr>
        <w:footnoteReference w:id="545"/>
      </w:r>
      <w:r>
        <w:t xml:space="preserve">. 338 adultos receberam diferentes doses ou placebo durante 48 semanas. No grupo de dose mais alta, o peso corporal diminuiu em média 24,2% (placebo: −2,1%); 83% desse grupo perderam pelo menos 15%. Esses foram os maiores valores medidos até então em um estudo de medicamento para obesidade. Os efeitos colaterais gastrointestinais aumentaram com a dose e foram menores com um escalonamento mais lento. A frequência cardíaca subiu de forma dependente da dose, atingiu seu pico após 24 semanas e depois diminuiu.</w:t>
      </w:r>
    </w:p>
    <w:p>
      <w:pPr>
        <w:pStyle w:val="BodyText"/>
      </w:pPr>
      <w:r>
        <w:t xml:space="preserve">O estudo paralelo de fase 2 em 281 pessoas com diabetes tipo 2 mostrou, após 24 semanas, reduções de HbA1c de até 2,02 pontos percentuais (dulaglutida: −1,41) e, após 36 semanas, perda de peso de até 16,94%</w:t>
      </w:r>
      <w:r>
        <w:rPr>
          <w:rStyle w:val="FootnoteReference"/>
        </w:rPr>
        <w:footnoteReference w:id="546"/>
      </w:r>
      <w:r>
        <w:t xml:space="preserve">. Em um subestudo com medição da composição corporal (DXA), a massa gorda caiu 23–26% com as doses mais altas</w:t>
      </w:r>
      <w:r>
        <w:rPr>
          <w:rStyle w:val="FootnoteReference"/>
        </w:rPr>
        <w:footnoteReference w:id="547"/>
      </w:r>
      <w:r>
        <w:t xml:space="preserve">.</w:t>
      </w:r>
    </w:p>
    <w:p>
      <w:pPr>
        <w:pStyle w:val="BodyText"/>
      </w:pPr>
      <w:r>
        <w:t xml:space="preserve">Um subestudo com 98 participantes com fígado gorduroso (pelo menos 10% de gordura hepática) encontrou, após 24 semanas, uma redução relativa da gordura hepática de até 82,4%; com a dose mais alta, 86% tinham depois valores normais de gordura no fígado, no placebo ninguém</w:t>
      </w:r>
      <w:r>
        <w:rPr>
          <w:rStyle w:val="FootnoteReference"/>
        </w:rPr>
        <w:footnoteReference w:id="548"/>
      </w:r>
      <w:r>
        <w:t xml:space="preserve">. O teor de gordura hepática é um parâmetro substituto (desfecho substituto) – ainda não foi demonstrado se isso reduz inflamação hepática, fibrose e cirrose.</w:t>
      </w:r>
    </w:p>
    <w:p>
      <w:pPr>
        <w:pStyle w:val="BodyText"/>
      </w:pPr>
      <w:r>
        <w:t xml:space="preserve">Análises posteriores dos estudos de fase 2 mostraram melhoras nos lipídios sanguíneos e em marcadores inflamatórios, por exemplo um colesterol não HDL até 26,9% menor e um valor de PCR 54,8% menor no estudo de obesidade</w:t>
      </w:r>
      <w:r>
        <w:rPr>
          <w:rStyle w:val="FootnoteReference"/>
        </w:rPr>
        <w:footnoteReference w:id="549"/>
      </w:r>
      <w:r>
        <w:t xml:space="preserve">. Também esses são valores laboratoriais, não desfechos clínicos duros.</w:t>
      </w:r>
    </w:p>
    <w:bookmarkEnd w:id="550"/>
    <w:bookmarkStart w:id="555" w:name="fase-3-o-programa-triumph-e-transcend"/>
    <w:p>
      <w:pPr>
        <w:pStyle w:val="Heading4"/>
      </w:pPr>
      <w:r>
        <w:t xml:space="preserve">Fase 3: o programa TRIUMPH e TRANSCEND</w:t>
      </w:r>
    </w:p>
    <w:p>
      <w:pPr>
        <w:pStyle w:val="FirstParagraph"/>
      </w:pPr>
      <w:r>
        <w:t xml:space="preserve">O programa de aprovação para obesidade, TRIUMPH, compreende quatro estudos com, ao todo, mais de 5.800 participantes. Uma particularidade é o desenho</w:t>
      </w:r>
      <w:r>
        <w:t xml:space="preserve"> </w:t>
      </w:r>
      <w:r>
        <w:t xml:space="preserve">“</w:t>
      </w:r>
      <w:r>
        <w:t xml:space="preserve">basket</w:t>
      </w:r>
      <w:r>
        <w:t xml:space="preserve">”</w:t>
      </w:r>
      <w:r>
        <w:t xml:space="preserve">: dentro dos grandes estudos de peso, subgrupos com artrose de joelho ou apneia do sono foram avaliados com desfechos primários próprios</w:t>
      </w:r>
      <w:r>
        <w:rPr>
          <w:rStyle w:val="FootnoteReference"/>
        </w:rPr>
        <w:footnoteReference w:id="551"/>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Fase 2 obesidade (Jastreboff 2023), PMID 37366315</w:t>
            </w:r>
          </w:p>
        </w:tc>
        <w:tc>
          <w:tcPr/>
          <w:p>
            <w:pPr>
              <w:pStyle w:val="Compact"/>
              <w:jc w:val="left"/>
            </w:pPr>
            <w:r>
              <w:t xml:space="preserve">338 adultos sem diabetes, contra placebo</w:t>
            </w:r>
          </w:p>
        </w:tc>
        <w:tc>
          <w:tcPr/>
          <w:p>
            <w:pPr>
              <w:pStyle w:val="Compact"/>
              <w:jc w:val="left"/>
            </w:pPr>
            <w:r>
              <w:t xml:space="preserve">48 semanas</w:t>
            </w:r>
          </w:p>
        </w:tc>
        <w:tc>
          <w:tcPr/>
          <w:p>
            <w:pPr>
              <w:pStyle w:val="Compact"/>
              <w:jc w:val="left"/>
            </w:pPr>
            <w:r>
              <w:t xml:space="preserve">até −24,2% de peso vs. −2,1%</w:t>
            </w:r>
          </w:p>
        </w:tc>
      </w:tr>
      <w:tr>
        <w:tc>
          <w:tcPr/>
          <w:p>
            <w:pPr>
              <w:pStyle w:val="Compact"/>
              <w:jc w:val="left"/>
            </w:pPr>
            <w:r>
              <w:t xml:space="preserve">Fase 2 diabetes tipo 2 (Rosenstock 2023), PMID 37385280</w:t>
            </w:r>
          </w:p>
        </w:tc>
        <w:tc>
          <w:tcPr/>
          <w:p>
            <w:pPr>
              <w:pStyle w:val="Compact"/>
              <w:jc w:val="left"/>
            </w:pPr>
            <w:r>
              <w:t xml:space="preserve">281 adultos, contra placebo e dulaglutida</w:t>
            </w:r>
          </w:p>
        </w:tc>
        <w:tc>
          <w:tcPr/>
          <w:p>
            <w:pPr>
              <w:pStyle w:val="Compact"/>
              <w:jc w:val="left"/>
            </w:pPr>
            <w:r>
              <w:t xml:space="preserve">36 semanas</w:t>
            </w:r>
          </w:p>
        </w:tc>
        <w:tc>
          <w:tcPr/>
          <w:p>
            <w:pPr>
              <w:pStyle w:val="Compact"/>
              <w:jc w:val="left"/>
            </w:pPr>
            <w:r>
              <w:t xml:space="preserve">HbA1c até −2,02 pontos; peso até −16,94%</w:t>
            </w:r>
          </w:p>
        </w:tc>
      </w:tr>
      <w:tr>
        <w:tc>
          <w:tcPr/>
          <w:p>
            <w:pPr>
              <w:pStyle w:val="Compact"/>
              <w:jc w:val="left"/>
            </w:pPr>
            <w:r>
              <w:t xml:space="preserve">TRIUMPH-1 (Jastreboff 2026), PMID 42814954</w:t>
            </w:r>
          </w:p>
        </w:tc>
        <w:tc>
          <w:tcPr/>
          <w:p>
            <w:pPr>
              <w:pStyle w:val="Compact"/>
              <w:jc w:val="left"/>
            </w:pPr>
            <w:r>
              <w:t xml:space="preserve">2.339 adultos com obesidade sem diabetes, contra placebo</w:t>
            </w:r>
          </w:p>
        </w:tc>
        <w:tc>
          <w:tcPr/>
          <w:p>
            <w:pPr>
              <w:pStyle w:val="Compact"/>
              <w:jc w:val="left"/>
            </w:pPr>
            <w:r>
              <w:t xml:space="preserve">80 semanas</w:t>
            </w:r>
          </w:p>
        </w:tc>
        <w:tc>
          <w:tcPr/>
          <w:p>
            <w:pPr>
              <w:pStyle w:val="Compact"/>
              <w:jc w:val="left"/>
            </w:pPr>
            <w:r>
              <w:t xml:space="preserve">−17,6 / −23,7 / −25,0% (4/9/12 mg) vs. −3,9%</w:t>
            </w:r>
          </w:p>
        </w:tc>
      </w:tr>
      <w:tr>
        <w:tc>
          <w:tcPr/>
          <w:p>
            <w:pPr>
              <w:pStyle w:val="Compact"/>
              <w:jc w:val="left"/>
            </w:pPr>
            <w:r>
              <w:t xml:space="preserve">TRIUMPH-2 (Bellido 2026), PMID 42810372</w:t>
            </w:r>
          </w:p>
        </w:tc>
        <w:tc>
          <w:tcPr/>
          <w:p>
            <w:pPr>
              <w:pStyle w:val="Compact"/>
              <w:jc w:val="left"/>
            </w:pPr>
            <w:r>
              <w:t xml:space="preserve">1.152 adultos com obesidade e diabetes tipo 2, contra placebo</w:t>
            </w:r>
          </w:p>
        </w:tc>
        <w:tc>
          <w:tcPr/>
          <w:p>
            <w:pPr>
              <w:pStyle w:val="Compact"/>
              <w:jc w:val="left"/>
            </w:pPr>
            <w:r>
              <w:t xml:space="preserve">80 semanas</w:t>
            </w:r>
          </w:p>
        </w:tc>
        <w:tc>
          <w:tcPr/>
          <w:p>
            <w:pPr>
              <w:pStyle w:val="Compact"/>
              <w:jc w:val="left"/>
            </w:pPr>
            <w:r>
              <w:t xml:space="preserve">−11,9 / −16,8 / −18,8% vs. −5,1%</w:t>
            </w:r>
          </w:p>
        </w:tc>
      </w:tr>
      <w:tr>
        <w:tc>
          <w:tcPr/>
          <w:p>
            <w:pPr>
              <w:pStyle w:val="Compact"/>
              <w:jc w:val="left"/>
            </w:pPr>
            <w:r>
              <w:t xml:space="preserve">TRANSCEND-T2D-1 (Bajaj 2026), PMID 42250575</w:t>
            </w:r>
          </w:p>
        </w:tc>
        <w:tc>
          <w:tcPr/>
          <w:p>
            <w:pPr>
              <w:pStyle w:val="Compact"/>
              <w:jc w:val="left"/>
            </w:pPr>
            <w:r>
              <w:t xml:space="preserve">537 adultos com diabetes tipo 2 sem medicação, contra placebo</w:t>
            </w:r>
          </w:p>
        </w:tc>
        <w:tc>
          <w:tcPr/>
          <w:p>
            <w:pPr>
              <w:pStyle w:val="Compact"/>
              <w:jc w:val="left"/>
            </w:pPr>
            <w:r>
              <w:t xml:space="preserve">40 semanas</w:t>
            </w:r>
          </w:p>
        </w:tc>
        <w:tc>
          <w:tcPr/>
          <w:p>
            <w:pPr>
              <w:pStyle w:val="Compact"/>
              <w:jc w:val="left"/>
            </w:pPr>
            <w:r>
              <w:t xml:space="preserve">HbA1c −1,69 a −1,94 vs. −0,81; peso até −15,3%</w:t>
            </w:r>
          </w:p>
        </w:tc>
      </w:tr>
    </w:tbl>
    <w:p>
      <w:pPr>
        <w:pStyle w:val="BodyText"/>
      </w:pPr>
      <w:r>
        <w:rPr>
          <w:bCs/>
          <w:b/>
        </w:rPr>
        <w:t xml:space="preserve">TRIUMPH-1</w:t>
      </w:r>
      <w:r>
        <w:rPr>
          <w:rStyle w:val="FootnoteReference"/>
        </w:rPr>
        <w:footnoteReference w:id="552"/>
      </w:r>
      <w:r>
        <w:t xml:space="preserve"> </w:t>
      </w:r>
      <w:r>
        <w:t xml:space="preserve">é o estudo principal. Em 2.339 adultos com obesidade sem diabetes, o peso corporal diminuiu, após 80 semanas, em média 25,0% com a dose mais alta. Para comparação: no SURMOUNT-1, a tirzepatida atingiu 20,9% com a dose mais alta após 72 semanas. Uma comparação cruzada desse tipo entre estudos com duração e populações diferentes é, no entanto, apenas uma orientação grosseira; a comparação direta deverá vir de um estudo em andamento (veja Perspectivas).</w:t>
      </w:r>
    </w:p>
    <w:p>
      <w:pPr>
        <w:pStyle w:val="BodyText"/>
      </w:pPr>
      <w:r>
        <w:t xml:space="preserve">Nos subestudos incorporados:</w:t>
      </w:r>
    </w:p>
    <w:p>
      <w:pPr>
        <w:numPr>
          <w:ilvl w:val="0"/>
          <w:numId w:val="1068"/>
        </w:numPr>
        <w:pStyle w:val="Compact"/>
      </w:pPr>
      <w:r>
        <w:rPr>
          <w:bCs/>
          <w:b/>
        </w:rPr>
        <w:t xml:space="preserve">Artrose de joelho</w:t>
      </w:r>
      <w:r>
        <w:t xml:space="preserve"> </w:t>
      </w:r>
      <w:r>
        <w:t xml:space="preserve">(574 participantes): a pontuação de dor (WOMAC, escala de 1 a 10) caiu 3,5 e 3,6 pontos com 9 e 12 mg, respectivamente, contra 1,9 ponto com placebo.</w:t>
      </w:r>
    </w:p>
    <w:p>
      <w:pPr>
        <w:numPr>
          <w:ilvl w:val="0"/>
          <w:numId w:val="1068"/>
        </w:numPr>
        <w:pStyle w:val="Compact"/>
      </w:pPr>
      <w:r>
        <w:rPr>
          <w:bCs/>
          <w:b/>
        </w:rPr>
        <w:t xml:space="preserve">Apneia do sono</w:t>
      </w:r>
      <w:r>
        <w:t xml:space="preserve"> </w:t>
      </w:r>
      <w:r>
        <w:t xml:space="preserve">(243 participantes): o índice de apneia-hipopneia diminuiu cerca de 32 a 34 eventos por hora; com placebo, quase 10.</w:t>
      </w:r>
    </w:p>
    <w:p>
      <w:pPr>
        <w:pStyle w:val="FirstParagraph"/>
      </w:pPr>
      <w:r>
        <w:rPr>
          <w:bCs/>
          <w:b/>
        </w:rPr>
        <w:t xml:space="preserve">TRIUMPH-2</w:t>
      </w:r>
      <w:r>
        <w:rPr>
          <w:rStyle w:val="FootnoteReference"/>
        </w:rPr>
        <w:footnoteReference w:id="553"/>
      </w:r>
      <w:r>
        <w:t xml:space="preserve"> </w:t>
      </w:r>
      <w:r>
        <w:t xml:space="preserve">confirmou o padrão conhecido de que pessoas com diabetes tipo 2 perdem menos peso: −18,8% com a dose mais alta contra −5,1% com placebo. Esse estudo também forneceu os dados de segurança mais precisos até agora (veja abaixo).</w:t>
      </w:r>
    </w:p>
    <w:p>
      <w:pPr>
        <w:pStyle w:val="BodyText"/>
      </w:pPr>
      <w:r>
        <w:rPr>
          <w:bCs/>
          <w:b/>
        </w:rPr>
        <w:t xml:space="preserve">TRANSCEND-T2D-1</w:t>
      </w:r>
      <w:r>
        <w:rPr>
          <w:rStyle w:val="FootnoteReference"/>
        </w:rPr>
        <w:footnoteReference w:id="554"/>
      </w:r>
      <w:r>
        <w:t xml:space="preserve"> </w:t>
      </w:r>
      <w:r>
        <w:t xml:space="preserve">testou a retatrutida como tratamento único do diabetes em pessoas com diabetes de curta duração. A HbA1c caiu até 1,94 ponto percentual e o peso até 15,3%; não ocorreram hipoglicemias graves.</w:t>
      </w:r>
    </w:p>
    <w:p>
      <w:pPr>
        <w:pStyle w:val="BodyText"/>
      </w:pPr>
      <w:r>
        <w:t xml:space="preserve">Os estudos TRIUMPH-3 (obesidade com doença cardiovascular, NCT05882045) e TRIUMPH-4 (artrose de joelho, NCT05931367) estão concluídos segundo o registro; uma publicação revisada por pares ainda não estava disponível no fechamento editorial destes capítulos.</w:t>
      </w:r>
    </w:p>
    <w:bookmarkEnd w:id="555"/>
    <w:bookmarkEnd w:id="556"/>
    <w:bookmarkStart w:id="560" w:name="estudos-em-animais-e-em-laboratório-5"/>
    <w:p>
      <w:pPr>
        <w:pStyle w:val="Heading3"/>
      </w:pPr>
      <w:r>
        <w:t xml:space="preserve">Estudos em animais e em laboratório</w:t>
      </w:r>
    </w:p>
    <w:p>
      <w:pPr>
        <w:pStyle w:val="FirstParagraph"/>
      </w:pPr>
      <w:r>
        <w:t xml:space="preserve">As bases pré-clínicas vêm predominantemente do fabricante. Em culturas de células, a retatrutida ativa os três receptores; em camundongos com excesso de peso, reduziu peso e glicemia, sendo que a parte glucagon aumentou o gasto energético</w:t>
      </w:r>
      <w:r>
        <w:rPr>
          <w:rStyle w:val="FootnoteReference"/>
        </w:rPr>
        <w:footnoteReference w:id="557"/>
      </w:r>
      <w:r>
        <w:t xml:space="preserve">. Um trabalho em camundongos com excesso de peso descreve que tumores de pâncreas e de pulmão transplantados se implantaram com menos frequência e cresceram mais devagar sob retatrutida</w:t>
      </w:r>
      <w:r>
        <w:rPr>
          <w:rStyle w:val="FootnoteReference"/>
        </w:rPr>
        <w:footnoteReference w:id="558"/>
      </w:r>
      <w:r>
        <w:t xml:space="preserve"> </w:t>
      </w:r>
      <w:r>
        <w:t xml:space="preserve">– um achado em animais do qual nada se pode deduzir para humanos.</w:t>
      </w:r>
    </w:p>
    <w:p>
      <w:pPr>
        <w:pStyle w:val="BodyText"/>
      </w:pPr>
      <w:r>
        <w:t xml:space="preserve">Para a análise antidoping, foi desenvolvido em 2026 um método de detecção. Para isso, foram examinadas amostras de sangue e urina de quatro pessoas que haviam injetado retatrutida por conta própria, fora de estudos. Na urina não foi encontrada retatrutida intacta; no sangue, ela era detectável até cerca de 56 dias após a primeira injeção</w:t>
      </w:r>
      <w:r>
        <w:rPr>
          <w:rStyle w:val="FootnoteReference"/>
        </w:rPr>
        <w:footnoteReference w:id="559"/>
      </w:r>
      <w:r>
        <w:t xml:space="preserve">. As autoras e autores mencionam relatos de uso entre atletas amadores.</w:t>
      </w:r>
    </w:p>
    <w:bookmarkEnd w:id="560"/>
    <w:bookmarkStart w:id="564" w:name="riscos-e-efeitos-colaterais-5"/>
    <w:p>
      <w:pPr>
        <w:pStyle w:val="Heading3"/>
      </w:pPr>
      <w:r>
        <w:t xml:space="preserve">Riscos e efeitos colaterais</w:t>
      </w:r>
    </w:p>
    <w:p>
      <w:pPr>
        <w:pStyle w:val="FirstParagraph"/>
      </w:pPr>
      <w:r>
        <w:rPr>
          <w:bCs/>
          <w:b/>
        </w:rPr>
        <w:t xml:space="preserve">Comprovados em estudos:</w:t>
      </w:r>
    </w:p>
    <w:p>
      <w:pPr>
        <w:numPr>
          <w:ilvl w:val="0"/>
          <w:numId w:val="1069"/>
        </w:numPr>
        <w:pStyle w:val="Compact"/>
      </w:pPr>
      <w:r>
        <w:rPr>
          <w:bCs/>
          <w:b/>
        </w:rPr>
        <w:t xml:space="preserve">Queixas gastrointestinais</w:t>
      </w:r>
      <w:r>
        <w:t xml:space="preserve"> </w:t>
      </w:r>
      <w:r>
        <w:t xml:space="preserve">são os efeitos colaterais mais frequentes e claramente dependentes da dose. No TRIUMPH-2, diarreia ocorreu em 27–34% (placebo 13%) e náusea em 14–28% (placebo 8%)</w:t>
      </w:r>
      <w:r>
        <w:rPr>
          <w:rStyle w:val="FootnoteReference"/>
        </w:rPr>
        <w:footnoteReference w:id="561"/>
      </w:r>
      <w:r>
        <w:t xml:space="preserve">.</w:t>
      </w:r>
    </w:p>
    <w:p>
      <w:pPr>
        <w:numPr>
          <w:ilvl w:val="0"/>
          <w:numId w:val="1069"/>
        </w:numPr>
        <w:pStyle w:val="Compact"/>
      </w:pPr>
      <w:r>
        <w:rPr>
          <w:bCs/>
          <w:b/>
        </w:rPr>
        <w:t xml:space="preserve">Interrupções do tratamento:</w:t>
      </w:r>
      <w:r>
        <w:t xml:space="preserve"> </w:t>
      </w:r>
      <w:r>
        <w:t xml:space="preserve">no TRIUMPH-2, 12% (9 mg) e 8% (12 mg) interromperam o tratamento por efeitos colaterais ou morte; com 4 mg, 4%, e com placebo, 5%.</w:t>
      </w:r>
    </w:p>
    <w:p>
      <w:pPr>
        <w:numPr>
          <w:ilvl w:val="0"/>
          <w:numId w:val="1069"/>
        </w:numPr>
        <w:pStyle w:val="Compact"/>
      </w:pPr>
      <w:r>
        <w:rPr>
          <w:bCs/>
          <w:b/>
        </w:rPr>
        <w:t xml:space="preserve">Disestesia</w:t>
      </w:r>
      <w:r>
        <w:t xml:space="preserve"> </w:t>
      </w:r>
      <w:r>
        <w:t xml:space="preserve">– sensações desagradáveis na pele, como formigamento, ardência ou sensibilidade ao toque – ocorreu no TRIUMPH-2 de forma dependente da dose em 4–7%, contra 1% com placebo. Esse sinal é relativamente novo para a retatrutida; sua causa não foi esclarecida.</w:t>
      </w:r>
    </w:p>
    <w:p>
      <w:pPr>
        <w:numPr>
          <w:ilvl w:val="0"/>
          <w:numId w:val="1069"/>
        </w:numPr>
        <w:pStyle w:val="Compact"/>
      </w:pPr>
      <w:r>
        <w:rPr>
          <w:bCs/>
          <w:b/>
        </w:rPr>
        <w:t xml:space="preserve">Pressão arterial baixa</w:t>
      </w:r>
      <w:r>
        <w:t xml:space="preserve"> </w:t>
      </w:r>
      <w:r>
        <w:t xml:space="preserve">(hipotensão): 1–6% contra menos de 1% com placebo (TRIUMPH-2).</w:t>
      </w:r>
    </w:p>
    <w:p>
      <w:pPr>
        <w:numPr>
          <w:ilvl w:val="0"/>
          <w:numId w:val="1069"/>
        </w:numPr>
        <w:pStyle w:val="Compact"/>
      </w:pPr>
      <w:r>
        <w:rPr>
          <w:bCs/>
          <w:b/>
        </w:rPr>
        <w:t xml:space="preserve">Frequência cardíaca:</w:t>
      </w:r>
      <w:r>
        <w:t xml:space="preserve"> </w:t>
      </w:r>
      <w:r>
        <w:t xml:space="preserve">no estudo de fase 2, o pulso subiu de forma dependente da dose e voltou a cair após 24 semanas</w:t>
      </w:r>
      <w:r>
        <w:rPr>
          <w:rStyle w:val="FootnoteReference"/>
        </w:rPr>
        <w:footnoteReference w:id="562"/>
      </w:r>
      <w:r>
        <w:t xml:space="preserve">. Uma frequência cardíaca de repouso mais alta é conhecida em todos os medicamentos GLP-1; se ela é clinicamente relevante no agonista triplo, os estudos de desfechos deverão esclarecer.</w:t>
      </w:r>
    </w:p>
    <w:p>
      <w:pPr>
        <w:numPr>
          <w:ilvl w:val="0"/>
          <w:numId w:val="1069"/>
        </w:numPr>
        <w:pStyle w:val="Compact"/>
      </w:pPr>
      <w:r>
        <w:rPr>
          <w:bCs/>
          <w:b/>
        </w:rPr>
        <w:t xml:space="preserve">Perda de massa magra:</w:t>
      </w:r>
      <w:r>
        <w:t xml:space="preserve"> </w:t>
      </w:r>
      <w:r>
        <w:t xml:space="preserve">como em toda perda de peso intensa (veja tirzepatida).</w:t>
      </w:r>
    </w:p>
    <w:p>
      <w:pPr>
        <w:pStyle w:val="FirstParagraph"/>
      </w:pPr>
      <w:r>
        <w:rPr>
          <w:bCs/>
          <w:b/>
        </w:rPr>
        <w:t xml:space="preserve">Teóricos ou ainda insuficientemente estudados:</w:t>
      </w:r>
      <w:r>
        <w:t xml:space="preserve"> </w:t>
      </w:r>
      <w:r>
        <w:t xml:space="preserve">a parte glucagon poderia, a longo prazo, ter efeitos sobre o metabolismo de aminoácidos, o ritmo cardíaco e os ossos; não há dados de longo prazo confiáveis sobre isso. Para os riscos de classe dos medicamentos GLP-1 (vesícula biliar, pâncreas, células C da tireoide em experimentos com animais), ainda há poucos anos-paciente com retatrutida para fazer afirmações próprias.</w:t>
      </w:r>
    </w:p>
    <w:p>
      <w:pPr>
        <w:pStyle w:val="BodyText"/>
      </w:pPr>
      <w:r>
        <w:rPr>
          <w:bCs/>
          <w:b/>
        </w:rPr>
        <w:t xml:space="preserve">Mercado cinza:</w:t>
      </w:r>
      <w:r>
        <w:t xml:space="preserve"> </w:t>
      </w:r>
      <w:r>
        <w:t xml:space="preserve">desde a publicação da fase 2, a retatrutida é oferecida na internet como</w:t>
      </w:r>
      <w:r>
        <w:t xml:space="preserve"> </w:t>
      </w:r>
      <w:r>
        <w:t xml:space="preserve">“</w:t>
      </w:r>
      <w:r>
        <w:t xml:space="preserve">research peptide</w:t>
      </w:r>
      <w:r>
        <w:t xml:space="preserve">”</w:t>
      </w:r>
      <w:r>
        <w:t xml:space="preserve">; a revista científica JAMA relatou em 2026 um mercado clandestino crescente de retatrutida e zenagamtida</w:t>
      </w:r>
      <w:r>
        <w:rPr>
          <w:rStyle w:val="FootnoteReference"/>
        </w:rPr>
        <w:footnoteReference w:id="563"/>
      </w:r>
      <w:r>
        <w:t xml:space="preserve">. Esses produtos não são medicamentos, seu conteúdo não é verificado, e os esquemas de escalonamento de dose usados nos estudos não podem ser reproduzidos de forma confiável com eles. O acúmulo de efeitos colaterais com o aumento rápido da dose nos estudos mostra que justamente esse ponto é decisivo para a tolerabilidade. Veja a esse respeito a Parte I e a Parte IV.</w:t>
      </w:r>
    </w:p>
    <w:bookmarkEnd w:id="564"/>
    <w:bookmarkStart w:id="566" w:name="situação-legal-5"/>
    <w:p>
      <w:pPr>
        <w:pStyle w:val="Heading3"/>
      </w:pPr>
      <w:r>
        <w:t xml:space="preserve">Situação legal</w:t>
      </w:r>
    </w:p>
    <w:p>
      <w:pPr>
        <w:numPr>
          <w:ilvl w:val="0"/>
          <w:numId w:val="1070"/>
        </w:numPr>
        <w:pStyle w:val="Compact"/>
      </w:pPr>
      <w:r>
        <w:rPr>
          <w:bCs/>
          <w:b/>
        </w:rPr>
        <w:t xml:space="preserve">UE / Áustria / Alemanha:</w:t>
      </w:r>
      <w:r>
        <w:t xml:space="preserve"> </w:t>
      </w:r>
      <w:r>
        <w:t xml:space="preserve">não aprovada. A retatrutida só pode ser usada no âmbito de estudos clínicos. A venda como</w:t>
      </w:r>
      <w:r>
        <w:t xml:space="preserve"> </w:t>
      </w:r>
      <w:r>
        <w:t xml:space="preserve">“</w:t>
      </w:r>
      <w:r>
        <w:t xml:space="preserve">substância química de pesquisa</w:t>
      </w:r>
      <w:r>
        <w:t xml:space="preserve">”</w:t>
      </w:r>
      <w:r>
        <w:t xml:space="preserve"> </w:t>
      </w:r>
      <w:r>
        <w:t xml:space="preserve">para uso em humanos é inadmissível segundo a legislação de medicamentos.</w:t>
      </w:r>
    </w:p>
    <w:p>
      <w:pPr>
        <w:numPr>
          <w:ilvl w:val="0"/>
          <w:numId w:val="1070"/>
        </w:numPr>
        <w:pStyle w:val="Compact"/>
      </w:pPr>
      <w:r>
        <w:rPr>
          <w:bCs/>
          <w:b/>
        </w:rPr>
        <w:t xml:space="preserve">EUA:</w:t>
      </w:r>
      <w:r>
        <w:t xml:space="preserve"> </w:t>
      </w:r>
      <w:r>
        <w:t xml:space="preserve">não aprovada (situação em outubro de 2026). No registro consta um programa de acesso ampliado antes da aprovação (</w:t>
      </w:r>
      <w:r>
        <w:t xml:space="preserve">“</w:t>
      </w:r>
      <w:r>
        <w:t xml:space="preserve">Expanded Access</w:t>
      </w:r>
      <w:r>
        <w:t xml:space="preserve">”</w:t>
      </w:r>
      <w:r>
        <w:t xml:space="preserve">)</w:t>
      </w:r>
      <w:r>
        <w:rPr>
          <w:rStyle w:val="FootnoteReference"/>
        </w:rPr>
        <w:footnoteReference w:id="565"/>
      </w:r>
      <w:r>
        <w:t xml:space="preserve">. Se e quando um pedido de aprovação será ou foi apresentado, verificar atualização.</w:t>
      </w:r>
    </w:p>
    <w:p>
      <w:pPr>
        <w:numPr>
          <w:ilvl w:val="0"/>
          <w:numId w:val="1070"/>
        </w:numPr>
        <w:pStyle w:val="Compact"/>
      </w:pPr>
      <w:r>
        <w:rPr>
          <w:bCs/>
          <w:b/>
        </w:rPr>
        <w:t xml:space="preserve">Esporte:</w:t>
      </w:r>
      <w:r>
        <w:t xml:space="preserve"> </w:t>
      </w:r>
      <w:r>
        <w:t xml:space="preserve">como substância não aprovada, a retatrutida se enquadra na classe S0 da WADA (situação em 2026, verificar atualização). Um método específico de detecção no sangue foi descrito.</w:t>
      </w:r>
    </w:p>
    <w:bookmarkEnd w:id="566"/>
    <w:bookmarkStart w:id="574" w:name="estudos-em-andamento-e-perspectivas-5"/>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071"/>
        </w:numPr>
        <w:pStyle w:val="Compact"/>
      </w:pPr>
      <w:r>
        <w:rPr>
          <w:bCs/>
          <w:b/>
        </w:rPr>
        <w:t xml:space="preserve">TRIUMPH-Outcomes</w:t>
      </w:r>
      <w:r>
        <w:rPr>
          <w:rStyle w:val="FootnoteReference"/>
        </w:rPr>
        <w:footnoteReference w:id="567"/>
      </w:r>
      <w:r>
        <w:t xml:space="preserve">: estudo de desfechos sobre eventos cardiovasculares e renais com cerca de 10.000 participantes com obesidade, término previsto em 2029.</w:t>
      </w:r>
    </w:p>
    <w:p>
      <w:pPr>
        <w:numPr>
          <w:ilvl w:val="0"/>
          <w:numId w:val="1071"/>
        </w:numPr>
        <w:pStyle w:val="Compact"/>
      </w:pPr>
      <w:r>
        <w:rPr>
          <w:bCs/>
          <w:b/>
        </w:rPr>
        <w:t xml:space="preserve">Retatrutida contra tirzepatida</w:t>
      </w:r>
      <w:r>
        <w:rPr>
          <w:rStyle w:val="FootnoteReference"/>
        </w:rPr>
        <w:footnoteReference w:id="568"/>
      </w:r>
      <w:r>
        <w:t xml:space="preserve">: comparação direta em 800 adultos com obesidade, término previsto do estudo em dezembro de 2026.</w:t>
      </w:r>
    </w:p>
    <w:p>
      <w:pPr>
        <w:numPr>
          <w:ilvl w:val="0"/>
          <w:numId w:val="1071"/>
        </w:numPr>
        <w:pStyle w:val="Compact"/>
      </w:pPr>
      <w:r>
        <w:rPr>
          <w:bCs/>
          <w:b/>
        </w:rPr>
        <w:t xml:space="preserve">Retatrutida contra semaglutida</w:t>
      </w:r>
      <w:r>
        <w:t xml:space="preserve"> </w:t>
      </w:r>
      <w:r>
        <w:t xml:space="preserve">no diabetes tipo 2</w:t>
      </w:r>
      <w:r>
        <w:rPr>
          <w:rStyle w:val="FootnoteReference"/>
        </w:rPr>
        <w:footnoteReference w:id="569"/>
      </w:r>
      <w:r>
        <w:t xml:space="preserve">.</w:t>
      </w:r>
    </w:p>
    <w:p>
      <w:pPr>
        <w:numPr>
          <w:ilvl w:val="0"/>
          <w:numId w:val="1071"/>
        </w:numPr>
        <w:pStyle w:val="Compact"/>
      </w:pPr>
      <w:r>
        <w:rPr>
          <w:bCs/>
          <w:b/>
        </w:rPr>
        <w:t xml:space="preserve">Manutenção do peso</w:t>
      </w:r>
      <w:r>
        <w:t xml:space="preserve"> </w:t>
      </w:r>
      <w:r>
        <w:t xml:space="preserve">após a perda</w:t>
      </w:r>
      <w:r>
        <w:rPr>
          <w:rStyle w:val="FootnoteReference"/>
        </w:rPr>
        <w:footnoteReference w:id="570"/>
      </w:r>
      <w:r>
        <w:t xml:space="preserve">,</w:t>
      </w:r>
      <w:r>
        <w:t xml:space="preserve"> </w:t>
      </w:r>
      <w:r>
        <w:rPr>
          <w:bCs/>
          <w:b/>
        </w:rPr>
        <w:t xml:space="preserve">função renal</w:t>
      </w:r>
      <w:r>
        <w:t xml:space="preserve"> </w:t>
      </w:r>
      <w:r>
        <w:t xml:space="preserve">no diabetes tipo 2 com insuficiência renal</w:t>
      </w:r>
      <w:r>
        <w:rPr>
          <w:rStyle w:val="FootnoteReference"/>
        </w:rPr>
        <w:footnoteReference w:id="571"/>
      </w:r>
      <w:r>
        <w:t xml:space="preserve">,</w:t>
      </w:r>
      <w:r>
        <w:t xml:space="preserve"> </w:t>
      </w:r>
      <w:r>
        <w:rPr>
          <w:bCs/>
          <w:b/>
        </w:rPr>
        <w:t xml:space="preserve">dor lombar crônica</w:t>
      </w:r>
      <w:r>
        <w:t xml:space="preserve"> </w:t>
      </w:r>
      <w:r>
        <w:t xml:space="preserve">na obesidade</w:t>
      </w:r>
      <w:r>
        <w:rPr>
          <w:rStyle w:val="FootnoteReference"/>
        </w:rPr>
        <w:footnoteReference w:id="572"/>
      </w:r>
      <w:r>
        <w:t xml:space="preserve">.</w:t>
      </w:r>
    </w:p>
    <w:p>
      <w:pPr>
        <w:numPr>
          <w:ilvl w:val="0"/>
          <w:numId w:val="1071"/>
        </w:numPr>
        <w:pStyle w:val="Compact"/>
      </w:pPr>
      <w:r>
        <w:t xml:space="preserve">A retatrutida também faz parte de um protocolo mestre de fase 3 sobre doença hepática gordurosa</w:t>
      </w:r>
      <w:r>
        <w:rPr>
          <w:rStyle w:val="FootnoteReference"/>
        </w:rPr>
        <w:footnoteReference w:id="573"/>
      </w:r>
      <w:r>
        <w:t xml:space="preserve">.</w:t>
      </w:r>
    </w:p>
    <w:p>
      <w:pPr>
        <w:pStyle w:val="FirstParagraph"/>
      </w:pPr>
      <w:r>
        <w:rPr>
          <w:bCs/>
          <w:b/>
        </w:rPr>
        <w:t xml:space="preserve">Avaliação:</w:t>
      </w:r>
      <w:r>
        <w:t xml:space="preserve"> </w:t>
      </w:r>
      <w:r>
        <w:t xml:space="preserve">após os dados do TRIUMPH-1 e TRIUMPH-2, são esperados pedidos de aprovação nos EUA e na UE; um lançamento no mercado em 2027 ou 2028 parece plausível, mas não é garantido. Se uma perda de peso adicional em relação à tirzepatida compensa as taxas de interrupção um pouco mais altas e o novo sinal de disestesia, a comparação direta mostrará. Para muitas pessoas, uma perda de peso moderada e bem tolerada é mais importante do que um valor recorde.</w:t>
      </w:r>
    </w:p>
    <w:bookmarkEnd w:id="574"/>
    <w:bookmarkStart w:id="575" w:name="conclusão-5"/>
    <w:p>
      <w:pPr>
        <w:pStyle w:val="Heading3"/>
      </w:pPr>
      <w:r>
        <w:t xml:space="preserve">Conclusão</w:t>
      </w:r>
    </w:p>
    <w:p>
      <w:pPr>
        <w:pStyle w:val="FirstParagraph"/>
      </w:pPr>
      <w:r>
        <w:t xml:space="preserve">A retatrutida é um agonista triplo dos receptores de GIP, GLP-1 e glucagon e, no estudo de fase 3 TRIUMPH-1, alcançou uma perda de peso média de 25,0% após 80 semanas – o maior valor medido até agora em um grande estudo de medicamento. Também no diabetes tipo 2, na artrose de joelho e na apneia do sono foram observados efeitos claros. Os efeitos colaterais afetam sobretudo o trato gastrointestinal; novas são as sensações anormais na pele, e as taxas de interrupção aumentam com doses altas. Dados sobre eventos cardiovasculares e uma aprovação ainda estão pendentes. Produtos do mercado cinza com o rótulo</w:t>
      </w:r>
      <w:r>
        <w:t xml:space="preserve"> </w:t>
      </w:r>
      <w:r>
        <w:t xml:space="preserve">“</w:t>
      </w:r>
      <w:r>
        <w:t xml:space="preserve">Retatrutide</w:t>
      </w:r>
      <w:r>
        <w:t xml:space="preserve">”</w:t>
      </w:r>
      <w:r>
        <w:t xml:space="preserve"> </w:t>
      </w:r>
      <w:r>
        <w:t xml:space="preserve">não são um atalho seguro para esse medicamento.</w:t>
      </w:r>
    </w:p>
    <w:bookmarkEnd w:id="575"/>
    <w:bookmarkEnd w:id="576"/>
    <w:bookmarkStart w:id="612" w:name="survodutida"/>
    <w:p>
      <w:pPr>
        <w:pStyle w:val="Heading2"/>
      </w:pPr>
      <w:r>
        <w:t xml:space="preserve">Survodutida</w:t>
      </w:r>
    </w:p>
    <w:bookmarkStart w:id="577" w:name="ficha-técnica-6"/>
    <w:p>
      <w:pPr>
        <w:pStyle w:val="Heading3"/>
      </w:pPr>
      <w:r>
        <w:t xml:space="preserve">Ficha técnica</w:t>
      </w:r>
    </w:p>
    <w:p>
      <w:pPr>
        <w:numPr>
          <w:ilvl w:val="0"/>
          <w:numId w:val="1072"/>
        </w:numPr>
        <w:pStyle w:val="Compact"/>
      </w:pPr>
      <w:r>
        <w:rPr>
          <w:bCs/>
          <w:b/>
        </w:rPr>
        <w:t xml:space="preserve">Tipo/estrutura:</w:t>
      </w:r>
      <w:r>
        <w:t xml:space="preserve"> </w:t>
      </w:r>
      <w:r>
        <w:t xml:space="preserve">peptídeo sintético modificado com ácido graxo, para administração subcutânea uma vez por semana; código de desenvolvimento BI 456906.</w:t>
      </w:r>
    </w:p>
    <w:p>
      <w:pPr>
        <w:numPr>
          <w:ilvl w:val="0"/>
          <w:numId w:val="1072"/>
        </w:numPr>
        <w:pStyle w:val="Compact"/>
      </w:pPr>
      <w:r>
        <w:rPr>
          <w:bCs/>
          <w:b/>
        </w:rPr>
        <w:t xml:space="preserve">Origem:</w:t>
      </w:r>
      <w:r>
        <w:t xml:space="preserve"> </w:t>
      </w:r>
      <w:r>
        <w:t xml:space="preserve">desenvolvida pela Boehringer Ingelheim em colaboração com a empresa dinamarquesa Zealand Pharma.</w:t>
      </w:r>
    </w:p>
    <w:p>
      <w:pPr>
        <w:numPr>
          <w:ilvl w:val="0"/>
          <w:numId w:val="1072"/>
        </w:numPr>
        <w:pStyle w:val="Compact"/>
      </w:pPr>
      <w:r>
        <w:rPr>
          <w:bCs/>
          <w:b/>
        </w:rPr>
        <w:t xml:space="preserve">Princípio de ação:</w:t>
      </w:r>
      <w:r>
        <w:t xml:space="preserve"> </w:t>
      </w:r>
      <w:r>
        <w:t xml:space="preserve">agonista duplo dos receptores de glucagon e de GLP-1 (sem componente GIP).</w:t>
      </w:r>
    </w:p>
    <w:p>
      <w:pPr>
        <w:numPr>
          <w:ilvl w:val="0"/>
          <w:numId w:val="1072"/>
        </w:numPr>
        <w:pStyle w:val="Compact"/>
      </w:pPr>
      <w:r>
        <w:rPr>
          <w:bCs/>
          <w:b/>
        </w:rPr>
        <w:t xml:space="preserve">Aprovação UE:</w:t>
      </w:r>
      <w:r>
        <w:t xml:space="preserve"> </w:t>
      </w:r>
      <w:r>
        <w:t xml:space="preserve">não (situação em outubro de 2026).</w:t>
      </w:r>
    </w:p>
    <w:p>
      <w:pPr>
        <w:numPr>
          <w:ilvl w:val="0"/>
          <w:numId w:val="1072"/>
        </w:numPr>
        <w:pStyle w:val="Compact"/>
      </w:pPr>
      <w:r>
        <w:rPr>
          <w:bCs/>
          <w:b/>
        </w:rPr>
        <w:t xml:space="preserve">Aprovação EUA:</w:t>
      </w:r>
      <w:r>
        <w:t xml:space="preserve"> </w:t>
      </w:r>
      <w:r>
        <w:t xml:space="preserve">não (situação em outubro de 2026).</w:t>
      </w:r>
    </w:p>
    <w:p>
      <w:pPr>
        <w:numPr>
          <w:ilvl w:val="0"/>
          <w:numId w:val="1072"/>
        </w:numPr>
        <w:pStyle w:val="Compact"/>
      </w:pPr>
      <w:r>
        <w:rPr>
          <w:bCs/>
          <w:b/>
        </w:rPr>
        <w:t xml:space="preserve">WADA:</w:t>
      </w:r>
      <w:r>
        <w:t xml:space="preserve"> </w:t>
      </w:r>
      <w:r>
        <w:t xml:space="preserve">por ser uma substância não aprovada em nenhum lugar, proibida sob S0</w:t>
      </w:r>
      <w:r>
        <w:t xml:space="preserve"> </w:t>
      </w:r>
      <w:r>
        <w:t xml:space="preserve">“</w:t>
      </w:r>
      <w:r>
        <w:t xml:space="preserve">Substâncias não aprovadas</w:t>
      </w:r>
      <w:r>
        <w:t xml:space="preserve">”</w:t>
      </w:r>
      <w:r>
        <w:t xml:space="preserve">.</w:t>
      </w:r>
    </w:p>
    <w:p>
      <w:pPr>
        <w:numPr>
          <w:ilvl w:val="0"/>
          <w:numId w:val="1072"/>
        </w:numPr>
        <w:pStyle w:val="Compact"/>
      </w:pPr>
      <w:r>
        <w:rPr>
          <w:bCs/>
          <w:b/>
        </w:rPr>
        <w:t xml:space="preserve">Nível de evidência:</w:t>
      </w:r>
      <w:r>
        <w:t xml:space="preserve"> </w:t>
      </w:r>
      <w:r>
        <w:rPr>
          <w:bCs/>
          <w:b/>
        </w:rPr>
        <w:t xml:space="preserve">B</w:t>
      </w:r>
      <w:r>
        <w:t xml:space="preserve"> </w:t>
      </w:r>
      <w:r>
        <w:t xml:space="preserve">– estudos randomizados de fase 2 e primeiros estudos de fase 3 publicados, sem aprovação.</w:t>
      </w:r>
    </w:p>
    <w:bookmarkEnd w:id="577"/>
    <w:bookmarkStart w:id="581" w:name="como-deveria-agir-6"/>
    <w:p>
      <w:pPr>
        <w:pStyle w:val="Heading3"/>
      </w:pPr>
      <w:r>
        <w:t xml:space="preserve">Como deveria agir</w:t>
      </w:r>
    </w:p>
    <w:p>
      <w:pPr>
        <w:pStyle w:val="FirstParagraph"/>
      </w:pPr>
      <w:r>
        <w:t xml:space="preserve">A survodutida combina dois hormônios do intestino e do pâncreas: o GLP-1, que favorece a saciedade e intensifica a liberação de insulina, e o glucagon, que aumenta o gasto energético e estimula o fígado a degradar gordura. Enquanto a tirzepatida aposta em GIP mais GLP-1 e a retatrutida reúne os três sinais, a survodutida dispensa o componente GIP e enfatiza, em vez disso, o efeito do glucagon. Com isso, o fabricante visa especialmente o fígado: a doença hepática gordurosa MASH é, ao lado da obesidade, a segunda área principal de desenvolvimento.</w:t>
      </w:r>
    </w:p>
    <w:p>
      <w:pPr>
        <w:pStyle w:val="BodyText"/>
      </w:pPr>
      <w:r>
        <w:t xml:space="preserve">Entre 19 candidatos semelhantes, a survodutida foi escolhida porque, em experimentos com animais, atuava de forma equilibrada em ambos os receptores. Em camundongos com excesso de peso, o peso corporal diminuiu cerca de um quarto</w:t>
      </w:r>
      <w:r>
        <w:rPr>
          <w:rStyle w:val="FootnoteReference"/>
        </w:rPr>
        <w:footnoteReference w:id="578"/>
      </w:r>
      <w:r>
        <w:t xml:space="preserve">. Pesquisas em camundongos indicam que o efeito de redução do apetite no cérebro ocorre sobretudo pelo receptor de GLP-1; a parte glucagon age mais no corpo, por exemplo no fígado</w:t>
      </w:r>
      <w:r>
        <w:rPr>
          <w:rStyle w:val="FootnoteReference"/>
        </w:rPr>
        <w:footnoteReference w:id="579"/>
      </w:r>
      <w:r>
        <w:t xml:space="preserve">. Esses são achados em animais; em humanos, o efeito sobre o gasto energético está sendo medido atualmente em um estudo próprio</w:t>
      </w:r>
      <w:r>
        <w:rPr>
          <w:rStyle w:val="FootnoteReference"/>
        </w:rPr>
        <w:footnoteReference w:id="580"/>
      </w:r>
      <w:r>
        <w:t xml:space="preserve">.</w:t>
      </w:r>
    </w:p>
    <w:bookmarkEnd w:id="581"/>
    <w:bookmarkStart w:id="591" w:name="estudos-em-humanos-6"/>
    <w:p>
      <w:pPr>
        <w:pStyle w:val="Heading3"/>
      </w:pPr>
      <w:r>
        <w:t xml:space="preserve">Estudos em humanos</w:t>
      </w:r>
    </w:p>
    <w:p>
      <w:pPr>
        <w:pStyle w:val="FirstParagraph"/>
      </w:pPr>
      <w:r>
        <w:rPr>
          <w:bCs/>
          <w:b/>
        </w:rPr>
        <w:t xml:space="preserve">Dimensão da base de estudos:</w:t>
      </w:r>
      <w:r>
        <w:t xml:space="preserve"> </w:t>
      </w:r>
      <w:r>
        <w:t xml:space="preserve">a consulta automatizada ao PubMed (outubro de 2026) encontrou 10 estudos em humanos; soma-se a publicação do estudo de fase 3 SYNCHRONIZE-2, localizada por busca direcionada. No ClinicalTrials.gov havia 29 estudos registrados, entre eles o programa de fase 3 SYNCHRONIZE (obesidade) e LIVERAGE (MASH).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Fase 2 diabetes tipo 2 (Blüher 2024), PMID 38095657</w:t>
            </w:r>
          </w:p>
        </w:tc>
        <w:tc>
          <w:tcPr/>
          <w:p>
            <w:pPr>
              <w:pStyle w:val="Compact"/>
              <w:jc w:val="left"/>
            </w:pPr>
            <w:r>
              <w:t xml:space="preserve">413 adultos com metformina, contra placebo e semaglutida aberta</w:t>
            </w:r>
          </w:p>
        </w:tc>
        <w:tc>
          <w:tcPr/>
          <w:p>
            <w:pPr>
              <w:pStyle w:val="Compact"/>
              <w:jc w:val="left"/>
            </w:pPr>
            <w:r>
              <w:t xml:space="preserve">16 semanas</w:t>
            </w:r>
          </w:p>
        </w:tc>
        <w:tc>
          <w:tcPr/>
          <w:p>
            <w:pPr>
              <w:pStyle w:val="Compact"/>
              <w:jc w:val="left"/>
            </w:pPr>
            <w:r>
              <w:t xml:space="preserve">HbA1c até −1,71 ponto; peso até −8,7% (semaglutida −5,3%)</w:t>
            </w:r>
          </w:p>
        </w:tc>
      </w:tr>
      <w:tr>
        <w:tc>
          <w:tcPr/>
          <w:p>
            <w:pPr>
              <w:pStyle w:val="Compact"/>
              <w:jc w:val="left"/>
            </w:pPr>
            <w:r>
              <w:t xml:space="preserve">Fase 2 obesidade (le Roux 2024), PMID 38330987</w:t>
            </w:r>
          </w:p>
        </w:tc>
        <w:tc>
          <w:tcPr/>
          <w:p>
            <w:pPr>
              <w:pStyle w:val="Compact"/>
              <w:jc w:val="left"/>
            </w:pPr>
            <w:r>
              <w:t xml:space="preserve">387 adultos sem diabetes, contra placebo</w:t>
            </w:r>
          </w:p>
        </w:tc>
        <w:tc>
          <w:tcPr/>
          <w:p>
            <w:pPr>
              <w:pStyle w:val="Compact"/>
              <w:jc w:val="left"/>
            </w:pPr>
            <w:r>
              <w:t xml:space="preserve">46 semanas</w:t>
            </w:r>
          </w:p>
        </w:tc>
        <w:tc>
          <w:tcPr/>
          <w:p>
            <w:pPr>
              <w:pStyle w:val="Compact"/>
              <w:jc w:val="left"/>
            </w:pPr>
            <w:r>
              <w:t xml:space="preserve">−6,2 a −14,9% de peso vs. −2,8%</w:t>
            </w:r>
          </w:p>
        </w:tc>
      </w:tr>
      <w:tr>
        <w:tc>
          <w:tcPr/>
          <w:p>
            <w:pPr>
              <w:pStyle w:val="Compact"/>
              <w:jc w:val="left"/>
            </w:pPr>
            <w:r>
              <w:t xml:space="preserve">Fase 2 MASH (Sanyal 2024), PMID 38847460</w:t>
            </w:r>
          </w:p>
        </w:tc>
        <w:tc>
          <w:tcPr/>
          <w:p>
            <w:pPr>
              <w:pStyle w:val="Compact"/>
              <w:jc w:val="left"/>
            </w:pPr>
            <w:r>
              <w:t xml:space="preserve">293 adultos com MASH confirmada por biópsia e fibrose F1–F3</w:t>
            </w:r>
          </w:p>
        </w:tc>
        <w:tc>
          <w:tcPr/>
          <w:p>
            <w:pPr>
              <w:pStyle w:val="Compact"/>
              <w:jc w:val="left"/>
            </w:pPr>
            <w:r>
              <w:t xml:space="preserve">48 semanas</w:t>
            </w:r>
          </w:p>
        </w:tc>
        <w:tc>
          <w:tcPr/>
          <w:p>
            <w:pPr>
              <w:pStyle w:val="Compact"/>
              <w:jc w:val="left"/>
            </w:pPr>
            <w:r>
              <w:t xml:space="preserve">melhora da MASH em 43–62% vs. 14%</w:t>
            </w:r>
          </w:p>
        </w:tc>
      </w:tr>
      <w:tr>
        <w:tc>
          <w:tcPr/>
          <w:p>
            <w:pPr>
              <w:pStyle w:val="Compact"/>
              <w:jc w:val="left"/>
            </w:pPr>
            <w:r>
              <w:t xml:space="preserve">SYNCHRONIZE-1 (le Roux 2026), PMID 42253238</w:t>
            </w:r>
          </w:p>
        </w:tc>
        <w:tc>
          <w:tcPr/>
          <w:p>
            <w:pPr>
              <w:pStyle w:val="Compact"/>
              <w:jc w:val="left"/>
            </w:pPr>
            <w:r>
              <w:t xml:space="preserve">725 adultos com obesidade sem diabetes, contra placebo</w:t>
            </w:r>
          </w:p>
        </w:tc>
        <w:tc>
          <w:tcPr/>
          <w:p>
            <w:pPr>
              <w:pStyle w:val="Compact"/>
              <w:jc w:val="left"/>
            </w:pPr>
            <w:r>
              <w:t xml:space="preserve">76 semanas</w:t>
            </w:r>
          </w:p>
        </w:tc>
        <w:tc>
          <w:tcPr/>
          <w:p>
            <w:pPr>
              <w:pStyle w:val="Compact"/>
              <w:jc w:val="left"/>
            </w:pPr>
            <w:r>
              <w:t xml:space="preserve">−12,2 / −13,0% (3,6/6,0 mg) vs. −5,4%</w:t>
            </w:r>
          </w:p>
        </w:tc>
      </w:tr>
      <w:tr>
        <w:tc>
          <w:tcPr/>
          <w:p>
            <w:pPr>
              <w:pStyle w:val="Compact"/>
              <w:jc w:val="left"/>
            </w:pPr>
            <w:r>
              <w:t xml:space="preserve">SYNCHRONIZE-2 (Wharton 2026), PMID 42820639</w:t>
            </w:r>
          </w:p>
        </w:tc>
        <w:tc>
          <w:tcPr/>
          <w:p>
            <w:pPr>
              <w:pStyle w:val="Compact"/>
              <w:jc w:val="left"/>
            </w:pPr>
            <w:r>
              <w:t xml:space="preserve">752 adultos com obesidade e diabetes tipo 2, contra placebo</w:t>
            </w:r>
          </w:p>
        </w:tc>
        <w:tc>
          <w:tcPr/>
          <w:p>
            <w:pPr>
              <w:pStyle w:val="Compact"/>
              <w:jc w:val="left"/>
            </w:pPr>
            <w:r>
              <w:t xml:space="preserve">76 semanas</w:t>
            </w:r>
          </w:p>
        </w:tc>
        <w:tc>
          <w:tcPr/>
          <w:p>
            <w:pPr>
              <w:pStyle w:val="Compact"/>
              <w:jc w:val="left"/>
            </w:pPr>
            <w:r>
              <w:t xml:space="preserve">−8,2 / −9,8% vs. −3,9%</w:t>
            </w:r>
          </w:p>
        </w:tc>
      </w:tr>
      <w:tr>
        <w:tc>
          <w:tcPr/>
          <w:p>
            <w:pPr>
              <w:pStyle w:val="Compact"/>
              <w:jc w:val="left"/>
            </w:pPr>
            <w:r>
              <w:t xml:space="preserve">SYNCHRONIZE-MASLD (Kaplan 2026), PMID 42252333</w:t>
            </w:r>
          </w:p>
        </w:tc>
        <w:tc>
          <w:tcPr/>
          <w:p>
            <w:pPr>
              <w:pStyle w:val="Compact"/>
              <w:jc w:val="left"/>
            </w:pPr>
            <w:r>
              <w:t xml:space="preserve">216 adultos com obesidade e fígado gorduroso com sinais de risco</w:t>
            </w:r>
          </w:p>
        </w:tc>
        <w:tc>
          <w:tcPr/>
          <w:p>
            <w:pPr>
              <w:pStyle w:val="Compact"/>
              <w:jc w:val="left"/>
            </w:pPr>
            <w:r>
              <w:t xml:space="preserve">48 semanas</w:t>
            </w:r>
          </w:p>
        </w:tc>
        <w:tc>
          <w:tcPr/>
          <w:p>
            <w:pPr>
              <w:pStyle w:val="Compact"/>
              <w:jc w:val="left"/>
            </w:pPr>
            <w:r>
              <w:t xml:space="preserve">gordura hepática −30% ou mais em 84,2% vs. 24,3%</w:t>
            </w:r>
          </w:p>
        </w:tc>
      </w:tr>
    </w:tbl>
    <w:bookmarkStart w:id="586" w:name="obesidade-e-diabetes-tipo-2"/>
    <w:p>
      <w:pPr>
        <w:pStyle w:val="Heading4"/>
      </w:pPr>
      <w:r>
        <w:t xml:space="preserve">Obesidade e diabetes tipo 2</w:t>
      </w:r>
    </w:p>
    <w:p>
      <w:pPr>
        <w:pStyle w:val="FirstParagraph"/>
      </w:pPr>
      <w:r>
        <w:t xml:space="preserve">O estudo de fase 2 em obesidade</w:t>
      </w:r>
      <w:r>
        <w:rPr>
          <w:rStyle w:val="FootnoteReference"/>
        </w:rPr>
        <w:footnoteReference w:id="582"/>
      </w:r>
      <w:r>
        <w:t xml:space="preserve"> </w:t>
      </w:r>
      <w:r>
        <w:t xml:space="preserve">mostrou, após 46 semanas, uma perda de peso dependente da dose de até 14,9%. Chamou atenção a alta taxa de abandono: apenas 61% dos participantes com survodutida concluíram as 46 semanas de tratamento, mas também apenas 60% com placebo. Efeitos colaterais gastrointestinais ocorreram em 75% com survodutida e em 42% com placebo. O escalonamento da dose foi relativamente rápido nesse estudo.</w:t>
      </w:r>
    </w:p>
    <w:p>
      <w:pPr>
        <w:pStyle w:val="BodyText"/>
      </w:pPr>
      <w:r>
        <w:t xml:space="preserve">No estudo de fase 3</w:t>
      </w:r>
      <w:r>
        <w:t xml:space="preserve"> </w:t>
      </w:r>
      <w:r>
        <w:rPr>
          <w:bCs/>
          <w:b/>
        </w:rPr>
        <w:t xml:space="preserve">SYNCHRONIZE-1</w:t>
      </w:r>
      <w:r>
        <w:rPr>
          <w:rStyle w:val="FootnoteReference"/>
        </w:rPr>
        <w:footnoteReference w:id="583"/>
      </w:r>
      <w:r>
        <w:t xml:space="preserve">, o escalonamento foi mais lento. Após 76 semanas, os participantes com a dose mais alta perderam 13,0% do peso corporal; com placebo, 5,4%. Isso fica abaixo dos valores que a tirzepatida ou a retatrutida alcançaram em estudos de desenho semelhante. Deve-se considerar que a análise principal incluiu todas as pessoas – também as que interromperam o tratamento ou cujo escalonamento foi prolongado. Queixas gastrointestinais afetaram 80,9% e 89,7%, respectivamente, contra 47,9% com placebo; não houve mortes.</w:t>
      </w:r>
    </w:p>
    <w:p>
      <w:pPr>
        <w:pStyle w:val="BodyText"/>
      </w:pPr>
      <w:r>
        <w:t xml:space="preserve">O</w:t>
      </w:r>
      <w:r>
        <w:t xml:space="preserve"> </w:t>
      </w:r>
      <w:r>
        <w:rPr>
          <w:bCs/>
          <w:b/>
        </w:rPr>
        <w:t xml:space="preserve">SYNCHRONIZE-2</w:t>
      </w:r>
      <w:r>
        <w:rPr>
          <w:rStyle w:val="FootnoteReference"/>
        </w:rPr>
        <w:footnoteReference w:id="584"/>
      </w:r>
      <w:r>
        <w:t xml:space="preserve"> </w:t>
      </w:r>
      <w:r>
        <w:t xml:space="preserve">estudou 752 pessoas com obesidade e diabetes tipo 2. A perda de peso após 76 semanas foi de 8,2% e 9,8%, respectivamente, contra 3,9% com placebo; a HbA1c caiu de 7,4% em 0,8 a 0,9 ponto percentual.</w:t>
      </w:r>
    </w:p>
    <w:p>
      <w:pPr>
        <w:pStyle w:val="BodyText"/>
      </w:pPr>
      <w:r>
        <w:t xml:space="preserve">No estudo de fase 2 em diabetes tipo 2, a survodutida em dose baixa reduziu a HbA1c, após 16 semanas, de forma semelhante à semaglutida 1 mg (cerca de −1,46 e −1,47 ponto, respectivamente); as doses mais altas levaram a mais perda de peso do que a semaglutida</w:t>
      </w:r>
      <w:r>
        <w:rPr>
          <w:rStyle w:val="FootnoteReference"/>
        </w:rPr>
        <w:footnoteReference w:id="585"/>
      </w:r>
      <w:r>
        <w:t xml:space="preserve">. O braço de semaglutida, porém, era aberto e o estudo, curto.</w:t>
      </w:r>
    </w:p>
    <w:bookmarkEnd w:id="586"/>
    <w:bookmarkStart w:id="590" w:name="fígado-gorduroso-masld-e-mash"/>
    <w:p>
      <w:pPr>
        <w:pStyle w:val="Heading4"/>
      </w:pPr>
      <w:r>
        <w:t xml:space="preserve">Fígado gorduroso (MASLD e MASH)</w:t>
      </w:r>
    </w:p>
    <w:p>
      <w:pPr>
        <w:pStyle w:val="FirstParagraph"/>
      </w:pPr>
      <w:r>
        <w:t xml:space="preserve">Aqui está o verdadeiro ponto forte dos dados até agora. No estudo de fase 2 em MASH confirmada por biópsia com fibrose</w:t>
      </w:r>
      <w:r>
        <w:rPr>
          <w:rStyle w:val="FootnoteReference"/>
        </w:rPr>
        <w:footnoteReference w:id="587"/>
      </w:r>
      <w:r>
        <w:t xml:space="preserve">, a inflamação hepática melhorou sem piora da fibrose em 47%, 62% e 43% dos três grupos de dose, contra 14% com placebo. Uma melhora da fibrose de pelo menos um estágio foi observada em 34–36%, contra 22%. A curva dose-resposta não foi linear: a dose intermediária teve o melhor resultado.</w:t>
      </w:r>
    </w:p>
    <w:p>
      <w:pPr>
        <w:pStyle w:val="BodyText"/>
      </w:pPr>
      <w:r>
        <w:t xml:space="preserve">O estudo de fase 3</w:t>
      </w:r>
      <w:r>
        <w:t xml:space="preserve"> </w:t>
      </w:r>
      <w:r>
        <w:rPr>
          <w:bCs/>
          <w:b/>
        </w:rPr>
        <w:t xml:space="preserve">SYNCHRONIZE-MASLD</w:t>
      </w:r>
      <w:r>
        <w:rPr>
          <w:rStyle w:val="FootnoteReference"/>
        </w:rPr>
        <w:footnoteReference w:id="588"/>
      </w:r>
      <w:r>
        <w:t xml:space="preserve">, com 216 adultos, mostrou após 48 semanas, em 84,2% dos que usaram survodutida, uma redução da gordura hepática de pelo menos 30% (placebo 24,3%), medida por ressonância magnética. Pela análise mais rigorosa, que também considera interrupções do tratamento, foram 68,5% contra 28,6%. As próprias autoras e autores citam como limitações a curta duração e o recrutamento apenas nos EUA e na Espanha.</w:t>
      </w:r>
    </w:p>
    <w:p>
      <w:pPr>
        <w:pStyle w:val="BodyText"/>
      </w:pPr>
      <w:r>
        <w:t xml:space="preserve">Em um estudo aberto de fase 1, a survodutida também foi estudada em pessoas com cirrose hepática, incluindo estágios avançados. Os níveis sanguíneos não diferiram essencialmente dos de pessoas com fígado saudável; gordura hepática, rigidez hepática e peso corporal diminuíram ao longo de 28 semanas</w:t>
      </w:r>
      <w:r>
        <w:rPr>
          <w:rStyle w:val="FootnoteReference"/>
        </w:rPr>
        <w:footnoteReference w:id="589"/>
      </w:r>
      <w:r>
        <w:t xml:space="preserve">. Esse estudo foi pequeno e não controlado.</w:t>
      </w:r>
    </w:p>
    <w:bookmarkEnd w:id="590"/>
    <w:bookmarkEnd w:id="591"/>
    <w:bookmarkStart w:id="594" w:name="estudos-em-animais-e-em-laboratório-6"/>
    <w:p>
      <w:pPr>
        <w:pStyle w:val="Heading3"/>
      </w:pPr>
      <w:r>
        <w:t xml:space="preserve">Estudos em animais e em laboratório</w:t>
      </w:r>
    </w:p>
    <w:p>
      <w:pPr>
        <w:pStyle w:val="FirstParagraph"/>
      </w:pPr>
      <w:r>
        <w:t xml:space="preserve">Os dados pré-clínicos vêm predominantemente dos laboratórios do fabricante: perfis de receptores em linhagens celulares, perda de peso em camundongos com obesidade induzida por dieta e redução da glicemia em camundongos diabéticos</w:t>
      </w:r>
      <w:r>
        <w:rPr>
          <w:rStyle w:val="FootnoteReference"/>
        </w:rPr>
        <w:footnoteReference w:id="592"/>
      </w:r>
      <w:r>
        <w:t xml:space="preserve">. Sobre o local de ação no cérebro, há pesquisas em camundongos e em tecido humano</w:t>
      </w:r>
      <w:r>
        <w:rPr>
          <w:rStyle w:val="FootnoteReference"/>
        </w:rPr>
        <w:footnoteReference w:id="593"/>
      </w:r>
      <w:r>
        <w:t xml:space="preserve">. Estudos independentes em animais são raros.</w:t>
      </w:r>
    </w:p>
    <w:bookmarkEnd w:id="594"/>
    <w:bookmarkStart w:id="598" w:name="riscos-e-efeitos-colaterais-6"/>
    <w:p>
      <w:pPr>
        <w:pStyle w:val="Heading3"/>
      </w:pPr>
      <w:r>
        <w:t xml:space="preserve">Riscos e efeitos colaterais</w:t>
      </w:r>
    </w:p>
    <w:p>
      <w:pPr>
        <w:pStyle w:val="FirstParagraph"/>
      </w:pPr>
      <w:r>
        <w:rPr>
          <w:bCs/>
          <w:b/>
        </w:rPr>
        <w:t xml:space="preserve">Comprovados em estudos:</w:t>
      </w:r>
    </w:p>
    <w:p>
      <w:pPr>
        <w:numPr>
          <w:ilvl w:val="0"/>
          <w:numId w:val="1073"/>
        </w:numPr>
        <w:pStyle w:val="Compact"/>
      </w:pPr>
      <w:r>
        <w:rPr>
          <w:bCs/>
          <w:b/>
        </w:rPr>
        <w:t xml:space="preserve">Queixas gastrointestinais</w:t>
      </w:r>
      <w:r>
        <w:t xml:space="preserve"> </w:t>
      </w:r>
      <w:r>
        <w:t xml:space="preserve">são especialmente frequentes com a survodutida. No estudo de MASH, ocorreram náusea em 66% (placebo 23%), diarreia em 49% (23%) e vômitos em 41% (4%)</w:t>
      </w:r>
      <w:r>
        <w:rPr>
          <w:rStyle w:val="FootnoteReference"/>
        </w:rPr>
        <w:footnoteReference w:id="595"/>
      </w:r>
      <w:r>
        <w:t xml:space="preserve">. No SYNCHRONIZE-1, até 89,7% relataram queixas gastrointestinais</w:t>
      </w:r>
      <w:r>
        <w:rPr>
          <w:rStyle w:val="FootnoteReference"/>
        </w:rPr>
        <w:footnoteReference w:id="596"/>
      </w:r>
      <w:r>
        <w:t xml:space="preserve">. A frequência é alta em comparação com outros medicamentos incretínicos, ainda que a maioria das queixas tenha sido leve a moderada.</w:t>
      </w:r>
    </w:p>
    <w:p>
      <w:pPr>
        <w:numPr>
          <w:ilvl w:val="0"/>
          <w:numId w:val="1073"/>
        </w:numPr>
        <w:pStyle w:val="Compact"/>
      </w:pPr>
      <w:r>
        <w:rPr>
          <w:bCs/>
          <w:b/>
        </w:rPr>
        <w:t xml:space="preserve">Eventos adversos graves</w:t>
      </w:r>
      <w:r>
        <w:t xml:space="preserve"> </w:t>
      </w:r>
      <w:r>
        <w:t xml:space="preserve">foram igualmente frequentes no estudo de MASH, com 8% com survodutida e 7% com placebo.</w:t>
      </w:r>
    </w:p>
    <w:p>
      <w:pPr>
        <w:numPr>
          <w:ilvl w:val="0"/>
          <w:numId w:val="1073"/>
        </w:numPr>
        <w:pStyle w:val="Compact"/>
      </w:pPr>
      <w:r>
        <w:rPr>
          <w:bCs/>
          <w:b/>
        </w:rPr>
        <w:t xml:space="preserve">Abandonos:</w:t>
      </w:r>
      <w:r>
        <w:t xml:space="preserve"> </w:t>
      </w:r>
      <w:r>
        <w:t xml:space="preserve">no estudo de fase 2 em obesidade, apenas cerca de 60% concluíram a fase de tratamento – em ambos os grupos.</w:t>
      </w:r>
    </w:p>
    <w:p>
      <w:pPr>
        <w:pStyle w:val="FirstParagraph"/>
      </w:pPr>
      <w:r>
        <w:rPr>
          <w:bCs/>
          <w:b/>
        </w:rPr>
        <w:t xml:space="preserve">Ainda em aberto:</w:t>
      </w:r>
      <w:r>
        <w:t xml:space="preserve"> </w:t>
      </w:r>
      <w:r>
        <w:t xml:space="preserve">aumentos da frequência cardíaca são conhecidos com agonistas de glucagon e de GLP-1; foi realizado um estudo próprio sobre segurança cardíaca</w:t>
      </w:r>
      <w:r>
        <w:rPr>
          <w:rStyle w:val="FootnoteReference"/>
        </w:rPr>
        <w:footnoteReference w:id="597"/>
      </w:r>
      <w:r>
        <w:t xml:space="preserve">. O grande estudo de segurança cardiovascular SYNCHRONIZE-CVOT está concluído segundo o registro; no fechamento editorial, os resultados ainda não haviam sido publicados em uma revista revisada por pares. Os efeitos de longo prazo do componente glucagon sobre músculos, ossos e metabolismo de aminoácidos não foram estudados.</w:t>
      </w:r>
    </w:p>
    <w:bookmarkEnd w:id="598"/>
    <w:bookmarkStart w:id="599" w:name="situação-legal-6"/>
    <w:p>
      <w:pPr>
        <w:pStyle w:val="Heading3"/>
      </w:pPr>
      <w:r>
        <w:t xml:space="preserve">Situação legal</w:t>
      </w:r>
    </w:p>
    <w:p>
      <w:pPr>
        <w:numPr>
          <w:ilvl w:val="0"/>
          <w:numId w:val="1074"/>
        </w:numPr>
        <w:pStyle w:val="Compact"/>
      </w:pPr>
      <w:r>
        <w:rPr>
          <w:bCs/>
          <w:b/>
        </w:rPr>
        <w:t xml:space="preserve">UE / Áustria / Alemanha:</w:t>
      </w:r>
      <w:r>
        <w:t xml:space="preserve"> </w:t>
      </w:r>
      <w:r>
        <w:t xml:space="preserve">não aprovada; uso apenas em estudos clínicos. Ofertas do mercado cinza não são medicamentos legais.</w:t>
      </w:r>
    </w:p>
    <w:p>
      <w:pPr>
        <w:numPr>
          <w:ilvl w:val="0"/>
          <w:numId w:val="1074"/>
        </w:numPr>
        <w:pStyle w:val="Compact"/>
      </w:pPr>
      <w:r>
        <w:rPr>
          <w:bCs/>
          <w:b/>
        </w:rPr>
        <w:t xml:space="preserve">EUA:</w:t>
      </w:r>
      <w:r>
        <w:t xml:space="preserve"> </w:t>
      </w:r>
      <w:r>
        <w:t xml:space="preserve">não aprovada. A FDA classificou a survodutida para o tratamento da MASH como</w:t>
      </w:r>
      <w:r>
        <w:t xml:space="preserve"> </w:t>
      </w:r>
      <w:r>
        <w:t xml:space="preserve">“</w:t>
      </w:r>
      <w:r>
        <w:t xml:space="preserve">Breakthrough Therapy</w:t>
      </w:r>
      <w:r>
        <w:t xml:space="preserve">”</w:t>
      </w:r>
      <w:r>
        <w:t xml:space="preserve">, o que pode acelerar o processo de avaliação.</w:t>
      </w:r>
    </w:p>
    <w:p>
      <w:pPr>
        <w:numPr>
          <w:ilvl w:val="0"/>
          <w:numId w:val="1074"/>
        </w:numPr>
        <w:pStyle w:val="Compact"/>
      </w:pPr>
      <w:r>
        <w:rPr>
          <w:bCs/>
          <w:b/>
        </w:rPr>
        <w:t xml:space="preserve">Esporte:</w:t>
      </w:r>
      <w:r>
        <w:t xml:space="preserve"> </w:t>
      </w:r>
      <w:r>
        <w:t xml:space="preserve">classe S0 da WADA (substância não aprovada), situação em 2026, verificar atualização.</w:t>
      </w:r>
    </w:p>
    <w:bookmarkEnd w:id="599"/>
    <w:bookmarkStart w:id="610" w:name="estudos-em-andamento-e-perspectivas-6"/>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075"/>
        </w:numPr>
        <w:pStyle w:val="Compact"/>
      </w:pPr>
      <w:r>
        <w:rPr>
          <w:bCs/>
          <w:b/>
        </w:rPr>
        <w:t xml:space="preserve">SYNCHRONIZE-CVOT</w:t>
      </w:r>
      <w:r>
        <w:rPr>
          <w:rStyle w:val="FootnoteReference"/>
        </w:rPr>
        <w:footnoteReference w:id="600"/>
      </w:r>
      <w:r>
        <w:t xml:space="preserve">: estudo de segurança cardiovascular com 5.531 participantes, concluído segundo o registro; desenho descrito em Kosiborod 2024</w:t>
      </w:r>
      <w:r>
        <w:rPr>
          <w:rStyle w:val="FootnoteReference"/>
        </w:rPr>
        <w:footnoteReference w:id="601"/>
      </w:r>
      <w:r>
        <w:t xml:space="preserve">.</w:t>
      </w:r>
    </w:p>
    <w:p>
      <w:pPr>
        <w:numPr>
          <w:ilvl w:val="0"/>
          <w:numId w:val="1075"/>
        </w:numPr>
        <w:pStyle w:val="Compact"/>
      </w:pPr>
      <w:r>
        <w:rPr>
          <w:bCs/>
          <w:b/>
        </w:rPr>
        <w:t xml:space="preserve">LIVERAGE</w:t>
      </w:r>
      <w:r>
        <w:rPr>
          <w:rStyle w:val="FootnoteReference"/>
        </w:rPr>
        <w:footnoteReference w:id="602"/>
      </w:r>
      <w:r>
        <w:t xml:space="preserve">, com 1.800 participantes com MASH e fibrose, e</w:t>
      </w:r>
      <w:r>
        <w:t xml:space="preserve"> </w:t>
      </w:r>
      <w:r>
        <w:rPr>
          <w:bCs/>
          <w:b/>
        </w:rPr>
        <w:t xml:space="preserve">LIVERAGE-Cirrhosis</w:t>
      </w:r>
      <w:r>
        <w:rPr>
          <w:rStyle w:val="FootnoteReference"/>
        </w:rPr>
        <w:footnoteReference w:id="603"/>
      </w:r>
      <w:r>
        <w:t xml:space="preserve">, com 1.590 participantes com cirrose por MASH – os estudos decisivos para uma aprovação em hepatologia, com datas de término previstas entre 2029 e 2031.</w:t>
      </w:r>
    </w:p>
    <w:p>
      <w:pPr>
        <w:numPr>
          <w:ilvl w:val="0"/>
          <w:numId w:val="1075"/>
        </w:numPr>
        <w:pStyle w:val="Compact"/>
      </w:pPr>
      <w:r>
        <w:t xml:space="preserve">Outros estudos de fase 3: diabetes tipo 2</w:t>
      </w:r>
      <w:r>
        <w:rPr>
          <w:rStyle w:val="FootnoteReference"/>
        </w:rPr>
        <w:footnoteReference w:id="604"/>
      </w:r>
      <w:r>
        <w:t xml:space="preserve">, mulheres com obesidade</w:t>
      </w:r>
      <w:r>
        <w:rPr>
          <w:rStyle w:val="FootnoteReference"/>
        </w:rPr>
        <w:footnoteReference w:id="605"/>
      </w:r>
      <w:r>
        <w:t xml:space="preserve">, estrutura cardíaca na obesidade</w:t>
      </w:r>
      <w:r>
        <w:rPr>
          <w:rStyle w:val="FootnoteReference"/>
        </w:rPr>
        <w:footnoteReference w:id="606"/>
      </w:r>
      <w:r>
        <w:t xml:space="preserve">, pessoas sem tratamento prévio</w:t>
      </w:r>
      <w:r>
        <w:rPr>
          <w:rStyle w:val="FootnoteReference"/>
        </w:rPr>
        <w:footnoteReference w:id="607"/>
      </w:r>
      <w:r>
        <w:t xml:space="preserve">.</w:t>
      </w:r>
    </w:p>
    <w:p>
      <w:pPr>
        <w:numPr>
          <w:ilvl w:val="0"/>
          <w:numId w:val="1075"/>
        </w:numPr>
        <w:pStyle w:val="Compact"/>
      </w:pPr>
      <w:r>
        <w:t xml:space="preserve">Estudos de fase 3 na China</w:t>
      </w:r>
      <w:r>
        <w:rPr>
          <w:rStyle w:val="FootnoteReference"/>
        </w:rPr>
        <w:footnoteReference w:id="608"/>
      </w:r>
      <w:r>
        <w:t xml:space="preserve"> </w:t>
      </w:r>
      <w:r>
        <w:t xml:space="preserve">e no Japão</w:t>
      </w:r>
      <w:r>
        <w:rPr>
          <w:rStyle w:val="FootnoteReference"/>
        </w:rPr>
        <w:footnoteReference w:id="609"/>
      </w:r>
      <w:r>
        <w:t xml:space="preserve"> </w:t>
      </w:r>
      <w:r>
        <w:t xml:space="preserve">estão concluídos.</w:t>
      </w:r>
    </w:p>
    <w:p>
      <w:pPr>
        <w:pStyle w:val="FirstParagraph"/>
      </w:pPr>
      <w:r>
        <w:rPr>
          <w:bCs/>
          <w:b/>
        </w:rPr>
        <w:t xml:space="preserve">Avaliação:</w:t>
      </w:r>
      <w:r>
        <w:t xml:space="preserve"> </w:t>
      </w:r>
      <w:r>
        <w:t xml:space="preserve">como medicamento puramente para emagrecer, a survodutida provavelmente terá dificuldade diante da tirzepatida, da semaglutida e dos futuros agonistas triplos – a perda de peso no SYNCHRONIZE-1 foi menor, e os efeitos colaterais gastrointestinais, frequentes. Seu nicho poderia ser a doença hepática gordurosa, especialmente os estágios avançados até a cirrose, para os quais quase não há opções de tratamento. Se isso dará certo, os estudos LIVERAGE decidirão.</w:t>
      </w:r>
    </w:p>
    <w:bookmarkEnd w:id="610"/>
    <w:bookmarkStart w:id="611" w:name="conclusão-6"/>
    <w:p>
      <w:pPr>
        <w:pStyle w:val="Heading3"/>
      </w:pPr>
      <w:r>
        <w:t xml:space="preserve">Conclusão</w:t>
      </w:r>
    </w:p>
    <w:p>
      <w:pPr>
        <w:pStyle w:val="FirstParagraph"/>
      </w:pPr>
      <w:r>
        <w:t xml:space="preserve">A survodutida é um agonista duplo de glucagon e GLP-1 que, em estudos de fase 3, reduziu o peso corporal após 76 semanas em até 13,0% (sem diabetes) e 9,8% (com diabetes tipo 2), respectivamente. Mais nítidos foram os efeitos sobre o fígado: no estudo de fase 2, a inflamação hepática melhorou em até 62%, contra 14% com placebo. Queixas gastrointestinais são muito frequentes. A survodutida não está aprovada; se ela terá futuro como medicamento para o fígado, os estudos de fase 3 em andamento mostrarão.</w:t>
      </w:r>
    </w:p>
    <w:bookmarkEnd w:id="611"/>
    <w:bookmarkEnd w:id="612"/>
    <w:bookmarkStart w:id="650" w:name="mazdutida"/>
    <w:p>
      <w:pPr>
        <w:pStyle w:val="Heading2"/>
      </w:pPr>
      <w:r>
        <w:t xml:space="preserve">Mazdutida</w:t>
      </w:r>
    </w:p>
    <w:bookmarkStart w:id="613" w:name="ficha-técnica-7"/>
    <w:p>
      <w:pPr>
        <w:pStyle w:val="Heading3"/>
      </w:pPr>
      <w:r>
        <w:t xml:space="preserve">Ficha técnica</w:t>
      </w:r>
    </w:p>
    <w:p>
      <w:pPr>
        <w:numPr>
          <w:ilvl w:val="0"/>
          <w:numId w:val="1076"/>
        </w:numPr>
        <w:pStyle w:val="Compact"/>
      </w:pPr>
      <w:r>
        <w:rPr>
          <w:bCs/>
          <w:b/>
        </w:rPr>
        <w:t xml:space="preserve">Tipo/estrutura:</w:t>
      </w:r>
      <w:r>
        <w:t xml:space="preserve"> </w:t>
      </w:r>
      <w:r>
        <w:t xml:space="preserve">peptídeo sintético modificado com ácido graxo, derivado do hormônio intestinal oxintomodulina; administração subcutânea uma vez por semana. Códigos de desenvolvimento LY3305677 (Eli Lilly) e IBI362 (Innovent Biologics).</w:t>
      </w:r>
    </w:p>
    <w:p>
      <w:pPr>
        <w:numPr>
          <w:ilvl w:val="0"/>
          <w:numId w:val="1076"/>
        </w:numPr>
        <w:pStyle w:val="Compact"/>
      </w:pPr>
      <w:r>
        <w:rPr>
          <w:bCs/>
          <w:b/>
        </w:rPr>
        <w:t xml:space="preserve">Origem:</w:t>
      </w:r>
      <w:r>
        <w:t xml:space="preserve"> </w:t>
      </w:r>
      <w:r>
        <w:t xml:space="preserve">desenvolvida originalmente pela Eli Lilly; na China, levada até a aprovação pela Innovent Biologics, e fora da China continua sendo estudada pela Lilly.</w:t>
      </w:r>
    </w:p>
    <w:p>
      <w:pPr>
        <w:numPr>
          <w:ilvl w:val="0"/>
          <w:numId w:val="1076"/>
        </w:numPr>
        <w:pStyle w:val="Compact"/>
      </w:pPr>
      <w:r>
        <w:rPr>
          <w:bCs/>
          <w:b/>
        </w:rPr>
        <w:t xml:space="preserve">Princípio de ação:</w:t>
      </w:r>
      <w:r>
        <w:t xml:space="preserve"> </w:t>
      </w:r>
      <w:r>
        <w:t xml:space="preserve">agonista duplo dos receptores de GLP-1 e de glucagon – como a survodutida, mas uma molécula independente.</w:t>
      </w:r>
    </w:p>
    <w:p>
      <w:pPr>
        <w:numPr>
          <w:ilvl w:val="0"/>
          <w:numId w:val="1076"/>
        </w:numPr>
        <w:pStyle w:val="Compact"/>
      </w:pPr>
      <w:r>
        <w:rPr>
          <w:bCs/>
          <w:b/>
        </w:rPr>
        <w:t xml:space="preserve">Aprovação UE:</w:t>
      </w:r>
      <w:r>
        <w:t xml:space="preserve"> </w:t>
      </w:r>
      <w:r>
        <w:t xml:space="preserve">não.</w:t>
      </w:r>
    </w:p>
    <w:p>
      <w:pPr>
        <w:numPr>
          <w:ilvl w:val="0"/>
          <w:numId w:val="1076"/>
        </w:numPr>
        <w:pStyle w:val="Compact"/>
      </w:pPr>
      <w:r>
        <w:rPr>
          <w:bCs/>
          <w:b/>
        </w:rPr>
        <w:t xml:space="preserve">Aprovação EUA:</w:t>
      </w:r>
      <w:r>
        <w:t xml:space="preserve"> </w:t>
      </w:r>
      <w:r>
        <w:t xml:space="preserve">não.</w:t>
      </w:r>
    </w:p>
    <w:p>
      <w:pPr>
        <w:numPr>
          <w:ilvl w:val="0"/>
          <w:numId w:val="1076"/>
        </w:numPr>
        <w:pStyle w:val="Compact"/>
      </w:pPr>
      <w:r>
        <w:rPr>
          <w:bCs/>
          <w:b/>
        </w:rPr>
        <w:t xml:space="preserve">Aprovação China:</w:t>
      </w:r>
      <w:r>
        <w:t xml:space="preserve"> </w:t>
      </w:r>
      <w:r>
        <w:t xml:space="preserve">sim, desde junho de 2025 para o controle de peso e desde setembro de 2025 também para diabetes tipo 2 (nome comercial Xinermei).</w:t>
      </w:r>
    </w:p>
    <w:p>
      <w:pPr>
        <w:numPr>
          <w:ilvl w:val="0"/>
          <w:numId w:val="1076"/>
        </w:numPr>
        <w:pStyle w:val="Compact"/>
      </w:pPr>
      <w:r>
        <w:rPr>
          <w:bCs/>
          <w:b/>
        </w:rPr>
        <w:t xml:space="preserve">WADA:</w:t>
      </w:r>
      <w:r>
        <w:t xml:space="preserve"> </w:t>
      </w:r>
      <w:r>
        <w:t xml:space="preserve">não listada nominalmente. Como a mazdutida foi aprovada por uma autoridade sanitária estatal (China), pelo texto da regra ela não se enquadra mais na S0; ainda assim, o uso no esporte sem indicação médica é problemático.</w:t>
      </w:r>
    </w:p>
    <w:p>
      <w:pPr>
        <w:numPr>
          <w:ilvl w:val="0"/>
          <w:numId w:val="1076"/>
        </w:numPr>
        <w:pStyle w:val="Compact"/>
      </w:pPr>
      <w:r>
        <w:rPr>
          <w:bCs/>
          <w:b/>
        </w:rPr>
        <w:t xml:space="preserve">Nível de evidência:</w:t>
      </w:r>
      <w:r>
        <w:t xml:space="preserve"> </w:t>
      </w:r>
      <w:r>
        <w:rPr>
          <w:bCs/>
          <w:b/>
        </w:rPr>
        <w:t xml:space="preserve">A</w:t>
      </w:r>
      <w:r>
        <w:t xml:space="preserve"> </w:t>
      </w:r>
      <w:r>
        <w:t xml:space="preserve">– vários grandes estudos de fase 3 e uma aprovação, porém quase exclusivamente em participantes chineses.</w:t>
      </w:r>
    </w:p>
    <w:bookmarkEnd w:id="613"/>
    <w:bookmarkStart w:id="614" w:name="como-deveria-agir-7"/>
    <w:p>
      <w:pPr>
        <w:pStyle w:val="Heading3"/>
      </w:pPr>
      <w:r>
        <w:t xml:space="preserve">Como deveria agir</w:t>
      </w:r>
    </w:p>
    <w:p>
      <w:pPr>
        <w:pStyle w:val="FirstParagraph"/>
      </w:pPr>
      <w:r>
        <w:t xml:space="preserve">A oxintomodulina é um hormônio natural do intestino que – de forma semelhante ao GLP-1 – é liberado após as refeições. Ela ativa tanto o receptor de GLP-1 quanto o de glucagon, mas de forma fraca e muito breve. A mazdutida é uma versão estabilizada e de ação prolongada desse princípio.</w:t>
      </w:r>
    </w:p>
    <w:p>
      <w:pPr>
        <w:pStyle w:val="BodyText"/>
      </w:pPr>
      <w:r>
        <w:t xml:space="preserve">A parte GLP-1 atenua o apetite, retarda o esvaziamento gástrico e favorece a liberação de insulina dependente da glicose. A parte glucagon deveria aumentar o gasto energético e favorecer a degradação de gordura no fígado (veja também o capítulo Survodutida). Em humanos, a contribuição da parte glucagon para a perda de peso não foi medida diretamente; a hipótese se apoia sobretudo em dados de animais.</w:t>
      </w:r>
    </w:p>
    <w:bookmarkEnd w:id="614"/>
    <w:bookmarkStart w:id="629" w:name="estudos-em-humanos-7"/>
    <w:p>
      <w:pPr>
        <w:pStyle w:val="Heading3"/>
      </w:pPr>
      <w:r>
        <w:t xml:space="preserve">Estudos em humanos</w:t>
      </w:r>
    </w:p>
    <w:p>
      <w:pPr>
        <w:pStyle w:val="FirstParagraph"/>
      </w:pPr>
      <w:r>
        <w:rPr>
          <w:bCs/>
          <w:b/>
        </w:rPr>
        <w:t xml:space="preserve">Dimensão da base de estudos:</w:t>
      </w:r>
      <w:r>
        <w:t xml:space="preserve"> </w:t>
      </w:r>
      <w:r>
        <w:t xml:space="preserve">a consulta automatizada ao PubMed (outubro de 2026) encontrou 9 estudos em humanos, complementados por um estudo de fase 1 com doses altas e um relato de caso. No ClinicalTrials.gov havia 44 estudos registrados, a maioria na China. Os estudos de aprovação se chamam</w:t>
      </w:r>
      <w:r>
        <w:t xml:space="preserve"> </w:t>
      </w:r>
      <w:r>
        <w:rPr>
          <w:bCs/>
          <w:b/>
        </w:rPr>
        <w:t xml:space="preserve">GLORY</w:t>
      </w:r>
      <w:r>
        <w:t xml:space="preserve"> </w:t>
      </w:r>
      <w:r>
        <w:t xml:space="preserve">(obesidade) e</w:t>
      </w:r>
      <w:r>
        <w:t xml:space="preserve"> </w:t>
      </w:r>
      <w:r>
        <w:rPr>
          <w:bCs/>
          <w:b/>
        </w:rPr>
        <w:t xml:space="preserve">DREAMS</w:t>
      </w:r>
      <w:r>
        <w:t xml:space="preserve"> </w:t>
      </w:r>
      <w:r>
        <w:t xml:space="preserve">(diabetes tipo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Fase 2 obesidade (Ji 2023), PMID 38092790</w:t>
            </w:r>
          </w:p>
        </w:tc>
        <w:tc>
          <w:tcPr/>
          <w:p>
            <w:pPr>
              <w:pStyle w:val="Compact"/>
              <w:jc w:val="left"/>
            </w:pPr>
            <w:r>
              <w:t xml:space="preserve">248 adultos chineses com sobrepeso/obesidade</w:t>
            </w:r>
          </w:p>
        </w:tc>
        <w:tc>
          <w:tcPr/>
          <w:p>
            <w:pPr>
              <w:pStyle w:val="Compact"/>
              <w:jc w:val="left"/>
            </w:pPr>
            <w:r>
              <w:t xml:space="preserve">24 semanas</w:t>
            </w:r>
          </w:p>
        </w:tc>
        <w:tc>
          <w:tcPr/>
          <w:p>
            <w:pPr>
              <w:pStyle w:val="Compact"/>
              <w:jc w:val="left"/>
            </w:pPr>
            <w:r>
              <w:t xml:space="preserve">−6,7 a −11,3% de peso vs. +1,0%</w:t>
            </w:r>
          </w:p>
        </w:tc>
      </w:tr>
      <w:tr>
        <w:tc>
          <w:tcPr/>
          <w:p>
            <w:pPr>
              <w:pStyle w:val="Compact"/>
              <w:jc w:val="left"/>
            </w:pPr>
            <w:r>
              <w:t xml:space="preserve">Fase 2 diabetes tipo 2 (Zhang 2024), PMID 37943529</w:t>
            </w:r>
          </w:p>
        </w:tc>
        <w:tc>
          <w:tcPr/>
          <w:p>
            <w:pPr>
              <w:pStyle w:val="Compact"/>
              <w:jc w:val="left"/>
            </w:pPr>
            <w:r>
              <w:t xml:space="preserve">250 adultos chineses, contra placebo e dulaglutida aberta</w:t>
            </w:r>
          </w:p>
        </w:tc>
        <w:tc>
          <w:tcPr/>
          <w:p>
            <w:pPr>
              <w:pStyle w:val="Compact"/>
              <w:jc w:val="left"/>
            </w:pPr>
            <w:r>
              <w:t xml:space="preserve">20 semanas</w:t>
            </w:r>
          </w:p>
        </w:tc>
        <w:tc>
          <w:tcPr/>
          <w:p>
            <w:pPr>
              <w:pStyle w:val="Compact"/>
              <w:jc w:val="left"/>
            </w:pPr>
            <w:r>
              <w:t xml:space="preserve">HbA1c −1,41 a −1,67 (dulaglutida −1,35)</w:t>
            </w:r>
          </w:p>
        </w:tc>
      </w:tr>
      <w:tr>
        <w:tc>
          <w:tcPr/>
          <w:p>
            <w:pPr>
              <w:pStyle w:val="Compact"/>
              <w:jc w:val="left"/>
            </w:pPr>
            <w:r>
              <w:t xml:space="preserve">GLORY-1 (Ji 2025), PMID 40421736</w:t>
            </w:r>
          </w:p>
        </w:tc>
        <w:tc>
          <w:tcPr/>
          <w:p>
            <w:pPr>
              <w:pStyle w:val="Compact"/>
              <w:jc w:val="left"/>
            </w:pPr>
            <w:r>
              <w:t xml:space="preserve">610 adultos chineses com sobrepeso/obesidade, contra placebo</w:t>
            </w:r>
          </w:p>
        </w:tc>
        <w:tc>
          <w:tcPr/>
          <w:p>
            <w:pPr>
              <w:pStyle w:val="Compact"/>
              <w:jc w:val="left"/>
            </w:pPr>
            <w:r>
              <w:t xml:space="preserve">48 semanas</w:t>
            </w:r>
          </w:p>
        </w:tc>
        <w:tc>
          <w:tcPr/>
          <w:p>
            <w:pPr>
              <w:pStyle w:val="Compact"/>
              <w:jc w:val="left"/>
            </w:pPr>
            <w:r>
              <w:t xml:space="preserve">−11,00 / −14,01% (4/6 mg) vs. +0,30%</w:t>
            </w:r>
          </w:p>
        </w:tc>
      </w:tr>
      <w:tr>
        <w:tc>
          <w:tcPr/>
          <w:p>
            <w:pPr>
              <w:pStyle w:val="Compact"/>
              <w:jc w:val="left"/>
            </w:pPr>
            <w:r>
              <w:t xml:space="preserve">GLORY-2 (Gao 2026), PMID 42251595</w:t>
            </w:r>
          </w:p>
        </w:tc>
        <w:tc>
          <w:tcPr/>
          <w:p>
            <w:pPr>
              <w:pStyle w:val="Compact"/>
              <w:jc w:val="left"/>
            </w:pPr>
            <w:r>
              <w:t xml:space="preserve">461 adultos chineses com obesidade, dose mais alta contra placebo</w:t>
            </w:r>
          </w:p>
        </w:tc>
        <w:tc>
          <w:tcPr/>
          <w:p>
            <w:pPr>
              <w:pStyle w:val="Compact"/>
              <w:jc w:val="left"/>
            </w:pPr>
            <w:r>
              <w:t xml:space="preserve">60 semanas</w:t>
            </w:r>
          </w:p>
        </w:tc>
        <w:tc>
          <w:tcPr/>
          <w:p>
            <w:pPr>
              <w:pStyle w:val="Compact"/>
              <w:jc w:val="left"/>
            </w:pPr>
            <w:r>
              <w:t xml:space="preserve">−16,65% vs. −1,50%</w:t>
            </w:r>
          </w:p>
        </w:tc>
      </w:tr>
      <w:tr>
        <w:tc>
          <w:tcPr/>
          <w:p>
            <w:pPr>
              <w:pStyle w:val="Compact"/>
              <w:jc w:val="left"/>
            </w:pPr>
            <w:r>
              <w:t xml:space="preserve">DREAMS-1 (Zhu 2026), PMID 41407859</w:t>
            </w:r>
          </w:p>
        </w:tc>
        <w:tc>
          <w:tcPr/>
          <w:p>
            <w:pPr>
              <w:pStyle w:val="Compact"/>
              <w:jc w:val="left"/>
            </w:pPr>
            <w:r>
              <w:t xml:space="preserve">320 adultos chineses com diabetes tipo 2, contra placebo</w:t>
            </w:r>
          </w:p>
        </w:tc>
        <w:tc>
          <w:tcPr/>
          <w:p>
            <w:pPr>
              <w:pStyle w:val="Compact"/>
              <w:jc w:val="left"/>
            </w:pPr>
            <w:r>
              <w:t xml:space="preserve">24 semanas</w:t>
            </w:r>
          </w:p>
        </w:tc>
        <w:tc>
          <w:tcPr/>
          <w:p>
            <w:pPr>
              <w:pStyle w:val="Compact"/>
              <w:jc w:val="left"/>
            </w:pPr>
            <w:r>
              <w:t xml:space="preserve">HbA1c −1,57 / −2,15 vs. −0,14</w:t>
            </w:r>
          </w:p>
        </w:tc>
      </w:tr>
      <w:tr>
        <w:tc>
          <w:tcPr/>
          <w:p>
            <w:pPr>
              <w:pStyle w:val="Compact"/>
              <w:jc w:val="left"/>
            </w:pPr>
            <w:r>
              <w:t xml:space="preserve">DREAMS-2 (Guo 2026), PMID 41407860</w:t>
            </w:r>
          </w:p>
        </w:tc>
        <w:tc>
          <w:tcPr/>
          <w:p>
            <w:pPr>
              <w:pStyle w:val="Compact"/>
              <w:jc w:val="left"/>
            </w:pPr>
            <w:r>
              <w:t xml:space="preserve">731 adultos chineses com diabetes tipo 2, contra dulaglutida</w:t>
            </w:r>
          </w:p>
        </w:tc>
        <w:tc>
          <w:tcPr/>
          <w:p>
            <w:pPr>
              <w:pStyle w:val="Compact"/>
              <w:jc w:val="left"/>
            </w:pPr>
            <w:r>
              <w:t xml:space="preserve">28 semanas</w:t>
            </w:r>
          </w:p>
        </w:tc>
        <w:tc>
          <w:tcPr/>
          <w:p>
            <w:pPr>
              <w:pStyle w:val="Compact"/>
              <w:jc w:val="left"/>
            </w:pPr>
            <w:r>
              <w:t xml:space="preserve">HbA1c adicional −0,24 / −0,30; peso adicional −3,78 / −5,76%</w:t>
            </w:r>
          </w:p>
        </w:tc>
      </w:tr>
      <w:tr>
        <w:tc>
          <w:tcPr/>
          <w:p>
            <w:pPr>
              <w:pStyle w:val="Compact"/>
              <w:jc w:val="left"/>
            </w:pPr>
            <w:r>
              <w:t xml:space="preserve">Fase 2 EUA (Hsia 2026), PMID 42628555</w:t>
            </w:r>
          </w:p>
        </w:tc>
        <w:tc>
          <w:tcPr/>
          <w:p>
            <w:pPr>
              <w:pStyle w:val="Compact"/>
              <w:jc w:val="left"/>
            </w:pPr>
            <w:r>
              <w:t xml:space="preserve">179 adultos com sobrepeso/obesidade, contra placebo</w:t>
            </w:r>
          </w:p>
        </w:tc>
        <w:tc>
          <w:tcPr/>
          <w:p>
            <w:pPr>
              <w:pStyle w:val="Compact"/>
              <w:jc w:val="left"/>
            </w:pPr>
            <w:r>
              <w:t xml:space="preserve">48 semanas (desfecho primário 32)</w:t>
            </w:r>
          </w:p>
        </w:tc>
        <w:tc>
          <w:tcPr/>
          <w:p>
            <w:pPr>
              <w:pStyle w:val="Compact"/>
              <w:jc w:val="left"/>
            </w:pPr>
            <w:r>
              <w:t xml:space="preserve">−7,3 a −18,1% após 32 semanas vs. −0,9%</w:t>
            </w:r>
          </w:p>
        </w:tc>
      </w:tr>
    </w:tbl>
    <w:bookmarkStart w:id="617" w:name="obesidade-glory-1-e-glory-2"/>
    <w:p>
      <w:pPr>
        <w:pStyle w:val="Heading4"/>
      </w:pPr>
      <w:r>
        <w:t xml:space="preserve">Obesidade: GLORY-1 e GLORY-2</w:t>
      </w:r>
    </w:p>
    <w:p>
      <w:pPr>
        <w:pStyle w:val="FirstParagraph"/>
      </w:pPr>
      <w:r>
        <w:t xml:space="preserve">O</w:t>
      </w:r>
      <w:r>
        <w:t xml:space="preserve"> </w:t>
      </w:r>
      <w:r>
        <w:rPr>
          <w:bCs/>
          <w:b/>
        </w:rPr>
        <w:t xml:space="preserve">GLORY-1</w:t>
      </w:r>
      <w:r>
        <w:rPr>
          <w:rStyle w:val="FootnoteReference"/>
        </w:rPr>
        <w:footnoteReference w:id="615"/>
      </w:r>
      <w:r>
        <w:t xml:space="preserve"> </w:t>
      </w:r>
      <w:r>
        <w:t xml:space="preserve">foi o estudo de aprovação para a China. Os critérios de inclusão seguiram limites chineses: IMC a partir de 28, ou a partir de 24 com doença associada. Com um peso inicial de 87,2 kg, o peso diminuiu após 48 semanas 11,0% (4 mg) e 14,0% (6 mg), respectivamente; com placebo, permaneceu praticamente igual. Pelo menos 15% foram perdidos por 35,7% e 49,5% dos participantes, respectivamente. Abandonos por efeitos colaterais foram muito raros, com 0,5–1,5%.</w:t>
      </w:r>
    </w:p>
    <w:p>
      <w:pPr>
        <w:pStyle w:val="BodyText"/>
      </w:pPr>
      <w:r>
        <w:t xml:space="preserve">O</w:t>
      </w:r>
      <w:r>
        <w:t xml:space="preserve"> </w:t>
      </w:r>
      <w:r>
        <w:rPr>
          <w:bCs/>
          <w:b/>
        </w:rPr>
        <w:t xml:space="preserve">GLORY-2</w:t>
      </w:r>
      <w:r>
        <w:rPr>
          <w:rStyle w:val="FootnoteReference"/>
        </w:rPr>
        <w:footnoteReference w:id="616"/>
      </w:r>
      <w:r>
        <w:t xml:space="preserve"> </w:t>
      </w:r>
      <w:r>
        <w:t xml:space="preserve">testou uma dose mais alta em pessoas com IMC a partir de 30. Os participantes eram notavelmente jovens, com média de 33,9 anos. Após 60 semanas, a perda de peso foi de 16,65% contra 1,50% com placebo. O preço foram muito mais queixas gastrointestinais: vômitos em 53,1% (placebo 1,3%), náusea em 46,9% (3,2%) e diarreia em 39,4% (6,5%). Ainda assim, apenas 2,9% interromperam o tratamento por efeitos colaterais.</w:t>
      </w:r>
    </w:p>
    <w:bookmarkEnd w:id="617"/>
    <w:bookmarkStart w:id="622" w:name="diabetes-tipo-2-dreams-1-e-dreams-2"/>
    <w:p>
      <w:pPr>
        <w:pStyle w:val="Heading4"/>
      </w:pPr>
      <w:r>
        <w:t xml:space="preserve">Diabetes tipo 2: DREAMS-1 e DREAMS-2</w:t>
      </w:r>
    </w:p>
    <w:p>
      <w:pPr>
        <w:pStyle w:val="FirstParagraph"/>
      </w:pPr>
      <w:r>
        <w:t xml:space="preserve">No</w:t>
      </w:r>
      <w:r>
        <w:t xml:space="preserve"> </w:t>
      </w:r>
      <w:r>
        <w:rPr>
          <w:bCs/>
          <w:b/>
        </w:rPr>
        <w:t xml:space="preserve">DREAMS-1</w:t>
      </w:r>
      <w:r>
        <w:rPr>
          <w:rStyle w:val="FootnoteReference"/>
        </w:rPr>
        <w:footnoteReference w:id="618"/>
      </w:r>
      <w:r>
        <w:t xml:space="preserve">, pessoas com diabetes tipo 2 não suficientemente controlado apenas com dieta e exercício (duração média do diabetes de 1,9 ano) receberam mazdutida sem outros medicamentos para diabetes. A HbA1c caiu, com a dose mais alta, 2,15 pontos percentuais após 24 semanas (placebo −0,14), e o peso, 7,81%.</w:t>
      </w:r>
    </w:p>
    <w:p>
      <w:pPr>
        <w:pStyle w:val="BodyText"/>
      </w:pPr>
      <w:r>
        <w:t xml:space="preserve">O</w:t>
      </w:r>
      <w:r>
        <w:t xml:space="preserve"> </w:t>
      </w:r>
      <w:r>
        <w:rPr>
          <w:bCs/>
          <w:b/>
        </w:rPr>
        <w:t xml:space="preserve">DREAMS-2</w:t>
      </w:r>
      <w:r>
        <w:rPr>
          <w:rStyle w:val="FootnoteReference"/>
        </w:rPr>
        <w:footnoteReference w:id="619"/>
      </w:r>
      <w:r>
        <w:t xml:space="preserve"> </w:t>
      </w:r>
      <w:r>
        <w:t xml:space="preserve">é até agora o estudo comparativo mais importante: contra o medicamento GLP-1 estabelecido dulaglutida, a mazdutida foi não inferior e superior na HbA1c, ainda que por pequena margem (−0,24 e −0,30 ponto percentual adicional, respectivamente). A diferença foi mais nítida no peso (adicional −3,78 e −5,76%, respectivamente). Efeitos colaterais gastrointestinais foram mais frequentes com mazdutida do que com dulaglutida.</w:t>
      </w:r>
    </w:p>
    <w:p>
      <w:pPr>
        <w:pStyle w:val="BodyText"/>
      </w:pPr>
      <w:r>
        <w:t xml:space="preserve">Um estudo comparativo contra semaglutida em pessoas com diabetes tipo 2 inicial e obesidade (DREAMS-3) está concluído segundo o registro</w:t>
      </w:r>
      <w:r>
        <w:rPr>
          <w:rStyle w:val="FootnoteReference"/>
        </w:rPr>
        <w:footnoteReference w:id="620"/>
      </w:r>
      <w:r>
        <w:t xml:space="preserve">; seu desenho e os dados iniciais dos 349 participantes foram publicados</w:t>
      </w:r>
      <w:r>
        <w:rPr>
          <w:rStyle w:val="FootnoteReference"/>
        </w:rPr>
        <w:footnoteReference w:id="621"/>
      </w:r>
      <w:r>
        <w:t xml:space="preserve">, os resultados ainda não.</w:t>
      </w:r>
    </w:p>
    <w:bookmarkEnd w:id="622"/>
    <w:bookmarkStart w:id="625" w:name="estudos-fora-da-china-e-doses-mais-altas"/>
    <w:p>
      <w:pPr>
        <w:pStyle w:val="Heading4"/>
      </w:pPr>
      <w:r>
        <w:t xml:space="preserve">Estudos fora da China e doses mais altas</w:t>
      </w:r>
    </w:p>
    <w:p>
      <w:pPr>
        <w:pStyle w:val="FirstParagraph"/>
      </w:pPr>
      <w:r>
        <w:t xml:space="preserve">A Lilly estuda a mazdutida fora da China em doses mais altas. Em um pequeno estudo de fase 1 com 32 adultos nos EUA, o peso corporal caiu, com a dose mais alta, após 20 semanas, 20,0% e 21,0% (dois esquemas de escalonamento) contra 0,1% com placebo; não ocorreram efeitos colaterais graves</w:t>
      </w:r>
      <w:r>
        <w:rPr>
          <w:rStyle w:val="FootnoteReference"/>
        </w:rPr>
        <w:footnoteReference w:id="623"/>
      </w:r>
      <w:r>
        <w:t xml:space="preserve">.</w:t>
      </w:r>
    </w:p>
    <w:p>
      <w:pPr>
        <w:pStyle w:val="BodyText"/>
      </w:pPr>
      <w:r>
        <w:t xml:space="preserve">No estudo de fase 2 norte-americano com 179 participantes</w:t>
      </w:r>
      <w:r>
        <w:rPr>
          <w:rStyle w:val="FootnoteReference"/>
        </w:rPr>
        <w:footnoteReference w:id="624"/>
      </w:r>
      <w:r>
        <w:t xml:space="preserve">, a perda de peso após 32 semanas foi de até 18,1% com a dose mais alta. Porém, ali, com a dose mais alta, 20% interromperam o tratamento por efeitos colaterais, sobretudo por queixas gastrointestinais. A análise principal usou, além disso, o</w:t>
      </w:r>
      <w:r>
        <w:t xml:space="preserve"> </w:t>
      </w:r>
      <w:r>
        <w:t xml:space="preserve">“</w:t>
      </w:r>
      <w:r>
        <w:t xml:space="preserve">estimador de eficácia</w:t>
      </w:r>
      <w:r>
        <w:t xml:space="preserve">”</w:t>
      </w:r>
      <w:r>
        <w:t xml:space="preserve">, que deixa de considerar as pessoas após uma interrupção e, por isso, tende a apresentar o efeito de forma mais favorável.</w:t>
      </w:r>
    </w:p>
    <w:bookmarkEnd w:id="625"/>
    <w:bookmarkStart w:id="628" w:name="relatos-de-casos-individuais"/>
    <w:p>
      <w:pPr>
        <w:pStyle w:val="Heading4"/>
      </w:pPr>
      <w:r>
        <w:t xml:space="preserve">Relatos de casos individuais</w:t>
      </w:r>
    </w:p>
    <w:p>
      <w:pPr>
        <w:pStyle w:val="FirstParagraph"/>
      </w:pPr>
      <w:r>
        <w:t xml:space="preserve">Um relato de caso descreve um paciente de 15 anos com obesidade, diabetes tipo 2 e ácido úrico elevado que recebeu mazdutida além de metformina e insulina e perdeu 16,8 kg após 36 semanas</w:t>
      </w:r>
      <w:r>
        <w:rPr>
          <w:rStyle w:val="FootnoteReference"/>
        </w:rPr>
        <w:footnoteReference w:id="626"/>
      </w:r>
      <w:r>
        <w:t xml:space="preserve">. Um caso isolado não permite afirmações sobre eficácia ou segurança em adolescentes; um estudo sobre isso está em andamento</w:t>
      </w:r>
      <w:r>
        <w:rPr>
          <w:rStyle w:val="FootnoteReference"/>
        </w:rPr>
        <w:footnoteReference w:id="627"/>
      </w:r>
      <w:r>
        <w:t xml:space="preserve">.</w:t>
      </w:r>
    </w:p>
    <w:bookmarkEnd w:id="628"/>
    <w:bookmarkEnd w:id="629"/>
    <w:bookmarkStart w:id="633" w:name="estudos-em-animais-e-em-laboratório-7"/>
    <w:p>
      <w:pPr>
        <w:pStyle w:val="Heading3"/>
      </w:pPr>
      <w:r>
        <w:t xml:space="preserve">Estudos em animais e em laboratório</w:t>
      </w:r>
    </w:p>
    <w:p>
      <w:pPr>
        <w:pStyle w:val="FirstParagraph"/>
      </w:pPr>
      <w:r>
        <w:t xml:space="preserve">Em camundongos diabéticos (modelo db/db), a mazdutida teve desempenho melhor do que a dulaglutida em testes de memória e de comportamento; no tecido cerebral, observaram-se menos danos</w:t>
      </w:r>
      <w:r>
        <w:rPr>
          <w:rStyle w:val="FootnoteReference"/>
        </w:rPr>
        <w:footnoteReference w:id="630"/>
      </w:r>
      <w:r>
        <w:t xml:space="preserve">. Em camundongos com fígado gorduroso induzido por dieta e em culturas de células hepáticas, a mazdutida reduziu o acúmulo de gordura e sinais de inflamação</w:t>
      </w:r>
      <w:r>
        <w:rPr>
          <w:rStyle w:val="FootnoteReference"/>
        </w:rPr>
        <w:footnoteReference w:id="631"/>
      </w:r>
      <w:r>
        <w:t xml:space="preserve">. Se disso resultam vantagens para humanos ainda está em aberto; um estudo sobre diabetes tipo 2 com comprometimento cognitivo inicial está registrado na China</w:t>
      </w:r>
      <w:r>
        <w:rPr>
          <w:rStyle w:val="FootnoteReference"/>
        </w:rPr>
        <w:footnoteReference w:id="632"/>
      </w:r>
      <w:r>
        <w:t xml:space="preserve">.</w:t>
      </w:r>
    </w:p>
    <w:bookmarkEnd w:id="633"/>
    <w:bookmarkStart w:id="638" w:name="riscos-e-efeitos-colaterais-7"/>
    <w:p>
      <w:pPr>
        <w:pStyle w:val="Heading3"/>
      </w:pPr>
      <w:r>
        <w:t xml:space="preserve">Riscos e efeitos colaterais</w:t>
      </w:r>
    </w:p>
    <w:p>
      <w:pPr>
        <w:pStyle w:val="FirstParagraph"/>
      </w:pPr>
      <w:r>
        <w:rPr>
          <w:bCs/>
          <w:b/>
        </w:rPr>
        <w:t xml:space="preserve">Comprovados em estudos:</w:t>
      </w:r>
    </w:p>
    <w:p>
      <w:pPr>
        <w:numPr>
          <w:ilvl w:val="0"/>
          <w:numId w:val="1077"/>
        </w:numPr>
        <w:pStyle w:val="Compact"/>
      </w:pPr>
      <w:r>
        <w:rPr>
          <w:bCs/>
          <w:b/>
        </w:rPr>
        <w:t xml:space="preserve">Queixas gastrointestinais</w:t>
      </w:r>
      <w:r>
        <w:t xml:space="preserve"> </w:t>
      </w:r>
      <w:r>
        <w:t xml:space="preserve">são os efeitos colaterais mais frequentes; sua frequência aumenta com a dose. No estudo de fase 2 em diabetes, ocorreram diarreia em 36%, apetite reduzido em 29%, náusea em 23% e vômitos em 14%</w:t>
      </w:r>
      <w:r>
        <w:rPr>
          <w:rStyle w:val="FootnoteReference"/>
        </w:rPr>
        <w:footnoteReference w:id="634"/>
      </w:r>
      <w:r>
        <w:t xml:space="preserve">. No GLORY-2, mais da metade dos participantes vomitou pelo menos uma vez</w:t>
      </w:r>
      <w:r>
        <w:rPr>
          <w:rStyle w:val="FootnoteReference"/>
        </w:rPr>
        <w:footnoteReference w:id="635"/>
      </w:r>
      <w:r>
        <w:t xml:space="preserve">.</w:t>
      </w:r>
    </w:p>
    <w:p>
      <w:pPr>
        <w:numPr>
          <w:ilvl w:val="0"/>
          <w:numId w:val="1077"/>
        </w:numPr>
        <w:pStyle w:val="Compact"/>
      </w:pPr>
      <w:r>
        <w:rPr>
          <w:bCs/>
          <w:b/>
        </w:rPr>
        <w:t xml:space="preserve">Hipoglicemia:</w:t>
      </w:r>
      <w:r>
        <w:t xml:space="preserve"> </w:t>
      </w:r>
      <w:r>
        <w:t xml:space="preserve">no estudo de fase 2 em diabetes, foram relatadas hipoglicemias em 10% com mazdutida e em 8% com placebo</w:t>
      </w:r>
      <w:r>
        <w:rPr>
          <w:rStyle w:val="FootnoteReference"/>
        </w:rPr>
        <w:footnoteReference w:id="636"/>
      </w:r>
      <w:r>
        <w:t xml:space="preserve">.</w:t>
      </w:r>
    </w:p>
    <w:p>
      <w:pPr>
        <w:numPr>
          <w:ilvl w:val="0"/>
          <w:numId w:val="1077"/>
        </w:numPr>
        <w:pStyle w:val="Compact"/>
      </w:pPr>
      <w:r>
        <w:rPr>
          <w:bCs/>
          <w:b/>
        </w:rPr>
        <w:t xml:space="preserve">Abandonos com doses altas:</w:t>
      </w:r>
      <w:r>
        <w:t xml:space="preserve"> </w:t>
      </w:r>
      <w:r>
        <w:t xml:space="preserve">até 20% no estudo de fase 2 nos EUA</w:t>
      </w:r>
      <w:r>
        <w:rPr>
          <w:rStyle w:val="FootnoteReference"/>
        </w:rPr>
        <w:footnoteReference w:id="637"/>
      </w:r>
      <w:r>
        <w:t xml:space="preserve">.</w:t>
      </w:r>
    </w:p>
    <w:p>
      <w:pPr>
        <w:pStyle w:val="FirstParagraph"/>
      </w:pPr>
      <w:r>
        <w:rPr>
          <w:bCs/>
          <w:b/>
        </w:rPr>
        <w:t xml:space="preserve">Ainda em aberto:</w:t>
      </w:r>
      <w:r>
        <w:t xml:space="preserve"> </w:t>
      </w:r>
      <w:r>
        <w:t xml:space="preserve">não há estudo de desfechos cardiovasculares. Faltam dados de longo prazo além de 60 semanas. Os estudos incluíram quase exclusivamente pessoas de origem chinesa, que, para a mesma perda de peso, tinham valores iniciais diferentes (peso corporal menor) dos de populações de estudo europeias. Os riscos de classe conhecidos dos medicamentos GLP-1 (vesícula biliar, pâncreas, células C da tireoide em experimentos com animais) ainda não foram avaliados de forma independente para a mazdutida por falta de anos-paciente.</w:t>
      </w:r>
    </w:p>
    <w:bookmarkEnd w:id="638"/>
    <w:bookmarkStart w:id="640" w:name="situação-legal-7"/>
    <w:p>
      <w:pPr>
        <w:pStyle w:val="Heading3"/>
      </w:pPr>
      <w:r>
        <w:t xml:space="preserve">Situação legal</w:t>
      </w:r>
    </w:p>
    <w:p>
      <w:pPr>
        <w:numPr>
          <w:ilvl w:val="0"/>
          <w:numId w:val="1078"/>
        </w:numPr>
        <w:pStyle w:val="Compact"/>
      </w:pPr>
      <w:r>
        <w:rPr>
          <w:bCs/>
          <w:b/>
        </w:rPr>
        <w:t xml:space="preserve">China:</w:t>
      </w:r>
      <w:r>
        <w:t xml:space="preserve"> </w:t>
      </w:r>
      <w:r>
        <w:t xml:space="preserve">aprovada (junho de 2025 para controle de peso, setembro de 2025 para diabetes tipo 2)</w:t>
      </w:r>
      <w:r>
        <w:rPr>
          <w:rStyle w:val="FootnoteReference"/>
        </w:rPr>
        <w:footnoteReference w:id="639"/>
      </w:r>
      <w:r>
        <w:t xml:space="preserve">.</w:t>
      </w:r>
    </w:p>
    <w:p>
      <w:pPr>
        <w:numPr>
          <w:ilvl w:val="0"/>
          <w:numId w:val="1078"/>
        </w:numPr>
        <w:pStyle w:val="Compact"/>
      </w:pPr>
      <w:r>
        <w:rPr>
          <w:bCs/>
          <w:b/>
        </w:rPr>
        <w:t xml:space="preserve">UE / Áustria / Alemanha:</w:t>
      </w:r>
      <w:r>
        <w:t xml:space="preserve"> </w:t>
      </w:r>
      <w:r>
        <w:t xml:space="preserve">não aprovada. Uma importação para uso sem aprovação não é legal; produtos</w:t>
      </w:r>
      <w:r>
        <w:t xml:space="preserve"> </w:t>
      </w:r>
      <w:r>
        <w:t xml:space="preserve">“</w:t>
      </w:r>
      <w:r>
        <w:t xml:space="preserve">Mazdutide</w:t>
      </w:r>
      <w:r>
        <w:t xml:space="preserve">”</w:t>
      </w:r>
      <w:r>
        <w:t xml:space="preserve"> </w:t>
      </w:r>
      <w:r>
        <w:t xml:space="preserve">oferecidos no mercado cinza não são medicamentos verificados.</w:t>
      </w:r>
    </w:p>
    <w:p>
      <w:pPr>
        <w:numPr>
          <w:ilvl w:val="0"/>
          <w:numId w:val="1078"/>
        </w:numPr>
        <w:pStyle w:val="Compact"/>
      </w:pPr>
      <w:r>
        <w:rPr>
          <w:bCs/>
          <w:b/>
        </w:rPr>
        <w:t xml:space="preserve">EUA:</w:t>
      </w:r>
      <w:r>
        <w:t xml:space="preserve"> </w:t>
      </w:r>
      <w:r>
        <w:t xml:space="preserve">não aprovada; a Lilly conduz estudos próprios.</w:t>
      </w:r>
    </w:p>
    <w:p>
      <w:pPr>
        <w:numPr>
          <w:ilvl w:val="0"/>
          <w:numId w:val="1078"/>
        </w:numPr>
        <w:pStyle w:val="Compact"/>
      </w:pPr>
      <w:r>
        <w:rPr>
          <w:bCs/>
          <w:b/>
        </w:rPr>
        <w:t xml:space="preserve">Esporte:</w:t>
      </w:r>
      <w:r>
        <w:t xml:space="preserve"> </w:t>
      </w:r>
      <w:r>
        <w:t xml:space="preserve">não listada nominalmente; status sob S0 incerto devido à aprovação chinesa – situação em 2026, verificar atualização.</w:t>
      </w:r>
    </w:p>
    <w:bookmarkEnd w:id="640"/>
    <w:bookmarkStart w:id="648" w:name="estudos-em-andamento-e-perspectivas-7"/>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079"/>
        </w:numPr>
        <w:pStyle w:val="Compact"/>
      </w:pPr>
      <w:r>
        <w:t xml:space="preserve">Comparação com semaglutida em fígado gorduroso</w:t>
      </w:r>
      <w:r>
        <w:rPr>
          <w:rStyle w:val="FootnoteReference"/>
        </w:rPr>
        <w:footnoteReference w:id="641"/>
      </w:r>
      <w:r>
        <w:t xml:space="preserve"> </w:t>
      </w:r>
      <w:r>
        <w:t xml:space="preserve">e em diabetes tipo 2 inicial (NCT06184568, concluído).</w:t>
      </w:r>
    </w:p>
    <w:p>
      <w:pPr>
        <w:numPr>
          <w:ilvl w:val="0"/>
          <w:numId w:val="1079"/>
        </w:numPr>
        <w:pStyle w:val="Compact"/>
      </w:pPr>
      <w:r>
        <w:t xml:space="preserve">Apneia do sono</w:t>
      </w:r>
      <w:r>
        <w:rPr>
          <w:rStyle w:val="FootnoteReference"/>
        </w:rPr>
        <w:footnoteReference w:id="642"/>
      </w:r>
      <w:r>
        <w:t xml:space="preserve">, hipertensão com obesidade</w:t>
      </w:r>
      <w:r>
        <w:rPr>
          <w:rStyle w:val="FootnoteReference"/>
        </w:rPr>
        <w:footnoteReference w:id="643"/>
      </w:r>
      <w:r>
        <w:t xml:space="preserve">, adolescentes</w:t>
      </w:r>
      <w:r>
        <w:rPr>
          <w:rStyle w:val="FootnoteReference"/>
        </w:rPr>
        <w:footnoteReference w:id="644"/>
      </w:r>
      <w:r>
        <w:t xml:space="preserve">.</w:t>
      </w:r>
    </w:p>
    <w:p>
      <w:pPr>
        <w:numPr>
          <w:ilvl w:val="0"/>
          <w:numId w:val="1079"/>
        </w:numPr>
        <w:pStyle w:val="Compact"/>
      </w:pPr>
      <w:r>
        <w:t xml:space="preserve">Estudos de fase 2 sobre MASH</w:t>
      </w:r>
      <w:r>
        <w:rPr>
          <w:rStyle w:val="FootnoteReference"/>
        </w:rPr>
        <w:footnoteReference w:id="645"/>
      </w:r>
      <w:r>
        <w:t xml:space="preserve">, insuficiência cardíaca com obesidade</w:t>
      </w:r>
      <w:r>
        <w:rPr>
          <w:rStyle w:val="FootnoteReference"/>
        </w:rPr>
        <w:footnoteReference w:id="646"/>
      </w:r>
      <w:r>
        <w:t xml:space="preserve"> </w:t>
      </w:r>
      <w:r>
        <w:t xml:space="preserve">e transtorno por uso de álcool (NCT06817356, concluído, patrocinador Lilly).</w:t>
      </w:r>
    </w:p>
    <w:p>
      <w:pPr>
        <w:numPr>
          <w:ilvl w:val="0"/>
          <w:numId w:val="1079"/>
        </w:numPr>
        <w:pStyle w:val="Compact"/>
      </w:pPr>
      <w:r>
        <w:t xml:space="preserve">A Lilly também testa a mazdutida em um protocolo mestre de fase 2</w:t>
      </w:r>
      <w:r>
        <w:rPr>
          <w:rStyle w:val="FootnoteReference"/>
        </w:rPr>
        <w:footnoteReference w:id="647"/>
      </w:r>
      <w:r>
        <w:t xml:space="preserve">.</w:t>
      </w:r>
    </w:p>
    <w:p>
      <w:pPr>
        <w:pStyle w:val="FirstParagraph"/>
      </w:pPr>
      <w:r>
        <w:rPr>
          <w:bCs/>
          <w:b/>
        </w:rPr>
        <w:t xml:space="preserve">Avaliação:</w:t>
      </w:r>
      <w:r>
        <w:t xml:space="preserve"> </w:t>
      </w:r>
      <w:r>
        <w:t xml:space="preserve">a mazdutida é o primeiro medicamento duplo glucagon/GLP-1 com aprovação – porém apenas na China. Se a Lilly buscará uma aprovação nos EUA e na Europa depende provavelmente de a molécula conseguir se diferenciar da tirzepatida e da retatrutida, da mesma empresa, por exemplo no fígado gorduroso ou no transtorno por uso de álcool. Essa é uma avaliação; pedidos concretos de aprovação fora da China não são conhecidos.</w:t>
      </w:r>
    </w:p>
    <w:bookmarkEnd w:id="648"/>
    <w:bookmarkStart w:id="649" w:name="conclusão-7"/>
    <w:p>
      <w:pPr>
        <w:pStyle w:val="Heading3"/>
      </w:pPr>
      <w:r>
        <w:t xml:space="preserve">Conclusão</w:t>
      </w:r>
    </w:p>
    <w:p>
      <w:pPr>
        <w:pStyle w:val="FirstParagraph"/>
      </w:pPr>
      <w:r>
        <w:t xml:space="preserve">A mazdutida é um derivado de ação prolongada do hormônio intestinal oxintomodulina que ativa simultaneamente os receptores de GLP-1 e de glucagon. Em estudos chineses de fase 3, o peso corporal diminuiu 11–14% após 48 semanas e 16,65% após 60 semanas com dose mais alta; no diabetes tipo 2, foi ligeiramente superior à dulaglutida. Os efeitos colaterais mais frequentes são queixas gastrointestinais, que se tornam muito frequentes com doses mais altas. A mazdutida só está aprovada na China; dados sobre desfechos cardiovasculares e sobre populações não asiáticas faltam em grande parte.</w:t>
      </w:r>
    </w:p>
    <w:bookmarkEnd w:id="649"/>
    <w:bookmarkEnd w:id="650"/>
    <w:bookmarkStart w:id="698" w:name="cagrilintida-e-cagrisema"/>
    <w:p>
      <w:pPr>
        <w:pStyle w:val="Heading2"/>
      </w:pPr>
      <w:r>
        <w:t xml:space="preserve">Cagrilintida e CagriSema</w:t>
      </w:r>
    </w:p>
    <w:bookmarkStart w:id="651" w:name="ficha-técnica-8"/>
    <w:p>
      <w:pPr>
        <w:pStyle w:val="Heading3"/>
      </w:pPr>
      <w:r>
        <w:t xml:space="preserve">Ficha técnica</w:t>
      </w:r>
    </w:p>
    <w:p>
      <w:pPr>
        <w:numPr>
          <w:ilvl w:val="0"/>
          <w:numId w:val="1080"/>
        </w:numPr>
        <w:pStyle w:val="Compact"/>
      </w:pPr>
      <w:r>
        <w:rPr>
          <w:bCs/>
          <w:b/>
        </w:rPr>
        <w:t xml:space="preserve">Tipo/estrutura:</w:t>
      </w:r>
      <w:r>
        <w:t xml:space="preserve"> </w:t>
      </w:r>
      <w:r>
        <w:t xml:space="preserve">a cagrilintida é um análogo sintético do hormônio amilina, modificado com ácido graxo, para administração subcutânea uma vez por semana.</w:t>
      </w:r>
      <w:r>
        <w:t xml:space="preserve"> </w:t>
      </w:r>
      <w:r>
        <w:rPr>
          <w:bCs/>
          <w:b/>
        </w:rPr>
        <w:t xml:space="preserve">CagriSema</w:t>
      </w:r>
      <w:r>
        <w:t xml:space="preserve"> </w:t>
      </w:r>
      <w:r>
        <w:t xml:space="preserve">é a combinação fixa de cagrilintida e semaglutida em um único dispositivo de injeção.</w:t>
      </w:r>
    </w:p>
    <w:p>
      <w:pPr>
        <w:numPr>
          <w:ilvl w:val="0"/>
          <w:numId w:val="1080"/>
        </w:numPr>
        <w:pStyle w:val="Compact"/>
      </w:pPr>
      <w:r>
        <w:rPr>
          <w:bCs/>
          <w:b/>
        </w:rPr>
        <w:t xml:space="preserve">Origem:</w:t>
      </w:r>
      <w:r>
        <w:t xml:space="preserve"> </w:t>
      </w:r>
      <w:r>
        <w:t xml:space="preserve">desenvolvida pela Novo Nordisk, fabricante da semaglutida.</w:t>
      </w:r>
    </w:p>
    <w:p>
      <w:pPr>
        <w:numPr>
          <w:ilvl w:val="0"/>
          <w:numId w:val="1080"/>
        </w:numPr>
        <w:pStyle w:val="Compact"/>
      </w:pPr>
      <w:r>
        <w:rPr>
          <w:bCs/>
          <w:b/>
        </w:rPr>
        <w:t xml:space="preserve">Princípio de ação:</w:t>
      </w:r>
      <w:r>
        <w:t xml:space="preserve"> </w:t>
      </w:r>
      <w:r>
        <w:t xml:space="preserve">a cagrilintida ativa receptores de amilina e, adicionalmente, o receptor de calcitonina, que é aparentado (um</w:t>
      </w:r>
      <w:r>
        <w:t xml:space="preserve"> </w:t>
      </w:r>
      <w:r>
        <w:t xml:space="preserve">“</w:t>
      </w:r>
      <w:r>
        <w:t xml:space="preserve">agonista duplo dos receptores de amilina e calcitonina</w:t>
      </w:r>
      <w:r>
        <w:t xml:space="preserve">”</w:t>
      </w:r>
      <w:r>
        <w:t xml:space="preserve">). No CagriSema, soma-se o efeito GLP-1 da semaglutida.</w:t>
      </w:r>
    </w:p>
    <w:p>
      <w:pPr>
        <w:numPr>
          <w:ilvl w:val="0"/>
          <w:numId w:val="1080"/>
        </w:numPr>
        <w:pStyle w:val="Compact"/>
      </w:pPr>
      <w:r>
        <w:rPr>
          <w:bCs/>
          <w:b/>
        </w:rPr>
        <w:t xml:space="preserve">Aprovação UE:</w:t>
      </w:r>
      <w:r>
        <w:t xml:space="preserve"> </w:t>
      </w:r>
      <w:r>
        <w:t xml:space="preserve">não (situação em outubro de 2026).</w:t>
      </w:r>
    </w:p>
    <w:p>
      <w:pPr>
        <w:numPr>
          <w:ilvl w:val="0"/>
          <w:numId w:val="1080"/>
        </w:numPr>
        <w:pStyle w:val="Compact"/>
      </w:pPr>
      <w:r>
        <w:rPr>
          <w:bCs/>
          <w:b/>
        </w:rPr>
        <w:t xml:space="preserve">Aprovação EUA:</w:t>
      </w:r>
      <w:r>
        <w:t xml:space="preserve"> </w:t>
      </w:r>
      <w:r>
        <w:t xml:space="preserve">não (situação em outubro de 2026; um processo de aprovação para o CagriSema foi anunciado ou pode já estar em curso – verificar atualização).</w:t>
      </w:r>
    </w:p>
    <w:p>
      <w:pPr>
        <w:numPr>
          <w:ilvl w:val="0"/>
          <w:numId w:val="1080"/>
        </w:numPr>
        <w:pStyle w:val="Compact"/>
      </w:pPr>
      <w:r>
        <w:rPr>
          <w:bCs/>
          <w:b/>
        </w:rPr>
        <w:t xml:space="preserve">WADA:</w:t>
      </w:r>
      <w:r>
        <w:t xml:space="preserve"> </w:t>
      </w:r>
      <w:r>
        <w:t xml:space="preserve">por ser uma substância não aprovada, proibida sob S0.</w:t>
      </w:r>
    </w:p>
    <w:p>
      <w:pPr>
        <w:numPr>
          <w:ilvl w:val="0"/>
          <w:numId w:val="1080"/>
        </w:numPr>
        <w:pStyle w:val="Compact"/>
      </w:pPr>
      <w:r>
        <w:rPr>
          <w:bCs/>
          <w:b/>
        </w:rPr>
        <w:t xml:space="preserve">Nível de evidência:</w:t>
      </w:r>
      <w:r>
        <w:t xml:space="preserve"> </w:t>
      </w:r>
      <w:r>
        <w:rPr>
          <w:bCs/>
          <w:b/>
        </w:rPr>
        <w:t xml:space="preserve">B</w:t>
      </w:r>
      <w:r>
        <w:t xml:space="preserve"> </w:t>
      </w:r>
      <w:r>
        <w:t xml:space="preserve">– vários grandes estudos de fase 3 publicados, mas ainda sem aprovação. Com a aprovação, o CagriSema atingiria o nível A.</w:t>
      </w:r>
    </w:p>
    <w:bookmarkEnd w:id="651"/>
    <w:bookmarkStart w:id="656" w:name="como-deveria-agir-8"/>
    <w:p>
      <w:pPr>
        <w:pStyle w:val="Heading3"/>
      </w:pPr>
      <w:r>
        <w:t xml:space="preserve">Como deveria agir</w:t>
      </w:r>
    </w:p>
    <w:p>
      <w:pPr>
        <w:pStyle w:val="FirstParagraph"/>
      </w:pPr>
      <w:r>
        <w:t xml:space="preserve">A amilina é um hormônio que as células beta do pâncreas liberam junto com a insulina. Ela age sobretudo no tronco encefálico: favorece a sensação de saciedade, retarda o esvaziamento gástrico e freia a liberação de glucagon após as refeições. Pessoas com diabetes tipo 1 não têm, além da insulina, também a amilina.</w:t>
      </w:r>
    </w:p>
    <w:p>
      <w:pPr>
        <w:pStyle w:val="BodyText"/>
      </w:pPr>
      <w:r>
        <w:t xml:space="preserve">A amilina natural não serve como medicamento, porque tende a se aglomerar (forma as chamadas fibrilas amiloides) e dura apenas minutos no sangue. O primeiro medicamento à base de amilina, a pranlintida (veja o capítulo próprio), precisa por isso ser injetado várias vezes ao dia. A cagrilintida foi modificada de forma direcionada para permanecer estável e, graças a uma cadeia de ácido graxo, agir por uma semana</w:t>
      </w:r>
      <w:r>
        <w:rPr>
          <w:rStyle w:val="FootnoteReference"/>
        </w:rPr>
        <w:footnoteReference w:id="652"/>
      </w:r>
      <w:r>
        <w:t xml:space="preserve">. Em dados de fase 1, a meia-vida foi de 159 a 195 horas, ou seja, cerca de uma semana</w:t>
      </w:r>
      <w:r>
        <w:rPr>
          <w:rStyle w:val="FootnoteReference"/>
        </w:rPr>
        <w:footnoteReference w:id="653"/>
      </w:r>
      <w:r>
        <w:t xml:space="preserve">.</w:t>
      </w:r>
    </w:p>
    <w:p>
      <w:pPr>
        <w:pStyle w:val="BodyText"/>
      </w:pPr>
      <w:r>
        <w:t xml:space="preserve">A combinação com semaglutida segue uma ideia simples: amilina e GLP-1 agem sobre a saciedade por receptores diferentes e, em parte, por regiões cerebrais diferentes – os efeitos poderiam se somar. Pesquisas em camundongos geneticamente modificados mostram que a cagrilintida precisa dos subtipos 1 e 3 do receptor de amilina no cérebro para seu efeito de redução de peso</w:t>
      </w:r>
      <w:r>
        <w:rPr>
          <w:rStyle w:val="FootnoteReference"/>
        </w:rPr>
        <w:footnoteReference w:id="654"/>
      </w:r>
      <w:r>
        <w:t xml:space="preserve">. Em ratos, o CagriSema reduziu sobretudo a ingestão de energia, enquanto o gasto energético se manteve em grande parte</w:t>
      </w:r>
      <w:r>
        <w:rPr>
          <w:rStyle w:val="FootnoteReference"/>
        </w:rPr>
        <w:footnoteReference w:id="655"/>
      </w:r>
      <w:r>
        <w:t xml:space="preserve">.</w:t>
      </w:r>
    </w:p>
    <w:bookmarkEnd w:id="656"/>
    <w:bookmarkStart w:id="671" w:name="estudos-em-humanos-8"/>
    <w:p>
      <w:pPr>
        <w:pStyle w:val="Heading3"/>
      </w:pPr>
      <w:r>
        <w:t xml:space="preserve">Estudos em humanos</w:t>
      </w:r>
    </w:p>
    <w:p>
      <w:pPr>
        <w:pStyle w:val="FirstParagraph"/>
      </w:pPr>
      <w:r>
        <w:rPr>
          <w:bCs/>
          <w:b/>
        </w:rPr>
        <w:t xml:space="preserve">Dimensão da base de estudos:</w:t>
      </w:r>
      <w:r>
        <w:t xml:space="preserve"> </w:t>
      </w:r>
      <w:r>
        <w:t xml:space="preserve">a consulta automatizada ao PubMed (outubro de 2026) encontrou 15 estudos em humanos sobre cagrilintida ou CagriSema. No ClinicalTrials.gov havia 44 estudos registrados. O programa de aprovação se chama</w:t>
      </w:r>
      <w:r>
        <w:t xml:space="preserve"> </w:t>
      </w:r>
      <w:r>
        <w:rPr>
          <w:bCs/>
          <w:b/>
        </w:rPr>
        <w:t xml:space="preserve">REDEFINE</w:t>
      </w:r>
      <w:r>
        <w:t xml:space="preserve"> </w:t>
      </w:r>
      <w:r>
        <w:t xml:space="preserve">(controle de peso) e</w:t>
      </w:r>
      <w:r>
        <w:t xml:space="preserve"> </w:t>
      </w:r>
      <w:r>
        <w:rPr>
          <w:bCs/>
          <w:b/>
        </w:rPr>
        <w:t xml:space="preserve">REIMAGINE</w:t>
      </w:r>
      <w:r>
        <w:t xml:space="preserve"> </w:t>
      </w:r>
      <w:r>
        <w:t xml:space="preserve">(diabetes tipo 2).</w:t>
      </w:r>
    </w:p>
    <w:bookmarkStart w:id="659" w:name="cagrilintida-isolada"/>
    <w:p>
      <w:pPr>
        <w:pStyle w:val="Heading4"/>
      </w:pPr>
      <w:r>
        <w:t xml:space="preserve">Cagrilintida isolada</w:t>
      </w:r>
    </w:p>
    <w:p>
      <w:pPr>
        <w:pStyle w:val="FirstParagraph"/>
      </w:pPr>
      <w:r>
        <w:t xml:space="preserve">No estudo de fase 2 de determinação de dose</w:t>
      </w:r>
      <w:r>
        <w:rPr>
          <w:rStyle w:val="FootnoteReference"/>
        </w:rPr>
        <w:footnoteReference w:id="657"/>
      </w:r>
      <w:r>
        <w:t xml:space="preserve">, 706 adultos com sobrepeso ou obesidade receberam cagrilintida em cinco doses durante 26 semanas, 99 receberam liraglutida e 101, placebo. O peso caiu de forma dependente da dose entre 6,0 e 10,8% (placebo 3,0%). A dose mais alta foi ligeiramente superior à liraglutida 3,0 mg (10,8% vs. 9,0%). Náusea ocorreu em 20–47% (placebo 18%). Sozinha, a cagrilintida alcança assim aproximadamente a ordem de grandeza de medicamentos GLP-1 mais antigos, não a da semaglutida ou da tirzepatida. Entretanto, ela também está sendo testada como substância isolada em fase 3</w:t>
      </w:r>
      <w:r>
        <w:rPr>
          <w:rStyle w:val="FootnoteReference"/>
        </w:rPr>
        <w:footnoteReference w:id="658"/>
      </w:r>
      <w:r>
        <w:t xml:space="preserve">.</w:t>
      </w:r>
    </w:p>
    <w:bookmarkEnd w:id="659"/>
    <w:bookmarkStart w:id="662" w:name="cagrisema-estudos-iniciais"/>
    <w:p>
      <w:pPr>
        <w:pStyle w:val="Heading4"/>
      </w:pPr>
      <w:r>
        <w:t xml:space="preserve">CagriSema: estudos iniciais</w:t>
      </w:r>
    </w:p>
    <w:p>
      <w:pPr>
        <w:pStyle w:val="FirstParagraph"/>
      </w:pPr>
      <w:r>
        <w:t xml:space="preserve">Em um estudo de fase 1b com 95 pessoas saudáveis com sobrepeso, os participantes perderam, com semaglutida mais cagrilintida, até 17,1% do peso após 20 semanas; com semaglutida mais placebo, 9,8%</w:t>
      </w:r>
      <w:r>
        <w:rPr>
          <w:rStyle w:val="FootnoteReference"/>
        </w:rPr>
        <w:footnoteReference w:id="660"/>
      </w:r>
      <w:r>
        <w:t xml:space="preserve">. A cagrilintida não alterou os níveis sanguíneos da semaglutida.</w:t>
      </w:r>
    </w:p>
    <w:p>
      <w:pPr>
        <w:pStyle w:val="BodyText"/>
      </w:pPr>
      <w:r>
        <w:t xml:space="preserve">Um pequeno estudo de fase 2 com 92 pessoas com diabetes tipo 2 comparou o CagriSema diretamente com as duas substâncias isoladas</w:t>
      </w:r>
      <w:r>
        <w:rPr>
          <w:rStyle w:val="FootnoteReference"/>
        </w:rPr>
        <w:footnoteReference w:id="661"/>
      </w:r>
      <w:r>
        <w:t xml:space="preserve">. Após 32 semanas, a perda de peso foi de 15,6% com CagriSema, 5,1% com semaglutida e 8,1% com cagrilintida. Na HbA1c, o CagriSema, com −2,2 pontos percentuais, não foi estatisticamente superior à semaglutida (−1,8).</w:t>
      </w:r>
    </w:p>
    <w:bookmarkEnd w:id="662"/>
    <w:bookmarkStart w:id="670" w:name="cagrisema-fase-3-redefine-e-reimagine"/>
    <w:p>
      <w:pPr>
        <w:pStyle w:val="Heading4"/>
      </w:pPr>
      <w:r>
        <w:t xml:space="preserve">CagriSema: fase 3 (REDEFINE e REIMAGINE)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REDEFINE 1 (Garvey 2025), PMID 40544433</w:t>
            </w:r>
          </w:p>
        </w:tc>
        <w:tc>
          <w:tcPr/>
          <w:p>
            <w:pPr>
              <w:pStyle w:val="Compact"/>
              <w:jc w:val="left"/>
            </w:pPr>
            <w:r>
              <w:t xml:space="preserve">3.417 adultos com sobrepeso/obesidade sem diabetes; contra placebo e substâncias isoladas</w:t>
            </w:r>
          </w:p>
        </w:tc>
        <w:tc>
          <w:tcPr/>
          <w:p>
            <w:pPr>
              <w:pStyle w:val="Compact"/>
              <w:jc w:val="left"/>
            </w:pPr>
            <w:r>
              <w:t xml:space="preserve">68 semanas</w:t>
            </w:r>
          </w:p>
        </w:tc>
        <w:tc>
          <w:tcPr/>
          <w:p>
            <w:pPr>
              <w:pStyle w:val="Compact"/>
              <w:jc w:val="left"/>
            </w:pPr>
            <w:r>
              <w:t xml:space="preserve">−20,4% de peso vs. −3,0%</w:t>
            </w:r>
          </w:p>
        </w:tc>
      </w:tr>
      <w:tr>
        <w:tc>
          <w:tcPr/>
          <w:p>
            <w:pPr>
              <w:pStyle w:val="Compact"/>
              <w:jc w:val="left"/>
            </w:pPr>
            <w:r>
              <w:t xml:space="preserve">REDEFINE 2 (Davies 2025), PMID 40544432</w:t>
            </w:r>
          </w:p>
        </w:tc>
        <w:tc>
          <w:tcPr/>
          <w:p>
            <w:pPr>
              <w:pStyle w:val="Compact"/>
              <w:jc w:val="left"/>
            </w:pPr>
            <w:r>
              <w:t xml:space="preserve">1.206 adultos com obesidade e diabetes tipo 2, contra placebo</w:t>
            </w:r>
          </w:p>
        </w:tc>
        <w:tc>
          <w:tcPr/>
          <w:p>
            <w:pPr>
              <w:pStyle w:val="Compact"/>
              <w:jc w:val="left"/>
            </w:pPr>
            <w:r>
              <w:t xml:space="preserve">68 semanas</w:t>
            </w:r>
          </w:p>
        </w:tc>
        <w:tc>
          <w:tcPr/>
          <w:p>
            <w:pPr>
              <w:pStyle w:val="Compact"/>
              <w:jc w:val="left"/>
            </w:pPr>
            <w:r>
              <w:t xml:space="preserve">−13,7% vs. −3,4%</w:t>
            </w:r>
          </w:p>
        </w:tc>
      </w:tr>
      <w:tr>
        <w:tc>
          <w:tcPr/>
          <w:p>
            <w:pPr>
              <w:pStyle w:val="Compact"/>
              <w:jc w:val="left"/>
            </w:pPr>
            <w:r>
              <w:t xml:space="preserve">REDEFINE 5 (Yamauchi 2026), PMID 42009015</w:t>
            </w:r>
          </w:p>
        </w:tc>
        <w:tc>
          <w:tcPr/>
          <w:p>
            <w:pPr>
              <w:pStyle w:val="Compact"/>
              <w:jc w:val="left"/>
            </w:pPr>
            <w:r>
              <w:t xml:space="preserve">331 adultos no Japão e em Taiwan, contra semaglutida</w:t>
            </w:r>
          </w:p>
        </w:tc>
        <w:tc>
          <w:tcPr/>
          <w:p>
            <w:pPr>
              <w:pStyle w:val="Compact"/>
              <w:jc w:val="left"/>
            </w:pPr>
            <w:r>
              <w:t xml:space="preserve">68 semanas</w:t>
            </w:r>
          </w:p>
        </w:tc>
        <w:tc>
          <w:tcPr/>
          <w:p>
            <w:pPr>
              <w:pStyle w:val="Compact"/>
              <w:jc w:val="left"/>
            </w:pPr>
            <w:r>
              <w:t xml:space="preserve">−18,4% vs. −11,9% (semaglutida)</w:t>
            </w:r>
          </w:p>
        </w:tc>
      </w:tr>
      <w:tr>
        <w:tc>
          <w:tcPr/>
          <w:p>
            <w:pPr>
              <w:pStyle w:val="Compact"/>
              <w:jc w:val="left"/>
            </w:pPr>
            <w:r>
              <w:t xml:space="preserve">REIMAGINE 1 (Aroda 2026), PMID 42251860</w:t>
            </w:r>
          </w:p>
        </w:tc>
        <w:tc>
          <w:tcPr/>
          <w:p>
            <w:pPr>
              <w:pStyle w:val="Compact"/>
              <w:jc w:val="left"/>
            </w:pPr>
            <w:r>
              <w:t xml:space="preserve">189 adultos com diabetes tipo 2 sem medicação, contra placebo</w:t>
            </w:r>
          </w:p>
        </w:tc>
        <w:tc>
          <w:tcPr/>
          <w:p>
            <w:pPr>
              <w:pStyle w:val="Compact"/>
              <w:jc w:val="left"/>
            </w:pPr>
            <w:r>
              <w:t xml:space="preserve">40 semanas</w:t>
            </w:r>
          </w:p>
        </w:tc>
        <w:tc>
          <w:tcPr/>
          <w:p>
            <w:pPr>
              <w:pStyle w:val="Compact"/>
              <w:jc w:val="left"/>
            </w:pPr>
            <w:r>
              <w:t xml:space="preserve">HbA1c −1,8 vs. −0,1; peso −13,8% vs. −1,4%</w:t>
            </w:r>
          </w:p>
        </w:tc>
      </w:tr>
      <w:tr>
        <w:tc>
          <w:tcPr/>
          <w:p>
            <w:pPr>
              <w:pStyle w:val="Compact"/>
              <w:jc w:val="left"/>
            </w:pPr>
            <w:r>
              <w:t xml:space="preserve">REIMAGINE 2 (Buse 2026), PMID 42251859</w:t>
            </w:r>
          </w:p>
        </w:tc>
        <w:tc>
          <w:tcPr/>
          <w:p>
            <w:pPr>
              <w:pStyle w:val="Compact"/>
              <w:jc w:val="left"/>
            </w:pPr>
            <w:r>
              <w:t xml:space="preserve">2.713 adultos com diabetes tipo 2, contra semaglutida, cagrilintida e placebo</w:t>
            </w:r>
          </w:p>
        </w:tc>
        <w:tc>
          <w:tcPr/>
          <w:p>
            <w:pPr>
              <w:pStyle w:val="Compact"/>
              <w:jc w:val="left"/>
            </w:pPr>
            <w:r>
              <w:t xml:space="preserve">68 semanas</w:t>
            </w:r>
          </w:p>
        </w:tc>
        <w:tc>
          <w:tcPr/>
          <w:p>
            <w:pPr>
              <w:pStyle w:val="Compact"/>
              <w:jc w:val="left"/>
            </w:pPr>
            <w:r>
              <w:t xml:space="preserve">HbA1c −1,91 vs. −1,75 (semaglutida 2,4 mg)</w:t>
            </w:r>
          </w:p>
        </w:tc>
      </w:tr>
      <w:tr>
        <w:tc>
          <w:tcPr/>
          <w:p>
            <w:pPr>
              <w:pStyle w:val="Compact"/>
              <w:jc w:val="left"/>
            </w:pPr>
            <w:r>
              <w:t xml:space="preserve">REIMAGINE 3 (Rosenstock 2026), PMID 42251856</w:t>
            </w:r>
          </w:p>
        </w:tc>
        <w:tc>
          <w:tcPr/>
          <w:p>
            <w:pPr>
              <w:pStyle w:val="Compact"/>
              <w:jc w:val="left"/>
            </w:pPr>
            <w:r>
              <w:t xml:space="preserve">274 adultos com diabetes tipo 2 e insulina basal, contra placebo</w:t>
            </w:r>
          </w:p>
        </w:tc>
        <w:tc>
          <w:tcPr/>
          <w:p>
            <w:pPr>
              <w:pStyle w:val="Compact"/>
              <w:jc w:val="left"/>
            </w:pPr>
            <w:r>
              <w:t xml:space="preserve">40 semanas</w:t>
            </w:r>
          </w:p>
        </w:tc>
        <w:tc>
          <w:tcPr/>
          <w:p>
            <w:pPr>
              <w:pStyle w:val="Compact"/>
              <w:jc w:val="left"/>
            </w:pPr>
            <w:r>
              <w:t xml:space="preserve">HbA1c −2,33 vs. −0,66; peso −10 a −12%</w:t>
            </w:r>
          </w:p>
        </w:tc>
      </w:tr>
    </w:tbl>
    <w:p>
      <w:pPr>
        <w:pStyle w:val="BodyText"/>
      </w:pPr>
      <w:r>
        <w:t xml:space="preserve">O</w:t>
      </w:r>
      <w:r>
        <w:t xml:space="preserve"> </w:t>
      </w:r>
      <w:r>
        <w:rPr>
          <w:bCs/>
          <w:b/>
        </w:rPr>
        <w:t xml:space="preserve">REDEFINE 1</w:t>
      </w:r>
      <w:r>
        <w:rPr>
          <w:rStyle w:val="FootnoteReference"/>
        </w:rPr>
        <w:footnoteReference w:id="663"/>
      </w:r>
      <w:r>
        <w:t xml:space="preserve"> </w:t>
      </w:r>
      <w:r>
        <w:t xml:space="preserve">é o estudo principal. Em 3.417 adultos sem diabetes, o peso corporal diminuiu após 68 semanas em média 20,4%, contra 3,0% com placebo. O estudo também incluiu grupos menores com semaglutida isolada e cagrilintida isolada. Em uma análise posterior, 30,3% com CagriSema, 19,1% com semaglutida, 9,0% com cagrilintida e 3,3% com placebo alcançaram tanto um IMC abaixo de 27 quanto uma relação favorável entre cintura e altura</w:t>
      </w:r>
      <w:r>
        <w:rPr>
          <w:rStyle w:val="FootnoteReference"/>
        </w:rPr>
        <w:footnoteReference w:id="664"/>
      </w:r>
      <w:r>
        <w:t xml:space="preserve">. A pressão arterial sistólica caiu 10,9 mmHg com CagriSema (placebo −2,8)</w:t>
      </w:r>
      <w:r>
        <w:rPr>
          <w:rStyle w:val="FootnoteReference"/>
        </w:rPr>
        <w:footnoteReference w:id="665"/>
      </w:r>
      <w:r>
        <w:t xml:space="preserve">.</w:t>
      </w:r>
    </w:p>
    <w:p>
      <w:pPr>
        <w:pStyle w:val="BodyText"/>
      </w:pPr>
      <w:r>
        <w:t xml:space="preserve">Para contextualizar: os 20,4% alcançados estão na ordem de grandeza da tirzepatida no SURMOUNT-1 (20,9% após 72 semanas com a dose mais alta). Uma comparação cruzada desse tipo entre estudos diferentes é apenas uma orientação grosseira; a comparação direta ainda está pendente (veja abaixo).</w:t>
      </w:r>
    </w:p>
    <w:p>
      <w:pPr>
        <w:pStyle w:val="BodyText"/>
      </w:pPr>
      <w:r>
        <w:t xml:space="preserve">O</w:t>
      </w:r>
      <w:r>
        <w:t xml:space="preserve"> </w:t>
      </w:r>
      <w:r>
        <w:rPr>
          <w:bCs/>
          <w:b/>
        </w:rPr>
        <w:t xml:space="preserve">REDEFINE 2</w:t>
      </w:r>
      <w:r>
        <w:rPr>
          <w:rStyle w:val="FootnoteReference"/>
        </w:rPr>
        <w:footnoteReference w:id="666"/>
      </w:r>
      <w:r>
        <w:t xml:space="preserve"> </w:t>
      </w:r>
      <w:r>
        <w:t xml:space="preserve">confirmou o padrão em pessoas com diabetes tipo 2: −13,7% contra −3,4%. 73,5% alcançaram uma HbA1c de no máximo 6,5% (placebo 15,9%).</w:t>
      </w:r>
    </w:p>
    <w:p>
      <w:pPr>
        <w:pStyle w:val="BodyText"/>
      </w:pPr>
      <w:r>
        <w:t xml:space="preserve">O</w:t>
      </w:r>
      <w:r>
        <w:t xml:space="preserve"> </w:t>
      </w:r>
      <w:r>
        <w:rPr>
          <w:bCs/>
          <w:b/>
        </w:rPr>
        <w:t xml:space="preserve">REDEFINE 5</w:t>
      </w:r>
      <w:r>
        <w:rPr>
          <w:rStyle w:val="FootnoteReference"/>
        </w:rPr>
        <w:footnoteReference w:id="667"/>
      </w:r>
      <w:r>
        <w:t xml:space="preserve"> </w:t>
      </w:r>
      <w:r>
        <w:t xml:space="preserve">é o primeiro estudo de fase 3 cego publicado em comparação direta com a semaglutida 2,4 mg: no Japão e em Taiwan, os participantes perderam 18,4% com CagriSema contra 11,9% com semaglutida isolada. Queixas gastrointestinais foram igualmente frequentes, com 53% contra 51%.</w:t>
      </w:r>
    </w:p>
    <w:p>
      <w:pPr>
        <w:pStyle w:val="BodyText"/>
      </w:pPr>
      <w:r>
        <w:t xml:space="preserve">O</w:t>
      </w:r>
      <w:r>
        <w:t xml:space="preserve"> </w:t>
      </w:r>
      <w:r>
        <w:rPr>
          <w:bCs/>
          <w:b/>
        </w:rPr>
        <w:t xml:space="preserve">REIMAGINE 2</w:t>
      </w:r>
      <w:r>
        <w:rPr>
          <w:rStyle w:val="FootnoteReference"/>
        </w:rPr>
        <w:footnoteReference w:id="668"/>
      </w:r>
      <w:r>
        <w:t xml:space="preserve"> </w:t>
      </w:r>
      <w:r>
        <w:t xml:space="preserve">mostrou no diabetes tipo 2 que o CagriSema reduz a HbA1c apenas um pouco mais do que a semaglutida 2,4 mg isolada (−1,91 vs. −1,75 ponto percentual). O benefício adicional da cagrilintida está, portanto, sobretudo no peso, quase nada na glicemia.</w:t>
      </w:r>
    </w:p>
    <w:p>
      <w:pPr>
        <w:pStyle w:val="BodyText"/>
      </w:pPr>
      <w:r>
        <w:t xml:space="preserve">O estudo de comparação direta contra tirzepatida em obesidade (REDEFINE 4, NCT06131437), bem como dois estudos comparativos contra tirzepatida em diabetes tipo 2</w:t>
      </w:r>
      <w:r>
        <w:rPr>
          <w:rStyle w:val="FootnoteReference"/>
        </w:rPr>
        <w:footnoteReference w:id="669"/>
      </w:r>
      <w:r>
        <w:t xml:space="preserve">, estão concluídos segundo o registro; publicações revisadas por pares ainda não estavam disponíveis no momento da pesquisa.</w:t>
      </w:r>
    </w:p>
    <w:bookmarkEnd w:id="670"/>
    <w:bookmarkEnd w:id="671"/>
    <w:bookmarkStart w:id="676" w:name="estudos-em-animais-e-em-laboratório-8"/>
    <w:p>
      <w:pPr>
        <w:pStyle w:val="Heading3"/>
      </w:pPr>
      <w:r>
        <w:t xml:space="preserve">Estudos em animais e em laboratório</w:t>
      </w:r>
    </w:p>
    <w:p>
      <w:pPr>
        <w:pStyle w:val="FirstParagraph"/>
      </w:pPr>
      <w:r>
        <w:t xml:space="preserve">Pesquisas de biologia estrutural mostram como a cagrilintida se liga aos receptores de amilina e de calcitonina</w:t>
      </w:r>
      <w:r>
        <w:rPr>
          <w:rStyle w:val="FootnoteReference"/>
        </w:rPr>
        <w:footnoteReference w:id="672"/>
      </w:r>
      <w:r>
        <w:t xml:space="preserve">. Em camundongos sem os subtipos 1 e 3 do receptor de amilina, o efeito foi fortemente atenuado</w:t>
      </w:r>
      <w:r>
        <w:rPr>
          <w:rStyle w:val="FootnoteReference"/>
        </w:rPr>
        <w:footnoteReference w:id="673"/>
      </w:r>
      <w:r>
        <w:t xml:space="preserve">. Em ratos, o CagriSema reduziu a ingestão de alimentos em 39%; segundo os cálculos das autoras e autores, cerca de um terço da perda de peso se deveu ao fato de o gasto energético não ter caído na medida habitual</w:t>
      </w:r>
      <w:r>
        <w:rPr>
          <w:rStyle w:val="FootnoteReference"/>
        </w:rPr>
        <w:footnoteReference w:id="674"/>
      </w:r>
      <w:r>
        <w:t xml:space="preserve">. Em outro estudo com ratos, a combinação de cagrilintida com retatrutida intensificou a perda de peso</w:t>
      </w:r>
      <w:r>
        <w:rPr>
          <w:rStyle w:val="FootnoteReference"/>
        </w:rPr>
        <w:footnoteReference w:id="675"/>
      </w:r>
      <w:r>
        <w:t xml:space="preserve"> </w:t>
      </w:r>
      <w:r>
        <w:t xml:space="preserve">– um indício de que substâncias de amilina poderiam, no futuro, também ser combinadas com outros medicamentos incretínicos. Todos esses resultados vêm de experimentos com animais.</w:t>
      </w:r>
    </w:p>
    <w:bookmarkEnd w:id="676"/>
    <w:bookmarkStart w:id="684" w:name="riscos-e-efeitos-colaterais-8"/>
    <w:p>
      <w:pPr>
        <w:pStyle w:val="Heading3"/>
      </w:pPr>
      <w:r>
        <w:t xml:space="preserve">Riscos e efeitos colaterais</w:t>
      </w:r>
    </w:p>
    <w:p>
      <w:pPr>
        <w:pStyle w:val="FirstParagraph"/>
      </w:pPr>
      <w:r>
        <w:rPr>
          <w:bCs/>
          <w:b/>
        </w:rPr>
        <w:t xml:space="preserve">Comprovados em estudos:</w:t>
      </w:r>
    </w:p>
    <w:p>
      <w:pPr>
        <w:numPr>
          <w:ilvl w:val="0"/>
          <w:numId w:val="1081"/>
        </w:numPr>
        <w:pStyle w:val="Compact"/>
      </w:pPr>
      <w:r>
        <w:rPr>
          <w:bCs/>
          <w:b/>
        </w:rPr>
        <w:t xml:space="preserve">Queixas gastrointestinais</w:t>
      </w:r>
      <w:r>
        <w:t xml:space="preserve"> </w:t>
      </w:r>
      <w:r>
        <w:t xml:space="preserve">– náusea, vômitos, diarreia, constipação, dor abdominal – afetaram no REDEFINE 1 79,6% com CagriSema contra 39,9% com placebo; foram em geral passageiras e leves a moderadas</w:t>
      </w:r>
      <w:r>
        <w:rPr>
          <w:rStyle w:val="FootnoteReference"/>
        </w:rPr>
        <w:footnoteReference w:id="677"/>
      </w:r>
      <w:r>
        <w:t xml:space="preserve">. No REDEFINE 2, foram 72,5% contra 34,4%</w:t>
      </w:r>
      <w:r>
        <w:rPr>
          <w:rStyle w:val="FootnoteReference"/>
        </w:rPr>
        <w:footnoteReference w:id="678"/>
      </w:r>
      <w:r>
        <w:t xml:space="preserve">.</w:t>
      </w:r>
    </w:p>
    <w:p>
      <w:pPr>
        <w:numPr>
          <w:ilvl w:val="0"/>
          <w:numId w:val="1081"/>
        </w:numPr>
        <w:pStyle w:val="Compact"/>
      </w:pPr>
      <w:r>
        <w:rPr>
          <w:bCs/>
          <w:b/>
        </w:rPr>
        <w:t xml:space="preserve">Hipoglicemia:</w:t>
      </w:r>
      <w:r>
        <w:t xml:space="preserve"> </w:t>
      </w:r>
      <w:r>
        <w:t xml:space="preserve">no REIMAGINE 3, apesar do tratamento simultâneo com insulina, não ocorreram hipoglicemias graves</w:t>
      </w:r>
      <w:r>
        <w:rPr>
          <w:rStyle w:val="FootnoteReference"/>
        </w:rPr>
        <w:footnoteReference w:id="679"/>
      </w:r>
      <w:r>
        <w:t xml:space="preserve">. Em combinação com insulina ou sulfonilureias, porém, o risco continua existindo em princípio.</w:t>
      </w:r>
    </w:p>
    <w:p>
      <w:pPr>
        <w:numPr>
          <w:ilvl w:val="0"/>
          <w:numId w:val="1081"/>
        </w:numPr>
        <w:pStyle w:val="Compact"/>
      </w:pPr>
      <w:r>
        <w:rPr>
          <w:bCs/>
          <w:b/>
        </w:rPr>
        <w:t xml:space="preserve">Ritmo cardíaco:</w:t>
      </w:r>
      <w:r>
        <w:t xml:space="preserve"> </w:t>
      </w:r>
      <w:r>
        <w:t xml:space="preserve">em um estudo próprio com 105 pessoas saudáveis, a cagrilintida não prolongou o intervalo QT no ECG em grau clinicamente relevante</w:t>
      </w:r>
      <w:r>
        <w:rPr>
          <w:rStyle w:val="FootnoteReference"/>
        </w:rPr>
        <w:footnoteReference w:id="680"/>
      </w:r>
      <w:r>
        <w:t xml:space="preserve">.</w:t>
      </w:r>
    </w:p>
    <w:p>
      <w:pPr>
        <w:numPr>
          <w:ilvl w:val="0"/>
          <w:numId w:val="1081"/>
        </w:numPr>
        <w:pStyle w:val="Compact"/>
      </w:pPr>
      <w:r>
        <w:rPr>
          <w:bCs/>
          <w:b/>
        </w:rPr>
        <w:t xml:space="preserve">Função renal e hepática:</w:t>
      </w:r>
      <w:r>
        <w:t xml:space="preserve"> </w:t>
      </w:r>
      <w:r>
        <w:t xml:space="preserve">os níveis sanguíneos de cagrilintida não se alteraram de forma relevante com função renal ou hepática comprometida</w:t>
      </w:r>
      <w:r>
        <w:rPr>
          <w:rStyle w:val="FootnoteReference"/>
        </w:rPr>
        <w:footnoteReference w:id="681"/>
      </w:r>
      <w:r>
        <w:t xml:space="preserve">.</w:t>
      </w:r>
    </w:p>
    <w:p>
      <w:pPr>
        <w:pStyle w:val="FirstParagraph"/>
      </w:pPr>
      <w:r>
        <w:rPr>
          <w:bCs/>
          <w:b/>
        </w:rPr>
        <w:t xml:space="preserve">Teóricos ou ainda insuficientemente estudados:</w:t>
      </w:r>
      <w:r>
        <w:t xml:space="preserve"> </w:t>
      </w:r>
      <w:r>
        <w:t xml:space="preserve">o receptor de calcitonina também está presente nos ossos; como a estimulação contínua afeta o metabolismo ósseo está sendo estudado atualmente</w:t>
      </w:r>
      <w:r>
        <w:rPr>
          <w:rStyle w:val="FootnoteReference"/>
        </w:rPr>
        <w:footnoteReference w:id="682"/>
      </w:r>
      <w:r>
        <w:t xml:space="preserve">. Também não está esclarecido se a combinação influencia a perda de massa muscular</w:t>
      </w:r>
      <w:r>
        <w:rPr>
          <w:rStyle w:val="FootnoteReference"/>
        </w:rPr>
        <w:footnoteReference w:id="683"/>
      </w:r>
      <w:r>
        <w:t xml:space="preserve">. Sobre os riscos de classe da semaglutida (vesícula biliar, pâncreas, células C da tireoide em experimentos com animais), veja o capítulo Semaglutida.</w:t>
      </w:r>
    </w:p>
    <w:bookmarkEnd w:id="684"/>
    <w:bookmarkStart w:id="685" w:name="situação-legal-8"/>
    <w:p>
      <w:pPr>
        <w:pStyle w:val="Heading3"/>
      </w:pPr>
      <w:r>
        <w:t xml:space="preserve">Situação legal</w:t>
      </w:r>
    </w:p>
    <w:p>
      <w:pPr>
        <w:numPr>
          <w:ilvl w:val="0"/>
          <w:numId w:val="1082"/>
        </w:numPr>
        <w:pStyle w:val="Compact"/>
      </w:pPr>
      <w:r>
        <w:rPr>
          <w:bCs/>
          <w:b/>
        </w:rPr>
        <w:t xml:space="preserve">UE / Áustria / Alemanha:</w:t>
      </w:r>
      <w:r>
        <w:t xml:space="preserve"> </w:t>
      </w:r>
      <w:r>
        <w:t xml:space="preserve">nem a cagrilintida nem o CagriSema estão aprovados; uso apenas em estudos. Ofertas de</w:t>
      </w:r>
      <w:r>
        <w:t xml:space="preserve"> </w:t>
      </w:r>
      <w:r>
        <w:t xml:space="preserve">“</w:t>
      </w:r>
      <w:r>
        <w:t xml:space="preserve">Cagrilintide</w:t>
      </w:r>
      <w:r>
        <w:t xml:space="preserve">”</w:t>
      </w:r>
      <w:r>
        <w:t xml:space="preserve"> </w:t>
      </w:r>
      <w:r>
        <w:t xml:space="preserve">no mercado cinza não são medicamentos e não são verificadas.</w:t>
      </w:r>
    </w:p>
    <w:p>
      <w:pPr>
        <w:numPr>
          <w:ilvl w:val="0"/>
          <w:numId w:val="1082"/>
        </w:numPr>
        <w:pStyle w:val="Compact"/>
      </w:pPr>
      <w:r>
        <w:rPr>
          <w:bCs/>
          <w:b/>
        </w:rPr>
        <w:t xml:space="preserve">EUA:</w:t>
      </w:r>
      <w:r>
        <w:t xml:space="preserve"> </w:t>
      </w:r>
      <w:r>
        <w:t xml:space="preserve">não aprovados (situação em outubro de 2026, verificar atualização).</w:t>
      </w:r>
    </w:p>
    <w:p>
      <w:pPr>
        <w:numPr>
          <w:ilvl w:val="0"/>
          <w:numId w:val="1082"/>
        </w:numPr>
        <w:pStyle w:val="Compact"/>
      </w:pPr>
      <w:r>
        <w:rPr>
          <w:bCs/>
          <w:b/>
        </w:rPr>
        <w:t xml:space="preserve">Esporte:</w:t>
      </w:r>
      <w:r>
        <w:t xml:space="preserve"> </w:t>
      </w:r>
      <w:r>
        <w:t xml:space="preserve">classe S0 da WADA (não aprovada), situação em 2026, verificar atualização.</w:t>
      </w:r>
    </w:p>
    <w:bookmarkEnd w:id="685"/>
    <w:bookmarkStart w:id="696" w:name="estudos-em-andamento-e-perspectivas-8"/>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083"/>
        </w:numPr>
        <w:pStyle w:val="Compact"/>
      </w:pPr>
      <w:r>
        <w:rPr>
          <w:bCs/>
          <w:b/>
        </w:rPr>
        <w:t xml:space="preserve">REDEFINE 3</w:t>
      </w:r>
      <w:r>
        <w:rPr>
          <w:rStyle w:val="FootnoteReference"/>
        </w:rPr>
        <w:footnoteReference w:id="686"/>
      </w:r>
      <w:r>
        <w:t xml:space="preserve">: estudo de desfechos cardiovasculares com 7.076 pessoas randomizadas com doença cardiovascular existente e sobrepeso; término previsto em 2027. Desenho e dados iniciais foram publicados</w:t>
      </w:r>
      <w:r>
        <w:rPr>
          <w:rStyle w:val="FootnoteReference"/>
        </w:rPr>
        <w:footnoteReference w:id="687"/>
      </w:r>
      <w:r>
        <w:t xml:space="preserve">.</w:t>
      </w:r>
    </w:p>
    <w:p>
      <w:pPr>
        <w:numPr>
          <w:ilvl w:val="0"/>
          <w:numId w:val="1083"/>
        </w:numPr>
        <w:pStyle w:val="Compact"/>
      </w:pPr>
      <w:r>
        <w:rPr>
          <w:bCs/>
          <w:b/>
        </w:rPr>
        <w:t xml:space="preserve">Comparações contra tirzepatida</w:t>
      </w:r>
      <w:r>
        <w:rPr>
          <w:rStyle w:val="FootnoteReference"/>
        </w:rPr>
        <w:footnoteReference w:id="688"/>
      </w:r>
      <w:r>
        <w:t xml:space="preserve">: concluídas, publicação pendente.</w:t>
      </w:r>
    </w:p>
    <w:p>
      <w:pPr>
        <w:numPr>
          <w:ilvl w:val="0"/>
          <w:numId w:val="1083"/>
        </w:numPr>
        <w:pStyle w:val="Compact"/>
      </w:pPr>
      <w:r>
        <w:rPr>
          <w:bCs/>
          <w:b/>
        </w:rPr>
        <w:t xml:space="preserve">Doses mais altas de CagriSema</w:t>
      </w:r>
      <w:r>
        <w:t xml:space="preserve"> </w:t>
      </w:r>
      <w:r>
        <w:t xml:space="preserve">contra semaglutida</w:t>
      </w:r>
      <w:r>
        <w:rPr>
          <w:rStyle w:val="FootnoteReference"/>
        </w:rPr>
        <w:footnoteReference w:id="689"/>
      </w:r>
      <w:r>
        <w:t xml:space="preserve"> </w:t>
      </w:r>
      <w:r>
        <w:t xml:space="preserve">e estudo de longo prazo sobre manutenção do peso</w:t>
      </w:r>
      <w:r>
        <w:rPr>
          <w:rStyle w:val="FootnoteReference"/>
        </w:rPr>
        <w:footnoteReference w:id="690"/>
      </w:r>
      <w:r>
        <w:t xml:space="preserve">.</w:t>
      </w:r>
    </w:p>
    <w:p>
      <w:pPr>
        <w:numPr>
          <w:ilvl w:val="0"/>
          <w:numId w:val="1083"/>
        </w:numPr>
        <w:pStyle w:val="Compact"/>
      </w:pPr>
      <w:r>
        <w:rPr>
          <w:bCs/>
          <w:b/>
        </w:rPr>
        <w:t xml:space="preserve">Crianças e adolescentes</w:t>
      </w:r>
      <w:r>
        <w:rPr>
          <w:rStyle w:val="FootnoteReference"/>
        </w:rPr>
        <w:footnoteReference w:id="691"/>
      </w:r>
      <w:r>
        <w:t xml:space="preserve">, bem como cagrilintida isolada</w:t>
      </w:r>
      <w:r>
        <w:rPr>
          <w:rStyle w:val="FootnoteReference"/>
        </w:rPr>
        <w:footnoteReference w:id="692"/>
      </w:r>
      <w:r>
        <w:t xml:space="preserve">.</w:t>
      </w:r>
    </w:p>
    <w:p>
      <w:pPr>
        <w:numPr>
          <w:ilvl w:val="0"/>
          <w:numId w:val="1083"/>
        </w:numPr>
        <w:pStyle w:val="Compact"/>
      </w:pPr>
      <w:r>
        <w:t xml:space="preserve">Estudos menores sobre ossos</w:t>
      </w:r>
      <w:r>
        <w:rPr>
          <w:rStyle w:val="FootnoteReference"/>
        </w:rPr>
        <w:footnoteReference w:id="693"/>
      </w:r>
      <w:r>
        <w:t xml:space="preserve">, músculos</w:t>
      </w:r>
      <w:r>
        <w:rPr>
          <w:rStyle w:val="FootnoteReference"/>
        </w:rPr>
        <w:footnoteReference w:id="694"/>
      </w:r>
      <w:r>
        <w:t xml:space="preserve"> </w:t>
      </w:r>
      <w:r>
        <w:t xml:space="preserve">e pessoas que não toleram medicamentos GLP-1</w:t>
      </w:r>
      <w:r>
        <w:rPr>
          <w:rStyle w:val="FootnoteReference"/>
        </w:rPr>
        <w:footnoteReference w:id="695"/>
      </w:r>
      <w:r>
        <w:t xml:space="preserve">.</w:t>
      </w:r>
    </w:p>
    <w:p>
      <w:pPr>
        <w:pStyle w:val="FirstParagraph"/>
      </w:pPr>
      <w:r>
        <w:rPr>
          <w:bCs/>
          <w:b/>
        </w:rPr>
        <w:t xml:space="preserve">Avaliação:</w:t>
      </w:r>
      <w:r>
        <w:t xml:space="preserve"> </w:t>
      </w:r>
      <w:r>
        <w:t xml:space="preserve">o CagriSema deverá chegar ao mercado como a primeira combinação amilina-GLP-1. Se ele se imporá diante da tirzepatida e dos futuros agonistas triplos depende dos estudos comparativos e da tolerabilidade. O aspecto cientificamente mais interessante é a ampliação do arsenal: depois de GLP-1, GIP e glucagon, a amilina é a quarta via hormonal explorada para o tratamento da obesidade (veja também Amicretina).</w:t>
      </w:r>
    </w:p>
    <w:bookmarkEnd w:id="696"/>
    <w:bookmarkStart w:id="697" w:name="conclusão-8"/>
    <w:p>
      <w:pPr>
        <w:pStyle w:val="Heading3"/>
      </w:pPr>
      <w:r>
        <w:t xml:space="preserve">Conclusão</w:t>
      </w:r>
    </w:p>
    <w:p>
      <w:pPr>
        <w:pStyle w:val="FirstParagraph"/>
      </w:pPr>
      <w:r>
        <w:t xml:space="preserve">A cagrilintida é um análogo de amilina de ação prolongada que, sozinho, reduziu o peso em até 10,8% na fase 2. Em combinação com semaglutida (CagriSema), alcançou no REDEFINE 1 uma perda de peso de 20,4% após 68 semanas e foi claramente superior à semaglutida isolada no Leste Asiático (18,4% vs. 11,9%). Queixas gastrointestinais afetam cerca de quatro em cada cinco pessoas tratadas. O CagriSema ainda não está aprovado; dados sobre eventos cardiovasculares e sobre a comparação direta com tirzepatida estão pendentes.</w:t>
      </w:r>
    </w:p>
    <w:bookmarkEnd w:id="697"/>
    <w:bookmarkEnd w:id="698"/>
    <w:bookmarkStart w:id="727" w:name="amicretina-zenagamtida"/>
    <w:p>
      <w:pPr>
        <w:pStyle w:val="Heading2"/>
      </w:pPr>
      <w:r>
        <w:t xml:space="preserve">Amicretina (zenagamtida)</w:t>
      </w:r>
    </w:p>
    <w:bookmarkStart w:id="699" w:name="ficha-técnica-9"/>
    <w:p>
      <w:pPr>
        <w:pStyle w:val="Heading3"/>
      </w:pPr>
      <w:r>
        <w:t xml:space="preserve">Ficha técnica</w:t>
      </w:r>
    </w:p>
    <w:p>
      <w:pPr>
        <w:numPr>
          <w:ilvl w:val="0"/>
          <w:numId w:val="1084"/>
        </w:numPr>
        <w:pStyle w:val="Compact"/>
      </w:pPr>
      <w:r>
        <w:rPr>
          <w:bCs/>
          <w:b/>
        </w:rPr>
        <w:t xml:space="preserve">Tipo/estrutura:</w:t>
      </w:r>
      <w:r>
        <w:t xml:space="preserve"> </w:t>
      </w:r>
      <w:r>
        <w:t xml:space="preserve">peptídeo sintético que reúne em uma única molécula os efeitos de GLP-1 e de amilina (</w:t>
      </w:r>
      <w:r>
        <w:t xml:space="preserve">“</w:t>
      </w:r>
      <w:r>
        <w:t xml:space="preserve">unimolecular</w:t>
      </w:r>
      <w:r>
        <w:t xml:space="preserve">”</w:t>
      </w:r>
      <w:r>
        <w:t xml:space="preserve">). Desde 2026, tem a denominação comum internacional</w:t>
      </w:r>
      <w:r>
        <w:t xml:space="preserve"> </w:t>
      </w:r>
      <w:r>
        <w:rPr>
          <w:bCs/>
          <w:b/>
        </w:rPr>
        <w:t xml:space="preserve">zenagamtida</w:t>
      </w:r>
      <w:r>
        <w:t xml:space="preserve"> </w:t>
      </w:r>
      <w:r>
        <w:t xml:space="preserve">(em inglês, zenagamtide); código de desenvolvimento NNC0487-0111. Está sendo desenvolvida em duas formas: como injeção semanal e como comprimido diário.</w:t>
      </w:r>
    </w:p>
    <w:p>
      <w:pPr>
        <w:numPr>
          <w:ilvl w:val="0"/>
          <w:numId w:val="1084"/>
        </w:numPr>
        <w:pStyle w:val="Compact"/>
      </w:pPr>
      <w:r>
        <w:rPr>
          <w:bCs/>
          <w:b/>
        </w:rPr>
        <w:t xml:space="preserve">Origem:</w:t>
      </w:r>
      <w:r>
        <w:t xml:space="preserve"> </w:t>
      </w:r>
      <w:r>
        <w:t xml:space="preserve">desenvolvida pela Novo Nordisk.</w:t>
      </w:r>
    </w:p>
    <w:p>
      <w:pPr>
        <w:numPr>
          <w:ilvl w:val="0"/>
          <w:numId w:val="1084"/>
        </w:numPr>
        <w:pStyle w:val="Compact"/>
      </w:pPr>
      <w:r>
        <w:rPr>
          <w:bCs/>
          <w:b/>
        </w:rPr>
        <w:t xml:space="preserve">Princípio de ação:</w:t>
      </w:r>
      <w:r>
        <w:t xml:space="preserve"> </w:t>
      </w:r>
      <w:r>
        <w:t xml:space="preserve">agonista dos receptores de GLP-1, amilina e calcitonina.</w:t>
      </w:r>
    </w:p>
    <w:p>
      <w:pPr>
        <w:numPr>
          <w:ilvl w:val="0"/>
          <w:numId w:val="1084"/>
        </w:numPr>
        <w:pStyle w:val="Compact"/>
      </w:pPr>
      <w:r>
        <w:rPr>
          <w:bCs/>
          <w:b/>
        </w:rPr>
        <w:t xml:space="preserve">Aprovação UE:</w:t>
      </w:r>
      <w:r>
        <w:t xml:space="preserve"> </w:t>
      </w:r>
      <w:r>
        <w:t xml:space="preserve">não.</w:t>
      </w:r>
    </w:p>
    <w:p>
      <w:pPr>
        <w:numPr>
          <w:ilvl w:val="0"/>
          <w:numId w:val="1084"/>
        </w:numPr>
        <w:pStyle w:val="Compact"/>
      </w:pPr>
      <w:r>
        <w:rPr>
          <w:bCs/>
          <w:b/>
        </w:rPr>
        <w:t xml:space="preserve">Aprovação EUA:</w:t>
      </w:r>
      <w:r>
        <w:t xml:space="preserve"> </w:t>
      </w:r>
      <w:r>
        <w:t xml:space="preserve">não.</w:t>
      </w:r>
    </w:p>
    <w:p>
      <w:pPr>
        <w:numPr>
          <w:ilvl w:val="0"/>
          <w:numId w:val="1084"/>
        </w:numPr>
        <w:pStyle w:val="Compact"/>
      </w:pPr>
      <w:r>
        <w:rPr>
          <w:bCs/>
          <w:b/>
        </w:rPr>
        <w:t xml:space="preserve">WADA:</w:t>
      </w:r>
      <w:r>
        <w:t xml:space="preserve"> </w:t>
      </w:r>
      <w:r>
        <w:t xml:space="preserve">por ser uma substância não aprovada, proibida sob S0.</w:t>
      </w:r>
    </w:p>
    <w:p>
      <w:pPr>
        <w:numPr>
          <w:ilvl w:val="0"/>
          <w:numId w:val="1084"/>
        </w:numPr>
        <w:pStyle w:val="Compact"/>
      </w:pPr>
      <w:r>
        <w:rPr>
          <w:bCs/>
          <w:b/>
        </w:rPr>
        <w:t xml:space="preserve">Nível de evidência:</w:t>
      </w:r>
      <w:r>
        <w:t xml:space="preserve"> </w:t>
      </w:r>
      <w:r>
        <w:rPr>
          <w:bCs/>
          <w:b/>
        </w:rPr>
        <w:t xml:space="preserve">B</w:t>
      </w:r>
      <w:r>
        <w:t xml:space="preserve"> </w:t>
      </w:r>
      <w:r>
        <w:t xml:space="preserve">– estudos randomizados de fase 1 e fase 2 publicados; a fase 3 começou em 2026.</w:t>
      </w:r>
    </w:p>
    <w:bookmarkEnd w:id="699"/>
    <w:bookmarkStart w:id="701" w:name="como-deveria-agir-9"/>
    <w:p>
      <w:pPr>
        <w:pStyle w:val="Heading3"/>
      </w:pPr>
      <w:r>
        <w:t xml:space="preserve">Como deveria agir</w:t>
      </w:r>
    </w:p>
    <w:p>
      <w:pPr>
        <w:pStyle w:val="FirstParagraph"/>
      </w:pPr>
      <w:r>
        <w:t xml:space="preserve">O CagriSema (veja o capítulo anterior) combina duas substâncias separadas – o análogo de amilina cagrilintida e o agonista de GLP-1 semaglutida – em uma injeção. A amicretina vai um passo além: um único peptídeo ativa os dois sistemas de receptores. Isso simplifica a fabricação e a dosagem e permite, em princípio, uma forma em comprimido, como já existe com a semaglutida oral.</w:t>
      </w:r>
    </w:p>
    <w:p>
      <w:pPr>
        <w:pStyle w:val="BodyText"/>
      </w:pPr>
      <w:r>
        <w:t xml:space="preserve">GLP-1 e amilina favorecem ambos a sensação de saciedade, retardam o esvaziamento gástrico e atenuam a liberação de glucagon, mas agem por receptores e vias nervosas diferentes no tronco encefálico. Em experimentos com células, a amicretina ativou receptores humanos, de camundongo e de rato para GLP-1, amilina e calcitonina. Em ratos com obesidade induzida por dieta, ela reduziu em 21 dias a ingestão de energia em 47% e o peso corporal em 18%, enquanto o gasto energético se manteve; a sensibilidade à insulina melhorou e a esteatose hepática diminuiu</w:t>
      </w:r>
      <w:r>
        <w:rPr>
          <w:rStyle w:val="FootnoteReference"/>
        </w:rPr>
        <w:footnoteReference w:id="700"/>
      </w:r>
      <w:r>
        <w:t xml:space="preserve">. Esses são dados de animais.</w:t>
      </w:r>
    </w:p>
    <w:bookmarkEnd w:id="701"/>
    <w:bookmarkStart w:id="709" w:name="estudos-em-humanos-9"/>
    <w:p>
      <w:pPr>
        <w:pStyle w:val="Heading3"/>
      </w:pPr>
      <w:r>
        <w:t xml:space="preserve">Estudos em humanos</w:t>
      </w:r>
    </w:p>
    <w:p>
      <w:pPr>
        <w:pStyle w:val="FirstParagraph"/>
      </w:pPr>
      <w:r>
        <w:rPr>
          <w:bCs/>
          <w:b/>
        </w:rPr>
        <w:t xml:space="preserve">Dimensão da base de estudos:</w:t>
      </w:r>
      <w:r>
        <w:t xml:space="preserve"> </w:t>
      </w:r>
      <w:r>
        <w:t xml:space="preserve">a consulta automatizada ao PubMed (outubro de 2026) encontrou 4 estudos em humanos. A consulta automática ao registro com o nome</w:t>
      </w:r>
      <w:r>
        <w:t xml:space="preserve"> </w:t>
      </w:r>
      <w:r>
        <w:t xml:space="preserve">“</w:t>
      </w:r>
      <w:r>
        <w:t xml:space="preserve">amycretin</w:t>
      </w:r>
      <w:r>
        <w:t xml:space="preserve">”</w:t>
      </w:r>
      <w:r>
        <w:t xml:space="preserve"> </w:t>
      </w:r>
      <w:r>
        <w:t xml:space="preserve">encontrou apenas um registro; com o novo nome zenagamtida e o código de desenvolvimento NNC0487-0111, porém, há cerca de 30 estudos registrados no ClinicalTrials.gov, entre eles o programa de fase 3 iniciado em 2026</w:t>
      </w:r>
      <w:r>
        <w:t xml:space="preserve"> </w:t>
      </w:r>
      <w:r>
        <w:rPr>
          <w:bCs/>
          <w:b/>
        </w:rPr>
        <w:t xml:space="preserve">AMAZE</w:t>
      </w:r>
      <w:r>
        <w:t xml:space="preserve"> </w:t>
      </w:r>
      <w:r>
        <w:t xml:space="preserve">(peso) e</w:t>
      </w:r>
      <w:r>
        <w:t xml:space="preserve"> </w:t>
      </w:r>
      <w:r>
        <w:rPr>
          <w:bCs/>
          <w:b/>
        </w:rPr>
        <w:t xml:space="preserve">AMBITION</w:t>
      </w:r>
      <w:r>
        <w:t xml:space="preserve"> </w:t>
      </w:r>
      <w:r>
        <w:t xml:space="preserve">(diabetes tipo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Fase 1, comprimido (Gasiorek 2025), PMID 40550229</w:t>
            </w:r>
          </w:p>
        </w:tc>
        <w:tc>
          <w:tcPr/>
          <w:p>
            <w:pPr>
              <w:pStyle w:val="Compact"/>
              <w:jc w:val="left"/>
            </w:pPr>
            <w:r>
              <w:t xml:space="preserve">144 adultos com sobrepeso/obesidade, contra placebo</w:t>
            </w:r>
          </w:p>
        </w:tc>
        <w:tc>
          <w:tcPr/>
          <w:p>
            <w:pPr>
              <w:pStyle w:val="Compact"/>
              <w:jc w:val="left"/>
            </w:pPr>
            <w:r>
              <w:t xml:space="preserve">até 12 semanas</w:t>
            </w:r>
          </w:p>
        </w:tc>
        <w:tc>
          <w:tcPr/>
          <w:p>
            <w:pPr>
              <w:pStyle w:val="Compact"/>
              <w:jc w:val="left"/>
            </w:pPr>
            <w:r>
              <w:t xml:space="preserve">segurança; efeitos colaterais dependentes da dose, todos leves a moderados</w:t>
            </w:r>
          </w:p>
        </w:tc>
      </w:tr>
      <w:tr>
        <w:tc>
          <w:tcPr/>
          <w:p>
            <w:pPr>
              <w:pStyle w:val="Compact"/>
              <w:jc w:val="left"/>
            </w:pPr>
            <w:r>
              <w:t xml:space="preserve">Fase 1b/2a, injeção (Dahl 2025), PMID 40550231</w:t>
            </w:r>
          </w:p>
        </w:tc>
        <w:tc>
          <w:tcPr/>
          <w:p>
            <w:pPr>
              <w:pStyle w:val="Compact"/>
              <w:jc w:val="left"/>
            </w:pPr>
            <w:r>
              <w:t xml:space="preserve">125 adultos com sobrepeso/obesidade, contra placebo</w:t>
            </w:r>
          </w:p>
        </w:tc>
        <w:tc>
          <w:tcPr/>
          <w:p>
            <w:pPr>
              <w:pStyle w:val="Compact"/>
              <w:jc w:val="left"/>
            </w:pPr>
            <w:r>
              <w:t xml:space="preserve">até 36 semanas</w:t>
            </w:r>
          </w:p>
        </w:tc>
        <w:tc>
          <w:tcPr/>
          <w:p>
            <w:pPr>
              <w:pStyle w:val="Compact"/>
              <w:jc w:val="left"/>
            </w:pPr>
            <w:r>
              <w:t xml:space="preserve">até −24,3% de peso vs. −1,1%</w:t>
            </w:r>
          </w:p>
        </w:tc>
      </w:tr>
      <w:tr>
        <w:tc>
          <w:tcPr/>
          <w:p>
            <w:pPr>
              <w:pStyle w:val="Compact"/>
              <w:jc w:val="left"/>
            </w:pPr>
            <w:r>
              <w:t xml:space="preserve">Fase 2, comprimido (Mora 2026), PMID 42532079</w:t>
            </w:r>
          </w:p>
        </w:tc>
        <w:tc>
          <w:tcPr/>
          <w:p>
            <w:pPr>
              <w:pStyle w:val="Compact"/>
              <w:jc w:val="left"/>
            </w:pPr>
            <w:r>
              <w:t xml:space="preserve">186 adultos com diabetes tipo 2, contra placebo</w:t>
            </w:r>
          </w:p>
        </w:tc>
        <w:tc>
          <w:tcPr/>
          <w:p>
            <w:pPr>
              <w:pStyle w:val="Compact"/>
              <w:jc w:val="left"/>
            </w:pPr>
            <w:r>
              <w:t xml:space="preserve">36 semanas</w:t>
            </w:r>
          </w:p>
        </w:tc>
        <w:tc>
          <w:tcPr/>
          <w:p>
            <w:pPr>
              <w:pStyle w:val="Compact"/>
              <w:jc w:val="left"/>
            </w:pPr>
            <w:r>
              <w:t xml:space="preserve">HbA1c −0,9 a −1,4</w:t>
            </w:r>
          </w:p>
        </w:tc>
      </w:tr>
      <w:tr>
        <w:tc>
          <w:tcPr/>
          <w:p>
            <w:pPr>
              <w:pStyle w:val="Compact"/>
              <w:jc w:val="left"/>
            </w:pPr>
            <w:r>
              <w:t xml:space="preserve">Fase 2, injeção (Mora 2026), PMID 42532080</w:t>
            </w:r>
          </w:p>
        </w:tc>
        <w:tc>
          <w:tcPr/>
          <w:p>
            <w:pPr>
              <w:pStyle w:val="Compact"/>
              <w:jc w:val="left"/>
            </w:pPr>
            <w:r>
              <w:t xml:space="preserve">262 adultos com diabetes tipo 2, contra placebo</w:t>
            </w:r>
          </w:p>
        </w:tc>
        <w:tc>
          <w:tcPr/>
          <w:p>
            <w:pPr>
              <w:pStyle w:val="Compact"/>
              <w:jc w:val="left"/>
            </w:pPr>
            <w:r>
              <w:t xml:space="preserve">36 semanas</w:t>
            </w:r>
          </w:p>
        </w:tc>
        <w:tc>
          <w:tcPr/>
          <w:p>
            <w:pPr>
              <w:pStyle w:val="Compact"/>
              <w:jc w:val="left"/>
            </w:pPr>
            <w:r>
              <w:t xml:space="preserve">HbA1c −0,9 a −1,7</w:t>
            </w:r>
          </w:p>
        </w:tc>
      </w:tr>
    </w:tbl>
    <w:bookmarkStart w:id="703" w:name="X6922b41198ceeb03f5dc89f70daef2665fdc6b2"/>
    <w:p>
      <w:pPr>
        <w:pStyle w:val="Heading4"/>
      </w:pPr>
      <w:r>
        <w:t xml:space="preserve">Forma em comprimido: primeiro estudo em humanos</w:t>
      </w:r>
    </w:p>
    <w:p>
      <w:pPr>
        <w:pStyle w:val="FirstParagraph"/>
      </w:pPr>
      <w:r>
        <w:t xml:space="preserve">O primeiro estudo em humanos testou a amicretina como comprimido</w:t>
      </w:r>
      <w:r>
        <w:rPr>
          <w:rStyle w:val="FootnoteReference"/>
        </w:rPr>
        <w:footnoteReference w:id="702"/>
      </w:r>
      <w:r>
        <w:t xml:space="preserve">. 144 adultos com sobrepeso ou obesidade receberam doses únicas ou múltiplas por até doze semanas. 62% relataram pelo menos um evento adverso; todos foram leves ou moderados e aumentaram com a dose. Cerca de metade dos eventos afetou o trato gastrointestinal. Os níveis sanguíneos aumentaram proporcionalmente à dose. Os dados de peso foram apenas um desfecho secundário e exploratório desse estudo de segurança.</w:t>
      </w:r>
    </w:p>
    <w:bookmarkEnd w:id="703"/>
    <w:bookmarkStart w:id="705" w:name="forma-injetável-fase-1b2a"/>
    <w:p>
      <w:pPr>
        <w:pStyle w:val="Heading4"/>
      </w:pPr>
      <w:r>
        <w:t xml:space="preserve">Forma injetável: fase 1b/2a</w:t>
      </w:r>
    </w:p>
    <w:p>
      <w:pPr>
        <w:pStyle w:val="FirstParagraph"/>
      </w:pPr>
      <w:r>
        <w:t xml:space="preserve">No estudo com a injeção semanal</w:t>
      </w:r>
      <w:r>
        <w:rPr>
          <w:rStyle w:val="FootnoteReference"/>
        </w:rPr>
        <w:footnoteReference w:id="704"/>
      </w:r>
      <w:r>
        <w:t xml:space="preserve">, 125 pessoas receberam amicretina ou placebo em várias partes do estudo, com diferentes doses-alvo e durações de tratamento. A perda de peso foi notável para um estudo inicial:</w:t>
      </w:r>
    </w:p>
    <w:p>
      <w:pPr>
        <w:numPr>
          <w:ilvl w:val="0"/>
          <w:numId w:val="1085"/>
        </w:numPr>
        <w:pStyle w:val="Compact"/>
      </w:pPr>
      <w:r>
        <w:t xml:space="preserve">dose mais alta, 36 semanas: −24,3% contra −1,1% com placebo</w:t>
      </w:r>
    </w:p>
    <w:p>
      <w:pPr>
        <w:numPr>
          <w:ilvl w:val="0"/>
          <w:numId w:val="1085"/>
        </w:numPr>
        <w:pStyle w:val="Compact"/>
      </w:pPr>
      <w:r>
        <w:t xml:space="preserve">segunda dose mais alta, 36 semanas: −22,0% contra +1,9%</w:t>
      </w:r>
    </w:p>
    <w:p>
      <w:pPr>
        <w:numPr>
          <w:ilvl w:val="0"/>
          <w:numId w:val="1085"/>
        </w:numPr>
        <w:pStyle w:val="Compact"/>
      </w:pPr>
      <w:r>
        <w:t xml:space="preserve">dose intermediária, 28 semanas: −16,2% contra +2,3%</w:t>
      </w:r>
    </w:p>
    <w:p>
      <w:pPr>
        <w:numPr>
          <w:ilvl w:val="0"/>
          <w:numId w:val="1085"/>
        </w:numPr>
        <w:pStyle w:val="Compact"/>
      </w:pPr>
      <w:r>
        <w:t xml:space="preserve">dose baixa, 20 semanas: −9,7% contra +2,0%</w:t>
      </w:r>
    </w:p>
    <w:p>
      <w:pPr>
        <w:pStyle w:val="FirstParagraph"/>
      </w:pPr>
      <w:r>
        <w:t xml:space="preserve">Esses números devem ser lidos com cautela: os grupos eram pequenos, o estudo foi realizado em um único centro, e as próprias autoras e autores relatam que muitos participantes deixaram o estudo antes do tempo – em grande parte por motivos não relacionados a efeitos colaterais. Uma perda de peso de mais de 20% após 36 semanas é um sinal forte, mas ainda não é uma estimativa confiável para o uso em larga escala.</w:t>
      </w:r>
    </w:p>
    <w:bookmarkEnd w:id="705"/>
    <w:bookmarkStart w:id="708" w:name="diabetes-tipo-2-dois-estudos-de-fase-2"/>
    <w:p>
      <w:pPr>
        <w:pStyle w:val="Heading4"/>
      </w:pPr>
      <w:r>
        <w:t xml:space="preserve">Diabetes tipo 2: dois estudos de fase 2</w:t>
      </w:r>
    </w:p>
    <w:p>
      <w:pPr>
        <w:pStyle w:val="FirstParagraph"/>
      </w:pPr>
      <w:r>
        <w:t xml:space="preserve">Em 2026 foram publicados dois estudos paralelos de determinação de dose em pessoas com diabetes tipo 2 que tomavam metformina (com ou sem inibidor de SGLT2):</w:t>
      </w:r>
    </w:p>
    <w:p>
      <w:pPr>
        <w:numPr>
          <w:ilvl w:val="0"/>
          <w:numId w:val="1086"/>
        </w:numPr>
        <w:pStyle w:val="Compact"/>
      </w:pPr>
      <w:r>
        <w:rPr>
          <w:bCs/>
          <w:b/>
        </w:rPr>
        <w:t xml:space="preserve">Comprimido</w:t>
      </w:r>
      <w:r>
        <w:rPr>
          <w:rStyle w:val="FootnoteReference"/>
        </w:rPr>
        <w:footnoteReference w:id="706"/>
      </w:r>
      <w:r>
        <w:t xml:space="preserve">: após 36 semanas, a HbA1c caiu 0,9 a 1,4 ponto percentual (valor inicial de cerca de 8%). Queixas gastrointestinais ocorreram em 26–47% (placebo 23%). Eventos adversos graves afetaram 4% com zenagamtida e ninguém com placebo.</w:t>
      </w:r>
    </w:p>
    <w:p>
      <w:pPr>
        <w:numPr>
          <w:ilvl w:val="0"/>
          <w:numId w:val="1086"/>
        </w:numPr>
        <w:pStyle w:val="Compact"/>
      </w:pPr>
      <w:r>
        <w:rPr>
          <w:bCs/>
          <w:b/>
        </w:rPr>
        <w:t xml:space="preserve">Injeção</w:t>
      </w:r>
      <w:r>
        <w:rPr>
          <w:rStyle w:val="FootnoteReference"/>
        </w:rPr>
        <w:footnoteReference w:id="707"/>
      </w:r>
      <w:r>
        <w:t xml:space="preserve">: a HbA1c caiu, conforme a dose, 0,9 a 1,7 ponto percentual. Eventos adversos graves ocorreram em 8% dos participantes, distribuídos por todos os grupos de dose e placebo.</w:t>
      </w:r>
    </w:p>
    <w:p>
      <w:pPr>
        <w:pStyle w:val="FirstParagraph"/>
      </w:pPr>
      <w:r>
        <w:t xml:space="preserve">Os resultados de peso desses estudos de diabetes não são quantificados nos resumos e, por isso, não são mencionados aqui.</w:t>
      </w:r>
    </w:p>
    <w:bookmarkEnd w:id="708"/>
    <w:bookmarkEnd w:id="709"/>
    <w:bookmarkStart w:id="711" w:name="estudos-em-animais-e-em-laboratório-9"/>
    <w:p>
      <w:pPr>
        <w:pStyle w:val="Heading3"/>
      </w:pPr>
      <w:r>
        <w:t xml:space="preserve">Estudos em animais e em laboratório</w:t>
      </w:r>
    </w:p>
    <w:p>
      <w:pPr>
        <w:pStyle w:val="FirstParagraph"/>
      </w:pPr>
      <w:r>
        <w:t xml:space="preserve">Os dados pré-clínicos vêm do fabricante</w:t>
      </w:r>
      <w:r>
        <w:rPr>
          <w:rStyle w:val="FootnoteReference"/>
        </w:rPr>
        <w:footnoteReference w:id="710"/>
      </w:r>
      <w:r>
        <w:t xml:space="preserve">: ativação de receptores em culturas de células, perda de peso e melhora da sensibilidade à insulina em ratos com excesso de peso, menos esteatose hepática e acúmulo em regiões cerebrais reguladoras do apetite em camundongos. Estudos independentes em animais praticamente não existem.</w:t>
      </w:r>
    </w:p>
    <w:bookmarkEnd w:id="711"/>
    <w:bookmarkStart w:id="716" w:name="riscos-e-efeitos-colaterais-9"/>
    <w:p>
      <w:pPr>
        <w:pStyle w:val="Heading3"/>
      </w:pPr>
      <w:r>
        <w:t xml:space="preserve">Riscos e efeitos colaterais</w:t>
      </w:r>
    </w:p>
    <w:p>
      <w:pPr>
        <w:pStyle w:val="FirstParagraph"/>
      </w:pPr>
      <w:r>
        <w:rPr>
          <w:bCs/>
          <w:b/>
        </w:rPr>
        <w:t xml:space="preserve">Comprovados em estudos:</w:t>
      </w:r>
    </w:p>
    <w:p>
      <w:pPr>
        <w:numPr>
          <w:ilvl w:val="0"/>
          <w:numId w:val="1087"/>
        </w:numPr>
        <w:pStyle w:val="Compact"/>
      </w:pPr>
      <w:r>
        <w:rPr>
          <w:bCs/>
          <w:b/>
        </w:rPr>
        <w:t xml:space="preserve">Queixas gastrointestinais</w:t>
      </w:r>
      <w:r>
        <w:t xml:space="preserve"> </w:t>
      </w:r>
      <w:r>
        <w:t xml:space="preserve">são os efeitos colaterais mais frequentes, nos estudos iniciais na maioria das pessoas tratadas; foram em geral leves a moderadas e dependentes da dose</w:t>
      </w:r>
      <w:r>
        <w:rPr>
          <w:rStyle w:val="FootnoteReference"/>
        </w:rPr>
        <w:footnoteReference w:id="712"/>
      </w:r>
      <w:r>
        <w:t xml:space="preserve">.</w:t>
      </w:r>
    </w:p>
    <w:p>
      <w:pPr>
        <w:numPr>
          <w:ilvl w:val="0"/>
          <w:numId w:val="1087"/>
        </w:numPr>
        <w:pStyle w:val="Compact"/>
      </w:pPr>
      <w:r>
        <w:rPr>
          <w:bCs/>
          <w:b/>
        </w:rPr>
        <w:t xml:space="preserve">Eventos adversos graves</w:t>
      </w:r>
      <w:r>
        <w:t xml:space="preserve"> </w:t>
      </w:r>
      <w:r>
        <w:t xml:space="preserve">foram raros nos estudos de fase 2; no estudo com comprimido, ocorreram apenas com zenagamtida (4% vs. 0%), no estudo com injeção, distribuídos de forma uniforme</w:t>
      </w:r>
      <w:r>
        <w:rPr>
          <w:rStyle w:val="FootnoteReference"/>
        </w:rPr>
        <w:footnoteReference w:id="713"/>
      </w:r>
      <w:r>
        <w:t xml:space="preserve">.</w:t>
      </w:r>
    </w:p>
    <w:p>
      <w:pPr>
        <w:numPr>
          <w:ilvl w:val="0"/>
          <w:numId w:val="1087"/>
        </w:numPr>
        <w:pStyle w:val="Compact"/>
      </w:pPr>
      <w:r>
        <w:rPr>
          <w:bCs/>
          <w:b/>
        </w:rPr>
        <w:t xml:space="preserve">Função renal:</w:t>
      </w:r>
      <w:r>
        <w:t xml:space="preserve"> </w:t>
      </w:r>
      <w:r>
        <w:t xml:space="preserve">com função renal comprometida, até a insuficiência renal terminal, os níveis sanguíneos após uma dose única não se alteraram de forma clinicamente relevante</w:t>
      </w:r>
      <w:r>
        <w:rPr>
          <w:rStyle w:val="FootnoteReference"/>
        </w:rPr>
        <w:footnoteReference w:id="714"/>
      </w:r>
      <w:r>
        <w:t xml:space="preserve">.</w:t>
      </w:r>
    </w:p>
    <w:p>
      <w:pPr>
        <w:pStyle w:val="FirstParagraph"/>
      </w:pPr>
      <w:r>
        <w:rPr>
          <w:bCs/>
          <w:b/>
        </w:rPr>
        <w:t xml:space="preserve">Ainda em aberto:</w:t>
      </w:r>
      <w:r>
        <w:t xml:space="preserve"> </w:t>
      </w:r>
      <w:r>
        <w:t xml:space="preserve">segurança a longo prazo, efeito sobre os ossos (receptor de calcitonina), massa muscular e sistema cardiovascular. Para os riscos de classe dos medicamentos GLP-1 (vesícula biliar, pâncreas), ainda há poucos anos de tratamento.</w:t>
      </w:r>
    </w:p>
    <w:p>
      <w:pPr>
        <w:pStyle w:val="BodyText"/>
      </w:pPr>
      <w:r>
        <w:rPr>
          <w:bCs/>
          <w:b/>
        </w:rPr>
        <w:t xml:space="preserve">Mercado cinza:</w:t>
      </w:r>
      <w:r>
        <w:t xml:space="preserve"> </w:t>
      </w:r>
      <w:r>
        <w:t xml:space="preserve">já antes do início da fase 3, a zenagamtida é oferecida na internet como</w:t>
      </w:r>
      <w:r>
        <w:t xml:space="preserve"> </w:t>
      </w:r>
      <w:r>
        <w:t xml:space="preserve">“</w:t>
      </w:r>
      <w:r>
        <w:t xml:space="preserve">research peptide</w:t>
      </w:r>
      <w:r>
        <w:t xml:space="preserve">”</w:t>
      </w:r>
      <w:r>
        <w:t xml:space="preserve">. Um relato na revista científica JAMA descreve um mercado clandestino crescente para as duas substâncias não aprovadas retatrutida e zenagamtida e os riscos associados</w:t>
      </w:r>
      <w:r>
        <w:rPr>
          <w:rStyle w:val="FootnoteReference"/>
        </w:rPr>
        <w:footnoteReference w:id="715"/>
      </w:r>
      <w:r>
        <w:t xml:space="preserve">. Quem usa esses produtos não conhece nem o conteúdo, nem a pureza, nem uma dosagem testada (veja a Parte I e a Parte IV).</w:t>
      </w:r>
    </w:p>
    <w:bookmarkEnd w:id="716"/>
    <w:bookmarkStart w:id="717" w:name="situação-legal-9"/>
    <w:p>
      <w:pPr>
        <w:pStyle w:val="Heading3"/>
      </w:pPr>
      <w:r>
        <w:t xml:space="preserve">Situação legal</w:t>
      </w:r>
    </w:p>
    <w:p>
      <w:pPr>
        <w:numPr>
          <w:ilvl w:val="0"/>
          <w:numId w:val="1088"/>
        </w:numPr>
        <w:pStyle w:val="Compact"/>
      </w:pPr>
      <w:r>
        <w:rPr>
          <w:bCs/>
          <w:b/>
        </w:rPr>
        <w:t xml:space="preserve">UE / Áustria / Alemanha:</w:t>
      </w:r>
      <w:r>
        <w:t xml:space="preserve"> </w:t>
      </w:r>
      <w:r>
        <w:t xml:space="preserve">não aprovada; uso apenas em estudos clínicos.</w:t>
      </w:r>
    </w:p>
    <w:p>
      <w:pPr>
        <w:numPr>
          <w:ilvl w:val="0"/>
          <w:numId w:val="1088"/>
        </w:numPr>
        <w:pStyle w:val="Compact"/>
      </w:pPr>
      <w:r>
        <w:rPr>
          <w:bCs/>
          <w:b/>
        </w:rPr>
        <w:t xml:space="preserve">EUA:</w:t>
      </w:r>
      <w:r>
        <w:t xml:space="preserve"> </w:t>
      </w:r>
      <w:r>
        <w:t xml:space="preserve">não aprovada.</w:t>
      </w:r>
    </w:p>
    <w:p>
      <w:pPr>
        <w:numPr>
          <w:ilvl w:val="0"/>
          <w:numId w:val="1088"/>
        </w:numPr>
        <w:pStyle w:val="Compact"/>
      </w:pPr>
      <w:r>
        <w:rPr>
          <w:bCs/>
          <w:b/>
        </w:rPr>
        <w:t xml:space="preserve">Esporte:</w:t>
      </w:r>
      <w:r>
        <w:t xml:space="preserve"> </w:t>
      </w:r>
      <w:r>
        <w:t xml:space="preserve">classe S0 da WADA (substância não aprovada), situação em 2026, verificar atualização.</w:t>
      </w:r>
    </w:p>
    <w:bookmarkEnd w:id="717"/>
    <w:bookmarkStart w:id="725" w:name="estudos-em-andamento-e-perspectivas-9"/>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089"/>
        </w:numPr>
        <w:pStyle w:val="Compact"/>
      </w:pPr>
      <w:r>
        <w:rPr>
          <w:bCs/>
          <w:b/>
        </w:rPr>
        <w:t xml:space="preserve">AMAZE 1</w:t>
      </w:r>
      <w:r>
        <w:rPr>
          <w:rStyle w:val="FootnoteReference"/>
        </w:rPr>
        <w:footnoteReference w:id="718"/>
      </w:r>
      <w:r>
        <w:t xml:space="preserve">: fase 3 com 1.150 adultos com sobrepeso/obesidade, forma injetável.</w:t>
      </w:r>
    </w:p>
    <w:p>
      <w:pPr>
        <w:numPr>
          <w:ilvl w:val="0"/>
          <w:numId w:val="1089"/>
        </w:numPr>
        <w:pStyle w:val="Compact"/>
      </w:pPr>
      <w:r>
        <w:rPr>
          <w:bCs/>
          <w:b/>
        </w:rPr>
        <w:t xml:space="preserve">AMAZE 2</w:t>
      </w:r>
      <w:r>
        <w:rPr>
          <w:rStyle w:val="FootnoteReference"/>
        </w:rPr>
        <w:footnoteReference w:id="719"/>
      </w:r>
      <w:r>
        <w:t xml:space="preserve">: sobrepeso com diabetes tipo 2.</w:t>
      </w:r>
    </w:p>
    <w:p>
      <w:pPr>
        <w:numPr>
          <w:ilvl w:val="0"/>
          <w:numId w:val="1089"/>
        </w:numPr>
        <w:pStyle w:val="Compact"/>
      </w:pPr>
      <w:r>
        <w:rPr>
          <w:bCs/>
          <w:b/>
        </w:rPr>
        <w:t xml:space="preserve">AMAZE 3 e 4</w:t>
      </w:r>
      <w:r>
        <w:rPr>
          <w:rStyle w:val="FootnoteReference"/>
        </w:rPr>
        <w:footnoteReference w:id="720"/>
      </w:r>
      <w:r>
        <w:t xml:space="preserve">: apneia do sono sem e com terapia com máscara respiratória, respectivamente.</w:t>
      </w:r>
    </w:p>
    <w:p>
      <w:pPr>
        <w:numPr>
          <w:ilvl w:val="0"/>
          <w:numId w:val="1089"/>
        </w:numPr>
        <w:pStyle w:val="Compact"/>
      </w:pPr>
      <w:r>
        <w:rPr>
          <w:bCs/>
          <w:b/>
        </w:rPr>
        <w:t xml:space="preserve">AMAZE 6</w:t>
      </w:r>
      <w:r>
        <w:rPr>
          <w:rStyle w:val="FootnoteReference"/>
        </w:rPr>
        <w:footnoteReference w:id="721"/>
      </w:r>
      <w:r>
        <w:t xml:space="preserve"> </w:t>
      </w:r>
      <w:r>
        <w:t xml:space="preserve">e outro estudo</w:t>
      </w:r>
      <w:r>
        <w:rPr>
          <w:rStyle w:val="FootnoteReference"/>
        </w:rPr>
        <w:footnoteReference w:id="722"/>
      </w:r>
      <w:r>
        <w:t xml:space="preserve">: artrose de joelho.</w:t>
      </w:r>
    </w:p>
    <w:p>
      <w:pPr>
        <w:numPr>
          <w:ilvl w:val="0"/>
          <w:numId w:val="1089"/>
        </w:numPr>
        <w:pStyle w:val="Compact"/>
      </w:pPr>
      <w:r>
        <w:rPr>
          <w:bCs/>
          <w:b/>
        </w:rPr>
        <w:t xml:space="preserve">AMAZE 9</w:t>
      </w:r>
      <w:r>
        <w:rPr>
          <w:rStyle w:val="FootnoteReference"/>
        </w:rPr>
        <w:footnoteReference w:id="723"/>
      </w:r>
      <w:r>
        <w:t xml:space="preserve">: forma em comprimido no sobrepeso.</w:t>
      </w:r>
    </w:p>
    <w:p>
      <w:pPr>
        <w:numPr>
          <w:ilvl w:val="0"/>
          <w:numId w:val="1089"/>
        </w:numPr>
        <w:pStyle w:val="Compact"/>
      </w:pPr>
      <w:r>
        <w:rPr>
          <w:bCs/>
          <w:b/>
        </w:rPr>
        <w:t xml:space="preserve">AMAZE 12</w:t>
      </w:r>
      <w:r>
        <w:rPr>
          <w:rStyle w:val="FootnoteReference"/>
        </w:rPr>
        <w:footnoteReference w:id="724"/>
      </w:r>
      <w:r>
        <w:t xml:space="preserve">: manutenção do peso após a perda.</w:t>
      </w:r>
    </w:p>
    <w:p>
      <w:pPr>
        <w:numPr>
          <w:ilvl w:val="0"/>
          <w:numId w:val="1089"/>
        </w:numPr>
        <w:pStyle w:val="Compact"/>
      </w:pPr>
      <w:r>
        <w:t xml:space="preserve">Comparação com semaglutida (NCT07668414; no diabetes tipo 2, NCT07400107) e com insulina glargina no diabetes tipo 2 (NCT07797335, AMBITION 7).</w:t>
      </w:r>
    </w:p>
    <w:p>
      <w:pPr>
        <w:numPr>
          <w:ilvl w:val="0"/>
          <w:numId w:val="1089"/>
        </w:numPr>
        <w:pStyle w:val="Compact"/>
      </w:pPr>
      <w:r>
        <w:t xml:space="preserve">Estudos de desfechos: insuficiência cardíaca com obesidade (NCT07567001, 5.610 participantes) e eventos cardiovasculares na aterosclerose (NCT07861100, 8.500 participantes previstos).</w:t>
      </w:r>
    </w:p>
    <w:p>
      <w:pPr>
        <w:pStyle w:val="FirstParagraph"/>
      </w:pPr>
      <w:r>
        <w:rPr>
          <w:bCs/>
          <w:b/>
        </w:rPr>
        <w:t xml:space="preserve">Avaliação:</w:t>
      </w:r>
      <w:r>
        <w:t xml:space="preserve"> </w:t>
      </w:r>
      <w:r>
        <w:t xml:space="preserve">com esse amplo programa de fase 3, a Novo Nordisk aposta claramente em fazer da amicretina/zenagamtida a sucessora da semaglutida. Resultados dos primeiros estudos de fase 3 são esperados no mínimo em 2027, e uma aprovação dificilmente antes de 2028. Se os números impressionantes do pequeno estudo de fase 1b/2a se manterão em grandes estudos, está em aberto.</w:t>
      </w:r>
    </w:p>
    <w:bookmarkEnd w:id="725"/>
    <w:bookmarkStart w:id="726" w:name="conclusão-9"/>
    <w:p>
      <w:pPr>
        <w:pStyle w:val="Heading3"/>
      </w:pPr>
      <w:r>
        <w:t xml:space="preserve">Conclusão</w:t>
      </w:r>
    </w:p>
    <w:p>
      <w:pPr>
        <w:pStyle w:val="FirstParagraph"/>
      </w:pPr>
      <w:r>
        <w:t xml:space="preserve">A amicretina – desde 2026, zenagamtida – é um único peptídeo que ativa simultaneamente os receptores de GLP-1 e de amilina e está sendo desenvolvida como injeção e como comprimido. Em um pequeno estudo de fase 1b/2a, o peso caiu até 24,3% após 36 semanas; em estudos de fase 2 no diabetes tipo 2, a HbA1c caiu até 1,7 ponto percentual. Os efeitos colaterais mais frequentes afetam o trato gastrointestinal. Os estudos de fase 3 começaram em 2026; até uma possível aprovação, a zenagamtida é apenas um medicamento experimental, e produtos do mercado cinza não são um substituto.</w:t>
      </w:r>
    </w:p>
    <w:bookmarkEnd w:id="726"/>
    <w:bookmarkEnd w:id="727"/>
    <w:bookmarkStart w:id="759" w:name="maridebarte-cafraglutida-maritide"/>
    <w:p>
      <w:pPr>
        <w:pStyle w:val="Heading2"/>
      </w:pPr>
      <w:r>
        <w:t xml:space="preserve">Maridebarte cafraglutida (MariTide)</w:t>
      </w:r>
    </w:p>
    <w:bookmarkStart w:id="728" w:name="ficha-técnica-10"/>
    <w:p>
      <w:pPr>
        <w:pStyle w:val="Heading3"/>
      </w:pPr>
      <w:r>
        <w:t xml:space="preserve">Ficha técnica</w:t>
      </w:r>
    </w:p>
    <w:p>
      <w:pPr>
        <w:numPr>
          <w:ilvl w:val="0"/>
          <w:numId w:val="1090"/>
        </w:numPr>
        <w:pStyle w:val="Compact"/>
      </w:pPr>
      <w:r>
        <w:rPr>
          <w:bCs/>
          <w:b/>
        </w:rPr>
        <w:t xml:space="preserve">Tipo/estrutura:</w:t>
      </w:r>
      <w:r>
        <w:t xml:space="preserve"> </w:t>
      </w:r>
      <w:r>
        <w:t xml:space="preserve">um chamado conjugado anticorpo-peptídeo. Um anticorpo monoclonal totalmente humano está ligado, por meio de curtos conectores de aminoácidos, a dois peptídeos semelhantes ao GLP-1. A rigor, portanto, o MariTide não é um peptídeo puro, mas um híbrido de anticorpo e peptídeo. Código de desenvolvimento AMG 133, nome abreviado MariTide.</w:t>
      </w:r>
    </w:p>
    <w:p>
      <w:pPr>
        <w:numPr>
          <w:ilvl w:val="0"/>
          <w:numId w:val="1090"/>
        </w:numPr>
        <w:pStyle w:val="Compact"/>
      </w:pPr>
      <w:r>
        <w:rPr>
          <w:bCs/>
          <w:b/>
        </w:rPr>
        <w:t xml:space="preserve">Origem:</w:t>
      </w:r>
      <w:r>
        <w:t xml:space="preserve"> </w:t>
      </w:r>
      <w:r>
        <w:t xml:space="preserve">desenvolvido pela Amgen.</w:t>
      </w:r>
    </w:p>
    <w:p>
      <w:pPr>
        <w:numPr>
          <w:ilvl w:val="0"/>
          <w:numId w:val="1090"/>
        </w:numPr>
        <w:pStyle w:val="Compact"/>
      </w:pPr>
      <w:r>
        <w:rPr>
          <w:bCs/>
          <w:b/>
        </w:rPr>
        <w:t xml:space="preserve">Princípio de ação:</w:t>
      </w:r>
      <w:r>
        <w:t xml:space="preserve"> </w:t>
      </w:r>
      <w:r>
        <w:t xml:space="preserve">a parte GLP-1</w:t>
      </w:r>
      <w:r>
        <w:t xml:space="preserve"> </w:t>
      </w:r>
      <w:r>
        <w:rPr>
          <w:bCs/>
          <w:b/>
        </w:rPr>
        <w:t xml:space="preserve">ativa</w:t>
      </w:r>
      <w:r>
        <w:t xml:space="preserve"> </w:t>
      </w:r>
      <w:r>
        <w:t xml:space="preserve">o receptor de GLP-1, e o anticorpo</w:t>
      </w:r>
      <w:r>
        <w:t xml:space="preserve"> </w:t>
      </w:r>
      <w:r>
        <w:rPr>
          <w:bCs/>
          <w:b/>
        </w:rPr>
        <w:t xml:space="preserve">bloqueia</w:t>
      </w:r>
      <w:r>
        <w:t xml:space="preserve"> </w:t>
      </w:r>
      <w:r>
        <w:t xml:space="preserve">o receptor de GIP (antagonista de GIPR). Isso é o oposto da tirzepatida, que ativa o receptor de GIP.</w:t>
      </w:r>
    </w:p>
    <w:p>
      <w:pPr>
        <w:numPr>
          <w:ilvl w:val="0"/>
          <w:numId w:val="1090"/>
        </w:numPr>
        <w:pStyle w:val="Compact"/>
      </w:pPr>
      <w:r>
        <w:rPr>
          <w:bCs/>
          <w:b/>
        </w:rPr>
        <w:t xml:space="preserve">Particularidade:</w:t>
      </w:r>
      <w:r>
        <w:t xml:space="preserve"> </w:t>
      </w:r>
      <w:r>
        <w:t xml:space="preserve">graças à parte de anticorpo, o MariTide age por muito tempo; está sendo estudada uma administração a cada quatro semanas ou com menos frequência.</w:t>
      </w:r>
    </w:p>
    <w:p>
      <w:pPr>
        <w:numPr>
          <w:ilvl w:val="0"/>
          <w:numId w:val="1090"/>
        </w:numPr>
        <w:pStyle w:val="Compact"/>
      </w:pPr>
      <w:r>
        <w:rPr>
          <w:bCs/>
          <w:b/>
        </w:rPr>
        <w:t xml:space="preserve">Aprovação UE / EUA:</w:t>
      </w:r>
      <w:r>
        <w:t xml:space="preserve"> </w:t>
      </w:r>
      <w:r>
        <w:t xml:space="preserve">não (situação em outubro de 2026).</w:t>
      </w:r>
    </w:p>
    <w:p>
      <w:pPr>
        <w:numPr>
          <w:ilvl w:val="0"/>
          <w:numId w:val="1090"/>
        </w:numPr>
        <w:pStyle w:val="Compact"/>
      </w:pPr>
      <w:r>
        <w:rPr>
          <w:bCs/>
          <w:b/>
        </w:rPr>
        <w:t xml:space="preserve">WADA:</w:t>
      </w:r>
      <w:r>
        <w:t xml:space="preserve"> </w:t>
      </w:r>
      <w:r>
        <w:t xml:space="preserve">por ser uma substância não aprovada, proibido sob S0.</w:t>
      </w:r>
    </w:p>
    <w:p>
      <w:pPr>
        <w:numPr>
          <w:ilvl w:val="0"/>
          <w:numId w:val="1090"/>
        </w:numPr>
        <w:pStyle w:val="Compact"/>
      </w:pPr>
      <w:r>
        <w:rPr>
          <w:bCs/>
          <w:b/>
        </w:rPr>
        <w:t xml:space="preserve">Nível de evidência:</w:t>
      </w:r>
      <w:r>
        <w:t xml:space="preserve"> </w:t>
      </w:r>
      <w:r>
        <w:rPr>
          <w:bCs/>
          <w:b/>
        </w:rPr>
        <w:t xml:space="preserve">B</w:t>
      </w:r>
      <w:r>
        <w:t xml:space="preserve"> </w:t>
      </w:r>
      <w:r>
        <w:t xml:space="preserve">– um grande estudo randomizado de fase 2; fase 3 em andamento.</w:t>
      </w:r>
    </w:p>
    <w:bookmarkEnd w:id="728"/>
    <w:bookmarkStart w:id="732" w:name="como-deveria-agir-10"/>
    <w:p>
      <w:pPr>
        <w:pStyle w:val="Heading3"/>
      </w:pPr>
      <w:r>
        <w:t xml:space="preserve">Como deveria agir</w:t>
      </w:r>
    </w:p>
    <w:p>
      <w:pPr>
        <w:pStyle w:val="FirstParagraph"/>
      </w:pPr>
      <w:r>
        <w:t xml:space="preserve">Com o GIP existe um paradoxo notável. A tirzepatida</w:t>
      </w:r>
      <w:r>
        <w:t xml:space="preserve"> </w:t>
      </w:r>
      <w:r>
        <w:rPr>
          <w:iCs/>
          <w:i/>
        </w:rPr>
        <w:t xml:space="preserve">ativa</w:t>
      </w:r>
      <w:r>
        <w:t xml:space="preserve"> </w:t>
      </w:r>
      <w:r>
        <w:t xml:space="preserve">o receptor de GIP e, junto com o GLP-1, alcança assim uma forte perda de peso. Ao mesmo tempo, estudos genéticos e experimentos com camundongos mostraram que também</w:t>
      </w:r>
      <w:r>
        <w:t xml:space="preserve"> </w:t>
      </w:r>
      <w:r>
        <w:rPr>
          <w:iCs/>
          <w:i/>
        </w:rPr>
        <w:t xml:space="preserve">bloquear</w:t>
      </w:r>
      <w:r>
        <w:t xml:space="preserve"> </w:t>
      </w:r>
      <w:r>
        <w:t xml:space="preserve">o receptor de GIP pode proteger contra o excesso de peso. Uma possível explicação: a ativação contínua do receptor faz com que a célula o desligue – no fim, ela passa a se parecer com um bloqueio. Isso não está definitivamente esclarecido; um estudo comparativo em camundongos verificou que ambas as abordagens reduziram a ingestão de alimentos e o peso no excesso de peso, mas diferiram em seus efeitos metabólicos: o agonista de GIP melhorou a tolerância à glicose, enquanto o antagonista tendeu a reduzir a sensibilidade à insulina</w:t>
      </w:r>
      <w:r>
        <w:rPr>
          <w:rStyle w:val="FootnoteReference"/>
        </w:rPr>
        <w:footnoteReference w:id="729"/>
      </w:r>
      <w:r>
        <w:t xml:space="preserve">.</w:t>
      </w:r>
    </w:p>
    <w:p>
      <w:pPr>
        <w:pStyle w:val="BodyText"/>
      </w:pPr>
      <w:r>
        <w:t xml:space="preserve">A Amgen aposta no bloqueio. O anticorpo contra o receptor de GIP faz, ao mesmo tempo, com que a molécula permaneça muito tempo no sangue – anticorpos são degradados lentamente. Em camundongos e macacos com excesso de peso, o AMG 133 reduziu o peso corporal e melhorou parâmetros metabólicos</w:t>
      </w:r>
      <w:r>
        <w:rPr>
          <w:rStyle w:val="FootnoteReference"/>
        </w:rPr>
        <w:footnoteReference w:id="730"/>
      </w:r>
      <w:r>
        <w:t xml:space="preserve">. O desenvolvimento químico até a molécula final foi descrito em 2026</w:t>
      </w:r>
      <w:r>
        <w:rPr>
          <w:rStyle w:val="FootnoteReference"/>
        </w:rPr>
        <w:footnoteReference w:id="731"/>
      </w:r>
      <w:r>
        <w:t xml:space="preserve">.</w:t>
      </w:r>
    </w:p>
    <w:bookmarkEnd w:id="732"/>
    <w:bookmarkStart w:id="737" w:name="estudos-em-humanos-10"/>
    <w:p>
      <w:pPr>
        <w:pStyle w:val="Heading3"/>
      </w:pPr>
      <w:r>
        <w:t xml:space="preserve">Estudos em humanos</w:t>
      </w:r>
    </w:p>
    <w:p>
      <w:pPr>
        <w:pStyle w:val="FirstParagraph"/>
      </w:pPr>
      <w:r>
        <w:rPr>
          <w:bCs/>
          <w:b/>
        </w:rPr>
        <w:t xml:space="preserve">Dimensão da base de estudos:</w:t>
      </w:r>
      <w:r>
        <w:t xml:space="preserve"> </w:t>
      </w:r>
      <w:r>
        <w:t xml:space="preserve">a consulta automatizada ao PubMed (outubro de 2026) encontrou 2 estudos em humanos: um estudo de fase 1 e um de fase 2. No ClinicalTrials.gov havia 28 estudos registrados, entre eles o programa de fase 3</w:t>
      </w:r>
      <w:r>
        <w:t xml:space="preserve"> </w:t>
      </w:r>
      <w:r>
        <w:rPr>
          <w:bCs/>
          <w:b/>
        </w:rPr>
        <w:t xml:space="preserve">MARITIME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Fase 1 (Véniant 2024), PMID 38316982</w:t>
            </w:r>
          </w:p>
        </w:tc>
        <w:tc>
          <w:tcPr/>
          <w:p>
            <w:pPr>
              <w:pStyle w:val="Compact"/>
              <w:jc w:val="left"/>
            </w:pPr>
            <w:r>
              <w:t xml:space="preserve">adultos com obesidade, doses únicas e múltiplas contra placebo</w:t>
            </w:r>
          </w:p>
        </w:tc>
        <w:tc>
          <w:tcPr/>
          <w:p>
            <w:pPr>
              <w:pStyle w:val="Compact"/>
              <w:jc w:val="left"/>
            </w:pPr>
            <w:r>
              <w:t xml:space="preserve">administração única e múltipla com acompanhamento</w:t>
            </w:r>
          </w:p>
        </w:tc>
        <w:tc>
          <w:tcPr/>
          <w:p>
            <w:pPr>
              <w:pStyle w:val="Compact"/>
              <w:jc w:val="left"/>
            </w:pPr>
            <w:r>
              <w:t xml:space="preserve">perda de peso dependente da dose, mantida até 150 dias após a última dose</w:t>
            </w:r>
          </w:p>
        </w:tc>
      </w:tr>
      <w:tr>
        <w:tc>
          <w:tcPr/>
          <w:p>
            <w:pPr>
              <w:pStyle w:val="Compact"/>
              <w:jc w:val="left"/>
            </w:pPr>
            <w:r>
              <w:t xml:space="preserve">Fase 2 (Jastreboff 2025), PMID 40549887</w:t>
            </w:r>
          </w:p>
        </w:tc>
        <w:tc>
          <w:tcPr/>
          <w:p>
            <w:pPr>
              <w:pStyle w:val="Compact"/>
              <w:jc w:val="left"/>
            </w:pPr>
            <w:r>
              <w:t xml:space="preserve">592 adultos com obesidade, com ou sem diabetes tipo 2; contra placebo</w:t>
            </w:r>
          </w:p>
        </w:tc>
        <w:tc>
          <w:tcPr/>
          <w:p>
            <w:pPr>
              <w:pStyle w:val="Compact"/>
              <w:jc w:val="left"/>
            </w:pPr>
            <w:r>
              <w:t xml:space="preserve">52 semanas</w:t>
            </w:r>
          </w:p>
        </w:tc>
        <w:tc>
          <w:tcPr/>
          <w:p>
            <w:pPr>
              <w:pStyle w:val="Compact"/>
              <w:jc w:val="left"/>
            </w:pPr>
            <w:r>
              <w:t xml:space="preserve">sem diabetes −12,3 a −16,2% vs. −2,5%; com diabetes −8,4 a −12,3% vs. −1,7%</w:t>
            </w:r>
          </w:p>
        </w:tc>
      </w:tr>
    </w:tbl>
    <w:bookmarkStart w:id="734" w:name="fase-1"/>
    <w:p>
      <w:pPr>
        <w:pStyle w:val="Heading4"/>
      </w:pPr>
      <w:r>
        <w:t xml:space="preserve">Fase 1</w:t>
      </w:r>
    </w:p>
    <w:p>
      <w:pPr>
        <w:pStyle w:val="FirstParagraph"/>
      </w:pPr>
      <w:r>
        <w:t xml:space="preserve">No primeiro estudo em humanos</w:t>
      </w:r>
      <w:r>
        <w:rPr>
          <w:rStyle w:val="FootnoteReference"/>
        </w:rPr>
        <w:footnoteReference w:id="733"/>
      </w:r>
      <w:r>
        <w:t xml:space="preserve">, o AMG 133 mostrou uma perda de peso dependente da dose com tolerabilidade aceitável. Chamou atenção a longa duração do efeito: nos grupos com administração múltipla, a perda de peso se manteve até 150 dias após a última dose.</w:t>
      </w:r>
    </w:p>
    <w:bookmarkEnd w:id="734"/>
    <w:bookmarkStart w:id="736" w:name="fase-2"/>
    <w:p>
      <w:pPr>
        <w:pStyle w:val="Heading4"/>
      </w:pPr>
      <w:r>
        <w:t xml:space="preserve">Fase 2</w:t>
      </w:r>
    </w:p>
    <w:p>
      <w:pPr>
        <w:pStyle w:val="FirstParagraph"/>
      </w:pPr>
      <w:r>
        <w:t xml:space="preserve">O estudo de fase 2</w:t>
      </w:r>
      <w:r>
        <w:rPr>
          <w:rStyle w:val="FootnoteReference"/>
        </w:rPr>
        <w:footnoteReference w:id="735"/>
      </w:r>
      <w:r>
        <w:t xml:space="preserve"> </w:t>
      </w:r>
      <w:r>
        <w:t xml:space="preserve">teve um desenho amplo: onze grupos em duas coortes, com diferentes doses, intervalos de administração (a cada quatro ou oito semanas) e com ou sem escalonamento lento da dose.</w:t>
      </w:r>
    </w:p>
    <w:p>
      <w:pPr>
        <w:numPr>
          <w:ilvl w:val="0"/>
          <w:numId w:val="1091"/>
        </w:numPr>
        <w:pStyle w:val="Compact"/>
      </w:pPr>
      <w:r>
        <w:rPr>
          <w:bCs/>
          <w:b/>
        </w:rPr>
        <w:t xml:space="preserve">Sem diabetes</w:t>
      </w:r>
      <w:r>
        <w:t xml:space="preserve"> </w:t>
      </w:r>
      <w:r>
        <w:t xml:space="preserve">(465 participantes, IMC médio de 37,9): após 52 semanas, a perda de peso foi, conforme o grupo, de 12,3 a 16,2%; com placebo, 2,5%. Essa análise considera todos os participantes, independentemente de interrupções do tratamento.</w:t>
      </w:r>
    </w:p>
    <w:p>
      <w:pPr>
        <w:numPr>
          <w:ilvl w:val="0"/>
          <w:numId w:val="1091"/>
        </w:numPr>
        <w:pStyle w:val="Compact"/>
      </w:pPr>
      <w:r>
        <w:rPr>
          <w:bCs/>
          <w:b/>
        </w:rPr>
        <w:t xml:space="preserve">Com diabetes tipo 2</w:t>
      </w:r>
      <w:r>
        <w:t xml:space="preserve"> </w:t>
      </w:r>
      <w:r>
        <w:t xml:space="preserve">(127 participantes): perda de peso de 8,4 a 12,3% contra 1,7%; a HbA1c caiu 1,2 a 1,6 ponto percentual (placebo +0,1).</w:t>
      </w:r>
    </w:p>
    <w:p>
      <w:pPr>
        <w:pStyle w:val="FirstParagraph"/>
      </w:pPr>
      <w:r>
        <w:t xml:space="preserve">Efeitos colaterais gastrointestinais foram frequentes, mas menos frequentes quando se começava com uma dose mais baixa e se aumentava lentamente. Segundo as autoras e autores, não surgiram sinais de segurança inesperados. Uma perda de peso de cerca de 16% após um ano está na faixa da semaglutida, mas abaixo da tirzepatida. A possível vantagem do MariTide é, portanto, menos a magnitude da perda e mais a administração pouco frequente.</w:t>
      </w:r>
    </w:p>
    <w:bookmarkEnd w:id="736"/>
    <w:bookmarkEnd w:id="737"/>
    <w:bookmarkStart w:id="740" w:name="estudos-em-animais-e-em-laboratório-10"/>
    <w:p>
      <w:pPr>
        <w:pStyle w:val="Heading3"/>
      </w:pPr>
      <w:r>
        <w:t xml:space="preserve">Estudos em animais e em laboratório</w:t>
      </w:r>
    </w:p>
    <w:p>
      <w:pPr>
        <w:pStyle w:val="FirstParagraph"/>
      </w:pPr>
      <w:r>
        <w:t xml:space="preserve">Em sistemas celulares, confirmou-se que o AMG 133 bloqueia o receptor de GIP e ativa o receptor de GLP-1. Em camundongos e macacos cinomolgos com excesso de peso, reduziu o peso corporal e melhorou marcadores metabólicos</w:t>
      </w:r>
      <w:r>
        <w:rPr>
          <w:rStyle w:val="FootnoteReference"/>
        </w:rPr>
        <w:footnoteReference w:id="738"/>
      </w:r>
      <w:r>
        <w:t xml:space="preserve">. Estudos comparativos em camundongos sobre bloqueio de GIP versus ativação de GIP mostram efeitos diferentes sobre a sensibilidade à insulina e o tecido adiposo</w:t>
      </w:r>
      <w:r>
        <w:rPr>
          <w:rStyle w:val="FootnoteReference"/>
        </w:rPr>
        <w:footnoteReference w:id="739"/>
      </w:r>
      <w:r>
        <w:t xml:space="preserve">. Todos esses achados vêm de experimentos com animais.</w:t>
      </w:r>
    </w:p>
    <w:bookmarkEnd w:id="740"/>
    <w:bookmarkStart w:id="744" w:name="riscos-e-efeitos-colaterais-10"/>
    <w:p>
      <w:pPr>
        <w:pStyle w:val="Heading3"/>
      </w:pPr>
      <w:r>
        <w:t xml:space="preserve">Riscos e efeitos colaterais</w:t>
      </w:r>
    </w:p>
    <w:p>
      <w:pPr>
        <w:pStyle w:val="FirstParagraph"/>
      </w:pPr>
      <w:r>
        <w:rPr>
          <w:bCs/>
          <w:b/>
        </w:rPr>
        <w:t xml:space="preserve">Comprovados em estudos:</w:t>
      </w:r>
    </w:p>
    <w:p>
      <w:pPr>
        <w:numPr>
          <w:ilvl w:val="0"/>
          <w:numId w:val="1092"/>
        </w:numPr>
        <w:pStyle w:val="Compact"/>
      </w:pPr>
      <w:r>
        <w:rPr>
          <w:bCs/>
          <w:b/>
        </w:rPr>
        <w:t xml:space="preserve">Queixas gastrointestinais</w:t>
      </w:r>
      <w:r>
        <w:t xml:space="preserve"> </w:t>
      </w:r>
      <w:r>
        <w:t xml:space="preserve">(náusea, vômitos) foram frequentes no estudo de fase 2, sobretudo com dose inicial alta sem escalonamento</w:t>
      </w:r>
      <w:r>
        <w:rPr>
          <w:rStyle w:val="FootnoteReference"/>
        </w:rPr>
        <w:footnoteReference w:id="741"/>
      </w:r>
      <w:r>
        <w:t xml:space="preserve">. Percentuais exatos não constam do resumo.</w:t>
      </w:r>
    </w:p>
    <w:p>
      <w:pPr>
        <w:pStyle w:val="FirstParagraph"/>
      </w:pPr>
      <w:r>
        <w:rPr>
          <w:bCs/>
          <w:b/>
        </w:rPr>
        <w:t xml:space="preserve">Questões específicas em aberto:</w:t>
      </w:r>
    </w:p>
    <w:p>
      <w:pPr>
        <w:numPr>
          <w:ilvl w:val="0"/>
          <w:numId w:val="1093"/>
        </w:numPr>
        <w:pStyle w:val="Compact"/>
      </w:pPr>
      <w:r>
        <w:rPr>
          <w:bCs/>
          <w:b/>
        </w:rPr>
        <w:t xml:space="preserve">Longa duração do efeito:</w:t>
      </w:r>
      <w:r>
        <w:t xml:space="preserve"> </w:t>
      </w:r>
      <w:r>
        <w:t xml:space="preserve">o que para muitos pacientes é considerado uma vantagem é uma desvantagem em caso de efeitos colaterais: um medicamento que permanece meses no corpo não pode ser suspenso rapidamente. No estudo de fase 1, o efeito se manteve até 150 dias após a última dose</w:t>
      </w:r>
      <w:r>
        <w:rPr>
          <w:rStyle w:val="FootnoteReference"/>
        </w:rPr>
        <w:footnoteReference w:id="742"/>
      </w:r>
      <w:r>
        <w:t xml:space="preserve">. Isso é relevante, por exemplo, em uma gravidez não planejada ou antes de cirurgias.</w:t>
      </w:r>
    </w:p>
    <w:p>
      <w:pPr>
        <w:numPr>
          <w:ilvl w:val="0"/>
          <w:numId w:val="1093"/>
        </w:numPr>
        <w:pStyle w:val="Compact"/>
      </w:pPr>
      <w:r>
        <w:rPr>
          <w:bCs/>
          <w:b/>
        </w:rPr>
        <w:t xml:space="preserve">Bloqueio de GIP:</w:t>
      </w:r>
      <w:r>
        <w:t xml:space="preserve"> </w:t>
      </w:r>
      <w:r>
        <w:t xml:space="preserve">quais consequências de longo prazo tem um bloqueio permanente do receptor de GIP – por exemplo, sobre ossos, tecido adiposo ou sensibilidade à insulina – é desconhecido em humanos. Em estudos com camundongos, um antagonista de GIP reduziu a sensibilidade à insulina em comparação com animais de controle com a mesma quantidade de ração</w:t>
      </w:r>
      <w:r>
        <w:rPr>
          <w:rStyle w:val="FootnoteReference"/>
        </w:rPr>
        <w:footnoteReference w:id="743"/>
      </w:r>
      <w:r>
        <w:t xml:space="preserve">.</w:t>
      </w:r>
    </w:p>
    <w:p>
      <w:pPr>
        <w:numPr>
          <w:ilvl w:val="0"/>
          <w:numId w:val="1093"/>
        </w:numPr>
        <w:pStyle w:val="Compact"/>
      </w:pPr>
      <w:r>
        <w:rPr>
          <w:bCs/>
          <w:b/>
        </w:rPr>
        <w:t xml:space="preserve">Formação de anticorpos:</w:t>
      </w:r>
      <w:r>
        <w:t xml:space="preserve"> </w:t>
      </w:r>
      <w:r>
        <w:t xml:space="preserve">com medicamentos à base de anticorpos, o sistema imunológico pode formar anticorpos contra o medicamento. Dados de grandes estudos sobre isso estão pendentes.</w:t>
      </w:r>
    </w:p>
    <w:p>
      <w:pPr>
        <w:numPr>
          <w:ilvl w:val="0"/>
          <w:numId w:val="1093"/>
        </w:numPr>
        <w:pStyle w:val="Compact"/>
      </w:pPr>
      <w:r>
        <w:t xml:space="preserve">Os riscos de classe conhecidos dos medicamentos GLP-1 (vesícula biliar, pâncreas) ainda não foram suficientemente estudados para o MariTide.</w:t>
      </w:r>
    </w:p>
    <w:bookmarkEnd w:id="744"/>
    <w:bookmarkStart w:id="745" w:name="situação-legal-10"/>
    <w:p>
      <w:pPr>
        <w:pStyle w:val="Heading3"/>
      </w:pPr>
      <w:r>
        <w:t xml:space="preserve">Situação legal</w:t>
      </w:r>
    </w:p>
    <w:p>
      <w:pPr>
        <w:numPr>
          <w:ilvl w:val="0"/>
          <w:numId w:val="1094"/>
        </w:numPr>
        <w:pStyle w:val="Compact"/>
      </w:pPr>
      <w:r>
        <w:rPr>
          <w:bCs/>
          <w:b/>
        </w:rPr>
        <w:t xml:space="preserve">UE / Áustria / Alemanha:</w:t>
      </w:r>
      <w:r>
        <w:t xml:space="preserve"> </w:t>
      </w:r>
      <w:r>
        <w:t xml:space="preserve">não aprovado; uso apenas em estudos clínicos. Como se trata de um produto biotecnológico complexo, uma imitação no mercado cinza é bem mais difícil do que no caso de peptídeos pequenos.</w:t>
      </w:r>
    </w:p>
    <w:p>
      <w:pPr>
        <w:numPr>
          <w:ilvl w:val="0"/>
          <w:numId w:val="1094"/>
        </w:numPr>
        <w:pStyle w:val="Compact"/>
      </w:pPr>
      <w:r>
        <w:rPr>
          <w:bCs/>
          <w:b/>
        </w:rPr>
        <w:t xml:space="preserve">EUA:</w:t>
      </w:r>
      <w:r>
        <w:t xml:space="preserve"> </w:t>
      </w:r>
      <w:r>
        <w:t xml:space="preserve">não aprovado.</w:t>
      </w:r>
    </w:p>
    <w:p>
      <w:pPr>
        <w:numPr>
          <w:ilvl w:val="0"/>
          <w:numId w:val="1094"/>
        </w:numPr>
        <w:pStyle w:val="Compact"/>
      </w:pPr>
      <w:r>
        <w:rPr>
          <w:bCs/>
          <w:b/>
        </w:rPr>
        <w:t xml:space="preserve">Esporte:</w:t>
      </w:r>
      <w:r>
        <w:t xml:space="preserve"> </w:t>
      </w:r>
      <w:r>
        <w:t xml:space="preserve">classe S0 da WADA (substância não aprovada), situação em 2026, verificar atualização.</w:t>
      </w:r>
    </w:p>
    <w:bookmarkEnd w:id="745"/>
    <w:bookmarkStart w:id="757" w:name="estudos-em-andamento-e-perspectivas-10"/>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095"/>
        </w:numPr>
        <w:pStyle w:val="Compact"/>
      </w:pPr>
      <w:r>
        <w:rPr>
          <w:bCs/>
          <w:b/>
        </w:rPr>
        <w:t xml:space="preserve">Controle de peso sem diabetes</w:t>
      </w:r>
      <w:r>
        <w:rPr>
          <w:rStyle w:val="FootnoteReference"/>
        </w:rPr>
        <w:footnoteReference w:id="746"/>
      </w:r>
      <w:r>
        <w:t xml:space="preserve">: fase 3 com 3.853 participantes, término previsto em 2027.</w:t>
      </w:r>
    </w:p>
    <w:p>
      <w:pPr>
        <w:numPr>
          <w:ilvl w:val="0"/>
          <w:numId w:val="1095"/>
        </w:numPr>
        <w:pStyle w:val="Compact"/>
      </w:pPr>
      <w:r>
        <w:rPr>
          <w:bCs/>
          <w:b/>
        </w:rPr>
        <w:t xml:space="preserve">Controle de peso com diabetes tipo 2</w:t>
      </w:r>
      <w:r>
        <w:rPr>
          <w:rStyle w:val="FootnoteReference"/>
        </w:rPr>
        <w:footnoteReference w:id="747"/>
      </w:r>
      <w:r>
        <w:t xml:space="preserve">: fase 3 com 1.105 participantes.</w:t>
      </w:r>
    </w:p>
    <w:p>
      <w:pPr>
        <w:numPr>
          <w:ilvl w:val="0"/>
          <w:numId w:val="1095"/>
        </w:numPr>
        <w:pStyle w:val="Compact"/>
      </w:pPr>
      <w:r>
        <w:rPr>
          <w:bCs/>
          <w:b/>
        </w:rPr>
        <w:t xml:space="preserve">Estudo de desfechos cardiovasculares</w:t>
      </w:r>
      <w:r>
        <w:rPr>
          <w:rStyle w:val="FootnoteReference"/>
        </w:rPr>
        <w:footnoteReference w:id="748"/>
      </w:r>
      <w:r>
        <w:t xml:space="preserve"> </w:t>
      </w:r>
      <w:r>
        <w:t xml:space="preserve">com 12.800 participantes e</w:t>
      </w:r>
      <w:r>
        <w:t xml:space="preserve"> </w:t>
      </w:r>
      <w:r>
        <w:rPr>
          <w:bCs/>
          <w:b/>
        </w:rPr>
        <w:t xml:space="preserve">estudo de insuficiência cardíaca</w:t>
      </w:r>
      <w:r>
        <w:rPr>
          <w:rStyle w:val="FootnoteReference"/>
        </w:rPr>
        <w:footnoteReference w:id="749"/>
      </w:r>
      <w:r>
        <w:t xml:space="preserve"> </w:t>
      </w:r>
      <w:r>
        <w:t xml:space="preserve">com 5.056 participantes, ambos até 2030.</w:t>
      </w:r>
    </w:p>
    <w:p>
      <w:pPr>
        <w:numPr>
          <w:ilvl w:val="0"/>
          <w:numId w:val="1095"/>
        </w:numPr>
        <w:pStyle w:val="Compact"/>
      </w:pPr>
      <w:r>
        <w:rPr>
          <w:bCs/>
          <w:b/>
        </w:rPr>
        <w:t xml:space="preserve">Apneia do sono</w:t>
      </w:r>
      <w:r>
        <w:t xml:space="preserve"> </w:t>
      </w:r>
      <w:r>
        <w:t xml:space="preserve">sem e com máscara respiratória</w:t>
      </w:r>
      <w:r>
        <w:rPr>
          <w:rStyle w:val="FootnoteReference"/>
        </w:rPr>
        <w:footnoteReference w:id="750"/>
      </w:r>
      <w:r>
        <w:t xml:space="preserve">.</w:t>
      </w:r>
    </w:p>
    <w:p>
      <w:pPr>
        <w:numPr>
          <w:ilvl w:val="0"/>
          <w:numId w:val="1095"/>
        </w:numPr>
        <w:pStyle w:val="Compact"/>
      </w:pPr>
      <w:r>
        <w:rPr>
          <w:bCs/>
          <w:b/>
        </w:rPr>
        <w:t xml:space="preserve">Comparação com semaglutida</w:t>
      </w:r>
      <w:r>
        <w:t xml:space="preserve"> </w:t>
      </w:r>
      <w:r>
        <w:t xml:space="preserve">no diabetes tipo 2</w:t>
      </w:r>
      <w:r>
        <w:rPr>
          <w:rStyle w:val="FootnoteReference"/>
        </w:rPr>
        <w:footnoteReference w:id="751"/>
      </w:r>
      <w:r>
        <w:t xml:space="preserve">, troca a partir de outros medicamentos GLP-1</w:t>
      </w:r>
      <w:r>
        <w:rPr>
          <w:rStyle w:val="FootnoteReference"/>
        </w:rPr>
        <w:footnoteReference w:id="752"/>
      </w:r>
      <w:r>
        <w:t xml:space="preserve">, Japão</w:t>
      </w:r>
      <w:r>
        <w:rPr>
          <w:rStyle w:val="FootnoteReference"/>
        </w:rPr>
        <w:footnoteReference w:id="753"/>
      </w:r>
      <w:r>
        <w:t xml:space="preserve">, fígado gorduroso (NCT07441252, fase 2).</w:t>
      </w:r>
    </w:p>
    <w:p>
      <w:pPr>
        <w:numPr>
          <w:ilvl w:val="0"/>
          <w:numId w:val="1095"/>
        </w:numPr>
        <w:pStyle w:val="Compact"/>
      </w:pPr>
      <w:r>
        <w:t xml:space="preserve">Estudos de fase 1 sobre esvaziamento gástrico</w:t>
      </w:r>
      <w:r>
        <w:rPr>
          <w:rStyle w:val="FootnoteReference"/>
        </w:rPr>
        <w:footnoteReference w:id="754"/>
      </w:r>
      <w:r>
        <w:t xml:space="preserve">, ritmo cardíaco</w:t>
      </w:r>
      <w:r>
        <w:rPr>
          <w:rStyle w:val="FootnoteReference"/>
        </w:rPr>
        <w:footnoteReference w:id="755"/>
      </w:r>
      <w:r>
        <w:t xml:space="preserve"> </w:t>
      </w:r>
      <w:r>
        <w:t xml:space="preserve">e interações com a pílula anticoncepcional</w:t>
      </w:r>
      <w:r>
        <w:rPr>
          <w:rStyle w:val="FootnoteReference"/>
        </w:rPr>
        <w:footnoteReference w:id="756"/>
      </w:r>
      <w:r>
        <w:t xml:space="preserve">.</w:t>
      </w:r>
    </w:p>
    <w:p>
      <w:pPr>
        <w:pStyle w:val="FirstParagraph"/>
      </w:pPr>
      <w:r>
        <w:rPr>
          <w:bCs/>
          <w:b/>
        </w:rPr>
        <w:t xml:space="preserve">Avaliação:</w:t>
      </w:r>
      <w:r>
        <w:t xml:space="preserve"> </w:t>
      </w:r>
      <w:r>
        <w:t xml:space="preserve">o MariTide representa um conceito diferente da família da tirzepatida – menos injeções em vez de perda de peso máxima. Para pessoas que precisam de tratamento contínuo, uma administração mensal ou ainda menos frequente poderia melhorar a adesão ao tratamento. Se o conceito de bloqueio de GIP é seguro a longo prazo, os grandes estudos de fase 3 precisam mostrar. Uma aprovação é realista no mínimo a partir de 2028.</w:t>
      </w:r>
    </w:p>
    <w:bookmarkEnd w:id="757"/>
    <w:bookmarkStart w:id="758" w:name="conclusão-10"/>
    <w:p>
      <w:pPr>
        <w:pStyle w:val="Heading3"/>
      </w:pPr>
      <w:r>
        <w:t xml:space="preserve">Conclusão</w:t>
      </w:r>
    </w:p>
    <w:p>
      <w:pPr>
        <w:pStyle w:val="FirstParagraph"/>
      </w:pPr>
      <w:r>
        <w:t xml:space="preserve">A maridebarte cafraglutida é um conjugado anticorpo-peptídeo que ativa o receptor de GLP-1 e bloqueia o receptor de GIP, e é administrada apenas uma vez por mês ou com menos frequência. No estudo de fase 2, o peso corporal caiu após 52 semanas até 16,2% sem e até 12,3% com diabetes tipo 2. Queixas gastrointestinais são frequentes e dependem fortemente do escalonamento da dose; a longa duração do efeito é ao mesmo tempo vantagem e risco. O programa de fase 3, com estudos de desfechos sobre doenças cardiovasculares e insuficiência cardíaca, está em andamento.</w:t>
      </w:r>
    </w:p>
    <w:bookmarkEnd w:id="758"/>
    <w:bookmarkEnd w:id="759"/>
    <w:bookmarkStart w:id="792" w:name="pranlintida"/>
    <w:p>
      <w:pPr>
        <w:pStyle w:val="Heading2"/>
      </w:pPr>
      <w:r>
        <w:t xml:space="preserve">Pranlintida</w:t>
      </w:r>
    </w:p>
    <w:bookmarkStart w:id="760" w:name="ficha-técnica-11"/>
    <w:p>
      <w:pPr>
        <w:pStyle w:val="Heading3"/>
      </w:pPr>
      <w:r>
        <w:t xml:space="preserve">Ficha técnica</w:t>
      </w:r>
    </w:p>
    <w:p>
      <w:pPr>
        <w:numPr>
          <w:ilvl w:val="0"/>
          <w:numId w:val="1096"/>
        </w:numPr>
        <w:pStyle w:val="Compact"/>
      </w:pPr>
      <w:r>
        <w:rPr>
          <w:bCs/>
          <w:b/>
        </w:rPr>
        <w:t xml:space="preserve">Tipo/estrutura:</w:t>
      </w:r>
      <w:r>
        <w:t xml:space="preserve"> </w:t>
      </w:r>
      <w:r>
        <w:t xml:space="preserve">análogo sintético do hormônio humano amilina, com 37 aminoácidos. Em três posições, aminoácidos foram substituídos (segundo o modelo da amilina de rato), para que a molécula não se aglomere como a amilina humana natural. Age apenas por pouco tempo e é injetada antes das refeições principais.</w:t>
      </w:r>
    </w:p>
    <w:p>
      <w:pPr>
        <w:numPr>
          <w:ilvl w:val="0"/>
          <w:numId w:val="1096"/>
        </w:numPr>
        <w:pStyle w:val="Compact"/>
      </w:pPr>
      <w:r>
        <w:rPr>
          <w:bCs/>
          <w:b/>
        </w:rPr>
        <w:t xml:space="preserve">Origem:</w:t>
      </w:r>
      <w:r>
        <w:t xml:space="preserve"> </w:t>
      </w:r>
      <w:r>
        <w:t xml:space="preserve">desenvolvida pela Amylin Pharmaceuticals; hoje faz parte do portfólio da AstraZeneca. Nome comercial nos EUA: Symlin.</w:t>
      </w:r>
    </w:p>
    <w:p>
      <w:pPr>
        <w:numPr>
          <w:ilvl w:val="0"/>
          <w:numId w:val="1096"/>
        </w:numPr>
        <w:pStyle w:val="Compact"/>
      </w:pPr>
      <w:r>
        <w:rPr>
          <w:bCs/>
          <w:b/>
        </w:rPr>
        <w:t xml:space="preserve">Princípio de ação:</w:t>
      </w:r>
      <w:r>
        <w:t xml:space="preserve"> </w:t>
      </w:r>
      <w:r>
        <w:t xml:space="preserve">agonista dos receptores de amilina – retarda o esvaziamento gástrico, atenua a liberação de glucagon após as refeições e favorece a sensação de saciedade.</w:t>
      </w:r>
    </w:p>
    <w:p>
      <w:pPr>
        <w:numPr>
          <w:ilvl w:val="0"/>
          <w:numId w:val="1096"/>
        </w:numPr>
        <w:pStyle w:val="Compact"/>
      </w:pPr>
      <w:r>
        <w:rPr>
          <w:bCs/>
          <w:b/>
        </w:rPr>
        <w:t xml:space="preserve">Aprovação UE:</w:t>
      </w:r>
      <w:r>
        <w:t xml:space="preserve"> </w:t>
      </w:r>
      <w:r>
        <w:t xml:space="preserve">não – a pranlintida nunca foi aprovada na UE.</w:t>
      </w:r>
    </w:p>
    <w:p>
      <w:pPr>
        <w:numPr>
          <w:ilvl w:val="0"/>
          <w:numId w:val="1096"/>
        </w:numPr>
        <w:pStyle w:val="Compact"/>
      </w:pPr>
      <w:r>
        <w:rPr>
          <w:bCs/>
          <w:b/>
        </w:rPr>
        <w:t xml:space="preserve">Aprovação EUA:</w:t>
      </w:r>
      <w:r>
        <w:t xml:space="preserve"> </w:t>
      </w:r>
      <w:r>
        <w:t xml:space="preserve">sim, desde 2005, como complemento à insulina prandial no diabetes tipo 1 e tipo 2.</w:t>
      </w:r>
    </w:p>
    <w:p>
      <w:pPr>
        <w:numPr>
          <w:ilvl w:val="0"/>
          <w:numId w:val="1096"/>
        </w:numPr>
        <w:pStyle w:val="Compact"/>
      </w:pPr>
      <w:r>
        <w:rPr>
          <w:bCs/>
          <w:b/>
        </w:rPr>
        <w:t xml:space="preserve">WADA:</w:t>
      </w:r>
      <w:r>
        <w:t xml:space="preserve"> </w:t>
      </w:r>
      <w:r>
        <w:t xml:space="preserve">não listada nominalmente; devido à aprovação nos EUA, não se enquadra na S0.</w:t>
      </w:r>
    </w:p>
    <w:p>
      <w:pPr>
        <w:numPr>
          <w:ilvl w:val="0"/>
          <w:numId w:val="1096"/>
        </w:numPr>
        <w:pStyle w:val="Compact"/>
      </w:pPr>
      <w:r>
        <w:rPr>
          <w:bCs/>
          <w:b/>
        </w:rPr>
        <w:t xml:space="preserve">Nível de evidência:</w:t>
      </w:r>
      <w:r>
        <w:t xml:space="preserve"> </w:t>
      </w:r>
      <w:r>
        <w:rPr>
          <w:bCs/>
          <w:b/>
        </w:rPr>
        <w:t xml:space="preserve">A</w:t>
      </w:r>
      <w:r>
        <w:t xml:space="preserve"> </w:t>
      </w:r>
      <w:r>
        <w:t xml:space="preserve">– vários grandes estudos randomizados, aprovação nos EUA.</w:t>
      </w:r>
    </w:p>
    <w:bookmarkEnd w:id="760"/>
    <w:bookmarkStart w:id="762" w:name="como-deveria-agir-11"/>
    <w:p>
      <w:pPr>
        <w:pStyle w:val="Heading3"/>
      </w:pPr>
      <w:r>
        <w:t xml:space="preserve">Como deveria agir</w:t>
      </w:r>
    </w:p>
    <w:p>
      <w:pPr>
        <w:pStyle w:val="FirstParagraph"/>
      </w:pPr>
      <w:r>
        <w:t xml:space="preserve">As células beta do pâncreas não liberam apenas insulina, mas, no mesmo ritmo, também amilina. No diabetes tipo 1, as células beta estão destruídas – faltam, portanto, os dois hormônios, mas em geral apenas a insulina é reposta. Também no diabetes tipo 2 avançado a liberação de amilina está reduzida.</w:t>
      </w:r>
    </w:p>
    <w:p>
      <w:pPr>
        <w:pStyle w:val="BodyText"/>
      </w:pPr>
      <w:r>
        <w:t xml:space="preserve">Após as refeições, a amilina age em três direções: retarda o esvaziamento gástrico, de modo que o açúcar chega mais devagar ao sangue; atenua a liberação de glucagon, que no diabetes costuma ser inadequadamente alta após as refeições; e favorece, pelo tronco encefálico, a sensação de saciedade. A pranlintida deveria repor esse efeito ausente e assim suavizar os picos de glicemia após as refeições. Que ela retarda o esvaziamento gástrico foi mostrado, entre outros, em um pequeno estudo com doze pessoas com diabetes tipo 1 e tipo 2: o tempo até que metade de uma refeição sólida deixasse o estômago aumentou de 91 para 268 a 329 minutos</w:t>
      </w:r>
      <w:r>
        <w:rPr>
          <w:rStyle w:val="FootnoteReference"/>
        </w:rPr>
        <w:footnoteReference w:id="761"/>
      </w:r>
      <w:r>
        <w:t xml:space="preserve">.</w:t>
      </w:r>
    </w:p>
    <w:p>
      <w:pPr>
        <w:pStyle w:val="BodyText"/>
      </w:pPr>
      <w:r>
        <w:t xml:space="preserve">A pranlintida tem importância histórica: foi o primeiro medicamento à base de amilina e é considerada precursora das atuais substâncias de amilina de ação prolongada, como a cagrilintida e a amicretina (veja esses capítulos). Sua grande desvantagem prática é a curta duração do efeito, que exige várias injeções por dia.</w:t>
      </w:r>
    </w:p>
    <w:bookmarkEnd w:id="762"/>
    <w:bookmarkStart w:id="777" w:name="estudos-em-humanos-11"/>
    <w:p>
      <w:pPr>
        <w:pStyle w:val="Heading3"/>
      </w:pPr>
      <w:r>
        <w:t xml:space="preserve">Estudos em humanos</w:t>
      </w:r>
    </w:p>
    <w:p>
      <w:pPr>
        <w:pStyle w:val="FirstParagraph"/>
      </w:pPr>
      <w:r>
        <w:rPr>
          <w:bCs/>
          <w:b/>
        </w:rPr>
        <w:t xml:space="preserve">Dimensão da base de estudos:</w:t>
      </w:r>
      <w:r>
        <w:t xml:space="preserve"> </w:t>
      </w:r>
      <w:r>
        <w:t xml:space="preserve">a consulta automatizada ao PubMed (outubro de 2026) encontrou 76 estudos em humanos, predominantemente dos anos de 1996 a 2010, além de algumas metanálises. No ClinicalTrials.gov havia 64 estudos registrados, quase todos concluídos; estudos novos dizem respeito sobretudo a</w:t>
      </w:r>
      <w:r>
        <w:t xml:space="preserve"> </w:t>
      </w:r>
      <w:r>
        <w:t xml:space="preserve">“</w:t>
      </w:r>
      <w:r>
        <w:t xml:space="preserve">pâncreas artificiais</w:t>
      </w:r>
      <w:r>
        <w:t xml:space="preserve">”</w:t>
      </w:r>
      <w:r>
        <w:t xml:space="preserve"> </w:t>
      </w:r>
      <w:r>
        <w:t xml:space="preserve">e à pesquisa sobre enxaqueca.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Whitehouse 2002, PMID 11919132</w:t>
            </w:r>
          </w:p>
        </w:tc>
        <w:tc>
          <w:tcPr/>
          <w:p>
            <w:pPr>
              <w:pStyle w:val="Compact"/>
              <w:jc w:val="left"/>
            </w:pPr>
            <w:r>
              <w:t xml:space="preserve">480 adultos com diabetes tipo 1, contra placebo</w:t>
            </w:r>
          </w:p>
        </w:tc>
        <w:tc>
          <w:tcPr/>
          <w:p>
            <w:pPr>
              <w:pStyle w:val="Compact"/>
              <w:jc w:val="left"/>
            </w:pPr>
            <w:r>
              <w:t xml:space="preserve">52 semanas (+1 ano aberto)</w:t>
            </w:r>
          </w:p>
        </w:tc>
        <w:tc>
          <w:tcPr/>
          <w:p>
            <w:pPr>
              <w:pStyle w:val="Compact"/>
              <w:jc w:val="left"/>
            </w:pPr>
            <w:r>
              <w:t xml:space="preserve">HbA1c −0,67 vs. −0,16 após 13 semanas; perda de peso em vez de ganho</w:t>
            </w:r>
          </w:p>
        </w:tc>
      </w:tr>
      <w:tr>
        <w:tc>
          <w:tcPr/>
          <w:p>
            <w:pPr>
              <w:pStyle w:val="Compact"/>
              <w:jc w:val="left"/>
            </w:pPr>
            <w:r>
              <w:t xml:space="preserve">Ratner 2004, PMID 15498087</w:t>
            </w:r>
          </w:p>
        </w:tc>
        <w:tc>
          <w:tcPr/>
          <w:p>
            <w:pPr>
              <w:pStyle w:val="Compact"/>
              <w:jc w:val="left"/>
            </w:pPr>
            <w:r>
              <w:t xml:space="preserve">651 adultos com diabetes tipo 1, contra placebo</w:t>
            </w:r>
          </w:p>
        </w:tc>
        <w:tc>
          <w:tcPr/>
          <w:p>
            <w:pPr>
              <w:pStyle w:val="Compact"/>
              <w:jc w:val="left"/>
            </w:pPr>
            <w:r>
              <w:t xml:space="preserve">52 semanas</w:t>
            </w:r>
          </w:p>
        </w:tc>
        <w:tc>
          <w:tcPr/>
          <w:p>
            <w:pPr>
              <w:pStyle w:val="Compact"/>
              <w:jc w:val="left"/>
            </w:pPr>
            <w:r>
              <w:t xml:space="preserve">HbA1c −0,29 a −0,34 vs. −0,04; peso −0,4 kg vs. +0,8 kg</w:t>
            </w:r>
          </w:p>
        </w:tc>
      </w:tr>
      <w:tr>
        <w:tc>
          <w:tcPr/>
          <w:p>
            <w:pPr>
              <w:pStyle w:val="Compact"/>
              <w:jc w:val="left"/>
            </w:pPr>
            <w:r>
              <w:t xml:space="preserve">Hollander 2003, PMID 12610038</w:t>
            </w:r>
          </w:p>
        </w:tc>
        <w:tc>
          <w:tcPr/>
          <w:p>
            <w:pPr>
              <w:pStyle w:val="Compact"/>
              <w:jc w:val="left"/>
            </w:pPr>
            <w:r>
              <w:t xml:space="preserve">656 adultos com diabetes tipo 2 tratado com insulina, contra placebo</w:t>
            </w:r>
          </w:p>
        </w:tc>
        <w:tc>
          <w:tcPr/>
          <w:p>
            <w:pPr>
              <w:pStyle w:val="Compact"/>
              <w:jc w:val="left"/>
            </w:pPr>
            <w:r>
              <w:t xml:space="preserve">52 semanas</w:t>
            </w:r>
          </w:p>
        </w:tc>
        <w:tc>
          <w:tcPr/>
          <w:p>
            <w:pPr>
              <w:pStyle w:val="Compact"/>
              <w:jc w:val="left"/>
            </w:pPr>
            <w:r>
              <w:t xml:space="preserve">HbA1c −0,62 (semana 52); peso −1,4 kg vs. +0,7 kg</w:t>
            </w:r>
          </w:p>
        </w:tc>
      </w:tr>
      <w:tr>
        <w:tc>
          <w:tcPr/>
          <w:p>
            <w:pPr>
              <w:pStyle w:val="Compact"/>
              <w:jc w:val="left"/>
            </w:pPr>
            <w:r>
              <w:t xml:space="preserve">Edelman 2006, PMID 17003291</w:t>
            </w:r>
          </w:p>
        </w:tc>
        <w:tc>
          <w:tcPr/>
          <w:p>
            <w:pPr>
              <w:pStyle w:val="Compact"/>
              <w:jc w:val="left"/>
            </w:pPr>
            <w:r>
              <w:t xml:space="preserve">296 adultos com diabetes tipo 1, insulinoterapia intensificada</w:t>
            </w:r>
          </w:p>
        </w:tc>
        <w:tc>
          <w:tcPr/>
          <w:p>
            <w:pPr>
              <w:pStyle w:val="Compact"/>
              <w:jc w:val="left"/>
            </w:pPr>
            <w:r>
              <w:t xml:space="preserve">29 semanas</w:t>
            </w:r>
          </w:p>
        </w:tc>
        <w:tc>
          <w:tcPr/>
          <w:p>
            <w:pPr>
              <w:pStyle w:val="Compact"/>
              <w:jc w:val="left"/>
            </w:pPr>
            <w:r>
              <w:t xml:space="preserve">HbA1c igual (−0,5 ambos); peso −1,3 vs. +1,2 kg; insulina −28%</w:t>
            </w:r>
          </w:p>
        </w:tc>
      </w:tr>
      <w:tr>
        <w:tc>
          <w:tcPr/>
          <w:p>
            <w:pPr>
              <w:pStyle w:val="Compact"/>
              <w:jc w:val="left"/>
            </w:pPr>
            <w:r>
              <w:t xml:space="preserve">Riddle 2007, PMID 17698615</w:t>
            </w:r>
          </w:p>
        </w:tc>
        <w:tc>
          <w:tcPr/>
          <w:p>
            <w:pPr>
              <w:pStyle w:val="Compact"/>
              <w:jc w:val="left"/>
            </w:pPr>
            <w:r>
              <w:t xml:space="preserve">212 adultos com diabetes tipo 2 e insulina basal, contra placebo</w:t>
            </w:r>
          </w:p>
        </w:tc>
        <w:tc>
          <w:tcPr/>
          <w:p>
            <w:pPr>
              <w:pStyle w:val="Compact"/>
              <w:jc w:val="left"/>
            </w:pPr>
            <w:r>
              <w:t xml:space="preserve">16 semanas</w:t>
            </w:r>
          </w:p>
        </w:tc>
        <w:tc>
          <w:tcPr/>
          <w:p>
            <w:pPr>
              <w:pStyle w:val="Compact"/>
              <w:jc w:val="left"/>
            </w:pPr>
            <w:r>
              <w:t xml:space="preserve">HbA1c −0,70 vs. −0,36; peso −1,6 vs. +0,7 kg</w:t>
            </w:r>
          </w:p>
        </w:tc>
      </w:tr>
      <w:tr>
        <w:tc>
          <w:tcPr/>
          <w:p>
            <w:pPr>
              <w:pStyle w:val="Compact"/>
              <w:jc w:val="left"/>
            </w:pPr>
            <w:r>
              <w:t xml:space="preserve">Smith 2008, PMID 18753666</w:t>
            </w:r>
          </w:p>
        </w:tc>
        <w:tc>
          <w:tcPr/>
          <w:p>
            <w:pPr>
              <w:pStyle w:val="Compact"/>
              <w:jc w:val="left"/>
            </w:pPr>
            <w:r>
              <w:t xml:space="preserve">411 adultos com obesidade, com programa de estilo de vida</w:t>
            </w:r>
          </w:p>
        </w:tc>
        <w:tc>
          <w:tcPr/>
          <w:p>
            <w:pPr>
              <w:pStyle w:val="Compact"/>
              <w:jc w:val="left"/>
            </w:pPr>
            <w:r>
              <w:t xml:space="preserve">4 meses (+8 meses)</w:t>
            </w:r>
          </w:p>
        </w:tc>
        <w:tc>
          <w:tcPr/>
          <w:p>
            <w:pPr>
              <w:pStyle w:val="Compact"/>
              <w:jc w:val="left"/>
            </w:pPr>
            <w:r>
              <w:t xml:space="preserve">após 12 meses, descontado o placebo, até −7,2 kg</w:t>
            </w:r>
          </w:p>
        </w:tc>
      </w:tr>
    </w:tbl>
    <w:bookmarkStart w:id="764" w:name="diabetes-tipo-1"/>
    <w:p>
      <w:pPr>
        <w:pStyle w:val="Heading4"/>
      </w:pPr>
      <w:r>
        <w:t xml:space="preserve">Diabetes tipo 1</w:t>
      </w:r>
    </w:p>
    <w:p>
      <w:pPr>
        <w:pStyle w:val="FirstParagraph"/>
      </w:pPr>
      <w:r>
        <w:t xml:space="preserve">Os grandes estudos de aprovação duraram um ano. No estudo de Whitehouse (2002, PMID 11919132), com 480 pessoas com diabetes tipo 1, a HbA1c caiu após 13 semanas 0,67 ponto percentual contra 0,16 com placebo; a diferença permaneceu estatisticamente significativa até a semana 52. Os participantes, em média, perderam peso em vez de ganhar, e a taxa total de hipoglicemias graves não aumentou. No estudo de Ratner (2004, PMID 15498087), com 651 participantes, o efeito foi menor: −0,29 e −0,34 ponto percentual, respectivamente, contra −0,04.</w:t>
      </w:r>
    </w:p>
    <w:p>
      <w:pPr>
        <w:pStyle w:val="BodyText"/>
      </w:pPr>
      <w:r>
        <w:t xml:space="preserve">Esses efeitos são modestos. Uma metanálise em rede de todos os medicamentos adjuvantes no diabetes tipo 1, com 58 estudos, avaliou a confiabilidade da evidência predominantemente como moderada a muito baixa e verificou que a pranlintida – como os agonistas de GLP-1 e a metformina – torna a náusea mais frequente</w:t>
      </w:r>
      <w:r>
        <w:rPr>
          <w:rStyle w:val="FootnoteReference"/>
        </w:rPr>
        <w:footnoteReference w:id="763"/>
      </w:r>
      <w:r>
        <w:t xml:space="preserve">.</w:t>
      </w:r>
    </w:p>
    <w:p>
      <w:pPr>
        <w:pStyle w:val="BodyText"/>
      </w:pPr>
      <w:r>
        <w:t xml:space="preserve">Uma lição importante veio do estudo de Edelman (2006, PMID 17003291): quando, no início do tratamento com pranlintida, a dose de insulina prandial foi reduzida preventivamente em 30 a 50%, a HbA1c após 29 semanas havia caído igualmente nos dois grupos (−0,5 em cada). Com pranlintida, porém, os picos de glicemia após as refeições foram menores, o peso caiu 1,3 kg (placebo +1,2 kg) e foram necessários 28% menos insulina. Náusea ocorreu em 63% (placebo 36%).</w:t>
      </w:r>
    </w:p>
    <w:bookmarkEnd w:id="764"/>
    <w:bookmarkStart w:id="768" w:name="diabetes-tipo-2"/>
    <w:p>
      <w:pPr>
        <w:pStyle w:val="Heading4"/>
      </w:pPr>
      <w:r>
        <w:t xml:space="preserve">Diabetes tipo 2</w:t>
      </w:r>
    </w:p>
    <w:p>
      <w:pPr>
        <w:pStyle w:val="FirstParagraph"/>
      </w:pPr>
      <w:r>
        <w:t xml:space="preserve">No diabetes tipo 2 tratado com insulina, a pranlintida reduziu a HbA1c após um ano em 0,62 ponto percentual, com uma perda de peso de 1,4 kg contra um ganho de 0,7 kg com placebo</w:t>
      </w:r>
      <w:r>
        <w:rPr>
          <w:rStyle w:val="FootnoteReference"/>
        </w:rPr>
        <w:footnoteReference w:id="765"/>
      </w:r>
      <w:r>
        <w:t xml:space="preserve">. Como complemento à insulina basal, em um estudo aberto com 113 participantes, foi tão eficaz quanto uma insulina prandial de ação rápida, mas não levou a ganho de peso (0,0 kg vs. +4,7 kg) e causou menos hipoglicemias leves a moderadas; em contrapartida, 21% se queixaram de náusea</w:t>
      </w:r>
      <w:r>
        <w:rPr>
          <w:rStyle w:val="FootnoteReference"/>
        </w:rPr>
        <w:footnoteReference w:id="766"/>
      </w:r>
      <w:r>
        <w:t xml:space="preserve">.</w:t>
      </w:r>
    </w:p>
    <w:p>
      <w:pPr>
        <w:pStyle w:val="BodyText"/>
      </w:pPr>
      <w:r>
        <w:t xml:space="preserve">Uma metanálise de oito estudos randomizados mostrou, no diabetes tipo 2, uma redução da HbA1c de 0,33 ponto percentual e uma perda de peso de 2,57 kg em relação ao controle; a náusea ocorreu 1,8 vez mais frequentemente</w:t>
      </w:r>
      <w:r>
        <w:rPr>
          <w:rStyle w:val="FootnoteReference"/>
        </w:rPr>
        <w:footnoteReference w:id="767"/>
      </w:r>
      <w:r>
        <w:t xml:space="preserve">.</w:t>
      </w:r>
    </w:p>
    <w:bookmarkEnd w:id="768"/>
    <w:bookmarkStart w:id="772" w:name="obesidade"/>
    <w:p>
      <w:pPr>
        <w:pStyle w:val="Heading4"/>
      </w:pPr>
      <w:r>
        <w:t xml:space="preserve">Obesidade</w:t>
      </w:r>
    </w:p>
    <w:p>
      <w:pPr>
        <w:pStyle w:val="FirstParagraph"/>
      </w:pPr>
      <w:r>
        <w:t xml:space="preserve">Entre 2005 e 2010, a pranlintida também foi testada como medicamento para emagrecer. Em um estudo de 16 semanas com 204 pessoas com obesidade, a perda de peso descontado o placebo foi de 3,7%</w:t>
      </w:r>
      <w:r>
        <w:rPr>
          <w:rStyle w:val="FootnoteReference"/>
        </w:rPr>
        <w:footnoteReference w:id="769"/>
      </w:r>
      <w:r>
        <w:t xml:space="preserve">. Combinados com um programa de estilo de vida, quase todos os grupos de dose mantiveram a perda de peso ao longo de doze meses; descontado o placebo, foram até 7,2 kg ou 6,8%</w:t>
      </w:r>
      <w:r>
        <w:rPr>
          <w:rStyle w:val="FootnoteReference"/>
        </w:rPr>
        <w:footnoteReference w:id="770"/>
      </w:r>
      <w:r>
        <w:t xml:space="preserve">. Uma combinação com metreleptina (um análogo da leptina) alcançou após 20 semanas 12,7% de perda de peso contra 8,4% com pranlintida isolada</w:t>
      </w:r>
      <w:r>
        <w:rPr>
          <w:rStyle w:val="FootnoteReference"/>
        </w:rPr>
        <w:footnoteReference w:id="771"/>
      </w:r>
      <w:r>
        <w:t xml:space="preserve">. Esse desenvolvimento não foi levado adiante até a aprovação.</w:t>
      </w:r>
    </w:p>
    <w:bookmarkEnd w:id="772"/>
    <w:bookmarkStart w:id="776" w:name="X02d74da130e601463dc25deb408ee197d476661"/>
    <w:p>
      <w:pPr>
        <w:pStyle w:val="Heading4"/>
      </w:pPr>
      <w:r>
        <w:t xml:space="preserve">Aplicações mais recentes: pâncreas artificial</w:t>
      </w:r>
    </w:p>
    <w:p>
      <w:pPr>
        <w:pStyle w:val="FirstParagraph"/>
      </w:pPr>
      <w:r>
        <w:t xml:space="preserve">Desde cerca de 2015, a pranlintida vive um pequeno renascimento na pesquisa sobre sistemas automatizados de bomba de insulina. Em um estudo cruzado randomizado, o tempo na faixa-alvo subiu de 74% para 84% com um sistema que libera, além de insulina de ação rápida, também pranlintida</w:t>
      </w:r>
      <w:r>
        <w:rPr>
          <w:rStyle w:val="FootnoteReference"/>
        </w:rPr>
        <w:footnoteReference w:id="773"/>
      </w:r>
      <w:r>
        <w:t xml:space="preserve">. Um pequeno estudo-piloto investigou se esse tipo de sistema pode tornar desnecessária a contagem de carboidratos; as diferenças em relação ao tratamento padrão não foram estatisticamente significativas</w:t>
      </w:r>
      <w:r>
        <w:rPr>
          <w:rStyle w:val="FootnoteReference"/>
        </w:rPr>
        <w:footnoteReference w:id="774"/>
      </w:r>
      <w:r>
        <w:t xml:space="preserve">. Uma mistura fixa de pranlintida e uma insulina (ADO09) levou, em um estudo de 16 semanas com 80 pessoas com diabetes tipo 1, a 2,1 kg a mais de perda de peso do que a insulina lispro, com HbA1c inalterada</w:t>
      </w:r>
      <w:r>
        <w:rPr>
          <w:rStyle w:val="FootnoteReference"/>
        </w:rPr>
        <w:footnoteReference w:id="775"/>
      </w:r>
      <w:r>
        <w:t xml:space="preserve">.</w:t>
      </w:r>
    </w:p>
    <w:bookmarkEnd w:id="776"/>
    <w:bookmarkEnd w:id="777"/>
    <w:bookmarkStart w:id="780" w:name="estudos-em-animais-e-em-laboratório-11"/>
    <w:p>
      <w:pPr>
        <w:pStyle w:val="Heading3"/>
      </w:pPr>
      <w:r>
        <w:t xml:space="preserve">Estudos em animais e em laboratório</w:t>
      </w:r>
    </w:p>
    <w:p>
      <w:pPr>
        <w:pStyle w:val="FirstParagraph"/>
      </w:pPr>
      <w:r>
        <w:t xml:space="preserve">As bases da pesquisa sobre amilina vêm de estudos em animais e em laboratório, que não são apresentados aqui em detalhe. Em roedores, a combinação de amilina e leptina levou a uma perda de peso superaditiva</w:t>
      </w:r>
      <w:r>
        <w:rPr>
          <w:rStyle w:val="FootnoteReference"/>
        </w:rPr>
        <w:footnoteReference w:id="778"/>
      </w:r>
      <w:r>
        <w:t xml:space="preserve">. Em modelos com camundongos, a amilina provocou, de forma semelhante ao peptídeo mensageiro da enxaqueca CGRP, hipersensibilidade e fotofobia</w:t>
      </w:r>
      <w:r>
        <w:rPr>
          <w:rStyle w:val="FootnoteReference"/>
        </w:rPr>
        <w:footnoteReference w:id="779"/>
      </w:r>
      <w:r>
        <w:t xml:space="preserve">.</w:t>
      </w:r>
    </w:p>
    <w:bookmarkEnd w:id="780"/>
    <w:bookmarkStart w:id="784" w:name="riscos-e-efeitos-colaterais-11"/>
    <w:p>
      <w:pPr>
        <w:pStyle w:val="Heading3"/>
      </w:pPr>
      <w:r>
        <w:t xml:space="preserve">Riscos e efeitos colaterais</w:t>
      </w:r>
    </w:p>
    <w:p>
      <w:pPr>
        <w:pStyle w:val="FirstParagraph"/>
      </w:pPr>
      <w:r>
        <w:rPr>
          <w:bCs/>
          <w:b/>
        </w:rPr>
        <w:t xml:space="preserve">Comprovados em estudos:</w:t>
      </w:r>
    </w:p>
    <w:p>
      <w:pPr>
        <w:numPr>
          <w:ilvl w:val="0"/>
          <w:numId w:val="1097"/>
        </w:numPr>
        <w:pStyle w:val="Compact"/>
      </w:pPr>
      <w:r>
        <w:rPr>
          <w:bCs/>
          <w:b/>
        </w:rPr>
        <w:t xml:space="preserve">Náusea</w:t>
      </w:r>
      <w:r>
        <w:t xml:space="preserve"> </w:t>
      </w:r>
      <w:r>
        <w:t xml:space="preserve">é o efeito colateral mais frequente, sobretudo nas primeiras semanas; conforme o estudo, entre 9% e 63%</w:t>
      </w:r>
      <w:r>
        <w:rPr>
          <w:rStyle w:val="FootnoteReference"/>
        </w:rPr>
        <w:footnoteReference w:id="781"/>
      </w:r>
      <w:r>
        <w:t xml:space="preserve">.</w:t>
      </w:r>
    </w:p>
    <w:p>
      <w:pPr>
        <w:numPr>
          <w:ilvl w:val="0"/>
          <w:numId w:val="1097"/>
        </w:numPr>
        <w:pStyle w:val="Compact"/>
      </w:pPr>
      <w:r>
        <w:rPr>
          <w:bCs/>
          <w:b/>
        </w:rPr>
        <w:t xml:space="preserve">Hipoglicemia grave</w:t>
      </w:r>
      <w:r>
        <w:t xml:space="preserve"> </w:t>
      </w:r>
      <w:r>
        <w:t xml:space="preserve">é o risco mais importante. A própria pranlintida quase não reduz a glicemia, mas intensifica o efeito da insulina injetada ao mesmo tempo, porque o açúcar da refeição chega com atraso. No estudo de Edelman, hipoglicemias graves ocorreram com mais frequência com pranlintida do que com placebo (0,57 vs. 0,30 evento por paciente-ano), especialmente em participantes que permaneceram em uma dose baixa</w:t>
      </w:r>
      <w:r>
        <w:rPr>
          <w:rStyle w:val="FootnoteReference"/>
        </w:rPr>
        <w:footnoteReference w:id="782"/>
      </w:r>
      <w:r>
        <w:t xml:space="preserve">. Nos EUA, o medicamento traz por isso uma advertência destacada; antes do início do tratamento, está prevista uma redução da dose de insulina prandial – os detalhes estão na bula profissional, e a execução cabe ao médico.</w:t>
      </w:r>
    </w:p>
    <w:p>
      <w:pPr>
        <w:numPr>
          <w:ilvl w:val="0"/>
          <w:numId w:val="1097"/>
        </w:numPr>
        <w:pStyle w:val="Compact"/>
      </w:pPr>
      <w:r>
        <w:rPr>
          <w:bCs/>
          <w:b/>
        </w:rPr>
        <w:t xml:space="preserve">Dor de cabeça e enxaqueca:</w:t>
      </w:r>
      <w:r>
        <w:t xml:space="preserve"> </w:t>
      </w:r>
      <w:r>
        <w:t xml:space="preserve">em um estudo experimental com 36 pessoas com enxaqueca, após uma infusão de pranlintida, 88% tiveram dor de cabeça e 41% uma crise semelhante à enxaqueca</w:t>
      </w:r>
      <w:r>
        <w:rPr>
          <w:rStyle w:val="FootnoteReference"/>
        </w:rPr>
        <w:footnoteReference w:id="783"/>
      </w:r>
      <w:r>
        <w:t xml:space="preserve">. Esse estudo usou uma infusão para fins de pesquisa; mostra, porém, que os receptores de amilina têm um papel na enxaqueca. Esse achado também é relevante para os novos medicamentos de amilina de ação prolongada.</w:t>
      </w:r>
    </w:p>
    <w:p>
      <w:pPr>
        <w:numPr>
          <w:ilvl w:val="0"/>
          <w:numId w:val="1097"/>
        </w:numPr>
        <w:pStyle w:val="Compact"/>
      </w:pPr>
      <w:r>
        <w:rPr>
          <w:bCs/>
          <w:b/>
        </w:rPr>
        <w:t xml:space="preserve">Interações:</w:t>
      </w:r>
      <w:r>
        <w:t xml:space="preserve"> </w:t>
      </w:r>
      <w:r>
        <w:t xml:space="preserve">como a pranlintida retarda o esvaziamento gástrico, comprimidos cujo início rápido de ação é importante podem ser absorvidos com atraso (bula profissional).</w:t>
      </w:r>
    </w:p>
    <w:bookmarkEnd w:id="784"/>
    <w:bookmarkStart w:id="785" w:name="situação-legal-11"/>
    <w:p>
      <w:pPr>
        <w:pStyle w:val="Heading3"/>
      </w:pPr>
      <w:r>
        <w:t xml:space="preserve">Situação legal</w:t>
      </w:r>
    </w:p>
    <w:p>
      <w:pPr>
        <w:numPr>
          <w:ilvl w:val="0"/>
          <w:numId w:val="1098"/>
        </w:numPr>
        <w:pStyle w:val="Compact"/>
      </w:pPr>
      <w:r>
        <w:rPr>
          <w:bCs/>
          <w:b/>
        </w:rPr>
        <w:t xml:space="preserve">UE / Áustria / Alemanha:</w:t>
      </w:r>
      <w:r>
        <w:t xml:space="preserve"> </w:t>
      </w:r>
      <w:r>
        <w:t xml:space="preserve">não aprovada. Na Europa, a pranlintida só é concebível por importação individual para determinados pacientes e praticamente não tem papel.</w:t>
      </w:r>
    </w:p>
    <w:p>
      <w:pPr>
        <w:numPr>
          <w:ilvl w:val="0"/>
          <w:numId w:val="1098"/>
        </w:numPr>
        <w:pStyle w:val="Compact"/>
      </w:pPr>
      <w:r>
        <w:rPr>
          <w:bCs/>
          <w:b/>
        </w:rPr>
        <w:t xml:space="preserve">EUA:</w:t>
      </w:r>
      <w:r>
        <w:t xml:space="preserve"> </w:t>
      </w:r>
      <w:r>
        <w:t xml:space="preserve">aprovada desde 2005 (Symlin) como complemento à insulina prandial no diabetes tipo 1 e tipo 2; sujeita a prescrição médica. Para obesidade sem diabetes não está aprovada.</w:t>
      </w:r>
    </w:p>
    <w:p>
      <w:pPr>
        <w:numPr>
          <w:ilvl w:val="0"/>
          <w:numId w:val="1098"/>
        </w:numPr>
        <w:pStyle w:val="Compact"/>
      </w:pPr>
      <w:r>
        <w:rPr>
          <w:bCs/>
          <w:b/>
        </w:rPr>
        <w:t xml:space="preserve">Esporte:</w:t>
      </w:r>
      <w:r>
        <w:t xml:space="preserve"> </w:t>
      </w:r>
      <w:r>
        <w:t xml:space="preserve">não mencionada na lista da WADA (situação em 2026, verificar atualização).</w:t>
      </w:r>
    </w:p>
    <w:bookmarkEnd w:id="785"/>
    <w:bookmarkStart w:id="790" w:name="estudos-em-andamento-e-perspectivas-11"/>
    <w:p>
      <w:pPr>
        <w:pStyle w:val="Heading3"/>
      </w:pPr>
      <w:r>
        <w:t xml:space="preserve">Estudos em andamento e perspectivas</w:t>
      </w:r>
    </w:p>
    <w:p>
      <w:pPr>
        <w:pStyle w:val="FirstParagraph"/>
      </w:pPr>
      <w:r>
        <w:rPr>
          <w:bCs/>
          <w:b/>
        </w:rPr>
        <w:t xml:space="preserve">Confirmado (estudos registrados, situação em outubro de 2026):</w:t>
      </w:r>
      <w:r>
        <w:t xml:space="preserve"> </w:t>
      </w:r>
      <w:r>
        <w:t xml:space="preserve">os novos estudos com pranlintida são predominantemente pequenos estudos básicos, por exemplo sobre o papel da amilina na enxaqueca sem aura</w:t>
      </w:r>
      <w:r>
        <w:rPr>
          <w:rStyle w:val="FootnoteReference"/>
        </w:rPr>
        <w:footnoteReference w:id="786"/>
      </w:r>
      <w:r>
        <w:t xml:space="preserve">, na dor de cabeça após lesões na cabeça</w:t>
      </w:r>
      <w:r>
        <w:rPr>
          <w:rStyle w:val="FootnoteReference"/>
        </w:rPr>
        <w:footnoteReference w:id="787"/>
      </w:r>
      <w:r>
        <w:t xml:space="preserve"> </w:t>
      </w:r>
      <w:r>
        <w:t xml:space="preserve">e na saciedade</w:t>
      </w:r>
      <w:r>
        <w:rPr>
          <w:rStyle w:val="FootnoteReference"/>
        </w:rPr>
        <w:footnoteReference w:id="788"/>
      </w:r>
      <w:r>
        <w:t xml:space="preserve">. As autoras e autores do estudo-piloto da bomba de insulina com pranlintida anunciam um estudo maior</w:t>
      </w:r>
      <w:r>
        <w:rPr>
          <w:rStyle w:val="FootnoteReference"/>
        </w:rPr>
        <w:footnoteReference w:id="789"/>
      </w:r>
      <w:r>
        <w:t xml:space="preserve">.</w:t>
      </w:r>
    </w:p>
    <w:p>
      <w:pPr>
        <w:pStyle w:val="BodyText"/>
      </w:pPr>
      <w:r>
        <w:rPr>
          <w:bCs/>
          <w:b/>
        </w:rPr>
        <w:t xml:space="preserve">Avaliação:</w:t>
      </w:r>
      <w:r>
        <w:t xml:space="preserve"> </w:t>
      </w:r>
      <w:r>
        <w:t xml:space="preserve">como medicamento, a pranlintida permaneceu um produto de nicho – injeções demais, náusea demais, efeito pequeno demais sobre a HbA1c. Seu papel mais importante deve ser o de precursora: os análogos de amilina de ação prolongada da nova geração (cagrilintida, amicretina, eloralintida e outros) se apoiam em sua experiência. Na pesquisa sobre sistemas com dois hormônios no diabetes tipo 1, ela poderia manter um pequeno papel.</w:t>
      </w:r>
    </w:p>
    <w:bookmarkEnd w:id="790"/>
    <w:bookmarkStart w:id="791" w:name="conclusão-11"/>
    <w:p>
      <w:pPr>
        <w:pStyle w:val="Heading3"/>
      </w:pPr>
      <w:r>
        <w:t xml:space="preserve">Conclusão</w:t>
      </w:r>
    </w:p>
    <w:p>
      <w:pPr>
        <w:pStyle w:val="FirstParagraph"/>
      </w:pPr>
      <w:r>
        <w:t xml:space="preserve">A pranlintida é o primeiro medicamento à base de amilina e está aprovada desde 2005 nos EUA, mas não na UE, como complemento à insulina. Em grandes estudos, reduziu a HbA1c apenas em cerca de 0,3 a 0,7 ponto percentual, mas evitou o ganho de peso típico da insulina e suavizou os picos de glicemia após as refeições. A náusea é frequente, e em combinação com insulina há um risco relevante de hipoglicemias graves. Hoje, a pranlintida é importante sobretudo como precursora dos novos medicamentos de amilina de ação prolongada.</w:t>
      </w:r>
    </w:p>
    <w:bookmarkEnd w:id="791"/>
    <w:bookmarkEnd w:id="792"/>
    <w:bookmarkStart w:id="829" w:name="setmelanotida"/>
    <w:p>
      <w:pPr>
        <w:pStyle w:val="Heading2"/>
      </w:pPr>
      <w:r>
        <w:t xml:space="preserve">Setmelanotida</w:t>
      </w:r>
    </w:p>
    <w:bookmarkStart w:id="794" w:name="ficha-técnica-12"/>
    <w:p>
      <w:pPr>
        <w:pStyle w:val="Heading3"/>
      </w:pPr>
      <w:r>
        <w:t xml:space="preserve">Ficha técnica</w:t>
      </w:r>
    </w:p>
    <w:p>
      <w:pPr>
        <w:numPr>
          <w:ilvl w:val="0"/>
          <w:numId w:val="1099"/>
        </w:numPr>
        <w:pStyle w:val="Compact"/>
      </w:pPr>
      <w:r>
        <w:rPr>
          <w:bCs/>
          <w:b/>
        </w:rPr>
        <w:t xml:space="preserve">Tipo/estrutura:</w:t>
      </w:r>
      <w:r>
        <w:t xml:space="preserve"> </w:t>
      </w:r>
      <w:r>
        <w:t xml:space="preserve">peptídeo sintético pequeno, fechado em anel (cíclico), que imita o mensageiro endógeno alfa-MSH. Administração subcutânea uma vez ao dia. Antigo código de desenvolvimento RM-493.</w:t>
      </w:r>
    </w:p>
    <w:p>
      <w:pPr>
        <w:numPr>
          <w:ilvl w:val="0"/>
          <w:numId w:val="1099"/>
        </w:numPr>
        <w:pStyle w:val="Compact"/>
      </w:pPr>
      <w:r>
        <w:rPr>
          <w:bCs/>
          <w:b/>
        </w:rPr>
        <w:t xml:space="preserve">Origem:</w:t>
      </w:r>
      <w:r>
        <w:t xml:space="preserve"> </w:t>
      </w:r>
      <w:r>
        <w:t xml:space="preserve">desenvolvida pela Rhythm Pharmaceuticals; nome comercial Imcivree.</w:t>
      </w:r>
    </w:p>
    <w:p>
      <w:pPr>
        <w:numPr>
          <w:ilvl w:val="0"/>
          <w:numId w:val="1099"/>
        </w:numPr>
        <w:pStyle w:val="Compact"/>
      </w:pPr>
      <w:r>
        <w:rPr>
          <w:bCs/>
          <w:b/>
        </w:rPr>
        <w:t xml:space="preserve">Princípio de ação:</w:t>
      </w:r>
      <w:r>
        <w:t xml:space="preserve"> </w:t>
      </w:r>
      <w:r>
        <w:t xml:space="preserve">agonista do receptor de melanocortina 4 (MC4R) no hipotálamo, um centro de controle essencial para a fome e a saciedade.</w:t>
      </w:r>
    </w:p>
    <w:p>
      <w:pPr>
        <w:numPr>
          <w:ilvl w:val="0"/>
          <w:numId w:val="1099"/>
        </w:numPr>
        <w:pStyle w:val="Compact"/>
      </w:pPr>
      <w:r>
        <w:rPr>
          <w:bCs/>
          <w:b/>
        </w:rPr>
        <w:t xml:space="preserve">Aprovação UE:</w:t>
      </w:r>
      <w:r>
        <w:t xml:space="preserve"> </w:t>
      </w:r>
      <w:r>
        <w:t xml:space="preserve">sim (Imcivree) para obesidade com deficiência de POMC, PCSK1 ou do receptor de leptina confirmada geneticamente, bem como na síndrome de Bardet-Biedl.</w:t>
      </w:r>
    </w:p>
    <w:p>
      <w:pPr>
        <w:numPr>
          <w:ilvl w:val="0"/>
          <w:numId w:val="1099"/>
        </w:numPr>
        <w:pStyle w:val="Compact"/>
      </w:pPr>
      <w:r>
        <w:rPr>
          <w:bCs/>
          <w:b/>
        </w:rPr>
        <w:t xml:space="preserve">Aprovação EUA:</w:t>
      </w:r>
      <w:r>
        <w:t xml:space="preserve"> </w:t>
      </w:r>
      <w:r>
        <w:t xml:space="preserve">sim (Imcivree), pela primeira vez em 2020, para as mesmas formas genéticas raras</w:t>
      </w:r>
      <w:r>
        <w:rPr>
          <w:rStyle w:val="FootnoteReference"/>
        </w:rPr>
        <w:footnoteReference w:id="793"/>
      </w:r>
      <w:r>
        <w:t xml:space="preserve">.</w:t>
      </w:r>
    </w:p>
    <w:p>
      <w:pPr>
        <w:numPr>
          <w:ilvl w:val="0"/>
          <w:numId w:val="1099"/>
        </w:numPr>
        <w:pStyle w:val="Compact"/>
      </w:pPr>
      <w:r>
        <w:rPr>
          <w:bCs/>
          <w:b/>
        </w:rPr>
        <w:t xml:space="preserve">WADA:</w:t>
      </w:r>
      <w:r>
        <w:t xml:space="preserve"> </w:t>
      </w:r>
      <w:r>
        <w:t xml:space="preserve">não listada nominalmente; por ser um medicamento aprovado, não se enquadra na S0.</w:t>
      </w:r>
    </w:p>
    <w:p>
      <w:pPr>
        <w:numPr>
          <w:ilvl w:val="0"/>
          <w:numId w:val="1099"/>
        </w:numPr>
        <w:pStyle w:val="Compact"/>
      </w:pPr>
      <w:r>
        <w:rPr>
          <w:bCs/>
          <w:b/>
        </w:rPr>
        <w:t xml:space="preserve">Nível de evidência:</w:t>
      </w:r>
      <w:r>
        <w:t xml:space="preserve"> </w:t>
      </w:r>
      <w:r>
        <w:rPr>
          <w:bCs/>
          <w:b/>
        </w:rPr>
        <w:t xml:space="preserve">A</w:t>
      </w:r>
      <w:r>
        <w:t xml:space="preserve"> </w:t>
      </w:r>
      <w:r>
        <w:t xml:space="preserve">– aprovação com base em estudos de fase 3; devido à raridade das doenças, porém, os estudos são pequenos e em parte não controlados.</w:t>
      </w:r>
    </w:p>
    <w:bookmarkEnd w:id="794"/>
    <w:bookmarkStart w:id="795" w:name="como-deveria-agir-12"/>
    <w:p>
      <w:pPr>
        <w:pStyle w:val="Heading3"/>
      </w:pPr>
      <w:r>
        <w:t xml:space="preserve">Como deveria agir</w:t>
      </w:r>
    </w:p>
    <w:p>
      <w:pPr>
        <w:pStyle w:val="FirstParagraph"/>
      </w:pPr>
      <w:r>
        <w:t xml:space="preserve">A setmelanotida difere fundamentalmente de todas as outras substâncias desta parte. Ela não é um medicamento geral para emagrecer, mas um tratamento direcionado para pessoas nas quais uma determinada cadeia de sinalização no cérebro está defeituosa.</w:t>
      </w:r>
    </w:p>
    <w:p>
      <w:pPr>
        <w:pStyle w:val="BodyText"/>
      </w:pPr>
      <w:r>
        <w:t xml:space="preserve">Essa cadeia se chama via de sinalização leptina-melanocortina. De forma simplificada: o tecido adiposo libera o hormônio leptina. A leptina age no hipotálamo sobre células nervosas que produzem, a partir de uma molécula precursora chamada POMC, o mensageiro alfa-MSH. Para essa produção é necessária uma enzima chamada PCSK1. O alfa-MSH ativa, por fim, o receptor MC4 – e o sinal diz:</w:t>
      </w:r>
      <w:r>
        <w:t xml:space="preserve"> </w:t>
      </w:r>
      <w:r>
        <w:t xml:space="preserve">“</w:t>
      </w:r>
      <w:r>
        <w:t xml:space="preserve">Já comi o suficiente.</w:t>
      </w:r>
      <w:r>
        <w:t xml:space="preserve">”</w:t>
      </w:r>
    </w:p>
    <w:p>
      <w:pPr>
        <w:pStyle w:val="BodyText"/>
      </w:pPr>
      <w:r>
        <w:t xml:space="preserve">Se um desses elos falha por uma alteração genética congênita, surge uma fome torturante e insaciável (hiperfagia), que já na primeira infância leva a obesidade grave. Dieta e exercício sozinhos pouco podem fazer contra isso. A setmelanotida atua no final da cadeia e ativa diretamente o receptor MC4 – ela faz, por assim dizer, uma ponte sobre os elos defeituosos anteriores.</w:t>
      </w:r>
    </w:p>
    <w:p>
      <w:pPr>
        <w:pStyle w:val="BodyText"/>
      </w:pPr>
      <w:r>
        <w:t xml:space="preserve">A setmelanotida também age no receptor de melanocortina 1, intimamente aparentado, na pele. Isso explica o efeito colateral mais frequente: um bronzeamento da pele (veja abaixo) – e liga a setmelanotida aos peptídeos bronzeadores, como o melanotan II e a afamelanotida (Parte II, grupo E).</w:t>
      </w:r>
    </w:p>
    <w:bookmarkEnd w:id="795"/>
    <w:bookmarkStart w:id="811" w:name="estudos-em-humanos-12"/>
    <w:p>
      <w:pPr>
        <w:pStyle w:val="Heading3"/>
      </w:pPr>
      <w:r>
        <w:t xml:space="preserve">Estudos em humanos</w:t>
      </w:r>
    </w:p>
    <w:p>
      <w:pPr>
        <w:pStyle w:val="FirstParagraph"/>
      </w:pPr>
      <w:r>
        <w:rPr>
          <w:bCs/>
          <w:b/>
        </w:rPr>
        <w:t xml:space="preserve">Dimensão da base de estudos:</w:t>
      </w:r>
      <w:r>
        <w:t xml:space="preserve"> </w:t>
      </w:r>
      <w:r>
        <w:t xml:space="preserve">a consulta automatizada ao PubMed (outubro de 2026) encontrou 15 estudos em humanos. No ClinicalTrials.gov havia 27 estudos registrados. Devido à raridade das doenças-alvo, os estudos muitas vezes incluem apenas 10 a 40 participantes; o maior estudo randomizado publicado (sobre obesidade hipotalâmica) incluiu 120 pessoas.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Kühnen 2016, PMID 27468060</w:t>
            </w:r>
          </w:p>
        </w:tc>
        <w:tc>
          <w:tcPr/>
          <w:p>
            <w:pPr>
              <w:pStyle w:val="Compact"/>
              <w:jc w:val="left"/>
            </w:pPr>
            <w:r>
              <w:t xml:space="preserve">2 pessoas com deficiência de POMC, aberto</w:t>
            </w:r>
          </w:p>
        </w:tc>
        <w:tc>
          <w:tcPr/>
          <w:p>
            <w:pPr>
              <w:pStyle w:val="Compact"/>
              <w:jc w:val="left"/>
            </w:pPr>
            <w:r>
              <w:t xml:space="preserve">12 e 42 semanas</w:t>
            </w:r>
          </w:p>
        </w:tc>
        <w:tc>
          <w:tcPr/>
          <w:p>
            <w:pPr>
              <w:pStyle w:val="Compact"/>
              <w:jc w:val="left"/>
            </w:pPr>
            <w:r>
              <w:t xml:space="preserve">−20,5 kg e −51,0 kg; menos fome</w:t>
            </w:r>
          </w:p>
        </w:tc>
      </w:tr>
      <w:tr>
        <w:tc>
          <w:tcPr/>
          <w:p>
            <w:pPr>
              <w:pStyle w:val="Compact"/>
              <w:jc w:val="left"/>
            </w:pPr>
            <w:r>
              <w:t xml:space="preserve">Clément 2020 (POMC/LEPR), PMID 33137293</w:t>
            </w:r>
          </w:p>
        </w:tc>
        <w:tc>
          <w:tcPr/>
          <w:p>
            <w:pPr>
              <w:pStyle w:val="Compact"/>
              <w:jc w:val="left"/>
            </w:pPr>
            <w:r>
              <w:t xml:space="preserve">10 pessoas com deficiência de POMC e 11 com deficiência de LEPR; braço único, com fase de suspensão</w:t>
            </w:r>
          </w:p>
        </w:tc>
        <w:tc>
          <w:tcPr/>
          <w:p>
            <w:pPr>
              <w:pStyle w:val="Compact"/>
              <w:jc w:val="left"/>
            </w:pPr>
            <w:r>
              <w:t xml:space="preserve">cerca de 1 ano</w:t>
            </w:r>
          </w:p>
        </w:tc>
        <w:tc>
          <w:tcPr/>
          <w:p>
            <w:pPr>
              <w:pStyle w:val="Compact"/>
              <w:jc w:val="left"/>
            </w:pPr>
            <w:r>
              <w:t xml:space="preserve">perda de peso ≥10% em 80% (POMC) e 45% (LEPR)</w:t>
            </w:r>
          </w:p>
        </w:tc>
      </w:tr>
      <w:tr>
        <w:tc>
          <w:tcPr/>
          <w:p>
            <w:pPr>
              <w:pStyle w:val="Compact"/>
              <w:jc w:val="left"/>
            </w:pPr>
            <w:r>
              <w:t xml:space="preserve">Haqq 2022 (BBS/Alström), PMID 36356613</w:t>
            </w:r>
          </w:p>
        </w:tc>
        <w:tc>
          <w:tcPr/>
          <w:p>
            <w:pPr>
              <w:pStyle w:val="Compact"/>
              <w:jc w:val="left"/>
            </w:pPr>
            <w:r>
              <w:t xml:space="preserve">38 pessoas com síndrome de Bardet-Biedl ou de Alström; 14 semanas contra placebo, depois aberto</w:t>
            </w:r>
          </w:p>
        </w:tc>
        <w:tc>
          <w:tcPr/>
          <w:p>
            <w:pPr>
              <w:pStyle w:val="Compact"/>
              <w:jc w:val="left"/>
            </w:pPr>
            <w:r>
              <w:t xml:space="preserve">66 semanas</w:t>
            </w:r>
          </w:p>
        </w:tc>
        <w:tc>
          <w:tcPr/>
          <w:p>
            <w:pPr>
              <w:pStyle w:val="Compact"/>
              <w:jc w:val="left"/>
            </w:pPr>
            <w:r>
              <w:t xml:space="preserve">perda de peso ≥10% em 32,3% dos pacientes com BBS a partir de 12 anos</w:t>
            </w:r>
          </w:p>
        </w:tc>
      </w:tr>
      <w:tr>
        <w:tc>
          <w:tcPr/>
          <w:p>
            <w:pPr>
              <w:pStyle w:val="Compact"/>
              <w:jc w:val="left"/>
            </w:pPr>
            <w:r>
              <w:t xml:space="preserve">VENTURE (Argente 2025), PMID 39549719</w:t>
            </w:r>
          </w:p>
        </w:tc>
        <w:tc>
          <w:tcPr/>
          <w:p>
            <w:pPr>
              <w:pStyle w:val="Compact"/>
              <w:jc w:val="left"/>
            </w:pPr>
            <w:r>
              <w:t xml:space="preserve">12 crianças de 2 a 5 anos, aberto</w:t>
            </w:r>
          </w:p>
        </w:tc>
        <w:tc>
          <w:tcPr/>
          <w:p>
            <w:pPr>
              <w:pStyle w:val="Compact"/>
              <w:jc w:val="left"/>
            </w:pPr>
            <w:r>
              <w:t xml:space="preserve">52 semanas</w:t>
            </w:r>
          </w:p>
        </w:tc>
        <w:tc>
          <w:tcPr/>
          <w:p>
            <w:pPr>
              <w:pStyle w:val="Compact"/>
              <w:jc w:val="left"/>
            </w:pPr>
            <w:r>
              <w:t xml:space="preserve">IMC −18% em média</w:t>
            </w:r>
          </w:p>
        </w:tc>
      </w:tr>
      <w:tr>
        <w:tc>
          <w:tcPr/>
          <w:p>
            <w:pPr>
              <w:pStyle w:val="Compact"/>
              <w:jc w:val="left"/>
            </w:pPr>
            <w:r>
              <w:t xml:space="preserve">Roth 2024 (obesidade hipotalâmica), PMID 38697184</w:t>
            </w:r>
          </w:p>
        </w:tc>
        <w:tc>
          <w:tcPr/>
          <w:p>
            <w:pPr>
              <w:pStyle w:val="Compact"/>
              <w:jc w:val="left"/>
            </w:pPr>
            <w:r>
              <w:t xml:space="preserve">18 pessoas, aberto</w:t>
            </w:r>
          </w:p>
        </w:tc>
        <w:tc>
          <w:tcPr/>
          <w:p>
            <w:pPr>
              <w:pStyle w:val="Compact"/>
              <w:jc w:val="left"/>
            </w:pPr>
            <w:r>
              <w:t xml:space="preserve">16 semanas</w:t>
            </w:r>
          </w:p>
        </w:tc>
        <w:tc>
          <w:tcPr/>
          <w:p>
            <w:pPr>
              <w:pStyle w:val="Compact"/>
              <w:jc w:val="left"/>
            </w:pPr>
            <w:r>
              <w:t xml:space="preserve">IMC −15% em média</w:t>
            </w:r>
          </w:p>
        </w:tc>
      </w:tr>
      <w:tr>
        <w:tc>
          <w:tcPr/>
          <w:p>
            <w:pPr>
              <w:pStyle w:val="Compact"/>
              <w:jc w:val="left"/>
            </w:pPr>
            <w:r>
              <w:t xml:space="preserve">TRANSCEND (Miller 2026), PMID 42418774</w:t>
            </w:r>
          </w:p>
        </w:tc>
        <w:tc>
          <w:tcPr/>
          <w:p>
            <w:pPr>
              <w:pStyle w:val="Compact"/>
              <w:jc w:val="left"/>
            </w:pPr>
            <w:r>
              <w:t xml:space="preserve">120 pessoas com obesidade hipotalâmica adquirida, contra placebo</w:t>
            </w:r>
          </w:p>
        </w:tc>
        <w:tc>
          <w:tcPr/>
          <w:p>
            <w:pPr>
              <w:pStyle w:val="Compact"/>
              <w:jc w:val="left"/>
            </w:pPr>
            <w:r>
              <w:t xml:space="preserve">52 semanas</w:t>
            </w:r>
          </w:p>
        </w:tc>
        <w:tc>
          <w:tcPr/>
          <w:p>
            <w:pPr>
              <w:pStyle w:val="Compact"/>
              <w:jc w:val="left"/>
            </w:pPr>
            <w:r>
              <w:t xml:space="preserve">IMC −16,5% vs. +3,3%</w:t>
            </w:r>
          </w:p>
        </w:tc>
      </w:tr>
    </w:tbl>
    <w:bookmarkStart w:id="799" w:name="X4af75add1e47b49a1d1cd867f7eb5dda64b702d"/>
    <w:p>
      <w:pPr>
        <w:pStyle w:val="Heading4"/>
      </w:pPr>
      <w:r>
        <w:t xml:space="preserve">Deficiência de POMC, PCSK1 e do receptor de leptina</w:t>
      </w:r>
    </w:p>
    <w:p>
      <w:pPr>
        <w:pStyle w:val="FirstParagraph"/>
      </w:pPr>
      <w:r>
        <w:t xml:space="preserve">Os primeiros relatos foram casos isolados: dois pacientes com deficiência de POMC perderam, em um estudo iniciado por médicos, 51,0 kg após 42 semanas e 20,5 kg após 12 semanas, respectivamente, e sua fome diminuiu de forma duradoura</w:t>
      </w:r>
      <w:r>
        <w:rPr>
          <w:rStyle w:val="FootnoteReference"/>
        </w:rPr>
        <w:footnoteReference w:id="796"/>
      </w:r>
      <w:r>
        <w:t xml:space="preserve">. Algo semelhante foi descrito para três pessoas com deficiência do receptor de leptina</w:t>
      </w:r>
      <w:r>
        <w:rPr>
          <w:rStyle w:val="FootnoteReference"/>
        </w:rPr>
        <w:footnoteReference w:id="797"/>
      </w:r>
      <w:r>
        <w:t xml:space="preserve">.</w:t>
      </w:r>
    </w:p>
    <w:p>
      <w:pPr>
        <w:pStyle w:val="BodyText"/>
      </w:pPr>
      <w:r>
        <w:t xml:space="preserve">Os estudos de aprovação</w:t>
      </w:r>
      <w:r>
        <w:rPr>
          <w:rStyle w:val="FootnoteReference"/>
        </w:rPr>
        <w:footnoteReference w:id="798"/>
      </w:r>
      <w:r>
        <w:t xml:space="preserve"> </w:t>
      </w:r>
      <w:r>
        <w:t xml:space="preserve">tiveram braço único – não havia, portanto, um grupo placebo contínuo –, mas incluíram uma curta fase de suspensão cega. Após cerca de um ano, 8 de 10 pessoas com deficiência de POMC e 5 de 11 com deficiência do receptor de leptina haviam perdido pelo menos 10% do peso. A fome, em uma escala de 0 a 10, diminuiu 27,1% e 43,7%, respectivamente. Para doenças tão raras, estudos pequenos e não controlados muitas vezes são a única opção viável. Em uma doença na qual, sem tratamento, praticamente não se espera perda de peso, os resultados são ainda assim significativos.</w:t>
      </w:r>
    </w:p>
    <w:bookmarkEnd w:id="799"/>
    <w:bookmarkStart w:id="802" w:name="síndrome-de-bardet-biedl"/>
    <w:p>
      <w:pPr>
        <w:pStyle w:val="Heading4"/>
      </w:pPr>
      <w:r>
        <w:t xml:space="preserve">Síndrome de Bardet-Biedl</w:t>
      </w:r>
    </w:p>
    <w:p>
      <w:pPr>
        <w:pStyle w:val="FirstParagraph"/>
      </w:pPr>
      <w:r>
        <w:t xml:space="preserve">A síndrome de Bardet-Biedl (BBS) é uma doença hereditária rara na qual os finos prolongamentos celulares (cílios) estão alterados; além de danos à retina, problemas renais e dedos extras nas mãos ou nos pés, fazem parte dela fome intensa e obesidade. No estudo de fase 3</w:t>
      </w:r>
      <w:r>
        <w:rPr>
          <w:rStyle w:val="FootnoteReference"/>
        </w:rPr>
        <w:footnoteReference w:id="800"/>
      </w:r>
      <w:r>
        <w:t xml:space="preserve">, após 52 semanas, 32,3% das pessoas com BBS a partir de 12 anos alcançaram uma perda de peso de pelo menos 10%. Na síndrome de Alström, aparentada, os resultados não foram claros. Uma comparação com um grupo de controle adequado de um registro de BBS mostrou que 58,6% dos pacientes tratados contra 6,9% dos não tratados alcançaram o respectivo critério de sucesso</w:t>
      </w:r>
      <w:r>
        <w:rPr>
          <w:rStyle w:val="FootnoteReference"/>
        </w:rPr>
        <w:footnoteReference w:id="801"/>
      </w:r>
      <w:r>
        <w:t xml:space="preserve"> </w:t>
      </w:r>
      <w:r>
        <w:t xml:space="preserve">– uma contextualização indireta, mas útil.</w:t>
      </w:r>
    </w:p>
    <w:bookmarkEnd w:id="802"/>
    <w:bookmarkStart w:id="804" w:name="crianças-pequenas"/>
    <w:p>
      <w:pPr>
        <w:pStyle w:val="Heading4"/>
      </w:pPr>
      <w:r>
        <w:t xml:space="preserve">Crianças pequenas</w:t>
      </w:r>
    </w:p>
    <w:p>
      <w:pPr>
        <w:pStyle w:val="FirstParagraph"/>
      </w:pPr>
      <w:r>
        <w:t xml:space="preserve">No estudo aberto VENTURE, com 12 crianças entre 2 e 5 anos, o IMC caiu após um ano em média 18%: 26% na deficiência de POMC ou do receptor de leptina e 10% na BBS. 91% dos cuidadores relataram que as crianças tinham menos fome</w:t>
      </w:r>
      <w:r>
        <w:rPr>
          <w:rStyle w:val="FootnoteReference"/>
        </w:rPr>
        <w:footnoteReference w:id="803"/>
      </w:r>
      <w:r>
        <w:t xml:space="preserve">.</w:t>
      </w:r>
    </w:p>
    <w:bookmarkEnd w:id="804"/>
    <w:bookmarkStart w:id="807" w:name="obesidade-hipotalâmica"/>
    <w:p>
      <w:pPr>
        <w:pStyle w:val="Heading4"/>
      </w:pPr>
      <w:r>
        <w:t xml:space="preserve">Obesidade hipotalâmica</w:t>
      </w:r>
    </w:p>
    <w:p>
      <w:pPr>
        <w:pStyle w:val="FirstParagraph"/>
      </w:pPr>
      <w:r>
        <w:t xml:space="preserve">Um segundo grupo-alvo, mais frequente, são pessoas cujo hipotálamo foi danificado por um tumor (muitas vezes um craniofaringioma), uma cirurgia ou radioterapia. Elas desenvolvem com frequência uma obesidade difícil de tratar. Depois de um estudo aberto de fase 2 com 18 pessoas, no qual o IMC caiu em média 15% após 16 semanas</w:t>
      </w:r>
      <w:r>
        <w:rPr>
          <w:rStyle w:val="FootnoteReference"/>
        </w:rPr>
        <w:footnoteReference w:id="805"/>
      </w:r>
      <w:r>
        <w:t xml:space="preserve">, seguiu-se o estudo randomizado de fase 3 TRANSCEND</w:t>
      </w:r>
      <w:r>
        <w:rPr>
          <w:rStyle w:val="FootnoteReference"/>
        </w:rPr>
        <w:footnoteReference w:id="806"/>
      </w:r>
      <w:r>
        <w:t xml:space="preserve">:</w:t>
      </w:r>
    </w:p>
    <w:p>
      <w:pPr>
        <w:numPr>
          <w:ilvl w:val="0"/>
          <w:numId w:val="1100"/>
        </w:numPr>
        <w:pStyle w:val="Compact"/>
      </w:pPr>
      <w:r>
        <w:t xml:space="preserve">120 pessoas entre 4 e 66 anos, proporção de 2:1 setmelanotida para placebo.</w:t>
      </w:r>
    </w:p>
    <w:p>
      <w:pPr>
        <w:numPr>
          <w:ilvl w:val="0"/>
          <w:numId w:val="1100"/>
        </w:numPr>
        <w:pStyle w:val="Compact"/>
      </w:pPr>
      <w:r>
        <w:t xml:space="preserve">Após 52 semanas: IMC −16,5% com setmelanotida, +3,3% com placebo.</w:t>
      </w:r>
    </w:p>
    <w:p>
      <w:pPr>
        <w:numPr>
          <w:ilvl w:val="0"/>
          <w:numId w:val="1100"/>
        </w:numPr>
        <w:pStyle w:val="Compact"/>
      </w:pPr>
      <w:r>
        <w:t xml:space="preserve">Pontuação de fome: −2,73 contra −1,45 ponto.</w:t>
      </w:r>
    </w:p>
    <w:p>
      <w:pPr>
        <w:numPr>
          <w:ilvl w:val="0"/>
          <w:numId w:val="1100"/>
        </w:numPr>
        <w:pStyle w:val="Compact"/>
      </w:pPr>
      <w:r>
        <w:t xml:space="preserve">Eventos adversos graves: 28% contra 8%.</w:t>
      </w:r>
    </w:p>
    <w:bookmarkEnd w:id="807"/>
    <w:bookmarkStart w:id="810" w:name="variantes-genéticas-mais-frequentes"/>
    <w:p>
      <w:pPr>
        <w:pStyle w:val="Heading4"/>
      </w:pPr>
      <w:r>
        <w:t xml:space="preserve">Variantes genéticas mais frequentes</w:t>
      </w:r>
    </w:p>
    <w:p>
      <w:pPr>
        <w:pStyle w:val="FirstParagraph"/>
      </w:pPr>
      <w:r>
        <w:t xml:space="preserve">Menos convincentes são os dados em pessoas com apenas uma cópia alterada do gene MC4R – uma das causas genéticas mais frequentes de obesidade grave. Em um pequeno estudo de 28 dias, essas pessoas perderam peso, mas bem menos do que pessoas com defeitos de POMC</w:t>
      </w:r>
      <w:r>
        <w:rPr>
          <w:rStyle w:val="FootnoteReference"/>
        </w:rPr>
        <w:footnoteReference w:id="808"/>
      </w:r>
      <w:r>
        <w:t xml:space="preserve">. O estudo de fase 3 maior EMANATE, sobre diferentes variantes na via de sinalização do MC4R, está concluído segundo o registro</w:t>
      </w:r>
      <w:r>
        <w:rPr>
          <w:rStyle w:val="FootnoteReference"/>
        </w:rPr>
        <w:footnoteReference w:id="809"/>
      </w:r>
      <w:r>
        <w:t xml:space="preserve">; uma publicação revisada por pares ainda não estava disponível no momento da pesquisa.</w:t>
      </w:r>
    </w:p>
    <w:bookmarkEnd w:id="810"/>
    <w:bookmarkEnd w:id="811"/>
    <w:bookmarkStart w:id="813" w:name="estudos-em-animais-e-em-laboratório-12"/>
    <w:p>
      <w:pPr>
        <w:pStyle w:val="Heading3"/>
      </w:pPr>
      <w:r>
        <w:t xml:space="preserve">Estudos em animais e em laboratório</w:t>
      </w:r>
    </w:p>
    <w:p>
      <w:pPr>
        <w:pStyle w:val="FirstParagraph"/>
      </w:pPr>
      <w:r>
        <w:t xml:space="preserve">Em experimentos com células, a setmelanotida é bem mais eficaz no receptor MC4 do que o alfa-MSH endógeno e consegue reativar parcialmente uma parte das variantes defeituosas do receptor. Em roedores normais levou a perda de peso, mas não em camundongos totalmente sem receptor MC4</w:t>
      </w:r>
      <w:r>
        <w:rPr>
          <w:rStyle w:val="FootnoteReference"/>
        </w:rPr>
        <w:footnoteReference w:id="812"/>
      </w:r>
      <w:r>
        <w:t xml:space="preserve">. Isso confirma que o efeito ocorre de fato por meio desse receptor.</w:t>
      </w:r>
    </w:p>
    <w:bookmarkEnd w:id="813"/>
    <w:bookmarkStart w:id="819" w:name="riscos-e-efeitos-colaterais-12"/>
    <w:p>
      <w:pPr>
        <w:pStyle w:val="Heading3"/>
      </w:pPr>
      <w:r>
        <w:t xml:space="preserve">Riscos e efeitos colaterais</w:t>
      </w:r>
    </w:p>
    <w:p>
      <w:pPr>
        <w:pStyle w:val="FirstParagraph"/>
      </w:pPr>
      <w:r>
        <w:rPr>
          <w:bCs/>
          <w:b/>
        </w:rPr>
        <w:t xml:space="preserve">Comprovados em estudos:</w:t>
      </w:r>
    </w:p>
    <w:p>
      <w:pPr>
        <w:numPr>
          <w:ilvl w:val="0"/>
          <w:numId w:val="1101"/>
        </w:numPr>
        <w:pStyle w:val="Compact"/>
      </w:pPr>
      <w:r>
        <w:rPr>
          <w:bCs/>
          <w:b/>
        </w:rPr>
        <w:t xml:space="preserve">Reações cutâneas no local da injeção</w:t>
      </w:r>
      <w:r>
        <w:t xml:space="preserve"> </w:t>
      </w:r>
      <w:r>
        <w:t xml:space="preserve">(vermelhidão, inchaço): em uma metanálise de sete estudos com 185 pessoas, em 96%</w:t>
      </w:r>
      <w:r>
        <w:rPr>
          <w:rStyle w:val="FootnoteReference"/>
        </w:rPr>
        <w:footnoteReference w:id="814"/>
      </w:r>
      <w:r>
        <w:t xml:space="preserve">.</w:t>
      </w:r>
    </w:p>
    <w:p>
      <w:pPr>
        <w:numPr>
          <w:ilvl w:val="0"/>
          <w:numId w:val="1101"/>
        </w:numPr>
        <w:pStyle w:val="Compact"/>
      </w:pPr>
      <w:r>
        <w:rPr>
          <w:bCs/>
          <w:b/>
        </w:rPr>
        <w:t xml:space="preserve">Pele mais escura (hiperpigmentação):</w:t>
      </w:r>
      <w:r>
        <w:t xml:space="preserve"> </w:t>
      </w:r>
      <w:r>
        <w:t xml:space="preserve">em 62% na mesma metanálise. Pelo efeito no receptor de melanocortina 1, a pele bronzeia, lábios e pintas ficam mais escuros, e cabelos ruivos podem ficar castanhos. Em uma observação de até 46 meses, o bronzeamento se estabilizou com o tempo; não ocorreram alterações cutâneas malignas</w:t>
      </w:r>
      <w:r>
        <w:rPr>
          <w:rStyle w:val="FootnoteReference"/>
        </w:rPr>
        <w:footnoteReference w:id="815"/>
      </w:r>
      <w:r>
        <w:t xml:space="preserve">. Especialistas recomendam exames regulares da pele.</w:t>
      </w:r>
    </w:p>
    <w:p>
      <w:pPr>
        <w:numPr>
          <w:ilvl w:val="0"/>
          <w:numId w:val="1101"/>
        </w:numPr>
        <w:pStyle w:val="Compact"/>
      </w:pPr>
      <w:r>
        <w:rPr>
          <w:bCs/>
          <w:b/>
        </w:rPr>
        <w:t xml:space="preserve">Náusea e vômitos:</w:t>
      </w:r>
      <w:r>
        <w:t xml:space="preserve"> </w:t>
      </w:r>
      <w:r>
        <w:t xml:space="preserve">em 36% e 26%, respectivamente; diarreia em 21%</w:t>
      </w:r>
      <w:r>
        <w:rPr>
          <w:rStyle w:val="FootnoteReference"/>
        </w:rPr>
        <w:footnoteReference w:id="816"/>
      </w:r>
      <w:r>
        <w:t xml:space="preserve">.</w:t>
      </w:r>
    </w:p>
    <w:p>
      <w:pPr>
        <w:numPr>
          <w:ilvl w:val="0"/>
          <w:numId w:val="1101"/>
        </w:numPr>
        <w:pStyle w:val="Compact"/>
      </w:pPr>
      <w:r>
        <w:rPr>
          <w:bCs/>
          <w:b/>
        </w:rPr>
        <w:t xml:space="preserve">Eventos adversos graves:</w:t>
      </w:r>
      <w:r>
        <w:t xml:space="preserve"> </w:t>
      </w:r>
      <w:r>
        <w:t xml:space="preserve">no TRANSCEND, mais frequentes com setmelanotida (28% vs. 8%)</w:t>
      </w:r>
      <w:r>
        <w:rPr>
          <w:rStyle w:val="FootnoteReference"/>
        </w:rPr>
        <w:footnoteReference w:id="817"/>
      </w:r>
      <w:r>
        <w:t xml:space="preserve">; o resumo não os detalha individualmente.</w:t>
      </w:r>
    </w:p>
    <w:p>
      <w:pPr>
        <w:numPr>
          <w:ilvl w:val="0"/>
          <w:numId w:val="1101"/>
        </w:numPr>
        <w:pStyle w:val="Compact"/>
      </w:pPr>
      <w:r>
        <w:t xml:space="preserve">No estudo de BBS, foram relatados como eventos graves, entre outros, pensamentos suicidas, que não foram classificados como relacionados ao tratamento</w:t>
      </w:r>
      <w:r>
        <w:rPr>
          <w:rStyle w:val="FootnoteReference"/>
        </w:rPr>
        <w:footnoteReference w:id="818"/>
      </w:r>
      <w:r>
        <w:t xml:space="preserve">. A bula profissional contém advertências sobre depressão e pensamentos suicidas, bem como sobre ereções espontâneas em homens.</w:t>
      </w:r>
    </w:p>
    <w:p>
      <w:pPr>
        <w:pStyle w:val="FirstParagraph"/>
      </w:pPr>
      <w:r>
        <w:rPr>
          <w:bCs/>
          <w:b/>
        </w:rPr>
        <w:t xml:space="preserve">Teórico:</w:t>
      </w:r>
      <w:r>
        <w:t xml:space="preserve"> </w:t>
      </w:r>
      <w:r>
        <w:t xml:space="preserve">se a estimulação contínua das células pigmentares influencia a longo prazo o risco de câncer de pele não está esclarecido; as observações até agora, ao longo de alguns anos, não mostram sinal.</w:t>
      </w:r>
    </w:p>
    <w:p>
      <w:pPr>
        <w:pStyle w:val="BodyText"/>
      </w:pPr>
      <w:r>
        <w:rPr>
          <w:bCs/>
          <w:b/>
        </w:rPr>
        <w:t xml:space="preserve">Potencial de uso indevido:</w:t>
      </w:r>
      <w:r>
        <w:t xml:space="preserve"> </w:t>
      </w:r>
      <w:r>
        <w:t xml:space="preserve">por causa do efeito bronzeador, a setmelanotida é ocasionalmente associada ao melanotan II em fóruns na internet. Para pessoas sem defeito genético comprovado, ela não é um meio adequado para emagrecer e não foi estudada para isso.</w:t>
      </w:r>
    </w:p>
    <w:bookmarkEnd w:id="819"/>
    <w:bookmarkStart w:id="820" w:name="situação-legal-12"/>
    <w:p>
      <w:pPr>
        <w:pStyle w:val="Heading3"/>
      </w:pPr>
      <w:r>
        <w:t xml:space="preserve">Situação legal</w:t>
      </w:r>
    </w:p>
    <w:p>
      <w:pPr>
        <w:numPr>
          <w:ilvl w:val="0"/>
          <w:numId w:val="1102"/>
        </w:numPr>
        <w:pStyle w:val="Compact"/>
      </w:pPr>
      <w:r>
        <w:rPr>
          <w:bCs/>
          <w:b/>
        </w:rPr>
        <w:t xml:space="preserve">UE / Áustria / Alemanha:</w:t>
      </w:r>
      <w:r>
        <w:t xml:space="preserve"> </w:t>
      </w:r>
      <w:r>
        <w:t xml:space="preserve">aprovada (Imcivree), sujeita a prescrição médica, apenas para formas confirmadas geneticamente (deficiência de POMC, PCSK1, receptor de leptina, síndrome de Bardet-Biedl). O diagnóstico exige um exame genético; o início e o acompanhamento cabem a centros especializados. Detalhes sobre a ampliação para obesidade hipotalâmica:</w:t>
      </w:r>
    </w:p>
    <w:p>
      <w:pPr>
        <w:numPr>
          <w:ilvl w:val="0"/>
          <w:numId w:val="1102"/>
        </w:numPr>
        <w:pStyle w:val="Compact"/>
      </w:pPr>
      <w:r>
        <w:rPr>
          <w:bCs/>
          <w:b/>
        </w:rPr>
        <w:t xml:space="preserve">EUA:</w:t>
      </w:r>
      <w:r>
        <w:t xml:space="preserve"> </w:t>
      </w:r>
      <w:r>
        <w:t xml:space="preserve">aprovada desde 2020 (POMC, PCSK1, LEPR), depois ampliada para a síndrome de Bardet-Biedl e para crianças mais novas; um pedido para obesidade hipotalâmica foi apresentado com base no TRANSCEND.</w:t>
      </w:r>
    </w:p>
    <w:p>
      <w:pPr>
        <w:numPr>
          <w:ilvl w:val="0"/>
          <w:numId w:val="1102"/>
        </w:numPr>
        <w:pStyle w:val="Compact"/>
      </w:pPr>
      <w:r>
        <w:rPr>
          <w:bCs/>
          <w:b/>
        </w:rPr>
        <w:t xml:space="preserve">Esporte:</w:t>
      </w:r>
      <w:r>
        <w:t xml:space="preserve"> </w:t>
      </w:r>
      <w:r>
        <w:t xml:space="preserve">não mencionada na lista da WADA (situação em 2026, verificar atualização).</w:t>
      </w:r>
    </w:p>
    <w:bookmarkEnd w:id="820"/>
    <w:bookmarkStart w:id="827" w:name="estudos-em-andamento-e-perspectivas-12"/>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103"/>
        </w:numPr>
        <w:pStyle w:val="Compact"/>
      </w:pPr>
      <w:r>
        <w:t xml:space="preserve">O</w:t>
      </w:r>
      <w:r>
        <w:t xml:space="preserve"> </w:t>
      </w:r>
      <w:r>
        <w:rPr>
          <w:bCs/>
          <w:b/>
        </w:rPr>
        <w:t xml:space="preserve">TRANSCEND</w:t>
      </w:r>
      <w:r>
        <w:rPr>
          <w:rStyle w:val="FootnoteReference"/>
        </w:rPr>
        <w:footnoteReference w:id="821"/>
      </w:r>
      <w:r>
        <w:t xml:space="preserve"> </w:t>
      </w:r>
      <w:r>
        <w:t xml:space="preserve">continua em uma extensão; um subestudo investiga a obesidade hipotalâmica congênita</w:t>
      </w:r>
      <w:r>
        <w:rPr>
          <w:rStyle w:val="FootnoteReference"/>
        </w:rPr>
        <w:footnoteReference w:id="822"/>
      </w:r>
      <w:r>
        <w:t xml:space="preserve">.</w:t>
      </w:r>
    </w:p>
    <w:p>
      <w:pPr>
        <w:numPr>
          <w:ilvl w:val="0"/>
          <w:numId w:val="1103"/>
        </w:numPr>
        <w:pStyle w:val="Compact"/>
      </w:pPr>
      <w:r>
        <w:rPr>
          <w:bCs/>
          <w:b/>
        </w:rPr>
        <w:t xml:space="preserve">Síndrome de Prader-Willi</w:t>
      </w:r>
      <w:r>
        <w:rPr>
          <w:rStyle w:val="FootnoteReference"/>
        </w:rPr>
        <w:footnoteReference w:id="823"/>
      </w:r>
      <w:r>
        <w:t xml:space="preserve">: fase 2 com 18 participantes.</w:t>
      </w:r>
    </w:p>
    <w:p>
      <w:pPr>
        <w:numPr>
          <w:ilvl w:val="0"/>
          <w:numId w:val="1103"/>
        </w:numPr>
        <w:pStyle w:val="Compact"/>
      </w:pPr>
      <w:r>
        <w:rPr>
          <w:bCs/>
          <w:b/>
        </w:rPr>
        <w:t xml:space="preserve">Observação de longo prazo</w:t>
      </w:r>
      <w:r>
        <w:t xml:space="preserve"> </w:t>
      </w:r>
      <w:r>
        <w:t xml:space="preserve">em BBS e obesidade genética grave na prática clínica</w:t>
      </w:r>
      <w:r>
        <w:rPr>
          <w:rStyle w:val="FootnoteReference"/>
        </w:rPr>
        <w:footnoteReference w:id="824"/>
      </w:r>
      <w:r>
        <w:t xml:space="preserve">.</w:t>
      </w:r>
    </w:p>
    <w:p>
      <w:pPr>
        <w:numPr>
          <w:ilvl w:val="0"/>
          <w:numId w:val="1103"/>
        </w:numPr>
        <w:pStyle w:val="Compact"/>
      </w:pPr>
      <w:r>
        <w:rPr>
          <w:bCs/>
          <w:b/>
        </w:rPr>
        <w:t xml:space="preserve">EMANATE</w:t>
      </w:r>
      <w:r>
        <w:rPr>
          <w:rStyle w:val="FootnoteReference"/>
        </w:rPr>
        <w:footnoteReference w:id="825"/>
      </w:r>
      <w:r>
        <w:t xml:space="preserve"> </w:t>
      </w:r>
      <w:r>
        <w:t xml:space="preserve">e</w:t>
      </w:r>
      <w:r>
        <w:t xml:space="preserve"> </w:t>
      </w:r>
      <w:r>
        <w:rPr>
          <w:bCs/>
          <w:b/>
        </w:rPr>
        <w:t xml:space="preserve">DAYBREAK</w:t>
      </w:r>
      <w:r>
        <w:rPr>
          <w:rStyle w:val="FootnoteReference"/>
        </w:rPr>
        <w:footnoteReference w:id="826"/>
      </w:r>
      <w:r>
        <w:t xml:space="preserve"> </w:t>
      </w:r>
      <w:r>
        <w:t xml:space="preserve">sobre outras variantes genéticas: concluídos, publicação pendente.</w:t>
      </w:r>
    </w:p>
    <w:p>
      <w:pPr>
        <w:pStyle w:val="FirstParagraph"/>
      </w:pPr>
      <w:r>
        <w:rPr>
          <w:bCs/>
          <w:b/>
        </w:rPr>
        <w:t xml:space="preserve">Avaliação:</w:t>
      </w:r>
      <w:r>
        <w:t xml:space="preserve"> </w:t>
      </w:r>
      <w:r>
        <w:t xml:space="preserve">a setmelanotida mostrou que a medicina de precisão é possível na obesidade: quem conhece a causa pode tratar de forma direcionada. O grupo-alvo continua pequeno; com a obesidade hipotalâmica, porém, poderia se ampliar consideravelmente. Para a grande maioria das pessoas com obesidade, nas quais não há esse tipo de defeito genético, os medicamentos baseados em GLP-1 são mais eficazes e mais bem estudados.</w:t>
      </w:r>
    </w:p>
    <w:bookmarkEnd w:id="827"/>
    <w:bookmarkStart w:id="828" w:name="conclusão-12"/>
    <w:p>
      <w:pPr>
        <w:pStyle w:val="Heading3"/>
      </w:pPr>
      <w:r>
        <w:t xml:space="preserve">Conclusão</w:t>
      </w:r>
    </w:p>
    <w:p>
      <w:pPr>
        <w:pStyle w:val="FirstParagraph"/>
      </w:pPr>
      <w:r>
        <w:t xml:space="preserve">A setmelanotida é um pequeno peptídeo cíclico que ativa o receptor MC4 no cérebro e assim faz uma ponte sobre elos defeituosos da via de sinalização leptina-melanocortina. Em pequenos estudos de aprovação, 80% das pessoas com deficiência de POMC e 45% com deficiência do receptor de leptina perderam pelo menos 10% do peso; na obesidade hipotalâmica, o IMC caiu 16,5% após um ano, contra um aumento com placebo. Quase todas as pessoas tratadas apresentam reações cutâneas no local da injeção, e a maioria, pele mais escura. A setmelanotida está aprovada na UE e nos EUA para formas genéticas raras de obesidade e não é um medicamento para a perda de peso em geral.</w:t>
      </w:r>
    </w:p>
    <w:bookmarkEnd w:id="828"/>
    <w:bookmarkEnd w:id="829"/>
    <w:bookmarkStart w:id="854" w:name="aod-9604"/>
    <w:p>
      <w:pPr>
        <w:pStyle w:val="Heading2"/>
      </w:pPr>
      <w:r>
        <w:t xml:space="preserve">AOD-9604</w:t>
      </w:r>
    </w:p>
    <w:bookmarkStart w:id="831" w:name="ficha-técnica-13"/>
    <w:p>
      <w:pPr>
        <w:pStyle w:val="Heading3"/>
      </w:pPr>
      <w:r>
        <w:t xml:space="preserve">Ficha técnica</w:t>
      </w:r>
    </w:p>
    <w:p>
      <w:pPr>
        <w:numPr>
          <w:ilvl w:val="0"/>
          <w:numId w:val="1104"/>
        </w:numPr>
        <w:pStyle w:val="Compact"/>
      </w:pPr>
      <w:r>
        <w:rPr>
          <w:bCs/>
          <w:b/>
        </w:rPr>
        <w:t xml:space="preserve">Tipo/estrutura:</w:t>
      </w:r>
      <w:r>
        <w:t xml:space="preserve"> </w:t>
      </w:r>
      <w:r>
        <w:t xml:space="preserve">peptídeo sintético da extremidade final (C-terminal) do hormônio do crescimento humano: os aminoácidos 177 a 191, acrescidos de uma tirosina adicional no início</w:t>
      </w:r>
      <w:r>
        <w:rPr>
          <w:rStyle w:val="FootnoteReference"/>
        </w:rPr>
        <w:footnoteReference w:id="830"/>
      </w:r>
      <w:r>
        <w:t xml:space="preserve">. Na internet, muitas vezes oferecido com denominações como</w:t>
      </w:r>
      <w:r>
        <w:t xml:space="preserve"> </w:t>
      </w:r>
      <w:r>
        <w:t xml:space="preserve">“</w:t>
      </w:r>
      <w:r>
        <w:t xml:space="preserve">hGH Fragment 176-191</w:t>
      </w:r>
      <w:r>
        <w:t xml:space="preserve">”</w:t>
      </w:r>
      <w:r>
        <w:t xml:space="preserve"> </w:t>
      </w:r>
      <w:r>
        <w:t xml:space="preserve">ou</w:t>
      </w:r>
      <w:r>
        <w:t xml:space="preserve"> </w:t>
      </w:r>
      <w:r>
        <w:t xml:space="preserve">“</w:t>
      </w:r>
      <w:r>
        <w:t xml:space="preserve">Frag 176-191</w:t>
      </w:r>
      <w:r>
        <w:t xml:space="preserve">”</w:t>
      </w:r>
      <w:r>
        <w:t xml:space="preserve">. O nome significa</w:t>
      </w:r>
      <w:r>
        <w:t xml:space="preserve"> </w:t>
      </w:r>
      <w:r>
        <w:t xml:space="preserve">“</w:t>
      </w:r>
      <w:r>
        <w:t xml:space="preserve">Anti-Obesity Drug 9604</w:t>
      </w:r>
      <w:r>
        <w:t xml:space="preserve">”</w:t>
      </w:r>
      <w:r>
        <w:t xml:space="preserve">.</w:t>
      </w:r>
    </w:p>
    <w:p>
      <w:pPr>
        <w:numPr>
          <w:ilvl w:val="0"/>
          <w:numId w:val="1104"/>
        </w:numPr>
        <w:pStyle w:val="Compact"/>
      </w:pPr>
      <w:r>
        <w:rPr>
          <w:bCs/>
          <w:b/>
        </w:rPr>
        <w:t xml:space="preserve">Origem:</w:t>
      </w:r>
      <w:r>
        <w:t xml:space="preserve"> </w:t>
      </w:r>
      <w:r>
        <w:t xml:space="preserve">desenvolvido nos anos 1990 na Monash University, em Melbourne, e levado adiante pela empresa australiana Metabolic Pharmaceuticals como medicamento para emagrecer.</w:t>
      </w:r>
    </w:p>
    <w:p>
      <w:pPr>
        <w:numPr>
          <w:ilvl w:val="0"/>
          <w:numId w:val="1104"/>
        </w:numPr>
        <w:pStyle w:val="Compact"/>
      </w:pPr>
      <w:r>
        <w:rPr>
          <w:bCs/>
          <w:b/>
        </w:rPr>
        <w:t xml:space="preserve">Princípio de ação (hipótese):</w:t>
      </w:r>
      <w:r>
        <w:t xml:space="preserve"> </w:t>
      </w:r>
      <w:r>
        <w:t xml:space="preserve">deveria imitar o efeito de degradação de gordura do hormônio do crescimento, sem o seu efeito sobre a glicemia e o crescimento.</w:t>
      </w:r>
    </w:p>
    <w:p>
      <w:pPr>
        <w:numPr>
          <w:ilvl w:val="0"/>
          <w:numId w:val="1104"/>
        </w:numPr>
        <w:pStyle w:val="Compact"/>
      </w:pPr>
      <w:r>
        <w:rPr>
          <w:bCs/>
          <w:b/>
        </w:rPr>
        <w:t xml:space="preserve">Aprovação UE / EUA:</w:t>
      </w:r>
      <w:r>
        <w:t xml:space="preserve"> </w:t>
      </w:r>
      <w:r>
        <w:t xml:space="preserve">não. O desenvolvimento como medicamento foi encerrado após estudos de fase 2.</w:t>
      </w:r>
    </w:p>
    <w:p>
      <w:pPr>
        <w:numPr>
          <w:ilvl w:val="0"/>
          <w:numId w:val="1104"/>
        </w:numPr>
        <w:pStyle w:val="Compact"/>
      </w:pPr>
      <w:r>
        <w:rPr>
          <w:bCs/>
          <w:b/>
        </w:rPr>
        <w:t xml:space="preserve">WADA:</w:t>
      </w:r>
      <w:r>
        <w:t xml:space="preserve"> </w:t>
      </w:r>
      <w:r>
        <w:t xml:space="preserve">proibido – fragmentos do hormônio do crescimento como o AOD-9604 são mencionados expressamente na lista de proibições, na classe S2.</w:t>
      </w:r>
    </w:p>
    <w:p>
      <w:pPr>
        <w:numPr>
          <w:ilvl w:val="0"/>
          <w:numId w:val="1104"/>
        </w:numPr>
        <w:pStyle w:val="Compact"/>
      </w:pPr>
      <w:r>
        <w:rPr>
          <w:bCs/>
          <w:b/>
        </w:rPr>
        <w:t xml:space="preserve">Nível de evidência:</w:t>
      </w:r>
      <w:r>
        <w:t xml:space="preserve"> </w:t>
      </w:r>
      <w:r>
        <w:rPr>
          <w:bCs/>
          <w:b/>
        </w:rPr>
        <w:t xml:space="preserve">D</w:t>
      </w:r>
      <w:r>
        <w:t xml:space="preserve"> </w:t>
      </w:r>
      <w:r>
        <w:t xml:space="preserve">– nenhum resultado publicado de estudos em humanos localizável no PubMed; dados de estudos em animais e em laboratório.</w:t>
      </w:r>
    </w:p>
    <w:bookmarkEnd w:id="831"/>
    <w:bookmarkStart w:id="835" w:name="como-deveria-agir-13"/>
    <w:p>
      <w:pPr>
        <w:pStyle w:val="Heading3"/>
      </w:pPr>
      <w:r>
        <w:t xml:space="preserve">Como deveria agir</w:t>
      </w:r>
    </w:p>
    <w:p>
      <w:pPr>
        <w:pStyle w:val="FirstParagraph"/>
      </w:pPr>
      <w:r>
        <w:t xml:space="preserve">O hormônio do crescimento (hGH) tem muitos efeitos: favorece o crescimento em altura, age sobre músculos e ossos, estimula a queima de gordura – e eleva a glicemia ao enfraquecer o efeito da insulina. Já nos anos 1970 e 1980, pesquisadores investigaram em animais se segmentos isolados do hormônio carregam efeitos parciais distintos. Digno de nota: em um estudo com ratos, versões quimicamente modificadas justamente desse segmento (aminoácidos 177 a 191) provocaram glicemia elevada e resistência à insulina</w:t>
      </w:r>
      <w:r>
        <w:rPr>
          <w:rStyle w:val="FootnoteReference"/>
        </w:rPr>
        <w:footnoteReference w:id="832"/>
      </w:r>
      <w:r>
        <w:t xml:space="preserve"> </w:t>
      </w:r>
      <w:r>
        <w:t xml:space="preserve">– ou seja, exatamente o efeito que o AOD-9604 deveria evitar mais tarde. Os resultados dependem, ao que parece, fortemente da forma química exata do peptídeo.</w:t>
      </w:r>
    </w:p>
    <w:p>
      <w:pPr>
        <w:pStyle w:val="BodyText"/>
      </w:pPr>
      <w:r>
        <w:t xml:space="preserve">A ideia por trás do AOD-9604: um pequeno trecho do final do hormônio deveria manter apenas o efeito de degradação de gordura. Pesquisas de laboratório mostraram que o AOD-9604 não se liga ao receptor do hormônio do crescimento e também não estimula ali a divisão celular</w:t>
      </w:r>
      <w:r>
        <w:rPr>
          <w:rStyle w:val="FootnoteReference"/>
        </w:rPr>
        <w:footnoteReference w:id="833"/>
      </w:r>
      <w:r>
        <w:t xml:space="preserve">. Ele não seria, portanto, um</w:t>
      </w:r>
      <w:r>
        <w:t xml:space="preserve"> </w:t>
      </w:r>
      <w:r>
        <w:t xml:space="preserve">“</w:t>
      </w:r>
      <w:r>
        <w:t xml:space="preserve">pequeno hormônio do crescimento</w:t>
      </w:r>
      <w:r>
        <w:t xml:space="preserve">”</w:t>
      </w:r>
      <w:r>
        <w:t xml:space="preserve">, mas uma molécula com um mecanismo de ação próprio, ainda não totalmente compreendido. Em experimentos com camundongos sem o adrenorreceptor beta-3 (um receptor importante para a degradação de gordura), o efeito de redução de peso a longo prazo não ocorreu; as autoras e autores concluíram que o receptor está envolvido, mas não é o alvo direto</w:t>
      </w:r>
      <w:r>
        <w:rPr>
          <w:rStyle w:val="FootnoteReference"/>
        </w:rPr>
        <w:footnoteReference w:id="834"/>
      </w:r>
      <w:r>
        <w:t xml:space="preserve">.</w:t>
      </w:r>
    </w:p>
    <w:bookmarkEnd w:id="835"/>
    <w:bookmarkStart w:id="837" w:name="estudos-em-humanos-13"/>
    <w:p>
      <w:pPr>
        <w:pStyle w:val="Heading3"/>
      </w:pPr>
      <w:r>
        <w:t xml:space="preserve">Estudos em humanos</w:t>
      </w:r>
    </w:p>
    <w:p>
      <w:pPr>
        <w:pStyle w:val="FirstParagraph"/>
      </w:pPr>
      <w:r>
        <w:rPr>
          <w:bCs/>
          <w:b/>
        </w:rPr>
        <w:t xml:space="preserve">Dimensão da base de estudos:</w:t>
      </w:r>
      <w:r>
        <w:t xml:space="preserve"> </w:t>
      </w:r>
      <w:r>
        <w:t xml:space="preserve">a consulta automatizada ao PubMed (outubro de 2026)</w:t>
      </w:r>
      <w:r>
        <w:t xml:space="preserve"> </w:t>
      </w:r>
      <w:r>
        <w:rPr>
          <w:bCs/>
          <w:b/>
        </w:rPr>
        <w:t xml:space="preserve">não</w:t>
      </w:r>
      <w:r>
        <w:t xml:space="preserve"> </w:t>
      </w:r>
      <w:r>
        <w:t xml:space="preserve">encontrou nenhum estudo em humanos publicado. No ClinicalTrials.gov, não há nenhum estudo registrado sob</w:t>
      </w:r>
      <w:r>
        <w:t xml:space="preserve"> </w:t>
      </w:r>
      <w:r>
        <w:t xml:space="preserve">“</w:t>
      </w:r>
      <w:r>
        <w:t xml:space="preserve">AOD9604</w:t>
      </w:r>
      <w:r>
        <w:t xml:space="preserve">”</w:t>
      </w:r>
      <w:r>
        <w:t xml:space="preserve"> </w:t>
      </w:r>
      <w:r>
        <w:t xml:space="preserve">ou</w:t>
      </w:r>
      <w:r>
        <w:t xml:space="preserve"> </w:t>
      </w:r>
      <w:r>
        <w:t xml:space="preserve">“</w:t>
      </w:r>
      <w:r>
        <w:t xml:space="preserve">AOD-9604</w:t>
      </w:r>
      <w:r>
        <w:t xml:space="preserve">”</w:t>
      </w:r>
      <w:r>
        <w:t xml:space="preserve">.</w:t>
      </w:r>
    </w:p>
    <w:p>
      <w:pPr>
        <w:pStyle w:val="BodyText"/>
      </w:pPr>
      <w:r>
        <w:t xml:space="preserve">Isso não significa que o AOD-9604 nunca tenha sido testado em humanos. Artigos de revisão dos anos 2004 a 2006 relatam que o AOD-9604 estava em estudos de fase 2 para o tratamento da obesidade</w:t>
      </w:r>
      <w:r>
        <w:rPr>
          <w:rStyle w:val="FootnoteReference"/>
        </w:rPr>
        <w:footnoteReference w:id="836"/>
      </w:r>
      <w:r>
        <w:t xml:space="preserve">. Os resultados desses estudos, porém, não foram publicados em uma revista revisada por pares indexada no PubMed. Segundo informações publicamente acessíveis, o desenvolvedor encerrou o programa de emagrecimento na segunda metade dos anos 2000, porque não se observou um efeito suficiente. Como essas informações não vêm de uma publicação de estudo verificável, este livro não cita números a respeito.</w:t>
      </w:r>
    </w:p>
    <w:p>
      <w:pPr>
        <w:pStyle w:val="BodyText"/>
      </w:pPr>
      <w:r>
        <w:t xml:space="preserve">Para as leitoras e os leitores, isso significa: a quem hoje é oferecido o AOD-9604 como peptídeo para emagrecer ou</w:t>
      </w:r>
      <w:r>
        <w:t xml:space="preserve"> </w:t>
      </w:r>
      <w:r>
        <w:t xml:space="preserve">“</w:t>
      </w:r>
      <w:r>
        <w:t xml:space="preserve">queimador de gordura</w:t>
      </w:r>
      <w:r>
        <w:t xml:space="preserve">”</w:t>
      </w:r>
      <w:r>
        <w:t xml:space="preserve">, não há nenhum estudo publicado em humanos que comprove um efeito.</w:t>
      </w:r>
    </w:p>
    <w:bookmarkEnd w:id="837"/>
    <w:bookmarkStart w:id="842" w:name="estudos-em-animais-e-em-laboratório-13"/>
    <w:p>
      <w:pPr>
        <w:pStyle w:val="Heading3"/>
      </w:pPr>
      <w:r>
        <w:t xml:space="preserve">Estudos em animais e em laboratório</w:t>
      </w:r>
    </w:p>
    <w:p>
      <w:pPr>
        <w:pStyle w:val="FirstParagraph"/>
      </w:pPr>
      <w:r>
        <w:t xml:space="preserve">Todos os resultados a seguir vêm de experimentos com animais ou de pesquisas de laboratório:</w:t>
      </w:r>
    </w:p>
    <w:p>
      <w:pPr>
        <w:numPr>
          <w:ilvl w:val="0"/>
          <w:numId w:val="1105"/>
        </w:numPr>
        <w:pStyle w:val="Compact"/>
      </w:pPr>
      <w:r>
        <w:rPr>
          <w:bCs/>
          <w:b/>
        </w:rPr>
        <w:t xml:space="preserve">Em ratos com excesso de peso</w:t>
      </w:r>
      <w:r>
        <w:t xml:space="preserve"> </w:t>
      </w:r>
      <w:r>
        <w:t xml:space="preserve">(ratos Zucker), o AOD-9604, administrado na ração durante 19 dias, reduziu o ganho de peso em mais da metade; o tecido adiposo mostrou maior atividade de degradação de gordura. Diferentemente do hormônio do crescimento completo, a sensibilidade à insulina não piorou</w:t>
      </w:r>
      <w:r>
        <w:rPr>
          <w:rStyle w:val="FootnoteReference"/>
        </w:rPr>
        <w:footnoteReference w:id="838"/>
      </w:r>
      <w:r>
        <w:t xml:space="preserve">.</w:t>
      </w:r>
    </w:p>
    <w:p>
      <w:pPr>
        <w:numPr>
          <w:ilvl w:val="0"/>
          <w:numId w:val="1105"/>
        </w:numPr>
        <w:pStyle w:val="Compact"/>
      </w:pPr>
      <w:r>
        <w:rPr>
          <w:bCs/>
          <w:b/>
        </w:rPr>
        <w:t xml:space="preserve">Em camundongos com excesso de peso</w:t>
      </w:r>
      <w:r>
        <w:t xml:space="preserve">, tanto o hormônio do crescimento quanto o AOD-9604 reduziram em 14 dias o ganho de peso e aumentaram a queima de gordura. Ao contrário do hormônio do crescimento, o AOD-9604 não provocou glicemia elevada</w:t>
      </w:r>
      <w:r>
        <w:rPr>
          <w:rStyle w:val="FootnoteReference"/>
        </w:rPr>
        <w:footnoteReference w:id="839"/>
      </w:r>
      <w:r>
        <w:t xml:space="preserve">.</w:t>
      </w:r>
    </w:p>
    <w:p>
      <w:pPr>
        <w:numPr>
          <w:ilvl w:val="0"/>
          <w:numId w:val="1105"/>
        </w:numPr>
        <w:pStyle w:val="Compact"/>
      </w:pPr>
      <w:r>
        <w:rPr>
          <w:bCs/>
          <w:b/>
        </w:rPr>
        <w:t xml:space="preserve">Trabalhos preliminares mais antigos</w:t>
      </w:r>
      <w:r>
        <w:t xml:space="preserve"> </w:t>
      </w:r>
      <w:r>
        <w:t xml:space="preserve">em camundongos com o peptídeo aparentado hGH 177–191 mostraram um aumento menor do peso corporal e do tecido adiposo</w:t>
      </w:r>
      <w:r>
        <w:rPr>
          <w:rStyle w:val="FootnoteReference"/>
        </w:rPr>
        <w:footnoteReference w:id="840"/>
      </w:r>
      <w:r>
        <w:t xml:space="preserve">.</w:t>
      </w:r>
    </w:p>
    <w:p>
      <w:pPr>
        <w:numPr>
          <w:ilvl w:val="0"/>
          <w:numId w:val="1105"/>
        </w:numPr>
        <w:pStyle w:val="Compact"/>
      </w:pPr>
      <w:r>
        <w:rPr>
          <w:bCs/>
          <w:b/>
        </w:rPr>
        <w:t xml:space="preserve">Em coelhos</w:t>
      </w:r>
      <w:r>
        <w:t xml:space="preserve"> </w:t>
      </w:r>
      <w:r>
        <w:t xml:space="preserve">com artrose de joelho induzida artificialmente, injeções de AOD-9604 na articulação – sozinho ou junto com ácido hialurônico – melhoraram o estado da cartilagem</w:t>
      </w:r>
      <w:r>
        <w:rPr>
          <w:rStyle w:val="FootnoteReference"/>
        </w:rPr>
        <w:footnoteReference w:id="841"/>
      </w:r>
      <w:r>
        <w:t xml:space="preserve">. Esse achado é citado com frequência na internet como prova de um efeito</w:t>
      </w:r>
      <w:r>
        <w:t xml:space="preserve"> </w:t>
      </w:r>
      <w:r>
        <w:t xml:space="preserve">“</w:t>
      </w:r>
      <w:r>
        <w:t xml:space="preserve">regenerador das articulações</w:t>
      </w:r>
      <w:r>
        <w:t xml:space="preserve">”</w:t>
      </w:r>
      <w:r>
        <w:t xml:space="preserve"> </w:t>
      </w:r>
      <w:r>
        <w:t xml:space="preserve">em humanos; um estudo desse tipo em humanos não existe.</w:t>
      </w:r>
    </w:p>
    <w:p>
      <w:pPr>
        <w:pStyle w:val="FirstParagraph"/>
      </w:pPr>
      <w:r>
        <w:t xml:space="preserve">Os estudos em animais são pequenos, em parte antigos, e vêm predominantemente do círculo dos desenvolvedores.</w:t>
      </w:r>
    </w:p>
    <w:bookmarkEnd w:id="842"/>
    <w:bookmarkStart w:id="848" w:name="riscos-e-efeitos-colaterais-13"/>
    <w:p>
      <w:pPr>
        <w:pStyle w:val="Heading3"/>
      </w:pPr>
      <w:r>
        <w:t xml:space="preserve">Riscos e efeitos colaterais</w:t>
      </w:r>
    </w:p>
    <w:p>
      <w:pPr>
        <w:pStyle w:val="FirstParagraph"/>
      </w:pPr>
      <w:r>
        <w:rPr>
          <w:bCs/>
          <w:b/>
        </w:rPr>
        <w:t xml:space="preserve">Comprovados:</w:t>
      </w:r>
      <w:r>
        <w:t xml:space="preserve"> </w:t>
      </w:r>
      <w:r>
        <w:t xml:space="preserve">por falta de estudos em humanos publicados, não há dados confiáveis sobre efeitos colaterais em humanos.</w:t>
      </w:r>
    </w:p>
    <w:p>
      <w:pPr>
        <w:pStyle w:val="BodyText"/>
      </w:pPr>
      <w:r>
        <w:rPr>
          <w:bCs/>
          <w:b/>
        </w:rPr>
        <w:t xml:space="preserve">A partir de análises de produtos do mercado cinza e do controle antidoping:</w:t>
      </w:r>
    </w:p>
    <w:p>
      <w:pPr>
        <w:numPr>
          <w:ilvl w:val="0"/>
          <w:numId w:val="1106"/>
        </w:numPr>
        <w:pStyle w:val="Compact"/>
      </w:pPr>
      <w:r>
        <w:t xml:space="preserve">O AOD-9604 é oferecido há anos em sites da internet e foi encontrado em frascos apreendidos, entre outros nos EUA</w:t>
      </w:r>
      <w:r>
        <w:rPr>
          <w:rStyle w:val="FootnoteReference"/>
        </w:rPr>
        <w:footnoteReference w:id="843"/>
      </w:r>
      <w:r>
        <w:t xml:space="preserve"> </w:t>
      </w:r>
      <w:r>
        <w:t xml:space="preserve">e na Bélgica, onde autoridades analisaram preparações de peptídeos desconhecidas</w:t>
      </w:r>
      <w:r>
        <w:rPr>
          <w:rStyle w:val="FootnoteReference"/>
        </w:rPr>
        <w:footnoteReference w:id="844"/>
      </w:r>
      <w:r>
        <w:t xml:space="preserve">.</w:t>
      </w:r>
    </w:p>
    <w:p>
      <w:pPr>
        <w:numPr>
          <w:ilvl w:val="0"/>
          <w:numId w:val="1106"/>
        </w:numPr>
        <w:pStyle w:val="Compact"/>
      </w:pPr>
      <w:r>
        <w:t xml:space="preserve">Artigos de revisão sobre peptídeos no esporte e no mercado cinza enfatizam que, para o AOD-9604 e substâncias semelhantes, quase não há dados de segurança confiáveis em humanos e que a composição, a dose e a pureza dos produtos são incertas</w:t>
      </w:r>
      <w:r>
        <w:rPr>
          <w:rStyle w:val="FootnoteReference"/>
        </w:rPr>
        <w:footnoteReference w:id="845"/>
      </w:r>
      <w:r>
        <w:t xml:space="preserve">. Outra revisão aponta para produtos rotulados incorretamente ou contaminados no comércio não regulamentado</w:t>
      </w:r>
      <w:r>
        <w:rPr>
          <w:rStyle w:val="FootnoteReference"/>
        </w:rPr>
        <w:footnoteReference w:id="846"/>
      </w:r>
      <w:r>
        <w:t xml:space="preserve">.</w:t>
      </w:r>
    </w:p>
    <w:p>
      <w:pPr>
        <w:pStyle w:val="FirstParagraph"/>
      </w:pPr>
      <w:r>
        <w:rPr>
          <w:bCs/>
          <w:b/>
        </w:rPr>
        <w:t xml:space="preserve">Teóricos:</w:t>
      </w:r>
      <w:r>
        <w:t xml:space="preserve"> </w:t>
      </w:r>
      <w:r>
        <w:t xml:space="preserve">em todo produto injetável de fabricação não controlada há riscos por contaminantes, bactérias ou ingredientes errados (veja a Parte I e a Parte IV). Se o AOD-9604 – como o hormônio do crescimento – influencia a longo prazo o metabolismo ou o crescimento celular não foi estudado em humanos. Os dados de laboratório depõem contra um efeito direto no receptor do hormônio do crescimento</w:t>
      </w:r>
      <w:r>
        <w:rPr>
          <w:rStyle w:val="FootnoteReference"/>
        </w:rPr>
        <w:footnoteReference w:id="847"/>
      </w:r>
      <w:r>
        <w:t xml:space="preserve">.</w:t>
      </w:r>
    </w:p>
    <w:bookmarkEnd w:id="848"/>
    <w:bookmarkStart w:id="851" w:name="situação-legal-13"/>
    <w:p>
      <w:pPr>
        <w:pStyle w:val="Heading3"/>
      </w:pPr>
      <w:r>
        <w:t xml:space="preserve">Situação legal</w:t>
      </w:r>
    </w:p>
    <w:p>
      <w:pPr>
        <w:numPr>
          <w:ilvl w:val="0"/>
          <w:numId w:val="1107"/>
        </w:numPr>
        <w:pStyle w:val="Compact"/>
      </w:pPr>
      <w:r>
        <w:rPr>
          <w:bCs/>
          <w:b/>
        </w:rPr>
        <w:t xml:space="preserve">UE / Áustria / Alemanha:</w:t>
      </w:r>
      <w:r>
        <w:t xml:space="preserve"> </w:t>
      </w:r>
      <w:r>
        <w:t xml:space="preserve">não aprovado como medicamento. Produtos oferecidos para uso em humanos não podem ser comercializados segundo a legislação de medicamentos; avisos de</w:t>
      </w:r>
      <w:r>
        <w:t xml:space="preserve"> </w:t>
      </w:r>
      <w:r>
        <w:t xml:space="preserve">“</w:t>
      </w:r>
      <w:r>
        <w:t xml:space="preserve">for research use only</w:t>
      </w:r>
      <w:r>
        <w:t xml:space="preserve">”</w:t>
      </w:r>
      <w:r>
        <w:t xml:space="preserve"> </w:t>
      </w:r>
      <w:r>
        <w:t xml:space="preserve">não mudam isso.</w:t>
      </w:r>
    </w:p>
    <w:p>
      <w:pPr>
        <w:numPr>
          <w:ilvl w:val="0"/>
          <w:numId w:val="1107"/>
        </w:numPr>
        <w:pStyle w:val="Compact"/>
      </w:pPr>
      <w:r>
        <w:rPr>
          <w:bCs/>
          <w:b/>
        </w:rPr>
        <w:t xml:space="preserve">EUA:</w:t>
      </w:r>
      <w:r>
        <w:t xml:space="preserve"> </w:t>
      </w:r>
      <w:r>
        <w:t xml:space="preserve">não aprovado como medicamento. A FDA incluiu o AOD-9604 na lista de substâncias que, por preocupações de segurança, não podem ser manipuladas livremente por farmácias para a produção de medicamentos.</w:t>
      </w:r>
    </w:p>
    <w:p>
      <w:pPr>
        <w:numPr>
          <w:ilvl w:val="0"/>
          <w:numId w:val="1107"/>
        </w:numPr>
        <w:pStyle w:val="Compact"/>
      </w:pPr>
      <w:r>
        <w:rPr>
          <w:bCs/>
          <w:b/>
        </w:rPr>
        <w:t xml:space="preserve">Esporte:</w:t>
      </w:r>
      <w:r>
        <w:t xml:space="preserve"> </w:t>
      </w:r>
      <w:r>
        <w:t xml:space="preserve">expressamente proibido (lista de proibições da WADA, classe S2 – hormônios peptídicos, fatores de crescimento e substâncias relacionadas; fragmentos do hormônio do crescimento). O AOD-9604 ficou conhecido de um público mais amplo pelo escândalo de doping do clube de futebol australiano Essendon em 2013. Para controles antidoping, foram desenvolvidos métodos específicos de detecção na urina</w:t>
      </w:r>
      <w:r>
        <w:rPr>
          <w:rStyle w:val="FootnoteReference"/>
        </w:rPr>
        <w:footnoteReference w:id="849"/>
      </w:r>
      <w:r>
        <w:t xml:space="preserve">. O teste habitual de hormônio do crescimento não é influenciado pelo AOD-9604</w:t>
      </w:r>
      <w:r>
        <w:rPr>
          <w:rStyle w:val="FootnoteReference"/>
        </w:rPr>
        <w:footnoteReference w:id="850"/>
      </w:r>
      <w:r>
        <w:t xml:space="preserve"> </w:t>
      </w:r>
      <w:r>
        <w:t xml:space="preserve">– o fragmento precisa, portanto, ser procurado de forma específica. Situação em 2026, verificar atualização.</w:t>
      </w:r>
    </w:p>
    <w:bookmarkEnd w:id="851"/>
    <w:bookmarkStart w:id="852" w:name="estudos-em-andamento-e-perspectivas-13"/>
    <w:p>
      <w:pPr>
        <w:pStyle w:val="Heading3"/>
      </w:pPr>
      <w:r>
        <w:t xml:space="preserve">Estudos em andamento e perspectivas</w:t>
      </w:r>
    </w:p>
    <w:p>
      <w:pPr>
        <w:pStyle w:val="FirstParagraph"/>
      </w:pPr>
      <w:r>
        <w:rPr>
          <w:bCs/>
          <w:b/>
        </w:rPr>
        <w:t xml:space="preserve">Confirmado:</w:t>
      </w:r>
      <w:r>
        <w:t xml:space="preserve"> </w:t>
      </w:r>
      <w:r>
        <w:t xml:space="preserve">no ClinicalTrials.gov não há nenhum estudo em andamento sobre AOD-9604 registrado (consulta de outubro de 2026).</w:t>
      </w:r>
    </w:p>
    <w:p>
      <w:pPr>
        <w:pStyle w:val="BodyText"/>
      </w:pPr>
      <w:r>
        <w:rPr>
          <w:bCs/>
          <w:b/>
        </w:rPr>
        <w:t xml:space="preserve">Avaliação:</w:t>
      </w:r>
      <w:r>
        <w:t xml:space="preserve"> </w:t>
      </w:r>
      <w:r>
        <w:t xml:space="preserve">não há caminho visível pelo qual o AOD-9604 possa se tornar um medicamento aprovado em um futuro previsível. Com as substâncias baseadas em GLP-1, existem hoje medicamentos para emagrecer com eficácia grande e bem documentada; um peptídeo cujo próprio desenvolvimento como agente para emagrecer não teve sucesso dificilmente despertará novo interesse de investidores. O AOD-9604 provavelmente continuará sendo um produto do mercado cinza.</w:t>
      </w:r>
    </w:p>
    <w:bookmarkEnd w:id="852"/>
    <w:bookmarkStart w:id="853" w:name="conclusão-13"/>
    <w:p>
      <w:pPr>
        <w:pStyle w:val="Heading3"/>
      </w:pPr>
      <w:r>
        <w:t xml:space="preserve">Conclusão</w:t>
      </w:r>
    </w:p>
    <w:p>
      <w:pPr>
        <w:pStyle w:val="FirstParagraph"/>
      </w:pPr>
      <w:r>
        <w:t xml:space="preserve">O AOD-9604 é um pequeno trecho do hormônio do crescimento que, em ratos e camundongos, estimulou a degradação de gordura sem elevar a glicemia. Estudos em humanos chegaram a ser realizados nos anos 2000, mas seus resultados não foram publicados em revistas revisadas por pares, e o desenvolvimento como medicamento para emagrecer foi encerrado. Por isso, faltam completamente dados confiáveis sobre eficácia e segurança em humanos. O AOD-9604 não está aprovado como medicamento em lugar nenhum e é expressamente proibido no esporte.</w:t>
      </w:r>
    </w:p>
    <w:bookmarkEnd w:id="853"/>
    <w:bookmarkEnd w:id="854"/>
    <w:bookmarkStart w:id="891" w:name="orforglipron-para-comparação"/>
    <w:p>
      <w:pPr>
        <w:pStyle w:val="Heading2"/>
      </w:pPr>
      <w:r>
        <w:t xml:space="preserve">Orforglipron (para comparação)</w:t>
      </w:r>
    </w:p>
    <w:bookmarkStart w:id="855" w:name="ficha-técnica-14"/>
    <w:p>
      <w:pPr>
        <w:pStyle w:val="Heading3"/>
      </w:pPr>
      <w:r>
        <w:t xml:space="preserve">Ficha técnica</w:t>
      </w:r>
    </w:p>
    <w:p>
      <w:pPr>
        <w:numPr>
          <w:ilvl w:val="0"/>
          <w:numId w:val="1108"/>
        </w:numPr>
        <w:pStyle w:val="Compact"/>
      </w:pPr>
      <w:r>
        <w:rPr>
          <w:bCs/>
          <w:b/>
        </w:rPr>
        <w:t xml:space="preserve">Tipo/estrutura:</w:t>
      </w:r>
      <w:r>
        <w:t xml:space="preserve"> </w:t>
      </w:r>
      <w:r>
        <w:rPr>
          <w:bCs/>
          <w:b/>
        </w:rPr>
        <w:t xml:space="preserve">não é um peptídeo</w:t>
      </w:r>
      <w:r>
        <w:t xml:space="preserve">, mas uma molécula pequena, produzida quimicamente (</w:t>
      </w:r>
      <w:r>
        <w:t xml:space="preserve">“</w:t>
      </w:r>
      <w:r>
        <w:t xml:space="preserve">small molecule</w:t>
      </w:r>
      <w:r>
        <w:t xml:space="preserve">”</w:t>
      </w:r>
      <w:r>
        <w:t xml:space="preserve">), que age no receptor de GLP-1 como um peptídeo. Código de desenvolvimento LY3502970. Tomado uma vez ao dia como comprimido ou cápsula.</w:t>
      </w:r>
    </w:p>
    <w:p>
      <w:pPr>
        <w:numPr>
          <w:ilvl w:val="0"/>
          <w:numId w:val="1108"/>
        </w:numPr>
        <w:pStyle w:val="Compact"/>
      </w:pPr>
      <w:r>
        <w:rPr>
          <w:bCs/>
          <w:b/>
        </w:rPr>
        <w:t xml:space="preserve">Origem:</w:t>
      </w:r>
      <w:r>
        <w:t xml:space="preserve"> </w:t>
      </w:r>
      <w:r>
        <w:t xml:space="preserve">descoberto originalmente pela Chugai Pharmaceutical, licenciado e desenvolvido pela Eli Lilly.</w:t>
      </w:r>
    </w:p>
    <w:p>
      <w:pPr>
        <w:numPr>
          <w:ilvl w:val="0"/>
          <w:numId w:val="1108"/>
        </w:numPr>
        <w:pStyle w:val="Compact"/>
      </w:pPr>
      <w:r>
        <w:rPr>
          <w:bCs/>
          <w:b/>
        </w:rPr>
        <w:t xml:space="preserve">Princípio de ação:</w:t>
      </w:r>
      <w:r>
        <w:t xml:space="preserve"> </w:t>
      </w:r>
      <w:r>
        <w:t xml:space="preserve">agonista do receptor de GLP-1 – o mesmo alvo da semaglutida ou da liraglutida, mas com uma estrutura química completamente diferente.</w:t>
      </w:r>
    </w:p>
    <w:p>
      <w:pPr>
        <w:numPr>
          <w:ilvl w:val="0"/>
          <w:numId w:val="1108"/>
        </w:numPr>
        <w:pStyle w:val="Compact"/>
      </w:pPr>
      <w:r>
        <w:rPr>
          <w:bCs/>
          <w:b/>
        </w:rPr>
        <w:t xml:space="preserve">Aprovação UE / EUA:</w:t>
      </w:r>
      <w:r>
        <w:t xml:space="preserve"> </w:t>
      </w:r>
      <w:r>
        <w:t xml:space="preserve">segundo a situação da pesquisa para este livro (outubro de 2026), não registrado como aprovado; pedidos de aprovação foram apresentados ou anunciados com base nos estudos de fase 3 – verificar atualização.</w:t>
      </w:r>
    </w:p>
    <w:p>
      <w:pPr>
        <w:numPr>
          <w:ilvl w:val="0"/>
          <w:numId w:val="1108"/>
        </w:numPr>
        <w:pStyle w:val="Compact"/>
      </w:pPr>
      <w:r>
        <w:rPr>
          <w:bCs/>
          <w:b/>
        </w:rPr>
        <w:t xml:space="preserve">WADA:</w:t>
      </w:r>
      <w:r>
        <w:t xml:space="preserve"> </w:t>
      </w:r>
      <w:r>
        <w:t xml:space="preserve">não listado nominalmente; enquanto não estiver aprovado em lugar nenhum, proibido sob S0.</w:t>
      </w:r>
    </w:p>
    <w:p>
      <w:pPr>
        <w:numPr>
          <w:ilvl w:val="0"/>
          <w:numId w:val="1108"/>
        </w:numPr>
        <w:pStyle w:val="Compact"/>
      </w:pPr>
      <w:r>
        <w:rPr>
          <w:bCs/>
          <w:b/>
        </w:rPr>
        <w:t xml:space="preserve">Nível de evidência:</w:t>
      </w:r>
      <w:r>
        <w:t xml:space="preserve"> </w:t>
      </w:r>
      <w:r>
        <w:rPr>
          <w:bCs/>
          <w:b/>
        </w:rPr>
        <w:t xml:space="preserve">A</w:t>
      </w:r>
      <w:r>
        <w:t xml:space="preserve"> </w:t>
      </w:r>
      <w:r>
        <w:t xml:space="preserve">pela base de dados (vários grandes estudos de fase 3, incluindo estudo de segurança cardiovascular); a aprovação formal ainda está pendente ou deve ser verificada.</w:t>
      </w:r>
    </w:p>
    <w:bookmarkEnd w:id="855"/>
    <w:bookmarkStart w:id="857" w:name="X78bd2e39c76ad595e9c474c3f837793a7218dbd"/>
    <w:p>
      <w:pPr>
        <w:pStyle w:val="Heading3"/>
      </w:pPr>
      <w:r>
        <w:t xml:space="preserve">Por que este capítulo está em um livro sobre peptídeos</w:t>
      </w:r>
    </w:p>
    <w:p>
      <w:pPr>
        <w:pStyle w:val="FirstParagraph"/>
      </w:pPr>
      <w:r>
        <w:t xml:space="preserve">Todos os medicamentos GLP-1 até 2025 eram peptídeos. Peptídeos são em grande parte digeridos no trato gastrointestinal e quase não são absorvidos – por isso precisam ser injetados. A única exceção, a semaglutida em comprimido, precisa de um excipiente que facilita a absorção pela mucosa gástrica e de regras rígidas de uso: em jejum, com pouca água e com intervalo antes do café da manhã (veja o capítulo Semaglutida e a Parte I sobre a questão de como os peptídeos entram no corpo).</w:t>
      </w:r>
    </w:p>
    <w:p>
      <w:pPr>
        <w:pStyle w:val="BodyText"/>
      </w:pPr>
      <w:r>
        <w:t xml:space="preserve">O orforglipron contorna esse problema por princípio: como molécula pequena, é absorvido pelo intestino como um comprimido comum. Segundo os estudos, pode ser tomado sem levar em conta as refeições ou a quantidade de água</w:t>
      </w:r>
      <w:r>
        <w:rPr>
          <w:rStyle w:val="FootnoteReference"/>
        </w:rPr>
        <w:footnoteReference w:id="856"/>
      </w:r>
      <w:r>
        <w:t xml:space="preserve">. Com isso, o orforglipron é o caso de comparação mais importante para a questão de se o futuro dos medicamentos para emagrecer está mesmo nos peptídeos (veja a Parte V).</w:t>
      </w:r>
    </w:p>
    <w:bookmarkEnd w:id="857"/>
    <w:bookmarkStart w:id="859" w:name="como-deveria-agir-14"/>
    <w:p>
      <w:pPr>
        <w:pStyle w:val="Heading3"/>
      </w:pPr>
      <w:r>
        <w:t xml:space="preserve">Como deveria agir</w:t>
      </w:r>
    </w:p>
    <w:p>
      <w:pPr>
        <w:pStyle w:val="FirstParagraph"/>
      </w:pPr>
      <w:r>
        <w:t xml:space="preserve">O orforglipron se liga ao receptor de GLP-1 e desencadeia efeitos semelhantes aos dos agonistas peptídicos: menos apetite, esvaziamento gástrico retardado, mais insulina de forma dependente da glicose. Ele ativa apenas o receptor de GLP-1, não os receptores de GIP ou de glucagon. Pesquisas em pessoas com diabetes tipo 2 mostraram melhoras de marcadores da função das células beta e da sensibilidade à insulina</w:t>
      </w:r>
      <w:r>
        <w:rPr>
          <w:rStyle w:val="FootnoteReference"/>
        </w:rPr>
        <w:footnoteReference w:id="858"/>
      </w:r>
      <w:r>
        <w:t xml:space="preserve">.</w:t>
      </w:r>
    </w:p>
    <w:bookmarkEnd w:id="859"/>
    <w:bookmarkStart w:id="870" w:name="estudos-em-humanos-14"/>
    <w:p>
      <w:pPr>
        <w:pStyle w:val="Heading3"/>
      </w:pPr>
      <w:r>
        <w:t xml:space="preserve">Estudos em humanos</w:t>
      </w:r>
    </w:p>
    <w:p>
      <w:pPr>
        <w:pStyle w:val="FirstParagraph"/>
      </w:pPr>
      <w:r>
        <w:rPr>
          <w:bCs/>
          <w:b/>
        </w:rPr>
        <w:t xml:space="preserve">Dimensão da base de estudos:</w:t>
      </w:r>
      <w:r>
        <w:t xml:space="preserve"> </w:t>
      </w:r>
      <w:r>
        <w:t xml:space="preserve">a consulta automatizada ao PubMed (outubro de 2026) encontrou 20 estudos em humanos. No ClinicalTrials.gov havia 53 estudos registrados. Os programas de aprovação se chamam</w:t>
      </w:r>
      <w:r>
        <w:t xml:space="preserve"> </w:t>
      </w:r>
      <w:r>
        <w:rPr>
          <w:bCs/>
          <w:b/>
        </w:rPr>
        <w:t xml:space="preserve">ATTAIN</w:t>
      </w:r>
      <w:r>
        <w:t xml:space="preserve"> </w:t>
      </w:r>
      <w:r>
        <w:t xml:space="preserve">(obesidade) e</w:t>
      </w:r>
      <w:r>
        <w:t xml:space="preserve"> </w:t>
      </w:r>
      <w:r>
        <w:rPr>
          <w:bCs/>
          <w:b/>
        </w:rPr>
        <w:t xml:space="preserve">ACHIEVE</w:t>
      </w:r>
      <w:r>
        <w:t xml:space="preserve"> </w:t>
      </w:r>
      <w:r>
        <w:t xml:space="preserve">(diabetes tipo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Fase 2 obesidade (Wharton 2023), PMID 37351564</w:t>
            </w:r>
          </w:p>
        </w:tc>
        <w:tc>
          <w:tcPr/>
          <w:p>
            <w:pPr>
              <w:pStyle w:val="Compact"/>
              <w:jc w:val="left"/>
            </w:pPr>
            <w:r>
              <w:t xml:space="preserve">272 adultos sem diabetes, contra placebo</w:t>
            </w:r>
          </w:p>
        </w:tc>
        <w:tc>
          <w:tcPr/>
          <w:p>
            <w:pPr>
              <w:pStyle w:val="Compact"/>
              <w:jc w:val="left"/>
            </w:pPr>
            <w:r>
              <w:t xml:space="preserve">36 semanas</w:t>
            </w:r>
          </w:p>
        </w:tc>
        <w:tc>
          <w:tcPr/>
          <w:p>
            <w:pPr>
              <w:pStyle w:val="Compact"/>
              <w:jc w:val="left"/>
            </w:pPr>
            <w:r>
              <w:t xml:space="preserve">−9,4 a −14,7% de peso vs. −2,3%</w:t>
            </w:r>
          </w:p>
        </w:tc>
      </w:tr>
      <w:tr>
        <w:tc>
          <w:tcPr/>
          <w:p>
            <w:pPr>
              <w:pStyle w:val="Compact"/>
              <w:jc w:val="left"/>
            </w:pPr>
            <w:r>
              <w:t xml:space="preserve">ATTAIN-1 (Wharton 2025), PMID 40960239</w:t>
            </w:r>
          </w:p>
        </w:tc>
        <w:tc>
          <w:tcPr/>
          <w:p>
            <w:pPr>
              <w:pStyle w:val="Compact"/>
              <w:jc w:val="left"/>
            </w:pPr>
            <w:r>
              <w:t xml:space="preserve">3.127 adultos com obesidade sem diabetes, contra placebo</w:t>
            </w:r>
          </w:p>
        </w:tc>
        <w:tc>
          <w:tcPr/>
          <w:p>
            <w:pPr>
              <w:pStyle w:val="Compact"/>
              <w:jc w:val="left"/>
            </w:pPr>
            <w:r>
              <w:t xml:space="preserve">72 semanas</w:t>
            </w:r>
          </w:p>
        </w:tc>
        <w:tc>
          <w:tcPr/>
          <w:p>
            <w:pPr>
              <w:pStyle w:val="Compact"/>
              <w:jc w:val="left"/>
            </w:pPr>
            <w:r>
              <w:t xml:space="preserve">−7,5 / −8,4 / −11,2% vs. −2,1%</w:t>
            </w:r>
          </w:p>
        </w:tc>
      </w:tr>
      <w:tr>
        <w:tc>
          <w:tcPr/>
          <w:p>
            <w:pPr>
              <w:pStyle w:val="Compact"/>
              <w:jc w:val="left"/>
            </w:pPr>
            <w:r>
              <w:t xml:space="preserve">ATTAIN-2 (Horn 2026), PMID 41275875</w:t>
            </w:r>
          </w:p>
        </w:tc>
        <w:tc>
          <w:tcPr/>
          <w:p>
            <w:pPr>
              <w:pStyle w:val="Compact"/>
              <w:jc w:val="left"/>
            </w:pPr>
            <w:r>
              <w:t xml:space="preserve">1.613 adultos com obesidade e diabetes tipo 2</w:t>
            </w:r>
          </w:p>
        </w:tc>
        <w:tc>
          <w:tcPr/>
          <w:p>
            <w:pPr>
              <w:pStyle w:val="Compact"/>
              <w:jc w:val="left"/>
            </w:pPr>
            <w:r>
              <w:t xml:space="preserve">72 semanas</w:t>
            </w:r>
          </w:p>
        </w:tc>
        <w:tc>
          <w:tcPr/>
          <w:p>
            <w:pPr>
              <w:pStyle w:val="Compact"/>
              <w:jc w:val="left"/>
            </w:pPr>
            <w:r>
              <w:t xml:space="preserve">−5,1 / −7,0 / −9,6% vs. −2,5%</w:t>
            </w:r>
          </w:p>
        </w:tc>
      </w:tr>
      <w:tr>
        <w:tc>
          <w:tcPr/>
          <w:p>
            <w:pPr>
              <w:pStyle w:val="Compact"/>
              <w:jc w:val="left"/>
            </w:pPr>
            <w:r>
              <w:t xml:space="preserve">ATTAIN-MAINTAIN (Aronne 2026), PMID 42120723</w:t>
            </w:r>
          </w:p>
        </w:tc>
        <w:tc>
          <w:tcPr/>
          <w:p>
            <w:pPr>
              <w:pStyle w:val="Compact"/>
              <w:jc w:val="left"/>
            </w:pPr>
            <w:r>
              <w:t xml:space="preserve">376 adultos após tirzepatida ou semaglutida, troca vs. placebo</w:t>
            </w:r>
          </w:p>
        </w:tc>
        <w:tc>
          <w:tcPr/>
          <w:p>
            <w:pPr>
              <w:pStyle w:val="Compact"/>
              <w:jc w:val="left"/>
            </w:pPr>
            <w:r>
              <w:t xml:space="preserve">52 semanas</w:t>
            </w:r>
          </w:p>
        </w:tc>
        <w:tc>
          <w:tcPr/>
          <w:p>
            <w:pPr>
              <w:pStyle w:val="Compact"/>
              <w:jc w:val="left"/>
            </w:pPr>
            <w:r>
              <w:t xml:space="preserve">74,7% e 79,3% da perda de peso mantidos (placebo 49,2% e 37,6%)</w:t>
            </w:r>
          </w:p>
        </w:tc>
      </w:tr>
      <w:tr>
        <w:tc>
          <w:tcPr/>
          <w:p>
            <w:pPr>
              <w:pStyle w:val="Compact"/>
              <w:jc w:val="left"/>
            </w:pPr>
            <w:r>
              <w:t xml:space="preserve">ACHIEVE-1 (Rosenstock 2025), PMID 40544435</w:t>
            </w:r>
          </w:p>
        </w:tc>
        <w:tc>
          <w:tcPr/>
          <w:p>
            <w:pPr>
              <w:pStyle w:val="Compact"/>
              <w:jc w:val="left"/>
            </w:pPr>
            <w:r>
              <w:t xml:space="preserve">559 adultos com diabetes tipo 2 inicial</w:t>
            </w:r>
          </w:p>
        </w:tc>
        <w:tc>
          <w:tcPr/>
          <w:p>
            <w:pPr>
              <w:pStyle w:val="Compact"/>
              <w:jc w:val="left"/>
            </w:pPr>
            <w:r>
              <w:t xml:space="preserve">40 semanas</w:t>
            </w:r>
          </w:p>
        </w:tc>
        <w:tc>
          <w:tcPr/>
          <w:p>
            <w:pPr>
              <w:pStyle w:val="Compact"/>
              <w:jc w:val="left"/>
            </w:pPr>
            <w:r>
              <w:t xml:space="preserve">HbA1c −1,24 a −1,48 vs. −0,41</w:t>
            </w:r>
          </w:p>
        </w:tc>
      </w:tr>
      <w:tr>
        <w:tc>
          <w:tcPr/>
          <w:p>
            <w:pPr>
              <w:pStyle w:val="Compact"/>
              <w:jc w:val="left"/>
            </w:pPr>
            <w:r>
              <w:t xml:space="preserve">ACHIEVE-3 (Rosenstock 2026), PMID 41765029</w:t>
            </w:r>
          </w:p>
        </w:tc>
        <w:tc>
          <w:tcPr/>
          <w:p>
            <w:pPr>
              <w:pStyle w:val="Compact"/>
              <w:jc w:val="left"/>
            </w:pPr>
            <w:r>
              <w:t xml:space="preserve">1.698 adultos com diabetes tipo 2, aberto contra semaglutida em comprimido</w:t>
            </w:r>
          </w:p>
        </w:tc>
        <w:tc>
          <w:tcPr/>
          <w:p>
            <w:pPr>
              <w:pStyle w:val="Compact"/>
              <w:jc w:val="left"/>
            </w:pPr>
            <w:r>
              <w:t xml:space="preserve">52 semanas</w:t>
            </w:r>
          </w:p>
        </w:tc>
        <w:tc>
          <w:tcPr/>
          <w:p>
            <w:pPr>
              <w:pStyle w:val="Compact"/>
              <w:jc w:val="left"/>
            </w:pPr>
            <w:r>
              <w:t xml:space="preserve">HbA1c −1,71 / −1,91 vs. −1,23 / −1,47</w:t>
            </w:r>
          </w:p>
        </w:tc>
      </w:tr>
      <w:tr>
        <w:tc>
          <w:tcPr/>
          <w:p>
            <w:pPr>
              <w:pStyle w:val="Compact"/>
              <w:jc w:val="left"/>
            </w:pPr>
            <w:r>
              <w:t xml:space="preserve">ACHIEVE-4 (Klein 2026), PMID 42815506</w:t>
            </w:r>
          </w:p>
        </w:tc>
        <w:tc>
          <w:tcPr/>
          <w:p>
            <w:pPr>
              <w:pStyle w:val="Compact"/>
              <w:jc w:val="left"/>
            </w:pPr>
            <w:r>
              <w:t xml:space="preserve">2.749 adultos com diabetes tipo 2 e alto risco cardiovascular, contra insulina glargina</w:t>
            </w:r>
          </w:p>
        </w:tc>
        <w:tc>
          <w:tcPr/>
          <w:p>
            <w:pPr>
              <w:pStyle w:val="Compact"/>
              <w:jc w:val="left"/>
            </w:pPr>
            <w:r>
              <w:t xml:space="preserve">mediana de 2 anos</w:t>
            </w:r>
          </w:p>
        </w:tc>
        <w:tc>
          <w:tcPr/>
          <w:p>
            <w:pPr>
              <w:pStyle w:val="Compact"/>
              <w:jc w:val="left"/>
            </w:pPr>
            <w:r>
              <w:t xml:space="preserve">MACE-4: 4,2% vs. 5,0% (não inferior)</w:t>
            </w:r>
          </w:p>
        </w:tc>
      </w:tr>
    </w:tbl>
    <w:bookmarkStart w:id="864" w:name="obesidade-attain"/>
    <w:p>
      <w:pPr>
        <w:pStyle w:val="Heading4"/>
      </w:pPr>
      <w:r>
        <w:t xml:space="preserve">Obesidade: ATTAIN</w:t>
      </w:r>
    </w:p>
    <w:p>
      <w:pPr>
        <w:pStyle w:val="FirstParagraph"/>
      </w:pPr>
      <w:r>
        <w:t xml:space="preserve">O</w:t>
      </w:r>
      <w:r>
        <w:t xml:space="preserve"> </w:t>
      </w:r>
      <w:r>
        <w:rPr>
          <w:bCs/>
          <w:b/>
        </w:rPr>
        <w:t xml:space="preserve">ATTAIN-1</w:t>
      </w:r>
      <w:r>
        <w:rPr>
          <w:rStyle w:val="FootnoteReference"/>
        </w:rPr>
        <w:footnoteReference w:id="860"/>
      </w:r>
      <w:r>
        <w:t xml:space="preserve"> </w:t>
      </w:r>
      <w:r>
        <w:t xml:space="preserve">é o estudo principal. Após 72 semanas, os 3.127 participantes perderam, com a dose mais alta, em média 11,2% do peso; com placebo, 2,1%. Com a dose mais alta, 54,6% alcançaram pelo menos 10% e 18,4% pelo menos 20% de perda de peso. Por efeitos colaterais, 5,3 a 10,3% interromperam o tratamento (placebo 2,7%).</w:t>
      </w:r>
    </w:p>
    <w:p>
      <w:pPr>
        <w:pStyle w:val="BodyText"/>
      </w:pPr>
      <w:r>
        <w:t xml:space="preserve">Para contextualizar: isso é bem menos do que com semaglutida ou tirzepatida injetáveis em seus estudos de aprovação, e menos do que o estudo de fase 2, com até 14,7% após 36 semanas, havia feito esperar</w:t>
      </w:r>
      <w:r>
        <w:rPr>
          <w:rStyle w:val="FootnoteReference"/>
        </w:rPr>
        <w:footnoteReference w:id="861"/>
      </w:r>
      <w:r>
        <w:t xml:space="preserve">. Comparações cruzadas entre estudos são, no entanto, apenas uma orientação grosseira.</w:t>
      </w:r>
    </w:p>
    <w:p>
      <w:pPr>
        <w:pStyle w:val="BodyText"/>
      </w:pPr>
      <w:r>
        <w:t xml:space="preserve">O</w:t>
      </w:r>
      <w:r>
        <w:t xml:space="preserve"> </w:t>
      </w:r>
      <w:r>
        <w:rPr>
          <w:bCs/>
          <w:b/>
        </w:rPr>
        <w:t xml:space="preserve">ATTAIN-2</w:t>
      </w:r>
      <w:r>
        <w:rPr>
          <w:rStyle w:val="FootnoteReference"/>
        </w:rPr>
        <w:footnoteReference w:id="862"/>
      </w:r>
      <w:r>
        <w:t xml:space="preserve"> </w:t>
      </w:r>
      <w:r>
        <w:t xml:space="preserve">mostrou em pessoas com diabetes tipo 2 uma perda de peso de até 9,6% contra 2,5% com placebo.</w:t>
      </w:r>
    </w:p>
    <w:p>
      <w:pPr>
        <w:pStyle w:val="BodyText"/>
      </w:pPr>
      <w:r>
        <w:t xml:space="preserve">O</w:t>
      </w:r>
      <w:r>
        <w:t xml:space="preserve"> </w:t>
      </w:r>
      <w:r>
        <w:rPr>
          <w:bCs/>
          <w:b/>
        </w:rPr>
        <w:t xml:space="preserve">ATTAIN-MAINTAIN</w:t>
      </w:r>
      <w:r>
        <w:rPr>
          <w:rStyle w:val="FootnoteReference"/>
        </w:rPr>
        <w:footnoteReference w:id="863"/>
      </w:r>
      <w:r>
        <w:t xml:space="preserve"> </w:t>
      </w:r>
      <w:r>
        <w:t xml:space="preserve">é especialmente interessante para a prática. Participantes que antes haviam perdido peso no estudo SURMOUNT-5 com tirzepatida ou semaglutida injetáveis passaram para orforglipron ou placebo. Após 52 semanas, os que antes haviam sido tratados com tirzepatida mantiveram com orforglipron 74,7% da perda de peso (placebo 49,2%), e os que antes haviam sido tratados com semaglutida, 79,3% (placebo 37,6%). Não houve um grupo de comparação que simplesmente continuasse recebendo a injeção – as próprias autoras e autores citam isso como limitação. O conceito</w:t>
      </w:r>
      <w:r>
        <w:t xml:space="preserve"> </w:t>
      </w:r>
      <w:r>
        <w:t xml:space="preserve">“</w:t>
      </w:r>
      <w:r>
        <w:t xml:space="preserve">perder peso com a injeção, manter com o comprimido</w:t>
      </w:r>
      <w:r>
        <w:t xml:space="preserve">”</w:t>
      </w:r>
      <w:r>
        <w:t xml:space="preserve"> </w:t>
      </w:r>
      <w:r>
        <w:t xml:space="preserve">é assim comprovado pela primeira vez, mas ainda não foi testado contra a alternativa</w:t>
      </w:r>
      <w:r>
        <w:t xml:space="preserve"> </w:t>
      </w:r>
      <w:r>
        <w:t xml:space="preserve">“</w:t>
      </w:r>
      <w:r>
        <w:t xml:space="preserve">continuar com a injeção</w:t>
      </w:r>
      <w:r>
        <w:t xml:space="preserve">”</w:t>
      </w:r>
      <w:r>
        <w:t xml:space="preserve">.</w:t>
      </w:r>
    </w:p>
    <w:bookmarkEnd w:id="864"/>
    <w:bookmarkStart w:id="869" w:name="diabetes-tipo-2-achieve"/>
    <w:p>
      <w:pPr>
        <w:pStyle w:val="Heading4"/>
      </w:pPr>
      <w:r>
        <w:t xml:space="preserve">Diabetes tipo 2: ACHIEVE</w:t>
      </w:r>
    </w:p>
    <w:p>
      <w:pPr>
        <w:numPr>
          <w:ilvl w:val="0"/>
          <w:numId w:val="1109"/>
        </w:numPr>
        <w:pStyle w:val="Compact"/>
      </w:pPr>
      <w:r>
        <w:rPr>
          <w:bCs/>
          <w:b/>
        </w:rPr>
        <w:t xml:space="preserve">ACHIEVE-1</w:t>
      </w:r>
      <w:r>
        <w:rPr>
          <w:rStyle w:val="FootnoteReference"/>
        </w:rPr>
        <w:footnoteReference w:id="865"/>
      </w:r>
      <w:r>
        <w:t xml:space="preserve">: no diabetes tipo 2 inicial sem outros medicamentos, a HbA1c caiu após 40 semanas até 1,48 ponto percentual (placebo −0,41), e o peso até 7,6%. Não ocorreram hipoglicemias graves.</w:t>
      </w:r>
    </w:p>
    <w:p>
      <w:pPr>
        <w:numPr>
          <w:ilvl w:val="0"/>
          <w:numId w:val="1109"/>
        </w:numPr>
        <w:pStyle w:val="Compact"/>
      </w:pPr>
      <w:r>
        <w:rPr>
          <w:bCs/>
          <w:b/>
        </w:rPr>
        <w:t xml:space="preserve">ACHIEVE-2</w:t>
      </w:r>
      <w:r>
        <w:rPr>
          <w:rStyle w:val="FootnoteReference"/>
        </w:rPr>
        <w:footnoteReference w:id="866"/>
      </w:r>
      <w:r>
        <w:t xml:space="preserve">: contra o inibidor de SGLT2 dapagliflozina, o orforglipron foi não inferior na HbA1c e mais forte em todas as doses (até −1,56 vs. −0,81 ponto percentual).</w:t>
      </w:r>
    </w:p>
    <w:p>
      <w:pPr>
        <w:numPr>
          <w:ilvl w:val="0"/>
          <w:numId w:val="1109"/>
        </w:numPr>
        <w:pStyle w:val="Compact"/>
      </w:pPr>
      <w:r>
        <w:rPr>
          <w:bCs/>
          <w:b/>
        </w:rPr>
        <w:t xml:space="preserve">ACHIEVE-3</w:t>
      </w:r>
      <w:r>
        <w:rPr>
          <w:rStyle w:val="FootnoteReference"/>
        </w:rPr>
        <w:footnoteReference w:id="867"/>
      </w:r>
      <w:r>
        <w:t xml:space="preserve">: na comparação direta com a semaglutida em comprimido, o orforglipron reduziu mais a HbA1c (−1,91 vs. −1,47 ponto percentual nas respectivas doses mais altas). O estudo foi aberto, ou seja, não cego. Queixas gastrointestinais foram mais frequentes com orforglipron (58–59% vs. 37–45%), assim como interrupções por efeitos colaterais (9–10% vs. 4–5%).</w:t>
      </w:r>
    </w:p>
    <w:p>
      <w:pPr>
        <w:numPr>
          <w:ilvl w:val="0"/>
          <w:numId w:val="1109"/>
        </w:numPr>
        <w:pStyle w:val="Compact"/>
      </w:pPr>
      <w:r>
        <w:rPr>
          <w:bCs/>
          <w:b/>
        </w:rPr>
        <w:t xml:space="preserve">ACHIEVE-4</w:t>
      </w:r>
      <w:r>
        <w:rPr>
          <w:rStyle w:val="FootnoteReference"/>
        </w:rPr>
        <w:footnoteReference w:id="868"/>
      </w:r>
      <w:r>
        <w:t xml:space="preserve">: o estudo de segurança cardiovascular (veja abaixo).</w:t>
      </w:r>
    </w:p>
    <w:bookmarkEnd w:id="869"/>
    <w:bookmarkEnd w:id="870"/>
    <w:bookmarkStart w:id="872" w:name="estudos-em-animais-e-em-laboratório-14"/>
    <w:p>
      <w:pPr>
        <w:pStyle w:val="Heading3"/>
      </w:pPr>
      <w:r>
        <w:t xml:space="preserve">Estudos em animais e em laboratório</w:t>
      </w:r>
    </w:p>
    <w:p>
      <w:pPr>
        <w:pStyle w:val="FirstParagraph"/>
      </w:pPr>
      <w:r>
        <w:t xml:space="preserve">Para este capítulo de comparação, os dados pré-clínicos não são apresentados em detalhe. Importante é uma diferença farmacológica: como molécula pequena, o orforglipron é degradado por enzimas hepáticas. Por isso foram realizados numerosos estudos sobre interações com outros medicamentos, por exemplo com claritromicina, ciclosporina, carbamazepina ou quinidina</w:t>
      </w:r>
      <w:r>
        <w:rPr>
          <w:rStyle w:val="FootnoteReference"/>
        </w:rPr>
        <w:footnoteReference w:id="871"/>
      </w:r>
      <w:r>
        <w:t xml:space="preserve">. Os agonistas peptídicos, em contrapartida, são degradados como proteínas e quase não têm interações desse tipo.</w:t>
      </w:r>
    </w:p>
    <w:bookmarkEnd w:id="872"/>
    <w:bookmarkStart w:id="880" w:name="riscos-e-efeitos-colaterais-14"/>
    <w:p>
      <w:pPr>
        <w:pStyle w:val="Heading3"/>
      </w:pPr>
      <w:r>
        <w:t xml:space="preserve">Riscos e efeitos colaterais</w:t>
      </w:r>
    </w:p>
    <w:p>
      <w:pPr>
        <w:pStyle w:val="FirstParagraph"/>
      </w:pPr>
      <w:r>
        <w:rPr>
          <w:bCs/>
          <w:b/>
        </w:rPr>
        <w:t xml:space="preserve">Comprovados em estudos:</w:t>
      </w:r>
    </w:p>
    <w:p>
      <w:pPr>
        <w:numPr>
          <w:ilvl w:val="0"/>
          <w:numId w:val="1110"/>
        </w:numPr>
        <w:pStyle w:val="Compact"/>
      </w:pPr>
      <w:r>
        <w:rPr>
          <w:bCs/>
          <w:b/>
        </w:rPr>
        <w:t xml:space="preserve">Queixas gastrointestinais</w:t>
      </w:r>
      <w:r>
        <w:t xml:space="preserve">, como em todos os agonistas de GLP-1, predominantemente leves a moderadas e durante o escalonamento da dose. No ACHIEVE-4, 62,1% com orforglipron contra 14,2% com insulina glargina relataram queixas gastrointestinais</w:t>
      </w:r>
      <w:r>
        <w:rPr>
          <w:rStyle w:val="FootnoteReference"/>
        </w:rPr>
        <w:footnoteReference w:id="873"/>
      </w:r>
      <w:r>
        <w:t xml:space="preserve">.</w:t>
      </w:r>
    </w:p>
    <w:p>
      <w:pPr>
        <w:numPr>
          <w:ilvl w:val="0"/>
          <w:numId w:val="1110"/>
        </w:numPr>
        <w:pStyle w:val="Compact"/>
      </w:pPr>
      <w:r>
        <w:rPr>
          <w:bCs/>
          <w:b/>
        </w:rPr>
        <w:t xml:space="preserve">Interrupções por efeitos colaterais:</w:t>
      </w:r>
      <w:r>
        <w:t xml:space="preserve"> </w:t>
      </w:r>
      <w:r>
        <w:t xml:space="preserve">no ATTAIN-1, até 10,3%</w:t>
      </w:r>
      <w:r>
        <w:rPr>
          <w:rStyle w:val="FootnoteReference"/>
        </w:rPr>
        <w:footnoteReference w:id="874"/>
      </w:r>
      <w:r>
        <w:t xml:space="preserve">; em comparação com a semaglutida em comprimido, cerca do dobro</w:t>
      </w:r>
      <w:r>
        <w:rPr>
          <w:rStyle w:val="FootnoteReference"/>
        </w:rPr>
        <w:footnoteReference w:id="875"/>
      </w:r>
      <w:r>
        <w:t xml:space="preserve">.</w:t>
      </w:r>
    </w:p>
    <w:p>
      <w:pPr>
        <w:numPr>
          <w:ilvl w:val="0"/>
          <w:numId w:val="1110"/>
        </w:numPr>
        <w:pStyle w:val="Compact"/>
      </w:pPr>
      <w:r>
        <w:rPr>
          <w:bCs/>
          <w:b/>
        </w:rPr>
        <w:t xml:space="preserve">Pulso:</w:t>
      </w:r>
      <w:r>
        <w:t xml:space="preserve"> </w:t>
      </w:r>
      <w:r>
        <w:t xml:space="preserve">no ACHIEVE-3, a frequência cardíaca subiu com orforglipron 3,7 a 4,7 batimentos por minuto, com a semaglutida em comprimido 1,0 a 1,5</w:t>
      </w:r>
      <w:r>
        <w:rPr>
          <w:rStyle w:val="FootnoteReference"/>
        </w:rPr>
        <w:footnoteReference w:id="876"/>
      </w:r>
      <w:r>
        <w:t xml:space="preserve">.</w:t>
      </w:r>
    </w:p>
    <w:p>
      <w:pPr>
        <w:numPr>
          <w:ilvl w:val="0"/>
          <w:numId w:val="1110"/>
        </w:numPr>
        <w:pStyle w:val="Compact"/>
      </w:pPr>
      <w:r>
        <w:rPr>
          <w:bCs/>
          <w:b/>
        </w:rPr>
        <w:t xml:space="preserve">Segurança cardiovascular:</w:t>
      </w:r>
      <w:r>
        <w:t xml:space="preserve"> </w:t>
      </w:r>
      <w:r>
        <w:t xml:space="preserve">no ACHIEVE-4, eventos cardiovasculares graves ocorreram em 4,2% com orforglipron e em 5,0% com insulina glargina (hazard ratio 0,84; IC 95% 0,59–1,20) – o orforglipron foi, portanto, não inferior. Hipoglicemias clinicamente relevantes ou graves foram mais raras (6,8% vs. 19,2%)</w:t>
      </w:r>
      <w:r>
        <w:rPr>
          <w:rStyle w:val="FootnoteReference"/>
        </w:rPr>
        <w:footnoteReference w:id="877"/>
      </w:r>
      <w:r>
        <w:t xml:space="preserve">. Se o orforglipron, como alguns agonistas peptídicos,</w:t>
      </w:r>
      <w:r>
        <w:t xml:space="preserve"> </w:t>
      </w:r>
      <w:r>
        <w:rPr>
          <w:iCs/>
          <w:i/>
        </w:rPr>
        <w:t xml:space="preserve">reduz</w:t>
      </w:r>
      <w:r>
        <w:t xml:space="preserve"> </w:t>
      </w:r>
      <w:r>
        <w:t xml:space="preserve">eventos cardiovasculares, um estudo de desfechos próprio deverá mostrar</w:t>
      </w:r>
      <w:r>
        <w:rPr>
          <w:rStyle w:val="FootnoteReference"/>
        </w:rPr>
        <w:footnoteReference w:id="878"/>
      </w:r>
      <w:r>
        <w:t xml:space="preserve">.</w:t>
      </w:r>
    </w:p>
    <w:p>
      <w:pPr>
        <w:numPr>
          <w:ilvl w:val="0"/>
          <w:numId w:val="1110"/>
        </w:numPr>
        <w:pStyle w:val="Compact"/>
      </w:pPr>
      <w:r>
        <w:rPr>
          <w:bCs/>
          <w:b/>
        </w:rPr>
        <w:t xml:space="preserve">Fígado:</w:t>
      </w:r>
      <w:r>
        <w:t xml:space="preserve"> </w:t>
      </w:r>
      <w:r>
        <w:t xml:space="preserve">com pequenas moléculas de GLP-1 de outros fabricantes, elevações das enzimas hepáticas foram um problema. Uma análise agrupada de sete estudos de fase 3 com 11.220 participantes não encontrou para o orforglipron nenhum caso de lesão hepática induzida por medicamento; as enzimas hepáticas chegaram a cair em média</w:t>
      </w:r>
      <w:r>
        <w:rPr>
          <w:rStyle w:val="FootnoteReference"/>
        </w:rPr>
        <w:footnoteReference w:id="879"/>
      </w:r>
      <w:r>
        <w:t xml:space="preserve">.</w:t>
      </w:r>
    </w:p>
    <w:bookmarkEnd w:id="880"/>
    <w:bookmarkStart w:id="881" w:name="situação-legal-14"/>
    <w:p>
      <w:pPr>
        <w:pStyle w:val="Heading3"/>
      </w:pPr>
      <w:r>
        <w:t xml:space="preserve">Situação legal</w:t>
      </w:r>
    </w:p>
    <w:p>
      <w:pPr>
        <w:numPr>
          <w:ilvl w:val="0"/>
          <w:numId w:val="1111"/>
        </w:numPr>
        <w:pStyle w:val="Compact"/>
      </w:pPr>
      <w:r>
        <w:rPr>
          <w:bCs/>
          <w:b/>
        </w:rPr>
        <w:t xml:space="preserve">UE / Áustria / Alemanha:</w:t>
      </w:r>
      <w:r>
        <w:t xml:space="preserve"> </w:t>
      </w:r>
      <w:r>
        <w:t xml:space="preserve">situação em outubro de 2026 registrada como não aprovado; um processo de aprovação é esperado ou pode já estar em curso – verificar atualização.</w:t>
      </w:r>
    </w:p>
    <w:p>
      <w:pPr>
        <w:numPr>
          <w:ilvl w:val="0"/>
          <w:numId w:val="1111"/>
        </w:numPr>
        <w:pStyle w:val="Compact"/>
      </w:pPr>
      <w:r>
        <w:rPr>
          <w:bCs/>
          <w:b/>
        </w:rPr>
        <w:t xml:space="preserve">EUA:</w:t>
      </w:r>
      <w:r>
        <w:t xml:space="preserve"> </w:t>
      </w:r>
      <w:r>
        <w:t xml:space="preserve">pedidos de aprovação para obesidade e diabetes tipo 2 foram apresentados ou anunciados com base nos dados ATTAIN e ACHIEVE; situação da decisão, verificar atualização.</w:t>
      </w:r>
    </w:p>
    <w:p>
      <w:pPr>
        <w:numPr>
          <w:ilvl w:val="0"/>
          <w:numId w:val="1111"/>
        </w:numPr>
        <w:pStyle w:val="Compact"/>
      </w:pPr>
      <w:r>
        <w:rPr>
          <w:bCs/>
          <w:b/>
        </w:rPr>
        <w:t xml:space="preserve">Esporte:</w:t>
      </w:r>
      <w:r>
        <w:t xml:space="preserve"> </w:t>
      </w:r>
      <w:r>
        <w:t xml:space="preserve">enquanto não estiver aprovado em lugar nenhum, classe S0 da WADA (situação em 2026, verificar atualização).</w:t>
      </w:r>
    </w:p>
    <w:p>
      <w:pPr>
        <w:numPr>
          <w:ilvl w:val="0"/>
          <w:numId w:val="1111"/>
        </w:numPr>
        <w:pStyle w:val="Compact"/>
      </w:pPr>
      <w:r>
        <w:t xml:space="preserve">Ofertas não aprovadas de</w:t>
      </w:r>
      <w:r>
        <w:t xml:space="preserve"> </w:t>
      </w:r>
      <w:r>
        <w:t xml:space="preserve">“</w:t>
      </w:r>
      <w:r>
        <w:t xml:space="preserve">Orforglipron</w:t>
      </w:r>
      <w:r>
        <w:t xml:space="preserve">”</w:t>
      </w:r>
      <w:r>
        <w:t xml:space="preserve"> </w:t>
      </w:r>
      <w:r>
        <w:t xml:space="preserve">na internet não são medicamentos verificados.</w:t>
      </w:r>
    </w:p>
    <w:bookmarkEnd w:id="881"/>
    <w:bookmarkStart w:id="889" w:name="estudos-em-andamento-e-perspectivas-14"/>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112"/>
        </w:numPr>
        <w:pStyle w:val="Compact"/>
      </w:pPr>
      <w:r>
        <w:rPr>
          <w:bCs/>
          <w:b/>
        </w:rPr>
        <w:t xml:space="preserve">Estudo de desfechos cardiovasculares</w:t>
      </w:r>
      <w:r>
        <w:t xml:space="preserve"> </w:t>
      </w:r>
      <w:r>
        <w:t xml:space="preserve">na aterosclerose (NCT07241390, 7.140 participantes, até 2031).</w:t>
      </w:r>
    </w:p>
    <w:p>
      <w:pPr>
        <w:numPr>
          <w:ilvl w:val="0"/>
          <w:numId w:val="1112"/>
        </w:numPr>
        <w:pStyle w:val="Compact"/>
      </w:pPr>
      <w:r>
        <w:rPr>
          <w:bCs/>
          <w:b/>
        </w:rPr>
        <w:t xml:space="preserve">Doença arterial obstrutiva periférica</w:t>
      </w:r>
      <w:r>
        <w:rPr>
          <w:rStyle w:val="FootnoteReference"/>
        </w:rPr>
        <w:footnoteReference w:id="882"/>
      </w:r>
      <w:r>
        <w:t xml:space="preserve">,</w:t>
      </w:r>
      <w:r>
        <w:t xml:space="preserve"> </w:t>
      </w:r>
      <w:r>
        <w:rPr>
          <w:bCs/>
          <w:b/>
        </w:rPr>
        <w:t xml:space="preserve">hipertensão</w:t>
      </w:r>
      <w:r>
        <w:rPr>
          <w:rStyle w:val="FootnoteReference"/>
        </w:rPr>
        <w:footnoteReference w:id="883"/>
      </w:r>
      <w:r>
        <w:t xml:space="preserve">,</w:t>
      </w:r>
      <w:r>
        <w:t xml:space="preserve"> </w:t>
      </w:r>
      <w:r>
        <w:rPr>
          <w:bCs/>
          <w:b/>
        </w:rPr>
        <w:t xml:space="preserve">artrose de joelho</w:t>
      </w:r>
      <w:r>
        <w:rPr>
          <w:rStyle w:val="FootnoteReference"/>
        </w:rPr>
        <w:footnoteReference w:id="884"/>
      </w:r>
      <w:r>
        <w:t xml:space="preserve">,</w:t>
      </w:r>
      <w:r>
        <w:t xml:space="preserve"> </w:t>
      </w:r>
      <w:r>
        <w:rPr>
          <w:bCs/>
          <w:b/>
        </w:rPr>
        <w:t xml:space="preserve">incontinência de esforço</w:t>
      </w:r>
      <w:r>
        <w:t xml:space="preserve"> </w:t>
      </w:r>
      <w:r>
        <w:t xml:space="preserve">em mulheres com obesidade</w:t>
      </w:r>
      <w:r>
        <w:rPr>
          <w:rStyle w:val="FootnoteReference"/>
        </w:rPr>
        <w:footnoteReference w:id="885"/>
      </w:r>
      <w:r>
        <w:t xml:space="preserve">.</w:t>
      </w:r>
    </w:p>
    <w:p>
      <w:pPr>
        <w:numPr>
          <w:ilvl w:val="0"/>
          <w:numId w:val="1112"/>
        </w:numPr>
        <w:pStyle w:val="Compact"/>
      </w:pPr>
      <w:r>
        <w:rPr>
          <w:bCs/>
          <w:b/>
        </w:rPr>
        <w:t xml:space="preserve">Adolescentes</w:t>
      </w:r>
      <w:r>
        <w:rPr>
          <w:rStyle w:val="FootnoteReference"/>
        </w:rPr>
        <w:footnoteReference w:id="886"/>
      </w:r>
      <w:r>
        <w:t xml:space="preserve"> </w:t>
      </w:r>
      <w:r>
        <w:t xml:space="preserve">e</w:t>
      </w:r>
      <w:r>
        <w:t xml:space="preserve"> </w:t>
      </w:r>
      <w:r>
        <w:rPr>
          <w:bCs/>
          <w:b/>
        </w:rPr>
        <w:t xml:space="preserve">crianças com diabetes tipo 2</w:t>
      </w:r>
      <w:r>
        <w:t xml:space="preserve"> </w:t>
      </w:r>
      <w:r>
        <w:t xml:space="preserve">em comparação com dulaglutida</w:t>
      </w:r>
      <w:r>
        <w:rPr>
          <w:rStyle w:val="FootnoteReference"/>
        </w:rPr>
        <w:footnoteReference w:id="887"/>
      </w:r>
      <w:r>
        <w:t xml:space="preserve">.</w:t>
      </w:r>
    </w:p>
    <w:p>
      <w:pPr>
        <w:numPr>
          <w:ilvl w:val="0"/>
          <w:numId w:val="1112"/>
        </w:numPr>
        <w:pStyle w:val="Compact"/>
      </w:pPr>
      <w:r>
        <w:t xml:space="preserve">Estudo sobre</w:t>
      </w:r>
      <w:r>
        <w:t xml:space="preserve"> </w:t>
      </w:r>
      <w:r>
        <w:rPr>
          <w:bCs/>
          <w:b/>
        </w:rPr>
        <w:t xml:space="preserve">apneia do sono</w:t>
      </w:r>
      <w:r>
        <w:rPr>
          <w:rStyle w:val="FootnoteReference"/>
        </w:rPr>
        <w:footnoteReference w:id="888"/>
      </w:r>
      <w:r>
        <w:t xml:space="preserve"> </w:t>
      </w:r>
      <w:r>
        <w:t xml:space="preserve">concluído, publicação pendente.</w:t>
      </w:r>
    </w:p>
    <w:p>
      <w:pPr>
        <w:pStyle w:val="FirstParagraph"/>
      </w:pPr>
      <w:r>
        <w:rPr>
          <w:bCs/>
          <w:b/>
        </w:rPr>
        <w:t xml:space="preserve">Avaliação:</w:t>
      </w:r>
      <w:r>
        <w:t xml:space="preserve"> </w:t>
      </w:r>
      <w:r>
        <w:t xml:space="preserve">o orforglipron provavelmente será o primeiro medicamento GLP-1 não peptídico amplamente disponível. Seu ponto forte não é a perda de peso máxima – aqui os peptídeos injetáveis estão à frente –, mas a facilidade de uso, a fabricação provavelmente mais barata e a adequação ao tratamento contínuo após uma fase com injeções. Para o mercado de peptídeos, isso significa uma concorrência séria, especialmente na terapia de longo prazo e de manutenção (veja a Parte V).</w:t>
      </w:r>
    </w:p>
    <w:bookmarkEnd w:id="889"/>
    <w:bookmarkStart w:id="890" w:name="conclusão-14"/>
    <w:p>
      <w:pPr>
        <w:pStyle w:val="Heading3"/>
      </w:pPr>
      <w:r>
        <w:t xml:space="preserve">Conclusão</w:t>
      </w:r>
    </w:p>
    <w:p>
      <w:pPr>
        <w:pStyle w:val="FirstParagraph"/>
      </w:pPr>
      <w:r>
        <w:t xml:space="preserve">O orforglipron não é um peptídeo, mas uma molécula pequena que, como comprimido, ativa o receptor de GLP-1 e pode ser engolida sem regras de uso. No ATTAIN-1, o peso caiu após 72 semanas até 11,2% – menos do que com semaglutida ou tirzepatida injetáveis –, e após a troca a partir de uma injeção os participantes mantiveram cerca de três quartos da perda de peso. No diabetes tipo 2, reduziu a HbA1c mais do que a semaglutida em comprimido e se mostrou seguro do ponto de vista cardiovascular em comparação com a insulina. Queixas gastrointestinais e interrupções do tratamento são um pouco mais frequentes do que com a semaglutida em comprimido.</w:t>
      </w:r>
    </w:p>
    <w:bookmarkEnd w:id="890"/>
    <w:bookmarkEnd w:id="891"/>
    <w:bookmarkEnd w:id="892"/>
    <w:bookmarkStart w:id="1222" w:name="Xf8c1490f33329a07848ede2e6a36ab8baa75d21"/>
    <w:p>
      <w:pPr>
        <w:pStyle w:val="Heading1"/>
      </w:pPr>
      <w:r>
        <w:t xml:space="preserve">Parte II · B – Cura, regeneração e sistema imunológico</w:t>
      </w:r>
    </w:p>
    <w:p>
      <w:pPr>
        <w:pStyle w:val="FirstParagraph"/>
      </w:pPr>
      <w:r>
        <w:t xml:space="preserve">Os peptídeos deste grupo prometem o que muitos desejam: cura mais rápida de tendões e músculos, uma parede intestinal mais firme, um sistema imunológico mais forte, menos inflamação. Em lojas on-line, fóruns de musculação e clínicas de longevidade, BPC-157, TB-500 e timosina alfa 1 estão entre os</w:t>
      </w:r>
      <w:r>
        <w:t xml:space="preserve"> </w:t>
      </w:r>
      <w:r>
        <w:t xml:space="preserve">“</w:t>
      </w:r>
      <w:r>
        <w:t xml:space="preserve">peptídeos de pesquisa</w:t>
      </w:r>
      <w:r>
        <w:t xml:space="preserve">”</w:t>
      </w:r>
      <w:r>
        <w:t xml:space="preserve"> </w:t>
      </w:r>
      <w:r>
        <w:t xml:space="preserve">mais vendidos de todos.</w:t>
      </w:r>
    </w:p>
    <w:bookmarkStart w:id="893" w:name="o-que-une-esses-peptídeos"/>
    <w:p>
      <w:pPr>
        <w:pStyle w:val="Heading3"/>
      </w:pPr>
      <w:r>
        <w:t xml:space="preserve">O que une esses peptídeos</w:t>
      </w:r>
    </w:p>
    <w:p>
      <w:pPr>
        <w:pStyle w:val="FirstParagraph"/>
      </w:pPr>
      <w:r>
        <w:t xml:space="preserve">Nenhuma das oito substâncias pretende alterar um único alvo claramente mensurável – como a glicemia ou o peso corporal –, mas sim</w:t>
      </w:r>
      <w:r>
        <w:t xml:space="preserve"> </w:t>
      </w:r>
      <w:r>
        <w:t xml:space="preserve">“</w:t>
      </w:r>
      <w:r>
        <w:t xml:space="preserve">estimular</w:t>
      </w:r>
      <w:r>
        <w:t xml:space="preserve">”</w:t>
      </w:r>
      <w:r>
        <w:t xml:space="preserve"> </w:t>
      </w:r>
      <w:r>
        <w:t xml:space="preserve">ou</w:t>
      </w:r>
      <w:r>
        <w:t xml:space="preserve"> </w:t>
      </w:r>
      <w:r>
        <w:t xml:space="preserve">“</w:t>
      </w:r>
      <w:r>
        <w:t xml:space="preserve">normalizar</w:t>
      </w:r>
      <w:r>
        <w:t xml:space="preserve">”</w:t>
      </w:r>
      <w:r>
        <w:t xml:space="preserve"> </w:t>
      </w:r>
      <w:r>
        <w:t xml:space="preserve">processos de reparo e de defesa do próprio corpo. Isso tem duas consequências que atravessam todos os capítulos:</w:t>
      </w:r>
    </w:p>
    <w:p>
      <w:pPr>
        <w:numPr>
          <w:ilvl w:val="0"/>
          <w:numId w:val="1113"/>
        </w:numPr>
        <w:pStyle w:val="Compact"/>
      </w:pPr>
      <w:r>
        <w:rPr>
          <w:bCs/>
          <w:b/>
        </w:rPr>
        <w:t xml:space="preserve">O efeito é difícil de medir.</w:t>
      </w:r>
      <w:r>
        <w:t xml:space="preserve"> </w:t>
      </w:r>
      <w:r>
        <w:t xml:space="preserve">Cura, dor e função imunológica variam muito, dependem de muitos fatores e são suscetíveis a efeitos placebo. Estudos pequenos sem grupo de controle são, por isso, especialmente pouco conclusivos.</w:t>
      </w:r>
    </w:p>
    <w:p>
      <w:pPr>
        <w:numPr>
          <w:ilvl w:val="0"/>
          <w:numId w:val="1113"/>
        </w:numPr>
        <w:pStyle w:val="Compact"/>
      </w:pPr>
      <w:r>
        <w:rPr>
          <w:bCs/>
          <w:b/>
        </w:rPr>
        <w:t xml:space="preserve">A plausibilidade muitas vezes substitui as provas.</w:t>
      </w:r>
      <w:r>
        <w:t xml:space="preserve"> </w:t>
      </w:r>
      <w:r>
        <w:t xml:space="preserve">Quase todos os peptídeos deste grupo derivam de substâncias do próprio corpo: do suco gástrico (BPC-157), do timo (timosina alfa 1, timalina), da defesa da pele (LL-37), do hormônio alfa-MSH (KPV) ou da eritropoetina (ARA-290).</w:t>
      </w:r>
      <w:r>
        <w:t xml:space="preserve"> </w:t>
      </w:r>
      <w:r>
        <w:t xml:space="preserve">“</w:t>
      </w:r>
      <w:r>
        <w:t xml:space="preserve">Do próprio corpo</w:t>
      </w:r>
      <w:r>
        <w:t xml:space="preserve">”</w:t>
      </w:r>
      <w:r>
        <w:t xml:space="preserve"> </w:t>
      </w:r>
      <w:r>
        <w:t xml:space="preserve">soa inofensivo, mas não diz nada sobre o benefício e a segurança de uma administração externa em dose alta.</w:t>
      </w:r>
    </w:p>
    <w:p>
      <w:pPr>
        <w:pStyle w:val="FirstParagraph"/>
      </w:pPr>
      <w:r>
        <w:t xml:space="preserve">Chama atenção, além disso, um padrão recorrente: estudos iniciais pequenos parecem promissores, e estudos maiores e mais cuidadosamente cegos não os confirmam. Isso se vê com a timosina alfa 1 na sepse, com a timosina beta-4 como colírio, com o LL-37 em úlceras de perna e com a larazotida na doença celíaca.</w:t>
      </w:r>
    </w:p>
    <w:bookmarkEnd w:id="893"/>
    <w:bookmarkStart w:id="894" w:name="o-grupo-em-resumo"/>
    <w:p>
      <w:pPr>
        <w:pStyle w:val="Heading3"/>
      </w:pPr>
      <w:r>
        <w:t xml:space="preserve">O grupo em resumo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w:t>
            </w:r>
          </w:p>
        </w:tc>
        <w:tc>
          <w:tcPr/>
          <w:p>
            <w:pPr>
              <w:pStyle w:val="Compact"/>
              <w:jc w:val="left"/>
            </w:pPr>
            <w:r>
              <w:t xml:space="preserve">Em resumo</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não</w:t>
            </w:r>
          </w:p>
        </w:tc>
        <w:tc>
          <w:tcPr/>
          <w:p>
            <w:pPr>
              <w:pStyle w:val="Compact"/>
              <w:jc w:val="left"/>
            </w:pPr>
            <w:r>
              <w:t xml:space="preserve">centenas de estudos em animais, quase todos de um único grupo; em humanos, três minúsculos estudos-piloto</w:t>
            </w:r>
          </w:p>
        </w:tc>
      </w:tr>
      <w:tr>
        <w:tc>
          <w:tcPr/>
          <w:p>
            <w:pPr>
              <w:pStyle w:val="Compact"/>
              <w:jc w:val="left"/>
            </w:pPr>
            <w:r>
              <w:t xml:space="preserve">TB-500 / timosina beta-4</w:t>
            </w:r>
          </w:p>
        </w:tc>
        <w:tc>
          <w:tcPr/>
          <w:p>
            <w:pPr>
              <w:pStyle w:val="Compact"/>
              <w:jc w:val="left"/>
            </w:pPr>
            <w:r>
              <w:t xml:space="preserve">B (Tβ4) · D (TB-500)</w:t>
            </w:r>
          </w:p>
        </w:tc>
        <w:tc>
          <w:tcPr/>
          <w:p>
            <w:pPr>
              <w:pStyle w:val="Compact"/>
              <w:jc w:val="left"/>
            </w:pPr>
            <w:r>
              <w:t xml:space="preserve">não</w:t>
            </w:r>
          </w:p>
        </w:tc>
        <w:tc>
          <w:tcPr/>
          <w:p>
            <w:pPr>
              <w:pStyle w:val="Compact"/>
              <w:jc w:val="left"/>
            </w:pPr>
            <w:r>
              <w:t xml:space="preserve">Tβ4 testada em ECRs, grandes estudos oftalmológicos sem benefício claro; TB-500 nunca em humanos</w:t>
            </w:r>
          </w:p>
        </w:tc>
      </w:tr>
      <w:tr>
        <w:tc>
          <w:tcPr/>
          <w:p>
            <w:pPr>
              <w:pStyle w:val="Compact"/>
              <w:jc w:val="left"/>
            </w:pPr>
            <w:r>
              <w:t xml:space="preserve">Timosina alfa 1</w:t>
            </w:r>
          </w:p>
        </w:tc>
        <w:tc>
          <w:tcPr/>
          <w:p>
            <w:pPr>
              <w:pStyle w:val="Compact"/>
              <w:jc w:val="left"/>
            </w:pPr>
            <w:r>
              <w:t xml:space="preserve">B</w:t>
            </w:r>
          </w:p>
        </w:tc>
        <w:tc>
          <w:tcPr/>
          <w:p>
            <w:pPr>
              <w:pStyle w:val="Compact"/>
              <w:jc w:val="left"/>
            </w:pPr>
            <w:r>
              <w:t xml:space="preserve">China e outros, não UE/EUA</w:t>
            </w:r>
          </w:p>
        </w:tc>
        <w:tc>
          <w:tcPr/>
          <w:p>
            <w:pPr>
              <w:pStyle w:val="Compact"/>
              <w:jc w:val="left"/>
            </w:pPr>
            <w:r>
              <w:t xml:space="preserve">muitos ECRs; grande estudo de sepse sem diferença em relação ao placebo</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não</w:t>
            </w:r>
          </w:p>
        </w:tc>
        <w:tc>
          <w:tcPr/>
          <w:p>
            <w:pPr>
              <w:pStyle w:val="Compact"/>
              <w:jc w:val="left"/>
            </w:pPr>
            <w:r>
              <w:t xml:space="preserve">eficaz em camundongos com colite; nenhum estudo em humanos</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não</w:t>
            </w:r>
          </w:p>
        </w:tc>
        <w:tc>
          <w:tcPr/>
          <w:p>
            <w:pPr>
              <w:pStyle w:val="Compact"/>
              <w:jc w:val="left"/>
            </w:pPr>
            <w:r>
              <w:t xml:space="preserve">peptídeo de defesa do próprio corpo; estudo de feridas com 148 pessoas sem vantagem</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não</w:t>
            </w:r>
          </w:p>
        </w:tc>
        <w:tc>
          <w:tcPr/>
          <w:p>
            <w:pPr>
              <w:pStyle w:val="Compact"/>
              <w:jc w:val="left"/>
            </w:pPr>
            <w:r>
              <w:t xml:space="preserve">pequenos ECRs em lesões nervosas por sarcoidose; desde 2015 sem novos estudos</w:t>
            </w:r>
          </w:p>
        </w:tc>
      </w:tr>
      <w:tr>
        <w:tc>
          <w:tcPr/>
          <w:p>
            <w:pPr>
              <w:pStyle w:val="Compact"/>
              <w:jc w:val="left"/>
            </w:pPr>
            <w:r>
              <w:t xml:space="preserve">Larazotida</w:t>
            </w:r>
          </w:p>
        </w:tc>
        <w:tc>
          <w:tcPr/>
          <w:p>
            <w:pPr>
              <w:pStyle w:val="Compact"/>
              <w:jc w:val="left"/>
            </w:pPr>
            <w:r>
              <w:t xml:space="preserve">B</w:t>
            </w:r>
          </w:p>
        </w:tc>
        <w:tc>
          <w:tcPr/>
          <w:p>
            <w:pPr>
              <w:pStyle w:val="Compact"/>
              <w:jc w:val="left"/>
            </w:pPr>
            <w:r>
              <w:t xml:space="preserve">não</w:t>
            </w:r>
          </w:p>
        </w:tc>
        <w:tc>
          <w:tcPr/>
          <w:p>
            <w:pPr>
              <w:pStyle w:val="Compact"/>
              <w:jc w:val="left"/>
            </w:pPr>
            <w:r>
              <w:t xml:space="preserve">candidata para doença celíaca; fase 3 interrompida</w:t>
            </w:r>
          </w:p>
        </w:tc>
      </w:tr>
      <w:tr>
        <w:tc>
          <w:tcPr/>
          <w:p>
            <w:pPr>
              <w:pStyle w:val="Compact"/>
              <w:jc w:val="left"/>
            </w:pPr>
            <w:r>
              <w:t xml:space="preserve">Timalina / timogênio</w:t>
            </w:r>
          </w:p>
        </w:tc>
        <w:tc>
          <w:tcPr/>
          <w:p>
            <w:pPr>
              <w:pStyle w:val="Compact"/>
              <w:jc w:val="left"/>
            </w:pPr>
            <w:r>
              <w:t xml:space="preserve">C</w:t>
            </w:r>
          </w:p>
        </w:tc>
        <w:tc>
          <w:tcPr/>
          <w:p>
            <w:pPr>
              <w:pStyle w:val="Compact"/>
              <w:jc w:val="left"/>
            </w:pPr>
            <w:r>
              <w:t xml:space="preserve">Rússia</w:t>
            </w:r>
          </w:p>
        </w:tc>
        <w:tc>
          <w:tcPr/>
          <w:p>
            <w:pPr>
              <w:pStyle w:val="Compact"/>
              <w:jc w:val="left"/>
            </w:pPr>
            <w:r>
              <w:t xml:space="preserve">quase só estudos russos de uma única escola, raramente randomizados</w:t>
            </w:r>
          </w:p>
        </w:tc>
      </w:tr>
    </w:tbl>
    <w:p>
      <w:pPr>
        <w:pStyle w:val="BodyText"/>
      </w:pPr>
      <w:r>
        <w:t xml:space="preserve">Níveis de evidência:</w:t>
      </w:r>
      <w:r>
        <w:t xml:space="preserve"> </w:t>
      </w:r>
      <w:r>
        <w:rPr>
          <w:bCs/>
          <w:b/>
        </w:rPr>
        <w:t xml:space="preserve">A</w:t>
      </w:r>
      <w:r>
        <w:t xml:space="preserve"> </w:t>
      </w:r>
      <w:r>
        <w:t xml:space="preserve">vários grandes ECRs ou aprovação ·</w:t>
      </w:r>
      <w:r>
        <w:t xml:space="preserve"> </w:t>
      </w:r>
      <w:r>
        <w:rPr>
          <w:bCs/>
          <w:b/>
        </w:rPr>
        <w:t xml:space="preserve">B</w:t>
      </w:r>
      <w:r>
        <w:t xml:space="preserve"> </w:t>
      </w:r>
      <w:r>
        <w:t xml:space="preserve">ECRs isolados ·</w:t>
      </w:r>
      <w:r>
        <w:t xml:space="preserve"> </w:t>
      </w:r>
      <w:r>
        <w:rPr>
          <w:bCs/>
          <w:b/>
        </w:rPr>
        <w:t xml:space="preserve">C</w:t>
      </w:r>
      <w:r>
        <w:t xml:space="preserve"> </w:t>
      </w:r>
      <w:r>
        <w:t xml:space="preserve">apenas estudos em humanos pequenos ou não controlados ·</w:t>
      </w:r>
      <w:r>
        <w:t xml:space="preserve"> </w:t>
      </w:r>
      <w:r>
        <w:rPr>
          <w:bCs/>
          <w:b/>
        </w:rPr>
        <w:t xml:space="preserve">D</w:t>
      </w:r>
      <w:r>
        <w:t xml:space="preserve"> </w:t>
      </w:r>
      <w:r>
        <w:t xml:space="preserve">apenas estudos em animais e em laboratório. Aprovação refere-se à aprovação como medicamento, situação em 2026.</w:t>
      </w:r>
    </w:p>
    <w:p>
      <w:pPr>
        <w:pStyle w:val="BodyText"/>
      </w:pPr>
      <w:r>
        <w:t xml:space="preserve">Nenhum peptídeo deste grupo está aprovado como medicamento na UE ou nos EUA. As duas substâncias com aprovações fora do Ocidente – timosina alfa 1 e timalina – foram aprovadas com base em estudos que só em parte resistem aos padrões atuais.</w:t>
      </w:r>
    </w:p>
    <w:bookmarkEnd w:id="894"/>
    <w:bookmarkStart w:id="895" w:name="orientação-de-leitura-1"/>
    <w:p>
      <w:pPr>
        <w:pStyle w:val="Heading3"/>
      </w:pPr>
      <w:r>
        <w:t xml:space="preserve">Orientação de leitura</w:t>
      </w:r>
    </w:p>
    <w:p>
      <w:pPr>
        <w:pStyle w:val="FirstParagraph"/>
      </w:pPr>
      <w:r>
        <w:t xml:space="preserve">Os capítulos seguem a estrutura uniforme deste livro. Neste grupo, preste atenção especialmente a três distinções:</w:t>
      </w:r>
    </w:p>
    <w:p>
      <w:pPr>
        <w:numPr>
          <w:ilvl w:val="0"/>
          <w:numId w:val="1114"/>
        </w:numPr>
        <w:pStyle w:val="Compact"/>
      </w:pPr>
      <w:r>
        <w:rPr>
          <w:bCs/>
          <w:b/>
        </w:rPr>
        <w:t xml:space="preserve">Humano ou animal?</w:t>
      </w:r>
      <w:r>
        <w:t xml:space="preserve"> </w:t>
      </w:r>
      <w:r>
        <w:t xml:space="preserve">No caso de BPC-157, KPV e TB-500, quase tudo o que se afirma na internet se baseia em experimentos com ratos, camundongos ou culturas de células. Os capítulos sinalizam isso expressamente em cada caso.</w:t>
      </w:r>
    </w:p>
    <w:p>
      <w:pPr>
        <w:numPr>
          <w:ilvl w:val="0"/>
          <w:numId w:val="1114"/>
        </w:numPr>
        <w:pStyle w:val="Compact"/>
      </w:pPr>
      <w:r>
        <w:rPr>
          <w:bCs/>
          <w:b/>
        </w:rPr>
        <w:t xml:space="preserve">Substância ou valor medido?</w:t>
      </w:r>
      <w:r>
        <w:t xml:space="preserve"> </w:t>
      </w:r>
      <w:r>
        <w:t xml:space="preserve">No caso do LL-37, há muitos estudos que</w:t>
      </w:r>
      <w:r>
        <w:t xml:space="preserve"> </w:t>
      </w:r>
      <w:r>
        <w:rPr>
          <w:iCs/>
          <w:i/>
        </w:rPr>
        <w:t xml:space="preserve">medem</w:t>
      </w:r>
      <w:r>
        <w:t xml:space="preserve"> </w:t>
      </w:r>
      <w:r>
        <w:t xml:space="preserve">a substância no sangue, mas poucos que a</w:t>
      </w:r>
      <w:r>
        <w:t xml:space="preserve"> </w:t>
      </w:r>
      <w:r>
        <w:rPr>
          <w:iCs/>
          <w:i/>
        </w:rPr>
        <w:t xml:space="preserve">administram</w:t>
      </w:r>
      <w:r>
        <w:t xml:space="preserve"> </w:t>
      </w:r>
      <w:r>
        <w:t xml:space="preserve">como medicamento. Somente estes últimos dizem algo sobre um tratamento.</w:t>
      </w:r>
    </w:p>
    <w:p>
      <w:pPr>
        <w:numPr>
          <w:ilvl w:val="0"/>
          <w:numId w:val="1114"/>
        </w:numPr>
        <w:pStyle w:val="Compact"/>
      </w:pPr>
      <w:r>
        <w:rPr>
          <w:bCs/>
          <w:b/>
        </w:rPr>
        <w:t xml:space="preserve">Original ou derivado?</w:t>
      </w:r>
      <w:r>
        <w:t xml:space="preserve"> </w:t>
      </w:r>
      <w:r>
        <w:t xml:space="preserve">TB-500 não é timosina beta-4, timogênio não é timalina, e o produto vendido na internet não é a forma farmacêutica usada nos estudos.</w:t>
      </w:r>
    </w:p>
    <w:p>
      <w:pPr>
        <w:pStyle w:val="FirstParagraph"/>
      </w:pPr>
      <w:r>
        <w:t xml:space="preserve">Dois capítulos contêm observações sobre registros cuja autenticidade é questionável: um patrocinador registrou no ClinicalTrials.gov tanto um estudo de fase 2 sobre BPC-157 quanto um estudo sobre TB-500, um dos quais se descreve a si mesmo como</w:t>
      </w:r>
      <w:r>
        <w:t xml:space="preserve"> </w:t>
      </w:r>
      <w:r>
        <w:t xml:space="preserve">“</w:t>
      </w:r>
      <w:r>
        <w:t xml:space="preserve">exemplo fictício</w:t>
      </w:r>
      <w:r>
        <w:t xml:space="preserve">”</w:t>
      </w:r>
      <w:r>
        <w:t xml:space="preserve">. Portanto, nem mesmo um registro é prova de que um estudo esteja de fato acontecendo.</w:t>
      </w:r>
    </w:p>
    <w:p>
      <w:pPr>
        <w:pStyle w:val="BodyText"/>
      </w:pPr>
      <w:r>
        <w:t xml:space="preserve">Questões sobre produtos do mercado cinza, contaminações e o risco teórico de câncer por sinais de crescimento e de vasos sanguíneos são tratadas de forma mais detalhada e abrangendo todos os peptídeos no capítulo I.5 e na Parte IV. Para atletas vale: BPC-157, TB-500 e ARA-290 são expressamente proibidos pela WADA; no caso dos demais, você deve consultar sua agência nacional antidoping antes de qualquer uso.</w:t>
      </w:r>
    </w:p>
    <w:bookmarkEnd w:id="895"/>
    <w:bookmarkStart w:id="953" w:name="bpc-157"/>
    <w:p>
      <w:pPr>
        <w:pStyle w:val="Heading2"/>
      </w:pPr>
      <w:r>
        <w:t xml:space="preserve">BPC-157</w:t>
      </w:r>
    </w:p>
    <w:p>
      <w:pPr>
        <w:pStyle w:val="FirstParagraph"/>
      </w:pPr>
      <w:r>
        <w:t xml:space="preserve">Poucos peptídeos são tão procurados, recomendados e vendidos na internet quanto o BPC-157. Em fóruns e vídeos, ele é considerado um remédio milagroso para tendões, ligamentos, músculos, intestino e até o cérebro. Quem lê a literatura científica encontra de fato bem mais de duzentas publicações. O quadro muda, porém, assim que se pergunta quantas delas estudaram seres humanos: são apenas um punhado – pequenas, não controladas e de um único consultório particular. Este capítulo situa o que está comprovado, o que só foi mostrado em ratos e onde estão os riscos.</w:t>
      </w:r>
    </w:p>
    <w:bookmarkStart w:id="897" w:name="ficha-técnica-15"/>
    <w:p>
      <w:pPr>
        <w:pStyle w:val="Heading3"/>
      </w:pPr>
      <w:r>
        <w:t xml:space="preserve">Ficha técnica</w:t>
      </w:r>
    </w:p>
    <w:p>
      <w:pPr>
        <w:numPr>
          <w:ilvl w:val="0"/>
          <w:numId w:val="1115"/>
        </w:numPr>
        <w:pStyle w:val="Compact"/>
      </w:pPr>
      <w:r>
        <w:rPr>
          <w:bCs/>
          <w:b/>
        </w:rPr>
        <w:t xml:space="preserve">Tipo e estrutura:</w:t>
      </w:r>
      <w:r>
        <w:t xml:space="preserve"> </w:t>
      </w:r>
      <w:r>
        <w:t xml:space="preserve">peptídeo sintético de 15 aminoácidos (pentadecapeptídeo) com a sequência GEPPPGKPADDAGLV</w:t>
      </w:r>
      <w:r>
        <w:rPr>
          <w:rStyle w:val="FootnoteReference"/>
        </w:rPr>
        <w:footnoteReference w:id="896"/>
      </w:r>
      <w:r>
        <w:t xml:space="preserve">.</w:t>
      </w:r>
    </w:p>
    <w:p>
      <w:pPr>
        <w:numPr>
          <w:ilvl w:val="0"/>
          <w:numId w:val="1115"/>
        </w:numPr>
        <w:pStyle w:val="Compact"/>
      </w:pPr>
      <w:r>
        <w:rPr>
          <w:bCs/>
          <w:b/>
        </w:rPr>
        <w:t xml:space="preserve">Origem:</w:t>
      </w:r>
      <w:r>
        <w:t xml:space="preserve"> </w:t>
      </w:r>
      <w:r>
        <w:t xml:space="preserve">derivado de uma proteína maior, descrita nos anos 1990 a partir do suco gástrico humano (</w:t>
      </w:r>
      <w:r>
        <w:t xml:space="preserve">“</w:t>
      </w:r>
      <w:r>
        <w:t xml:space="preserve">Body Protection Compound</w:t>
      </w:r>
      <w:r>
        <w:t xml:space="preserve">”</w:t>
      </w:r>
      <w:r>
        <w:t xml:space="preserve">, daí BPC). O BPC-157 vendido é um produto de laboratório; se a sequência ocorre nessa forma no corpo não está confirmado de forma independente.</w:t>
      </w:r>
    </w:p>
    <w:p>
      <w:pPr>
        <w:numPr>
          <w:ilvl w:val="0"/>
          <w:numId w:val="1115"/>
        </w:numPr>
        <w:pStyle w:val="Compact"/>
      </w:pPr>
      <w:r>
        <w:rPr>
          <w:bCs/>
          <w:b/>
        </w:rPr>
        <w:t xml:space="preserve">Nomes de desenvolvimento anteriores:</w:t>
      </w:r>
      <w:r>
        <w:t xml:space="preserve"> </w:t>
      </w:r>
      <w:r>
        <w:t xml:space="preserve">PL 14736, PL-10, PLD-116 (empresa Pliva, Croácia), mais tarde</w:t>
      </w:r>
      <w:r>
        <w:t xml:space="preserve"> </w:t>
      </w:r>
      <w:r>
        <w:t xml:space="preserve">“</w:t>
      </w:r>
      <w:r>
        <w:t xml:space="preserve">Bepecin</w:t>
      </w:r>
      <w:r>
        <w:t xml:space="preserve">”</w:t>
      </w:r>
      <w:r>
        <w:t xml:space="preserve"> </w:t>
      </w:r>
      <w:r>
        <w:t xml:space="preserve">ou PCO-02.</w:t>
      </w:r>
    </w:p>
    <w:p>
      <w:pPr>
        <w:numPr>
          <w:ilvl w:val="0"/>
          <w:numId w:val="1115"/>
        </w:numPr>
        <w:pStyle w:val="Compact"/>
      </w:pPr>
      <w:r>
        <w:rPr>
          <w:bCs/>
          <w:b/>
        </w:rPr>
        <w:t xml:space="preserve">Princípio de ação (suposto, a partir de estudos em animais):</w:t>
      </w:r>
      <w:r>
        <w:t xml:space="preserve"> </w:t>
      </w:r>
      <w:r>
        <w:t xml:space="preserve">estímulo à formação de novos vasos sanguíneos (angiogênese) via receptor 2 de VEGF e sistema do óxido nítrico, efeito sobre a migração de células do tecido conjuntivo.</w:t>
      </w:r>
    </w:p>
    <w:p>
      <w:pPr>
        <w:numPr>
          <w:ilvl w:val="0"/>
          <w:numId w:val="1115"/>
        </w:numPr>
        <w:pStyle w:val="Compact"/>
      </w:pPr>
      <w:r>
        <w:rPr>
          <w:bCs/>
          <w:b/>
        </w:rPr>
        <w:t xml:space="preserve">Aprovação UE:</w:t>
      </w:r>
      <w:r>
        <w:t xml:space="preserve"> </w:t>
      </w:r>
      <w:r>
        <w:t xml:space="preserve">não.</w:t>
      </w:r>
      <w:r>
        <w:t xml:space="preserve"> </w:t>
      </w:r>
      <w:r>
        <w:rPr>
          <w:bCs/>
          <w:b/>
        </w:rPr>
        <w:t xml:space="preserve">Aprovação EUA:</w:t>
      </w:r>
      <w:r>
        <w:t xml:space="preserve"> </w:t>
      </w:r>
      <w:r>
        <w:t xml:space="preserve">não; classificado pela FDA em 2023 como substância com preocupações de segurança para a manipulação magistral (categoria 2).</w:t>
      </w:r>
    </w:p>
    <w:p>
      <w:pPr>
        <w:numPr>
          <w:ilvl w:val="0"/>
          <w:numId w:val="1115"/>
        </w:numPr>
        <w:pStyle w:val="Compact"/>
      </w:pPr>
      <w:r>
        <w:rPr>
          <w:bCs/>
          <w:b/>
        </w:rPr>
        <w:t xml:space="preserve">WADA:</w:t>
      </w:r>
      <w:r>
        <w:t xml:space="preserve"> </w:t>
      </w:r>
      <w:r>
        <w:t xml:space="preserve">proibido, grupo S0</w:t>
      </w:r>
      <w:r>
        <w:t xml:space="preserve"> </w:t>
      </w:r>
      <w:r>
        <w:t xml:space="preserve">“</w:t>
      </w:r>
      <w:r>
        <w:t xml:space="preserve">substâncias não aprovadas</w:t>
      </w:r>
      <w:r>
        <w:t xml:space="preserve">”</w:t>
      </w:r>
      <w:r>
        <w:t xml:space="preserve"> </w:t>
      </w:r>
      <w:r>
        <w:t xml:space="preserve">(mencionado expressamente).</w:t>
      </w:r>
    </w:p>
    <w:p>
      <w:pPr>
        <w:numPr>
          <w:ilvl w:val="0"/>
          <w:numId w:val="1115"/>
        </w:numPr>
        <w:pStyle w:val="Compact"/>
      </w:pPr>
      <w:r>
        <w:rPr>
          <w:bCs/>
          <w:b/>
        </w:rPr>
        <w:t xml:space="preserve">Nível de evidência: C</w:t>
      </w:r>
      <w:r>
        <w:t xml:space="preserve"> </w:t>
      </w:r>
      <w:r>
        <w:t xml:space="preserve">– apenas três investigações muito pequenas e não controladas em humanos, com cerca de 30 pessoas no total; nenhum estudo randomizado concluído.</w:t>
      </w:r>
    </w:p>
    <w:bookmarkEnd w:id="897"/>
    <w:bookmarkStart w:id="904" w:name="como-deveria-agir-15"/>
    <w:p>
      <w:pPr>
        <w:pStyle w:val="Heading3"/>
      </w:pPr>
      <w:r>
        <w:t xml:space="preserve">Como deveria agir</w:t>
      </w:r>
    </w:p>
    <w:p>
      <w:pPr>
        <w:pStyle w:val="FirstParagraph"/>
      </w:pPr>
      <w:r>
        <w:t xml:space="preserve">A ideia básica vem da pesquisa gástrica. A mucosa do estômago é exposta diariamente a ácido, enzimas e medicamentos como analgésicos e, ainda assim, se repara com uma rapidez impressionante. Pesquisadores em Zagreb suspeitaram, nos anos 1990, que substâncias protetoras no suco gástrico seriam responsáveis por essa capacidade e isolaram um peptídeo que chamaram de</w:t>
      </w:r>
      <w:r>
        <w:t xml:space="preserve"> </w:t>
      </w:r>
      <w:r>
        <w:t xml:space="preserve">“</w:t>
      </w:r>
      <w:r>
        <w:t xml:space="preserve">Body Protection Compound</w:t>
      </w:r>
      <w:r>
        <w:t xml:space="preserve">”</w:t>
      </w:r>
      <w:r>
        <w:t xml:space="preserve">. O BPC-157 é um pequeno trecho dele.</w:t>
      </w:r>
    </w:p>
    <w:p>
      <w:pPr>
        <w:pStyle w:val="BodyText"/>
      </w:pPr>
      <w:r>
        <w:t xml:space="preserve">Incomum é que o BPC-157 permanece estável no suco gástrico. A maioria dos peptídeos é rapidamente decomposta ali. Disso os defensores deduzem que ele também poderia agir como comprimido – em humanos, isso não está comprovado.</w:t>
      </w:r>
    </w:p>
    <w:p>
      <w:pPr>
        <w:pStyle w:val="BodyText"/>
      </w:pPr>
      <w:r>
        <w:t xml:space="preserve">Para o efeito alegado, discutem-se sobretudo três mecanismos, todos provenientes de experimentos com animais e células:</w:t>
      </w:r>
    </w:p>
    <w:p>
      <w:pPr>
        <w:numPr>
          <w:ilvl w:val="0"/>
          <w:numId w:val="1116"/>
        </w:numPr>
        <w:pStyle w:val="Compact"/>
      </w:pPr>
      <w:r>
        <w:rPr>
          <w:bCs/>
          <w:b/>
        </w:rPr>
        <w:t xml:space="preserve">Formação de novos vasos:</w:t>
      </w:r>
      <w:r>
        <w:t xml:space="preserve"> </w:t>
      </w:r>
      <w:r>
        <w:t xml:space="preserve">em culturas de células humanas do revestimento interno dos vasos, o BPC-157 aumentou a quantidade do receptor 2 de VEGF (um interruptor central para o crescimento de novos vasos sanguíneos) e ativou a via de sinalização subsequente Akt-eNOS; em ratos com artéria da perna ligada, a circulação voltou mais rápido</w:t>
      </w:r>
      <w:r>
        <w:rPr>
          <w:rStyle w:val="FootnoteReference"/>
        </w:rPr>
        <w:footnoteReference w:id="898"/>
      </w:r>
      <w:r>
        <w:t xml:space="preserve">. Um trabalho da China descreveu em 2026, em experimentos com células, uma outra via, por meio das proteínas FBXO22 e BACH1</w:t>
      </w:r>
      <w:r>
        <w:rPr>
          <w:rStyle w:val="FootnoteReference"/>
        </w:rPr>
        <w:footnoteReference w:id="899"/>
      </w:r>
      <w:r>
        <w:t xml:space="preserve">.</w:t>
      </w:r>
    </w:p>
    <w:p>
      <w:pPr>
        <w:numPr>
          <w:ilvl w:val="0"/>
          <w:numId w:val="1116"/>
        </w:numPr>
        <w:pStyle w:val="Compact"/>
      </w:pPr>
      <w:r>
        <w:rPr>
          <w:bCs/>
          <w:b/>
        </w:rPr>
        <w:t xml:space="preserve">Migração e sobrevivência celular:</w:t>
      </w:r>
      <w:r>
        <w:t xml:space="preserve"> </w:t>
      </w:r>
      <w:r>
        <w:t xml:space="preserve">em culturas de células de tendão de rato, o BPC-157 acelerou o crescimento das células para fora de pedaços de tendão, melhorou sua sobrevivência sob estresse oxidativo e favoreceu sua migração; a divisão celular em si não foi aumentada diretamente</w:t>
      </w:r>
      <w:r>
        <w:rPr>
          <w:rStyle w:val="FootnoteReference"/>
        </w:rPr>
        <w:footnoteReference w:id="900"/>
      </w:r>
      <w:r>
        <w:t xml:space="preserve">.</w:t>
      </w:r>
    </w:p>
    <w:p>
      <w:pPr>
        <w:numPr>
          <w:ilvl w:val="0"/>
          <w:numId w:val="1116"/>
        </w:numPr>
        <w:pStyle w:val="Compact"/>
      </w:pPr>
      <w:r>
        <w:rPr>
          <w:bCs/>
          <w:b/>
        </w:rPr>
        <w:t xml:space="preserve">Sensibilidade ao hormônio do crescimento:</w:t>
      </w:r>
      <w:r>
        <w:t xml:space="preserve"> </w:t>
      </w:r>
      <w:r>
        <w:t xml:space="preserve">nas mesmas células de tendão de rato, o BPC-157 aumentou o número de receptores do hormônio do crescimento</w:t>
      </w:r>
      <w:r>
        <w:rPr>
          <w:rStyle w:val="FootnoteReference"/>
        </w:rPr>
        <w:footnoteReference w:id="901"/>
      </w:r>
      <w:r>
        <w:t xml:space="preserve">.</w:t>
      </w:r>
    </w:p>
    <w:p>
      <w:pPr>
        <w:pStyle w:val="FirstParagraph"/>
      </w:pPr>
      <w:r>
        <w:t xml:space="preserve">Somam-se a isso inúmeros outros efeitos sobre o óxido nítrico, a coagulação sanguínea e os neurotransmissores, descritos sobretudo em artigos de revisão do grupo de Zagreb</w:t>
      </w:r>
      <w:r>
        <w:rPr>
          <w:rStyle w:val="FootnoteReference"/>
        </w:rPr>
        <w:footnoteReference w:id="902"/>
      </w:r>
      <w:r>
        <w:t xml:space="preserve">. Até hoje não se conhece um receptor definido ao qual o BPC-157 se ligue.</w:t>
      </w:r>
    </w:p>
    <w:p>
      <w:pPr>
        <w:pStyle w:val="BodyText"/>
      </w:pPr>
      <w:r>
        <w:t xml:space="preserve">Chama atenção uma contradição apontada por uma revisão farmacêutica: em animais, o BPC-157 tem uma meia-vida de menos de 30 minutos, mas os efeitos descritos durariam de horas a dias</w:t>
      </w:r>
      <w:r>
        <w:rPr>
          <w:rStyle w:val="FootnoteReference"/>
        </w:rPr>
        <w:footnoteReference w:id="903"/>
      </w:r>
      <w:r>
        <w:t xml:space="preserve">. Como isso se encaixa não está esclarecido.</w:t>
      </w:r>
    </w:p>
    <w:bookmarkEnd w:id="904"/>
    <w:bookmarkStart w:id="917" w:name="estudos-em-humanos-15"/>
    <w:p>
      <w:pPr>
        <w:pStyle w:val="Heading3"/>
      </w:pPr>
      <w:r>
        <w:t xml:space="preserve">Estudos em humanos</w:t>
      </w:r>
    </w:p>
    <w:p>
      <w:pPr>
        <w:pStyle w:val="FirstParagraph"/>
      </w:pPr>
      <w:r>
        <w:rPr>
          <w:bCs/>
          <w:b/>
        </w:rPr>
        <w:t xml:space="preserve">Dimensão da base de estudos (consulta de outubro de 2026):</w:t>
      </w:r>
      <w:r>
        <w:t xml:space="preserve"> </w:t>
      </w:r>
      <w:r>
        <w:t xml:space="preserve">a busca automatizada deste livro</w:t>
      </w:r>
      <w:r>
        <w:t xml:space="preserve"> </w:t>
      </w:r>
      <w:r>
        <w:rPr>
          <w:bCs/>
          <w:b/>
        </w:rPr>
        <w:t xml:space="preserve">não</w:t>
      </w:r>
      <w:r>
        <w:t xml:space="preserve"> </w:t>
      </w:r>
      <w:r>
        <w:t xml:space="preserve">encontrou no PubMed nenhum estudo que preencha os critérios de filtro para um estudo em humanos (</w:t>
      </w:r>
      <w:r>
        <w:rPr>
          <w:rStyle w:val="VerbatimChar"/>
        </w:rPr>
        <w:t xml:space="preserve">humanstudien_alle</w:t>
      </w:r>
      <w:r>
        <w:t xml:space="preserve">: 0), e encontrou</w:t>
      </w:r>
      <w:r>
        <w:t xml:space="preserve"> </w:t>
      </w:r>
      <w:r>
        <w:rPr>
          <w:bCs/>
          <w:b/>
        </w:rPr>
        <w:t xml:space="preserve">4</w:t>
      </w:r>
      <w:r>
        <w:t xml:space="preserve"> </w:t>
      </w:r>
      <w:r>
        <w:t xml:space="preserve">registros no registro de estudos ClinicalTrials.gov. No total, o PubMed lista para o BPC-157 cerca de 230 publicações – quase exclusivamente experimentos com animais, trabalhos de laboratório e artigos de revisão.</w:t>
      </w:r>
    </w:p>
    <w:p>
      <w:pPr>
        <w:pStyle w:val="BodyText"/>
      </w:pPr>
      <w:r>
        <w:t xml:space="preserve">Uma busca direcionada adicional encontrou três pequenas investigações em humanos. As três vêm do mesmo primeiro autor, de um consultório particular na Flórida, e foram publicadas em uma revista de medicina alternativa. Uma revisão sistemática publicada em 2026 encontrou exatamente esses três trabalhos, com 30 pessoas no total</w:t>
      </w:r>
      <w:r>
        <w:rPr>
          <w:rStyle w:val="FootnoteReference"/>
        </w:rPr>
        <w:footnoteReference w:id="905"/>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Articulação do joelho (Lee 2021), PMID 34324435</w:t>
            </w:r>
          </w:p>
        </w:tc>
        <w:tc>
          <w:tcPr/>
          <w:p>
            <w:pPr>
              <w:pStyle w:val="Compact"/>
              <w:jc w:val="left"/>
            </w:pPr>
            <w:r>
              <w:t xml:space="preserve">16 pessoas com dor no joelho de diversas causas, análise retrospectiva de prontuários com entrevista telefônica, sem grupo de controle</w:t>
            </w:r>
          </w:p>
        </w:tc>
        <w:tc>
          <w:tcPr/>
          <w:p>
            <w:pPr>
              <w:pStyle w:val="Compact"/>
              <w:jc w:val="left"/>
            </w:pPr>
            <w:r>
              <w:t xml:space="preserve">retrospectiva de 6–12 meses</w:t>
            </w:r>
          </w:p>
        </w:tc>
        <w:tc>
          <w:tcPr/>
          <w:p>
            <w:pPr>
              <w:pStyle w:val="Compact"/>
              <w:jc w:val="left"/>
            </w:pPr>
            <w:r>
              <w:t xml:space="preserve">14 de 16 relataram alívio da dor; 12 receberam só BPC-157, 4 também timosina beta-4</w:t>
            </w:r>
          </w:p>
        </w:tc>
      </w:tr>
      <w:tr>
        <w:tc>
          <w:tcPr/>
          <w:p>
            <w:pPr>
              <w:pStyle w:val="Compact"/>
              <w:jc w:val="left"/>
            </w:pPr>
            <w:r>
              <w:t xml:space="preserve">Cistite intersticial (Lee 2024), PMID 39325560</w:t>
            </w:r>
          </w:p>
        </w:tc>
        <w:tc>
          <w:tcPr/>
          <w:p>
            <w:pPr>
              <w:pStyle w:val="Compact"/>
              <w:jc w:val="left"/>
            </w:pPr>
            <w:r>
              <w:t xml:space="preserve">12 mulheres com doença dolorosa crônica da bexiga, injeções na parede da bexiga durante uma cistoscopia, sem grupo de controle</w:t>
            </w:r>
          </w:p>
        </w:tc>
        <w:tc>
          <w:tcPr/>
          <w:p>
            <w:pPr>
              <w:pStyle w:val="Compact"/>
              <w:jc w:val="left"/>
            </w:pPr>
            <w:r>
              <w:t xml:space="preserve">um tratamento</w:t>
            </w:r>
          </w:p>
        </w:tc>
        <w:tc>
          <w:tcPr/>
          <w:p>
            <w:pPr>
              <w:pStyle w:val="Compact"/>
              <w:jc w:val="left"/>
            </w:pPr>
            <w:r>
              <w:t xml:space="preserve">10 de 12 relataram melhora completa e 2, melhora predominante; nenhum efeito colateral relatado</w:t>
            </w:r>
          </w:p>
        </w:tc>
      </w:tr>
      <w:tr>
        <w:tc>
          <w:tcPr/>
          <w:p>
            <w:pPr>
              <w:pStyle w:val="Compact"/>
              <w:jc w:val="left"/>
            </w:pPr>
            <w:r>
              <w:t xml:space="preserve">Infusão na veia (Lee 2025), PMID 40131143</w:t>
            </w:r>
          </w:p>
        </w:tc>
        <w:tc>
          <w:tcPr/>
          <w:p>
            <w:pPr>
              <w:pStyle w:val="Compact"/>
              <w:jc w:val="left"/>
            </w:pPr>
            <w:r>
              <w:t xml:space="preserve">2 pessoas, teste de segurança em dois dias</w:t>
            </w:r>
          </w:p>
        </w:tc>
        <w:tc>
          <w:tcPr/>
          <w:p>
            <w:pPr>
              <w:pStyle w:val="Compact"/>
              <w:jc w:val="left"/>
            </w:pPr>
            <w:r>
              <w:t xml:space="preserve">3 dias</w:t>
            </w:r>
          </w:p>
        </w:tc>
        <w:tc>
          <w:tcPr/>
          <w:p>
            <w:pPr>
              <w:pStyle w:val="Compact"/>
              <w:jc w:val="left"/>
            </w:pPr>
            <w:r>
              <w:t xml:space="preserve">nenhuma alteração mensurável nos exames de sangue analisados, nenhuma queixa</w:t>
            </w:r>
          </w:p>
        </w:tc>
      </w:tr>
    </w:tbl>
    <w:bookmarkStart w:id="912" w:name="quão-conclusivos-são-esses-dados"/>
    <w:p>
      <w:pPr>
        <w:pStyle w:val="Heading4"/>
      </w:pPr>
      <w:r>
        <w:t xml:space="preserve">Quão conclusivos são esses dados?</w:t>
      </w:r>
    </w:p>
    <w:p>
      <w:pPr>
        <w:pStyle w:val="FirstParagraph"/>
      </w:pPr>
      <w:r>
        <w:t xml:space="preserve">Pouco. A investigação do joelho não foi um estudo planejado, mas uma enquete telefônica posterior entre pacientes que já haviam pago pelo tratamento. Não houve grupo de comparação, nem cegamento, nem instrumentos de medição de função ou qualidade de vida, nem exames de imagem. As causas da dor no joelho iam de artrose a rupturas de menisco. Segundo o resumo, não foram usados questionários padronizados de função</w:t>
      </w:r>
      <w:r>
        <w:rPr>
          <w:rStyle w:val="FootnoteReference"/>
        </w:rPr>
        <w:footnoteReference w:id="906"/>
      </w:r>
      <w:r>
        <w:t xml:space="preserve">.</w:t>
      </w:r>
    </w:p>
    <w:p>
      <w:pPr>
        <w:pStyle w:val="BodyText"/>
      </w:pPr>
      <w:r>
        <w:t xml:space="preserve">O trabalho sobre cistite registrou o resultado com um único questionário global. Que todas as doze mulheres tenham dado a melhor avaliação possível é incomum para uma doença crônica, muitas vezes difícil de tratar, e sem grupo de controle não pode ser distinguido de um efeito placebo ou da oscilação natural dos sintomas. Digno de nota é, além disso, que o BPC-157 utilizado vinha de uma farmácia de manipulação norte-americana</w:t>
      </w:r>
      <w:r>
        <w:rPr>
          <w:rStyle w:val="FootnoteReference"/>
        </w:rPr>
        <w:footnoteReference w:id="907"/>
      </w:r>
      <w:r>
        <w:t xml:space="preserve">.</w:t>
      </w:r>
    </w:p>
    <w:p>
      <w:pPr>
        <w:pStyle w:val="BodyText"/>
      </w:pPr>
      <w:r>
        <w:t xml:space="preserve">O estudo de infusão incluiu duas pessoas que já haviam recebido BPC-157 antes. De duas pessoas não se pode deduzir nenhuma afirmação sobre segurança – efeitos colaterais raros ou tardios permanecem assim invisíveis</w:t>
      </w:r>
      <w:r>
        <w:rPr>
          <w:rStyle w:val="FootnoteReference"/>
        </w:rPr>
        <w:footnoteReference w:id="908"/>
      </w:r>
      <w:r>
        <w:t xml:space="preserve">.</w:t>
      </w:r>
    </w:p>
    <w:p>
      <w:pPr>
        <w:pStyle w:val="BodyText"/>
      </w:pPr>
      <w:r>
        <w:t xml:space="preserve">A revisão sistemática avaliou a qualidade metodológica dos três trabalhos como ruim e a confiabilidade da evidência, pelo sistema GRADE, como</w:t>
      </w:r>
      <w:r>
        <w:t xml:space="preserve"> </w:t>
      </w:r>
      <w:r>
        <w:t xml:space="preserve">“</w:t>
      </w:r>
      <w:r>
        <w:t xml:space="preserve">muito baixa</w:t>
      </w:r>
      <w:r>
        <w:t xml:space="preserve">”</w:t>
      </w:r>
      <w:r>
        <w:t xml:space="preserve">. Sua conclusão: o BPC-157 não deveria ser usado em humanos fora de estudos clínicos de alta qualidade e eticamente aprovados</w:t>
      </w:r>
      <w:r>
        <w:rPr>
          <w:rStyle w:val="FootnoteReference"/>
        </w:rPr>
        <w:footnoteReference w:id="909"/>
      </w:r>
      <w:r>
        <w:t xml:space="preserve">. Outra revisão sistemática da ortopedia esportiva, que pesquisou até junho de 2024, encontrou entre 36 trabalhos incluídos apenas um único estudo clínico</w:t>
      </w:r>
      <w:r>
        <w:rPr>
          <w:rStyle w:val="FootnoteReference"/>
        </w:rPr>
        <w:footnoteReference w:id="910"/>
      </w:r>
      <w:r>
        <w:t xml:space="preserve">. Várias revisões atuais de ortopedia e medicina esportiva chegam à mesma conclusão: um uso rotineiro não pode ser recomendado atualmente</w:t>
      </w:r>
      <w:r>
        <w:rPr>
          <w:rStyle w:val="FootnoteReference"/>
        </w:rPr>
        <w:footnoteReference w:id="911"/>
      </w:r>
      <w:r>
        <w:t xml:space="preserve">.</w:t>
      </w:r>
    </w:p>
    <w:bookmarkEnd w:id="912"/>
    <w:bookmarkStart w:id="916" w:name="Xfad807da4578b8634b34c6d5b6f20e443f13c29"/>
    <w:p>
      <w:pPr>
        <w:pStyle w:val="Heading4"/>
      </w:pPr>
      <w:r>
        <w:t xml:space="preserve">O que aconteceu com os estudos anteriores das empresas</w:t>
      </w:r>
    </w:p>
    <w:p>
      <w:pPr>
        <w:pStyle w:val="FirstParagraph"/>
      </w:pPr>
      <w:r>
        <w:t xml:space="preserve">Nos anos 2000, a empresa farmacêutica croata Pliva desenvolveu o BPC-157, sob o código PL 14736, para doenças inflamatórias intestinais crônicas. Estudos em animais daquela época registram que a substância estaria</w:t>
      </w:r>
      <w:r>
        <w:t xml:space="preserve"> </w:t>
      </w:r>
      <w:r>
        <w:t xml:space="preserve">“</w:t>
      </w:r>
      <w:r>
        <w:t xml:space="preserve">atualmente sendo testada em estudos clínicos</w:t>
      </w:r>
      <w:r>
        <w:t xml:space="preserve">”</w:t>
      </w:r>
      <w:r>
        <w:rPr>
          <w:rStyle w:val="FootnoteReference"/>
        </w:rPr>
        <w:footnoteReference w:id="913"/>
      </w:r>
      <w:r>
        <w:t xml:space="preserve">. Um artigo de revisão do grupo de Zagreb menciona estudos em colite ulcerativa e esclerose múltipla</w:t>
      </w:r>
      <w:r>
        <w:rPr>
          <w:rStyle w:val="FootnoteReference"/>
        </w:rPr>
        <w:footnoteReference w:id="914"/>
      </w:r>
      <w:r>
        <w:t xml:space="preserve">. Resultados completos desses estudos não podem ser encontrados no PubMed como trabalho original. Em 2015, foi registrado ainda um estudo de fase 1 com comprimidos (</w:t>
      </w:r>
      <w:r>
        <w:t xml:space="preserve">“</w:t>
      </w:r>
      <w:r>
        <w:t xml:space="preserve">Bepecin</w:t>
      </w:r>
      <w:r>
        <w:t xml:space="preserve">”</w:t>
      </w:r>
      <w:r>
        <w:t xml:space="preserve">, PCO-02) em 42 voluntários saudáveis</w:t>
      </w:r>
      <w:r>
        <w:rPr>
          <w:rStyle w:val="FootnoteReference"/>
        </w:rPr>
        <w:footnoteReference w:id="915"/>
      </w:r>
      <w:r>
        <w:t xml:space="preserve">; seu status é</w:t>
      </w:r>
      <w:r>
        <w:t xml:space="preserve"> </w:t>
      </w:r>
      <w:r>
        <w:t xml:space="preserve">“</w:t>
      </w:r>
      <w:r>
        <w:t xml:space="preserve">desconhecido</w:t>
      </w:r>
      <w:r>
        <w:t xml:space="preserve">”</w:t>
      </w:r>
      <w:r>
        <w:t xml:space="preserve"> </w:t>
      </w:r>
      <w:r>
        <w:t xml:space="preserve">há anos, e não foram publicados resultados.</w:t>
      </w:r>
    </w:p>
    <w:p>
      <w:pPr>
        <w:pStyle w:val="BodyText"/>
      </w:pPr>
      <w:r>
        <w:t xml:space="preserve">Para as leitoras e os leitores, isso significa: quando sites afirmam que o BPC-157 foi</w:t>
      </w:r>
      <w:r>
        <w:t xml:space="preserve"> </w:t>
      </w:r>
      <w:r>
        <w:t xml:space="preserve">“</w:t>
      </w:r>
      <w:r>
        <w:t xml:space="preserve">seguro em estudos clínicos</w:t>
      </w:r>
      <w:r>
        <w:t xml:space="preserve">”</w:t>
      </w:r>
      <w:r>
        <w:t xml:space="preserve">, eles se referem a estudos cujos dados ninguém pode verificar de forma independente.</w:t>
      </w:r>
    </w:p>
    <w:bookmarkEnd w:id="916"/>
    <w:bookmarkEnd w:id="917"/>
    <w:bookmarkStart w:id="926" w:name="estudos-em-animais-e-em-laboratório-15"/>
    <w:p>
      <w:pPr>
        <w:pStyle w:val="Heading3"/>
      </w:pPr>
      <w:r>
        <w:t xml:space="preserve">Estudos em animais e em laboratório</w:t>
      </w:r>
    </w:p>
    <w:p>
      <w:pPr>
        <w:pStyle w:val="FirstParagraph"/>
      </w:pPr>
      <w:r>
        <w:t xml:space="preserve">A pesquisa pré-clínica é a razão pela qual o BPC-157 ficou tão conhecido. Ela é extensa, mas incomumente unilateral em sua origem.</w:t>
      </w:r>
    </w:p>
    <w:bookmarkStart w:id="921" w:name="um-único-grupo-de-pesquisa-domina"/>
    <w:p>
      <w:pPr>
        <w:pStyle w:val="Heading4"/>
      </w:pPr>
      <w:r>
        <w:t xml:space="preserve">Um único grupo de pesquisa domina</w:t>
      </w:r>
    </w:p>
    <w:p>
      <w:pPr>
        <w:pStyle w:val="FirstParagraph"/>
      </w:pPr>
      <w:r>
        <w:t xml:space="preserve">Dos cerca de 230 resultados no PubMed (consulta de outubro de 2026), aproximadamente 175 citam o farmacologista de Zagreb Predrag Sikirić como autor – ou seja, cerca de três quartos. Uma revisão sobre cicatrização de tendões e músculos registrou que, em duas décadas, apenas um punhado de grupos de pesquisa estudou o BPC-157 a fundo</w:t>
      </w:r>
      <w:r>
        <w:rPr>
          <w:rStyle w:val="FootnoteReference"/>
        </w:rPr>
        <w:footnoteReference w:id="918"/>
      </w:r>
      <w:r>
        <w:t xml:space="preserve">. Isso é importante para a avaliação: resultados científicos só são considerados confiáveis quando grupos independentes os repetem. Uma revisão crítica de 2026 sobre distúrbios circulatórios em roedores critica tempos de observação curtos, experimentos com dose única e riscos de viés descritos de forma incompleta, e exige repetições independentes e cegas</w:t>
      </w:r>
      <w:r>
        <w:rPr>
          <w:rStyle w:val="FootnoteReference"/>
        </w:rPr>
        <w:footnoteReference w:id="919"/>
      </w:r>
      <w:r>
        <w:t xml:space="preserve">. Um breve comentário na revista Inflammopharmacology tratou em 2025 especificamente de um longo artigo de revisão desse grupo</w:t>
      </w:r>
      <w:r>
        <w:rPr>
          <w:rStyle w:val="FootnoteReference"/>
        </w:rPr>
        <w:footnoteReference w:id="920"/>
      </w:r>
      <w:r>
        <w:t xml:space="preserve">.</w:t>
      </w:r>
    </w:p>
    <w:p>
      <w:pPr>
        <w:pStyle w:val="BodyText"/>
      </w:pPr>
      <w:r>
        <w:t xml:space="preserve">Trabalhos independentes existem, sim – sobretudo de Taiwan (células de tendão, vasos), da Coreia do Sul e da China –, mas são bem mais raros e predominantemente experimentos de laboratório ou com células.</w:t>
      </w:r>
    </w:p>
    <w:bookmarkEnd w:id="921"/>
    <w:bookmarkStart w:id="922" w:name="visão-geral-por-sistema-de-órgãos"/>
    <w:p>
      <w:pPr>
        <w:pStyle w:val="Heading4"/>
      </w:pPr>
      <w:r>
        <w:t xml:space="preserve">Visão geral por sistema de órgãos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Área</w:t>
            </w:r>
          </w:p>
        </w:tc>
        <w:tc>
          <w:tcPr/>
          <w:p>
            <w:pPr>
              <w:pStyle w:val="Compact"/>
              <w:jc w:val="left"/>
            </w:pPr>
            <w:r>
              <w:t xml:space="preserve">Modelo típico</w:t>
            </w:r>
          </w:p>
        </w:tc>
        <w:tc>
          <w:tcPr/>
          <w:p>
            <w:pPr>
              <w:pStyle w:val="Compact"/>
              <w:jc w:val="left"/>
            </w:pPr>
            <w:r>
              <w:t xml:space="preserve">Resultado relatado</w:t>
            </w:r>
          </w:p>
        </w:tc>
        <w:tc>
          <w:tcPr/>
          <w:p>
            <w:pPr>
              <w:pStyle w:val="Compact"/>
              <w:jc w:val="left"/>
            </w:pPr>
            <w:r>
              <w:t xml:space="preserve">Exemplo</w:t>
            </w:r>
          </w:p>
        </w:tc>
      </w:tr>
      <w:tr>
        <w:tc>
          <w:tcPr/>
          <w:p>
            <w:pPr>
              <w:pStyle w:val="Compact"/>
              <w:jc w:val="left"/>
            </w:pPr>
            <w:r>
              <w:t xml:space="preserve">Tendão</w:t>
            </w:r>
          </w:p>
        </w:tc>
        <w:tc>
          <w:tcPr/>
          <w:p>
            <w:pPr>
              <w:pStyle w:val="Compact"/>
              <w:jc w:val="left"/>
            </w:pPr>
            <w:r>
              <w:t xml:space="preserve">tendão de Aquiles seccionado em ratos</w:t>
            </w:r>
          </w:p>
        </w:tc>
        <w:tc>
          <w:tcPr/>
          <w:p>
            <w:pPr>
              <w:pStyle w:val="Compact"/>
              <w:jc w:val="left"/>
            </w:pPr>
            <w:r>
              <w:t xml:space="preserve">melhor resistência, função e estrutura do tecido</w:t>
            </w:r>
          </w:p>
        </w:tc>
        <w:tc>
          <w:tcPr/>
          <w:p>
            <w:pPr>
              <w:pStyle w:val="Compact"/>
              <w:jc w:val="left"/>
            </w:pPr>
            <w:r>
              <w:t xml:space="preserve">Staresinic 2003, PMID 14554208</w:t>
            </w:r>
          </w:p>
        </w:tc>
      </w:tr>
      <w:tr>
        <w:tc>
          <w:tcPr/>
          <w:p>
            <w:pPr>
              <w:pStyle w:val="Compact"/>
              <w:jc w:val="left"/>
            </w:pPr>
            <w:r>
              <w:t xml:space="preserve">Ligamento</w:t>
            </w:r>
          </w:p>
        </w:tc>
        <w:tc>
          <w:tcPr/>
          <w:p>
            <w:pPr>
              <w:pStyle w:val="Compact"/>
              <w:jc w:val="left"/>
            </w:pPr>
            <w:r>
              <w:t xml:space="preserve">ligamento colateral do joelho lesionado em ratos</w:t>
            </w:r>
          </w:p>
        </w:tc>
        <w:tc>
          <w:tcPr/>
          <w:p>
            <w:pPr>
              <w:pStyle w:val="Compact"/>
              <w:jc w:val="left"/>
            </w:pPr>
            <w:r>
              <w:t xml:space="preserve">melhor cicatrização</w:t>
            </w:r>
          </w:p>
        </w:tc>
        <w:tc>
          <w:tcPr/>
          <w:p>
            <w:pPr>
              <w:pStyle w:val="Compact"/>
              <w:jc w:val="left"/>
            </w:pPr>
            <w:r>
              <w:t xml:space="preserve">Cerovecki 2010, PMID 20225319</w:t>
            </w:r>
          </w:p>
        </w:tc>
      </w:tr>
      <w:tr>
        <w:tc>
          <w:tcPr/>
          <w:p>
            <w:pPr>
              <w:pStyle w:val="Compact"/>
              <w:jc w:val="left"/>
            </w:pPr>
            <w:r>
              <w:t xml:space="preserve">Músculo</w:t>
            </w:r>
          </w:p>
        </w:tc>
        <w:tc>
          <w:tcPr/>
          <w:p>
            <w:pPr>
              <w:pStyle w:val="Compact"/>
              <w:jc w:val="left"/>
            </w:pPr>
            <w:r>
              <w:t xml:space="preserve">músculo da coxa seccionado em ratos</w:t>
            </w:r>
          </w:p>
        </w:tc>
        <w:tc>
          <w:tcPr/>
          <w:p>
            <w:pPr>
              <w:pStyle w:val="Compact"/>
              <w:jc w:val="left"/>
            </w:pPr>
            <w:r>
              <w:t xml:space="preserve">melhor função</w:t>
            </w:r>
          </w:p>
        </w:tc>
        <w:tc>
          <w:tcPr/>
          <w:p>
            <w:pPr>
              <w:pStyle w:val="Compact"/>
              <w:jc w:val="left"/>
            </w:pPr>
            <w:r>
              <w:t xml:space="preserve">Staresinic 2006, PMID 16609979</w:t>
            </w:r>
          </w:p>
        </w:tc>
      </w:tr>
      <w:tr>
        <w:tc>
          <w:tcPr/>
          <w:p>
            <w:pPr>
              <w:pStyle w:val="Compact"/>
              <w:jc w:val="left"/>
            </w:pPr>
            <w:r>
              <w:t xml:space="preserve">Osso</w:t>
            </w:r>
          </w:p>
        </w:tc>
        <w:tc>
          <w:tcPr/>
          <w:p>
            <w:pPr>
              <w:pStyle w:val="Compact"/>
              <w:jc w:val="left"/>
            </w:pPr>
            <w:r>
              <w:t xml:space="preserve">defeito ósseo em coelhos</w:t>
            </w:r>
          </w:p>
        </w:tc>
        <w:tc>
          <w:tcPr/>
          <w:p>
            <w:pPr>
              <w:pStyle w:val="Compact"/>
              <w:jc w:val="left"/>
            </w:pPr>
            <w:r>
              <w:t xml:space="preserve">cicatrização do defeito claramente melhor na radiografia e no tecido</w:t>
            </w:r>
          </w:p>
        </w:tc>
        <w:tc>
          <w:tcPr/>
          <w:p>
            <w:pPr>
              <w:pStyle w:val="Compact"/>
              <w:jc w:val="left"/>
            </w:pPr>
            <w:r>
              <w:t xml:space="preserve">Sebecić 1999, PMID 10071911</w:t>
            </w:r>
          </w:p>
        </w:tc>
      </w:tr>
      <w:tr>
        <w:tc>
          <w:tcPr/>
          <w:p>
            <w:pPr>
              <w:pStyle w:val="Compact"/>
              <w:jc w:val="left"/>
            </w:pPr>
            <w:r>
              <w:t xml:space="preserve">Pele</w:t>
            </w:r>
          </w:p>
        </w:tc>
        <w:tc>
          <w:tcPr/>
          <w:p>
            <w:pPr>
              <w:pStyle w:val="Compact"/>
              <w:jc w:val="left"/>
            </w:pPr>
            <w:r>
              <w:t xml:space="preserve">feridas incisas, queimaduras e feridas diabéticas em ratos</w:t>
            </w:r>
          </w:p>
        </w:tc>
        <w:tc>
          <w:tcPr/>
          <w:p>
            <w:pPr>
              <w:pStyle w:val="Compact"/>
              <w:jc w:val="left"/>
            </w:pPr>
            <w:r>
              <w:t xml:space="preserve">cicatrização mais rápida</w:t>
            </w:r>
          </w:p>
        </w:tc>
        <w:tc>
          <w:tcPr/>
          <w:p>
            <w:pPr>
              <w:pStyle w:val="Compact"/>
              <w:jc w:val="left"/>
            </w:pPr>
            <w:r>
              <w:t xml:space="preserve">Seiwerth 2021, PMID 34267654</w:t>
            </w:r>
          </w:p>
        </w:tc>
      </w:tr>
      <w:tr>
        <w:tc>
          <w:tcPr/>
          <w:p>
            <w:pPr>
              <w:pStyle w:val="Compact"/>
              <w:jc w:val="left"/>
            </w:pPr>
            <w:r>
              <w:t xml:space="preserve">Intestino</w:t>
            </w:r>
          </w:p>
        </w:tc>
        <w:tc>
          <w:tcPr/>
          <w:p>
            <w:pPr>
              <w:pStyle w:val="Compact"/>
              <w:jc w:val="left"/>
            </w:pPr>
            <w:r>
              <w:t xml:space="preserve">fístulas, colite, anastomoses em ratos</w:t>
            </w:r>
          </w:p>
        </w:tc>
        <w:tc>
          <w:tcPr/>
          <w:p>
            <w:pPr>
              <w:pStyle w:val="Compact"/>
              <w:jc w:val="left"/>
            </w:pPr>
            <w:r>
              <w:t xml:space="preserve">cicatrização das fístulas e suturas</w:t>
            </w:r>
          </w:p>
        </w:tc>
        <w:tc>
          <w:tcPr/>
          <w:p>
            <w:pPr>
              <w:pStyle w:val="Compact"/>
              <w:jc w:val="left"/>
            </w:pPr>
            <w:r>
              <w:t xml:space="preserve">Sikiric 2020, PMID 32329684</w:t>
            </w:r>
          </w:p>
        </w:tc>
      </w:tr>
      <w:tr>
        <w:tc>
          <w:tcPr/>
          <w:p>
            <w:pPr>
              <w:pStyle w:val="Compact"/>
              <w:jc w:val="left"/>
            </w:pPr>
            <w:r>
              <w:t xml:space="preserve">Estômago</w:t>
            </w:r>
          </w:p>
        </w:tc>
        <w:tc>
          <w:tcPr/>
          <w:p>
            <w:pPr>
              <w:pStyle w:val="Compact"/>
              <w:jc w:val="left"/>
            </w:pPr>
            <w:r>
              <w:t xml:space="preserve">lesões por analgésicos e álcool</w:t>
            </w:r>
          </w:p>
        </w:tc>
        <w:tc>
          <w:tcPr/>
          <w:p>
            <w:pPr>
              <w:pStyle w:val="Compact"/>
              <w:jc w:val="left"/>
            </w:pPr>
            <w:r>
              <w:t xml:space="preserve">proteção da mucosa</w:t>
            </w:r>
          </w:p>
        </w:tc>
        <w:tc>
          <w:tcPr/>
          <w:p>
            <w:pPr>
              <w:pStyle w:val="Compact"/>
              <w:jc w:val="left"/>
            </w:pPr>
            <w:r>
              <w:t xml:space="preserve">Ilic 2011, PMID 21295044</w:t>
            </w:r>
          </w:p>
        </w:tc>
      </w:tr>
      <w:tr>
        <w:tc>
          <w:tcPr/>
          <w:p>
            <w:pPr>
              <w:pStyle w:val="Compact"/>
              <w:jc w:val="left"/>
            </w:pPr>
            <w:r>
              <w:t xml:space="preserve">Vasos</w:t>
            </w:r>
          </w:p>
        </w:tc>
        <w:tc>
          <w:tcPr/>
          <w:p>
            <w:pPr>
              <w:pStyle w:val="Compact"/>
              <w:jc w:val="left"/>
            </w:pPr>
            <w:r>
              <w:t xml:space="preserve">artérias e veias ligadas</w:t>
            </w:r>
          </w:p>
        </w:tc>
        <w:tc>
          <w:tcPr/>
          <w:p>
            <w:pPr>
              <w:pStyle w:val="Compact"/>
              <w:jc w:val="left"/>
            </w:pPr>
            <w:r>
              <w:t xml:space="preserve">circulações colaterais, melhor perfusão</w:t>
            </w:r>
          </w:p>
        </w:tc>
        <w:tc>
          <w:tcPr/>
          <w:p>
            <w:pPr>
              <w:pStyle w:val="Compact"/>
              <w:jc w:val="left"/>
            </w:pPr>
            <w:r>
              <w:t xml:space="preserve">Sikiric 2022, PMID 35125818</w:t>
            </w:r>
          </w:p>
        </w:tc>
      </w:tr>
    </w:tbl>
    <w:p>
      <w:pPr>
        <w:pStyle w:val="BodyText"/>
      </w:pPr>
      <w:r>
        <w:t xml:space="preserve">Somam-se trabalhos sobre cérebro, olho, coração, bexiga, intoxicações e descompensações metabólicas – em ratos e camundongos. Essa enorme amplitude é lida pelos defensores como um ponto forte. Do ponto de vista metodológico, é antes um sinal de alerta: uma substância que melhora quase todo distúrbio em quase todo modelo testado exige uma verificação independente especialmente cuidadosa.</w:t>
      </w:r>
    </w:p>
    <w:bookmarkEnd w:id="922"/>
    <w:bookmarkStart w:id="925" w:name="farmacocinética-e-toxicologia"/>
    <w:p>
      <w:pPr>
        <w:pStyle w:val="Heading4"/>
      </w:pPr>
      <w:r>
        <w:t xml:space="preserve">Farmacocinética e toxicologia</w:t>
      </w:r>
    </w:p>
    <w:p>
      <w:pPr>
        <w:pStyle w:val="FirstParagraph"/>
      </w:pPr>
      <w:r>
        <w:t xml:space="preserve">Um grupo de pesquisa chinês estudou o BPC-157 segundo as regras habituais do desenvolvimento de medicamentos. Em ratos e cães da raça beagle, a meia-vida do peptídeo inalterado foi inferior a 30 minutos; após injeção no músculo, cerca de 14 a 19 por cento chegaram à corrente sanguínea em ratos, e 45 a 51 por cento em cães. O BPC-157 foi rapidamente decomposto em pequenos fragmentos e aminoácidos e eliminado pela urina e pela bile</w:t>
      </w:r>
      <w:r>
        <w:rPr>
          <w:rStyle w:val="FootnoteReference"/>
        </w:rPr>
        <w:footnoteReference w:id="923"/>
      </w:r>
      <w:r>
        <w:t xml:space="preserve">. Em testes de toxicidade em camundongos, ratos, coelhos e cães, os mesmos pesquisadores não encontraram danos graves, nem dano ao material genético, nem dano a embriões; em cães, com a dose mais alta, o valor de creatinina caiu temporariamente</w:t>
      </w:r>
      <w:r>
        <w:rPr>
          <w:rStyle w:val="FootnoteReference"/>
        </w:rPr>
        <w:footnoteReference w:id="924"/>
      </w:r>
      <w:r>
        <w:t xml:space="preserve">. Esses dados de animais são um pré-requisito para estudos em humanos, mas não os substituem.</w:t>
      </w:r>
    </w:p>
    <w:bookmarkEnd w:id="925"/>
    <w:bookmarkEnd w:id="926"/>
    <w:bookmarkStart w:id="939" w:name="riscos-e-efeitos-colaterais-15"/>
    <w:p>
      <w:pPr>
        <w:pStyle w:val="Heading3"/>
      </w:pPr>
      <w:r>
        <w:t xml:space="preserve">Riscos e efeitos colaterais</w:t>
      </w:r>
    </w:p>
    <w:bookmarkStart w:id="928" w:name="comprovados"/>
    <w:p>
      <w:pPr>
        <w:pStyle w:val="Heading4"/>
      </w:pPr>
      <w:r>
        <w:t xml:space="preserve">Comprovados</w:t>
      </w:r>
    </w:p>
    <w:p>
      <w:pPr>
        <w:pStyle w:val="FirstParagraph"/>
      </w:pPr>
      <w:r>
        <w:t xml:space="preserve">Efeitos colaterais comprovados em humanos praticamente não existem – mas não porque o BPC-157 seja comprovadamente seguro, e sim porque quase ninguém os procurou de forma sistemática. As três investigações-piloto, com cerca de 30 pessoas no total, não relataram efeitos colaterais</w:t>
      </w:r>
      <w:r>
        <w:rPr>
          <w:rStyle w:val="FootnoteReference"/>
        </w:rPr>
        <w:footnoteReference w:id="927"/>
      </w:r>
      <w:r>
        <w:t xml:space="preserve">. Com 30 pessoas, só é possível identificar problemas frequentes e imediatos. Um efeito colateral que afetasse uma em cada mil pessoas permaneceria invisível.</w:t>
      </w:r>
    </w:p>
    <w:bookmarkEnd w:id="928"/>
    <w:bookmarkStart w:id="932" w:name="Xeb2fbb3c3aebdb8b13b59394f7c626a6ed0d529"/>
    <w:p>
      <w:pPr>
        <w:pStyle w:val="Heading4"/>
      </w:pPr>
      <w:r>
        <w:t xml:space="preserve">Teórico: formação de novos vasos e crescimento tumoral</w:t>
      </w:r>
    </w:p>
    <w:p>
      <w:pPr>
        <w:pStyle w:val="FirstParagraph"/>
      </w:pPr>
      <w:r>
        <w:t xml:space="preserve">O risco teórico mais discutido decorre diretamente do mecanismo de ação suposto. Se o BPC-157 favorece a formação de novos vasos sanguíneos, ele poderia – é o que se teme – também melhorar a irrigação de tumores já existentes, talvez ainda não descobertos. Tumores a partir de poucos milímetros precisam de vasos sanguíneos próprios para continuar crescendo. Por isso, inibidores da via de sinalização do VEGF são medicamentos estabelecidos contra o câncer. Uma substância que aumenta o receptor 2 de VEGF em culturas de células</w:t>
      </w:r>
      <w:r>
        <w:rPr>
          <w:rStyle w:val="FootnoteReference"/>
        </w:rPr>
        <w:footnoteReference w:id="929"/>
      </w:r>
      <w:r>
        <w:t xml:space="preserve"> </w:t>
      </w:r>
      <w:r>
        <w:t xml:space="preserve">merece cautela aqui. Várias revisões citam expressamente a formação patológica de vasos e um possível estímulo ao câncer como risco não esclarecido</w:t>
      </w:r>
      <w:r>
        <w:rPr>
          <w:rStyle w:val="FootnoteReference"/>
        </w:rPr>
        <w:footnoteReference w:id="930"/>
      </w:r>
      <w:r>
        <w:t xml:space="preserve">.</w:t>
      </w:r>
    </w:p>
    <w:p>
      <w:pPr>
        <w:pStyle w:val="BodyText"/>
      </w:pPr>
      <w:r>
        <w:t xml:space="preserve">O grupo de Zagreb contesta isso: o BPC-157 regularia a formação de vasos em vez de estimulá-la cegamente, impediria, por exemplo na córnea do olho, a invasão patológica de vasos e mostraria, em experimentos com animais e células, até mesmo efeitos contra tumores</w:t>
      </w:r>
      <w:r>
        <w:rPr>
          <w:rStyle w:val="FootnoteReference"/>
        </w:rPr>
        <w:footnoteReference w:id="931"/>
      </w:r>
      <w:r>
        <w:t xml:space="preserve">. Esses dados, por sua vez, vêm predominantemente do mesmo grupo. Estudos de longo prazo sobre o surgimento de câncer (estudos de carcinogenicidade), habituais para medicamentos aprovados, não foram publicados para o BPC-157. A questão está, portanto, em aberto – nem confirmada nem refutada. A Parte IV deste livro trata em detalhe do tema sinais de crescimento e risco de câncer.</w:t>
      </w:r>
    </w:p>
    <w:bookmarkEnd w:id="932"/>
    <w:bookmarkStart w:id="935" w:name="riscos-do-mercado-cinza"/>
    <w:p>
      <w:pPr>
        <w:pStyle w:val="Heading4"/>
      </w:pPr>
      <w:r>
        <w:t xml:space="preserve">Riscos do mercado cinza</w:t>
      </w:r>
    </w:p>
    <w:p>
      <w:pPr>
        <w:pStyle w:val="FirstParagraph"/>
      </w:pPr>
      <w:r>
        <w:t xml:space="preserve">O maior risco prático provavelmente não está na substância em si, mas nos produtos. O BPC-157 é vendido predominantemente como</w:t>
      </w:r>
      <w:r>
        <w:t xml:space="preserve"> </w:t>
      </w:r>
      <w:r>
        <w:t xml:space="preserve">“</w:t>
      </w:r>
      <w:r>
        <w:t xml:space="preserve">research chemical</w:t>
      </w:r>
      <w:r>
        <w:t xml:space="preserve">”</w:t>
      </w:r>
      <w:r>
        <w:t xml:space="preserve">, sem qualidade farmacêutica. Revisões citam contaminações, concentrações erradas, falta de esterilidade e qualidade de fabricação variável como perigos concretos</w:t>
      </w:r>
      <w:r>
        <w:rPr>
          <w:rStyle w:val="FootnoteReference"/>
        </w:rPr>
        <w:footnoteReference w:id="933"/>
      </w:r>
      <w:r>
        <w:t xml:space="preserve">. Já em 2017, um laboratório antidoping descreveu BPC-157 de frascos apreendidos</w:t>
      </w:r>
      <w:r>
        <w:rPr>
          <w:rStyle w:val="FootnoteReference"/>
        </w:rPr>
        <w:footnoteReference w:id="934"/>
      </w:r>
      <w:r>
        <w:t xml:space="preserve">. Com injeções, somam-se riscos de infecção por soluções não estéreis. O capítulo I.5 e a Parte IV tratam em detalhe de análises laboratoriais de peptídeos do mercado cinza.</w:t>
      </w:r>
    </w:p>
    <w:bookmarkEnd w:id="935"/>
    <w:bookmarkStart w:id="938" w:name="outras-questões-em-aberto"/>
    <w:p>
      <w:pPr>
        <w:pStyle w:val="Heading4"/>
      </w:pPr>
      <w:r>
        <w:t xml:space="preserve">Outras questões em aberto</w:t>
      </w:r>
    </w:p>
    <w:p>
      <w:pPr>
        <w:numPr>
          <w:ilvl w:val="0"/>
          <w:numId w:val="1117"/>
        </w:numPr>
        <w:pStyle w:val="Compact"/>
      </w:pPr>
      <w:r>
        <w:rPr>
          <w:bCs/>
          <w:b/>
        </w:rPr>
        <w:t xml:space="preserve">Interações:</w:t>
      </w:r>
      <w:r>
        <w:t xml:space="preserve"> </w:t>
      </w:r>
      <w:r>
        <w:t xml:space="preserve">em experimentos com animais, o BPC-157 influenciou a coagulação sanguínea, a pressão arterial e mensageiros do sistema nervoso</w:t>
      </w:r>
      <w:r>
        <w:rPr>
          <w:rStyle w:val="FootnoteReference"/>
        </w:rPr>
        <w:footnoteReference w:id="936"/>
      </w:r>
      <w:r>
        <w:t xml:space="preserve">. Se isso é relevante em humanos para pessoas com anticoagulantes, doenças cardiovasculares ou medicamentos psiquiátricos, ninguém sabe.</w:t>
      </w:r>
    </w:p>
    <w:p>
      <w:pPr>
        <w:numPr>
          <w:ilvl w:val="0"/>
          <w:numId w:val="1117"/>
        </w:numPr>
        <w:pStyle w:val="Compact"/>
      </w:pPr>
      <w:r>
        <w:rPr>
          <w:bCs/>
          <w:b/>
        </w:rPr>
        <w:t xml:space="preserve">Gravidez e amamentação, crianças e adolescentes:</w:t>
      </w:r>
      <w:r>
        <w:t xml:space="preserve"> </w:t>
      </w:r>
      <w:r>
        <w:t xml:space="preserve">sem dados em humanos.</w:t>
      </w:r>
    </w:p>
    <w:p>
      <w:pPr>
        <w:numPr>
          <w:ilvl w:val="0"/>
          <w:numId w:val="1117"/>
        </w:numPr>
        <w:pStyle w:val="Compact"/>
      </w:pPr>
      <w:r>
        <w:rPr>
          <w:bCs/>
          <w:b/>
        </w:rPr>
        <w:t xml:space="preserve">Efeito placebo:</w:t>
      </w:r>
      <w:r>
        <w:t xml:space="preserve"> </w:t>
      </w:r>
      <w:r>
        <w:t xml:space="preserve">uma revisão de medicina esportiva aponta que as redes sociais podem intensificar o efeito placebo com esses peptídeos</w:t>
      </w:r>
      <w:r>
        <w:rPr>
          <w:rStyle w:val="FootnoteReference"/>
        </w:rPr>
        <w:footnoteReference w:id="937"/>
      </w:r>
      <w:r>
        <w:t xml:space="preserve">. Relatos pessoais de sucesso não são, portanto, prova de eficácia.</w:t>
      </w:r>
    </w:p>
    <w:bookmarkEnd w:id="938"/>
    <w:bookmarkEnd w:id="939"/>
    <w:bookmarkStart w:id="943" w:name="situação-legal-15"/>
    <w:p>
      <w:pPr>
        <w:pStyle w:val="Heading3"/>
      </w:pPr>
      <w:r>
        <w:t xml:space="preserve">Situação legal</w:t>
      </w:r>
    </w:p>
    <w:p>
      <w:pPr>
        <w:pStyle w:val="FirstParagraph"/>
      </w:pPr>
      <w:r>
        <w:rPr>
          <w:iCs/>
          <w:i/>
        </w:rPr>
        <w:t xml:space="preserve">Situação em 2026, verificar atualização.</w:t>
      </w:r>
    </w:p>
    <w:p>
      <w:pPr>
        <w:numPr>
          <w:ilvl w:val="0"/>
          <w:numId w:val="1118"/>
        </w:numPr>
        <w:pStyle w:val="Compact"/>
      </w:pPr>
      <w:r>
        <w:rPr>
          <w:bCs/>
          <w:b/>
        </w:rPr>
        <w:t xml:space="preserve">UE:</w:t>
      </w:r>
      <w:r>
        <w:t xml:space="preserve"> </w:t>
      </w:r>
      <w:r>
        <w:t xml:space="preserve">o BPC-157 não está aprovado como medicamento em nenhum Estado-membro. Uma substância oferecida para o tratamento de doenças em humanos é juridicamente considerada um medicamento; sem aprovação, não pode ser colocada no mercado. A indicação</w:t>
      </w:r>
      <w:r>
        <w:t xml:space="preserve"> </w:t>
      </w:r>
      <w:r>
        <w:t xml:space="preserve">“</w:t>
      </w:r>
      <w:r>
        <w:t xml:space="preserve">apenas para fins de pesquisa</w:t>
      </w:r>
      <w:r>
        <w:t xml:space="preserve">”</w:t>
      </w:r>
      <w:r>
        <w:t xml:space="preserve"> </w:t>
      </w:r>
      <w:r>
        <w:t xml:space="preserve">não muda isso quando o produto se destina claramente ao uso em humanos.</w:t>
      </w:r>
    </w:p>
    <w:p>
      <w:pPr>
        <w:numPr>
          <w:ilvl w:val="0"/>
          <w:numId w:val="1118"/>
        </w:numPr>
        <w:pStyle w:val="Compact"/>
      </w:pPr>
      <w:r>
        <w:rPr>
          <w:bCs/>
          <w:b/>
        </w:rPr>
        <w:t xml:space="preserve">Alemanha e Áustria:</w:t>
      </w:r>
      <w:r>
        <w:t xml:space="preserve"> </w:t>
      </w:r>
      <w:r>
        <w:t xml:space="preserve">sem aprovação, também sem base para manipulação magistral. O fornecimento para uso em humanos é inadmissível segundo a respectiva lei de medicamentos. No esporte, aplicam-se adicionalmente as regras antidoping.</w:t>
      </w:r>
    </w:p>
    <w:p>
      <w:pPr>
        <w:numPr>
          <w:ilvl w:val="0"/>
          <w:numId w:val="1118"/>
        </w:numPr>
        <w:pStyle w:val="Compact"/>
      </w:pPr>
      <w:r>
        <w:rPr>
          <w:bCs/>
          <w:b/>
        </w:rPr>
        <w:t xml:space="preserve">EUA:</w:t>
      </w:r>
      <w:r>
        <w:t xml:space="preserve"> </w:t>
      </w:r>
      <w:r>
        <w:t xml:space="preserve">sem aprovação da FDA. Em 2023, a FDA classificou o BPC-157, entre as substâncias de partida para manipulação magistral (o chamado compounding), na categoria 2 – substâncias para as quais existem preocupações de segurança consideráveis. Com isso, farmácias de manipulação, na visão da autoridade, não podem processá-lo. A classificação de peptídeos foi desde então discutida de forma controversa no comitê consultivo da FDA para manipulação magistral (PCAC) e nos meios especializados</w:t>
      </w:r>
      <w:r>
        <w:rPr>
          <w:rStyle w:val="FootnoteReference"/>
        </w:rPr>
        <w:footnoteReference w:id="940"/>
      </w:r>
      <w:r>
        <w:t xml:space="preserve">; mudanças são possíveis.</w:t>
      </w:r>
    </w:p>
    <w:p>
      <w:pPr>
        <w:numPr>
          <w:ilvl w:val="0"/>
          <w:numId w:val="1118"/>
        </w:numPr>
        <w:pStyle w:val="Compact"/>
      </w:pPr>
      <w:r>
        <w:rPr>
          <w:bCs/>
          <w:b/>
        </w:rPr>
        <w:t xml:space="preserve">WADA:</w:t>
      </w:r>
      <w:r>
        <w:t xml:space="preserve"> </w:t>
      </w:r>
      <w:r>
        <w:t xml:space="preserve">o BPC-157 consta nominalmente desde 2022 no grupo S0 (substâncias não aprovadas) da lista de proibições e é, portanto, proibido em competição e fora dela. Uma revisão de 2025 afirma, divergindo disso, que o BPC-157 atualmente não estaria listado</w:t>
      </w:r>
      <w:r>
        <w:rPr>
          <w:rStyle w:val="FootnoteReference"/>
        </w:rPr>
        <w:footnoteReference w:id="941"/>
      </w:r>
      <w:r>
        <w:t xml:space="preserve"> </w:t>
      </w:r>
      <w:r>
        <w:t xml:space="preserve">– segundo o conhecimento do autor, isso não se aplica à lista atual. Laboratórios antidoping desenvolveram métodos de detecção na urina</w:t>
      </w:r>
      <w:r>
        <w:rPr>
          <w:rStyle w:val="FootnoteReference"/>
        </w:rPr>
        <w:footnoteReference w:id="942"/>
      </w:r>
      <w:r>
        <w:t xml:space="preserve">.</w:t>
      </w:r>
    </w:p>
    <w:bookmarkEnd w:id="943"/>
    <w:bookmarkStart w:id="949" w:name="estudos-em-andamento-e-perspectivas-15"/>
    <w:p>
      <w:pPr>
        <w:pStyle w:val="Heading3"/>
      </w:pPr>
      <w:r>
        <w:t xml:space="preserve">Estudos em andamento e perspectivas</w:t>
      </w:r>
    </w:p>
    <w:p>
      <w:pPr>
        <w:pStyle w:val="FirstParagraph"/>
      </w:pPr>
      <w:r>
        <w:t xml:space="preserve">Em outubro de 2026, há quatro estudos com BPC-157 registrados no ClinicalTrials.gov: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Desenho</w:t>
            </w:r>
          </w:p>
        </w:tc>
        <w:tc>
          <w:tcPr/>
          <w:p>
            <w:pPr>
              <w:pStyle w:val="Compact"/>
              <w:jc w:val="left"/>
            </w:pPr>
            <w:r>
              <w:t xml:space="preserve">Status</w:t>
            </w:r>
          </w:p>
        </w:tc>
        <w:tc>
          <w:tcPr/>
          <w:p>
            <w:pPr>
              <w:pStyle w:val="Compact"/>
              <w:jc w:val="left"/>
            </w:pPr>
            <w:r>
              <w:t xml:space="preserve">Tema</w:t>
            </w:r>
          </w:p>
        </w:tc>
      </w:tr>
      <w:tr>
        <w:tc>
          <w:tcPr/>
          <w:p>
            <w:pPr>
              <w:pStyle w:val="Compact"/>
              <w:jc w:val="left"/>
            </w:pPr>
            <w:r>
              <w:t xml:space="preserve">NCT07437547</w:t>
            </w:r>
          </w:p>
        </w:tc>
        <w:tc>
          <w:tcPr/>
          <w:p>
            <w:pPr>
              <w:pStyle w:val="Compact"/>
              <w:jc w:val="left"/>
            </w:pPr>
            <w:r>
              <w:t xml:space="preserve">fase 2, randomizado, duplo-cego, placebo, 120 pessoas previstas</w:t>
            </w:r>
          </w:p>
        </w:tc>
        <w:tc>
          <w:tcPr/>
          <w:p>
            <w:pPr>
              <w:pStyle w:val="Compact"/>
              <w:jc w:val="left"/>
            </w:pPr>
            <w:r>
              <w:t xml:space="preserve">segundo o registro, recrutando desde fevereiro de 2026; autenticidade questionável (veja o texto)</w:t>
            </w:r>
          </w:p>
        </w:tc>
        <w:tc>
          <w:tcPr/>
          <w:p>
            <w:pPr>
              <w:pStyle w:val="Compact"/>
              <w:jc w:val="left"/>
            </w:pPr>
            <w:r>
              <w:t xml:space="preserve">estiramento agudo da musculatura posterior da coxa; tempo até o retorno ao esporte, achado de ressonância</w:t>
            </w:r>
          </w:p>
        </w:tc>
      </w:tr>
      <w:tr>
        <w:tc>
          <w:tcPr/>
          <w:p>
            <w:pPr>
              <w:pStyle w:val="Compact"/>
              <w:jc w:val="left"/>
            </w:pPr>
            <w:r>
              <w:t xml:space="preserve">NCT07803250</w:t>
            </w:r>
          </w:p>
        </w:tc>
        <w:tc>
          <w:tcPr/>
          <w:p>
            <w:pPr>
              <w:pStyle w:val="Compact"/>
              <w:jc w:val="left"/>
            </w:pPr>
            <w:r>
              <w:t xml:space="preserve">fase 1, randomizado, 30 pessoas previstas</w:t>
            </w:r>
          </w:p>
        </w:tc>
        <w:tc>
          <w:tcPr/>
          <w:p>
            <w:pPr>
              <w:pStyle w:val="Compact"/>
              <w:jc w:val="left"/>
            </w:pPr>
            <w:r>
              <w:t xml:space="preserve">ainda não recrutando, início previsto em 2027</w:t>
            </w:r>
          </w:p>
        </w:tc>
        <w:tc>
          <w:tcPr/>
          <w:p>
            <w:pPr>
              <w:pStyle w:val="Compact"/>
              <w:jc w:val="left"/>
            </w:pPr>
            <w:r>
              <w:t xml:space="preserve">cicatrização após cirurgia do manguito rotador (ombro)</w:t>
            </w:r>
          </w:p>
        </w:tc>
      </w:tr>
      <w:tr>
        <w:tc>
          <w:tcPr/>
          <w:p>
            <w:pPr>
              <w:pStyle w:val="Compact"/>
              <w:jc w:val="left"/>
            </w:pPr>
            <w:r>
              <w:t xml:space="preserve">NCT07752381</w:t>
            </w:r>
          </w:p>
        </w:tc>
        <w:tc>
          <w:tcPr/>
          <w:p>
            <w:pPr>
              <w:pStyle w:val="Compact"/>
              <w:jc w:val="left"/>
            </w:pPr>
            <w:r>
              <w:t xml:space="preserve">um grupo sem controle, 40 pessoas</w:t>
            </w:r>
          </w:p>
        </w:tc>
        <w:tc>
          <w:tcPr/>
          <w:p>
            <w:pPr>
              <w:pStyle w:val="Compact"/>
              <w:jc w:val="left"/>
            </w:pPr>
            <w:r>
              <w:t xml:space="preserve">concluído em 2025, sem resultados no registro</w:t>
            </w:r>
          </w:p>
        </w:tc>
        <w:tc>
          <w:tcPr/>
          <w:p>
            <w:pPr>
              <w:pStyle w:val="Compact"/>
              <w:jc w:val="left"/>
            </w:pPr>
            <w:r>
              <w:t xml:space="preserve">balas de goma de um fabricante; marcadores inflamatórios e autoavaliação</w:t>
            </w:r>
          </w:p>
        </w:tc>
      </w:tr>
      <w:tr>
        <w:tc>
          <w:tcPr/>
          <w:p>
            <w:pPr>
              <w:pStyle w:val="Compact"/>
              <w:jc w:val="left"/>
            </w:pPr>
            <w:r>
              <w:t xml:space="preserve">NCT02637284</w:t>
            </w:r>
          </w:p>
        </w:tc>
        <w:tc>
          <w:tcPr/>
          <w:p>
            <w:pPr>
              <w:pStyle w:val="Compact"/>
              <w:jc w:val="left"/>
            </w:pPr>
            <w:r>
              <w:t xml:space="preserve">fase 1, comprimidos, 42 pessoas saudáveis previstas</w:t>
            </w:r>
          </w:p>
        </w:tc>
        <w:tc>
          <w:tcPr/>
          <w:p>
            <w:pPr>
              <w:pStyle w:val="Compact"/>
              <w:jc w:val="left"/>
            </w:pPr>
            <w:r>
              <w:t xml:space="preserve">status desconhecido desde 2016</w:t>
            </w:r>
          </w:p>
        </w:tc>
        <w:tc>
          <w:tcPr/>
          <w:p>
            <w:pPr>
              <w:pStyle w:val="Compact"/>
              <w:jc w:val="left"/>
            </w:pPr>
            <w:r>
              <w:t xml:space="preserve">segurança e farmacocinética</w:t>
            </w:r>
          </w:p>
        </w:tc>
      </w:tr>
    </w:tbl>
    <w:p>
      <w:pPr>
        <w:pStyle w:val="BodyText"/>
      </w:pPr>
      <w:r>
        <w:rPr>
          <w:bCs/>
          <w:b/>
        </w:rPr>
        <w:t xml:space="preserve">Confirmado</w:t>
      </w:r>
      <w:r>
        <w:t xml:space="preserve"> </w:t>
      </w:r>
      <w:r>
        <w:t xml:space="preserve">há pouco. No papel, o estudo de fase 2 sobre estiramentos da musculatura posterior da coxa</w:t>
      </w:r>
      <w:r>
        <w:rPr>
          <w:rStyle w:val="FootnoteReference"/>
        </w:rPr>
        <w:footnoteReference w:id="944"/>
      </w:r>
      <w:r>
        <w:t xml:space="preserve"> </w:t>
      </w:r>
      <w:r>
        <w:t xml:space="preserve">seria o primeiro estudo randomizado, controlado por placebo, com desfecho objetivo (ressonância) e tamanho suficiente. Na verificação para este livro, porém, chamou atenção: o mesmo patrocinador (</w:t>
      </w:r>
      <w:r>
        <w:t xml:space="preserve">“</w:t>
      </w:r>
      <w:r>
        <w:t xml:space="preserve">Hudson Biotech</w:t>
      </w:r>
      <w:r>
        <w:t xml:space="preserve">”</w:t>
      </w:r>
      <w:r>
        <w:t xml:space="preserve">), com centro de estudo e pessoa de contato idênticos, criou um segundo registro sobre TB-500</w:t>
      </w:r>
      <w:r>
        <w:rPr>
          <w:rStyle w:val="FootnoteReference"/>
        </w:rPr>
        <w:footnoteReference w:id="945"/>
      </w:r>
      <w:r>
        <w:t xml:space="preserve">, que em sua própria descrição se denomina expressamente um exemplo</w:t>
      </w:r>
      <w:r>
        <w:t xml:space="preserve"> </w:t>
      </w:r>
      <w:r>
        <w:t xml:space="preserve">“</w:t>
      </w:r>
      <w:r>
        <w:t xml:space="preserve">fictício</w:t>
      </w:r>
      <w:r>
        <w:t xml:space="preserve">”</w:t>
      </w:r>
      <w:r>
        <w:t xml:space="preserve"> </w:t>
      </w:r>
      <w:r>
        <w:t xml:space="preserve">de registro. Se o estudo de BPC-157 será de fato realizado não pode, por isso, ser afirmado com segurança. O ClinicalTrials.gov verifica os registros apenas formalmente, não quanto ao conteúdo – um registro, por si só, não prova que um estudo esteja acontecendo.</w:t>
      </w:r>
    </w:p>
    <w:p>
      <w:pPr>
        <w:pStyle w:val="BodyText"/>
      </w:pPr>
      <w:r>
        <w:t xml:space="preserve">O estudo de ombro da University of Arkansas</w:t>
      </w:r>
      <w:r>
        <w:rPr>
          <w:rStyle w:val="FootnoteReference"/>
        </w:rPr>
        <w:footnoteReference w:id="946"/>
      </w:r>
      <w:r>
        <w:t xml:space="preserve"> </w:t>
      </w:r>
      <w:r>
        <w:t xml:space="preserve">é randomizado e cego, mas pequeno e ainda não começou. O estudo das balas de goma de um fabricante</w:t>
      </w:r>
      <w:r>
        <w:rPr>
          <w:rStyle w:val="FootnoteReference"/>
        </w:rPr>
        <w:footnoteReference w:id="947"/>
      </w:r>
      <w:r>
        <w:t xml:space="preserve"> </w:t>
      </w:r>
      <w:r>
        <w:t xml:space="preserve">não tem grupo de controle e mede predominantemente autorrelatos; ele não responderá às questões em aberto.</w:t>
      </w:r>
    </w:p>
    <w:p>
      <w:pPr>
        <w:pStyle w:val="BodyText"/>
      </w:pPr>
      <w:r>
        <w:rPr>
          <w:bCs/>
          <w:b/>
        </w:rPr>
        <w:t xml:space="preserve">Avaliação do autor:</w:t>
      </w:r>
      <w:r>
        <w:t xml:space="preserve"> </w:t>
      </w:r>
      <w:r>
        <w:t xml:space="preserve">antes de 2028, não são esperados dados de eficácia confiáveis em humanos. Mesmo um resultado positivo de um pequeno estudo-piloto seria apenas um primeiro indício – ainda não uma base para uma aprovação, que exige vários estudos maiores e dados de segurança de longo prazo. Um resultado negativo provavelmente pouco mudaria a reputação do peptídeo na internet. Uma revisão farmacêutica enfatiza que até hoje não existe uma forma farmacêutica padronizada e validada</w:t>
      </w:r>
      <w:r>
        <w:rPr>
          <w:rStyle w:val="FootnoteReference"/>
        </w:rPr>
        <w:footnoteReference w:id="948"/>
      </w:r>
      <w:r>
        <w:t xml:space="preserve"> </w:t>
      </w:r>
      <w:r>
        <w:t xml:space="preserve">– também isso precisa ser resolvido antes de uma aprovação.</w:t>
      </w:r>
    </w:p>
    <w:bookmarkEnd w:id="949"/>
    <w:bookmarkStart w:id="952" w:name="conclusão-15"/>
    <w:p>
      <w:pPr>
        <w:pStyle w:val="Heading3"/>
      </w:pPr>
      <w:r>
        <w:t xml:space="preserve">Conclusão</w:t>
      </w:r>
    </w:p>
    <w:p>
      <w:pPr>
        <w:pStyle w:val="FirstParagraph"/>
      </w:pPr>
      <w:r>
        <w:t xml:space="preserve">O BPC-157 é um peptídeo com um número incomumente grande de estudos em animais, que quase todos relatam resultados positivos – predominantemente de um único grupo de pesquisa de Zagreb e sem repetição independente suficiente. Em humanos, há apenas três pequenas investigações não controladas, com cerca de 30 pessoas no total, cuja qualidade é avaliada como muito baixa</w:t>
      </w:r>
      <w:r>
        <w:rPr>
          <w:rStyle w:val="FootnoteReference"/>
        </w:rPr>
        <w:footnoteReference w:id="950"/>
      </w:r>
      <w:r>
        <w:t xml:space="preserve">. A segurança a longo prazo, em especial a questão teórica de um estímulo ao crescimento tumoral por formação de novos vasos, não foi estudada, e os produtos do mercado cinza trazem riscos próprios. Estudos randomizados estão apenas registrados ou planejados</w:t>
      </w:r>
      <w:r>
        <w:rPr>
          <w:rStyle w:val="FootnoteReference"/>
        </w:rPr>
        <w:footnoteReference w:id="951"/>
      </w:r>
      <w:r>
        <w:t xml:space="preserve">; até que haja resultados confiáveis, o BPC-157 continua sendo uma substância experimental cujo benefício em humanos não está comprovado. Para atletas, ele é proibido pelas regras da WADA.</w:t>
      </w:r>
    </w:p>
    <w:bookmarkEnd w:id="952"/>
    <w:bookmarkEnd w:id="953"/>
    <w:bookmarkStart w:id="1003" w:name="tb-500-e-timosina-beta-4"/>
    <w:p>
      <w:pPr>
        <w:pStyle w:val="Heading2"/>
      </w:pPr>
      <w:r>
        <w:t xml:space="preserve">TB-500 e timosina beta-4</w:t>
      </w:r>
    </w:p>
    <w:p>
      <w:pPr>
        <w:pStyle w:val="FirstParagraph"/>
      </w:pPr>
      <w:r>
        <w:t xml:space="preserve">Na internet,</w:t>
      </w:r>
      <w:r>
        <w:t xml:space="preserve"> </w:t>
      </w:r>
      <w:r>
        <w:t xml:space="preserve">“</w:t>
      </w:r>
      <w:r>
        <w:t xml:space="preserve">TB-500</w:t>
      </w:r>
      <w:r>
        <w:t xml:space="preserve">”</w:t>
      </w:r>
      <w:r>
        <w:t xml:space="preserve"> </w:t>
      </w:r>
      <w:r>
        <w:t xml:space="preserve">e</w:t>
      </w:r>
      <w:r>
        <w:t xml:space="preserve"> </w:t>
      </w:r>
      <w:r>
        <w:t xml:space="preserve">“</w:t>
      </w:r>
      <w:r>
        <w:t xml:space="preserve">timosina beta-4</w:t>
      </w:r>
      <w:r>
        <w:t xml:space="preserve">”</w:t>
      </w:r>
      <w:r>
        <w:t xml:space="preserve"> </w:t>
      </w:r>
      <w:r>
        <w:t xml:space="preserve">costumam ser vendidos como se fossem a mesma coisa. Isso está errado, e a diferença é decisiva para a avaliação. A timosina beta-4 é uma proteína do próprio corpo, com 43 aminoácidos, estudada em vários estudos clínicos – sobretudo como colírio e como infusão após infarto do miocárdio. O TB-500, por outro lado, é um fragmento curto e modificado artificialmente dela, que nunca foi testado em um estudo publicado em humanos. Este capítulo separa as duas coisas com clareza.</w:t>
      </w:r>
    </w:p>
    <w:bookmarkStart w:id="955" w:name="ficha-técnica-16"/>
    <w:p>
      <w:pPr>
        <w:pStyle w:val="Heading3"/>
      </w:pPr>
      <w:r>
        <w:t xml:space="preserve">Ficha técnica</w:t>
      </w:r>
    </w:p>
    <w:p>
      <w:pPr>
        <w:numPr>
          <w:ilvl w:val="0"/>
          <w:numId w:val="1119"/>
        </w:numPr>
        <w:pStyle w:val="Compact"/>
      </w:pPr>
      <w:r>
        <w:rPr>
          <w:bCs/>
          <w:b/>
        </w:rPr>
        <w:t xml:space="preserve">Timosina beta-4 (Tβ4):</w:t>
      </w:r>
      <w:r>
        <w:t xml:space="preserve"> </w:t>
      </w:r>
      <w:r>
        <w:t xml:space="preserve">peptídeo do próprio corpo, com 43 aminoácidos, presente em quase todas as células; função principal: liga-se à proteína estrutural actina e assim regula a forma e o movimento das células. Para estudos, é produzida de forma sintética ou por engenharia genética (recombinante); nomes de desenvolvimento RGN-259 (colírio), RGN-352 (injeção), NL005 (recombinante, China).</w:t>
      </w:r>
    </w:p>
    <w:p>
      <w:pPr>
        <w:numPr>
          <w:ilvl w:val="0"/>
          <w:numId w:val="1119"/>
        </w:numPr>
        <w:pStyle w:val="Compact"/>
      </w:pPr>
      <w:r>
        <w:rPr>
          <w:bCs/>
          <w:b/>
        </w:rPr>
        <w:t xml:space="preserve">TB-500:</w:t>
      </w:r>
      <w:r>
        <w:t xml:space="preserve"> </w:t>
      </w:r>
      <w:r>
        <w:t xml:space="preserve">o fragmento dos aminoácidos 17 a 23 da Tβ4, modificado quimicamente no início (acetilado), sequência Ac-LKKTETQ</w:t>
      </w:r>
      <w:r>
        <w:rPr>
          <w:rStyle w:val="FootnoteReference"/>
        </w:rPr>
        <w:footnoteReference w:id="954"/>
      </w:r>
      <w:r>
        <w:t xml:space="preserve">. Surgiu originalmente como medicamento veterinário no turfe.</w:t>
      </w:r>
    </w:p>
    <w:p>
      <w:pPr>
        <w:numPr>
          <w:ilvl w:val="0"/>
          <w:numId w:val="1119"/>
        </w:numPr>
        <w:pStyle w:val="Compact"/>
      </w:pPr>
      <w:r>
        <w:rPr>
          <w:bCs/>
          <w:b/>
        </w:rPr>
        <w:t xml:space="preserve">Princípio de ação (suposto):</w:t>
      </w:r>
      <w:r>
        <w:t xml:space="preserve"> </w:t>
      </w:r>
      <w:r>
        <w:t xml:space="preserve">estímulo à migração celular, à formação de novos vasos e à cicatrização de feridas, atenuação da inflamação.</w:t>
      </w:r>
    </w:p>
    <w:p>
      <w:pPr>
        <w:numPr>
          <w:ilvl w:val="0"/>
          <w:numId w:val="1119"/>
        </w:numPr>
        <w:pStyle w:val="Compact"/>
      </w:pPr>
      <w:r>
        <w:rPr>
          <w:bCs/>
          <w:b/>
        </w:rPr>
        <w:t xml:space="preserve">Aprovação UE/EUA:</w:t>
      </w:r>
      <w:r>
        <w:t xml:space="preserve"> </w:t>
      </w:r>
      <w:r>
        <w:t xml:space="preserve">nem a Tβ4 nem o TB-500 estão aprovados.</w:t>
      </w:r>
    </w:p>
    <w:p>
      <w:pPr>
        <w:numPr>
          <w:ilvl w:val="0"/>
          <w:numId w:val="1119"/>
        </w:numPr>
        <w:pStyle w:val="Compact"/>
      </w:pPr>
      <w:r>
        <w:rPr>
          <w:bCs/>
          <w:b/>
        </w:rPr>
        <w:t xml:space="preserve">WADA:</w:t>
      </w:r>
      <w:r>
        <w:t xml:space="preserve"> </w:t>
      </w:r>
      <w:r>
        <w:t xml:space="preserve">proibidos (S2, fatores de crescimento;</w:t>
      </w:r>
      <w:r>
        <w:t xml:space="preserve"> </w:t>
      </w:r>
      <w:r>
        <w:t xml:space="preserve">“</w:t>
      </w:r>
      <w:r>
        <w:t xml:space="preserve">timosina-β4 e seus derivados, p. ex. TB-500</w:t>
      </w:r>
      <w:r>
        <w:t xml:space="preserve">”</w:t>
      </w:r>
      <w:r>
        <w:t xml:space="preserve"> </w:t>
      </w:r>
      <w:r>
        <w:t xml:space="preserve">são mencionados expressamente).</w:t>
      </w:r>
    </w:p>
    <w:p>
      <w:pPr>
        <w:numPr>
          <w:ilvl w:val="0"/>
          <w:numId w:val="1119"/>
        </w:numPr>
        <w:pStyle w:val="Compact"/>
      </w:pPr>
      <w:r>
        <w:rPr>
          <w:bCs/>
          <w:b/>
        </w:rPr>
        <w:t xml:space="preserve">Nível de evidência:</w:t>
      </w:r>
      <w:r>
        <w:t xml:space="preserve"> </w:t>
      </w:r>
      <w:r>
        <w:rPr>
          <w:bCs/>
          <w:b/>
        </w:rPr>
        <w:t xml:space="preserve">B</w:t>
      </w:r>
      <w:r>
        <w:t xml:space="preserve"> </w:t>
      </w:r>
      <w:r>
        <w:t xml:space="preserve">para a timosina beta-4 (estudos randomizados, predominantemente pequenos; grandes estudos de fase 3 em olho seco sem benefício claro) ·</w:t>
      </w:r>
      <w:r>
        <w:t xml:space="preserve"> </w:t>
      </w:r>
      <w:r>
        <w:rPr>
          <w:bCs/>
          <w:b/>
        </w:rPr>
        <w:t xml:space="preserve">D</w:t>
      </w:r>
      <w:r>
        <w:t xml:space="preserve"> </w:t>
      </w:r>
      <w:r>
        <w:t xml:space="preserve">para o TB-500 (nenhum estudo publicado em humanos).</w:t>
      </w:r>
    </w:p>
    <w:bookmarkEnd w:id="955"/>
    <w:bookmarkStart w:id="960" w:name="como-deveria-agir-16"/>
    <w:p>
      <w:pPr>
        <w:pStyle w:val="Heading3"/>
      </w:pPr>
      <w:r>
        <w:t xml:space="preserve">Como deveria agir</w:t>
      </w:r>
    </w:p>
    <w:p>
      <w:pPr>
        <w:pStyle w:val="FirstParagraph"/>
      </w:pPr>
      <w:r>
        <w:t xml:space="preserve">A Tβ4 é, nas células, a proteína mais importante que liga e</w:t>
      </w:r>
      <w:r>
        <w:t xml:space="preserve"> </w:t>
      </w:r>
      <w:r>
        <w:t xml:space="preserve">“</w:t>
      </w:r>
      <w:r>
        <w:t xml:space="preserve">estaciona</w:t>
      </w:r>
      <w:r>
        <w:t xml:space="preserve">”</w:t>
      </w:r>
      <w:r>
        <w:t xml:space="preserve"> </w:t>
      </w:r>
      <w:r>
        <w:t xml:space="preserve">as unidades individuais de actina. A actina forma o esqueleto interno da célula; quando uma célula precisa se mover – por exemplo, para fechar uma ferida –, esse esqueleto tem de ser reorganizado rapidamente. A Tβ4 fornece as unidades para isso.</w:t>
      </w:r>
    </w:p>
    <w:p>
      <w:pPr>
        <w:pStyle w:val="BodyText"/>
      </w:pPr>
      <w:r>
        <w:t xml:space="preserve">Além disso, a Tβ4 tem, ao que parece, efeitos de sinalização próprios fora da célula. Um artigo de revisão descreve vários segmentos ativos na molécula: o pequeno trecho do início (Ac-SDKP) age, em experimentos de laboratório, contra a inflamação e a cicatrização fibrosa, e o segmento 17 a 23 (LKKTETQ) favorece a formação de novos vasos, a cicatrização de feridas e a migração celular</w:t>
      </w:r>
      <w:r>
        <w:rPr>
          <w:rStyle w:val="FootnoteReference"/>
        </w:rPr>
        <w:footnoteReference w:id="956"/>
      </w:r>
      <w:r>
        <w:t xml:space="preserve">. Em experimentos com células, o motivo de ligação à actina de sete aminoácidos mostrou o mesmo efeito sobre a migração de células vasculares que a molécula inteira</w:t>
      </w:r>
      <w:r>
        <w:rPr>
          <w:rStyle w:val="FootnoteReference"/>
        </w:rPr>
        <w:footnoteReference w:id="957"/>
      </w:r>
      <w:r>
        <w:t xml:space="preserve">.</w:t>
      </w:r>
    </w:p>
    <w:p>
      <w:pPr>
        <w:pStyle w:val="BodyText"/>
      </w:pPr>
      <w:r>
        <w:t xml:space="preserve">Nesse achado de laboratório se baseia a ideia do TB-500: se o trecho curto carrega o efeito, basta produzir apenas ele – mais barato e mais simples do que a proteína inteira. No entanto, não foi usada exatamente a sequência natural, mas uma forma acetilada no início. Um estudo sobre a degradação verificou que o TB-500 é rapidamente decomposto e que, em experimentos com células, não o peptídeo original, mas um produto de degradação (Ac-LKKTE) favoreceu a cicatrização</w:t>
      </w:r>
      <w:r>
        <w:rPr>
          <w:rStyle w:val="FootnoteReference"/>
        </w:rPr>
        <w:footnoteReference w:id="958"/>
      </w:r>
      <w:r>
        <w:t xml:space="preserve">. Que o TB-500 faça no corpo o mesmo que a Tβ4 não está, portanto, demonstrado. Uma revisão ortopédica de 2026 enfatiza que o TB-500 é frequentemente equiparado à Tβ4, embora nenhuma equivalência biológica ou clínica esteja comprovada</w:t>
      </w:r>
      <w:r>
        <w:rPr>
          <w:rStyle w:val="FootnoteReference"/>
        </w:rPr>
        <w:footnoteReference w:id="959"/>
      </w:r>
      <w:r>
        <w:t xml:space="preserve">.</w:t>
      </w:r>
    </w:p>
    <w:bookmarkEnd w:id="960"/>
    <w:bookmarkStart w:id="975" w:name="estudos-em-humanos-16"/>
    <w:p>
      <w:pPr>
        <w:pStyle w:val="Heading3"/>
      </w:pPr>
      <w:r>
        <w:t xml:space="preserve">Estudos em humanos</w:t>
      </w:r>
    </w:p>
    <w:p>
      <w:pPr>
        <w:pStyle w:val="FirstParagraph"/>
      </w:pPr>
      <w:r>
        <w:rPr>
          <w:bCs/>
          <w:b/>
        </w:rPr>
        <w:t xml:space="preserve">Dimensão da base de estudos (consulta de outubro de 2026):</w:t>
      </w:r>
      <w:r>
        <w:t xml:space="preserve"> </w:t>
      </w:r>
      <w:r>
        <w:t xml:space="preserve">a busca automatizada encontrou</w:t>
      </w:r>
      <w:r>
        <w:t xml:space="preserve"> </w:t>
      </w:r>
      <w:r>
        <w:rPr>
          <w:bCs/>
          <w:b/>
        </w:rPr>
        <w:t xml:space="preserve">9</w:t>
      </w:r>
      <w:r>
        <w:t xml:space="preserve"> </w:t>
      </w:r>
      <w:r>
        <w:t xml:space="preserve">publicações classificadas como estudo em humanos e</w:t>
      </w:r>
      <w:r>
        <w:t xml:space="preserve"> </w:t>
      </w:r>
      <w:r>
        <w:rPr>
          <w:bCs/>
          <w:b/>
        </w:rPr>
        <w:t xml:space="preserve">18</w:t>
      </w:r>
      <w:r>
        <w:t xml:space="preserve"> </w:t>
      </w:r>
      <w:r>
        <w:t xml:space="preserve">registros no ClinicalTrials.gov. Das nove publicações, apenas seis estudam de fato a Tβ4 como substância ativa; as demais medem a Tβ4 no sangue ou tratam de outras questões.</w:t>
      </w:r>
      <w:r>
        <w:t xml:space="preserve"> </w:t>
      </w:r>
      <w:r>
        <w:rPr>
          <w:bCs/>
          <w:b/>
        </w:rPr>
        <w:t xml:space="preserve">Nenhum</w:t>
      </w:r>
      <w:r>
        <w:t xml:space="preserve"> </w:t>
      </w:r>
      <w:r>
        <w:t xml:space="preserve">estudo publicado investigou o TB-500 em humanos.</w:t>
      </w:r>
    </w:p>
    <w:bookmarkStart w:id="966" w:name="colírio-rgn-259"/>
    <w:p>
      <w:pPr>
        <w:pStyle w:val="Heading4"/>
      </w:pPr>
      <w:r>
        <w:t xml:space="preserve">Colírio (RGN-259)</w:t>
      </w:r>
    </w:p>
    <w:p>
      <w:pPr>
        <w:pStyle w:val="FirstParagraph"/>
      </w:pPr>
      <w:r>
        <w:t xml:space="preserve">O estágio mais avançado é o da Tβ4 como colírio. A empresa RegeneRx e sua parceira ReGenTree a testaram no olho seco e na ceratopatia neurotrófica – uma doença rara na qual a córnea cicatriza mal por causa de nervos danificados.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Olho seco grave (Sosne 2015, PMID 25826322; NCT01393132)</w:t>
            </w:r>
          </w:p>
        </w:tc>
        <w:tc>
          <w:tcPr/>
          <w:p>
            <w:pPr>
              <w:pStyle w:val="Compact"/>
              <w:jc w:val="left"/>
            </w:pPr>
            <w:r>
              <w:t xml:space="preserve">9 pessoas, randomizado contra veículo</w:t>
            </w:r>
          </w:p>
        </w:tc>
        <w:tc>
          <w:tcPr/>
          <w:p>
            <w:pPr>
              <w:pStyle w:val="Compact"/>
              <w:jc w:val="left"/>
            </w:pPr>
            <w:r>
              <w:t xml:space="preserve">28 dias mais 28 dias de acompanhamento</w:t>
            </w:r>
          </w:p>
        </w:tc>
        <w:tc>
          <w:tcPr/>
          <w:p>
            <w:pPr>
              <w:pStyle w:val="Compact"/>
              <w:jc w:val="left"/>
            </w:pPr>
            <w:r>
              <w:t xml:space="preserve">no dia 56, queixas 35,1% e coloração da córnea 59,1% menores do que com veículo</w:t>
            </w:r>
          </w:p>
        </w:tc>
      </w:tr>
      <w:tr>
        <w:tc>
          <w:tcPr/>
          <w:p>
            <w:pPr>
              <w:pStyle w:val="Compact"/>
              <w:jc w:val="left"/>
            </w:pPr>
            <w:r>
              <w:t xml:space="preserve">Olho seco, modelo de provocação (Sosne 2015, PMID 26056426)</w:t>
            </w:r>
          </w:p>
        </w:tc>
        <w:tc>
          <w:tcPr/>
          <w:p>
            <w:pPr>
              <w:pStyle w:val="Compact"/>
              <w:jc w:val="left"/>
            </w:pPr>
            <w:r>
              <w:t xml:space="preserve">72 pessoas, ECR</w:t>
            </w:r>
          </w:p>
        </w:tc>
        <w:tc>
          <w:tcPr/>
          <w:p>
            <w:pPr>
              <w:pStyle w:val="Compact"/>
              <w:jc w:val="left"/>
            </w:pPr>
            <w:r>
              <w:t xml:space="preserve">28 dias</w:t>
            </w:r>
          </w:p>
        </w:tc>
        <w:tc>
          <w:tcPr/>
          <w:p>
            <w:pPr>
              <w:pStyle w:val="Compact"/>
              <w:jc w:val="left"/>
            </w:pPr>
            <w:r>
              <w:t xml:space="preserve">ambos os desfechos primários não significativos; alguns desfechos secundários melhores</w:t>
            </w:r>
          </w:p>
        </w:tc>
      </w:tr>
      <w:tr>
        <w:tc>
          <w:tcPr/>
          <w:p>
            <w:pPr>
              <w:pStyle w:val="Compact"/>
              <w:jc w:val="left"/>
            </w:pPr>
            <w:r>
              <w:t xml:space="preserve">ARISE-2 (NCT02974907)</w:t>
            </w:r>
          </w:p>
        </w:tc>
        <w:tc>
          <w:tcPr/>
          <w:p>
            <w:pPr>
              <w:pStyle w:val="Compact"/>
              <w:jc w:val="left"/>
            </w:pPr>
            <w:r>
              <w:t xml:space="preserve">601 pessoas, fase 3, ECR</w:t>
            </w:r>
          </w:p>
        </w:tc>
        <w:tc>
          <w:tcPr/>
          <w:p>
            <w:pPr>
              <w:pStyle w:val="Compact"/>
              <w:jc w:val="left"/>
            </w:pPr>
            <w:r>
              <w:t xml:space="preserve">28 dias</w:t>
            </w:r>
          </w:p>
        </w:tc>
        <w:tc>
          <w:tcPr/>
          <w:p>
            <w:pPr>
              <w:pStyle w:val="Compact"/>
              <w:jc w:val="left"/>
            </w:pPr>
            <w:r>
              <w:t xml:space="preserve">desfechos primários, segundo os resultados do registro, praticamente iguais nos dois grupos</w:t>
            </w:r>
          </w:p>
        </w:tc>
      </w:tr>
      <w:tr>
        <w:tc>
          <w:tcPr/>
          <w:p>
            <w:pPr>
              <w:pStyle w:val="Compact"/>
              <w:jc w:val="left"/>
            </w:pPr>
            <w:r>
              <w:t xml:space="preserve">ARISE-3 (NCT03937882)</w:t>
            </w:r>
          </w:p>
        </w:tc>
        <w:tc>
          <w:tcPr/>
          <w:p>
            <w:pPr>
              <w:pStyle w:val="Compact"/>
              <w:jc w:val="left"/>
            </w:pPr>
            <w:r>
              <w:t xml:space="preserve">700 pessoas, fase 3, ECR</w:t>
            </w:r>
          </w:p>
        </w:tc>
        <w:tc>
          <w:tcPr/>
          <w:p>
            <w:pPr>
              <w:pStyle w:val="Compact"/>
              <w:jc w:val="left"/>
            </w:pPr>
            <w:r>
              <w:t xml:space="preserve">14 dias</w:t>
            </w:r>
          </w:p>
        </w:tc>
        <w:tc>
          <w:tcPr/>
          <w:p>
            <w:pPr>
              <w:pStyle w:val="Compact"/>
              <w:jc w:val="left"/>
            </w:pPr>
            <w:r>
              <w:t xml:space="preserve">coloração da córnea −0,41 vs. −0,46 ponto, queixas −0,4 vs. −0,4 ponto (Tβ4 vs. placebo)</w:t>
            </w:r>
          </w:p>
        </w:tc>
      </w:tr>
      <w:tr>
        <w:tc>
          <w:tcPr/>
          <w:p>
            <w:pPr>
              <w:pStyle w:val="Compact"/>
              <w:jc w:val="left"/>
            </w:pPr>
            <w:r>
              <w:t xml:space="preserve">SEER-1, ceratopatia neurotrófica (Sosne 2022, PMID 36613994)</w:t>
            </w:r>
          </w:p>
        </w:tc>
        <w:tc>
          <w:tcPr/>
          <w:p>
            <w:pPr>
              <w:pStyle w:val="Compact"/>
              <w:jc w:val="left"/>
            </w:pPr>
            <w:r>
              <w:t xml:space="preserve">18 pessoas, fase 3, ECR</w:t>
            </w:r>
          </w:p>
        </w:tc>
        <w:tc>
          <w:tcPr/>
          <w:p>
            <w:pPr>
              <w:pStyle w:val="Compact"/>
              <w:jc w:val="left"/>
            </w:pPr>
            <w:r>
              <w:t xml:space="preserve">4 semanas mais 2 semanas</w:t>
            </w:r>
          </w:p>
        </w:tc>
        <w:tc>
          <w:tcPr/>
          <w:p>
            <w:pPr>
              <w:pStyle w:val="Compact"/>
              <w:jc w:val="left"/>
            </w:pPr>
            <w:r>
              <w:t xml:space="preserve">cicatrização completa em 6 de 10 vs. 1 de 8 (p = 0,0656, não significativo)</w:t>
            </w:r>
          </w:p>
        </w:tc>
      </w:tr>
    </w:tbl>
    <w:p>
      <w:pPr>
        <w:pStyle w:val="BodyText"/>
      </w:pPr>
      <w:r>
        <w:t xml:space="preserve">O padrão é típico de um medicamento de benefício incerto: estudos pequenos mostram sinais favoráveis, e estudos grandes não os confirmam. O pequeno estudo com nove pessoas encontrou melhoras claras</w:t>
      </w:r>
      <w:r>
        <w:rPr>
          <w:rStyle w:val="FootnoteReference"/>
        </w:rPr>
        <w:footnoteReference w:id="961"/>
      </w:r>
      <w:r>
        <w:t xml:space="preserve">. Já o estudo com 72 pessoas, porém, não atingiu nenhum dos dois desfechos primários definidos previamente; os autores enfatizaram, em vez disso, melhoras em desfechos secundários</w:t>
      </w:r>
      <w:r>
        <w:rPr>
          <w:rStyle w:val="FootnoteReference"/>
        </w:rPr>
        <w:footnoteReference w:id="962"/>
      </w:r>
      <w:r>
        <w:t xml:space="preserve">. Nos dois grandes estudos de fase 3, ARISE-2 e ARISE-3, com cerca de 1.300 participantes no total, os valores dos desfechos primários ficaram, segundo os resultados publicados no registro, praticamente iguais nos grupos de Tβ4 e de placebo</w:t>
      </w:r>
      <w:r>
        <w:rPr>
          <w:rStyle w:val="FootnoteReference"/>
        </w:rPr>
        <w:footnoteReference w:id="963"/>
      </w:r>
      <w:r>
        <w:t xml:space="preserve">. Uma publicação desses resultados em revista não foi encontrada no PubMed.</w:t>
      </w:r>
    </w:p>
    <w:p>
      <w:pPr>
        <w:pStyle w:val="BodyText"/>
      </w:pPr>
      <w:r>
        <w:t xml:space="preserve">Na ceratopatia neurotrófica, no pequeno estudo de fase 3 SEER-1, mais olhos cicatrizaram com Tβ4 do que com placebo; a diferença, porém, ficou um pouco aquém da significância estatística, e o estudo incluiu apenas 18 pessoas</w:t>
      </w:r>
      <w:r>
        <w:rPr>
          <w:rStyle w:val="FootnoteReference"/>
        </w:rPr>
        <w:footnoteReference w:id="964"/>
      </w:r>
      <w:r>
        <w:t xml:space="preserve">. Uma revisão Cochrane de 2025 avaliou o estudo com</w:t>
      </w:r>
      <w:r>
        <w:t xml:space="preserve"> </w:t>
      </w:r>
      <w:r>
        <w:t xml:space="preserve">“</w:t>
      </w:r>
      <w:r>
        <w:t xml:space="preserve">baixa confiabilidade</w:t>
      </w:r>
      <w:r>
        <w:t xml:space="preserve">”</w:t>
      </w:r>
      <w:r>
        <w:t xml:space="preserve"> </w:t>
      </w:r>
      <w:r>
        <w:t xml:space="preserve">e não encontrou diferença comprovada</w:t>
      </w:r>
      <w:r>
        <w:rPr>
          <w:rStyle w:val="FootnoteReference"/>
        </w:rPr>
        <w:footnoteReference w:id="965"/>
      </w:r>
      <w:r>
        <w:t xml:space="preserve">. Um estudo de seguimento maior (SEER-2) está em andamento.</w:t>
      </w:r>
    </w:p>
    <w:bookmarkEnd w:id="966"/>
    <w:bookmarkStart w:id="968" w:name="coração"/>
    <w:p>
      <w:pPr>
        <w:pStyle w:val="Heading4"/>
      </w:pPr>
      <w:r>
        <w:t xml:space="preserve">Coração</w:t>
      </w:r>
    </w:p>
    <w:p>
      <w:pPr>
        <w:pStyle w:val="FirstParagraph"/>
      </w:pPr>
      <w:r>
        <w:t xml:space="preserve">A Tβ4 foi desenvolvida como medicamento cardíaco por causa de experimentos espetaculares com camundongos (veja Estudos em animais e em laboratório).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Segurança, infusão (Ruff 2010, PMID 20536472)</w:t>
            </w:r>
          </w:p>
        </w:tc>
        <w:tc>
          <w:tcPr/>
          <w:p>
            <w:pPr>
              <w:pStyle w:val="Compact"/>
              <w:jc w:val="left"/>
            </w:pPr>
            <w:r>
              <w:t xml:space="preserve">40 pessoas saudáveis em 4 grupos de dose, ECR</w:t>
            </w:r>
          </w:p>
        </w:tc>
        <w:tc>
          <w:tcPr/>
          <w:p>
            <w:pPr>
              <w:pStyle w:val="Compact"/>
              <w:jc w:val="left"/>
            </w:pPr>
            <w:r>
              <w:t xml:space="preserve">dose única, depois diariamente por 14 dias</w:t>
            </w:r>
          </w:p>
        </w:tc>
        <w:tc>
          <w:tcPr/>
          <w:p>
            <w:pPr>
              <w:pStyle w:val="Compact"/>
              <w:jc w:val="left"/>
            </w:pPr>
            <w:r>
              <w:t xml:space="preserve">nenhuma toxicidade limitante de dose, nenhum efeito colateral grave</w:t>
            </w:r>
          </w:p>
        </w:tc>
      </w:tr>
      <w:tr>
        <w:tc>
          <w:tcPr/>
          <w:p>
            <w:pPr>
              <w:pStyle w:val="Compact"/>
              <w:jc w:val="left"/>
            </w:pPr>
            <w:r>
              <w:t xml:space="preserve">Tβ4 recombinante NL005, fase 1 (Wang 2021, PMID 34346165)</w:t>
            </w:r>
          </w:p>
        </w:tc>
        <w:tc>
          <w:tcPr/>
          <w:p>
            <w:pPr>
              <w:pStyle w:val="Compact"/>
              <w:jc w:val="left"/>
            </w:pPr>
            <w:r>
              <w:t xml:space="preserve">54 pessoas saudáveis (dose única) e 30 pessoas saudáveis (doses múltiplas), ECR</w:t>
            </w:r>
          </w:p>
        </w:tc>
        <w:tc>
          <w:tcPr/>
          <w:p>
            <w:pPr>
              <w:pStyle w:val="Compact"/>
              <w:jc w:val="left"/>
            </w:pPr>
            <w:r>
              <w:t xml:space="preserve">até 10 dias mais 28 dias</w:t>
            </w:r>
          </w:p>
        </w:tc>
        <w:tc>
          <w:tcPr/>
          <w:p>
            <w:pPr>
              <w:pStyle w:val="Compact"/>
              <w:jc w:val="left"/>
            </w:pPr>
            <w:r>
              <w:t xml:space="preserve">efeitos colaterais leves a moderados, nenhum grave</w:t>
            </w:r>
          </w:p>
        </w:tc>
      </w:tr>
      <w:tr>
        <w:tc>
          <w:tcPr/>
          <w:p>
            <w:pPr>
              <w:pStyle w:val="Compact"/>
              <w:jc w:val="left"/>
            </w:pPr>
            <w:r>
              <w:t xml:space="preserve">NL005 no infarto do miocárdio (Zhang 2025, PMID 41229390)</w:t>
            </w:r>
          </w:p>
        </w:tc>
        <w:tc>
          <w:tcPr/>
          <w:p>
            <w:pPr>
              <w:pStyle w:val="Compact"/>
              <w:jc w:val="left"/>
            </w:pPr>
            <w:r>
              <w:t xml:space="preserve">96 pessoas com IAMCSST após cateterismo, ECR contra placebo</w:t>
            </w:r>
          </w:p>
        </w:tc>
        <w:tc>
          <w:tcPr/>
          <w:p>
            <w:pPr>
              <w:pStyle w:val="Compact"/>
              <w:jc w:val="left"/>
            </w:pPr>
            <w:r>
              <w:t xml:space="preserve">90 dias</w:t>
            </w:r>
          </w:p>
        </w:tc>
        <w:tc>
          <w:tcPr/>
          <w:p>
            <w:pPr>
              <w:pStyle w:val="Compact"/>
              <w:jc w:val="left"/>
            </w:pPr>
            <w:r>
              <w:t xml:space="preserve">no geral, nenhuma diferença significativa no tamanho do infarto; vantagem apenas no subgrupo com administração em até 8 horas (n = 43)</w:t>
            </w:r>
          </w:p>
        </w:tc>
      </w:tr>
      <w:tr>
        <w:tc>
          <w:tcPr/>
          <w:p>
            <w:pPr>
              <w:pStyle w:val="Compact"/>
              <w:jc w:val="left"/>
            </w:pPr>
            <w:r>
              <w:t xml:space="preserve">Células-tronco pré-tratadas com Tβ4 (Zhu 2016, PMID 27288307)</w:t>
            </w:r>
          </w:p>
        </w:tc>
        <w:tc>
          <w:tcPr/>
          <w:p>
            <w:pPr>
              <w:pStyle w:val="Compact"/>
              <w:jc w:val="left"/>
            </w:pPr>
            <w:r>
              <w:t xml:space="preserve">10 pessoas com infarto do miocárdio, estudo-piloto randomizado</w:t>
            </w:r>
          </w:p>
        </w:tc>
        <w:tc>
          <w:tcPr/>
          <w:p>
            <w:pPr>
              <w:pStyle w:val="Compact"/>
              <w:jc w:val="left"/>
            </w:pPr>
            <w:r>
              <w:t xml:space="preserve">6 meses</w:t>
            </w:r>
          </w:p>
        </w:tc>
        <w:tc>
          <w:tcPr/>
          <w:p>
            <w:pPr>
              <w:pStyle w:val="Compact"/>
              <w:jc w:val="left"/>
            </w:pPr>
            <w:r>
              <w:t xml:space="preserve">distância de caminhada mais melhorada; a Tβ4 foi adicionada apenas às células em laboratório, não administrada aos pacientes</w:t>
            </w:r>
          </w:p>
        </w:tc>
      </w:tr>
    </w:tbl>
    <w:p>
      <w:pPr>
        <w:pStyle w:val="BodyText"/>
      </w:pPr>
      <w:r>
        <w:t xml:space="preserve">O estudo cardíaco mais importante é o estudo chinês com 96 pacientes com infarto. Considerando todos os participantes, a Tβ4 recombinante não reduziu significativamente o tamanho do infarto após 90 dias; uma vantagem apareceu apenas no subgrupo que recebeu a primeira dose em até oito horas</w:t>
      </w:r>
      <w:r>
        <w:rPr>
          <w:rStyle w:val="FootnoteReference"/>
        </w:rPr>
        <w:footnoteReference w:id="967"/>
      </w:r>
      <w:r>
        <w:t xml:space="preserve">. Resultados de subgrupos são considerados indícios, não provas. Os próprios autores pedem mais estudos randomizados.</w:t>
      </w:r>
    </w:p>
    <w:bookmarkEnd w:id="968"/>
    <w:bookmarkStart w:id="971" w:name="pele-e-feridas"/>
    <w:p>
      <w:pPr>
        <w:pStyle w:val="Heading4"/>
      </w:pPr>
      <w:r>
        <w:t xml:space="preserve">Pele e feridas</w:t>
      </w:r>
    </w:p>
    <w:p>
      <w:pPr>
        <w:pStyle w:val="FirstParagraph"/>
      </w:pPr>
      <w:r>
        <w:t xml:space="preserve">Nos anos 2000, a RegeneRx testou um gel de Tβ4 em úlceras venosas de perna, úlceras por pressão e na doença bolhosa hereditária epidermólise bolhosa. O estudo sobre úlceras venosas randomizou 73 pessoas; a segurança foi comparável à do placebo, e um efeito só pôde ser descrito como tendência para a concentração de 0,03%</w:t>
      </w:r>
      <w:r>
        <w:rPr>
          <w:rStyle w:val="FootnoteReference"/>
        </w:rPr>
        <w:footnoteReference w:id="969"/>
      </w:r>
      <w:r>
        <w:t xml:space="preserve">. O estudo sobre epidermólise bolhosa foi encerrado antes do tempo</w:t>
      </w:r>
      <w:r>
        <w:rPr>
          <w:rStyle w:val="FootnoteReference"/>
        </w:rPr>
        <w:footnoteReference w:id="970"/>
      </w:r>
      <w:r>
        <w:t xml:space="preserve">. Nenhum desses estudos levou a uma aprovação.</w:t>
      </w:r>
    </w:p>
    <w:bookmarkEnd w:id="971"/>
    <w:bookmarkStart w:id="974" w:name="tb-500-em-humanos"/>
    <w:p>
      <w:pPr>
        <w:pStyle w:val="Heading4"/>
      </w:pPr>
      <w:r>
        <w:t xml:space="preserve">TB-500 em humanos</w:t>
      </w:r>
    </w:p>
    <w:p>
      <w:pPr>
        <w:pStyle w:val="FirstParagraph"/>
      </w:pPr>
      <w:r>
        <w:t xml:space="preserve">Para o fragmento TB-500, não há nenhum estudo publicado em humanos. Um registro de 2026 sobre TB-500 em doença cardiovascular</w:t>
      </w:r>
      <w:r>
        <w:rPr>
          <w:rStyle w:val="FootnoteReference"/>
        </w:rPr>
        <w:footnoteReference w:id="972"/>
      </w:r>
      <w:r>
        <w:t xml:space="preserve"> </w:t>
      </w:r>
      <w:r>
        <w:t xml:space="preserve">se descreve, em sua própria descrição, como um exemplo</w:t>
      </w:r>
      <w:r>
        <w:t xml:space="preserve"> </w:t>
      </w:r>
      <w:r>
        <w:t xml:space="preserve">“</w:t>
      </w:r>
      <w:r>
        <w:t xml:space="preserve">fictício</w:t>
      </w:r>
      <w:r>
        <w:t xml:space="preserve">”</w:t>
      </w:r>
      <w:r>
        <w:t xml:space="preserve"> </w:t>
      </w:r>
      <w:r>
        <w:t xml:space="preserve">de registro; por isso, não deve ser considerado um estudo real. A única publicação em humanos que menciona Tβ4 em queixas articulares é uma entrevista telefônica retrospectiva na qual quatro pessoas receberam BPC-157 junto com Tβ4 injetados no joelho</w:t>
      </w:r>
      <w:r>
        <w:rPr>
          <w:rStyle w:val="FootnoteReference"/>
        </w:rPr>
        <w:footnoteReference w:id="973"/>
      </w:r>
      <w:r>
        <w:t xml:space="preserve"> </w:t>
      </w:r>
      <w:r>
        <w:t xml:space="preserve">– pouco demais para qualquer afirmação.</w:t>
      </w:r>
    </w:p>
    <w:bookmarkEnd w:id="974"/>
    <w:bookmarkEnd w:id="975"/>
    <w:bookmarkStart w:id="983" w:name="estudos-em-animais-e-em-laboratório-16"/>
    <w:p>
      <w:pPr>
        <w:pStyle w:val="Heading3"/>
      </w:pPr>
      <w:r>
        <w:t xml:space="preserve">Estudos em animais e em laboratório</w:t>
      </w:r>
    </w:p>
    <w:p>
      <w:pPr>
        <w:pStyle w:val="FirstParagraph"/>
      </w:pPr>
      <w:r>
        <w:t xml:space="preserve">A reputação da Tβ4 como</w:t>
      </w:r>
      <w:r>
        <w:t xml:space="preserve"> </w:t>
      </w:r>
      <w:r>
        <w:t xml:space="preserve">“</w:t>
      </w:r>
      <w:r>
        <w:t xml:space="preserve">peptídeo de reparo</w:t>
      </w:r>
      <w:r>
        <w:t xml:space="preserve">”</w:t>
      </w:r>
      <w:r>
        <w:t xml:space="preserve"> </w:t>
      </w:r>
      <w:r>
        <w:t xml:space="preserve">vem sobretudo de dois trabalhos na revista científica Nature. Em camundongos com infarto do miocárdio induzido artificialmente, a Tβ4 melhorou a sobrevivência das células do músculo cardíaco e a função cardíaca</w:t>
      </w:r>
      <w:r>
        <w:rPr>
          <w:rStyle w:val="FootnoteReference"/>
        </w:rPr>
        <w:footnoteReference w:id="976"/>
      </w:r>
      <w:r>
        <w:t xml:space="preserve">. Um trabalho posterior mostrou em camundongos que a Tβ4 ativa células precursoras do epicárdio e estimula a formação de novos vasos</w:t>
      </w:r>
      <w:r>
        <w:rPr>
          <w:rStyle w:val="FootnoteReference"/>
        </w:rPr>
        <w:footnoteReference w:id="977"/>
      </w:r>
      <w:r>
        <w:t xml:space="preserve">. Um grupo independente, porém, não conseguiu confirmar que a Tβ4, após um infarto, faça surgir novas células musculares cardíacas a partir dessas células</w:t>
      </w:r>
      <w:r>
        <w:rPr>
          <w:rStyle w:val="FootnoteReference"/>
        </w:rPr>
        <w:footnoteReference w:id="978"/>
      </w:r>
      <w:r>
        <w:t xml:space="preserve"> </w:t>
      </w:r>
      <w:r>
        <w:t xml:space="preserve">– um exemplo de como repetições independentes são importantes.</w:t>
      </w:r>
    </w:p>
    <w:p>
      <w:pPr>
        <w:pStyle w:val="BodyText"/>
      </w:pPr>
      <w:r>
        <w:t xml:space="preserve">Outros achados em animais e em laboratório dizem respeito a pele, córnea, cérebro, rim e fígado. Em ratos, a Tβ4 melhorou a viabilidade de retalhos de pele</w:t>
      </w:r>
      <w:r>
        <w:rPr>
          <w:rStyle w:val="FootnoteReference"/>
        </w:rPr>
        <w:footnoteReference w:id="979"/>
      </w:r>
      <w:r>
        <w:t xml:space="preserve">, e em camundongos, a consolidação de fraturas ósseas</w:t>
      </w:r>
      <w:r>
        <w:rPr>
          <w:rStyle w:val="FootnoteReference"/>
        </w:rPr>
        <w:footnoteReference w:id="980"/>
      </w:r>
      <w:r>
        <w:t xml:space="preserve">. Para tendões, ligamentos e músculos – ou seja, exatamente as áreas de uso para as quais o TB-500 é anunciado na internet – só há dados de células e de roedores</w:t>
      </w:r>
      <w:r>
        <w:rPr>
          <w:rStyle w:val="FootnoteReference"/>
        </w:rPr>
        <w:footnoteReference w:id="981"/>
      </w:r>
      <w:r>
        <w:t xml:space="preserve">. Um estudo com ratos de 2026 encontrou, após secção do tendão de Aquiles em 32 animais, maior resistência à ruptura e melhor estrutura do tecido no grupo TB-500 do que no grupo de controle</w:t>
      </w:r>
      <w:r>
        <w:rPr>
          <w:rStyle w:val="FootnoteReference"/>
        </w:rPr>
        <w:footnoteReference w:id="982"/>
      </w:r>
      <w:r>
        <w:t xml:space="preserve">. Esse é um dos poucos estudos em animais com o fragmento efetivamente vendido.</w:t>
      </w:r>
    </w:p>
    <w:bookmarkEnd w:id="983"/>
    <w:bookmarkStart w:id="993" w:name="riscos-e-efeitos-colaterais-16"/>
    <w:p>
      <w:pPr>
        <w:pStyle w:val="Heading3"/>
      </w:pPr>
      <w:r>
        <w:t xml:space="preserve">Riscos e efeitos colaterais</w:t>
      </w:r>
    </w:p>
    <w:bookmarkStart w:id="986" w:name="comprovados-timosina-beta-4"/>
    <w:p>
      <w:pPr>
        <w:pStyle w:val="Heading4"/>
      </w:pPr>
      <w:r>
        <w:t xml:space="preserve">Comprovados (timosina beta-4)</w:t>
      </w:r>
    </w:p>
    <w:p>
      <w:pPr>
        <w:pStyle w:val="FirstParagraph"/>
      </w:pPr>
      <w:r>
        <w:t xml:space="preserve">Nos estudos randomizados com colírio, gel e infusão, a Tβ4 foi bem tolerada. Em 40 pessoas saudáveis, com infusões de até 1.260 mg diários durante 14 dias, não ocorreram efeitos colaterais limitantes de dose</w:t>
      </w:r>
      <w:r>
        <w:rPr>
          <w:rStyle w:val="FootnoteReference"/>
        </w:rPr>
        <w:footnoteReference w:id="984"/>
      </w:r>
      <w:r>
        <w:t xml:space="preserve">. No estudo chinês de fase 1, os efeitos colaterais foram leves a moderados</w:t>
      </w:r>
      <w:r>
        <w:rPr>
          <w:rStyle w:val="FootnoteReference"/>
        </w:rPr>
        <w:footnoteReference w:id="985"/>
      </w:r>
      <w:r>
        <w:t xml:space="preserve">. Esses estudos, porém, são curtos e dizem respeito à proteína inteira em qualidade farmacêutica – não a produtos do mercado cinza.</w:t>
      </w:r>
    </w:p>
    <w:bookmarkEnd w:id="986"/>
    <w:bookmarkStart w:id="989" w:name="teórico-câncer"/>
    <w:p>
      <w:pPr>
        <w:pStyle w:val="Heading4"/>
      </w:pPr>
      <w:r>
        <w:t xml:space="preserve">Teórico: câncer</w:t>
      </w:r>
    </w:p>
    <w:p>
      <w:pPr>
        <w:pStyle w:val="FirstParagraph"/>
      </w:pPr>
      <w:r>
        <w:t xml:space="preserve">A Tβ4 favorece a migração celular e a formação de novos vasos – duas propriedades que os tumores também usam para crescer e se espalhar. Em amostras de tecido de 138 pacientes com câncer de bexiga, uma forte produção de Tβ4 estava associada a estágio avançado, comprometimento de linfonodos e sobrevida mais curta</w:t>
      </w:r>
      <w:r>
        <w:rPr>
          <w:rStyle w:val="FootnoteReference"/>
        </w:rPr>
        <w:footnoteReference w:id="987"/>
      </w:r>
      <w:r>
        <w:t xml:space="preserve">. Em culturas de células de câncer de mama, a Tβ4 adicionada aumentou o número de células</w:t>
      </w:r>
      <w:r>
        <w:rPr>
          <w:rStyle w:val="FootnoteReference"/>
        </w:rPr>
        <w:footnoteReference w:id="988"/>
      </w:r>
      <w:r>
        <w:t xml:space="preserve">. Essas associações não provam que a Tβ4 administrada externamente cause câncer. Mas são uma razão pela qual especialistas recomendam cautela em pessoas com câncer ou com risco aumentado de câncer. Faltam dados de longo prazo. A Parte IV trata do tema em detalhe.</w:t>
      </w:r>
    </w:p>
    <w:bookmarkEnd w:id="989"/>
    <w:bookmarkStart w:id="992" w:name="mercado-cinza"/>
    <w:p>
      <w:pPr>
        <w:pStyle w:val="Heading4"/>
      </w:pPr>
      <w:r>
        <w:t xml:space="preserve">Mercado cinza</w:t>
      </w:r>
    </w:p>
    <w:p>
      <w:pPr>
        <w:pStyle w:val="FirstParagraph"/>
      </w:pPr>
      <w:r>
        <w:t xml:space="preserve">O que é vendido como</w:t>
      </w:r>
      <w:r>
        <w:t xml:space="preserve"> </w:t>
      </w:r>
      <w:r>
        <w:t xml:space="preserve">“</w:t>
      </w:r>
      <w:r>
        <w:t xml:space="preserve">TB-500</w:t>
      </w:r>
      <w:r>
        <w:t xml:space="preserve">”</w:t>
      </w:r>
      <w:r>
        <w:t xml:space="preserve"> </w:t>
      </w:r>
      <w:r>
        <w:t xml:space="preserve">não contém de forma confiável o que está no rótulo. Um laboratório de doping equino analisou produtos oferecidos na internet e verificou que o conteúdo de</w:t>
      </w:r>
      <w:r>
        <w:t xml:space="preserve"> </w:t>
      </w:r>
      <w:r>
        <w:t xml:space="preserve">“</w:t>
      </w:r>
      <w:r>
        <w:t xml:space="preserve">TB500</w:t>
      </w:r>
      <w:r>
        <w:t xml:space="preserve">”</w:t>
      </w:r>
      <w:r>
        <w:t xml:space="preserve"> </w:t>
      </w:r>
      <w:r>
        <w:t xml:space="preserve">e</w:t>
      </w:r>
      <w:r>
        <w:t xml:space="preserve"> </w:t>
      </w:r>
      <w:r>
        <w:t xml:space="preserve">“</w:t>
      </w:r>
      <w:r>
        <w:t xml:space="preserve">TB1000</w:t>
      </w:r>
      <w:r>
        <w:t xml:space="preserve">”</w:t>
      </w:r>
      <w:r>
        <w:t xml:space="preserve"> </w:t>
      </w:r>
      <w:r>
        <w:t xml:space="preserve">não correspondia sempre à composição declarada</w:t>
      </w:r>
      <w:r>
        <w:rPr>
          <w:rStyle w:val="FootnoteReference"/>
        </w:rPr>
        <w:footnoteReference w:id="990"/>
      </w:r>
      <w:r>
        <w:t xml:space="preserve">. Alguns produtos contêm o fragmento, outros possivelmente a Tβ4 inteira, e outros ainda contaminantes. Somam-se os riscos conhecidos de injeções não estéreis. O fato de laboratórios de doping equino já terem desenvolvido métodos de detecção para o TB-500 em 2012</w:t>
      </w:r>
      <w:r>
        <w:rPr>
          <w:rStyle w:val="FootnoteReference"/>
        </w:rPr>
        <w:footnoteReference w:id="991"/>
      </w:r>
      <w:r>
        <w:t xml:space="preserve"> </w:t>
      </w:r>
      <w:r>
        <w:t xml:space="preserve">mostra de onde vem o produto: da área veterinária, não da medicina humana.</w:t>
      </w:r>
    </w:p>
    <w:bookmarkEnd w:id="992"/>
    <w:bookmarkEnd w:id="993"/>
    <w:bookmarkStart w:id="996" w:name="situação-legal-16"/>
    <w:p>
      <w:pPr>
        <w:pStyle w:val="Heading3"/>
      </w:pPr>
      <w:r>
        <w:t xml:space="preserve">Situação legal</w:t>
      </w:r>
    </w:p>
    <w:p>
      <w:pPr>
        <w:pStyle w:val="FirstParagraph"/>
      </w:pPr>
      <w:r>
        <w:rPr>
          <w:iCs/>
          <w:i/>
        </w:rPr>
        <w:t xml:space="preserve">Situação em 2026, verificar atualização.</w:t>
      </w:r>
    </w:p>
    <w:p>
      <w:pPr>
        <w:numPr>
          <w:ilvl w:val="0"/>
          <w:numId w:val="1120"/>
        </w:numPr>
        <w:pStyle w:val="Compact"/>
      </w:pPr>
      <w:r>
        <w:rPr>
          <w:bCs/>
          <w:b/>
        </w:rPr>
        <w:t xml:space="preserve">UE, Alemanha, Áustria:</w:t>
      </w:r>
      <w:r>
        <w:t xml:space="preserve"> </w:t>
      </w:r>
      <w:r>
        <w:t xml:space="preserve">nem a Tβ4 nem o TB-500 estão aprovados como medicamento. O fornecimento para uso em humanos não é permitido; produtos com a indicação</w:t>
      </w:r>
      <w:r>
        <w:t xml:space="preserve"> </w:t>
      </w:r>
      <w:r>
        <w:t xml:space="preserve">“</w:t>
      </w:r>
      <w:r>
        <w:t xml:space="preserve">apenas para fins de pesquisa</w:t>
      </w:r>
      <w:r>
        <w:t xml:space="preserve">”</w:t>
      </w:r>
      <w:r>
        <w:t xml:space="preserve"> </w:t>
      </w:r>
      <w:r>
        <w:t xml:space="preserve">não mudam isso.</w:t>
      </w:r>
    </w:p>
    <w:p>
      <w:pPr>
        <w:numPr>
          <w:ilvl w:val="0"/>
          <w:numId w:val="1120"/>
        </w:numPr>
        <w:pStyle w:val="Compact"/>
      </w:pPr>
      <w:r>
        <w:rPr>
          <w:bCs/>
          <w:b/>
        </w:rPr>
        <w:t xml:space="preserve">EUA:</w:t>
      </w:r>
      <w:r>
        <w:t xml:space="preserve"> </w:t>
      </w:r>
      <w:r>
        <w:t xml:space="preserve">sem aprovação da FDA. Segundo o conhecimento do autor, a FDA classificou em 2023 o fragmento de Tβ4 (TB-500), assim como o BPC-157, na categoria 2 das substâncias de partida para manipulação magistral, ou seja, entre as substâncias com preocupações de segurança consideráveis; a avaliação de peptídeos para manipulação magistral está sendo atualmente discutida de forma controversa</w:t>
      </w:r>
      <w:r>
        <w:rPr>
          <w:rStyle w:val="FootnoteReference"/>
        </w:rPr>
        <w:footnoteReference w:id="994"/>
      </w:r>
      <w:r>
        <w:t xml:space="preserve">.</w:t>
      </w:r>
    </w:p>
    <w:p>
      <w:pPr>
        <w:numPr>
          <w:ilvl w:val="0"/>
          <w:numId w:val="1120"/>
        </w:numPr>
        <w:pStyle w:val="Compact"/>
      </w:pPr>
      <w:r>
        <w:rPr>
          <w:bCs/>
          <w:b/>
        </w:rPr>
        <w:t xml:space="preserve">WADA:</w:t>
      </w:r>
      <w:r>
        <w:t xml:space="preserve"> </w:t>
      </w:r>
      <w:r>
        <w:t xml:space="preserve">a Tβ4 e seus derivados, como o TB-500, são expressamente proibidos na classe S2 (hormônios peptídicos, fatores de crescimento), em competição e fora dela. No turfe, também é proibido</w:t>
      </w:r>
      <w:r>
        <w:rPr>
          <w:rStyle w:val="FootnoteReference"/>
        </w:rPr>
        <w:footnoteReference w:id="995"/>
      </w:r>
      <w:r>
        <w:t xml:space="preserve">.</w:t>
      </w:r>
    </w:p>
    <w:bookmarkEnd w:id="996"/>
    <w:bookmarkStart w:id="1000" w:name="estudos-em-andamento-e-perspectivas-16"/>
    <w:p>
      <w:pPr>
        <w:pStyle w:val="Heading3"/>
      </w:pPr>
      <w:r>
        <w:t xml:space="preserve">Estudos em andamento e perspectivas</w:t>
      </w:r>
    </w:p>
    <w:p>
      <w:pPr>
        <w:pStyle w:val="FirstParagraph"/>
      </w:pPr>
      <w:r>
        <w:rPr>
          <w:bCs/>
          <w:b/>
        </w:rPr>
        <w:t xml:space="preserve">Confirmado (segundo o registro):</w:t>
      </w:r>
    </w:p>
    <w:p>
      <w:pPr>
        <w:numPr>
          <w:ilvl w:val="0"/>
          <w:numId w:val="1121"/>
        </w:numPr>
        <w:pStyle w:val="Compact"/>
      </w:pPr>
      <w:r>
        <w:rPr>
          <w:bCs/>
          <w:b/>
        </w:rPr>
        <w:t xml:space="preserve">SEER-2</w:t>
      </w:r>
      <w:r>
        <w:rPr>
          <w:rStyle w:val="FootnoteReference"/>
        </w:rPr>
        <w:footnoteReference w:id="997"/>
      </w:r>
      <w:r>
        <w:rPr>
          <w:bCs/>
          <w:b/>
        </w:rPr>
        <w:t xml:space="preserve">:</w:t>
      </w:r>
      <w:r>
        <w:t xml:space="preserve"> </w:t>
      </w:r>
      <w:r>
        <w:t xml:space="preserve">estudo de fase 3 com colírio RGN-259 na ceratopatia neurotrófica, 70 pessoas previstas, recrutando, término do estudo estimado no registro para maio de 2026. Os resultados não estavam publicados em outubro de 2026.</w:t>
      </w:r>
    </w:p>
    <w:p>
      <w:pPr>
        <w:numPr>
          <w:ilvl w:val="0"/>
          <w:numId w:val="1121"/>
        </w:numPr>
        <w:pStyle w:val="Compact"/>
      </w:pPr>
      <w:r>
        <w:rPr>
          <w:bCs/>
          <w:b/>
        </w:rPr>
        <w:t xml:space="preserve">NL005 no infarto do miocárdio</w:t>
      </w:r>
      <w:r>
        <w:rPr>
          <w:rStyle w:val="FootnoteReference"/>
        </w:rPr>
        <w:footnoteReference w:id="998"/>
      </w:r>
      <w:r>
        <w:rPr>
          <w:bCs/>
          <w:b/>
        </w:rPr>
        <w:t xml:space="preserve">:</w:t>
      </w:r>
      <w:r>
        <w:t xml:space="preserve"> </w:t>
      </w:r>
      <w:r>
        <w:t xml:space="preserve">estudo chinês de fase 2c com Tβ4 recombinante, 189 pessoas previstas, desfecho primário tamanho do infarto na ressonância cardíaca após 90 dias; ainda não recrutando, término estimado em 2028. Dois estudos de fase 2 anteriores do mesmo fabricante, com 62 e 90 pessoas, estão concluídos segundo o registro</w:t>
      </w:r>
      <w:r>
        <w:rPr>
          <w:rStyle w:val="FootnoteReference"/>
        </w:rPr>
        <w:footnoteReference w:id="999"/>
      </w:r>
      <w:r>
        <w:t xml:space="preserve">.</w:t>
      </w:r>
    </w:p>
    <w:p>
      <w:pPr>
        <w:numPr>
          <w:ilvl w:val="0"/>
          <w:numId w:val="1121"/>
        </w:numPr>
        <w:pStyle w:val="Compact"/>
      </w:pPr>
      <w:r>
        <w:rPr>
          <w:bCs/>
          <w:b/>
        </w:rPr>
        <w:t xml:space="preserve">TB-500:</w:t>
      </w:r>
      <w:r>
        <w:t xml:space="preserve"> </w:t>
      </w:r>
      <w:r>
        <w:t xml:space="preserve">nenhum estudo em humanos registrado digno de crédito.</w:t>
      </w:r>
    </w:p>
    <w:p>
      <w:pPr>
        <w:pStyle w:val="FirstParagraph"/>
      </w:pPr>
      <w:r>
        <w:rPr>
          <w:bCs/>
          <w:b/>
        </w:rPr>
        <w:t xml:space="preserve">Avaliação do autor:</w:t>
      </w:r>
      <w:r>
        <w:t xml:space="preserve"> </w:t>
      </w:r>
      <w:r>
        <w:t xml:space="preserve">a chance mais realista de aprovação é a da Tβ4 como colírio na rara ceratopatia neurotrófica, onde estudos pequenos já podem bastar para uma aprovação como medicamento para doenças raras – caso o SEER-2 seja positivo. No olho seco, os grandes dados de fase 3 depõem contra um benefício clinicamente relevante. No infarto do miocárdio, tudo depende do estudo chinês em andamento. Para o TB-500 como meio de cicatrização de tendões e músculos, não há pesquisa séria em humanos à vista em um futuro previsível.</w:t>
      </w:r>
    </w:p>
    <w:bookmarkEnd w:id="1000"/>
    <w:bookmarkStart w:id="1002" w:name="conclusão-16"/>
    <w:p>
      <w:pPr>
        <w:pStyle w:val="Heading3"/>
      </w:pPr>
      <w:r>
        <w:t xml:space="preserve">Conclusão</w:t>
      </w:r>
    </w:p>
    <w:p>
      <w:pPr>
        <w:pStyle w:val="FirstParagraph"/>
      </w:pPr>
      <w:r>
        <w:t xml:space="preserve">A timosina beta-4 é um peptídeo do próprio corpo que foi bem tolerado em estudos randomizados como colírio e infusão, mas cujo benefício não se confirmou nos grandes estudos sobre olho seco e, no infarto do miocárdio, até agora só se insinuou em um subgrupo</w:t>
      </w:r>
      <w:r>
        <w:rPr>
          <w:rStyle w:val="FootnoteReference"/>
        </w:rPr>
        <w:footnoteReference w:id="1001"/>
      </w:r>
      <w:r>
        <w:t xml:space="preserve">. O TB-500 é outra coisa: um fragmento modificado que nunca foi testado em um estudo publicado em humanos e cujos produtos do mercado cinza comprovadamente nem sempre contêm o que é declarado. A publicidade do TB-500 se apoia em estudos com a proteína inteira – e também estes quase não dizem respeito a tendões, ligamentos ou músculos. Para atletas, ambas as substâncias são proibidas.</w:t>
      </w:r>
    </w:p>
    <w:bookmarkEnd w:id="1002"/>
    <w:bookmarkEnd w:id="1003"/>
    <w:bookmarkStart w:id="1063" w:name="timosina-alfa-1-timalfasina"/>
    <w:p>
      <w:pPr>
        <w:pStyle w:val="Heading2"/>
      </w:pPr>
      <w:r>
        <w:t xml:space="preserve">Timosina alfa 1 (timalfasina)</w:t>
      </w:r>
    </w:p>
    <w:p>
      <w:pPr>
        <w:pStyle w:val="FirstParagraph"/>
      </w:pPr>
      <w:r>
        <w:t xml:space="preserve">A timosina alfa 1 é um caso especial neste grupo. Diferentemente do BPC-157 ou do TB-500, ela é um medicamento aprovado em vários países (nome comercial Zadaxin), foi testada em dezenas de estudos randomizados com milhares de pessoas e, na China, faz parte da rotina em algumas clínicas. Ao mesmo tempo, justamente esse peptídeo mostra como um quadro muda quando estudos pequenos e mais antigos são substituídos por estudos grandes e bem conduzidos. Na Europa e nos EUA, ela não está aprovada, mas é comercializada na cena de</w:t>
      </w:r>
      <w:r>
        <w:t xml:space="preserve"> </w:t>
      </w:r>
      <w:r>
        <w:t xml:space="preserve">“</w:t>
      </w:r>
      <w:r>
        <w:t xml:space="preserve">longevidade</w:t>
      </w:r>
      <w:r>
        <w:t xml:space="preserve">”</w:t>
      </w:r>
      <w:r>
        <w:t xml:space="preserve"> </w:t>
      </w:r>
      <w:r>
        <w:t xml:space="preserve">e de biohacking como estimulante imunológico.</w:t>
      </w:r>
    </w:p>
    <w:bookmarkStart w:id="1006" w:name="ficha-técnica-17"/>
    <w:p>
      <w:pPr>
        <w:pStyle w:val="Heading3"/>
      </w:pPr>
      <w:r>
        <w:t xml:space="preserve">Ficha técnica</w:t>
      </w:r>
    </w:p>
    <w:p>
      <w:pPr>
        <w:numPr>
          <w:ilvl w:val="0"/>
          <w:numId w:val="1122"/>
        </w:numPr>
        <w:pStyle w:val="Compact"/>
      </w:pPr>
      <w:r>
        <w:rPr>
          <w:bCs/>
          <w:b/>
        </w:rPr>
        <w:t xml:space="preserve">Tipo e estrutura:</w:t>
      </w:r>
      <w:r>
        <w:t xml:space="preserve"> </w:t>
      </w:r>
      <w:r>
        <w:t xml:space="preserve">peptídeo de 28 aminoácidos, acetilado no início</w:t>
      </w:r>
      <w:r>
        <w:rPr>
          <w:rStyle w:val="FootnoteReference"/>
        </w:rPr>
        <w:footnoteReference w:id="1004"/>
      </w:r>
      <w:r>
        <w:t xml:space="preserve">; fragmento da proteína maior protimosina alfa.</w:t>
      </w:r>
    </w:p>
    <w:p>
      <w:pPr>
        <w:numPr>
          <w:ilvl w:val="0"/>
          <w:numId w:val="1122"/>
        </w:numPr>
        <w:pStyle w:val="Compact"/>
      </w:pPr>
      <w:r>
        <w:rPr>
          <w:bCs/>
          <w:b/>
        </w:rPr>
        <w:t xml:space="preserve">Origem:</w:t>
      </w:r>
      <w:r>
        <w:t xml:space="preserve"> </w:t>
      </w:r>
      <w:r>
        <w:t xml:space="preserve">isolada nos anos 1970 de um extrato do timo (</w:t>
      </w:r>
      <w:r>
        <w:t xml:space="preserve">“</w:t>
      </w:r>
      <w:r>
        <w:t xml:space="preserve">fração 5 de timosina</w:t>
      </w:r>
      <w:r>
        <w:t xml:space="preserve">”</w:t>
      </w:r>
      <w:r>
        <w:t xml:space="preserve">); hoje sintetizada quimicamente. Nome da substância: timalfasina.</w:t>
      </w:r>
    </w:p>
    <w:p>
      <w:pPr>
        <w:numPr>
          <w:ilvl w:val="0"/>
          <w:numId w:val="1122"/>
        </w:numPr>
        <w:pStyle w:val="Compact"/>
      </w:pPr>
      <w:r>
        <w:rPr>
          <w:bCs/>
          <w:b/>
        </w:rPr>
        <w:t xml:space="preserve">Princípio de ação:</w:t>
      </w:r>
      <w:r>
        <w:t xml:space="preserve"> </w:t>
      </w:r>
      <w:r>
        <w:t xml:space="preserve">imunomodulador – deveria favorecer a maturação e a atividade de células T e de células dendríticas.</w:t>
      </w:r>
    </w:p>
    <w:p>
      <w:pPr>
        <w:numPr>
          <w:ilvl w:val="0"/>
          <w:numId w:val="1122"/>
        </w:numPr>
        <w:pStyle w:val="Compact"/>
      </w:pPr>
      <w:r>
        <w:rPr>
          <w:bCs/>
          <w:b/>
        </w:rPr>
        <w:t xml:space="preserve">Aprovação UE:</w:t>
      </w:r>
      <w:r>
        <w:t xml:space="preserve"> </w:t>
      </w:r>
      <w:r>
        <w:t xml:space="preserve">sem aprovação centralizada.</w:t>
      </w:r>
      <w:r>
        <w:t xml:space="preserve"> </w:t>
      </w:r>
      <w:r>
        <w:rPr>
          <w:bCs/>
          <w:b/>
        </w:rPr>
        <w:t xml:space="preserve">EUA:</w:t>
      </w:r>
      <w:r>
        <w:t xml:space="preserve"> </w:t>
      </w:r>
      <w:r>
        <w:t xml:space="preserve">não aprovada; a FDA restringiu em 2023 o uso em farmácias de manipulação</w:t>
      </w:r>
      <w:r>
        <w:rPr>
          <w:rStyle w:val="FootnoteReference"/>
        </w:rPr>
        <w:footnoteReference w:id="1005"/>
      </w:r>
      <w:r>
        <w:t xml:space="preserve">.</w:t>
      </w:r>
      <w:r>
        <w:t xml:space="preserve"> </w:t>
      </w:r>
      <w:r>
        <w:rPr>
          <w:bCs/>
          <w:b/>
        </w:rPr>
        <w:t xml:space="preserve">Outros países:</w:t>
      </w:r>
      <w:r>
        <w:t xml:space="preserve"> </w:t>
      </w:r>
      <w:r>
        <w:t xml:space="preserve">aprovada como Zadaxin, sobretudo na China e em outros países asiáticos, geralmente para hepatite B crônica e como terapia complementar para fortalecer o sistema imunológico.</w:t>
      </w:r>
    </w:p>
    <w:p>
      <w:pPr>
        <w:numPr>
          <w:ilvl w:val="0"/>
          <w:numId w:val="1122"/>
        </w:numPr>
        <w:pStyle w:val="Compact"/>
      </w:pPr>
      <w:r>
        <w:rPr>
          <w:bCs/>
          <w:b/>
        </w:rPr>
        <w:t xml:space="preserve">WADA:</w:t>
      </w:r>
      <w:r>
        <w:t xml:space="preserve"> </w:t>
      </w:r>
      <w:r>
        <w:t xml:space="preserve">não listada expressamente.</w:t>
      </w:r>
    </w:p>
    <w:p>
      <w:pPr>
        <w:numPr>
          <w:ilvl w:val="0"/>
          <w:numId w:val="1122"/>
        </w:numPr>
        <w:pStyle w:val="Compact"/>
      </w:pPr>
      <w:r>
        <w:rPr>
          <w:bCs/>
          <w:b/>
        </w:rPr>
        <w:t xml:space="preserve">Nível de evidência: B</w:t>
      </w:r>
      <w:r>
        <w:t xml:space="preserve"> </w:t>
      </w:r>
      <w:r>
        <w:t xml:space="preserve">– formalmente há muitos estudos randomizados; os grandes estudos, metodologicamente melhores, porém, não atingiram seus desfechos primários, e os resultados positivos vêm predominantemente de estudos pequenos com alto risco de viés.</w:t>
      </w:r>
    </w:p>
    <w:bookmarkEnd w:id="1006"/>
    <w:bookmarkStart w:id="1009" w:name="como-deveria-agir-17"/>
    <w:p>
      <w:pPr>
        <w:pStyle w:val="Heading3"/>
      </w:pPr>
      <w:r>
        <w:t xml:space="preserve">Como deveria agir</w:t>
      </w:r>
    </w:p>
    <w:p>
      <w:pPr>
        <w:pStyle w:val="FirstParagraph"/>
      </w:pPr>
      <w:r>
        <w:t xml:space="preserve">O timo, atrás do esterno, é a</w:t>
      </w:r>
      <w:r>
        <w:t xml:space="preserve"> </w:t>
      </w:r>
      <w:r>
        <w:t xml:space="preserve">“</w:t>
      </w:r>
      <w:r>
        <w:t xml:space="preserve">escola</w:t>
      </w:r>
      <w:r>
        <w:t xml:space="preserve">”</w:t>
      </w:r>
      <w:r>
        <w:t xml:space="preserve"> </w:t>
      </w:r>
      <w:r>
        <w:t xml:space="preserve">das células T: aqui esses glóbulos brancos aprendem a distinguir o estranho do próprio. Com a idade, o timo encolhe. Desde cedo se suspeitou que mensageiros do timo controlassem a defesa, e eles foram procurados em extratos de timo. A timosina alfa 1 foi uma das primeiras substâncias identificadas dessa forma.</w:t>
      </w:r>
    </w:p>
    <w:p>
      <w:pPr>
        <w:pStyle w:val="BodyText"/>
      </w:pPr>
      <w:r>
        <w:t xml:space="preserve">Em experimentos de laboratório e com animais, a timosina alfa 1 ativa células dendríticas – os</w:t>
      </w:r>
      <w:r>
        <w:t xml:space="preserve"> </w:t>
      </w:r>
      <w:r>
        <w:t xml:space="preserve">“</w:t>
      </w:r>
      <w:r>
        <w:t xml:space="preserve">batedores</w:t>
      </w:r>
      <w:r>
        <w:t xml:space="preserve">”</w:t>
      </w:r>
      <w:r>
        <w:t xml:space="preserve"> </w:t>
      </w:r>
      <w:r>
        <w:t xml:space="preserve">do sistema imunológico – por meio dos chamados receptores do tipo Toll, aumenta a expressão de moléculas de reconhecimento nas células e intensifica o efeito do interferon</w:t>
      </w:r>
      <w:r>
        <w:rPr>
          <w:rStyle w:val="FootnoteReference"/>
        </w:rPr>
        <w:footnoteReference w:id="1007"/>
      </w:r>
      <w:r>
        <w:t xml:space="preserve">. Disso derivaram as três grandes ideias de aplicação:</w:t>
      </w:r>
    </w:p>
    <w:p>
      <w:pPr>
        <w:numPr>
          <w:ilvl w:val="0"/>
          <w:numId w:val="1123"/>
        </w:numPr>
        <w:pStyle w:val="Compact"/>
      </w:pPr>
      <w:r>
        <w:rPr>
          <w:bCs/>
          <w:b/>
        </w:rPr>
        <w:t xml:space="preserve">Infecções virais crônicas</w:t>
      </w:r>
      <w:r>
        <w:t xml:space="preserve"> </w:t>
      </w:r>
      <w:r>
        <w:t xml:space="preserve">(hepatites B e C), nas quais o sistema imunológico não elimina o vírus por conta própria.</w:t>
      </w:r>
    </w:p>
    <w:p>
      <w:pPr>
        <w:numPr>
          <w:ilvl w:val="0"/>
          <w:numId w:val="1123"/>
        </w:numPr>
        <w:pStyle w:val="Compact"/>
      </w:pPr>
      <w:r>
        <w:rPr>
          <w:bCs/>
          <w:b/>
        </w:rPr>
        <w:t xml:space="preserve">Sepse e infecções graves</w:t>
      </w:r>
      <w:r>
        <w:t xml:space="preserve">, nas quais, após uma reação exagerada inicial, muitas vezes segue-se uma fase de imunodeficiência.</w:t>
      </w:r>
    </w:p>
    <w:p>
      <w:pPr>
        <w:numPr>
          <w:ilvl w:val="0"/>
          <w:numId w:val="1123"/>
        </w:numPr>
        <w:pStyle w:val="Compact"/>
      </w:pPr>
      <w:r>
        <w:rPr>
          <w:bCs/>
          <w:b/>
        </w:rPr>
        <w:t xml:space="preserve">Câncer</w:t>
      </w:r>
      <w:r>
        <w:t xml:space="preserve">, como complemento à quimioterapia, à radioterapia e à imunoterapia.</w:t>
      </w:r>
    </w:p>
    <w:p>
      <w:pPr>
        <w:pStyle w:val="FirstParagraph"/>
      </w:pPr>
      <w:r>
        <w:t xml:space="preserve">A meia-vida no sangue é de cerca de duas horas; após 24 horas, o nível volta ao valor inicial</w:t>
      </w:r>
      <w:r>
        <w:rPr>
          <w:rStyle w:val="FootnoteReference"/>
        </w:rPr>
        <w:footnoteReference w:id="1008"/>
      </w:r>
      <w:r>
        <w:t xml:space="preserve">.</w:t>
      </w:r>
    </w:p>
    <w:bookmarkEnd w:id="1009"/>
    <w:bookmarkStart w:id="1039" w:name="estudos-em-humanos-17"/>
    <w:p>
      <w:pPr>
        <w:pStyle w:val="Heading3"/>
      </w:pPr>
      <w:r>
        <w:t xml:space="preserve">Estudos em humanos</w:t>
      </w:r>
    </w:p>
    <w:p>
      <w:pPr>
        <w:pStyle w:val="FirstParagraph"/>
      </w:pPr>
      <w:r>
        <w:rPr>
          <w:bCs/>
          <w:b/>
        </w:rPr>
        <w:t xml:space="preserve">Dimensão da base de estudos (consulta de outubro de 2026):</w:t>
      </w:r>
      <w:r>
        <w:t xml:space="preserve"> </w:t>
      </w:r>
      <w:r>
        <w:t xml:space="preserve">a busca automatizada encontrou</w:t>
      </w:r>
      <w:r>
        <w:t xml:space="preserve"> </w:t>
      </w:r>
      <w:r>
        <w:rPr>
          <w:bCs/>
          <w:b/>
        </w:rPr>
        <w:t xml:space="preserve">90</w:t>
      </w:r>
      <w:r>
        <w:t xml:space="preserve"> </w:t>
      </w:r>
      <w:r>
        <w:t xml:space="preserve">estudos em humanos no PubMed e</w:t>
      </w:r>
      <w:r>
        <w:t xml:space="preserve"> </w:t>
      </w:r>
      <w:r>
        <w:rPr>
          <w:bCs/>
          <w:b/>
        </w:rPr>
        <w:t xml:space="preserve">66</w:t>
      </w:r>
      <w:r>
        <w:t xml:space="preserve"> </w:t>
      </w:r>
      <w:r>
        <w:t xml:space="preserve">registros no ClinicalTrials.gov, além de 15 metanálises e revisões sistemáticas. Grande parte dos estudos vem da China e é pequena. Uma revisão de 2024, que resume mais de 30 estudos com mais de 11.000 pessoas, foi redigida expressamente para argumentar contra a restrição da FDA</w:t>
      </w:r>
      <w:r>
        <w:rPr>
          <w:rStyle w:val="FootnoteReference"/>
        </w:rPr>
        <w:footnoteReference w:id="1010"/>
      </w:r>
      <w:r>
        <w:t xml:space="preserve"> </w:t>
      </w:r>
      <w:r>
        <w:t xml:space="preserve">– por isso não deve ser lida como uma avaliação neutra.</w:t>
      </w:r>
    </w:p>
    <w:bookmarkStart w:id="1011" w:name="os-estudos-grandes-mais-importantes"/>
    <w:p>
      <w:pPr>
        <w:pStyle w:val="Heading4"/>
      </w:pPr>
      <w:r>
        <w:t xml:space="preserve">Os estudos grandes mais importantes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TESTS, sepse (Wu 2025, PMID 39814420)</w:t>
            </w:r>
          </w:p>
        </w:tc>
        <w:tc>
          <w:tcPr/>
          <w:p>
            <w:pPr>
              <w:pStyle w:val="Compact"/>
              <w:jc w:val="left"/>
            </w:pPr>
            <w:r>
              <w:t xml:space="preserve">1.106 adultos com sepse, 22 centros na China, ECR duplo-cego contra placebo</w:t>
            </w:r>
          </w:p>
        </w:tc>
        <w:tc>
          <w:tcPr/>
          <w:p>
            <w:pPr>
              <w:pStyle w:val="Compact"/>
              <w:jc w:val="left"/>
            </w:pPr>
            <w:r>
              <w:t xml:space="preserve">7 dias de tratamento, 28 dias de observação</w:t>
            </w:r>
          </w:p>
        </w:tc>
        <w:tc>
          <w:tcPr/>
          <w:p>
            <w:pPr>
              <w:pStyle w:val="Compact"/>
              <w:jc w:val="left"/>
            </w:pPr>
            <w:r>
              <w:t xml:space="preserve">mortalidade 23,4% vs. 24,1%; nenhuma diferença</w:t>
            </w:r>
          </w:p>
        </w:tc>
      </w:tr>
      <w:tr>
        <w:tc>
          <w:tcPr/>
          <w:p>
            <w:pPr>
              <w:pStyle w:val="Compact"/>
              <w:jc w:val="left"/>
            </w:pPr>
            <w:r>
              <w:t xml:space="preserve">Pancreatite necrosante (Ke 2022, PMID 35713670)</w:t>
            </w:r>
          </w:p>
        </w:tc>
        <w:tc>
          <w:tcPr/>
          <w:p>
            <w:pPr>
              <w:pStyle w:val="Compact"/>
              <w:jc w:val="left"/>
            </w:pPr>
            <w:r>
              <w:t xml:space="preserve">508 pessoas, ECR duplo-cego contra placebo</w:t>
            </w:r>
          </w:p>
        </w:tc>
        <w:tc>
          <w:tcPr/>
          <w:p>
            <w:pPr>
              <w:pStyle w:val="Compact"/>
              <w:jc w:val="left"/>
            </w:pPr>
            <w:r>
              <w:t xml:space="preserve">14 dias de tratamento</w:t>
            </w:r>
          </w:p>
        </w:tc>
        <w:tc>
          <w:tcPr/>
          <w:p>
            <w:pPr>
              <w:pStyle w:val="Compact"/>
              <w:jc w:val="left"/>
            </w:pPr>
            <w:r>
              <w:t xml:space="preserve">necroses infectadas 15,7% vs. 18,1%; nenhuma diferença significativa</w:t>
            </w:r>
          </w:p>
        </w:tc>
      </w:tr>
      <w:tr>
        <w:tc>
          <w:tcPr/>
          <w:p>
            <w:pPr>
              <w:pStyle w:val="Compact"/>
              <w:jc w:val="left"/>
            </w:pPr>
            <w:r>
              <w:t xml:space="preserve">Melanoma (Maio 2010, PMID 20194853)</w:t>
            </w:r>
          </w:p>
        </w:tc>
        <w:tc>
          <w:tcPr/>
          <w:p>
            <w:pPr>
              <w:pStyle w:val="Compact"/>
              <w:jc w:val="left"/>
            </w:pPr>
            <w:r>
              <w:t xml:space="preserve">488 pessoas com melanoma metastático, ECR com 5 grupos</w:t>
            </w:r>
          </w:p>
        </w:tc>
        <w:tc>
          <w:tcPr/>
          <w:p>
            <w:pPr>
              <w:pStyle w:val="Compact"/>
              <w:jc w:val="left"/>
            </w:pPr>
            <w:r>
              <w:t xml:space="preserve">até 24 meses</w:t>
            </w:r>
          </w:p>
        </w:tc>
        <w:tc>
          <w:tcPr/>
          <w:p>
            <w:pPr>
              <w:pStyle w:val="Compact"/>
              <w:jc w:val="left"/>
            </w:pPr>
            <w:r>
              <w:t xml:space="preserve">mais resposta tumoral em dois grupos com Tα1; sobrevida global 9,4 vs. 6,6 meses, não significativa (p = 0,08)</w:t>
            </w:r>
          </w:p>
        </w:tc>
      </w:tr>
      <w:tr>
        <w:tc>
          <w:tcPr/>
          <w:p>
            <w:pPr>
              <w:pStyle w:val="Compact"/>
              <w:jc w:val="left"/>
            </w:pPr>
            <w:r>
              <w:t xml:space="preserve">Cirrose por hepatite B (Wu 2018, PMID 30063860)</w:t>
            </w:r>
          </w:p>
        </w:tc>
        <w:tc>
          <w:tcPr/>
          <w:p>
            <w:pPr>
              <w:pStyle w:val="Compact"/>
              <w:jc w:val="left"/>
            </w:pPr>
            <w:r>
              <w:t xml:space="preserve">690 pessoas, ECR aberto, Tα1 mais entecavir vs. entecavir isolado</w:t>
            </w:r>
          </w:p>
        </w:tc>
        <w:tc>
          <w:tcPr/>
          <w:p>
            <w:pPr>
              <w:pStyle w:val="Compact"/>
              <w:jc w:val="left"/>
            </w:pPr>
            <w:r>
              <w:t xml:space="preserve">mediana de 38,2 meses</w:t>
            </w:r>
          </w:p>
        </w:tc>
        <w:tc>
          <w:tcPr/>
          <w:p>
            <w:pPr>
              <w:pStyle w:val="Compact"/>
              <w:jc w:val="left"/>
            </w:pPr>
            <w:r>
              <w:t xml:space="preserve">nenhuma diferença em insuficiência hepática, câncer de fígado ou morte</w:t>
            </w:r>
          </w:p>
        </w:tc>
      </w:tr>
      <w:tr>
        <w:tc>
          <w:tcPr/>
          <w:p>
            <w:pPr>
              <w:pStyle w:val="Compact"/>
              <w:jc w:val="left"/>
            </w:pPr>
            <w:r>
              <w:t xml:space="preserve">Hepatite B, Japão (Iino 2005, PMID 15850471)</w:t>
            </w:r>
          </w:p>
        </w:tc>
        <w:tc>
          <w:tcPr/>
          <w:p>
            <w:pPr>
              <w:pStyle w:val="Compact"/>
              <w:jc w:val="left"/>
            </w:pPr>
            <w:r>
              <w:t xml:space="preserve">316 pessoas, comparação de duas doses, sem grupo placebo</w:t>
            </w:r>
          </w:p>
        </w:tc>
        <w:tc>
          <w:tcPr/>
          <w:p>
            <w:pPr>
              <w:pStyle w:val="Compact"/>
              <w:jc w:val="left"/>
            </w:pPr>
            <w:r>
              <w:t xml:space="preserve">24 semanas mais 48 semanas</w:t>
            </w:r>
          </w:p>
        </w:tc>
        <w:tc>
          <w:tcPr/>
          <w:p>
            <w:pPr>
              <w:pStyle w:val="Compact"/>
              <w:jc w:val="left"/>
            </w:pPr>
            <w:r>
              <w:t xml:space="preserve">perda do antígeno HBe em 22,8% com a dose mais alta</w:t>
            </w:r>
          </w:p>
        </w:tc>
      </w:tr>
      <w:tr>
        <w:tc>
          <w:tcPr/>
          <w:p>
            <w:pPr>
              <w:pStyle w:val="Compact"/>
              <w:jc w:val="left"/>
            </w:pPr>
            <w:r>
              <w:t xml:space="preserve">Hepatite B, fase 3 (Mutchnick 1999, PMID 10607256)</w:t>
            </w:r>
          </w:p>
        </w:tc>
        <w:tc>
          <w:tcPr/>
          <w:p>
            <w:pPr>
              <w:pStyle w:val="Compact"/>
              <w:jc w:val="left"/>
            </w:pPr>
            <w:r>
              <w:t xml:space="preserve">97 pessoas, ECR duplo-cego contra placebo</w:t>
            </w:r>
          </w:p>
        </w:tc>
        <w:tc>
          <w:tcPr/>
          <w:p>
            <w:pPr>
              <w:pStyle w:val="Compact"/>
              <w:jc w:val="left"/>
            </w:pPr>
            <w:r>
              <w:t xml:space="preserve">12 meses</w:t>
            </w:r>
          </w:p>
        </w:tc>
        <w:tc>
          <w:tcPr/>
          <w:p>
            <w:pPr>
              <w:pStyle w:val="Compact"/>
              <w:jc w:val="left"/>
            </w:pPr>
            <w:r>
              <w:t xml:space="preserve">resposta completa 14% vs. 4%, não significativa</w:t>
            </w:r>
          </w:p>
        </w:tc>
      </w:tr>
    </w:tbl>
    <w:bookmarkEnd w:id="1011"/>
    <w:bookmarkStart w:id="1019" w:name="hepatites-b-e-c"/>
    <w:p>
      <w:pPr>
        <w:pStyle w:val="Heading4"/>
      </w:pPr>
      <w:r>
        <w:t xml:space="preserve">Hepatites B e C</w:t>
      </w:r>
    </w:p>
    <w:p>
      <w:pPr>
        <w:pStyle w:val="FirstParagraph"/>
      </w:pPr>
      <w:r>
        <w:t xml:space="preserve">As aprovações na Ásia se baseiam sobretudo em estudos sobre hepatite B crônica dos anos 1990. Um estudo randomizado com 98 pessoas encontrou, 18 meses após o início, uma resposta virológica completa em 40,6 por cento após seis meses de tratamento, contra 9,4 por cento no grupo de controle não tratado</w:t>
      </w:r>
      <w:r>
        <w:rPr>
          <w:rStyle w:val="FootnoteReference"/>
        </w:rPr>
        <w:footnoteReference w:id="1012"/>
      </w:r>
      <w:r>
        <w:t xml:space="preserve">. O estudo de fase 3 duplo-cego, controlado por placebo, não conseguiu confirmar isso: 14 por cento vs. 4 por cento, estatisticamente não significativo; os próprios autores escrevem que os resultados não confirmaram observações anteriores</w:t>
      </w:r>
      <w:r>
        <w:rPr>
          <w:rStyle w:val="FootnoteReference"/>
        </w:rPr>
        <w:footnoteReference w:id="1013"/>
      </w:r>
      <w:r>
        <w:t xml:space="preserve">.</w:t>
      </w:r>
    </w:p>
    <w:p>
      <w:pPr>
        <w:pStyle w:val="BodyText"/>
      </w:pPr>
      <w:r>
        <w:t xml:space="preserve">Uma metanálise de quatro estudos pequenos com 199 pessoas verificou que a timosina alfa 1 teve resultado pior que o interferon alfa ao final do tratamento, mas melhor seis meses depois</w:t>
      </w:r>
      <w:r>
        <w:rPr>
          <w:rStyle w:val="FootnoteReference"/>
        </w:rPr>
        <w:footnoteReference w:id="1014"/>
      </w:r>
      <w:r>
        <w:t xml:space="preserve">. Hoje, a questão está em grande parte superada: comprimidos modernos contra a hepatite B (como o entecavir) suprimem o vírus de forma confiável. No grande estudo com 690 pessoas com cirrose hepática, a adição de timosina alfa 1 ao entecavir não trouxe vantagem no desfecho primário composto de descompensação hepática, câncer de fígado ou morte</w:t>
      </w:r>
      <w:r>
        <w:rPr>
          <w:rStyle w:val="FootnoteReference"/>
        </w:rPr>
        <w:footnoteReference w:id="1015"/>
      </w:r>
      <w:r>
        <w:t xml:space="preserve">. Uma metanálise de estudos chineses sobre a mesma combinação encontrou, é verdade, melhores taxas de resposta após 24 semanas, mas nenhuma diferença após 48 a 52 semanas</w:t>
      </w:r>
      <w:r>
        <w:rPr>
          <w:rStyle w:val="FootnoteReference"/>
        </w:rPr>
        <w:footnoteReference w:id="1016"/>
      </w:r>
      <w:r>
        <w:t xml:space="preserve">.</w:t>
      </w:r>
    </w:p>
    <w:p>
      <w:pPr>
        <w:pStyle w:val="BodyText"/>
      </w:pPr>
      <w:r>
        <w:t xml:space="preserve">Em uma forma de evolução especialmente grave – a insuficiência hepática aguda sobre crônica na hepatite B –, a sobrevida de 90 dias livre de transplante, em um estudo aberto com 120 pessoas, foi de 75,0 por cento com timosina alfa 1, contra 53,4 por cento; novas infecções foram mais raras</w:t>
      </w:r>
      <w:r>
        <w:rPr>
          <w:rStyle w:val="FootnoteReference"/>
        </w:rPr>
        <w:footnoteReference w:id="1017"/>
      </w:r>
      <w:r>
        <w:t xml:space="preserve">. O estudo não foi cego, e em uma análise que considerou riscos concorrentes a diferença de sobrevida não foi significativa.</w:t>
      </w:r>
    </w:p>
    <w:p>
      <w:pPr>
        <w:pStyle w:val="BodyText"/>
      </w:pPr>
      <w:r>
        <w:t xml:space="preserve">Na hepatite C, a combinação com interferon melhorou, em estudos menores, os valores ao final do tratamento</w:t>
      </w:r>
      <w:r>
        <w:rPr>
          <w:rStyle w:val="FootnoteReference"/>
        </w:rPr>
        <w:footnoteReference w:id="1018"/>
      </w:r>
      <w:r>
        <w:t xml:space="preserve">, mas a resposta sustentada não diferiu de forma relevante. Desde que existem comprimidos de ação direta que eliminam a hepatite C na grande maioria dos casos, a timosina alfa 1 não tem mais papel aqui.</w:t>
      </w:r>
    </w:p>
    <w:bookmarkEnd w:id="1019"/>
    <w:bookmarkStart w:id="1024" w:name="sepse"/>
    <w:p>
      <w:pPr>
        <w:pStyle w:val="Heading4"/>
      </w:pPr>
      <w:r>
        <w:t xml:space="preserve">Sepse</w:t>
      </w:r>
    </w:p>
    <w:p>
      <w:pPr>
        <w:pStyle w:val="FirstParagraph"/>
      </w:pPr>
      <w:r>
        <w:t xml:space="preserve">Na sepse, a evolução da evidência pode ser mostrada especialmente bem. Metanálises iniciais de estudos chineses predominantemente pequenos encontraram uma mortalidade claramente menor (Li 2015, PMID 25532482: risco relativo 0,68 em 12 estudos com 1.480 pessoas), mas elas próprias apontavam a má qualidade dos estudos. O primeiro estudo randomizado maior (ETASS), com 361 pessoas, encontrou uma mortalidade em 28 dias de 26,0 vs. 35,0 por cento – no limite da significância estatística, com cegamento simples</w:t>
      </w:r>
      <w:r>
        <w:rPr>
          <w:rStyle w:val="FootnoteReference"/>
        </w:rPr>
        <w:footnoteReference w:id="1020"/>
      </w:r>
      <w:r>
        <w:t xml:space="preserve">.</w:t>
      </w:r>
    </w:p>
    <w:p>
      <w:pPr>
        <w:pStyle w:val="BodyText"/>
      </w:pPr>
      <w:r>
        <w:t xml:space="preserve">Em seguida, o mesmo grupo de trabalho planejou o maior e melhor estudo até agora: TESTS, duplo-cego, controlado por placebo, 1.106 adultos em 22 centros. Resultado: a mortalidade em 28 dias foi de 23,4 por cento com timosina alfa 1 e de 24,1 por cento com placebo – nenhuma diferença. Também nenhum desfecho secundário diferiu</w:t>
      </w:r>
      <w:r>
        <w:rPr>
          <w:rStyle w:val="FootnoteReference"/>
        </w:rPr>
        <w:footnoteReference w:id="1021"/>
      </w:r>
      <w:r>
        <w:t xml:space="preserve">. Em subgrupos, insinuaram-se vantagens em pessoas com mais de 60 anos e com diabetes, mas desvantagens em pessoas com menos de 60 anos – achados de subgrupo desse tipo são incertos.</w:t>
      </w:r>
    </w:p>
    <w:p>
      <w:pPr>
        <w:pStyle w:val="BodyText"/>
      </w:pPr>
      <w:r>
        <w:t xml:space="preserve">Uma metanálise de 2025 com 11 estudos randomizados encontrou, no total, uma mortalidade menor, mas não quando se consideravam apenas os estudos de alta qualidade ou apenas os multicêntricos; a quantidade de dados disponível seria pequena demais para uma conclusão definitiva</w:t>
      </w:r>
      <w:r>
        <w:rPr>
          <w:rStyle w:val="FootnoteReference"/>
        </w:rPr>
        <w:footnoteReference w:id="1022"/>
      </w:r>
      <w:r>
        <w:t xml:space="preserve">. Muitos estudos chineses combinam, além disso, a timosina alfa 1 com ulinastatina, outro agente usado na China; metanálises em rede avaliam a confiabilidade desses resultados como predominantemente baixa</w:t>
      </w:r>
      <w:r>
        <w:rPr>
          <w:rStyle w:val="FootnoteReference"/>
        </w:rPr>
        <w:footnoteReference w:id="1023"/>
      </w:r>
      <w:r>
        <w:t xml:space="preserve">.</w:t>
      </w:r>
    </w:p>
    <w:bookmarkEnd w:id="1024"/>
    <w:bookmarkStart w:id="1030" w:name="covid-19"/>
    <w:p>
      <w:pPr>
        <w:pStyle w:val="Heading4"/>
      </w:pPr>
      <w:r>
        <w:t xml:space="preserve">COVID-19</w:t>
      </w:r>
    </w:p>
    <w:p>
      <w:pPr>
        <w:pStyle w:val="FirstParagraph"/>
      </w:pPr>
      <w:r>
        <w:t xml:space="preserve">Na pandemia, a timosina alfa 1 foi amplamente usada na China. Uma análise retrospectiva inicial de 76 pacientes graves em Wuhan relatou uma mortalidade de 11,1 vs. 30,0 por cento</w:t>
      </w:r>
      <w:r>
        <w:rPr>
          <w:rStyle w:val="FootnoteReference"/>
        </w:rPr>
        <w:footnoteReference w:id="1025"/>
      </w:r>
      <w:r>
        <w:t xml:space="preserve">. Um estudo retrospectivo maior, em cinco hospitais, com mais de 2.200 pessoas, encontrou o oposto: após consideração de fatores de confusão, o tratamento esteve associado a uma taxa maior de não recuperação</w:t>
      </w:r>
      <w:r>
        <w:rPr>
          <w:rStyle w:val="FootnoteReference"/>
        </w:rPr>
        <w:footnoteReference w:id="1026"/>
      </w:r>
      <w:r>
        <w:t xml:space="preserve">. Um pequeno estudo-piloto randomizado com 49 pessoas encontrou aumentos mais rápidos das células T auxiliares, mas nenhuma diferença significativa na recuperação</w:t>
      </w:r>
      <w:r>
        <w:rPr>
          <w:rStyle w:val="FootnoteReference"/>
        </w:rPr>
        <w:footnoteReference w:id="1027"/>
      </w:r>
      <w:r>
        <w:t xml:space="preserve">.</w:t>
      </w:r>
    </w:p>
    <w:p>
      <w:pPr>
        <w:pStyle w:val="BodyText"/>
      </w:pPr>
      <w:r>
        <w:t xml:space="preserve">Duas metanálises chegaram a conclusões opostas: uma, com 9 estudos e 5.352 pessoas, não encontrou efeito sobre a mortalidade e desaconselha o uso em adultos hospitalizados</w:t>
      </w:r>
      <w:r>
        <w:rPr>
          <w:rStyle w:val="FootnoteReference"/>
        </w:rPr>
        <w:footnoteReference w:id="1028"/>
      </w:r>
      <w:r>
        <w:t xml:space="preserve">; outra, com 8 estudos, encontrou uma mortalidade menor, porém com heterogeneidade muito grande entre os estudos</w:t>
      </w:r>
      <w:r>
        <w:rPr>
          <w:rStyle w:val="FootnoteReference"/>
        </w:rPr>
        <w:footnoteReference w:id="1029"/>
      </w:r>
      <w:r>
        <w:t xml:space="preserve">. Quase todos os dados vêm de estudos observacionais não randomizados. Um benefício na COVID-19 não está, portanto, comprovado.</w:t>
      </w:r>
    </w:p>
    <w:bookmarkEnd w:id="1030"/>
    <w:bookmarkStart w:id="1034" w:name="câncer"/>
    <w:p>
      <w:pPr>
        <w:pStyle w:val="Heading4"/>
      </w:pPr>
      <w:r>
        <w:t xml:space="preserve">Câncer</w:t>
      </w:r>
    </w:p>
    <w:p>
      <w:pPr>
        <w:pStyle w:val="FirstParagraph"/>
      </w:pPr>
      <w:r>
        <w:t xml:space="preserve">O maior estudo randomizado em câncer testou a timosina alfa 1 no melanoma metastático, como complemento à quimioterapia com dacarbazina. Em dois grupos com Tα1, mais tumores responderam do que no grupo de controle (10 e 12 vs. 4 respostas); a sobrevida global média foi de 9,4 contra 6,6 meses, mas a diferença não foi significativa</w:t>
      </w:r>
      <w:r>
        <w:rPr>
          <w:rStyle w:val="FootnoteReference"/>
        </w:rPr>
        <w:footnoteReference w:id="1031"/>
      </w:r>
      <w:r>
        <w:t xml:space="preserve">. Não se seguiu uma aprovação, e a terapia do melanoma mudou fundamentalmente desde então com os inibidores de checkpoint imunológico.</w:t>
      </w:r>
    </w:p>
    <w:p>
      <w:pPr>
        <w:pStyle w:val="BodyText"/>
      </w:pPr>
      <w:r>
        <w:t xml:space="preserve">Metanálises de estudos chineses sobre câncer de pulmão e de estômago relatam melhores taxas de resposta, melhor qualidade de vida e menos efeitos colaterais da quimioterapia quando peptídeos tímicos foram acrescentados (Zeng 2019, PMID 31326719: 27 estudos, 1.925 pessoas; Wang 2026, PMID 42827862: 20 estudos, 1.704 pessoas). Os dois trabalhos, porém, avaliam a qualidade da evidência como moderada a muito baixa, e faltam em grande parte dados sobre sobrevida de longo prazo. Uma revisão de estudos em câncer de 2016 a 2026 encontrou predominantemente estudos observacionais retrospectivos e relatos de caso da China e um registro heterogêneo de efeitos colaterais</w:t>
      </w:r>
      <w:r>
        <w:rPr>
          <w:rStyle w:val="FootnoteReference"/>
        </w:rPr>
        <w:footnoteReference w:id="1032"/>
      </w:r>
      <w:r>
        <w:t xml:space="preserve">. Estudos de fase 2 mais recentes combinam a timosina alfa 1 com inibidores de checkpoint imunológico, por exemplo antes da cirurgia de câncer de estômago, com 30 pessoas</w:t>
      </w:r>
      <w:r>
        <w:rPr>
          <w:rStyle w:val="FootnoteReference"/>
        </w:rPr>
        <w:footnoteReference w:id="1033"/>
      </w:r>
      <w:r>
        <w:t xml:space="preserve">; sem grupo de controle, não é possível deduzir disso a contribuição da timosina alfa 1.</w:t>
      </w:r>
    </w:p>
    <w:bookmarkEnd w:id="1034"/>
    <w:bookmarkStart w:id="1038" w:name="reforço-de-vacinas"/>
    <w:p>
      <w:pPr>
        <w:pStyle w:val="Heading4"/>
      </w:pPr>
      <w:r>
        <w:t xml:space="preserve">Reforço de vacinas</w:t>
      </w:r>
    </w:p>
    <w:p>
      <w:pPr>
        <w:pStyle w:val="FirstParagraph"/>
      </w:pPr>
      <w:r>
        <w:t xml:space="preserve">Já em 1989, 90 homens entre 65 e 99 anos receberam, além da vacina contra a gripe, timosina alfa 1 ou placebo; não foram observados efeitos colaterais</w:t>
      </w:r>
      <w:r>
        <w:rPr>
          <w:rStyle w:val="FootnoteReference"/>
        </w:rPr>
        <w:footnoteReference w:id="1035"/>
      </w:r>
      <w:r>
        <w:t xml:space="preserve">. Essa ideia está sendo retomada hoje, por exemplo em pacientes em diálise no contexto da COVID-19</w:t>
      </w:r>
      <w:r>
        <w:rPr>
          <w:rStyle w:val="FootnoteReference"/>
        </w:rPr>
        <w:footnoteReference w:id="1036"/>
      </w:r>
      <w:r>
        <w:t xml:space="preserve"> </w:t>
      </w:r>
      <w:r>
        <w:t xml:space="preserve">e em um estudo em andamento sobre a dose de reforço em idosos</w:t>
      </w:r>
      <w:r>
        <w:rPr>
          <w:rStyle w:val="FootnoteReference"/>
        </w:rPr>
        <w:footnoteReference w:id="1037"/>
      </w:r>
      <w:r>
        <w:t xml:space="preserve">. Faltam dados confiáveis de desfechos – ou seja, menos doenças ou mortes.</w:t>
      </w:r>
    </w:p>
    <w:bookmarkEnd w:id="1038"/>
    <w:bookmarkEnd w:id="1039"/>
    <w:bookmarkStart w:id="1041" w:name="estudos-em-animais-e-em-laboratório-17"/>
    <w:p>
      <w:pPr>
        <w:pStyle w:val="Heading3"/>
      </w:pPr>
      <w:r>
        <w:t xml:space="preserve">Estudos em animais e em laboratório</w:t>
      </w:r>
    </w:p>
    <w:p>
      <w:pPr>
        <w:pStyle w:val="FirstParagraph"/>
      </w:pPr>
      <w:r>
        <w:t xml:space="preserve">Como a timosina alfa 1 é estudada em humanos há décadas, os estudos em animais têm um papel menor na avaliação. Foram importantes para a ideia do câncer: em modelos de camundongos para câncer de pulmão, leucemia e melanoma, bem como em um modelo de ratos para metástases hepáticas, a combinação de timosina alfa 1 com interferon ou interleucina-2 e quimioterapia funcionou melhor do que os tratamentos isolados</w:t>
      </w:r>
      <w:r>
        <w:rPr>
          <w:rStyle w:val="FootnoteReference"/>
        </w:rPr>
        <w:footnoteReference w:id="1040"/>
      </w:r>
      <w:r>
        <w:t xml:space="preserve">. Esses achados não puderam, até agora, ser repetidos de forma convincente em humanos.</w:t>
      </w:r>
    </w:p>
    <w:bookmarkEnd w:id="1041"/>
    <w:bookmarkStart w:id="1050" w:name="riscos-e-efeitos-colaterais-17"/>
    <w:p>
      <w:pPr>
        <w:pStyle w:val="Heading3"/>
      </w:pPr>
      <w:r>
        <w:t xml:space="preserve">Riscos e efeitos colaterais</w:t>
      </w:r>
    </w:p>
    <w:bookmarkStart w:id="1045" w:name="comprovados-1"/>
    <w:p>
      <w:pPr>
        <w:pStyle w:val="Heading4"/>
      </w:pPr>
      <w:r>
        <w:t xml:space="preserve">Comprovados</w:t>
      </w:r>
    </w:p>
    <w:p>
      <w:pPr>
        <w:pStyle w:val="FirstParagraph"/>
      </w:pPr>
      <w:r>
        <w:t xml:space="preserve">A timosina alfa 1 é considerada bem tolerada nos estudos. Nos estudos mais antigos, observou-se em geral apenas uma irritação local no ponto de injeção</w:t>
      </w:r>
      <w:r>
        <w:rPr>
          <w:rStyle w:val="FootnoteReference"/>
        </w:rPr>
        <w:footnoteReference w:id="1042"/>
      </w:r>
      <w:r>
        <w:t xml:space="preserve">. No grande estudo de sepse TESTS, os desfechos de segurança não diferiram do placebo</w:t>
      </w:r>
      <w:r>
        <w:rPr>
          <w:rStyle w:val="FootnoteReference"/>
        </w:rPr>
        <w:footnoteReference w:id="1043"/>
      </w:r>
      <w:r>
        <w:t xml:space="preserve">. Na hepatite B, houve em parte oscilações das enzimas hepáticas, interpretadas como expressão da reação imunológica</w:t>
      </w:r>
      <w:r>
        <w:rPr>
          <w:rStyle w:val="FootnoteReference"/>
        </w:rPr>
        <w:footnoteReference w:id="1044"/>
      </w:r>
      <w:r>
        <w:t xml:space="preserve">.</w:t>
      </w:r>
    </w:p>
    <w:bookmarkEnd w:id="1045"/>
    <w:bookmarkStart w:id="1049" w:name="a-considerar"/>
    <w:p>
      <w:pPr>
        <w:pStyle w:val="Heading4"/>
      </w:pPr>
      <w:r>
        <w:t xml:space="preserve">A considerar</w:t>
      </w:r>
    </w:p>
    <w:p>
      <w:pPr>
        <w:numPr>
          <w:ilvl w:val="0"/>
          <w:numId w:val="1124"/>
        </w:numPr>
        <w:pStyle w:val="Compact"/>
      </w:pPr>
      <w:r>
        <w:rPr>
          <w:bCs/>
          <w:b/>
        </w:rPr>
        <w:t xml:space="preserve">Subgrupos com possível dano:</w:t>
      </w:r>
      <w:r>
        <w:t xml:space="preserve"> </w:t>
      </w:r>
      <w:r>
        <w:t xml:space="preserve">no TESTS, a mortalidade em pessoas com menos de 60 anos foi maior com timosina alfa 1 do que com placebo (hazard ratio 1,67)</w:t>
      </w:r>
      <w:r>
        <w:rPr>
          <w:rStyle w:val="FootnoteReference"/>
        </w:rPr>
        <w:footnoteReference w:id="1046"/>
      </w:r>
      <w:r>
        <w:t xml:space="preserve">; na COVID-19, o tratamento esteve associado a uma evolução pior em um grande estudo observacional</w:t>
      </w:r>
      <w:r>
        <w:rPr>
          <w:rStyle w:val="FootnoteReference"/>
        </w:rPr>
        <w:footnoteReference w:id="1047"/>
      </w:r>
      <w:r>
        <w:t xml:space="preserve">. Ambos podem ser acaso ou viés, mas mostram que</w:t>
      </w:r>
      <w:r>
        <w:t xml:space="preserve"> </w:t>
      </w:r>
      <w:r>
        <w:t xml:space="preserve">“</w:t>
      </w:r>
      <w:r>
        <w:t xml:space="preserve">estimulante imunológico inofensivo</w:t>
      </w:r>
      <w:r>
        <w:t xml:space="preserve">”</w:t>
      </w:r>
      <w:r>
        <w:t xml:space="preserve"> </w:t>
      </w:r>
      <w:r>
        <w:t xml:space="preserve">não é uma descrição comprovada.</w:t>
      </w:r>
    </w:p>
    <w:p>
      <w:pPr>
        <w:numPr>
          <w:ilvl w:val="0"/>
          <w:numId w:val="1124"/>
        </w:numPr>
        <w:pStyle w:val="Compact"/>
      </w:pPr>
      <w:r>
        <w:rPr>
          <w:bCs/>
          <w:b/>
        </w:rPr>
        <w:t xml:space="preserve">Doenças autoimunes e transplante:</w:t>
      </w:r>
      <w:r>
        <w:t xml:space="preserve"> </w:t>
      </w:r>
      <w:r>
        <w:t xml:space="preserve">uma substância que deveria estimular o sistema imunológico poderia, teoricamente, agravar doenças autoimunes ou favorecer a rejeição de órgãos transplantados. Faltam dados sistemáticos sobre isso.</w:t>
      </w:r>
    </w:p>
    <w:p>
      <w:pPr>
        <w:numPr>
          <w:ilvl w:val="0"/>
          <w:numId w:val="1124"/>
        </w:numPr>
        <w:pStyle w:val="Compact"/>
      </w:pPr>
      <w:r>
        <w:rPr>
          <w:bCs/>
          <w:b/>
        </w:rPr>
        <w:t xml:space="preserve">Combinação com imunoterapia:</w:t>
      </w:r>
      <w:r>
        <w:t xml:space="preserve"> </w:t>
      </w:r>
      <w:r>
        <w:t xml:space="preserve">um artigo de revisão menciona um relato de caso no qual, sob um tratamento combinado, ocorreu uma reação imunológica grave em vários órgãos, sem que a timosina alfa 1 tenha sido estabelecida com segurança como causa</w:t>
      </w:r>
      <w:r>
        <w:rPr>
          <w:rStyle w:val="FootnoteReference"/>
        </w:rPr>
        <w:footnoteReference w:id="1048"/>
      </w:r>
      <w:r>
        <w:t xml:space="preserve">.</w:t>
      </w:r>
    </w:p>
    <w:p>
      <w:pPr>
        <w:numPr>
          <w:ilvl w:val="0"/>
          <w:numId w:val="1124"/>
        </w:numPr>
        <w:pStyle w:val="Compact"/>
      </w:pPr>
      <w:r>
        <w:rPr>
          <w:bCs/>
          <w:b/>
        </w:rPr>
        <w:t xml:space="preserve">Mercado cinza:</w:t>
      </w:r>
      <w:r>
        <w:t xml:space="preserve"> </w:t>
      </w:r>
      <w:r>
        <w:t xml:space="preserve">fora dos países com aprovação, a timosina alfa 1 é vendida como</w:t>
      </w:r>
      <w:r>
        <w:t xml:space="preserve"> </w:t>
      </w:r>
      <w:r>
        <w:t xml:space="preserve">“</w:t>
      </w:r>
      <w:r>
        <w:t xml:space="preserve">peptídeo de pesquisa</w:t>
      </w:r>
      <w:r>
        <w:t xml:space="preserve">”</w:t>
      </w:r>
      <w:r>
        <w:t xml:space="preserve">. Para esses produtos, os estudos sobre o Zadaxin não valem – pureza, teor e esterilidade são desconhecidos.</w:t>
      </w:r>
    </w:p>
    <w:bookmarkEnd w:id="1049"/>
    <w:bookmarkEnd w:id="1050"/>
    <w:bookmarkStart w:id="1053" w:name="situação-legal-17"/>
    <w:p>
      <w:pPr>
        <w:pStyle w:val="Heading3"/>
      </w:pPr>
      <w:r>
        <w:t xml:space="preserve">Situação legal</w:t>
      </w:r>
    </w:p>
    <w:p>
      <w:pPr>
        <w:pStyle w:val="FirstParagraph"/>
      </w:pPr>
      <w:r>
        <w:rPr>
          <w:iCs/>
          <w:i/>
        </w:rPr>
        <w:t xml:space="preserve">Situação em 2026, verificar atualização.</w:t>
      </w:r>
    </w:p>
    <w:p>
      <w:pPr>
        <w:numPr>
          <w:ilvl w:val="0"/>
          <w:numId w:val="1125"/>
        </w:numPr>
        <w:pStyle w:val="Compact"/>
      </w:pPr>
      <w:r>
        <w:rPr>
          <w:bCs/>
          <w:b/>
        </w:rPr>
        <w:t xml:space="preserve">UE, Alemanha, Áustria:</w:t>
      </w:r>
      <w:r>
        <w:t xml:space="preserve"> </w:t>
      </w:r>
      <w:r>
        <w:t xml:space="preserve">sem aprovação como medicamento. Uma prescrição em caso individual, por importação individual de um país com aprovação, pode ser possível segundo o direito nacional, sob condições estritas; a venda como</w:t>
      </w:r>
      <w:r>
        <w:t xml:space="preserve"> </w:t>
      </w:r>
      <w:r>
        <w:t xml:space="preserve">“</w:t>
      </w:r>
      <w:r>
        <w:t xml:space="preserve">research peptide</w:t>
      </w:r>
      <w:r>
        <w:t xml:space="preserve">”</w:t>
      </w:r>
      <w:r>
        <w:t xml:space="preserve"> </w:t>
      </w:r>
      <w:r>
        <w:t xml:space="preserve">para uso em humanos não é permitida.</w:t>
      </w:r>
    </w:p>
    <w:p>
      <w:pPr>
        <w:numPr>
          <w:ilvl w:val="0"/>
          <w:numId w:val="1125"/>
        </w:numPr>
        <w:pStyle w:val="Compact"/>
      </w:pPr>
      <w:r>
        <w:rPr>
          <w:bCs/>
          <w:b/>
        </w:rPr>
        <w:t xml:space="preserve">EUA:</w:t>
      </w:r>
      <w:r>
        <w:t xml:space="preserve"> </w:t>
      </w:r>
      <w:r>
        <w:t xml:space="preserve">sem aprovação da FDA. Em 2023, a FDA incluiu a timosina alfa 1, junto com outros peptídeos, na lista de substâncias com preocupações de segurança para a manipulação magistral; defensores criticam isso</w:t>
      </w:r>
      <w:r>
        <w:rPr>
          <w:rStyle w:val="FootnoteReference"/>
        </w:rPr>
        <w:footnoteReference w:id="1051"/>
      </w:r>
      <w:r>
        <w:t xml:space="preserve">. A classificação de peptídeos continua sendo discutida no comitê consultivo da FDA</w:t>
      </w:r>
      <w:r>
        <w:rPr>
          <w:rStyle w:val="FootnoteReference"/>
        </w:rPr>
        <w:footnoteReference w:id="1052"/>
      </w:r>
      <w:r>
        <w:t xml:space="preserve">.</w:t>
      </w:r>
    </w:p>
    <w:p>
      <w:pPr>
        <w:numPr>
          <w:ilvl w:val="0"/>
          <w:numId w:val="1125"/>
        </w:numPr>
        <w:pStyle w:val="Compact"/>
      </w:pPr>
      <w:r>
        <w:rPr>
          <w:bCs/>
          <w:b/>
        </w:rPr>
        <w:t xml:space="preserve">China e outros países:</w:t>
      </w:r>
      <w:r>
        <w:t xml:space="preserve"> </w:t>
      </w:r>
      <w:r>
        <w:t xml:space="preserve">aprovada como Zadaxin ou timalfasina; na China há também uma série de preparações similares.</w:t>
      </w:r>
    </w:p>
    <w:p>
      <w:pPr>
        <w:numPr>
          <w:ilvl w:val="0"/>
          <w:numId w:val="1125"/>
        </w:numPr>
        <w:pStyle w:val="Compact"/>
      </w:pPr>
      <w:r>
        <w:rPr>
          <w:bCs/>
          <w:b/>
        </w:rPr>
        <w:t xml:space="preserve">WADA:</w:t>
      </w:r>
      <w:r>
        <w:t xml:space="preserve"> </w:t>
      </w:r>
      <w:r>
        <w:t xml:space="preserve">não consta expressamente da lista de proibições. Atletas devem, ainda assim, consultar sua agência nacional antidoping antes de um uso.</w:t>
      </w:r>
    </w:p>
    <w:bookmarkEnd w:id="1053"/>
    <w:bookmarkStart w:id="1058" w:name="estudos-em-andamento-e-perspectivas-17"/>
    <w:p>
      <w:pPr>
        <w:pStyle w:val="Heading3"/>
      </w:pPr>
      <w:r>
        <w:t xml:space="preserve">Estudos em andamento e perspectivas</w:t>
      </w:r>
    </w:p>
    <w:p>
      <w:pPr>
        <w:pStyle w:val="FirstParagraph"/>
      </w:pPr>
      <w:r>
        <w:rPr>
          <w:bCs/>
          <w:b/>
        </w:rPr>
        <w:t xml:space="preserve">Confirmado (segundo o registro):</w:t>
      </w:r>
    </w:p>
    <w:p>
      <w:pPr>
        <w:numPr>
          <w:ilvl w:val="0"/>
          <w:numId w:val="1126"/>
        </w:numPr>
        <w:pStyle w:val="Compact"/>
      </w:pPr>
      <w:r>
        <w:rPr>
          <w:bCs/>
          <w:b/>
        </w:rPr>
        <w:t xml:space="preserve">Câncer colorretal após cirurgia</w:t>
      </w:r>
      <w:r>
        <w:rPr>
          <w:rStyle w:val="FootnoteReference"/>
        </w:rPr>
        <w:footnoteReference w:id="1054"/>
      </w:r>
      <w:r>
        <w:rPr>
          <w:bCs/>
          <w:b/>
        </w:rPr>
        <w:t xml:space="preserve">:</w:t>
      </w:r>
      <w:r>
        <w:t xml:space="preserve"> </w:t>
      </w:r>
      <w:r>
        <w:t xml:space="preserve">estudo de fase 3 da Universidade Fudan, em Xangai, 2.500 pessoas previstas com câncer colorretal em estágio II ou III, desfecho primário sobrevida livre de doença após três anos; término estimado em março de 2027. O estudo tem apenas cegamento simples.</w:t>
      </w:r>
    </w:p>
    <w:p>
      <w:pPr>
        <w:numPr>
          <w:ilvl w:val="0"/>
          <w:numId w:val="1126"/>
        </w:numPr>
        <w:pStyle w:val="Compact"/>
      </w:pPr>
      <w:r>
        <w:rPr>
          <w:bCs/>
          <w:b/>
        </w:rPr>
        <w:t xml:space="preserve">Câncer e imunoterapia:</w:t>
      </w:r>
      <w:r>
        <w:t xml:space="preserve"> </w:t>
      </w:r>
      <w:r>
        <w:t xml:space="preserve">numerosos estudos chineses de fase 2 menores que combinam timosina alfa 1 com inibidores de checkpoint imunológico e quimioterapia ou radioterapia, por exemplo no câncer de mama triplo-negativo, com 572 pessoas previstas</w:t>
      </w:r>
      <w:r>
        <w:rPr>
          <w:rStyle w:val="FootnoteReference"/>
        </w:rPr>
        <w:footnoteReference w:id="1055"/>
      </w:r>
      <w:r>
        <w:t xml:space="preserve">.</w:t>
      </w:r>
    </w:p>
    <w:p>
      <w:pPr>
        <w:numPr>
          <w:ilvl w:val="0"/>
          <w:numId w:val="1126"/>
        </w:numPr>
        <w:pStyle w:val="Compact"/>
      </w:pPr>
      <w:r>
        <w:rPr>
          <w:bCs/>
          <w:b/>
        </w:rPr>
        <w:t xml:space="preserve">Sepse:</w:t>
      </w:r>
      <w:r>
        <w:t xml:space="preserve"> </w:t>
      </w:r>
      <w:r>
        <w:t xml:space="preserve">um estudo menor sobre a recuperação da função imunológica em 60 pessoas</w:t>
      </w:r>
      <w:r>
        <w:rPr>
          <w:rStyle w:val="FootnoteReference"/>
        </w:rPr>
        <w:footnoteReference w:id="1056"/>
      </w:r>
      <w:r>
        <w:t xml:space="preserve">.</w:t>
      </w:r>
    </w:p>
    <w:p>
      <w:pPr>
        <w:numPr>
          <w:ilvl w:val="0"/>
          <w:numId w:val="1126"/>
        </w:numPr>
        <w:pStyle w:val="Compact"/>
      </w:pPr>
      <w:r>
        <w:rPr>
          <w:bCs/>
          <w:b/>
        </w:rPr>
        <w:t xml:space="preserve">Resposta vacinal em idosos</w:t>
      </w:r>
      <w:r>
        <w:rPr>
          <w:rStyle w:val="FootnoteReference"/>
        </w:rPr>
        <w:footnoteReference w:id="1057"/>
      </w:r>
      <w:r>
        <w:rPr>
          <w:bCs/>
          <w:b/>
        </w:rPr>
        <w:t xml:space="preserve">:</w:t>
      </w:r>
      <w:r>
        <w:t xml:space="preserve"> </w:t>
      </w:r>
      <w:r>
        <w:t xml:space="preserve">fase 1, 75 pessoas previstas.</w:t>
      </w:r>
    </w:p>
    <w:p>
      <w:pPr>
        <w:pStyle w:val="FirstParagraph"/>
      </w:pPr>
      <w:r>
        <w:rPr>
          <w:bCs/>
          <w:b/>
        </w:rPr>
        <w:t xml:space="preserve">Avaliação do autor:</w:t>
      </w:r>
      <w:r>
        <w:t xml:space="preserve"> </w:t>
      </w:r>
      <w:r>
        <w:t xml:space="preserve">o grande estudo de câncer colorretal é a questão em aberto mais importante. Se for positivo, seria a primeira grande prova de um benefício em uma doença oncológica – mas, pela falta de duplo-cegamento, com ressalvas. Na sepse, o TESTS provavelmente respondeu à questão do uso amplo por ora; estudos futuros se concentrarão em subgrupos com imunodeficiência comprovada. Uma aprovação na UE ou nos EUA não é esperada nos próximos anos.</w:t>
      </w:r>
    </w:p>
    <w:bookmarkEnd w:id="1058"/>
    <w:bookmarkStart w:id="1062" w:name="conclusão-17"/>
    <w:p>
      <w:pPr>
        <w:pStyle w:val="Heading3"/>
      </w:pPr>
      <w:r>
        <w:t xml:space="preserve">Conclusão</w:t>
      </w:r>
    </w:p>
    <w:p>
      <w:pPr>
        <w:pStyle w:val="FirstParagraph"/>
      </w:pPr>
      <w:r>
        <w:t xml:space="preserve">A timosina alfa 1 é o peptídeo mais bem estudado deste grupo e, em alguns países, um medicamento aprovado. Os estudos iniciais, pequenos, pareciam promissores, mas os grandes estudos, cuidadosamente cegos, não mostraram vantagem em seus desfechos primários na sepse</w:t>
      </w:r>
      <w:r>
        <w:rPr>
          <w:rStyle w:val="FootnoteReference"/>
        </w:rPr>
        <w:footnoteReference w:id="1059"/>
      </w:r>
      <w:r>
        <w:t xml:space="preserve">, na pancreatite grave</w:t>
      </w:r>
      <w:r>
        <w:rPr>
          <w:rStyle w:val="FootnoteReference"/>
        </w:rPr>
        <w:footnoteReference w:id="1060"/>
      </w:r>
      <w:r>
        <w:t xml:space="preserve"> </w:t>
      </w:r>
      <w:r>
        <w:t xml:space="preserve">e na cirrose por hepatite B</w:t>
      </w:r>
      <w:r>
        <w:rPr>
          <w:rStyle w:val="FootnoteReference"/>
        </w:rPr>
        <w:footnoteReference w:id="1061"/>
      </w:r>
      <w:r>
        <w:t xml:space="preserve">. Na COVID-19 e no câncer, as afirmações positivas se baseiam predominantemente em estudos observacionais e estudos de baixa qualidade. O peptídeo é bem tolerado nos estudos – mas não existe um benefício comprovado como</w:t>
      </w:r>
      <w:r>
        <w:t xml:space="preserve"> </w:t>
      </w:r>
      <w:r>
        <w:t xml:space="preserve">“</w:t>
      </w:r>
      <w:r>
        <w:t xml:space="preserve">estimulante imunológico</w:t>
      </w:r>
      <w:r>
        <w:t xml:space="preserve">”</w:t>
      </w:r>
      <w:r>
        <w:t xml:space="preserve"> </w:t>
      </w:r>
      <w:r>
        <w:t xml:space="preserve">geral para pessoas saudáveis.</w:t>
      </w:r>
    </w:p>
    <w:bookmarkEnd w:id="1062"/>
    <w:bookmarkEnd w:id="1063"/>
    <w:bookmarkStart w:id="1086" w:name="kpv"/>
    <w:p>
      <w:pPr>
        <w:pStyle w:val="Heading2"/>
      </w:pPr>
      <w:r>
        <w:t xml:space="preserve">KPV</w:t>
      </w:r>
    </w:p>
    <w:p>
      <w:pPr>
        <w:pStyle w:val="FirstParagraph"/>
      </w:pPr>
      <w:r>
        <w:t xml:space="preserve">O KPV é o menor peptídeo deste livro: tem apenas três aminoácidos. Na internet, é oferecido como agente anti-inflamatório para intestino e pele, muitas vezes em cápsula ou creme, às vezes para injeção. A base científica para isso são experimentos com células e modelos com camundongos – estudos em humanos não existem.</w:t>
      </w:r>
    </w:p>
    <w:bookmarkStart w:id="1065" w:name="ficha-técnica-18"/>
    <w:p>
      <w:pPr>
        <w:pStyle w:val="Heading3"/>
      </w:pPr>
      <w:r>
        <w:t xml:space="preserve">Ficha técnica</w:t>
      </w:r>
    </w:p>
    <w:p>
      <w:pPr>
        <w:numPr>
          <w:ilvl w:val="0"/>
          <w:numId w:val="1127"/>
        </w:numPr>
        <w:pStyle w:val="Compact"/>
      </w:pPr>
      <w:r>
        <w:rPr>
          <w:bCs/>
          <w:b/>
        </w:rPr>
        <w:t xml:space="preserve">Tipo e estrutura:</w:t>
      </w:r>
      <w:r>
        <w:t xml:space="preserve"> </w:t>
      </w:r>
      <w:r>
        <w:t xml:space="preserve">tripeptídeo formado pelos aminoácidos lisina, prolina e valina (Lys-Pro-Val, daí KPV).</w:t>
      </w:r>
    </w:p>
    <w:p>
      <w:pPr>
        <w:numPr>
          <w:ilvl w:val="0"/>
          <w:numId w:val="1127"/>
        </w:numPr>
        <w:pStyle w:val="Compact"/>
      </w:pPr>
      <w:r>
        <w:rPr>
          <w:bCs/>
          <w:b/>
        </w:rPr>
        <w:t xml:space="preserve">Origem:</w:t>
      </w:r>
      <w:r>
        <w:t xml:space="preserve"> </w:t>
      </w:r>
      <w:r>
        <w:t xml:space="preserve">corresponde aos três últimos aminoácidos (posições 11 a 13) do hormônio endógeno alfa-MSH (hormônio estimulante dos melanócitos alfa), que participa, entre outras coisas, do bronzeamento da pele e do controle da inflamação</w:t>
      </w:r>
      <w:r>
        <w:rPr>
          <w:rStyle w:val="FootnoteReference"/>
        </w:rPr>
        <w:footnoteReference w:id="1064"/>
      </w:r>
      <w:r>
        <w:t xml:space="preserve">.</w:t>
      </w:r>
    </w:p>
    <w:p>
      <w:pPr>
        <w:numPr>
          <w:ilvl w:val="0"/>
          <w:numId w:val="1127"/>
        </w:numPr>
        <w:pStyle w:val="Compact"/>
      </w:pPr>
      <w:r>
        <w:rPr>
          <w:bCs/>
          <w:b/>
        </w:rPr>
        <w:t xml:space="preserve">Princípio de ação (suposto, a partir de estudos de laboratório e em animais):</w:t>
      </w:r>
      <w:r>
        <w:t xml:space="preserve"> </w:t>
      </w:r>
      <w:r>
        <w:t xml:space="preserve">inibição de vias de sinalização pró-inflamatórias em células intestinais e imunológicas após absorção pelo transportador de peptídeos PepT1.</w:t>
      </w:r>
    </w:p>
    <w:p>
      <w:pPr>
        <w:numPr>
          <w:ilvl w:val="0"/>
          <w:numId w:val="1127"/>
        </w:numPr>
        <w:pStyle w:val="Compact"/>
      </w:pPr>
      <w:r>
        <w:rPr>
          <w:bCs/>
          <w:b/>
        </w:rPr>
        <w:t xml:space="preserve">Aprovação UE/EUA:</w:t>
      </w:r>
      <w:r>
        <w:t xml:space="preserve"> </w:t>
      </w:r>
      <w:r>
        <w:t xml:space="preserve">não.</w:t>
      </w:r>
    </w:p>
    <w:p>
      <w:pPr>
        <w:numPr>
          <w:ilvl w:val="0"/>
          <w:numId w:val="1127"/>
        </w:numPr>
        <w:pStyle w:val="Compact"/>
      </w:pPr>
      <w:r>
        <w:rPr>
          <w:bCs/>
          <w:b/>
        </w:rPr>
        <w:t xml:space="preserve">WADA:</w:t>
      </w:r>
      <w:r>
        <w:t xml:space="preserve"> </w:t>
      </w:r>
      <w:r>
        <w:t xml:space="preserve">não listado expressamente; por ser uma substância não aprovada, enquadra-se, na opinião do autor, no grupo S0.</w:t>
      </w:r>
    </w:p>
    <w:p>
      <w:pPr>
        <w:numPr>
          <w:ilvl w:val="0"/>
          <w:numId w:val="1127"/>
        </w:numPr>
        <w:pStyle w:val="Compact"/>
      </w:pPr>
      <w:r>
        <w:rPr>
          <w:bCs/>
          <w:b/>
        </w:rPr>
        <w:t xml:space="preserve">Nível de evidência: D</w:t>
      </w:r>
      <w:r>
        <w:t xml:space="preserve"> </w:t>
      </w:r>
      <w:r>
        <w:t xml:space="preserve">– nenhum estudo publicado em humanos.</w:t>
      </w:r>
    </w:p>
    <w:bookmarkEnd w:id="1065"/>
    <w:bookmarkStart w:id="1070" w:name="como-deveria-agir-18"/>
    <w:p>
      <w:pPr>
        <w:pStyle w:val="Heading3"/>
      </w:pPr>
      <w:r>
        <w:t xml:space="preserve">Como deveria agir</w:t>
      </w:r>
    </w:p>
    <w:p>
      <w:pPr>
        <w:pStyle w:val="FirstParagraph"/>
      </w:pPr>
      <w:r>
        <w:t xml:space="preserve">O alfa-MSH é conhecido sobretudo como hormônio do bronzeamento, mas também tem ação anti-inflamatória. Já nos anos 1990, pesquisadores notaram que parte desse efeito depende dos três últimos aminoácidos. Em sangue humano de pessoas infectadas pelo HIV, o alfa-MSH e seu fragmento final KPV reduziram, em tubo de ensaio, a produção dos mensageiros inflamatórios interleucina-1 e TNF-alfa</w:t>
      </w:r>
      <w:r>
        <w:rPr>
          <w:rStyle w:val="FootnoteReference"/>
        </w:rPr>
        <w:footnoteReference w:id="1066"/>
      </w:r>
      <w:r>
        <w:t xml:space="preserve">.</w:t>
      </w:r>
    </w:p>
    <w:p>
      <w:pPr>
        <w:pStyle w:val="BodyText"/>
      </w:pPr>
      <w:r>
        <w:t xml:space="preserve">Diferentemente do hormônio completo, o KPV aparentemente não age pelos receptores de melanocortina clássicos. Em camundongos com peritonite, o KPV inibiu a migração de células inflamatórias sem aumentar o mensageiro típico cAMP; os autores supõem uma inibição do efeito da interleucina-1</w:t>
      </w:r>
      <w:r>
        <w:rPr>
          <w:rStyle w:val="FootnoteReference"/>
        </w:rPr>
        <w:footnoteReference w:id="1067"/>
      </w:r>
      <w:r>
        <w:t xml:space="preserve">. Isso tem uma vantagem prática: o KPV, diferentemente do melanotan ou de derivados do alfa-MSH, não deveria bronzear a pele.</w:t>
      </w:r>
    </w:p>
    <w:p>
      <w:pPr>
        <w:pStyle w:val="BodyText"/>
      </w:pPr>
      <w:r>
        <w:t xml:space="preserve">Um segundo mecanismo diz respeito ao intestino. Lá se encontra o transportador PepT1, que normalmente absorve pequenos fragmentos de proteínas da alimentação. Nas doenças inflamatórias intestinais crônicas, o PepT1 também é produzido em maior quantidade no intestino grosso. Em culturas de células intestinais e imunológicas humanas, o KPV foi absorvido pelo PepT1 e inibiu, em concentrações muito baixas, os interruptores inflamatórios NF-kappaB e MAP-quinases</w:t>
      </w:r>
      <w:r>
        <w:rPr>
          <w:rStyle w:val="FootnoteReference"/>
        </w:rPr>
        <w:footnoteReference w:id="1068"/>
      </w:r>
      <w:r>
        <w:t xml:space="preserve">. Daí surgiu a ideia de usar o KPV como comprimido contra inflamações intestinais.</w:t>
      </w:r>
    </w:p>
    <w:p>
      <w:pPr>
        <w:pStyle w:val="BodyText"/>
      </w:pPr>
      <w:r>
        <w:t xml:space="preserve">Além disso, alfa-MSH e KPV inibiram em laboratório o crescimento da bactéria Staphylococcus aureus e do fungo Candida albicans</w:t>
      </w:r>
      <w:r>
        <w:rPr>
          <w:rStyle w:val="FootnoteReference"/>
        </w:rPr>
        <w:footnoteReference w:id="1069"/>
      </w:r>
      <w:r>
        <w:t xml:space="preserve">.</w:t>
      </w:r>
    </w:p>
    <w:bookmarkEnd w:id="1070"/>
    <w:bookmarkStart w:id="1075" w:name="estudos-em-humanos-18"/>
    <w:p>
      <w:pPr>
        <w:pStyle w:val="Heading3"/>
      </w:pPr>
      <w:r>
        <w:t xml:space="preserve">Estudos em humanos</w:t>
      </w:r>
    </w:p>
    <w:p>
      <w:pPr>
        <w:pStyle w:val="FirstParagraph"/>
      </w:pPr>
      <w:r>
        <w:rPr>
          <w:bCs/>
          <w:b/>
        </w:rPr>
        <w:t xml:space="preserve">Dimensão da base de estudos (consulta de outubro de 2026):</w:t>
      </w:r>
      <w:r>
        <w:t xml:space="preserve"> </w:t>
      </w:r>
      <w:r>
        <w:t xml:space="preserve">a busca automatizada encontrou</w:t>
      </w:r>
      <w:r>
        <w:t xml:space="preserve"> </w:t>
      </w:r>
      <w:r>
        <w:rPr>
          <w:bCs/>
          <w:b/>
        </w:rPr>
        <w:t xml:space="preserve">0</w:t>
      </w:r>
      <w:r>
        <w:t xml:space="preserve"> </w:t>
      </w:r>
      <w:r>
        <w:t xml:space="preserve">estudos em humanos no PubMed e</w:t>
      </w:r>
      <w:r>
        <w:t xml:space="preserve"> </w:t>
      </w:r>
      <w:r>
        <w:rPr>
          <w:bCs/>
          <w:b/>
        </w:rPr>
        <w:t xml:space="preserve">0</w:t>
      </w:r>
      <w:r>
        <w:t xml:space="preserve"> </w:t>
      </w:r>
      <w:r>
        <w:t xml:space="preserve">registros no ClinicalTrials.gov. Também uma busca direcionada adicional por estudos-piloto, relatos de caso ou notificações de efeitos colaterais não encontrou nenhuma publicação na qual pessoas tenham recebido KPV.</w:t>
      </w:r>
    </w:p>
    <w:p>
      <w:pPr>
        <w:pStyle w:val="BodyText"/>
      </w:pPr>
      <w:r>
        <w:t xml:space="preserve">O que existe são experimentos de laboratório com células ou tecidos humanos, por exemplo:</w:t>
      </w:r>
    </w:p>
    <w:p>
      <w:pPr>
        <w:numPr>
          <w:ilvl w:val="0"/>
          <w:numId w:val="1128"/>
        </w:numPr>
        <w:pStyle w:val="Compact"/>
      </w:pPr>
      <w:r>
        <w:t xml:space="preserve">amostras de sangue de pessoas infectadas pelo HIV, nas quais o KPV reduziu a produção de mensageiros inflamatórios</w:t>
      </w:r>
      <w:r>
        <w:rPr>
          <w:rStyle w:val="FootnoteReference"/>
        </w:rPr>
        <w:footnoteReference w:id="1071"/>
      </w:r>
      <w:r>
        <w:t xml:space="preserve">,</w:t>
      </w:r>
    </w:p>
    <w:p>
      <w:pPr>
        <w:numPr>
          <w:ilvl w:val="0"/>
          <w:numId w:val="1128"/>
        </w:numPr>
        <w:pStyle w:val="Compact"/>
      </w:pPr>
      <w:r>
        <w:t xml:space="preserve">linhagens de células de pele humana</w:t>
      </w:r>
      <w:r>
        <w:rPr>
          <w:rStyle w:val="FootnoteReference"/>
        </w:rPr>
        <w:footnoteReference w:id="1072"/>
      </w:r>
      <w:r>
        <w:t xml:space="preserve">,</w:t>
      </w:r>
    </w:p>
    <w:p>
      <w:pPr>
        <w:numPr>
          <w:ilvl w:val="0"/>
          <w:numId w:val="1128"/>
        </w:numPr>
        <w:pStyle w:val="Compact"/>
      </w:pPr>
      <w:r>
        <w:t xml:space="preserve">pele humana doada, na qual se testou se o KPV atravessa a pele com microagulhas e corrente elétrica fraca – sem auxílio, não penetrou de forma mensurável</w:t>
      </w:r>
      <w:r>
        <w:rPr>
          <w:rStyle w:val="FootnoteReference"/>
        </w:rPr>
        <w:footnoteReference w:id="1073"/>
      </w:r>
      <w:r>
        <w:t xml:space="preserve">.</w:t>
      </w:r>
    </w:p>
    <w:p>
      <w:pPr>
        <w:pStyle w:val="FirstParagraph"/>
      </w:pPr>
      <w:r>
        <w:t xml:space="preserve">Esses trabalhos dizem algo sobre mecanismos e formas farmacêuticas, mas nada sobre eficácia ou segurança em humanos.</w:t>
      </w:r>
    </w:p>
    <w:p>
      <w:pPr>
        <w:pStyle w:val="BodyText"/>
      </w:pPr>
      <w:r>
        <w:t xml:space="preserve">Um parente próximo, a molécula dupla artificial (CKPV)2, foi estudada clinicamente em meados dos anos 2000 como agente contra infecções fúngicas; um trabalho de 2006 menciona que ela estaria</w:t>
      </w:r>
      <w:r>
        <w:t xml:space="preserve"> </w:t>
      </w:r>
      <w:r>
        <w:t xml:space="preserve">“</w:t>
      </w:r>
      <w:r>
        <w:t xml:space="preserve">atualmente em teste clínico</w:t>
      </w:r>
      <w:r>
        <w:t xml:space="preserve">”</w:t>
      </w:r>
      <w:r>
        <w:rPr>
          <w:rStyle w:val="FootnoteReference"/>
        </w:rPr>
        <w:footnoteReference w:id="1074"/>
      </w:r>
      <w:r>
        <w:t xml:space="preserve">. Os resultados desses estudos não foram publicados no PubMed. Além disso, o (CKPV)2 é uma substância diferente do KPV vendido na internet.</w:t>
      </w:r>
    </w:p>
    <w:bookmarkEnd w:id="1075"/>
    <w:bookmarkStart w:id="1076" w:name="estudos-em-animais-e-em-laboratório-18"/>
    <w:p>
      <w:pPr>
        <w:pStyle w:val="Heading3"/>
      </w:pPr>
      <w:r>
        <w:t xml:space="preserve">Estudos em animais e em laboratório</w:t>
      </w:r>
    </w:p>
    <w:p>
      <w:pPr>
        <w:pStyle w:val="FirstParagraph"/>
      </w:pPr>
      <w:r>
        <w:t xml:space="preserve">O foco da pesquisa está nas doenças inflamatórias intestinais crônicas. Todos os resultados a seguir vêm de experimentos com camundongos: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Estudo</w:t>
            </w:r>
          </w:p>
        </w:tc>
        <w:tc>
          <w:tcPr/>
          <w:p>
            <w:pPr>
              <w:pStyle w:val="Compact"/>
              <w:jc w:val="left"/>
            </w:pPr>
            <w:r>
              <w:t xml:space="preserve">Modelo</w:t>
            </w:r>
          </w:p>
        </w:tc>
        <w:tc>
          <w:tcPr/>
          <w:p>
            <w:pPr>
              <w:pStyle w:val="Compact"/>
              <w:jc w:val="left"/>
            </w:pPr>
            <w:r>
              <w:t xml:space="preserve">Resultado</w:t>
            </w:r>
          </w:p>
        </w:tc>
      </w:tr>
      <w:tr>
        <w:tc>
          <w:tcPr/>
          <w:p>
            <w:pPr>
              <w:pStyle w:val="Compact"/>
              <w:jc w:val="left"/>
            </w:pPr>
            <w:r>
              <w:t xml:space="preserve">Dalmasso 2008, PMID 18061177</w:t>
            </w:r>
          </w:p>
        </w:tc>
        <w:tc>
          <w:tcPr/>
          <w:p>
            <w:pPr>
              <w:pStyle w:val="Compact"/>
              <w:jc w:val="left"/>
            </w:pPr>
            <w:r>
              <w:t xml:space="preserve">colite induzida quimicamente em camundongos, KPV na água de beber</w:t>
            </w:r>
          </w:p>
        </w:tc>
        <w:tc>
          <w:tcPr/>
          <w:p>
            <w:pPr>
              <w:pStyle w:val="Compact"/>
              <w:jc w:val="left"/>
            </w:pPr>
            <w:r>
              <w:t xml:space="preserve">menos inflamação, menos mensageiros inflamatórios</w:t>
            </w:r>
          </w:p>
        </w:tc>
      </w:tr>
      <w:tr>
        <w:tc>
          <w:tcPr/>
          <w:p>
            <w:pPr>
              <w:pStyle w:val="Compact"/>
              <w:jc w:val="left"/>
            </w:pPr>
            <w:r>
              <w:t xml:space="preserve">Kannengiesser 2008, PMID 18092346</w:t>
            </w:r>
          </w:p>
        </w:tc>
        <w:tc>
          <w:tcPr/>
          <w:p>
            <w:pPr>
              <w:pStyle w:val="Compact"/>
              <w:jc w:val="left"/>
            </w:pPr>
            <w:r>
              <w:t xml:space="preserve">dois modelos de colite em camundongos</w:t>
            </w:r>
          </w:p>
        </w:tc>
        <w:tc>
          <w:tcPr/>
          <w:p>
            <w:pPr>
              <w:pStyle w:val="Compact"/>
              <w:jc w:val="left"/>
            </w:pPr>
            <w:r>
              <w:t xml:space="preserve">recuperação mais rápida, menos células inflamatórias; em um modelo, todos os animais tratados sobreviveram</w:t>
            </w:r>
          </w:p>
        </w:tc>
      </w:tr>
      <w:tr>
        <w:tc>
          <w:tcPr/>
          <w:p>
            <w:pPr>
              <w:pStyle w:val="Compact"/>
              <w:jc w:val="left"/>
            </w:pPr>
            <w:r>
              <w:t xml:space="preserve">Viennois 2016, PMID 27458604</w:t>
            </w:r>
          </w:p>
        </w:tc>
        <w:tc>
          <w:tcPr/>
          <w:p>
            <w:pPr>
              <w:pStyle w:val="Compact"/>
              <w:jc w:val="left"/>
            </w:pPr>
            <w:r>
              <w:t xml:space="preserve">câncer intestinal associado à inflamação em camundongos</w:t>
            </w:r>
          </w:p>
        </w:tc>
        <w:tc>
          <w:tcPr/>
          <w:p>
            <w:pPr>
              <w:pStyle w:val="Compact"/>
              <w:jc w:val="left"/>
            </w:pPr>
            <w:r>
              <w:t xml:space="preserve">o KPV impediu o surgimento de tumores, mas apenas em camundongos com PepT1 funcional</w:t>
            </w:r>
          </w:p>
        </w:tc>
      </w:tr>
      <w:tr>
        <w:tc>
          <w:tcPr/>
          <w:p>
            <w:pPr>
              <w:pStyle w:val="Compact"/>
              <w:jc w:val="left"/>
            </w:pPr>
            <w:r>
              <w:t xml:space="preserve">Xiao 2017, PMID 28143741</w:t>
            </w:r>
          </w:p>
        </w:tc>
        <w:tc>
          <w:tcPr/>
          <w:p>
            <w:pPr>
              <w:pStyle w:val="Compact"/>
              <w:jc w:val="left"/>
            </w:pPr>
            <w:r>
              <w:t xml:space="preserve">colite em camundongos, KPV em nanopartículas</w:t>
            </w:r>
          </w:p>
        </w:tc>
        <w:tc>
          <w:tcPr/>
          <w:p>
            <w:pPr>
              <w:pStyle w:val="Compact"/>
              <w:jc w:val="left"/>
            </w:pPr>
            <w:r>
              <w:t xml:space="preserve">efeito mais forte do que o KPV livre</w:t>
            </w:r>
          </w:p>
        </w:tc>
      </w:tr>
    </w:tbl>
    <w:p>
      <w:pPr>
        <w:pStyle w:val="BodyText"/>
      </w:pPr>
      <w:r>
        <w:t xml:space="preserve">Outros trabalhos estudam o KPV em hidrogéis para feridas e mucosas, em nanopartículas contra calcificação vascular ou no metabolismo de células de gordura – quase exclusivamente em cultura de células ou em roedores. Chama atenção que grande parte da literatura mais recente desenvolve formas farmacêuticas (nanopartículas, géis, adesivos). Isso mostra que o KPV sozinho, como comprimido ou creme, aparentemente não chega bem o suficiente ao local de ação – um ponto relevante para os produtos vendidos livremente.</w:t>
      </w:r>
    </w:p>
    <w:bookmarkEnd w:id="1076"/>
    <w:bookmarkStart w:id="1081" w:name="riscos-e-efeitos-colaterais-18"/>
    <w:p>
      <w:pPr>
        <w:pStyle w:val="Heading3"/>
      </w:pPr>
      <w:r>
        <w:t xml:space="preserve">Riscos e efeitos colaterais</w:t>
      </w:r>
    </w:p>
    <w:bookmarkStart w:id="1077" w:name="comprovados-2"/>
    <w:p>
      <w:pPr>
        <w:pStyle w:val="Heading4"/>
      </w:pPr>
      <w:r>
        <w:t xml:space="preserve">Comprovados</w:t>
      </w:r>
    </w:p>
    <w:p>
      <w:pPr>
        <w:pStyle w:val="FirstParagraph"/>
      </w:pPr>
      <w:r>
        <w:t xml:space="preserve">Nenhum – porque não há estudos em humanos. A ausência de efeitos colaterais notificados não é, aqui, indício de segurança.</w:t>
      </w:r>
    </w:p>
    <w:bookmarkEnd w:id="1077"/>
    <w:bookmarkStart w:id="1080" w:name="teóricos"/>
    <w:p>
      <w:pPr>
        <w:pStyle w:val="Heading4"/>
      </w:pPr>
      <w:r>
        <w:t xml:space="preserve">Teóricos</w:t>
      </w:r>
    </w:p>
    <w:p>
      <w:pPr>
        <w:numPr>
          <w:ilvl w:val="0"/>
          <w:numId w:val="1129"/>
        </w:numPr>
        <w:pStyle w:val="Compact"/>
      </w:pPr>
      <w:r>
        <w:rPr>
          <w:bCs/>
          <w:b/>
        </w:rPr>
        <w:t xml:space="preserve">Atenuação da defesa:</w:t>
      </w:r>
      <w:r>
        <w:t xml:space="preserve"> </w:t>
      </w:r>
      <w:r>
        <w:t xml:space="preserve">uma substância que inibe sinais inflamatórios poderia, em princípio, também prejudicar a defesa contra infecções. Os achados de laboratório apontam antes para um efeito antimicrobiano próprio</w:t>
      </w:r>
      <w:r>
        <w:rPr>
          <w:rStyle w:val="FootnoteReference"/>
        </w:rPr>
        <w:footnoteReference w:id="1078"/>
      </w:r>
      <w:r>
        <w:t xml:space="preserve">, mas faltam dados em humanos.</w:t>
      </w:r>
    </w:p>
    <w:p>
      <w:pPr>
        <w:numPr>
          <w:ilvl w:val="0"/>
          <w:numId w:val="1129"/>
        </w:numPr>
        <w:pStyle w:val="Compact"/>
      </w:pPr>
      <w:r>
        <w:rPr>
          <w:bCs/>
          <w:b/>
        </w:rPr>
        <w:t xml:space="preserve">Absorção e dose incertas:</w:t>
      </w:r>
      <w:r>
        <w:t xml:space="preserve"> </w:t>
      </w:r>
      <w:r>
        <w:t xml:space="preserve">quanto KPV de uma cápsula ou creme se torna de fato eficaz não foi estudado em humanos.</w:t>
      </w:r>
    </w:p>
    <w:p>
      <w:pPr>
        <w:numPr>
          <w:ilvl w:val="0"/>
          <w:numId w:val="1129"/>
        </w:numPr>
        <w:pStyle w:val="Compact"/>
      </w:pPr>
      <w:r>
        <w:rPr>
          <w:bCs/>
          <w:b/>
        </w:rPr>
        <w:t xml:space="preserve">Qualidade do mercado cinza:</w:t>
      </w:r>
      <w:r>
        <w:t xml:space="preserve"> </w:t>
      </w:r>
      <w:r>
        <w:t xml:space="preserve">o KPV é vendido como</w:t>
      </w:r>
      <w:r>
        <w:t xml:space="preserve"> </w:t>
      </w:r>
      <w:r>
        <w:t xml:space="preserve">“</w:t>
      </w:r>
      <w:r>
        <w:t xml:space="preserve">peptídeo de pesquisa</w:t>
      </w:r>
      <w:r>
        <w:t xml:space="preserve">”</w:t>
      </w:r>
      <w:r>
        <w:t xml:space="preserve"> </w:t>
      </w:r>
      <w:r>
        <w:t xml:space="preserve">sem controle farmacêutico. Uma revisão de medicina esportiva cita expressamente o KPV entre os fragmentos de peptídeos que circulam nos meios do fisiculturismo e alerta para produtos rotulados incorretamente ou contaminados</w:t>
      </w:r>
      <w:r>
        <w:rPr>
          <w:rStyle w:val="FootnoteReference"/>
        </w:rPr>
        <w:footnoteReference w:id="1079"/>
      </w:r>
      <w:r>
        <w:t xml:space="preserve">.</w:t>
      </w:r>
    </w:p>
    <w:bookmarkEnd w:id="1080"/>
    <w:bookmarkEnd w:id="1081"/>
    <w:bookmarkStart w:id="1082" w:name="situação-legal-18"/>
    <w:p>
      <w:pPr>
        <w:pStyle w:val="Heading3"/>
      </w:pPr>
      <w:r>
        <w:t xml:space="preserve">Situação legal</w:t>
      </w:r>
    </w:p>
    <w:p>
      <w:pPr>
        <w:pStyle w:val="FirstParagraph"/>
      </w:pPr>
      <w:r>
        <w:rPr>
          <w:iCs/>
          <w:i/>
        </w:rPr>
        <w:t xml:space="preserve">Situação em 2026, verificar atualização.</w:t>
      </w:r>
    </w:p>
    <w:p>
      <w:pPr>
        <w:numPr>
          <w:ilvl w:val="0"/>
          <w:numId w:val="1130"/>
        </w:numPr>
        <w:pStyle w:val="Compact"/>
      </w:pPr>
      <w:r>
        <w:rPr>
          <w:bCs/>
          <w:b/>
        </w:rPr>
        <w:t xml:space="preserve">UE, Alemanha, Áustria:</w:t>
      </w:r>
      <w:r>
        <w:t xml:space="preserve"> </w:t>
      </w:r>
      <w:r>
        <w:t xml:space="preserve">não aprovado como medicamento. Se o KPV é oferecido com alegações de alívio de doenças, é considerado um medicamento não aprovado. Como componente de cosméticos, valem as regras do regulamento europeu de cosméticos; promessas de cura não são permitidas nesse âmbito.</w:t>
      </w:r>
    </w:p>
    <w:p>
      <w:pPr>
        <w:numPr>
          <w:ilvl w:val="0"/>
          <w:numId w:val="1130"/>
        </w:numPr>
        <w:pStyle w:val="Compact"/>
      </w:pPr>
      <w:r>
        <w:rPr>
          <w:bCs/>
          <w:b/>
        </w:rPr>
        <w:t xml:space="preserve">EUA:</w:t>
      </w:r>
      <w:r>
        <w:t xml:space="preserve"> </w:t>
      </w:r>
      <w:r>
        <w:t xml:space="preserve">sem aprovação da FDA.</w:t>
      </w:r>
    </w:p>
    <w:p>
      <w:pPr>
        <w:numPr>
          <w:ilvl w:val="0"/>
          <w:numId w:val="1130"/>
        </w:numPr>
        <w:pStyle w:val="Compact"/>
      </w:pPr>
      <w:r>
        <w:rPr>
          <w:bCs/>
          <w:b/>
        </w:rPr>
        <w:t xml:space="preserve">WADA:</w:t>
      </w:r>
      <w:r>
        <w:t xml:space="preserve"> </w:t>
      </w:r>
      <w:r>
        <w:t xml:space="preserve">não listado nominalmente. Como substância farmacologicamente ativa sem aprovação, o KPV se enquadra, na opinião do autor, na S0 (substâncias não aprovadas).</w:t>
      </w:r>
    </w:p>
    <w:bookmarkEnd w:id="1082"/>
    <w:bookmarkStart w:id="1083" w:name="estudos-em-andamento-e-perspectivas-18"/>
    <w:p>
      <w:pPr>
        <w:pStyle w:val="Heading3"/>
      </w:pPr>
      <w:r>
        <w:t xml:space="preserve">Estudos em andamento e perspectivas</w:t>
      </w:r>
    </w:p>
    <w:p>
      <w:pPr>
        <w:pStyle w:val="FirstParagraph"/>
      </w:pPr>
      <w:r>
        <w:rPr>
          <w:bCs/>
          <w:b/>
        </w:rPr>
        <w:t xml:space="preserve">Confirmado:</w:t>
      </w:r>
      <w:r>
        <w:t xml:space="preserve"> </w:t>
      </w:r>
      <w:r>
        <w:t xml:space="preserve">no ClinicalTrials.gov, em outubro de 2026, não há nenhum estudo com KPV registrado.</w:t>
      </w:r>
    </w:p>
    <w:p>
      <w:pPr>
        <w:pStyle w:val="BodyText"/>
      </w:pPr>
      <w:r>
        <w:rPr>
          <w:bCs/>
          <w:b/>
        </w:rPr>
        <w:t xml:space="preserve">Avaliação do autor:</w:t>
      </w:r>
      <w:r>
        <w:t xml:space="preserve"> </w:t>
      </w:r>
      <w:r>
        <w:t xml:space="preserve">os dados em camundongos sobre inflamações intestinais são consistentes e vêm de vários grupos independentes – isso é mais do que muitos outros</w:t>
      </w:r>
      <w:r>
        <w:t xml:space="preserve"> </w:t>
      </w:r>
      <w:r>
        <w:t xml:space="preserve">“</w:t>
      </w:r>
      <w:r>
        <w:t xml:space="preserve">peptídeos de pesquisa</w:t>
      </w:r>
      <w:r>
        <w:t xml:space="preserve">”</w:t>
      </w:r>
      <w:r>
        <w:t xml:space="preserve"> </w:t>
      </w:r>
      <w:r>
        <w:t xml:space="preserve">podem apresentar. Sem uma empresa que desenvolva o KPV como medicamento, porém, um estudo em humanos não está à vista. É mais provável que o KPV continue sendo pesquisado em laboratório como componente de novas formas farmacêuticas (nanopartículas, géis).</w:t>
      </w:r>
    </w:p>
    <w:bookmarkEnd w:id="1083"/>
    <w:bookmarkStart w:id="1085" w:name="conclusão-18"/>
    <w:p>
      <w:pPr>
        <w:pStyle w:val="Heading3"/>
      </w:pPr>
      <w:r>
        <w:t xml:space="preserve">Conclusão</w:t>
      </w:r>
    </w:p>
    <w:p>
      <w:pPr>
        <w:pStyle w:val="FirstParagraph"/>
      </w:pPr>
      <w:r>
        <w:t xml:space="preserve">O KPV é um fragmento de três aminoácidos do hormônio endógeno alfa-MSH que, em culturas de células e em camundongos, reduziu claramente inflamações no intestino</w:t>
      </w:r>
      <w:r>
        <w:rPr>
          <w:rStyle w:val="FootnoteReference"/>
        </w:rPr>
        <w:footnoteReference w:id="1084"/>
      </w:r>
      <w:r>
        <w:t xml:space="preserve">. Em humanos, o KPV nunca foi estudado – nem quanto ao efeito, nem quanto à segurança. Todas as afirmações sobre efeitos no intestino ou na pele em humanos são, portanto, suposições baseadas em experimentos com animais. Quem usa produtos de KPV da internet participa de um autoexperimento não controlado com produtos de qualidade desconhecida.</w:t>
      </w:r>
    </w:p>
    <w:bookmarkEnd w:id="1085"/>
    <w:bookmarkEnd w:id="1086"/>
    <w:bookmarkStart w:id="1121" w:name="ll-37"/>
    <w:p>
      <w:pPr>
        <w:pStyle w:val="Heading2"/>
      </w:pPr>
      <w:r>
        <w:t xml:space="preserve">LL-37</w:t>
      </w:r>
    </w:p>
    <w:p>
      <w:pPr>
        <w:pStyle w:val="FirstParagraph"/>
      </w:pPr>
      <w:r>
        <w:t xml:space="preserve">O LL-37 é um peptídeo de defesa do próprio corpo. Pele, mucosas e glóbulos brancos o produzem para matar bactérias, fungos e vírus. Na cena dos peptídeos, ele é oferecido como</w:t>
      </w:r>
      <w:r>
        <w:t xml:space="preserve"> </w:t>
      </w:r>
      <w:r>
        <w:t xml:space="preserve">“</w:t>
      </w:r>
      <w:r>
        <w:t xml:space="preserve">antibiótico natural</w:t>
      </w:r>
      <w:r>
        <w:t xml:space="preserve">”</w:t>
      </w:r>
      <w:r>
        <w:t xml:space="preserve"> </w:t>
      </w:r>
      <w:r>
        <w:t xml:space="preserve">e como agente contra infecções crônicas, borreliose (doença de Lyme) ou</w:t>
      </w:r>
      <w:r>
        <w:t xml:space="preserve"> </w:t>
      </w:r>
      <w:r>
        <w:t xml:space="preserve">“</w:t>
      </w:r>
      <w:r>
        <w:t xml:space="preserve">imunodeficiência</w:t>
      </w:r>
      <w:r>
        <w:t xml:space="preserve">”</w:t>
      </w:r>
      <w:r>
        <w:t xml:space="preserve">. Na base de estudos, é preciso distinguir com cuidado: há muitíssimas pesquisas nas quais o LL-37 foi</w:t>
      </w:r>
      <w:r>
        <w:t xml:space="preserve"> </w:t>
      </w:r>
      <w:r>
        <w:rPr>
          <w:iCs/>
          <w:i/>
        </w:rPr>
        <w:t xml:space="preserve">medido</w:t>
      </w:r>
      <w:r>
        <w:t xml:space="preserve"> </w:t>
      </w:r>
      <w:r>
        <w:t xml:space="preserve">no sangue ou em tecidos – mas apenas um punhado nas quais pessoas</w:t>
      </w:r>
      <w:r>
        <w:t xml:space="preserve"> </w:t>
      </w:r>
      <w:r>
        <w:rPr>
          <w:iCs/>
          <w:i/>
        </w:rPr>
        <w:t xml:space="preserve">receberam</w:t>
      </w:r>
      <w:r>
        <w:t xml:space="preserve"> </w:t>
      </w:r>
      <w:r>
        <w:t xml:space="preserve">LL-37 como substância ativa.</w:t>
      </w:r>
    </w:p>
    <w:bookmarkStart w:id="1088" w:name="ficha-técnica-19"/>
    <w:p>
      <w:pPr>
        <w:pStyle w:val="Heading3"/>
      </w:pPr>
      <w:r>
        <w:t xml:space="preserve">Ficha técnica</w:t>
      </w:r>
    </w:p>
    <w:p>
      <w:pPr>
        <w:numPr>
          <w:ilvl w:val="0"/>
          <w:numId w:val="1131"/>
        </w:numPr>
        <w:pStyle w:val="Compact"/>
      </w:pPr>
      <w:r>
        <w:rPr>
          <w:bCs/>
          <w:b/>
        </w:rPr>
        <w:t xml:space="preserve">Tipo e estrutura:</w:t>
      </w:r>
      <w:r>
        <w:t xml:space="preserve"> </w:t>
      </w:r>
      <w:r>
        <w:t xml:space="preserve">peptídeo de 37 aminoácidos, dos quais os dois primeiros são leucinas (daí</w:t>
      </w:r>
      <w:r>
        <w:t xml:space="preserve"> </w:t>
      </w:r>
      <w:r>
        <w:t xml:space="preserve">“</w:t>
      </w:r>
      <w:r>
        <w:t xml:space="preserve">LL</w:t>
      </w:r>
      <w:r>
        <w:t xml:space="preserve">”</w:t>
      </w:r>
      <w:r>
        <w:t xml:space="preserve">). Única catelicidina do ser humano – assim se chama uma família de peptídeos de defesa.</w:t>
      </w:r>
    </w:p>
    <w:p>
      <w:pPr>
        <w:numPr>
          <w:ilvl w:val="0"/>
          <w:numId w:val="1131"/>
        </w:numPr>
        <w:pStyle w:val="Compact"/>
      </w:pPr>
      <w:r>
        <w:rPr>
          <w:bCs/>
          <w:b/>
        </w:rPr>
        <w:t xml:space="preserve">Origem:</w:t>
      </w:r>
      <w:r>
        <w:t xml:space="preserve"> </w:t>
      </w:r>
      <w:r>
        <w:t xml:space="preserve">é clivado da proteína precursora hCAP18; o gene correspondente (CAMP) é ativado, entre outros, pela vitamina D</w:t>
      </w:r>
      <w:r>
        <w:rPr>
          <w:rStyle w:val="FootnoteReference"/>
        </w:rPr>
        <w:footnoteReference w:id="1087"/>
      </w:r>
      <w:r>
        <w:t xml:space="preserve">.</w:t>
      </w:r>
    </w:p>
    <w:p>
      <w:pPr>
        <w:numPr>
          <w:ilvl w:val="0"/>
          <w:numId w:val="1131"/>
        </w:numPr>
        <w:pStyle w:val="Compact"/>
      </w:pPr>
      <w:r>
        <w:rPr>
          <w:bCs/>
          <w:b/>
        </w:rPr>
        <w:t xml:space="preserve">Princípio de ação:</w:t>
      </w:r>
      <w:r>
        <w:t xml:space="preserve"> </w:t>
      </w:r>
      <w:r>
        <w:t xml:space="preserve">destrói o envoltório de micróbios; ao mesmo tempo, atrai células imunológicas, favorece a formação de novos vasos e a cicatrização de feridas e influencia reações inflamatórias.</w:t>
      </w:r>
    </w:p>
    <w:p>
      <w:pPr>
        <w:numPr>
          <w:ilvl w:val="0"/>
          <w:numId w:val="1131"/>
        </w:numPr>
        <w:pStyle w:val="Compact"/>
      </w:pPr>
      <w:r>
        <w:rPr>
          <w:bCs/>
          <w:b/>
        </w:rPr>
        <w:t xml:space="preserve">Aprovação UE/EUA:</w:t>
      </w:r>
      <w:r>
        <w:t xml:space="preserve"> </w:t>
      </w:r>
      <w:r>
        <w:t xml:space="preserve">não.</w:t>
      </w:r>
    </w:p>
    <w:p>
      <w:pPr>
        <w:numPr>
          <w:ilvl w:val="0"/>
          <w:numId w:val="1131"/>
        </w:numPr>
        <w:pStyle w:val="Compact"/>
      </w:pPr>
      <w:r>
        <w:rPr>
          <w:bCs/>
          <w:b/>
        </w:rPr>
        <w:t xml:space="preserve">WADA:</w:t>
      </w:r>
      <w:r>
        <w:t xml:space="preserve"> </w:t>
      </w:r>
      <w:r>
        <w:t xml:space="preserve">não listado expressamente; por ser uma substância não aprovada, enquadra-se, na opinião do autor, na S0.</w:t>
      </w:r>
    </w:p>
    <w:p>
      <w:pPr>
        <w:numPr>
          <w:ilvl w:val="0"/>
          <w:numId w:val="1131"/>
        </w:numPr>
        <w:pStyle w:val="Compact"/>
      </w:pPr>
      <w:r>
        <w:rPr>
          <w:bCs/>
          <w:b/>
        </w:rPr>
        <w:t xml:space="preserve">Nível de evidência: B</w:t>
      </w:r>
      <w:r>
        <w:t xml:space="preserve"> </w:t>
      </w:r>
      <w:r>
        <w:t xml:space="preserve">– estudos randomizados isolados, pequenos a médios, com aplicação local em feridas; o maior deles não atingiu seu objetivo principal.</w:t>
      </w:r>
    </w:p>
    <w:bookmarkEnd w:id="1088"/>
    <w:bookmarkStart w:id="1093" w:name="como-deveria-agir-19"/>
    <w:p>
      <w:pPr>
        <w:pStyle w:val="Heading3"/>
      </w:pPr>
      <w:r>
        <w:t xml:space="preserve">Como deveria agir</w:t>
      </w:r>
    </w:p>
    <w:p>
      <w:pPr>
        <w:pStyle w:val="FirstParagraph"/>
      </w:pPr>
      <w:r>
        <w:t xml:space="preserve">O LL-37 faz parte do sistema imunológico inato, a primeira linha de defesa, inespecífica. O peptídeo tem carga positiva e se deposita nos envoltórios de bactérias, de carga negativa, que assim se tornam permeáveis. Além disso, age como sinalizador: atrai glóbulos brancos e estimula células da pele a migrar – por isso ficou interessante para a cicatrização de feridas.</w:t>
      </w:r>
    </w:p>
    <w:p>
      <w:pPr>
        <w:pStyle w:val="BodyText"/>
      </w:pPr>
      <w:r>
        <w:t xml:space="preserve">A produção de LL-37 no ser humano está estreitamente ligada à vitamina D. O gene da proteína precursora tem um interruptor ao qual o receptor de vitamina D se liga; esse interruptor existe em primatas, mas não em camundongos, ratos ou cães</w:t>
      </w:r>
      <w:r>
        <w:rPr>
          <w:rStyle w:val="FootnoteReference"/>
        </w:rPr>
        <w:footnoteReference w:id="1089"/>
      </w:r>
      <w:r>
        <w:t xml:space="preserve">. Isso explica por que muitos estudos administram vitamina D e medem o LL-37 – e por que experimentos com animais sobre o LL-37 só podem ser transferidos para humanos de forma limitada.</w:t>
      </w:r>
    </w:p>
    <w:p>
      <w:pPr>
        <w:pStyle w:val="BodyText"/>
      </w:pPr>
      <w:r>
        <w:t xml:space="preserve">O outro lado: o LL-37 também pode atiçar inflamações. Na psoríase, o LL-37 liga material genético próprio de células desintegradas e o torna</w:t>
      </w:r>
      <w:r>
        <w:t xml:space="preserve"> </w:t>
      </w:r>
      <w:r>
        <w:t xml:space="preserve">“</w:t>
      </w:r>
      <w:r>
        <w:t xml:space="preserve">visível</w:t>
      </w:r>
      <w:r>
        <w:t xml:space="preserve">”</w:t>
      </w:r>
      <w:r>
        <w:t xml:space="preserve"> </w:t>
      </w:r>
      <w:r>
        <w:t xml:space="preserve">para determinadas células imunológicas, que então liberam interferon</w:t>
      </w:r>
      <w:r>
        <w:rPr>
          <w:rStyle w:val="FootnoteReference"/>
        </w:rPr>
        <w:footnoteReference w:id="1090"/>
      </w:r>
      <w:r>
        <w:t xml:space="preserve">. Em dois terços das pessoas estudadas com psoríase moderada a grave, foram encontradas células T dirigidas contra o próprio LL-37</w:t>
      </w:r>
      <w:r>
        <w:rPr>
          <w:rStyle w:val="FootnoteReference"/>
        </w:rPr>
        <w:footnoteReference w:id="1091"/>
      </w:r>
      <w:r>
        <w:t xml:space="preserve">. Na rosácea, os afetados produzem uma quantidade incomumente alta de LL-37 na pele do rosto, e em camundongos a injeção desses peptídeos provocou inflamações cutâneas</w:t>
      </w:r>
      <w:r>
        <w:rPr>
          <w:rStyle w:val="FootnoteReference"/>
        </w:rPr>
        <w:footnoteReference w:id="1092"/>
      </w:r>
      <w:r>
        <w:t xml:space="preserve">.</w:t>
      </w:r>
    </w:p>
    <w:bookmarkEnd w:id="1093"/>
    <w:bookmarkStart w:id="1105" w:name="estudos-em-humanos-19"/>
    <w:p>
      <w:pPr>
        <w:pStyle w:val="Heading3"/>
      </w:pPr>
      <w:r>
        <w:t xml:space="preserve">Estudos em humanos</w:t>
      </w:r>
    </w:p>
    <w:p>
      <w:pPr>
        <w:pStyle w:val="FirstParagraph"/>
      </w:pPr>
      <w:r>
        <w:rPr>
          <w:bCs/>
          <w:b/>
        </w:rPr>
        <w:t xml:space="preserve">Dimensão da base de estudos (consulta de outubro de 2026):</w:t>
      </w:r>
      <w:r>
        <w:t xml:space="preserve"> </w:t>
      </w:r>
      <w:r>
        <w:t xml:space="preserve">a busca automatizada encontrou</w:t>
      </w:r>
      <w:r>
        <w:t xml:space="preserve"> </w:t>
      </w:r>
      <w:r>
        <w:rPr>
          <w:bCs/>
          <w:b/>
        </w:rPr>
        <w:t xml:space="preserve">91</w:t>
      </w:r>
      <w:r>
        <w:t xml:space="preserve"> </w:t>
      </w:r>
      <w:r>
        <w:t xml:space="preserve">publicações classificadas como estudo em humanos e</w:t>
      </w:r>
      <w:r>
        <w:t xml:space="preserve"> </w:t>
      </w:r>
      <w:r>
        <w:rPr>
          <w:bCs/>
          <w:b/>
        </w:rPr>
        <w:t xml:space="preserve">20</w:t>
      </w:r>
      <w:r>
        <w:t xml:space="preserve"> </w:t>
      </w:r>
      <w:r>
        <w:t xml:space="preserve">registros no ClinicalTrials.gov. A grande maioria delas</w:t>
      </w:r>
      <w:r>
        <w:t xml:space="preserve"> </w:t>
      </w:r>
      <w:r>
        <w:rPr>
          <w:iCs/>
          <w:i/>
        </w:rPr>
        <w:t xml:space="preserve">não</w:t>
      </w:r>
      <w:r>
        <w:t xml:space="preserve"> </w:t>
      </w:r>
      <w:r>
        <w:t xml:space="preserve">administra LL-37 como substância ativa: trata-se de estudos com vitamina D ou probióticos que registram o LL-37 como valor medido, ou de estudos observacionais sobre níveis de LL-37 em doenças. Estudos nos quais o próprio LL-37 foi administrado são apenas cinco no PubMed; no registro, são dois.</w:t>
      </w:r>
    </w:p>
    <w:bookmarkStart w:id="1098" w:name="X2c9b162463e66716727d4799f9949fb437af42f"/>
    <w:p>
      <w:pPr>
        <w:pStyle w:val="Heading4"/>
      </w:pPr>
      <w:r>
        <w:t xml:space="preserve">Estudos de intervenção: LL-37 como substância ativa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Úlceras venosas de perna (Grönberg 2014, PMID 25041740)</w:t>
            </w:r>
          </w:p>
        </w:tc>
        <w:tc>
          <w:tcPr/>
          <w:p>
            <w:pPr>
              <w:pStyle w:val="Compact"/>
              <w:jc w:val="left"/>
            </w:pPr>
            <w:r>
              <w:t xml:space="preserve">34 pessoas, primeira aplicação em humanos, ECR duplo-cego com três concentrações e placebo</w:t>
            </w:r>
          </w:p>
        </w:tc>
        <w:tc>
          <w:tcPr/>
          <w:p>
            <w:pPr>
              <w:pStyle w:val="Compact"/>
              <w:jc w:val="left"/>
            </w:pPr>
            <w:r>
              <w:t xml:space="preserve">4 semanas de tratamento</w:t>
            </w:r>
          </w:p>
        </w:tc>
        <w:tc>
          <w:tcPr/>
          <w:p>
            <w:pPr>
              <w:pStyle w:val="Compact"/>
              <w:jc w:val="left"/>
            </w:pPr>
            <w:r>
              <w:t xml:space="preserve">área da ferida reduzida 68% com a menor concentração e 50% com a intermediária; concentração mais alta não melhor que placebo</w:t>
            </w:r>
          </w:p>
        </w:tc>
      </w:tr>
      <w:tr>
        <w:tc>
          <w:tcPr/>
          <w:p>
            <w:pPr>
              <w:pStyle w:val="Compact"/>
              <w:jc w:val="left"/>
            </w:pPr>
            <w:r>
              <w:t xml:space="preserve">HEAL LL-37, úlceras venosas de perna (Mahlapuu 2021, PMID 34687253)</w:t>
            </w:r>
          </w:p>
        </w:tc>
        <w:tc>
          <w:tcPr/>
          <w:p>
            <w:pPr>
              <w:pStyle w:val="Compact"/>
              <w:jc w:val="left"/>
            </w:pPr>
            <w:r>
              <w:t xml:space="preserve">148 pessoas, fase 2b, ECR duplo-cego</w:t>
            </w:r>
          </w:p>
        </w:tc>
        <w:tc>
          <w:tcPr/>
          <w:p>
            <w:pPr>
              <w:pStyle w:val="Compact"/>
              <w:jc w:val="left"/>
            </w:pPr>
            <w:r>
              <w:t xml:space="preserve">3 braços, além da compressão</w:t>
            </w:r>
          </w:p>
        </w:tc>
        <w:tc>
          <w:tcPr/>
          <w:p>
            <w:pPr>
              <w:pStyle w:val="Compact"/>
              <w:jc w:val="left"/>
            </w:pPr>
            <w:r>
              <w:t xml:space="preserve">nenhuma diferença significativa em relação ao placebo; vantagem apenas em análise de subgrupo posterior de feridas grandes</w:t>
            </w:r>
          </w:p>
        </w:tc>
      </w:tr>
      <w:tr>
        <w:tc>
          <w:tcPr/>
          <w:p>
            <w:pPr>
              <w:pStyle w:val="Compact"/>
              <w:jc w:val="left"/>
            </w:pPr>
            <w:r>
              <w:t xml:space="preserve">Úlcera de pé diabético (Miranda 2023, PMID 37480520; NCT04098562)</w:t>
            </w:r>
          </w:p>
        </w:tc>
        <w:tc>
          <w:tcPr/>
          <w:p>
            <w:pPr>
              <w:pStyle w:val="Compact"/>
              <w:jc w:val="left"/>
            </w:pPr>
            <w:r>
              <w:t xml:space="preserve">pessoas com úlcera de pé levemente infectada em Jacarta, ECR duplo-cego contra creme placebo</w:t>
            </w:r>
          </w:p>
        </w:tc>
        <w:tc>
          <w:tcPr/>
          <w:p>
            <w:pPr>
              <w:pStyle w:val="Compact"/>
              <w:jc w:val="left"/>
            </w:pPr>
            <w:r>
              <w:t xml:space="preserve">4 semanas</w:t>
            </w:r>
          </w:p>
        </w:tc>
        <w:tc>
          <w:tcPr/>
          <w:p>
            <w:pPr>
              <w:pStyle w:val="Compact"/>
              <w:jc w:val="left"/>
            </w:pPr>
            <w:r>
              <w:t xml:space="preserve">maior aumento do tecido de granulação; nenhuma redução de marcadores inflamatórios ou da contagem bacteriana</w:t>
            </w:r>
          </w:p>
        </w:tc>
      </w:tr>
      <w:tr>
        <w:tc>
          <w:tcPr/>
          <w:p>
            <w:pPr>
              <w:pStyle w:val="Compact"/>
              <w:jc w:val="left"/>
            </w:pPr>
            <w:r>
              <w:t xml:space="preserve">COVID-19, LL-37 oral a partir de bactérias lácticas (Zhao 2023, PMID 37605995)</w:t>
            </w:r>
          </w:p>
        </w:tc>
        <w:tc>
          <w:tcPr/>
          <w:p>
            <w:pPr>
              <w:pStyle w:val="Compact"/>
              <w:jc w:val="left"/>
            </w:pPr>
            <w:r>
              <w:t xml:space="preserve">238 pacientes hospitalizados, ECR aberto, um centro</w:t>
            </w:r>
          </w:p>
        </w:tc>
        <w:tc>
          <w:tcPr/>
          <w:p>
            <w:pPr>
              <w:pStyle w:val="Compact"/>
              <w:jc w:val="left"/>
            </w:pPr>
            <w:r>
              <w:t xml:space="preserve">internação hospitalar</w:t>
            </w:r>
          </w:p>
        </w:tc>
        <w:tc>
          <w:tcPr/>
          <w:p>
            <w:pPr>
              <w:pStyle w:val="Compact"/>
              <w:jc w:val="left"/>
            </w:pPr>
            <w:r>
              <w:t xml:space="preserve">PCR viral negativo em média após 9,8 em vez de 14,0 dias; sem efeitos colaterais graves</w:t>
            </w:r>
          </w:p>
        </w:tc>
      </w:tr>
      <w:tr>
        <w:tc>
          <w:tcPr/>
          <w:p>
            <w:pPr>
              <w:pStyle w:val="Compact"/>
              <w:jc w:val="left"/>
            </w:pPr>
            <w:r>
              <w:t xml:space="preserve">Melanoma, injeção em tumores (NCT02225366)</w:t>
            </w:r>
          </w:p>
        </w:tc>
        <w:tc>
          <w:tcPr/>
          <w:p>
            <w:pPr>
              <w:pStyle w:val="Compact"/>
              <w:jc w:val="left"/>
            </w:pPr>
            <w:r>
              <w:t xml:space="preserve">4 pessoas, fase 1/2 sem grupo de controle</w:t>
            </w:r>
          </w:p>
        </w:tc>
        <w:tc>
          <w:tcPr/>
          <w:p>
            <w:pPr>
              <w:pStyle w:val="Compact"/>
              <w:jc w:val="left"/>
            </w:pPr>
            <w:r>
              <w:t xml:space="preserve">até 8 semanas</w:t>
            </w:r>
          </w:p>
        </w:tc>
        <w:tc>
          <w:tcPr/>
          <w:p>
            <w:pPr>
              <w:pStyle w:val="Compact"/>
              <w:jc w:val="left"/>
            </w:pPr>
            <w:r>
              <w:t xml:space="preserve">determinação de dose; número pequeno de casos, veja Riscos</w:t>
            </w:r>
          </w:p>
        </w:tc>
      </w:tr>
    </w:tbl>
    <w:p>
      <w:pPr>
        <w:pStyle w:val="BodyText"/>
      </w:pPr>
      <w:r>
        <w:t xml:space="preserve">Os estudos de feridas mostram o padrão conhecido: o primeiro estudo pequeno foi encorajador – curiosamente, as concentrações mais baixas funcionaram, e a mais alta não</w:t>
      </w:r>
      <w:r>
        <w:rPr>
          <w:rStyle w:val="FootnoteReference"/>
        </w:rPr>
        <w:footnoteReference w:id="1094"/>
      </w:r>
      <w:r>
        <w:t xml:space="preserve">. O estudo de fase 2b maior, HEAL LL-37, com 148 pessoas, não encontrou no grupo total vantagem em relação ao placebo. Um benefício em feridas grandes apareceu apenas em uma análise de subgrupo definida posteriormente, que os próprios autores consideram motivo para um novo estudo, não prova</w:t>
      </w:r>
      <w:r>
        <w:rPr>
          <w:rStyle w:val="FootnoteReference"/>
        </w:rPr>
        <w:footnoteReference w:id="1095"/>
      </w:r>
      <w:r>
        <w:t xml:space="preserve">.</w:t>
      </w:r>
    </w:p>
    <w:p>
      <w:pPr>
        <w:pStyle w:val="BodyText"/>
      </w:pPr>
      <w:r>
        <w:t xml:space="preserve">O estudo indonésio sobre úlcera de pé diabético mediu como desfecho principal a proporção de tecido de granulação, ou seja, de tecido cicatricial novo – um marcador intermediário, não a cicatrização completa da ferida. Os marcadores inflamatórios e a colonização bacteriana não caíram mais com LL-37 do que com placebo</w:t>
      </w:r>
      <w:r>
        <w:rPr>
          <w:rStyle w:val="FootnoteReference"/>
        </w:rPr>
        <w:footnoteReference w:id="1096"/>
      </w:r>
      <w:r>
        <w:t xml:space="preserve">.</w:t>
      </w:r>
    </w:p>
    <w:p>
      <w:pPr>
        <w:pStyle w:val="BodyText"/>
      </w:pPr>
      <w:r>
        <w:t xml:space="preserve">O estudo de COVID-19 não usou o peptídeo LL-37, mas bactérias lácticas geneticamente modificadas que deveriam produzir LL-37 no intestino. Não foi cego e ocorreu em um único centro; mediu-se o tempo até o teste de PCR negativo, não a evolução da doença ou a mortalidade</w:t>
      </w:r>
      <w:r>
        <w:rPr>
          <w:rStyle w:val="FootnoteReference"/>
        </w:rPr>
        <w:footnoteReference w:id="1097"/>
      </w:r>
      <w:r>
        <w:t xml:space="preserve">.</w:t>
      </w:r>
    </w:p>
    <w:bookmarkEnd w:id="1098"/>
    <w:bookmarkStart w:id="1102" w:name="X5adf601851ab871d0a6994fa82504650578ec71"/>
    <w:p>
      <w:pPr>
        <w:pStyle w:val="Heading4"/>
      </w:pPr>
      <w:r>
        <w:t xml:space="preserve">Estudos observacionais: LL-37 como valor medido</w:t>
      </w:r>
    </w:p>
    <w:p>
      <w:pPr>
        <w:pStyle w:val="FirstParagraph"/>
      </w:pPr>
      <w:r>
        <w:t xml:space="preserve">Esses estudos não dizem nada sobre se o LL-37 administrado ajuda. Mostram apenas como o corpo produz LL-37 em doenças. Alguns exemplos:</w:t>
      </w:r>
    </w:p>
    <w:p>
      <w:pPr>
        <w:numPr>
          <w:ilvl w:val="0"/>
          <w:numId w:val="1132"/>
        </w:numPr>
        <w:pStyle w:val="Compact"/>
      </w:pPr>
      <w:r>
        <w:t xml:space="preserve">Em 50 pessoas com tuberculose pulmonar, os níveis sanguíneos de LL-37 eram mais altos do que em pneumonia por outras bactérias e em pessoas saudáveis</w:t>
      </w:r>
      <w:r>
        <w:rPr>
          <w:rStyle w:val="FootnoteReference"/>
        </w:rPr>
        <w:footnoteReference w:id="1099"/>
      </w:r>
      <w:r>
        <w:t xml:space="preserve">.</w:t>
      </w:r>
    </w:p>
    <w:p>
      <w:pPr>
        <w:numPr>
          <w:ilvl w:val="0"/>
          <w:numId w:val="1132"/>
        </w:numPr>
        <w:pStyle w:val="Compact"/>
      </w:pPr>
      <w:r>
        <w:t xml:space="preserve">Em 76 crianças com meningite bacteriana, o LL-37 no líquor aumentou com a quantidade de bactérias; uma relação alta entre LL-37 e bactérias esteve associada a menos danos auditivos</w:t>
      </w:r>
      <w:r>
        <w:rPr>
          <w:rStyle w:val="FootnoteReference"/>
        </w:rPr>
        <w:footnoteReference w:id="1100"/>
      </w:r>
      <w:r>
        <w:t xml:space="preserve">.</w:t>
      </w:r>
    </w:p>
    <w:p>
      <w:pPr>
        <w:numPr>
          <w:ilvl w:val="0"/>
          <w:numId w:val="1132"/>
        </w:numPr>
        <w:pStyle w:val="Compact"/>
      </w:pPr>
      <w:r>
        <w:t xml:space="preserve">Em 30 pacientes de terapia intensiva com sepse, os níveis de LL-37 subiram após vitamina D em dose alta</w:t>
      </w:r>
      <w:r>
        <w:rPr>
          <w:rStyle w:val="FootnoteReference"/>
        </w:rPr>
        <w:footnoteReference w:id="1101"/>
      </w:r>
      <w:r>
        <w:t xml:space="preserve">.</w:t>
      </w:r>
    </w:p>
    <w:bookmarkEnd w:id="1102"/>
    <w:bookmarkStart w:id="1104" w:name="Xa41b8bf4955bdabbd0f7b9a795f7be5fe6eb4b3"/>
    <w:p>
      <w:pPr>
        <w:pStyle w:val="Heading4"/>
      </w:pPr>
      <w:r>
        <w:t xml:space="preserve">Indiretamente: estimular o LL-37 pela vitamina D</w:t>
      </w:r>
    </w:p>
    <w:p>
      <w:pPr>
        <w:pStyle w:val="FirstParagraph"/>
      </w:pPr>
      <w:r>
        <w:t xml:space="preserve">Em um estudo duplo-cego de Bangladesh com 288 pessoas com tuberculose pulmonar, após quatro semanas mais participantes tinham cultura negativa quando recebiam adicionalmente vitamina D3 e fenilbutirato – duas substâncias que estimulam a produção endógena de LL-37 (71% vs. 42,2% com placebo)</w:t>
      </w:r>
      <w:r>
        <w:rPr>
          <w:rStyle w:val="FootnoteReference"/>
        </w:rPr>
        <w:footnoteReference w:id="1103"/>
      </w:r>
      <w:r>
        <w:t xml:space="preserve">. Essa é uma afirmação sobre essa combinação, não sobre o LL-37 como peptídeo. A vitamina D em si não é um peptídeo e não é tratada separadamente neste livro.</w:t>
      </w:r>
    </w:p>
    <w:bookmarkEnd w:id="1104"/>
    <w:bookmarkEnd w:id="1105"/>
    <w:bookmarkStart w:id="1108" w:name="estudos-em-animais-e-em-laboratório-19"/>
    <w:p>
      <w:pPr>
        <w:pStyle w:val="Heading3"/>
      </w:pPr>
      <w:r>
        <w:t xml:space="preserve">Estudos em animais e em laboratório</w:t>
      </w:r>
    </w:p>
    <w:p>
      <w:pPr>
        <w:pStyle w:val="FirstParagraph"/>
      </w:pPr>
      <w:r>
        <w:t xml:space="preserve">Em laboratório, o LL-37 mata uma ampla gama de bactérias, fungos e alguns vírus e favorece a migração de células da pele. Um artigo de revisão sobre seu papel no câncer resume que o LL-37, em experimentos com células e animais,</w:t>
      </w:r>
      <w:r>
        <w:t xml:space="preserve"> </w:t>
      </w:r>
      <w:r>
        <w:rPr>
          <w:iCs/>
          <w:i/>
        </w:rPr>
        <w:t xml:space="preserve">favorece</w:t>
      </w:r>
      <w:r>
        <w:t xml:space="preserve"> </w:t>
      </w:r>
      <w:r>
        <w:t xml:space="preserve">o crescimento tumoral nos cânceres de ovário, pulmão, mama, próstata e pâncreas, bem como no melanoma, mas o</w:t>
      </w:r>
      <w:r>
        <w:t xml:space="preserve"> </w:t>
      </w:r>
      <w:r>
        <w:rPr>
          <w:iCs/>
          <w:i/>
        </w:rPr>
        <w:t xml:space="preserve">inibe</w:t>
      </w:r>
      <w:r>
        <w:t xml:space="preserve"> </w:t>
      </w:r>
      <w:r>
        <w:t xml:space="preserve">nos cânceres de cólon, estômago e em alguns cânceres do sangue</w:t>
      </w:r>
      <w:r>
        <w:rPr>
          <w:rStyle w:val="FootnoteReference"/>
        </w:rPr>
        <w:footnoteReference w:id="1106"/>
      </w:r>
      <w:r>
        <w:t xml:space="preserve">. A mesma substância pode, portanto, agir de forma oposta conforme o tecido.</w:t>
      </w:r>
    </w:p>
    <w:p>
      <w:pPr>
        <w:pStyle w:val="BodyText"/>
      </w:pPr>
      <w:r>
        <w:t xml:space="preserve">Para a transferibilidade, é importante: camundongos têm uma catelicidina própria, que apenas se assemelha ao LL-37 humano, e a regulam de forma diferente</w:t>
      </w:r>
      <w:r>
        <w:rPr>
          <w:rStyle w:val="FootnoteReference"/>
        </w:rPr>
        <w:footnoteReference w:id="1107"/>
      </w:r>
      <w:r>
        <w:t xml:space="preserve">. Achados em camundongos sobre o LL-37 devem, por isso, ser avaliados com ainda mais cautela do que no caso de outros peptídeos.</w:t>
      </w:r>
    </w:p>
    <w:bookmarkEnd w:id="1108"/>
    <w:bookmarkStart w:id="1116" w:name="riscos-e-efeitos-colaterais-19"/>
    <w:p>
      <w:pPr>
        <w:pStyle w:val="Heading3"/>
      </w:pPr>
      <w:r>
        <w:t xml:space="preserve">Riscos e efeitos colaterais</w:t>
      </w:r>
    </w:p>
    <w:bookmarkStart w:id="1111" w:name="comprovados-3"/>
    <w:p>
      <w:pPr>
        <w:pStyle w:val="Heading4"/>
      </w:pPr>
      <w:r>
        <w:t xml:space="preserve">Comprovados</w:t>
      </w:r>
    </w:p>
    <w:p>
      <w:pPr>
        <w:pStyle w:val="FirstParagraph"/>
      </w:pPr>
      <w:r>
        <w:t xml:space="preserve">Nos estudos de feridas, o LL-37 aplicado localmente foi bem tolerado; não houve preocupações de segurança quanto a efeitos colaterais locais ou sistêmicos</w:t>
      </w:r>
      <w:r>
        <w:rPr>
          <w:rStyle w:val="FootnoteReference"/>
        </w:rPr>
        <w:footnoteReference w:id="1109"/>
      </w:r>
      <w:r>
        <w:t xml:space="preserve">.</w:t>
      </w:r>
    </w:p>
    <w:p>
      <w:pPr>
        <w:pStyle w:val="BodyText"/>
      </w:pPr>
      <w:r>
        <w:t xml:space="preserve">Um relato de caso do estudo de melanoma mostra, porém, que o LL-37 em forma injetável não é inofensivo: em uma mulher de 63 anos que recebeu oito injeções semanais em metástases cutâneas, surgiram, cerca de 45 dias após o início, numerosas lesões cutâneas semelhantes a verrugas e bolhas no tronco e nos membros, inicialmente tomadas por câncer de pele. Histologicamente, foram encontradas alterações inflamatórias com células cutâneas atípicas; todas as alterações regrediram em até dois meses após a suspensão</w:t>
      </w:r>
      <w:r>
        <w:rPr>
          <w:rStyle w:val="FootnoteReference"/>
        </w:rPr>
        <w:footnoteReference w:id="1110"/>
      </w:r>
      <w:r>
        <w:t xml:space="preserve">.</w:t>
      </w:r>
    </w:p>
    <w:bookmarkEnd w:id="1111"/>
    <w:bookmarkStart w:id="1115" w:name="Xe23ba12cc7c6f1fa6d95e7c5eaf6ade01ed3368"/>
    <w:p>
      <w:pPr>
        <w:pStyle w:val="Heading4"/>
      </w:pPr>
      <w:r>
        <w:t xml:space="preserve">Teóricos e derivados da pesquisa de doenças</w:t>
      </w:r>
    </w:p>
    <w:p>
      <w:pPr>
        <w:numPr>
          <w:ilvl w:val="0"/>
          <w:numId w:val="1133"/>
        </w:numPr>
        <w:pStyle w:val="Compact"/>
      </w:pPr>
      <w:r>
        <w:rPr>
          <w:bCs/>
          <w:b/>
        </w:rPr>
        <w:t xml:space="preserve">Autoimunidade e doenças de pele:</w:t>
      </w:r>
      <w:r>
        <w:t xml:space="preserve"> </w:t>
      </w:r>
      <w:r>
        <w:t xml:space="preserve">o LL-37 é, na psoríase, um desencadeador da inflamação e um alvo de células T desviadas</w:t>
      </w:r>
      <w:r>
        <w:rPr>
          <w:rStyle w:val="FootnoteReference"/>
        </w:rPr>
        <w:footnoteReference w:id="1112"/>
      </w:r>
      <w:r>
        <w:t xml:space="preserve">, e na rosácea participa da inflamação cutânea</w:t>
      </w:r>
      <w:r>
        <w:rPr>
          <w:rStyle w:val="FootnoteReference"/>
        </w:rPr>
        <w:footnoteReference w:id="1113"/>
      </w:r>
      <w:r>
        <w:t xml:space="preserve">. Pessoas com essas ou outras doenças autoimunes (por exemplo, lúpus) deveriam ser especialmente cautelosas – não há estudos sobre isso.</w:t>
      </w:r>
    </w:p>
    <w:p>
      <w:pPr>
        <w:numPr>
          <w:ilvl w:val="0"/>
          <w:numId w:val="1133"/>
        </w:numPr>
        <w:pStyle w:val="Compact"/>
      </w:pPr>
      <w:r>
        <w:rPr>
          <w:bCs/>
          <w:b/>
        </w:rPr>
        <w:t xml:space="preserve">Câncer:</w:t>
      </w:r>
      <w:r>
        <w:t xml:space="preserve"> </w:t>
      </w:r>
      <w:r>
        <w:t xml:space="preserve">como o LL-37, em experimentos de laboratório, favorece o crescimento de alguns tipos de tumor</w:t>
      </w:r>
      <w:r>
        <w:rPr>
          <w:rStyle w:val="FootnoteReference"/>
        </w:rPr>
        <w:footnoteReference w:id="1114"/>
      </w:r>
      <w:r>
        <w:t xml:space="preserve">, um uso em pessoas com câncer ou histórico de câncer não pode ser avaliado sem estudos.</w:t>
      </w:r>
    </w:p>
    <w:p>
      <w:pPr>
        <w:numPr>
          <w:ilvl w:val="0"/>
          <w:numId w:val="1133"/>
        </w:numPr>
        <w:pStyle w:val="Compact"/>
      </w:pPr>
      <w:r>
        <w:rPr>
          <w:bCs/>
          <w:b/>
        </w:rPr>
        <w:t xml:space="preserve">Dano celular em concentrações altas:</w:t>
      </w:r>
      <w:r>
        <w:t xml:space="preserve"> </w:t>
      </w:r>
      <w:r>
        <w:t xml:space="preserve">o peptídeo ataca envoltórios celulares; em concentrações mais altas, pode também danificar células humanas. Isso poderia explicar por que, no primeiro estudo de feridas, a concentração mais alta não funcionou.</w:t>
      </w:r>
    </w:p>
    <w:p>
      <w:pPr>
        <w:numPr>
          <w:ilvl w:val="0"/>
          <w:numId w:val="1133"/>
        </w:numPr>
        <w:pStyle w:val="Compact"/>
      </w:pPr>
      <w:r>
        <w:rPr>
          <w:bCs/>
          <w:b/>
        </w:rPr>
        <w:t xml:space="preserve">Mercado cinza:</w:t>
      </w:r>
      <w:r>
        <w:t xml:space="preserve"> </w:t>
      </w:r>
      <w:r>
        <w:t xml:space="preserve">como em todos os</w:t>
      </w:r>
      <w:r>
        <w:t xml:space="preserve"> </w:t>
      </w:r>
      <w:r>
        <w:t xml:space="preserve">“</w:t>
      </w:r>
      <w:r>
        <w:t xml:space="preserve">peptídeos de pesquisa</w:t>
      </w:r>
      <w:r>
        <w:t xml:space="preserve">”</w:t>
      </w:r>
      <w:r>
        <w:t xml:space="preserve">, pureza, teor e esterilidade são desconhecidos. Para injeções, isso vale de forma especial.</w:t>
      </w:r>
    </w:p>
    <w:bookmarkEnd w:id="1115"/>
    <w:bookmarkEnd w:id="1116"/>
    <w:bookmarkStart w:id="1117" w:name="situação-legal-19"/>
    <w:p>
      <w:pPr>
        <w:pStyle w:val="Heading3"/>
      </w:pPr>
      <w:r>
        <w:t xml:space="preserve">Situação legal</w:t>
      </w:r>
    </w:p>
    <w:p>
      <w:pPr>
        <w:pStyle w:val="FirstParagraph"/>
      </w:pPr>
      <w:r>
        <w:rPr>
          <w:iCs/>
          <w:i/>
        </w:rPr>
        <w:t xml:space="preserve">Situação em 2026, verificar atualização.</w:t>
      </w:r>
    </w:p>
    <w:p>
      <w:pPr>
        <w:numPr>
          <w:ilvl w:val="0"/>
          <w:numId w:val="1134"/>
        </w:numPr>
        <w:pStyle w:val="Compact"/>
      </w:pPr>
      <w:r>
        <w:rPr>
          <w:bCs/>
          <w:b/>
        </w:rPr>
        <w:t xml:space="preserve">UE, Alemanha, Áustria:</w:t>
      </w:r>
      <w:r>
        <w:t xml:space="preserve"> </w:t>
      </w:r>
      <w:r>
        <w:t xml:space="preserve">o LL-37 não está aprovado como medicamento. O desenvolvimento como agente para feridas por uma empresa sueca (sob o nome ropocamptida), segundo o conhecimento do autor, não passou da fase 2. A venda para uso em humanos não é permitida.</w:t>
      </w:r>
    </w:p>
    <w:p>
      <w:pPr>
        <w:numPr>
          <w:ilvl w:val="0"/>
          <w:numId w:val="1134"/>
        </w:numPr>
        <w:pStyle w:val="Compact"/>
      </w:pPr>
      <w:r>
        <w:rPr>
          <w:bCs/>
          <w:b/>
        </w:rPr>
        <w:t xml:space="preserve">EUA:</w:t>
      </w:r>
      <w:r>
        <w:t xml:space="preserve"> </w:t>
      </w:r>
      <w:r>
        <w:t xml:space="preserve">sem aprovação da FDA.</w:t>
      </w:r>
    </w:p>
    <w:p>
      <w:pPr>
        <w:numPr>
          <w:ilvl w:val="0"/>
          <w:numId w:val="1134"/>
        </w:numPr>
        <w:pStyle w:val="Compact"/>
      </w:pPr>
      <w:r>
        <w:rPr>
          <w:bCs/>
          <w:b/>
        </w:rPr>
        <w:t xml:space="preserve">WADA:</w:t>
      </w:r>
      <w:r>
        <w:t xml:space="preserve"> </w:t>
      </w:r>
      <w:r>
        <w:t xml:space="preserve">não listado nominalmente; na opinião do autor, deve ser enquadrado como substância não aprovada na S0.</w:t>
      </w:r>
    </w:p>
    <w:bookmarkEnd w:id="1117"/>
    <w:bookmarkStart w:id="1118" w:name="estudos-em-andamento-e-perspectivas-19"/>
    <w:p>
      <w:pPr>
        <w:pStyle w:val="Heading3"/>
      </w:pPr>
      <w:r>
        <w:t xml:space="preserve">Estudos em andamento e perspectivas</w:t>
      </w:r>
    </w:p>
    <w:p>
      <w:pPr>
        <w:pStyle w:val="FirstParagraph"/>
      </w:pPr>
      <w:r>
        <w:rPr>
          <w:bCs/>
          <w:b/>
        </w:rPr>
        <w:t xml:space="preserve">Confirmado:</w:t>
      </w:r>
      <w:r>
        <w:t xml:space="preserve"> </w:t>
      </w:r>
      <w:r>
        <w:t xml:space="preserve">em outubro de 2026, não há no ClinicalTrials.gov nenhum estudo em andamento registrado no qual o LL-37 seja administrado como substância ativa. Os dois registros com LL-37 como substância ativa (melanoma, NCT02225366; úlcera de pé diabético, NCT04098562) estão concluídos ou têm status desconhecido. Os demais registros medem o LL-37 apenas como biomarcador, por exemplo na gengiva ou com administração de vitamina D.</w:t>
      </w:r>
    </w:p>
    <w:p>
      <w:pPr>
        <w:pStyle w:val="BodyText"/>
      </w:pPr>
      <w:r>
        <w:rPr>
          <w:bCs/>
          <w:b/>
        </w:rPr>
        <w:t xml:space="preserve">Avaliação do autor:</w:t>
      </w:r>
      <w:r>
        <w:t xml:space="preserve"> </w:t>
      </w:r>
      <w:r>
        <w:t xml:space="preserve">o próprio LL-37 dificilmente terá futuro como medicamento – instável demais, danoso às células em concentrações altas e associado a riscos autoimunes. A pesquisa está se deslocando para derivados encurtados ou modificados e para formas de aumentar a produção endógena. Um estudo de feridas no subgrupo de grandes úlceras de perna, como pedem os autores do HEAL, seria o próximo passo lógico; ele não está registrado.</w:t>
      </w:r>
    </w:p>
    <w:bookmarkEnd w:id="1118"/>
    <w:bookmarkStart w:id="1120" w:name="conclusão-19"/>
    <w:p>
      <w:pPr>
        <w:pStyle w:val="Heading3"/>
      </w:pPr>
      <w:r>
        <w:t xml:space="preserve">Conclusão</w:t>
      </w:r>
    </w:p>
    <w:p>
      <w:pPr>
        <w:pStyle w:val="FirstParagraph"/>
      </w:pPr>
      <w:r>
        <w:t xml:space="preserve">O LL-37 é um importante peptídeo de defesa do próprio corpo, cujo nível foi medido em muitos estudos – mas como substância ativa foi administrado em humanos apenas em poucos estudos pequenos. Aplicado em feridas, foi bem tolerado, mas o maior estudo randomizado, com 148 pessoas, não encontrou vantagem em relação ao placebo</w:t>
      </w:r>
      <w:r>
        <w:rPr>
          <w:rStyle w:val="FootnoteReference"/>
        </w:rPr>
        <w:footnoteReference w:id="1119"/>
      </w:r>
      <w:r>
        <w:t xml:space="preserve">. Ao mesmo tempo, o LL-37 tem papel como impulsionador da inflamação na psoríase e na rosácea, e um tratamento injetável provocou, em um caso documentado, alterações cutâneas acentuadas. Para as aplicações anunciadas na internet – por exemplo, contra infecções crônicas ou como estimulante imunológico injetável – não há estudos em humanos.</w:t>
      </w:r>
    </w:p>
    <w:bookmarkEnd w:id="1120"/>
    <w:bookmarkEnd w:id="1121"/>
    <w:bookmarkStart w:id="1154" w:name="ara-290-cibinetida"/>
    <w:p>
      <w:pPr>
        <w:pStyle w:val="Heading2"/>
      </w:pPr>
      <w:r>
        <w:t xml:space="preserve">ARA-290 (cibinetida)</w:t>
      </w:r>
    </w:p>
    <w:p>
      <w:pPr>
        <w:pStyle w:val="FirstParagraph"/>
      </w:pPr>
      <w:r>
        <w:t xml:space="preserve">O ARA-290 é um peptídeo artificial derivado do hormônio da formação do sangue eritropoetina (EPO) – o hormônio que ficou famoso como agente de doping no ciclismo. O ARA-290, porém, não deveria justamente estimular a formação de sangue, mas apenas aproveitar as propriedades de proteção tecidual da EPO. Em pequenos estudos sobre dores nervosas no contexto da sarcoidose, mostrou sinais encorajadores. Na cena do biohacking, ele já é oferecido como peptídeo de</w:t>
      </w:r>
      <w:r>
        <w:t xml:space="preserve"> </w:t>
      </w:r>
      <w:r>
        <w:t xml:space="preserve">“</w:t>
      </w:r>
      <w:r>
        <w:t xml:space="preserve">regeneração nervosa</w:t>
      </w:r>
      <w:r>
        <w:t xml:space="preserve">”</w:t>
      </w:r>
      <w:r>
        <w:t xml:space="preserve"> </w:t>
      </w:r>
      <w:r>
        <w:t xml:space="preserve">e</w:t>
      </w:r>
      <w:r>
        <w:t xml:space="preserve"> </w:t>
      </w:r>
      <w:r>
        <w:t xml:space="preserve">“</w:t>
      </w:r>
      <w:r>
        <w:t xml:space="preserve">anti-aging</w:t>
      </w:r>
      <w:r>
        <w:t xml:space="preserve">”</w:t>
      </w:r>
      <w:r>
        <w:t xml:space="preserve">.</w:t>
      </w:r>
    </w:p>
    <w:bookmarkStart w:id="1124" w:name="ficha-técnica-20"/>
    <w:p>
      <w:pPr>
        <w:pStyle w:val="Heading3"/>
      </w:pPr>
      <w:r>
        <w:t xml:space="preserve">Ficha técnica</w:t>
      </w:r>
    </w:p>
    <w:p>
      <w:pPr>
        <w:numPr>
          <w:ilvl w:val="0"/>
          <w:numId w:val="1135"/>
        </w:numPr>
        <w:pStyle w:val="Compact"/>
      </w:pPr>
      <w:r>
        <w:rPr>
          <w:bCs/>
          <w:b/>
        </w:rPr>
        <w:t xml:space="preserve">Tipo e estrutura:</w:t>
      </w:r>
      <w:r>
        <w:t xml:space="preserve"> </w:t>
      </w:r>
      <w:r>
        <w:t xml:space="preserve">peptídeo sintético de 11 aminoácidos</w:t>
      </w:r>
      <w:r>
        <w:rPr>
          <w:rStyle w:val="FootnoteReference"/>
        </w:rPr>
        <w:footnoteReference w:id="1122"/>
      </w:r>
      <w:r>
        <w:t xml:space="preserve">; nome da substância cibinetida.</w:t>
      </w:r>
    </w:p>
    <w:p>
      <w:pPr>
        <w:numPr>
          <w:ilvl w:val="0"/>
          <w:numId w:val="1135"/>
        </w:numPr>
        <w:pStyle w:val="Compact"/>
      </w:pPr>
      <w:r>
        <w:rPr>
          <w:bCs/>
          <w:b/>
        </w:rPr>
        <w:t xml:space="preserve">Origem:</w:t>
      </w:r>
      <w:r>
        <w:t xml:space="preserve"> </w:t>
      </w:r>
      <w:r>
        <w:t xml:space="preserve">reproduzido a partir de um segmento da estrutura espacial da eritropoetina que seria responsável por sua proteção tecidual; desenvolvido pela empresa norte-americana Araim Pharmaceuticals.</w:t>
      </w:r>
    </w:p>
    <w:p>
      <w:pPr>
        <w:numPr>
          <w:ilvl w:val="0"/>
          <w:numId w:val="1135"/>
        </w:numPr>
        <w:pStyle w:val="Compact"/>
      </w:pPr>
      <w:r>
        <w:rPr>
          <w:bCs/>
          <w:b/>
        </w:rPr>
        <w:t xml:space="preserve">Princípio de ação:</w:t>
      </w:r>
      <w:r>
        <w:t xml:space="preserve"> </w:t>
      </w:r>
      <w:r>
        <w:t xml:space="preserve">liga-se a um chamado</w:t>
      </w:r>
      <w:r>
        <w:t xml:space="preserve"> </w:t>
      </w:r>
      <w:r>
        <w:t xml:space="preserve">“</w:t>
      </w:r>
      <w:r>
        <w:t xml:space="preserve">receptor de reparo inato</w:t>
      </w:r>
      <w:r>
        <w:t xml:space="preserve">”</w:t>
      </w:r>
      <w:r>
        <w:t xml:space="preserve"> </w:t>
      </w:r>
      <w:r>
        <w:t xml:space="preserve">(uma combinação do receptor de EPO com o componente de receptor CD131), não ao receptor de EPO clássico da formação de sangue; deveria atenuar inflamações e estimular o reparo tecidual.</w:t>
      </w:r>
    </w:p>
    <w:p>
      <w:pPr>
        <w:numPr>
          <w:ilvl w:val="0"/>
          <w:numId w:val="1135"/>
        </w:numPr>
        <w:pStyle w:val="Compact"/>
      </w:pPr>
      <w:r>
        <w:rPr>
          <w:bCs/>
          <w:b/>
        </w:rPr>
        <w:t xml:space="preserve">Aprovação UE/EUA:</w:t>
      </w:r>
      <w:r>
        <w:t xml:space="preserve"> </w:t>
      </w:r>
      <w:r>
        <w:t xml:space="preserve">não.</w:t>
      </w:r>
    </w:p>
    <w:p>
      <w:pPr>
        <w:numPr>
          <w:ilvl w:val="0"/>
          <w:numId w:val="1135"/>
        </w:numPr>
        <w:pStyle w:val="Compact"/>
      </w:pPr>
      <w:r>
        <w:rPr>
          <w:bCs/>
          <w:b/>
        </w:rPr>
        <w:t xml:space="preserve">WADA:</w:t>
      </w:r>
      <w:r>
        <w:t xml:space="preserve"> </w:t>
      </w:r>
      <w:r>
        <w:t xml:space="preserve">proibido – agonistas do receptor de EPO não eritropoéticos, como o ARA-290, são mencionados expressamente na classe S2; laboratórios antidoping desenvolveram métodos de detecção</w:t>
      </w:r>
      <w:r>
        <w:rPr>
          <w:rStyle w:val="FootnoteReference"/>
        </w:rPr>
        <w:footnoteReference w:id="1123"/>
      </w:r>
      <w:r>
        <w:t xml:space="preserve">.</w:t>
      </w:r>
    </w:p>
    <w:p>
      <w:pPr>
        <w:numPr>
          <w:ilvl w:val="0"/>
          <w:numId w:val="1135"/>
        </w:numPr>
        <w:pStyle w:val="Compact"/>
      </w:pPr>
      <w:r>
        <w:rPr>
          <w:bCs/>
          <w:b/>
        </w:rPr>
        <w:t xml:space="preserve">Nível de evidência: B</w:t>
      </w:r>
      <w:r>
        <w:t xml:space="preserve"> </w:t>
      </w:r>
      <w:r>
        <w:t xml:space="preserve">– vários pequenos estudos de fase 2 randomizados e controlados por placebo; nenhum estudo de fase 3.</w:t>
      </w:r>
    </w:p>
    <w:bookmarkEnd w:id="1124"/>
    <w:bookmarkStart w:id="1127" w:name="como-deveria-agir-20"/>
    <w:p>
      <w:pPr>
        <w:pStyle w:val="Heading3"/>
      </w:pPr>
      <w:r>
        <w:t xml:space="preserve">Como deveria agir</w:t>
      </w:r>
    </w:p>
    <w:p>
      <w:pPr>
        <w:pStyle w:val="FirstParagraph"/>
      </w:pPr>
      <w:r>
        <w:t xml:space="preserve">A eritropoetina é produzida no rim e estimula, na medula óssea, a formação de glóbulos vermelhos. Nos anos 2000, experimentos com animais mostraram que a EPO pode, além disso, proteger nervos, coração e rins contra danos. Como medicamento para isso, porém, a EPO não serve: ela aumenta o número de glóbulos vermelhos, espessa o sangue e eleva o risco de tromboses.</w:t>
      </w:r>
    </w:p>
    <w:p>
      <w:pPr>
        <w:pStyle w:val="BodyText"/>
      </w:pPr>
      <w:r>
        <w:t xml:space="preserve">Os desenvolvedores do ARA-290 supuseram que o efeito protetor ocorresse por um receptor diferente daquele da formação de sangue. Esse</w:t>
      </w:r>
      <w:r>
        <w:t xml:space="preserve"> </w:t>
      </w:r>
      <w:r>
        <w:t xml:space="preserve">“</w:t>
      </w:r>
      <w:r>
        <w:t xml:space="preserve">receptor de reparo</w:t>
      </w:r>
      <w:r>
        <w:t xml:space="preserve">”</w:t>
      </w:r>
      <w:r>
        <w:t xml:space="preserve"> </w:t>
      </w:r>
      <w:r>
        <w:t xml:space="preserve">só é produzido em maior quantidade em caso de dano tecidual ou inflamação. O ARA-290 deveria ativar seletivamente apenas ele. Em ratos com lesão nervosa, reduziu de forma dependente da dose a hipersensibilidade ao toque e ao frio por até 20 semanas e atenuou a ativação de células imunológicas na medula espinhal</w:t>
      </w:r>
      <w:r>
        <w:rPr>
          <w:rStyle w:val="FootnoteReference"/>
        </w:rPr>
        <w:footnoteReference w:id="1125"/>
      </w:r>
      <w:r>
        <w:t xml:space="preserve">.</w:t>
      </w:r>
    </w:p>
    <w:p>
      <w:pPr>
        <w:pStyle w:val="BodyText"/>
      </w:pPr>
      <w:r>
        <w:t xml:space="preserve">O ARA-290 é degradado rapidamente no sangue; um laboratório antidoping descreveu uma degradação acentuada por enzimas, com um produto de degradação principal</w:t>
      </w:r>
      <w:r>
        <w:rPr>
          <w:rStyle w:val="FootnoteReference"/>
        </w:rPr>
        <w:footnoteReference w:id="1126"/>
      </w:r>
      <w:r>
        <w:t xml:space="preserve">.</w:t>
      </w:r>
    </w:p>
    <w:bookmarkEnd w:id="1127"/>
    <w:bookmarkStart w:id="1136" w:name="estudos-em-humanos-20"/>
    <w:p>
      <w:pPr>
        <w:pStyle w:val="Heading3"/>
      </w:pPr>
      <w:r>
        <w:t xml:space="preserve">Estudos em humanos</w:t>
      </w:r>
    </w:p>
    <w:p>
      <w:pPr>
        <w:pStyle w:val="FirstParagraph"/>
      </w:pPr>
      <w:r>
        <w:rPr>
          <w:bCs/>
          <w:b/>
        </w:rPr>
        <w:t xml:space="preserve">Dimensão da base de estudos (consulta de outubro de 2026):</w:t>
      </w:r>
      <w:r>
        <w:t xml:space="preserve"> </w:t>
      </w:r>
      <w:r>
        <w:t xml:space="preserve">a busca automatizada encontrou</w:t>
      </w:r>
      <w:r>
        <w:t xml:space="preserve"> </w:t>
      </w:r>
      <w:r>
        <w:rPr>
          <w:bCs/>
          <w:b/>
        </w:rPr>
        <w:t xml:space="preserve">5</w:t>
      </w:r>
      <w:r>
        <w:t xml:space="preserve"> </w:t>
      </w:r>
      <w:r>
        <w:t xml:space="preserve">estudos em humanos no PubMed e</w:t>
      </w:r>
      <w:r>
        <w:t xml:space="preserve"> </w:t>
      </w:r>
      <w:r>
        <w:rPr>
          <w:bCs/>
          <w:b/>
        </w:rPr>
        <w:t xml:space="preserve">5</w:t>
      </w:r>
      <w:r>
        <w:t xml:space="preserve"> </w:t>
      </w:r>
      <w:r>
        <w:t xml:space="preserve">registros no ClinicalTrials.gov. Um estudo adicional (edema macular diabético) foi localizado por busca direcionada. Todos os estudos são pequenos e duraram de quatro a doze semanas.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Sarcoidose, estudo-piloto (Heij 2012, PMID 23168581)</w:t>
            </w:r>
          </w:p>
        </w:tc>
        <w:tc>
          <w:tcPr/>
          <w:p>
            <w:pPr>
              <w:pStyle w:val="Compact"/>
              <w:jc w:val="left"/>
            </w:pPr>
            <w:r>
              <w:t xml:space="preserve">22 pessoas com dores nervosas na sarcoidose, ECR duplo-cego, infusão</w:t>
            </w:r>
          </w:p>
        </w:tc>
        <w:tc>
          <w:tcPr/>
          <w:p>
            <w:pPr>
              <w:pStyle w:val="Compact"/>
              <w:jc w:val="left"/>
            </w:pPr>
            <w:r>
              <w:t xml:space="preserve">4 semanas</w:t>
            </w:r>
          </w:p>
        </w:tc>
        <w:tc>
          <w:tcPr/>
          <w:p>
            <w:pPr>
              <w:pStyle w:val="Compact"/>
              <w:jc w:val="left"/>
            </w:pPr>
            <w:r>
              <w:t xml:space="preserve">questionário de neuropatia −11,5 vs. −2,9 pontos; escala principal de dor igualmente melhorada nos dois grupos</w:t>
            </w:r>
          </w:p>
        </w:tc>
      </w:tr>
      <w:tr>
        <w:tc>
          <w:tcPr/>
          <w:p>
            <w:pPr>
              <w:pStyle w:val="Compact"/>
              <w:jc w:val="left"/>
            </w:pPr>
            <w:r>
              <w:t xml:space="preserve">Sarcoidose, injeção subcutânea (Dahan 2013, PMID 24136731)</w:t>
            </w:r>
          </w:p>
        </w:tc>
        <w:tc>
          <w:tcPr/>
          <w:p>
            <w:pPr>
              <w:pStyle w:val="Compact"/>
              <w:jc w:val="left"/>
            </w:pPr>
            <w:r>
              <w:t xml:space="preserve">pessoas com perda de fibras nervosas na sarcoidose, estudo cego controlado por placebo</w:t>
            </w:r>
          </w:p>
        </w:tc>
        <w:tc>
          <w:tcPr/>
          <w:p>
            <w:pPr>
              <w:pStyle w:val="Compact"/>
              <w:jc w:val="left"/>
            </w:pPr>
            <w:r>
              <w:t xml:space="preserve">28 dias</w:t>
            </w:r>
          </w:p>
        </w:tc>
        <w:tc>
          <w:tcPr/>
          <w:p>
            <w:pPr>
              <w:pStyle w:val="Compact"/>
              <w:jc w:val="left"/>
            </w:pPr>
            <w:r>
              <w:t xml:space="preserve">melhora das queixas, mais fibras nervosas na córnea, maior distância de caminhada</w:t>
            </w:r>
          </w:p>
        </w:tc>
      </w:tr>
      <w:tr>
        <w:tc>
          <w:tcPr/>
          <w:p>
            <w:pPr>
              <w:pStyle w:val="Compact"/>
              <w:jc w:val="left"/>
            </w:pPr>
            <w:r>
              <w:t xml:space="preserve">Sarcoidose, fase 2b (Culver 2017, PMID 28475703; NCT02039687)</w:t>
            </w:r>
          </w:p>
        </w:tc>
        <w:tc>
          <w:tcPr/>
          <w:p>
            <w:pPr>
              <w:pStyle w:val="Compact"/>
              <w:jc w:val="left"/>
            </w:pPr>
            <w:r>
              <w:t xml:space="preserve">64 pessoas, ECR com três doses e placebo</w:t>
            </w:r>
          </w:p>
        </w:tc>
        <w:tc>
          <w:tcPr/>
          <w:p>
            <w:pPr>
              <w:pStyle w:val="Compact"/>
              <w:jc w:val="left"/>
            </w:pPr>
            <w:r>
              <w:t xml:space="preserve">28 dias</w:t>
            </w:r>
          </w:p>
        </w:tc>
        <w:tc>
          <w:tcPr/>
          <w:p>
            <w:pPr>
              <w:pStyle w:val="Compact"/>
              <w:jc w:val="left"/>
            </w:pPr>
            <w:r>
              <w:t xml:space="preserve">área de fibras nervosas da córnea aumentada significativamente apenas com a dose intermediária; dor melhorada em todos os grupos, inclusive placebo</w:t>
            </w:r>
          </w:p>
        </w:tc>
      </w:tr>
      <w:tr>
        <w:tc>
          <w:tcPr/>
          <w:p>
            <w:pPr>
              <w:pStyle w:val="Compact"/>
              <w:jc w:val="left"/>
            </w:pPr>
            <w:r>
              <w:t xml:space="preserve">Diabetes tipo 2 com neuropatia (Brines 2015, PMID 25387363)</w:t>
            </w:r>
          </w:p>
        </w:tc>
        <w:tc>
          <w:tcPr/>
          <w:p>
            <w:pPr>
              <w:pStyle w:val="Compact"/>
              <w:jc w:val="left"/>
            </w:pPr>
            <w:r>
              <w:t xml:space="preserve">pessoas com diabetes tipo 2 e dores nervosas, fase 2, contra placebo</w:t>
            </w:r>
          </w:p>
        </w:tc>
        <w:tc>
          <w:tcPr/>
          <w:p>
            <w:pPr>
              <w:pStyle w:val="Compact"/>
              <w:jc w:val="left"/>
            </w:pPr>
            <w:r>
              <w:t xml:space="preserve">28 dias mais 28 dias</w:t>
            </w:r>
          </w:p>
        </w:tc>
        <w:tc>
          <w:tcPr/>
          <w:p>
            <w:pPr>
              <w:pStyle w:val="Compact"/>
              <w:jc w:val="left"/>
            </w:pPr>
            <w:r>
              <w:t xml:space="preserve">HbA1c e lipídios sanguíneos melhorados, questionário de neuropatia melhor</w:t>
            </w:r>
          </w:p>
        </w:tc>
      </w:tr>
      <w:tr>
        <w:tc>
          <w:tcPr/>
          <w:p>
            <w:pPr>
              <w:pStyle w:val="Compact"/>
              <w:jc w:val="left"/>
            </w:pPr>
            <w:r>
              <w:t xml:space="preserve">Edema macular diabético (Lois 2020, PMID 32674280)</w:t>
            </w:r>
          </w:p>
        </w:tc>
        <w:tc>
          <w:tcPr/>
          <w:p>
            <w:pPr>
              <w:pStyle w:val="Compact"/>
              <w:jc w:val="left"/>
            </w:pPr>
            <w:r>
              <w:t xml:space="preserve">9 pessoas, fase 2 sem grupo de controle</w:t>
            </w:r>
          </w:p>
        </w:tc>
        <w:tc>
          <w:tcPr/>
          <w:p>
            <w:pPr>
              <w:pStyle w:val="Compact"/>
              <w:jc w:val="left"/>
            </w:pPr>
            <w:r>
              <w:t xml:space="preserve">12 semanas</w:t>
            </w:r>
          </w:p>
        </w:tc>
        <w:tc>
          <w:tcPr/>
          <w:p>
            <w:pPr>
              <w:pStyle w:val="Compact"/>
              <w:jc w:val="left"/>
            </w:pPr>
            <w:r>
              <w:t xml:space="preserve">nenhuma melhora da acuidade visual ou da espessura da retina; nenhum anticorpo contra a substância</w:t>
            </w:r>
          </w:p>
        </w:tc>
      </w:tr>
      <w:tr>
        <w:tc>
          <w:tcPr/>
          <w:p>
            <w:pPr>
              <w:pStyle w:val="Compact"/>
              <w:jc w:val="left"/>
            </w:pPr>
            <w:r>
              <w:t xml:space="preserve">Pessoas saudáveis, humor (Cerit 2015, PMID 26431906)</w:t>
            </w:r>
          </w:p>
        </w:tc>
        <w:tc>
          <w:tcPr/>
          <w:p>
            <w:pPr>
              <w:pStyle w:val="Compact"/>
              <w:jc w:val="left"/>
            </w:pPr>
            <w:r>
              <w:t xml:space="preserve">36 pessoas saudáveis, ECR duplo-cego, dose única</w:t>
            </w:r>
          </w:p>
        </w:tc>
        <w:tc>
          <w:tcPr/>
          <w:p>
            <w:pPr>
              <w:pStyle w:val="Compact"/>
              <w:jc w:val="left"/>
            </w:pPr>
            <w:r>
              <w:t xml:space="preserve">1 semana</w:t>
            </w:r>
          </w:p>
        </w:tc>
        <w:tc>
          <w:tcPr/>
          <w:p>
            <w:pPr>
              <w:pStyle w:val="Compact"/>
              <w:jc w:val="left"/>
            </w:pPr>
            <w:r>
              <w:t xml:space="preserve">nenhum efeito sobre o humor; achados não indicam claramente efeito antidepressivo</w:t>
            </w:r>
          </w:p>
        </w:tc>
      </w:tr>
    </w:tbl>
    <w:bookmarkStart w:id="1131" w:name="sarcoidose-a-principal-área-de-aplicação"/>
    <w:p>
      <w:pPr>
        <w:pStyle w:val="Heading4"/>
      </w:pPr>
      <w:r>
        <w:t xml:space="preserve">Sarcoidose – a principal área de aplicação</w:t>
      </w:r>
    </w:p>
    <w:p>
      <w:pPr>
        <w:pStyle w:val="FirstParagraph"/>
      </w:pPr>
      <w:r>
        <w:t xml:space="preserve">A sarcoidose é uma doença inflamatória na qual se formam pequenos nódulos nos pulmões, na pele, nos olhos e em outros órgãos. Muitos afetados sofrem de dores em queimação e sensações anormais por fibras nervosas finas danificadas (neuropatia de fibras finas). Tratamentos eficazes quase não existem.</w:t>
      </w:r>
    </w:p>
    <w:p>
      <w:pPr>
        <w:pStyle w:val="BodyText"/>
      </w:pPr>
      <w:r>
        <w:t xml:space="preserve">No primeiro estudo-piloto, com 22 pessoas, um questionário sobre queixas de neuropatia melhorou muito mais com ARA-290 do que com placebo. Os valores do questionário principal de dor e da fadiga, porém, melhoraram igualmente nos dois grupos – um indício de um efeito placebo considerável</w:t>
      </w:r>
      <w:r>
        <w:rPr>
          <w:rStyle w:val="FootnoteReference"/>
        </w:rPr>
        <w:footnoteReference w:id="1128"/>
      </w:r>
      <w:r>
        <w:t xml:space="preserve">.</w:t>
      </w:r>
    </w:p>
    <w:p>
      <w:pPr>
        <w:pStyle w:val="BodyText"/>
      </w:pPr>
      <w:r>
        <w:t xml:space="preserve">O maior estudo, um estudo de fase 2b com 64 pessoas, escolheu como desfecho primário a área das fibras nervosas finas na córnea do olho, que pode ser medida com um microscópio especial. Apenas na dose intermediária de três essa área aumentou significativamente em relação ao placebo; a dose baixa e a alta não mostraram efeito significativo. As dores melhoraram em todos os grupos, também com placebo</w:t>
      </w:r>
      <w:r>
        <w:rPr>
          <w:rStyle w:val="FootnoteReference"/>
        </w:rPr>
        <w:footnoteReference w:id="1129"/>
      </w:r>
      <w:r>
        <w:t xml:space="preserve">. As fibras nervosas da córnea são um marcador substituto (desfecho substituto): não está comprovado que mais fibras nervosas na córnea signifiquem também, de forma duradoura, menos dor.</w:t>
      </w:r>
    </w:p>
    <w:p>
      <w:pPr>
        <w:pStyle w:val="BodyText"/>
      </w:pPr>
      <w:r>
        <w:t xml:space="preserve">Uma revisão de membros do grupo de pesquisa de Leiden avaliou as perspectivas como promissoras</w:t>
      </w:r>
      <w:r>
        <w:rPr>
          <w:rStyle w:val="FootnoteReference"/>
        </w:rPr>
        <w:footnoteReference w:id="1130"/>
      </w:r>
      <w:r>
        <w:t xml:space="preserve">. Deve-se considerar que grande parte dos estudos vem da empresa desenvolvedora e de pesquisadores estreitamente ligados a ela.</w:t>
      </w:r>
    </w:p>
    <w:bookmarkEnd w:id="1131"/>
    <w:bookmarkStart w:id="1135" w:name="diabetes"/>
    <w:p>
      <w:pPr>
        <w:pStyle w:val="Heading4"/>
      </w:pPr>
      <w:r>
        <w:t xml:space="preserve">Diabetes</w:t>
      </w:r>
    </w:p>
    <w:p>
      <w:pPr>
        <w:pStyle w:val="FirstParagraph"/>
      </w:pPr>
      <w:r>
        <w:t xml:space="preserve">Em pessoas com diabetes tipo 2 e neuropatia dolorosa, melhoraram com ARA-290, ao longo de 28 dias, a glicemia de longo prazo HbA1c, os lipídios sanguíneos e as queixas de neuropatia</w:t>
      </w:r>
      <w:r>
        <w:rPr>
          <w:rStyle w:val="FootnoteReference"/>
        </w:rPr>
        <w:footnoteReference w:id="1132"/>
      </w:r>
      <w:r>
        <w:t xml:space="preserve">. O número de participantes não é informado no resumo; o estudo foi curto. Um estudo sueco registrado separadamente sobre o efeito glicêmico no pré-diabetes, com 24 pessoas previstas, tem status desconhecido</w:t>
      </w:r>
      <w:r>
        <w:rPr>
          <w:rStyle w:val="FootnoteReference"/>
        </w:rPr>
        <w:footnoteReference w:id="1133"/>
      </w:r>
      <w:r>
        <w:t xml:space="preserve">. Em nove pessoas com edema macular diabético – um inchaço do centro da retina –, a acuidade visual e a espessura da retina não melhoraram</w:t>
      </w:r>
      <w:r>
        <w:rPr>
          <w:rStyle w:val="FootnoteReference"/>
        </w:rPr>
        <w:footnoteReference w:id="1134"/>
      </w:r>
      <w:r>
        <w:t xml:space="preserve">.</w:t>
      </w:r>
    </w:p>
    <w:bookmarkEnd w:id="1135"/>
    <w:bookmarkEnd w:id="1136"/>
    <w:bookmarkStart w:id="1142" w:name="estudos-em-animais-e-em-laboratório-20"/>
    <w:p>
      <w:pPr>
        <w:pStyle w:val="Heading3"/>
      </w:pPr>
      <w:r>
        <w:t xml:space="preserve">Estudos em animais e em laboratório</w:t>
      </w:r>
    </w:p>
    <w:p>
      <w:pPr>
        <w:pStyle w:val="FirstParagraph"/>
      </w:pPr>
      <w:r>
        <w:t xml:space="preserve">A pesquisa em animais sobre o ARA-290 é ampla. Em ratos, camundongos e porcos, foram descritos efeitos protetores em dores nervosas</w:t>
      </w:r>
      <w:r>
        <w:rPr>
          <w:rStyle w:val="FootnoteReference"/>
        </w:rPr>
        <w:footnoteReference w:id="1137"/>
      </w:r>
      <w:r>
        <w:t xml:space="preserve">, em danos renais após distúrbio circulatório em porcos</w:t>
      </w:r>
      <w:r>
        <w:rPr>
          <w:rStyle w:val="FootnoteReference"/>
        </w:rPr>
        <w:footnoteReference w:id="1138"/>
      </w:r>
      <w:r>
        <w:t xml:space="preserve">, no diabetes em ratos</w:t>
      </w:r>
      <w:r>
        <w:rPr>
          <w:rStyle w:val="FootnoteReference"/>
        </w:rPr>
        <w:footnoteReference w:id="1139"/>
      </w:r>
      <w:r>
        <w:t xml:space="preserve"> </w:t>
      </w:r>
      <w:r>
        <w:t xml:space="preserve">e em alterações semelhantes às do Alzheimer</w:t>
      </w:r>
      <w:r>
        <w:rPr>
          <w:rStyle w:val="FootnoteReference"/>
        </w:rPr>
        <w:footnoteReference w:id="1140"/>
      </w:r>
      <w:r>
        <w:t xml:space="preserve">. Em um estudo de longo prazo com ratos em envelhecimento, durante 15 meses, o ARA-290 reduziu sinais inflamatórios no coração e atenuou pioras da função cardíaca relacionadas à idade</w:t>
      </w:r>
      <w:r>
        <w:rPr>
          <w:rStyle w:val="FootnoteReference"/>
        </w:rPr>
        <w:footnoteReference w:id="1141"/>
      </w:r>
      <w:r>
        <w:t xml:space="preserve"> </w:t>
      </w:r>
      <w:r>
        <w:t xml:space="preserve">– é nesse trabalho que se apoia a comercialização como</w:t>
      </w:r>
      <w:r>
        <w:t xml:space="preserve"> </w:t>
      </w:r>
      <w:r>
        <w:t xml:space="preserve">“</w:t>
      </w:r>
      <w:r>
        <w:t xml:space="preserve">peptídeo anti-aging</w:t>
      </w:r>
      <w:r>
        <w:t xml:space="preserve">”</w:t>
      </w:r>
      <w:r>
        <w:t xml:space="preserve">. Todos esses resultados vêm de experimentos com animais.</w:t>
      </w:r>
    </w:p>
    <w:bookmarkEnd w:id="1142"/>
    <w:bookmarkStart w:id="1147" w:name="riscos-e-efeitos-colaterais-20"/>
    <w:p>
      <w:pPr>
        <w:pStyle w:val="Heading3"/>
      </w:pPr>
      <w:r>
        <w:t xml:space="preserve">Riscos e efeitos colaterais</w:t>
      </w:r>
    </w:p>
    <w:bookmarkStart w:id="1145" w:name="comprovados-4"/>
    <w:p>
      <w:pPr>
        <w:pStyle w:val="Heading4"/>
      </w:pPr>
      <w:r>
        <w:t xml:space="preserve">Comprovados</w:t>
      </w:r>
    </w:p>
    <w:p>
      <w:pPr>
        <w:pStyle w:val="FirstParagraph"/>
      </w:pPr>
      <w:r>
        <w:t xml:space="preserve">Em todos os estudos publicados, não foram relatados problemas de segurança</w:t>
      </w:r>
      <w:r>
        <w:rPr>
          <w:rStyle w:val="FootnoteReference"/>
        </w:rPr>
        <w:footnoteReference w:id="1143"/>
      </w:r>
      <w:r>
        <w:t xml:space="preserve">. No estudo de edema macular, de doze semanas, não ocorreram efeitos colaterais graves nem anticorpos contra o ARA-290</w:t>
      </w:r>
      <w:r>
        <w:rPr>
          <w:rStyle w:val="FootnoteReference"/>
        </w:rPr>
        <w:footnoteReference w:id="1144"/>
      </w:r>
      <w:r>
        <w:t xml:space="preserve">. A base de dados, porém, é pequena, com bem menos de 200 pessoas tratadas no total e tempos de tratamento de no máximo doze semanas.</w:t>
      </w:r>
    </w:p>
    <w:bookmarkEnd w:id="1145"/>
    <w:bookmarkStart w:id="1146" w:name="teóricos-1"/>
    <w:p>
      <w:pPr>
        <w:pStyle w:val="Heading4"/>
      </w:pPr>
      <w:r>
        <w:t xml:space="preserve">Teóricos</w:t>
      </w:r>
    </w:p>
    <w:p>
      <w:pPr>
        <w:numPr>
          <w:ilvl w:val="0"/>
          <w:numId w:val="1136"/>
        </w:numPr>
        <w:pStyle w:val="Compact"/>
      </w:pPr>
      <w:r>
        <w:rPr>
          <w:bCs/>
          <w:b/>
        </w:rPr>
        <w:t xml:space="preserve">Efeitos semelhantes aos da EPO:</w:t>
      </w:r>
      <w:r>
        <w:t xml:space="preserve"> </w:t>
      </w:r>
      <w:r>
        <w:t xml:space="preserve">o ARA-290 foi projetado para não estimular a formação de sangue. Se, com uso mais prolongado ou doses mais altas, como as que circulam no mercado cinza, ainda assim surgem efeitos semelhantes aos da EPO não foi estudado em humanos.</w:t>
      </w:r>
    </w:p>
    <w:p>
      <w:pPr>
        <w:numPr>
          <w:ilvl w:val="0"/>
          <w:numId w:val="1136"/>
        </w:numPr>
        <w:pStyle w:val="Compact"/>
      </w:pPr>
      <w:r>
        <w:rPr>
          <w:bCs/>
          <w:b/>
        </w:rPr>
        <w:t xml:space="preserve">Crescimento tumoral:</w:t>
      </w:r>
      <w:r>
        <w:t xml:space="preserve"> </w:t>
      </w:r>
      <w:r>
        <w:t xml:space="preserve">a própria EPO é suspeita de favorecer o crescimento tumoral em alguns tipos de câncer. Se isso tem papel no caso do ARA-290 é desconhecido; faltam dados de longo prazo.</w:t>
      </w:r>
    </w:p>
    <w:p>
      <w:pPr>
        <w:numPr>
          <w:ilvl w:val="0"/>
          <w:numId w:val="1136"/>
        </w:numPr>
        <w:pStyle w:val="Compact"/>
      </w:pPr>
      <w:r>
        <w:rPr>
          <w:bCs/>
          <w:b/>
        </w:rPr>
        <w:t xml:space="preserve">Mercado cinza:</w:t>
      </w:r>
      <w:r>
        <w:t xml:space="preserve"> </w:t>
      </w:r>
      <w:r>
        <w:t xml:space="preserve">os estudos foram realizados com qualidade farmacêutica. Para produtos vendidos livremente, pureza e teor são desconhecidos.</w:t>
      </w:r>
    </w:p>
    <w:bookmarkEnd w:id="1146"/>
    <w:bookmarkEnd w:id="1147"/>
    <w:bookmarkStart w:id="1148" w:name="situação-legal-20"/>
    <w:p>
      <w:pPr>
        <w:pStyle w:val="Heading3"/>
      </w:pPr>
      <w:r>
        <w:t xml:space="preserve">Situação legal</w:t>
      </w:r>
    </w:p>
    <w:p>
      <w:pPr>
        <w:pStyle w:val="FirstParagraph"/>
      </w:pPr>
      <w:r>
        <w:rPr>
          <w:iCs/>
          <w:i/>
        </w:rPr>
        <w:t xml:space="preserve">Situação em 2026, verificar atualização.</w:t>
      </w:r>
    </w:p>
    <w:p>
      <w:pPr>
        <w:numPr>
          <w:ilvl w:val="0"/>
          <w:numId w:val="1137"/>
        </w:numPr>
        <w:pStyle w:val="Compact"/>
      </w:pPr>
      <w:r>
        <w:rPr>
          <w:bCs/>
          <w:b/>
        </w:rPr>
        <w:t xml:space="preserve">UE, Alemanha, Áustria:</w:t>
      </w:r>
      <w:r>
        <w:t xml:space="preserve"> </w:t>
      </w:r>
      <w:r>
        <w:t xml:space="preserve">não aprovado. O fornecimento para uso em humanos não é permitido.</w:t>
      </w:r>
    </w:p>
    <w:p>
      <w:pPr>
        <w:numPr>
          <w:ilvl w:val="0"/>
          <w:numId w:val="1137"/>
        </w:numPr>
        <w:pStyle w:val="Compact"/>
      </w:pPr>
      <w:r>
        <w:rPr>
          <w:bCs/>
          <w:b/>
        </w:rPr>
        <w:t xml:space="preserve">EUA:</w:t>
      </w:r>
      <w:r>
        <w:t xml:space="preserve"> </w:t>
      </w:r>
      <w:r>
        <w:t xml:space="preserve">sem aprovação da FDA.</w:t>
      </w:r>
    </w:p>
    <w:p>
      <w:pPr>
        <w:numPr>
          <w:ilvl w:val="0"/>
          <w:numId w:val="1137"/>
        </w:numPr>
        <w:pStyle w:val="Compact"/>
      </w:pPr>
      <w:r>
        <w:rPr>
          <w:bCs/>
          <w:b/>
        </w:rPr>
        <w:t xml:space="preserve">WADA:</w:t>
      </w:r>
      <w:r>
        <w:t xml:space="preserve"> </w:t>
      </w:r>
      <w:r>
        <w:t xml:space="preserve">proibido em competição e fora dela (S2, hormônios peptídicos e substâncias relacionadas; o ARA-290 é citado como exemplo de agonista do receptor de EPO não eritropoético).</w:t>
      </w:r>
    </w:p>
    <w:bookmarkEnd w:id="1148"/>
    <w:bookmarkStart w:id="1151" w:name="estudos-em-andamento-e-perspectivas-20"/>
    <w:p>
      <w:pPr>
        <w:pStyle w:val="Heading3"/>
      </w:pPr>
      <w:r>
        <w:t xml:space="preserve">Estudos em andamento e perspectivas</w:t>
      </w:r>
    </w:p>
    <w:p>
      <w:pPr>
        <w:pStyle w:val="FirstParagraph"/>
      </w:pPr>
      <w:r>
        <w:rPr>
          <w:bCs/>
          <w:b/>
        </w:rPr>
        <w:t xml:space="preserve">Confirmado:</w:t>
      </w:r>
      <w:r>
        <w:t xml:space="preserve"> </w:t>
      </w:r>
      <w:r>
        <w:t xml:space="preserve">em outubro de 2026, não há no ClinicalTrials.gov nenhum estudo em andamento com ARA-290 ou cibinetida registrado. O maior estudo até agora</w:t>
      </w:r>
      <w:r>
        <w:rPr>
          <w:rStyle w:val="FootnoteReference"/>
        </w:rPr>
        <w:footnoteReference w:id="1149"/>
      </w:r>
      <w:r>
        <w:t xml:space="preserve"> </w:t>
      </w:r>
      <w:r>
        <w:t xml:space="preserve">foi concluído em 2015; desde então, nenhum estudo de fase 3 foi iniciado. O estudo de edema macular foi encerrado com nove pessoas</w:t>
      </w:r>
      <w:r>
        <w:rPr>
          <w:rStyle w:val="FootnoteReference"/>
        </w:rPr>
        <w:footnoteReference w:id="1150"/>
      </w:r>
      <w:r>
        <w:t xml:space="preserve">.</w:t>
      </w:r>
    </w:p>
    <w:p>
      <w:pPr>
        <w:pStyle w:val="BodyText"/>
      </w:pPr>
      <w:r>
        <w:rPr>
          <w:bCs/>
          <w:b/>
        </w:rPr>
        <w:t xml:space="preserve">Avaliação do autor:</w:t>
      </w:r>
      <w:r>
        <w:t xml:space="preserve"> </w:t>
      </w:r>
      <w:r>
        <w:t xml:space="preserve">os resultados na neuropatia da sarcoidose foram interessantes o suficiente para um estudo de fase 3, que, porém, mais de dez anos após o estudo de fase 2b, visivelmente não foi iniciado. Sem um novo desenvolvedor ou financiador, uma aprovação é improvável. A comercialização no mercado cinza como agente anti-aging se apoia em estudos com ratos e tem pouco a ver com as aplicações estudadas em humanos.</w:t>
      </w:r>
    </w:p>
    <w:bookmarkEnd w:id="1151"/>
    <w:bookmarkStart w:id="1153" w:name="conclusão-20"/>
    <w:p>
      <w:pPr>
        <w:pStyle w:val="Heading3"/>
      </w:pPr>
      <w:r>
        <w:t xml:space="preserve">Conclusão</w:t>
      </w:r>
    </w:p>
    <w:p>
      <w:pPr>
        <w:pStyle w:val="FirstParagraph"/>
      </w:pPr>
      <w:r>
        <w:t xml:space="preserve">O ARA-290 é um peptídeo derivado da eritropoetina que deveria proteger tecidos sem estimular a formação de sangue. Em pequenos estudos randomizados sobre lesão nervosa causada pela sarcoidose, as fibras nervosas da córnea aumentaram, porém apenas em uma de três doses, e as dores melhoraram claramente também com placebo</w:t>
      </w:r>
      <w:r>
        <w:rPr>
          <w:rStyle w:val="FootnoteReference"/>
        </w:rPr>
        <w:footnoteReference w:id="1152"/>
      </w:r>
      <w:r>
        <w:t xml:space="preserve">. A tolerabilidade foi boa nos estudos curtos; faltam dados de longo prazo. Desde 2015 não há novos estudos registrados; no esporte, o ARA-290 é proibido.</w:t>
      </w:r>
    </w:p>
    <w:bookmarkEnd w:id="1153"/>
    <w:bookmarkEnd w:id="1154"/>
    <w:bookmarkStart w:id="1192" w:name="larazotida"/>
    <w:p>
      <w:pPr>
        <w:pStyle w:val="Heading2"/>
      </w:pPr>
      <w:r>
        <w:t xml:space="preserve">Larazotida</w:t>
      </w:r>
    </w:p>
    <w:p>
      <w:pPr>
        <w:pStyle w:val="FirstParagraph"/>
      </w:pPr>
      <w:r>
        <w:t xml:space="preserve">A larazotida é o único peptídeo deste grupo que chegou a um estudo de aprovação de fase 3 sem ter sido aprovado antes em algum lugar. Ela deveria se tornar o primeiro medicamento contra a doença celíaca – uma doença na qual, até hoje, só ajuda a dieta sem glúten por toda a vida. O conceito por trás dela, a vedação de uma parede intestinal</w:t>
      </w:r>
      <w:r>
        <w:t xml:space="preserve"> </w:t>
      </w:r>
      <w:r>
        <w:t xml:space="preserve">“</w:t>
      </w:r>
      <w:r>
        <w:t xml:space="preserve">permeável</w:t>
      </w:r>
      <w:r>
        <w:t xml:space="preserve">”</w:t>
      </w:r>
      <w:r>
        <w:t xml:space="preserve">, torna a larazotida interessante também para a cena em torno do</w:t>
      </w:r>
      <w:r>
        <w:t xml:space="preserve"> </w:t>
      </w:r>
      <w:r>
        <w:t xml:space="preserve">“</w:t>
      </w:r>
      <w:r>
        <w:t xml:space="preserve">leaky gut</w:t>
      </w:r>
      <w:r>
        <w:t xml:space="preserve">”</w:t>
      </w:r>
      <w:r>
        <w:t xml:space="preserve"> </w:t>
      </w:r>
      <w:r>
        <w:t xml:space="preserve">(intestino permeável). A história da substância mostra como é difícil transformar uma ideia plausível em um medicamento eficaz.</w:t>
      </w:r>
    </w:p>
    <w:bookmarkStart w:id="1156" w:name="ficha-técnica-21"/>
    <w:p>
      <w:pPr>
        <w:pStyle w:val="Heading3"/>
      </w:pPr>
      <w:r>
        <w:t xml:space="preserve">Ficha técnica</w:t>
      </w:r>
    </w:p>
    <w:p>
      <w:pPr>
        <w:numPr>
          <w:ilvl w:val="0"/>
          <w:numId w:val="1138"/>
        </w:numPr>
        <w:pStyle w:val="Compact"/>
      </w:pPr>
      <w:r>
        <w:rPr>
          <w:bCs/>
          <w:b/>
        </w:rPr>
        <w:t xml:space="preserve">Tipo e estrutura:</w:t>
      </w:r>
      <w:r>
        <w:t xml:space="preserve"> </w:t>
      </w:r>
      <w:r>
        <w:t xml:space="preserve">peptídeo sintético de 8 aminoácidos</w:t>
      </w:r>
      <w:r>
        <w:rPr>
          <w:rStyle w:val="FootnoteReference"/>
        </w:rPr>
        <w:footnoteReference w:id="1155"/>
      </w:r>
      <w:r>
        <w:t xml:space="preserve">, como sal acetato (acetato de larazotida); código de desenvolvimento AT-1001.</w:t>
      </w:r>
    </w:p>
    <w:p>
      <w:pPr>
        <w:numPr>
          <w:ilvl w:val="0"/>
          <w:numId w:val="1138"/>
        </w:numPr>
        <w:pStyle w:val="Compact"/>
      </w:pPr>
      <w:r>
        <w:rPr>
          <w:bCs/>
          <w:b/>
        </w:rPr>
        <w:t xml:space="preserve">Origem:</w:t>
      </w:r>
      <w:r>
        <w:t xml:space="preserve"> </w:t>
      </w:r>
      <w:r>
        <w:t xml:space="preserve">derivada da pesquisa sobre a toxina zonula occludens da bactéria do cólera, que abre as junções entre as células intestinais; a larazotida deveria agir de forma inversa.</w:t>
      </w:r>
    </w:p>
    <w:p>
      <w:pPr>
        <w:numPr>
          <w:ilvl w:val="0"/>
          <w:numId w:val="1138"/>
        </w:numPr>
        <w:pStyle w:val="Compact"/>
      </w:pPr>
      <w:r>
        <w:rPr>
          <w:bCs/>
          <w:b/>
        </w:rPr>
        <w:t xml:space="preserve">Princípio de ação:</w:t>
      </w:r>
      <w:r>
        <w:t xml:space="preserve"> </w:t>
      </w:r>
      <w:r>
        <w:t xml:space="preserve">regulador das</w:t>
      </w:r>
      <w:r>
        <w:t xml:space="preserve"> </w:t>
      </w:r>
      <w:r>
        <w:t xml:space="preserve">“</w:t>
      </w:r>
      <w:r>
        <w:t xml:space="preserve">tight junctions</w:t>
      </w:r>
      <w:r>
        <w:t xml:space="preserve">”</w:t>
      </w:r>
      <w:r>
        <w:t xml:space="preserve"> </w:t>
      </w:r>
      <w:r>
        <w:t xml:space="preserve">(junções de oclusão entre as células intestinais); considerada antagonista do mensageiro endógeno zonulina. Age localmente no intestino e quase não é absorvida para o sangue.</w:t>
      </w:r>
    </w:p>
    <w:p>
      <w:pPr>
        <w:numPr>
          <w:ilvl w:val="0"/>
          <w:numId w:val="1138"/>
        </w:numPr>
        <w:pStyle w:val="Compact"/>
      </w:pPr>
      <w:r>
        <w:rPr>
          <w:bCs/>
          <w:b/>
        </w:rPr>
        <w:t xml:space="preserve">Aprovação UE/EUA:</w:t>
      </w:r>
      <w:r>
        <w:t xml:space="preserve"> </w:t>
      </w:r>
      <w:r>
        <w:t xml:space="preserve">não.</w:t>
      </w:r>
    </w:p>
    <w:p>
      <w:pPr>
        <w:numPr>
          <w:ilvl w:val="0"/>
          <w:numId w:val="1138"/>
        </w:numPr>
        <w:pStyle w:val="Compact"/>
      </w:pPr>
      <w:r>
        <w:rPr>
          <w:bCs/>
          <w:b/>
        </w:rPr>
        <w:t xml:space="preserve">WADA:</w:t>
      </w:r>
      <w:r>
        <w:t xml:space="preserve"> </w:t>
      </w:r>
      <w:r>
        <w:t xml:space="preserve">não listada; sem efeito reconhecível de aumento de desempenho.</w:t>
      </w:r>
    </w:p>
    <w:p>
      <w:pPr>
        <w:numPr>
          <w:ilvl w:val="0"/>
          <w:numId w:val="1138"/>
        </w:numPr>
        <w:pStyle w:val="Compact"/>
      </w:pPr>
      <w:r>
        <w:rPr>
          <w:bCs/>
          <w:b/>
        </w:rPr>
        <w:t xml:space="preserve">Nível de evidência: B</w:t>
      </w:r>
      <w:r>
        <w:t xml:space="preserve"> </w:t>
      </w:r>
      <w:r>
        <w:t xml:space="preserve">– vários estudos randomizados de fase 2 com resultados mistos; o estudo de fase 3 foi interrompido, sem resultados publicados.</w:t>
      </w:r>
    </w:p>
    <w:bookmarkEnd w:id="1156"/>
    <w:bookmarkStart w:id="1159" w:name="como-deveria-agir-21"/>
    <w:p>
      <w:pPr>
        <w:pStyle w:val="Heading3"/>
      </w:pPr>
      <w:r>
        <w:t xml:space="preserve">Como deveria agir</w:t>
      </w:r>
    </w:p>
    <w:p>
      <w:pPr>
        <w:pStyle w:val="FirstParagraph"/>
      </w:pPr>
      <w:r>
        <w:t xml:space="preserve">Na doença celíaca, o sistema imunológico de pessoas geneticamente predispostas reage ao glúten, uma proteína do trigo, do centeio e da cevada. Fragmentos do glúten atravessam a mucosa intestinal e ali desencadeiam uma inflamação que destrói as vilosidades intestinais. Parte desses fragmentos provavelmente passa pelas fendas entre as células intestinais. Essas fendas são fechadas pelas tight junctions – uma espécie de zíper molecular.</w:t>
      </w:r>
    </w:p>
    <w:p>
      <w:pPr>
        <w:pStyle w:val="BodyText"/>
      </w:pPr>
      <w:r>
        <w:t xml:space="preserve">O mensageiro zonulina pode abrir esse zíper; a gliadina, um componente do glúten, libera zonulina. A larazotida deveria bloquear essa via. Em culturas de células intestinais humanas, a larazotida impediu o rearranjo das proteínas de oclusão e reduziu a passagem de um fragmento de gliadina através da camada celular; em camundongos geneticamente modificados com sensibilidade ao glúten, a estrutura das junções de oclusão se manteve</w:t>
      </w:r>
      <w:r>
        <w:rPr>
          <w:rStyle w:val="FootnoteReference"/>
        </w:rPr>
        <w:footnoteReference w:id="1157"/>
      </w:r>
      <w:r>
        <w:t xml:space="preserve">. Trabalhos mais recentes supõem, além disso, uma inibição da enzima quinase da cadeia leve de miosina, que coloca as junções celulares sob tensão</w:t>
      </w:r>
      <w:r>
        <w:rPr>
          <w:rStyle w:val="FootnoteReference"/>
        </w:rPr>
        <w:footnoteReference w:id="1158"/>
      </w:r>
      <w:r>
        <w:t xml:space="preserve">.</w:t>
      </w:r>
    </w:p>
    <w:p>
      <w:pPr>
        <w:pStyle w:val="BodyText"/>
      </w:pPr>
      <w:r>
        <w:t xml:space="preserve">A larazotida nunca foi pensada como substituta da dieta sem glúten. O objetivo era um agente complementar para pacientes que têm queixas apesar da dieta – por exemplo, por traços de glúten despercebidos.</w:t>
      </w:r>
    </w:p>
    <w:bookmarkEnd w:id="1159"/>
    <w:bookmarkStart w:id="1175" w:name="estudos-em-humanos-21"/>
    <w:p>
      <w:pPr>
        <w:pStyle w:val="Heading3"/>
      </w:pPr>
      <w:r>
        <w:t xml:space="preserve">Estudos em humanos</w:t>
      </w:r>
    </w:p>
    <w:p>
      <w:pPr>
        <w:pStyle w:val="FirstParagraph"/>
      </w:pPr>
      <w:r>
        <w:rPr>
          <w:bCs/>
          <w:b/>
        </w:rPr>
        <w:t xml:space="preserve">Dimensão da base de estudos (consulta de outubro de 2026):</w:t>
      </w:r>
      <w:r>
        <w:t xml:space="preserve"> </w:t>
      </w:r>
      <w:r>
        <w:t xml:space="preserve">a busca automatizada encontrou</w:t>
      </w:r>
      <w:r>
        <w:t xml:space="preserve"> </w:t>
      </w:r>
      <w:r>
        <w:rPr>
          <w:bCs/>
          <w:b/>
        </w:rPr>
        <w:t xml:space="preserve">4</w:t>
      </w:r>
      <w:r>
        <w:t xml:space="preserve"> </w:t>
      </w:r>
      <w:r>
        <w:t xml:space="preserve">estudos em humanos no PubMed e</w:t>
      </w:r>
      <w:r>
        <w:t xml:space="preserve"> </w:t>
      </w:r>
      <w:r>
        <w:rPr>
          <w:bCs/>
          <w:b/>
        </w:rPr>
        <w:t xml:space="preserve">29</w:t>
      </w:r>
      <w:r>
        <w:t xml:space="preserve"> </w:t>
      </w:r>
      <w:r>
        <w:t xml:space="preserve">registros no ClinicalTrials.gov. Desses 29 registros, porém, 19 se referem a um medicamento completamente diferente: o migalastate contra a doença de Fabry tinha antes o mesmo código de desenvolvimento AT1001. Pertencem de fato à larazotida</w:t>
      </w:r>
      <w:r>
        <w:t xml:space="preserve"> </w:t>
      </w:r>
      <w:r>
        <w:rPr>
          <w:bCs/>
          <w:b/>
        </w:rPr>
        <w:t xml:space="preserve">10</w:t>
      </w:r>
      <w:r>
        <w:t xml:space="preserve"> </w:t>
      </w:r>
      <w:r>
        <w:t xml:space="preserve">registros. Uma metanálise de 2022 reuniu quatro estudos randomizados com 626 pessoas</w:t>
      </w:r>
      <w:r>
        <w:rPr>
          <w:rStyle w:val="FootnoteReference"/>
        </w:rPr>
        <w:footnoteReference w:id="1160"/>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Exposição ao glúten (Leffler 2012, PMID 22825365)</w:t>
            </w:r>
          </w:p>
        </w:tc>
        <w:tc>
          <w:tcPr/>
          <w:p>
            <w:pPr>
              <w:pStyle w:val="Compact"/>
              <w:jc w:val="left"/>
            </w:pPr>
            <w:r>
              <w:t xml:space="preserve">86 pessoas com doença celíaca, ECR com 4 doses e placebo</w:t>
            </w:r>
          </w:p>
        </w:tc>
        <w:tc>
          <w:tcPr/>
          <w:p>
            <w:pPr>
              <w:pStyle w:val="Compact"/>
              <w:jc w:val="left"/>
            </w:pPr>
            <w:r>
              <w:t xml:space="preserve">14 dias</w:t>
            </w:r>
          </w:p>
        </w:tc>
        <w:tc>
          <w:tcPr/>
          <w:p>
            <w:pPr>
              <w:pStyle w:val="Compact"/>
              <w:jc w:val="left"/>
            </w:pPr>
            <w:r>
              <w:t xml:space="preserve">teste de permeabilidade sem diferença significativa; menos queixas com algumas doses baixas</w:t>
            </w:r>
          </w:p>
        </w:tc>
      </w:tr>
      <w:tr>
        <w:tc>
          <w:tcPr/>
          <w:p>
            <w:pPr>
              <w:pStyle w:val="Compact"/>
              <w:jc w:val="left"/>
            </w:pPr>
            <w:r>
              <w:t xml:space="preserve">Exposição ao glúten (Kelly 2013, PMID 23163616)</w:t>
            </w:r>
          </w:p>
        </w:tc>
        <w:tc>
          <w:tcPr/>
          <w:p>
            <w:pPr>
              <w:pStyle w:val="Compact"/>
              <w:jc w:val="left"/>
            </w:pPr>
            <w:r>
              <w:t xml:space="preserve">184 pessoas, ECR com 3 doses e placebo, 2,7 g de glúten por dia</w:t>
            </w:r>
          </w:p>
        </w:tc>
        <w:tc>
          <w:tcPr/>
          <w:p>
            <w:pPr>
              <w:pStyle w:val="Compact"/>
              <w:jc w:val="left"/>
            </w:pPr>
            <w:r>
              <w:t xml:space="preserve">6 semanas</w:t>
            </w:r>
          </w:p>
        </w:tc>
        <w:tc>
          <w:tcPr/>
          <w:p>
            <w:pPr>
              <w:pStyle w:val="Compact"/>
              <w:jc w:val="left"/>
            </w:pPr>
            <w:r>
              <w:t xml:space="preserve">permeabilidade inalterada; menos queixas apenas com 1 mg; menor aumento dos anticorpos da doença celíaca</w:t>
            </w:r>
          </w:p>
        </w:tc>
      </w:tr>
      <w:tr>
        <w:tc>
          <w:tcPr/>
          <w:p>
            <w:pPr>
              <w:pStyle w:val="Compact"/>
              <w:jc w:val="left"/>
            </w:pPr>
            <w:r>
              <w:t xml:space="preserve">Queixas apesar da dieta (Leffler 2015, PMID 25683116; NCT01396213)</w:t>
            </w:r>
          </w:p>
        </w:tc>
        <w:tc>
          <w:tcPr/>
          <w:p>
            <w:pPr>
              <w:pStyle w:val="Compact"/>
              <w:jc w:val="left"/>
            </w:pPr>
            <w:r>
              <w:t xml:space="preserve">342 pessoas, ECR com 3 doses e placebo</w:t>
            </w:r>
          </w:p>
        </w:tc>
        <w:tc>
          <w:tcPr/>
          <w:p>
            <w:pPr>
              <w:pStyle w:val="Compact"/>
              <w:jc w:val="left"/>
            </w:pPr>
            <w:r>
              <w:t xml:space="preserve">12 semanas</w:t>
            </w:r>
          </w:p>
        </w:tc>
        <w:tc>
          <w:tcPr/>
          <w:p>
            <w:pPr>
              <w:pStyle w:val="Compact"/>
              <w:jc w:val="left"/>
            </w:pPr>
            <w:r>
              <w:t xml:space="preserve">objetivo principal atingido apenas com a menor dose (0,5 mg); 1 mg e 2 mg não melhores que placebo</w:t>
            </w:r>
          </w:p>
        </w:tc>
      </w:tr>
      <w:tr>
        <w:tc>
          <w:tcPr/>
          <w:p>
            <w:pPr>
              <w:pStyle w:val="Compact"/>
              <w:jc w:val="left"/>
            </w:pPr>
            <w:r>
              <w:t xml:space="preserve">CeDLara, fase 3 (NCT03569007)</w:t>
            </w:r>
          </w:p>
        </w:tc>
        <w:tc>
          <w:tcPr/>
          <w:p>
            <w:pPr>
              <w:pStyle w:val="Compact"/>
              <w:jc w:val="left"/>
            </w:pPr>
            <w:r>
              <w:t xml:space="preserve">307 pessoas, randomizado, cego</w:t>
            </w:r>
          </w:p>
        </w:tc>
        <w:tc>
          <w:tcPr/>
          <w:p>
            <w:pPr>
              <w:pStyle w:val="Compact"/>
              <w:jc w:val="left"/>
            </w:pPr>
            <w:r>
              <w:t xml:space="preserve">12 semanas previstas</w:t>
            </w:r>
          </w:p>
        </w:tc>
        <w:tc>
          <w:tcPr/>
          <w:p>
            <w:pPr>
              <w:pStyle w:val="Compact"/>
              <w:jc w:val="left"/>
            </w:pPr>
            <w:r>
              <w:t xml:space="preserve">interrompido pelo patrocinador em 2022; nenhum resultado publicado</w:t>
            </w:r>
          </w:p>
        </w:tc>
      </w:tr>
      <w:tr>
        <w:tc>
          <w:tcPr/>
          <w:p>
            <w:pPr>
              <w:pStyle w:val="Compact"/>
              <w:jc w:val="left"/>
            </w:pPr>
            <w:r>
              <w:t xml:space="preserve">MIS-C em crianças (Yonker 2025, PMID 40737433)</w:t>
            </w:r>
          </w:p>
        </w:tc>
        <w:tc>
          <w:tcPr/>
          <w:p>
            <w:pPr>
              <w:pStyle w:val="Compact"/>
              <w:jc w:val="left"/>
            </w:pPr>
            <w:r>
              <w:t xml:space="preserve">12 crianças com síndrome inflamatória após COVID-19, fase 2a, ECR</w:t>
            </w:r>
          </w:p>
        </w:tc>
        <w:tc>
          <w:tcPr/>
          <w:p>
            <w:pPr>
              <w:pStyle w:val="Compact"/>
              <w:jc w:val="left"/>
            </w:pPr>
            <w:r>
              <w:t xml:space="preserve">3 semanas</w:t>
            </w:r>
          </w:p>
        </w:tc>
        <w:tc>
          <w:tcPr/>
          <w:p>
            <w:pPr>
              <w:pStyle w:val="Compact"/>
              <w:jc w:val="left"/>
            </w:pPr>
            <w:r>
              <w:t xml:space="preserve">regressão mais rápida das queixas gastrointestinais; nenhum efeito colateral pela larazotida</w:t>
            </w:r>
          </w:p>
        </w:tc>
      </w:tr>
    </w:tbl>
    <w:bookmarkStart w:id="1165" w:name="doença-celíaca-fase-2"/>
    <w:p>
      <w:pPr>
        <w:pStyle w:val="Heading4"/>
      </w:pPr>
      <w:r>
        <w:t xml:space="preserve">Doença celíaca: fase 2</w:t>
      </w:r>
    </w:p>
    <w:p>
      <w:pPr>
        <w:pStyle w:val="FirstParagraph"/>
      </w:pPr>
      <w:r>
        <w:t xml:space="preserve">Nos dois estudos com exposição dirigida ao glúten, a larazotida deveria impedir o aumento da permeabilidade intestinal. Ela foi medida com um teste de açúcares na urina (relação lactulose-manitol). Esse teste oscilou tanto no dia a dia que não foi possível demonstrar nenhum efeito</w:t>
      </w:r>
      <w:r>
        <w:rPr>
          <w:rStyle w:val="FootnoteReference"/>
        </w:rPr>
        <w:footnoteReference w:id="1161"/>
      </w:r>
      <w:r>
        <w:t xml:space="preserve">. Nas queixas, apareceu um padrão incomum: doses baixas funcionaram, em parte, melhor do que altas. No estudo com 184 pessoas, apenas a dose de 1 mg limitou significativamente as queixas desencadeadas pelo glúten; ao mesmo tempo, os anticorpos da doença celíaca aumentaram claramente menos com todas as doses de larazotida do que com placebo</w:t>
      </w:r>
      <w:r>
        <w:rPr>
          <w:rStyle w:val="FootnoteReference"/>
        </w:rPr>
        <w:footnoteReference w:id="1162"/>
      </w:r>
      <w:r>
        <w:t xml:space="preserve">.</w:t>
      </w:r>
    </w:p>
    <w:p>
      <w:pPr>
        <w:pStyle w:val="BodyText"/>
      </w:pPr>
      <w:r>
        <w:t xml:space="preserve">O maior estudo de fase 2, com 342 pessoas que tinham queixas apesar da dieta sem glúten, atingiu seu objetivo principal apenas com a menor dose, de 0,5 mg. Com essa dose, houve 26 por cento menos dias com queixas de doença celíaca. As doses mais altas não foram melhores que o placebo em nenhum desfecho; os próprios autores descrevem os resultados como</w:t>
      </w:r>
      <w:r>
        <w:t xml:space="preserve"> </w:t>
      </w:r>
      <w:r>
        <w:t xml:space="preserve">“</w:t>
      </w:r>
      <w:r>
        <w:t xml:space="preserve">mistos</w:t>
      </w:r>
      <w:r>
        <w:t xml:space="preserve">”</w:t>
      </w:r>
      <w:r>
        <w:rPr>
          <w:rStyle w:val="FootnoteReference"/>
        </w:rPr>
        <w:footnoteReference w:id="1163"/>
      </w:r>
      <w:r>
        <w:t xml:space="preserve">. Um medicamento no qual apenas a menor dose funciona é farmacologicamente incomum e deixa dúvidas sobre se se trata de um efeito real ou de acaso.</w:t>
      </w:r>
    </w:p>
    <w:p>
      <w:pPr>
        <w:pStyle w:val="BodyText"/>
      </w:pPr>
      <w:r>
        <w:t xml:space="preserve">A metanálise não encontrou efeito sobre a permeabilidade intestinal; encontrou melhora das queixas apenas com exposição ao glúten, mas não em pessoas sob dieta sem glúten – ou seja, justamente não no grupo para o qual a larazotida foi pensada</w:t>
      </w:r>
      <w:r>
        <w:rPr>
          <w:rStyle w:val="FootnoteReference"/>
        </w:rPr>
        <w:footnoteReference w:id="1164"/>
      </w:r>
      <w:r>
        <w:t xml:space="preserve">.</w:t>
      </w:r>
    </w:p>
    <w:bookmarkEnd w:id="1165"/>
    <w:bookmarkStart w:id="1169" w:name="X17ad8238b73d698c7e2836d98cea8e614429437"/>
    <w:p>
      <w:pPr>
        <w:pStyle w:val="Heading4"/>
      </w:pPr>
      <w:r>
        <w:t xml:space="preserve">Doença celíaca: o estudo de fase 3 CeDLara</w:t>
      </w:r>
    </w:p>
    <w:p>
      <w:pPr>
        <w:pStyle w:val="FirstParagraph"/>
      </w:pPr>
      <w:r>
        <w:t xml:space="preserve">Com base nos resultados de 0,5 mg, começou em 2019 o estudo de fase 3 CeDLara, com larazotida em microesferas gastrorresistentes</w:t>
      </w:r>
      <w:r>
        <w:rPr>
          <w:rStyle w:val="FootnoteReference"/>
        </w:rPr>
        <w:footnoteReference w:id="1166"/>
      </w:r>
      <w:r>
        <w:t xml:space="preserve">. Segundo o registro, 307 pessoas foram incluídas; o estudo foi</w:t>
      </w:r>
      <w:r>
        <w:t xml:space="preserve"> </w:t>
      </w:r>
      <w:r>
        <w:t xml:space="preserve">“</w:t>
      </w:r>
      <w:r>
        <w:t xml:space="preserve">encerrado pelo patrocinador</w:t>
      </w:r>
      <w:r>
        <w:t xml:space="preserve">”</w:t>
      </w:r>
      <w:r>
        <w:t xml:space="preserve"> </w:t>
      </w:r>
      <w:r>
        <w:t xml:space="preserve">em julho de 2022. Segundo o conhecimento do autor, o então fabricante 9 Meters Biopharma justificou a interrupção afirmando que uma análise interina havia mostrado que seriam necessários bem mais participantes para demonstrar uma diferença em relação ao placebo. Não há no PubMed uma publicação científica dos resultados. Artigos de revisão registram que, até hoje, nenhum medicamento para doença celíaca concluiu com sucesso um estudo de fase 3</w:t>
      </w:r>
      <w:r>
        <w:rPr>
          <w:rStyle w:val="FootnoteReference"/>
        </w:rPr>
        <w:footnoteReference w:id="1167"/>
      </w:r>
      <w:r>
        <w:t xml:space="preserve"> </w:t>
      </w:r>
      <w:r>
        <w:t xml:space="preserve">e que nenhum tratamento está comprovado como alternativa eficaz à dieta sem glúten</w:t>
      </w:r>
      <w:r>
        <w:rPr>
          <w:rStyle w:val="FootnoteReference"/>
        </w:rPr>
        <w:footnoteReference w:id="1168"/>
      </w:r>
      <w:r>
        <w:t xml:space="preserve">.</w:t>
      </w:r>
    </w:p>
    <w:bookmarkEnd w:id="1169"/>
    <w:bookmarkStart w:id="1174" w:name="X7f3382dfb34599df3c07961af69d8d258366621"/>
    <w:p>
      <w:pPr>
        <w:pStyle w:val="Heading4"/>
      </w:pPr>
      <w:r>
        <w:t xml:space="preserve">Nova aplicação: síndrome inflamatória após COVID-19</w:t>
      </w:r>
    </w:p>
    <w:p>
      <w:pPr>
        <w:pStyle w:val="FirstParagraph"/>
      </w:pPr>
      <w:r>
        <w:t xml:space="preserve">Um grupo de pesquisa supõe que, na síndrome inflamatória multissistêmica em crianças (MIS-C) após COVID-19, componentes do vírus passam do intestino para o sangue. Em uma primeira série de casos com quatro crianças, a proteína viral desapareceu do sangue sob larazotida, e as queixas gastrointestinais regrediram mais rapidamente do que em 22 crianças de comparação</w:t>
      </w:r>
      <w:r>
        <w:rPr>
          <w:rStyle w:val="FootnoteReference"/>
        </w:rPr>
        <w:footnoteReference w:id="1170"/>
      </w:r>
      <w:r>
        <w:t xml:space="preserve">. Um estudo randomizado de fase 2a com apenas 12 crianças confirmou melhoras mais rápidas das queixas; efeitos colaterais pela larazotida não foram observados</w:t>
      </w:r>
      <w:r>
        <w:rPr>
          <w:rStyle w:val="FootnoteReference"/>
        </w:rPr>
        <w:footnoteReference w:id="1171"/>
      </w:r>
      <w:r>
        <w:t xml:space="preserve">. O estudo foi interrompido por queda no número de casos</w:t>
      </w:r>
      <w:r>
        <w:rPr>
          <w:rStyle w:val="FootnoteReference"/>
        </w:rPr>
        <w:footnoteReference w:id="1172"/>
      </w:r>
      <w:r>
        <w:t xml:space="preserve">. Um estudo sobre COVID longa com 107 crianças e adultos está concluído desde junho de 2026, segundo o registro</w:t>
      </w:r>
      <w:r>
        <w:rPr>
          <w:rStyle w:val="FootnoteReference"/>
        </w:rPr>
        <w:footnoteReference w:id="1173"/>
      </w:r>
      <w:r>
        <w:t xml:space="preserve">; os resultados não estavam publicados em outubro de 2026.</w:t>
      </w:r>
    </w:p>
    <w:bookmarkEnd w:id="1174"/>
    <w:bookmarkEnd w:id="1175"/>
    <w:bookmarkStart w:id="1179" w:name="estudos-em-animais-e-em-laboratório-21"/>
    <w:p>
      <w:pPr>
        <w:pStyle w:val="Heading3"/>
      </w:pPr>
      <w:r>
        <w:t xml:space="preserve">Estudos em animais e em laboratório</w:t>
      </w:r>
    </w:p>
    <w:p>
      <w:pPr>
        <w:pStyle w:val="FirstParagraph"/>
      </w:pPr>
      <w:r>
        <w:t xml:space="preserve">Além da doença celíaca, a larazotida foi testada em modelos animais de outras doenças com barreira intestinal alterada. Em camundongos propensos a artrite, a larazotida reduziu o surgimento da artrite</w:t>
      </w:r>
      <w:r>
        <w:rPr>
          <w:rStyle w:val="FootnoteReference"/>
        </w:rPr>
        <w:footnoteReference w:id="1176"/>
      </w:r>
      <w:r>
        <w:t xml:space="preserve">. Em porcos, favoreceu a recuperação do tecido do intestino delgado após um distúrbio circulatório</w:t>
      </w:r>
      <w:r>
        <w:rPr>
          <w:rStyle w:val="FootnoteReference"/>
        </w:rPr>
        <w:footnoteReference w:id="1177"/>
      </w:r>
      <w:r>
        <w:t xml:space="preserve">. Em ratos, foram descritos efeitos na pancreatite aguda e na insuficiência hepática aguda</w:t>
      </w:r>
      <w:r>
        <w:rPr>
          <w:rStyle w:val="FootnoteReference"/>
        </w:rPr>
        <w:footnoteReference w:id="1178"/>
      </w:r>
      <w:r>
        <w:t xml:space="preserve">. Esses são experimentos com animais; não se podem deduzir deles afirmações sobre reumatismo, pâncreas ou fígado em humanos.</w:t>
      </w:r>
    </w:p>
    <w:bookmarkEnd w:id="1179"/>
    <w:bookmarkStart w:id="1185" w:name="riscos-e-efeitos-colaterais-21"/>
    <w:p>
      <w:pPr>
        <w:pStyle w:val="Heading3"/>
      </w:pPr>
      <w:r>
        <w:t xml:space="preserve">Riscos e efeitos colaterais</w:t>
      </w:r>
    </w:p>
    <w:bookmarkStart w:id="1183" w:name="comprovados-5"/>
    <w:p>
      <w:pPr>
        <w:pStyle w:val="Heading4"/>
      </w:pPr>
      <w:r>
        <w:t xml:space="preserve">Comprovados</w:t>
      </w:r>
    </w:p>
    <w:p>
      <w:pPr>
        <w:pStyle w:val="FirstParagraph"/>
      </w:pPr>
      <w:r>
        <w:t xml:space="preserve">A larazotida foi bem tolerada em todos os estudos. No estudo com 86 pessoas, não ocorreram efeitos colaterais graves; os mais frequentes foram dor de cabeça e infecções urinárias</w:t>
      </w:r>
      <w:r>
        <w:rPr>
          <w:rStyle w:val="FootnoteReference"/>
        </w:rPr>
        <w:footnoteReference w:id="1180"/>
      </w:r>
      <w:r>
        <w:t xml:space="preserve">. No maior estudo de fase 2, a segurança foi comparável à do placebo</w:t>
      </w:r>
      <w:r>
        <w:rPr>
          <w:rStyle w:val="FootnoteReference"/>
        </w:rPr>
        <w:footnoteReference w:id="1181"/>
      </w:r>
      <w:r>
        <w:t xml:space="preserve">. A metanálise não encontrou, no total, acúmulo de efeitos colaterais em relação ao placebo</w:t>
      </w:r>
      <w:r>
        <w:rPr>
          <w:rStyle w:val="FootnoteReference"/>
        </w:rPr>
        <w:footnoteReference w:id="1182"/>
      </w:r>
      <w:r>
        <w:t xml:space="preserve">. Como a larazotida quase não chega ao sangue, um perfil de segurança favorável é plausível.</w:t>
      </w:r>
    </w:p>
    <w:bookmarkEnd w:id="1183"/>
    <w:bookmarkStart w:id="1184" w:name="a-considerar-1"/>
    <w:p>
      <w:pPr>
        <w:pStyle w:val="Heading4"/>
      </w:pPr>
      <w:r>
        <w:t xml:space="preserve">A considerar</w:t>
      </w:r>
    </w:p>
    <w:p>
      <w:pPr>
        <w:numPr>
          <w:ilvl w:val="0"/>
          <w:numId w:val="1139"/>
        </w:numPr>
        <w:pStyle w:val="Compact"/>
      </w:pPr>
      <w:r>
        <w:rPr>
          <w:bCs/>
          <w:b/>
        </w:rPr>
        <w:t xml:space="preserve">Não é alternativa à dieta:</w:t>
      </w:r>
      <w:r>
        <w:t xml:space="preserve"> </w:t>
      </w:r>
      <w:r>
        <w:t xml:space="preserve">mesmo nos estudos positivos, a larazotida não protegeu contra o dano causado por quantidades maiores de glúten. Quem afrouxa a dieta sem glúten por causa de um agente desse tipo arrisca danos intestinais.</w:t>
      </w:r>
    </w:p>
    <w:p>
      <w:pPr>
        <w:numPr>
          <w:ilvl w:val="0"/>
          <w:numId w:val="1139"/>
        </w:numPr>
        <w:pStyle w:val="Compact"/>
      </w:pPr>
      <w:r>
        <w:rPr>
          <w:bCs/>
          <w:b/>
        </w:rPr>
        <w:t xml:space="preserve">Mercado cinza:</w:t>
      </w:r>
      <w:r>
        <w:t xml:space="preserve"> </w:t>
      </w:r>
      <w:r>
        <w:t xml:space="preserve">a larazotida é oferecida esporadicamente como</w:t>
      </w:r>
      <w:r>
        <w:t xml:space="preserve"> </w:t>
      </w:r>
      <w:r>
        <w:t xml:space="preserve">“</w:t>
      </w:r>
      <w:r>
        <w:t xml:space="preserve">peptídeo para leaky gut</w:t>
      </w:r>
      <w:r>
        <w:t xml:space="preserve">”</w:t>
      </w:r>
      <w:r>
        <w:t xml:space="preserve">. Os estudos usaram uma forma farmacêutica gastrorresistente especial; se produtos vendidos livremente levam a substância ao local de ação é desconhecido. Para o conceito de</w:t>
      </w:r>
      <w:r>
        <w:t xml:space="preserve"> </w:t>
      </w:r>
      <w:r>
        <w:t xml:space="preserve">“</w:t>
      </w:r>
      <w:r>
        <w:t xml:space="preserve">leaky gut</w:t>
      </w:r>
      <w:r>
        <w:t xml:space="preserve">”</w:t>
      </w:r>
      <w:r>
        <w:t xml:space="preserve"> </w:t>
      </w:r>
      <w:r>
        <w:t xml:space="preserve">sem doença celíaca, não há estudos com larazotida.</w:t>
      </w:r>
    </w:p>
    <w:bookmarkEnd w:id="1184"/>
    <w:bookmarkEnd w:id="1185"/>
    <w:bookmarkStart w:id="1186" w:name="situação-legal-21"/>
    <w:p>
      <w:pPr>
        <w:pStyle w:val="Heading3"/>
      </w:pPr>
      <w:r>
        <w:t xml:space="preserve">Situação legal</w:t>
      </w:r>
    </w:p>
    <w:p>
      <w:pPr>
        <w:pStyle w:val="FirstParagraph"/>
      </w:pPr>
      <w:r>
        <w:rPr>
          <w:iCs/>
          <w:i/>
        </w:rPr>
        <w:t xml:space="preserve">Situação em 2026, verificar atualização.</w:t>
      </w:r>
    </w:p>
    <w:p>
      <w:pPr>
        <w:numPr>
          <w:ilvl w:val="0"/>
          <w:numId w:val="1140"/>
        </w:numPr>
        <w:pStyle w:val="Compact"/>
      </w:pPr>
      <w:r>
        <w:rPr>
          <w:bCs/>
          <w:b/>
        </w:rPr>
        <w:t xml:space="preserve">UE, Alemanha, Áustria:</w:t>
      </w:r>
      <w:r>
        <w:t xml:space="preserve"> </w:t>
      </w:r>
      <w:r>
        <w:t xml:space="preserve">não aprovada.</w:t>
      </w:r>
    </w:p>
    <w:p>
      <w:pPr>
        <w:numPr>
          <w:ilvl w:val="0"/>
          <w:numId w:val="1140"/>
        </w:numPr>
        <w:pStyle w:val="Compact"/>
      </w:pPr>
      <w:r>
        <w:rPr>
          <w:bCs/>
          <w:b/>
        </w:rPr>
        <w:t xml:space="preserve">EUA:</w:t>
      </w:r>
      <w:r>
        <w:t xml:space="preserve"> </w:t>
      </w:r>
      <w:r>
        <w:t xml:space="preserve">não aprovada. Segundo o conhecimento do autor, o desenvolvedor havia obtido da FDA uma avaliação acelerada (</w:t>
      </w:r>
      <w:r>
        <w:t xml:space="preserve">“</w:t>
      </w:r>
      <w:r>
        <w:t xml:space="preserve">Fast Track</w:t>
      </w:r>
      <w:r>
        <w:t xml:space="preserve">”</w:t>
      </w:r>
      <w:r>
        <w:t xml:space="preserve">) para doença celíaca; após a interrupção do estudo de fase 3, nenhum pedido de aprovação foi apresentado.</w:t>
      </w:r>
    </w:p>
    <w:p>
      <w:pPr>
        <w:numPr>
          <w:ilvl w:val="0"/>
          <w:numId w:val="1140"/>
        </w:numPr>
        <w:pStyle w:val="Compact"/>
      </w:pPr>
      <w:r>
        <w:rPr>
          <w:bCs/>
          <w:b/>
        </w:rPr>
        <w:t xml:space="preserve">WADA:</w:t>
      </w:r>
      <w:r>
        <w:t xml:space="preserve"> </w:t>
      </w:r>
      <w:r>
        <w:t xml:space="preserve">não listada.</w:t>
      </w:r>
    </w:p>
    <w:bookmarkEnd w:id="1186"/>
    <w:bookmarkStart w:id="1189" w:name="estudos-em-andamento-e-perspectivas-21"/>
    <w:p>
      <w:pPr>
        <w:pStyle w:val="Heading3"/>
      </w:pPr>
      <w:r>
        <w:t xml:space="preserve">Estudos em andamento e perspectivas</w:t>
      </w:r>
    </w:p>
    <w:p>
      <w:pPr>
        <w:pStyle w:val="FirstParagraph"/>
      </w:pPr>
      <w:r>
        <w:rPr>
          <w:bCs/>
          <w:b/>
        </w:rPr>
        <w:t xml:space="preserve">Confirmado:</w:t>
      </w:r>
      <w:r>
        <w:t xml:space="preserve"> </w:t>
      </w:r>
      <w:r>
        <w:t xml:space="preserve">em outubro de 2026, não há no ClinicalTrials.gov nenhum estudo em andamento com larazotida registrado. O estudo sobre COVID longa</w:t>
      </w:r>
      <w:r>
        <w:rPr>
          <w:rStyle w:val="FootnoteReference"/>
        </w:rPr>
        <w:footnoteReference w:id="1187"/>
      </w:r>
      <w:r>
        <w:t xml:space="preserve"> </w:t>
      </w:r>
      <w:r>
        <w:t xml:space="preserve">está concluído; os resultados estão pendentes.</w:t>
      </w:r>
    </w:p>
    <w:p>
      <w:pPr>
        <w:pStyle w:val="BodyText"/>
      </w:pPr>
      <w:r>
        <w:rPr>
          <w:bCs/>
          <w:b/>
        </w:rPr>
        <w:t xml:space="preserve">Avaliação do autor:</w:t>
      </w:r>
      <w:r>
        <w:t xml:space="preserve"> </w:t>
      </w:r>
      <w:r>
        <w:t xml:space="preserve">para a doença celíaca, a larazotida provavelmente não terá futuro após a interrupção do CeDLara, a menos que um novo desenvolvedor assuma os direitos. Outras abordagens – enzimas que degradam o glúten, inibidores da transglutaminase 2 ou métodos de tolerância imunológica – são consideradas atualmente mais promissoras</w:t>
      </w:r>
      <w:r>
        <w:rPr>
          <w:rStyle w:val="FootnoteReference"/>
        </w:rPr>
        <w:footnoteReference w:id="1188"/>
      </w:r>
      <w:r>
        <w:t xml:space="preserve">. Na MIS-C e na COVID longa, o desenvolvimento futuro depende dos resultados ainda não publicados.</w:t>
      </w:r>
    </w:p>
    <w:bookmarkEnd w:id="1189"/>
    <w:bookmarkStart w:id="1191" w:name="conclusão-21"/>
    <w:p>
      <w:pPr>
        <w:pStyle w:val="Heading3"/>
      </w:pPr>
      <w:r>
        <w:t xml:space="preserve">Conclusão</w:t>
      </w:r>
    </w:p>
    <w:p>
      <w:pPr>
        <w:pStyle w:val="FirstParagraph"/>
      </w:pPr>
      <w:r>
        <w:t xml:space="preserve">A larazotida é um peptídeo de oito aminoácidos que deveria vedar as junções entre as células intestinais e foi a primeira substância contra a doença celíaca a chegar a um estudo de fase 3. Nos estudos de fase 2, os resultados foram mistos: não foi possível demonstrar efeito sobre a permeabilidade intestinal, e, em queixas apesar da dieta, apenas a menor dose funcionou</w:t>
      </w:r>
      <w:r>
        <w:rPr>
          <w:rStyle w:val="FootnoteReference"/>
        </w:rPr>
        <w:footnoteReference w:id="1190"/>
      </w:r>
      <w:r>
        <w:t xml:space="preserve">. O estudo de fase 3 CeDLara foi interrompido em 2022, e os resultados não foram publicados. A larazotida é bem tolerada, mas não está aprovada nem tem eficácia comprovada – e não substitui a dieta sem glúten.</w:t>
      </w:r>
    </w:p>
    <w:bookmarkEnd w:id="1191"/>
    <w:bookmarkEnd w:id="1192"/>
    <w:bookmarkStart w:id="1221" w:name="timalina-e-timogênio"/>
    <w:p>
      <w:pPr>
        <w:pStyle w:val="Heading2"/>
      </w:pPr>
      <w:r>
        <w:t xml:space="preserve">Timalina e timogênio</w:t>
      </w:r>
    </w:p>
    <w:p>
      <w:pPr>
        <w:pStyle w:val="FirstParagraph"/>
      </w:pPr>
      <w:r>
        <w:t xml:space="preserve">A timalina é um extrato do timo de bezerros; o timogênio, um dipeptídeo sintético derivado dele. Ambos vêm da medicina militar soviética dos anos 1970 e 1980 e continuam no mercado como medicamentos na Rússia até hoje. Nos círculos ocidentais de longevidade, são comercializados como</w:t>
      </w:r>
      <w:r>
        <w:t xml:space="preserve"> </w:t>
      </w:r>
      <w:r>
        <w:t xml:space="preserve">“</w:t>
      </w:r>
      <w:r>
        <w:t xml:space="preserve">biorreguladores</w:t>
      </w:r>
      <w:r>
        <w:t xml:space="preserve">”</w:t>
      </w:r>
      <w:r>
        <w:t xml:space="preserve"> </w:t>
      </w:r>
      <w:r>
        <w:t xml:space="preserve">que</w:t>
      </w:r>
      <w:r>
        <w:t xml:space="preserve"> </w:t>
      </w:r>
      <w:r>
        <w:t xml:space="preserve">“</w:t>
      </w:r>
      <w:r>
        <w:t xml:space="preserve">rejuvenesceriam</w:t>
      </w:r>
      <w:r>
        <w:t xml:space="preserve">”</w:t>
      </w:r>
      <w:r>
        <w:t xml:space="preserve"> </w:t>
      </w:r>
      <w:r>
        <w:t xml:space="preserve">o sistema imunológico e prolongariam a vida. A base dessas promessas é quase exclusivamente a pesquisa de uma única escola em torno do gerontologista de São Petersburgo Vladimir Khavinson. Este capítulo situa essa pesquisa – e explica por que seus resultados devem ser lidos com grande cautela.</w:t>
      </w:r>
    </w:p>
    <w:bookmarkStart w:id="1196" w:name="ficha-técnica-22"/>
    <w:p>
      <w:pPr>
        <w:pStyle w:val="Heading3"/>
      </w:pPr>
      <w:r>
        <w:t xml:space="preserve">Ficha técnica</w:t>
      </w:r>
    </w:p>
    <w:p>
      <w:pPr>
        <w:numPr>
          <w:ilvl w:val="0"/>
          <w:numId w:val="1141"/>
        </w:numPr>
        <w:pStyle w:val="Compact"/>
      </w:pPr>
      <w:r>
        <w:rPr>
          <w:bCs/>
          <w:b/>
        </w:rPr>
        <w:t xml:space="preserve">Timalina:</w:t>
      </w:r>
      <w:r>
        <w:t xml:space="preserve"> </w:t>
      </w:r>
      <w:r>
        <w:t xml:space="preserve">mistura de peptídeos obtida por extração ácida do timo de bezerros</w:t>
      </w:r>
      <w:r>
        <w:rPr>
          <w:rStyle w:val="FootnoteReference"/>
        </w:rPr>
        <w:footnoteReference w:id="1193"/>
      </w:r>
      <w:r>
        <w:t xml:space="preserve">; não é uma substância definida de forma uniforme. Como principais componentes ativos são citados os dipeptídeos Lys-Glu (KE) e Glu-Trp (EW)</w:t>
      </w:r>
      <w:r>
        <w:rPr>
          <w:rStyle w:val="FootnoteReference"/>
        </w:rPr>
        <w:footnoteReference w:id="1194"/>
      </w:r>
      <w:r>
        <w:t xml:space="preserve">.</w:t>
      </w:r>
    </w:p>
    <w:p>
      <w:pPr>
        <w:numPr>
          <w:ilvl w:val="0"/>
          <w:numId w:val="1141"/>
        </w:numPr>
        <w:pStyle w:val="Compact"/>
      </w:pPr>
      <w:r>
        <w:rPr>
          <w:bCs/>
          <w:b/>
        </w:rPr>
        <w:t xml:space="preserve">Timogênio:</w:t>
      </w:r>
      <w:r>
        <w:t xml:space="preserve"> </w:t>
      </w:r>
      <w:r>
        <w:t xml:space="preserve">dipeptídeo L-Glu-L-Trp produzido sinteticamente, isolado da timalina</w:t>
      </w:r>
      <w:r>
        <w:rPr>
          <w:rStyle w:val="FootnoteReference"/>
        </w:rPr>
        <w:footnoteReference w:id="1195"/>
      </w:r>
      <w:r>
        <w:t xml:space="preserve">; na Rússia, disponível também como spray nasal.</w:t>
      </w:r>
    </w:p>
    <w:p>
      <w:pPr>
        <w:numPr>
          <w:ilvl w:val="0"/>
          <w:numId w:val="1141"/>
        </w:numPr>
        <w:pStyle w:val="Compact"/>
      </w:pPr>
      <w:r>
        <w:rPr>
          <w:bCs/>
          <w:b/>
        </w:rPr>
        <w:t xml:space="preserve">Princípio de ação (alegado):</w:t>
      </w:r>
      <w:r>
        <w:t xml:space="preserve"> </w:t>
      </w:r>
      <w:r>
        <w:t xml:space="preserve">estímulo à maturação de células T,</w:t>
      </w:r>
      <w:r>
        <w:t xml:space="preserve"> </w:t>
      </w:r>
      <w:r>
        <w:t xml:space="preserve">“</w:t>
      </w:r>
      <w:r>
        <w:t xml:space="preserve">normalização</w:t>
      </w:r>
      <w:r>
        <w:t xml:space="preserve">”</w:t>
      </w:r>
      <w:r>
        <w:t xml:space="preserve"> </w:t>
      </w:r>
      <w:r>
        <w:t xml:space="preserve">da função imunológica e da coagulação sanguínea; segundo a teoria de Khavinson, peptídeos curtos agem como</w:t>
      </w:r>
      <w:r>
        <w:t xml:space="preserve"> </w:t>
      </w:r>
      <w:r>
        <w:t xml:space="preserve">“</w:t>
      </w:r>
      <w:r>
        <w:t xml:space="preserve">biorreguladores</w:t>
      </w:r>
      <w:r>
        <w:t xml:space="preserve">”</w:t>
      </w:r>
      <w:r>
        <w:t xml:space="preserve"> </w:t>
      </w:r>
      <w:r>
        <w:t xml:space="preserve">diretamente sobre a atividade gênica.</w:t>
      </w:r>
    </w:p>
    <w:p>
      <w:pPr>
        <w:numPr>
          <w:ilvl w:val="0"/>
          <w:numId w:val="1141"/>
        </w:numPr>
        <w:pStyle w:val="Compact"/>
      </w:pPr>
      <w:r>
        <w:rPr>
          <w:bCs/>
          <w:b/>
        </w:rPr>
        <w:t xml:space="preserve">Aprovação:</w:t>
      </w:r>
      <w:r>
        <w:t xml:space="preserve"> </w:t>
      </w:r>
      <w:r>
        <w:t xml:space="preserve">aprovados como medicamento na Rússia e em alguns Estados sucessores da União Soviética;</w:t>
      </w:r>
      <w:r>
        <w:t xml:space="preserve"> </w:t>
      </w:r>
      <w:r>
        <w:rPr>
          <w:bCs/>
          <w:b/>
        </w:rPr>
        <w:t xml:space="preserve">UE e EUA:</w:t>
      </w:r>
      <w:r>
        <w:t xml:space="preserve"> </w:t>
      </w:r>
      <w:r>
        <w:t xml:space="preserve">não.</w:t>
      </w:r>
    </w:p>
    <w:p>
      <w:pPr>
        <w:numPr>
          <w:ilvl w:val="0"/>
          <w:numId w:val="1141"/>
        </w:numPr>
        <w:pStyle w:val="Compact"/>
      </w:pPr>
      <w:r>
        <w:rPr>
          <w:bCs/>
          <w:b/>
        </w:rPr>
        <w:t xml:space="preserve">WADA:</w:t>
      </w:r>
      <w:r>
        <w:t xml:space="preserve"> </w:t>
      </w:r>
      <w:r>
        <w:t xml:space="preserve">não listados expressamente.</w:t>
      </w:r>
    </w:p>
    <w:p>
      <w:pPr>
        <w:numPr>
          <w:ilvl w:val="0"/>
          <w:numId w:val="1141"/>
        </w:numPr>
        <w:pStyle w:val="Compact"/>
      </w:pPr>
      <w:r>
        <w:rPr>
          <w:bCs/>
          <w:b/>
        </w:rPr>
        <w:t xml:space="preserve">Nível de evidência: C</w:t>
      </w:r>
      <w:r>
        <w:t xml:space="preserve"> </w:t>
      </w:r>
      <w:r>
        <w:t xml:space="preserve">– estudos predominantemente pequenos, abertos ou insuficientemente descritos; apenas um único estudo descrito como randomizado e controlado por placebo no PubMed.</w:t>
      </w:r>
    </w:p>
    <w:bookmarkEnd w:id="1196"/>
    <w:bookmarkStart w:id="1200" w:name="como-deveria-agir-22"/>
    <w:p>
      <w:pPr>
        <w:pStyle w:val="Heading3"/>
      </w:pPr>
      <w:r>
        <w:t xml:space="preserve">Como deveria agir</w:t>
      </w:r>
    </w:p>
    <w:p>
      <w:pPr>
        <w:pStyle w:val="FirstParagraph"/>
      </w:pPr>
      <w:r>
        <w:t xml:space="preserve">A ideia segue a mesma lógica da timosina alfa 1 (veja esse capítulo): o timo treina as células T e encolhe com a idade; portanto, mensageiros do timo deveriam fortalecer a defesa. Enquanto a timosina alfa 1, porém, é um peptídeo definido com precisão e de sequência conhecida, a timalina é uma mistura de muitos componentes de origem animal.</w:t>
      </w:r>
    </w:p>
    <w:p>
      <w:pPr>
        <w:pStyle w:val="BodyText"/>
      </w:pPr>
      <w:r>
        <w:t xml:space="preserve">Dessa mistura, os pesquisadores isolaram o dipeptídeo Glu-Trp e o lançaram no mercado, em forma sintética, como timogênio. Ele deveria favorecer a diferenciação de células T e o reconhecimento de antígenos, bem como ativar células fagocitárias</w:t>
      </w:r>
      <w:r>
        <w:rPr>
          <w:rStyle w:val="FootnoteReference"/>
        </w:rPr>
        <w:footnoteReference w:id="1197"/>
      </w:r>
      <w:r>
        <w:t xml:space="preserve">.</w:t>
      </w:r>
    </w:p>
    <w:p>
      <w:pPr>
        <w:pStyle w:val="BodyText"/>
      </w:pPr>
      <w:r>
        <w:t xml:space="preserve">Khavinson desenvolveu disso uma teoria mais abrangente: peptídeos curtos de diferentes órgãos agiriam de forma específica para cada tecido e</w:t>
      </w:r>
      <w:r>
        <w:t xml:space="preserve"> </w:t>
      </w:r>
      <w:r>
        <w:t xml:space="preserve">“</w:t>
      </w:r>
      <w:r>
        <w:t xml:space="preserve">regulariam</w:t>
      </w:r>
      <w:r>
        <w:t xml:space="preserve">”</w:t>
      </w:r>
      <w:r>
        <w:t xml:space="preserve"> </w:t>
      </w:r>
      <w:r>
        <w:t xml:space="preserve">a atividade gênica – peptídeos da glândula pineal para a glândula pineal, do timo para o sistema imunológico e assim por diante</w:t>
      </w:r>
      <w:r>
        <w:rPr>
          <w:rStyle w:val="FootnoteReference"/>
        </w:rPr>
        <w:footnoteReference w:id="1198"/>
      </w:r>
      <w:r>
        <w:t xml:space="preserve">. Também o epitalon, tratado na Parte II · D, vem dessa escola. Essa teoria quase não foi testada fora do grupo de trabalho e não corresponde ao entendimento geral de como os mensageiros peptídicos agem – a saber, em regra por meio de receptores na superfície celular. Trabalhos mais recentes do grupo apoiam o mecanismo sobretudo em simulações computacionais da ligação ao material genético e em culturas de células</w:t>
      </w:r>
      <w:r>
        <w:rPr>
          <w:rStyle w:val="FootnoteReference"/>
        </w:rPr>
        <w:footnoteReference w:id="1199"/>
      </w:r>
      <w:r>
        <w:t xml:space="preserve">.</w:t>
      </w:r>
    </w:p>
    <w:bookmarkEnd w:id="1200"/>
    <w:bookmarkStart w:id="1209" w:name="estudos-em-humanos-22"/>
    <w:p>
      <w:pPr>
        <w:pStyle w:val="Heading3"/>
      </w:pPr>
      <w:r>
        <w:t xml:space="preserve">Estudos em humanos</w:t>
      </w:r>
    </w:p>
    <w:p>
      <w:pPr>
        <w:pStyle w:val="FirstParagraph"/>
      </w:pPr>
      <w:r>
        <w:rPr>
          <w:bCs/>
          <w:b/>
        </w:rPr>
        <w:t xml:space="preserve">Dimensão da base de estudos (consulta de outubro de 2026):</w:t>
      </w:r>
      <w:r>
        <w:t xml:space="preserve"> </w:t>
      </w:r>
      <w:r>
        <w:t xml:space="preserve">a busca automatizada encontrou</w:t>
      </w:r>
      <w:r>
        <w:t xml:space="preserve"> </w:t>
      </w:r>
      <w:r>
        <w:rPr>
          <w:bCs/>
          <w:b/>
        </w:rPr>
        <w:t xml:space="preserve">17</w:t>
      </w:r>
      <w:r>
        <w:t xml:space="preserve"> </w:t>
      </w:r>
      <w:r>
        <w:t xml:space="preserve">estudos em humanos no PubMed e</w:t>
      </w:r>
      <w:r>
        <w:t xml:space="preserve"> </w:t>
      </w:r>
      <w:r>
        <w:rPr>
          <w:bCs/>
          <w:b/>
        </w:rPr>
        <w:t xml:space="preserve">0</w:t>
      </w:r>
      <w:r>
        <w:t xml:space="preserve"> </w:t>
      </w:r>
      <w:r>
        <w:t xml:space="preserve">registros no ClinicalTrials.gov. No total, o PubMed lista cerca de 290 publicações sobre timalina ou timogênio; destas, cerca de 250 estão em russo, e apenas uma única menciona no título ou no resumo</w:t>
      </w:r>
      <w:r>
        <w:t xml:space="preserve"> </w:t>
      </w:r>
      <w:r>
        <w:t xml:space="preserve">“</w:t>
      </w:r>
      <w:r>
        <w:t xml:space="preserve">randomizado</w:t>
      </w:r>
      <w:r>
        <w:t xml:space="preserve">”</w:t>
      </w:r>
      <w:r>
        <w:t xml:space="preserve"> </w:t>
      </w:r>
      <w:r>
        <w:t xml:space="preserve">ou</w:t>
      </w:r>
      <w:r>
        <w:t xml:space="preserve"> </w:t>
      </w:r>
      <w:r>
        <w:t xml:space="preserve">“</w:t>
      </w:r>
      <w:r>
        <w:t xml:space="preserve">placebo</w:t>
      </w:r>
      <w:r>
        <w:t xml:space="preserve">”</w:t>
      </w:r>
      <w:r>
        <w:t xml:space="preserve">. Para a maioria dos estudos em humanos, há no PubMed apenas um breve resumo em russo ou ucraniano, muitas vezes sem informações sobre o número de participantes, o grupo de controle ou o cegamento.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w:t>
            </w:r>
            <w:r>
              <w:t xml:space="preserve">Prolongamento da vida</w:t>
            </w:r>
            <w:r>
              <w:t xml:space="preserve">”</w:t>
            </w:r>
            <w:r>
              <w:t xml:space="preserve"> </w:t>
            </w:r>
            <w:r>
              <w:t xml:space="preserve">(Khavinson 2003, PMID 14523363)</w:t>
            </w:r>
          </w:p>
        </w:tc>
        <w:tc>
          <w:tcPr/>
          <w:p>
            <w:pPr>
              <w:pStyle w:val="Compact"/>
              <w:jc w:val="left"/>
            </w:pPr>
            <w:r>
              <w:t xml:space="preserve">266 pessoas idosas, timalina e/ou epitalamina vs. controle; alocação e cegamento não descritos</w:t>
            </w:r>
          </w:p>
        </w:tc>
        <w:tc>
          <w:tcPr/>
          <w:p>
            <w:pPr>
              <w:pStyle w:val="Compact"/>
              <w:jc w:val="left"/>
            </w:pPr>
            <w:r>
              <w:t xml:space="preserve">6–8 anos de observação</w:t>
            </w:r>
          </w:p>
        </w:tc>
        <w:tc>
          <w:tcPr/>
          <w:p>
            <w:pPr>
              <w:pStyle w:val="Compact"/>
              <w:jc w:val="left"/>
            </w:pPr>
            <w:r>
              <w:t xml:space="preserve">mortalidade no grupo timalina 2,0 a 2,1 vezes menor do que no controle</w:t>
            </w:r>
          </w:p>
        </w:tc>
      </w:tr>
      <w:tr>
        <w:tc>
          <w:tcPr/>
          <w:p>
            <w:pPr>
              <w:pStyle w:val="Compact"/>
              <w:jc w:val="left"/>
            </w:pPr>
            <w:r>
              <w:t xml:space="preserve">Antes de cirurgias abdominais (Smirnov 2011, PMID 21957588)</w:t>
            </w:r>
          </w:p>
        </w:tc>
        <w:tc>
          <w:tcPr/>
          <w:p>
            <w:pPr>
              <w:pStyle w:val="Compact"/>
              <w:jc w:val="left"/>
            </w:pPr>
            <w:r>
              <w:t xml:space="preserve">pessoas idosas com tumores abdominais, ECR duplo-cego contra placebo, timogênio em gotas nasais; número de participantes não informado no resumo</w:t>
            </w:r>
          </w:p>
        </w:tc>
        <w:tc>
          <w:tcPr/>
          <w:p>
            <w:pPr>
              <w:pStyle w:val="Compact"/>
              <w:jc w:val="left"/>
            </w:pPr>
            <w:r>
              <w:t xml:space="preserve">7 dias antes da cirurgia</w:t>
            </w:r>
          </w:p>
        </w:tc>
        <w:tc>
          <w:tcPr/>
          <w:p>
            <w:pPr>
              <w:pStyle w:val="Compact"/>
              <w:jc w:val="left"/>
            </w:pPr>
            <w:r>
              <w:t xml:space="preserve">menos complicações após a cirurgia</w:t>
            </w:r>
          </w:p>
        </w:tc>
      </w:tr>
      <w:tr>
        <w:tc>
          <w:tcPr/>
          <w:p>
            <w:pPr>
              <w:pStyle w:val="Compact"/>
              <w:jc w:val="left"/>
            </w:pPr>
            <w:r>
              <w:t xml:space="preserve">COVID-19 grave (Kuznik 2022, PMID 36169363)</w:t>
            </w:r>
          </w:p>
        </w:tc>
        <w:tc>
          <w:tcPr/>
          <w:p>
            <w:pPr>
              <w:pStyle w:val="Compact"/>
              <w:jc w:val="left"/>
            </w:pPr>
            <w:r>
              <w:t xml:space="preserve">três grupos: terapia básica, mais tocilizumabe, mais timalina; alocação não descrita</w:t>
            </w:r>
          </w:p>
        </w:tc>
        <w:tc>
          <w:tcPr/>
          <w:p>
            <w:pPr>
              <w:pStyle w:val="Compact"/>
              <w:jc w:val="left"/>
            </w:pPr>
            <w:r>
              <w:t xml:space="preserve">internação hospitalar</w:t>
            </w:r>
          </w:p>
        </w:tc>
        <w:tc>
          <w:tcPr/>
          <w:p>
            <w:pPr>
              <w:pStyle w:val="Compact"/>
              <w:jc w:val="left"/>
            </w:pPr>
            <w:r>
              <w:t xml:space="preserve">mortalidade hospitalar 40,9%, 28,4% e 20,6%</w:t>
            </w:r>
          </w:p>
        </w:tc>
      </w:tr>
      <w:tr>
        <w:tc>
          <w:tcPr/>
          <w:p>
            <w:pPr>
              <w:pStyle w:val="Compact"/>
              <w:jc w:val="left"/>
            </w:pPr>
            <w:r>
              <w:t xml:space="preserve">Esquizofrenia resistente ao tratamento (Govorin 1990, PMID 2163147)</w:t>
            </w:r>
          </w:p>
        </w:tc>
        <w:tc>
          <w:tcPr/>
          <w:p>
            <w:pPr>
              <w:pStyle w:val="Compact"/>
              <w:jc w:val="left"/>
            </w:pPr>
            <w:r>
              <w:t xml:space="preserve">36 pessoas, sem grupo de controle</w:t>
            </w:r>
          </w:p>
        </w:tc>
        <w:tc>
          <w:tcPr/>
          <w:p>
            <w:pPr>
              <w:pStyle w:val="Compact"/>
              <w:jc w:val="left"/>
            </w:pPr>
            <w:r>
              <w:t xml:space="preserve">não informada</w:t>
            </w:r>
          </w:p>
        </w:tc>
        <w:tc>
          <w:tcPr/>
          <w:p>
            <w:pPr>
              <w:pStyle w:val="Compact"/>
              <w:jc w:val="left"/>
            </w:pPr>
            <w:r>
              <w:t xml:space="preserve">melhora de sintomas psíquicos relatada</w:t>
            </w:r>
          </w:p>
        </w:tc>
      </w:tr>
      <w:tr>
        <w:tc>
          <w:tcPr/>
          <w:p>
            <w:pPr>
              <w:pStyle w:val="Compact"/>
              <w:jc w:val="left"/>
            </w:pPr>
            <w:r>
              <w:t xml:space="preserve">Parkinson (Musienko 1999, PMID 10424021)</w:t>
            </w:r>
          </w:p>
        </w:tc>
        <w:tc>
          <w:tcPr/>
          <w:p>
            <w:pPr>
              <w:pStyle w:val="Compact"/>
              <w:jc w:val="left"/>
            </w:pPr>
            <w:r>
              <w:t xml:space="preserve">15 pessoas, sem grupo de controle</w:t>
            </w:r>
          </w:p>
        </w:tc>
        <w:tc>
          <w:tcPr/>
          <w:p>
            <w:pPr>
              <w:pStyle w:val="Compact"/>
              <w:jc w:val="left"/>
            </w:pPr>
            <w:r>
              <w:t xml:space="preserve">uma série de tratamento</w:t>
            </w:r>
          </w:p>
        </w:tc>
        <w:tc>
          <w:tcPr/>
          <w:p>
            <w:pPr>
              <w:pStyle w:val="Compact"/>
              <w:jc w:val="left"/>
            </w:pPr>
            <w:r>
              <w:t xml:space="preserve">melhora do bem-estar e dos sintomas relatada</w:t>
            </w:r>
          </w:p>
        </w:tc>
      </w:tr>
    </w:tbl>
    <w:bookmarkStart w:id="1202" w:name="X882ca3f727cd76333d1b7474a4649e20deaa116"/>
    <w:p>
      <w:pPr>
        <w:pStyle w:val="Heading4"/>
      </w:pPr>
      <w:r>
        <w:t xml:space="preserve">O estudo de longo prazo sobre prolongamento da vida</w:t>
      </w:r>
    </w:p>
    <w:p>
      <w:pPr>
        <w:pStyle w:val="FirstParagraph"/>
      </w:pPr>
      <w:r>
        <w:t xml:space="preserve">O trabalho mais conhecido é também o mais problemático. Durante seis a oito anos, foram observadas 266 pessoas idosas em São Petersburgo e Kiev, das quais algumas receberam, nos primeiros dois a três anos, timalina, epitalamina ou ambas. Relata-se uma mortalidade 2,0 a 2,1 vezes menor com timalina e 4,1 vezes menor com tratamento combinado anual ao longo de seis anos</w:t>
      </w:r>
      <w:r>
        <w:rPr>
          <w:rStyle w:val="FootnoteReference"/>
        </w:rPr>
        <w:footnoteReference w:id="1201"/>
      </w:r>
      <w:r>
        <w:t xml:space="preserve">.</w:t>
      </w:r>
    </w:p>
    <w:p>
      <w:pPr>
        <w:pStyle w:val="BodyText"/>
      </w:pPr>
      <w:r>
        <w:t xml:space="preserve">Efeitos desse tipo seriam espetaculares – maiores do que com quase qualquer medicamento estabelecido. O resumo, porém, não descreve nem como os participantes foram alocados aos grupos, nem se houve cegamento, nem quantas pessoas havia em cada grupo. Quem é mais saudável e ativo tende a participar de um tratamento de anos; sem alocação aleatória, uma diferença desse tipo pode surgir só por isso. Não existem repetições independentes.</w:t>
      </w:r>
    </w:p>
    <w:bookmarkEnd w:id="1202"/>
    <w:bookmarkStart w:id="1205" w:name="covid-19-1"/>
    <w:p>
      <w:pPr>
        <w:pStyle w:val="Heading4"/>
      </w:pPr>
      <w:r>
        <w:t xml:space="preserve">COVID-19</w:t>
      </w:r>
    </w:p>
    <w:p>
      <w:pPr>
        <w:pStyle w:val="FirstParagraph"/>
      </w:pPr>
      <w:r>
        <w:t xml:space="preserve">Durante a pandemia, o grupo de trabalho relatou o uso de timalina em pacientes graves de COVID-19. Em uma análise, a mortalidade hospitalar foi de 40,9 por cento com terapia básica, de 28,4 por cento com tocilizumabe adicional e de 20,6 por cento com timalina adicional</w:t>
      </w:r>
      <w:r>
        <w:rPr>
          <w:rStyle w:val="FootnoteReference"/>
        </w:rPr>
        <w:footnoteReference w:id="1203"/>
      </w:r>
      <w:r>
        <w:t xml:space="preserve">. Como as pessoas foram alocadas aos grupos e qual o tamanho dos grupos não consta do resumo. Outro trabalho relata quedas mais rápidas de marcadores inflamatórios e de coagulação</w:t>
      </w:r>
      <w:r>
        <w:rPr>
          <w:rStyle w:val="FootnoteReference"/>
        </w:rPr>
        <w:footnoteReference w:id="1204"/>
      </w:r>
      <w:r>
        <w:t xml:space="preserve">. Após a experiência com a timosina alfa 1, na qual dados observacionais iniciais favoráveis não se confirmaram em estudos maiores (veja esse capítulo), esses números não são confiáveis sem confirmação randomizada.</w:t>
      </w:r>
    </w:p>
    <w:bookmarkEnd w:id="1205"/>
    <w:bookmarkStart w:id="1207" w:name="o-único-estudo-controlado-por-placebo"/>
    <w:p>
      <w:pPr>
        <w:pStyle w:val="Heading4"/>
      </w:pPr>
      <w:r>
        <w:t xml:space="preserve">O único estudo controlado por placebo</w:t>
      </w:r>
    </w:p>
    <w:p>
      <w:pPr>
        <w:pStyle w:val="FirstParagraph"/>
      </w:pPr>
      <w:r>
        <w:t xml:space="preserve">O único estudo descrito como duplo-cego, randomizado e controlado por placebo investigou gotas nasais de timogênio em pessoas idosas antes de cirurgias de tumores abdominais. Relatam-se menos complicações após a cirurgia e uma recuperação mais curta</w:t>
      </w:r>
      <w:r>
        <w:rPr>
          <w:rStyle w:val="FootnoteReference"/>
        </w:rPr>
        <w:footnoteReference w:id="1206"/>
      </w:r>
      <w:r>
        <w:t xml:space="preserve">. O resumo em russo não informa o número de participantes nem o tamanho dos efeitos.</w:t>
      </w:r>
    </w:p>
    <w:bookmarkEnd w:id="1207"/>
    <w:bookmarkStart w:id="1208" w:name="outros-estudos"/>
    <w:p>
      <w:pPr>
        <w:pStyle w:val="Heading4"/>
      </w:pPr>
      <w:r>
        <w:t xml:space="preserve">Outros estudos</w:t>
      </w:r>
    </w:p>
    <w:p>
      <w:pPr>
        <w:pStyle w:val="FirstParagraph"/>
      </w:pPr>
      <w:r>
        <w:t xml:space="preserve">Os demais estudos em humanos vêm predominantemente dos anos 1980 e 1990 e abrangem um espectro notavelmente amplo: tuberculose, disenteria, erisipela, feridas purulentas, peritonite em crianças, pancreatite, colite ulcerativa, inflamações dos órgãos genitais femininos, esquizofrenia e Parkinson. Quase sempre a timalina ou o timogênio foram dados além do tratamento padrão, sem placebo e geralmente sem alocação aleatória. Mediram-se com frequência valores laboratoriais do sistema imunológico, não desfechos duros como cura ou sobrevida.</w:t>
      </w:r>
    </w:p>
    <w:bookmarkEnd w:id="1208"/>
    <w:bookmarkEnd w:id="1209"/>
    <w:bookmarkStart w:id="1212" w:name="estudos-em-animais-e-em-laboratório-22"/>
    <w:p>
      <w:pPr>
        <w:pStyle w:val="Heading3"/>
      </w:pPr>
      <w:r>
        <w:t xml:space="preserve">Estudos em animais e em laboratório</w:t>
      </w:r>
    </w:p>
    <w:p>
      <w:pPr>
        <w:pStyle w:val="FirstParagraph"/>
      </w:pPr>
      <w:r>
        <w:t xml:space="preserve">Os estudos em animais também vêm predominantemente de grupos de trabalho russos e ucranianos. Em 76 ratos que receberam durante doze meses Glu-Trp (timogênio) ou solução salina, a duração média de vida foi igual; os dez por cento mais longevos viveram mais com timogênio, e tumores ocorreram com menos frequência</w:t>
      </w:r>
      <w:r>
        <w:rPr>
          <w:rStyle w:val="FootnoteReference"/>
        </w:rPr>
        <w:footnoteReference w:id="1210"/>
      </w:r>
      <w:r>
        <w:t xml:space="preserve">. Em culturas de células-tronco sanguíneas humanas, a timalina influenciou sua diferenciação</w:t>
      </w:r>
      <w:r>
        <w:rPr>
          <w:rStyle w:val="FootnoteReference"/>
        </w:rPr>
        <w:footnoteReference w:id="1211"/>
      </w:r>
      <w:r>
        <w:t xml:space="preserve">. Outros trabalhos descrevem efeitos sobre a coagulação sanguínea, o surgimento de câncer após radiação ou substâncias químicas e infecções em roedores.</w:t>
      </w:r>
    </w:p>
    <w:bookmarkEnd w:id="1212"/>
    <w:bookmarkStart w:id="1213" w:name="Xf38798dc70738b6d1367da70edb6fc591bc947a"/>
    <w:p>
      <w:pPr>
        <w:pStyle w:val="Heading3"/>
      </w:pPr>
      <w:r>
        <w:t xml:space="preserve">Qualidade da pesquisa: uma avaliação crítica</w:t>
      </w:r>
    </w:p>
    <w:p>
      <w:pPr>
        <w:pStyle w:val="FirstParagraph"/>
      </w:pPr>
      <w:r>
        <w:t xml:space="preserve">Para a avaliação da timalina e do timogênio, a origem dos dados é mais importante do que os resultados individuais:</w:t>
      </w:r>
    </w:p>
    <w:p>
      <w:pPr>
        <w:numPr>
          <w:ilvl w:val="0"/>
          <w:numId w:val="1142"/>
        </w:numPr>
        <w:pStyle w:val="Compact"/>
      </w:pPr>
      <w:r>
        <w:rPr>
          <w:bCs/>
          <w:b/>
        </w:rPr>
        <w:t xml:space="preserve">Uma escola, quase nenhuma confirmação independente.</w:t>
      </w:r>
      <w:r>
        <w:t xml:space="preserve"> </w:t>
      </w:r>
      <w:r>
        <w:t xml:space="preserve">Grande parte dos trabalhos vem de Khavinson, de seus colaboradores ou de institutos cooperantes. Segundo o PubMed, Khavinson participou de mais de 80 das cerca de 290 publicações; muitas outras vêm de grupos estreitamente ligados. Faltam estudos de repetição ocidentais independentes.</w:t>
      </w:r>
    </w:p>
    <w:p>
      <w:pPr>
        <w:numPr>
          <w:ilvl w:val="0"/>
          <w:numId w:val="1142"/>
        </w:numPr>
        <w:pStyle w:val="Compact"/>
      </w:pPr>
      <w:r>
        <w:rPr>
          <w:bCs/>
          <w:b/>
        </w:rPr>
        <w:t xml:space="preserve">Idioma e acessibilidade.</w:t>
      </w:r>
      <w:r>
        <w:t xml:space="preserve"> </w:t>
      </w:r>
      <w:r>
        <w:t xml:space="preserve">Cerca de 250 dos trabalhos estão em russo, no PubMed muitas vezes apenas com um breve resumo. Os textos completos são de difícil acesso, e os métodos quase não podem ser verificados.</w:t>
      </w:r>
    </w:p>
    <w:p>
      <w:pPr>
        <w:numPr>
          <w:ilvl w:val="0"/>
          <w:numId w:val="1142"/>
        </w:numPr>
        <w:pStyle w:val="Compact"/>
      </w:pPr>
      <w:r>
        <w:rPr>
          <w:bCs/>
          <w:b/>
        </w:rPr>
        <w:t xml:space="preserve">Desenho dos estudos.</w:t>
      </w:r>
      <w:r>
        <w:t xml:space="preserve"> </w:t>
      </w:r>
      <w:r>
        <w:t xml:space="preserve">Quase nenhum estudo é randomizado, cego e registrado previamente segundo os padrões atuais. Nenhum estudo está registrado no ClinicalTrials.gov.</w:t>
      </w:r>
    </w:p>
    <w:p>
      <w:pPr>
        <w:numPr>
          <w:ilvl w:val="0"/>
          <w:numId w:val="1142"/>
        </w:numPr>
        <w:pStyle w:val="Compact"/>
      </w:pPr>
      <w:r>
        <w:rPr>
          <w:bCs/>
          <w:b/>
        </w:rPr>
        <w:t xml:space="preserve">Efeitos incomumente grandes em muitíssimas doenças.</w:t>
      </w:r>
      <w:r>
        <w:t xml:space="preserve"> </w:t>
      </w:r>
      <w:r>
        <w:t xml:space="preserve">Uma preparação que age igualmente na tuberculose, na esquizofrenia, no Parkinson, na COVID-19 e no envelhecimento e reduz a mortalidade pela metade é, do ponto de vista metodológico, um sinal de alerta, não uma recomendação.</w:t>
      </w:r>
    </w:p>
    <w:p>
      <w:pPr>
        <w:numPr>
          <w:ilvl w:val="0"/>
          <w:numId w:val="1142"/>
        </w:numPr>
        <w:pStyle w:val="Compact"/>
      </w:pPr>
      <w:r>
        <w:rPr>
          <w:bCs/>
          <w:b/>
        </w:rPr>
        <w:t xml:space="preserve">Conflitos de interesse.</w:t>
      </w:r>
      <w:r>
        <w:t xml:space="preserve"> </w:t>
      </w:r>
      <w:r>
        <w:t xml:space="preserve">O grupo de trabalho desenvolveu ele próprio as preparações; segundo o conhecimento do autor,</w:t>
      </w:r>
      <w:r>
        <w:t xml:space="preserve"> </w:t>
      </w:r>
      <w:r>
        <w:t xml:space="preserve">“</w:t>
      </w:r>
      <w:r>
        <w:t xml:space="preserve">biorreguladores</w:t>
      </w:r>
      <w:r>
        <w:t xml:space="preserve">”</w:t>
      </w:r>
      <w:r>
        <w:t xml:space="preserve"> </w:t>
      </w:r>
      <w:r>
        <w:t xml:space="preserve">dessa escola são comercializados internacionalmente como suplementos alimentares. Faltam verificações independentes por pesquisadores sem esses vínculos.</w:t>
      </w:r>
    </w:p>
    <w:p>
      <w:pPr>
        <w:pStyle w:val="FirstParagraph"/>
      </w:pPr>
      <w:r>
        <w:t xml:space="preserve">Isso não significa que todos os resultados tenham de estar errados. Significa que, pelos critérios deste livro, eles não podem valer como prova de benefício enquanto não forem confirmados em estudos independentes e bem planejados.</w:t>
      </w:r>
    </w:p>
    <w:bookmarkEnd w:id="1213"/>
    <w:bookmarkStart w:id="1216" w:name="riscos-e-efeitos-colaterais-22"/>
    <w:p>
      <w:pPr>
        <w:pStyle w:val="Heading3"/>
      </w:pPr>
      <w:r>
        <w:t xml:space="preserve">Riscos e efeitos colaterais</w:t>
      </w:r>
    </w:p>
    <w:bookmarkStart w:id="1214" w:name="comprovados-6"/>
    <w:p>
      <w:pPr>
        <w:pStyle w:val="Heading4"/>
      </w:pPr>
      <w:r>
        <w:t xml:space="preserve">Comprovados</w:t>
      </w:r>
    </w:p>
    <w:p>
      <w:pPr>
        <w:pStyle w:val="FirstParagraph"/>
      </w:pPr>
      <w:r>
        <w:t xml:space="preserve">Não há dados de segurança coletados sistematicamente segundo os padrões atuais. Os estudos existentes quase não relatam efeitos colaterais – o que, em estudos pequenos e não cegos, diz pouco.</w:t>
      </w:r>
    </w:p>
    <w:bookmarkEnd w:id="1214"/>
    <w:bookmarkStart w:id="1215" w:name="teóricos-2"/>
    <w:p>
      <w:pPr>
        <w:pStyle w:val="Heading4"/>
      </w:pPr>
      <w:r>
        <w:t xml:space="preserve">Teóricos</w:t>
      </w:r>
    </w:p>
    <w:p>
      <w:pPr>
        <w:numPr>
          <w:ilvl w:val="0"/>
          <w:numId w:val="1143"/>
        </w:numPr>
        <w:pStyle w:val="Compact"/>
      </w:pPr>
      <w:r>
        <w:rPr>
          <w:bCs/>
          <w:b/>
        </w:rPr>
        <w:t xml:space="preserve">Material de partida animal:</w:t>
      </w:r>
      <w:r>
        <w:t xml:space="preserve"> </w:t>
      </w:r>
      <w:r>
        <w:t xml:space="preserve">a timalina é um extrato de timo de bezerro. Com extratos animais, há em princípio riscos de contaminações, variações entre lotes e reações alérgicas. Também a transmissão de patógenos a partir de tecido bovino é um risco teórico, que depende da qualidade de fabricação.</w:t>
      </w:r>
    </w:p>
    <w:p>
      <w:pPr>
        <w:numPr>
          <w:ilvl w:val="0"/>
          <w:numId w:val="1143"/>
        </w:numPr>
        <w:pStyle w:val="Compact"/>
      </w:pPr>
      <w:r>
        <w:rPr>
          <w:bCs/>
          <w:b/>
        </w:rPr>
        <w:t xml:space="preserve">Imunoestimulação:</w:t>
      </w:r>
      <w:r>
        <w:t xml:space="preserve"> </w:t>
      </w:r>
      <w:r>
        <w:t xml:space="preserve">em doenças autoimunes ou após transplante de órgãos, uma estimulação do sistema imunológico poderia causar dano. Faltam dados sobre isso.</w:t>
      </w:r>
    </w:p>
    <w:p>
      <w:pPr>
        <w:numPr>
          <w:ilvl w:val="0"/>
          <w:numId w:val="1143"/>
        </w:numPr>
        <w:pStyle w:val="Compact"/>
      </w:pPr>
      <w:r>
        <w:rPr>
          <w:bCs/>
          <w:b/>
        </w:rPr>
        <w:t xml:space="preserve">Mercado cinza e</w:t>
      </w:r>
      <w:r>
        <w:rPr>
          <w:bCs/>
          <w:b/>
        </w:rPr>
        <w:t xml:space="preserve"> </w:t>
      </w:r>
      <w:r>
        <w:rPr>
          <w:bCs/>
          <w:b/>
        </w:rPr>
        <w:t xml:space="preserve">“</w:t>
      </w:r>
      <w:r>
        <w:rPr>
          <w:bCs/>
          <w:b/>
        </w:rPr>
        <w:t xml:space="preserve">biorreguladores</w:t>
      </w:r>
      <w:r>
        <w:rPr>
          <w:bCs/>
          <w:b/>
        </w:rPr>
        <w:t xml:space="preserve">”</w:t>
      </w:r>
      <w:r>
        <w:rPr>
          <w:bCs/>
          <w:b/>
        </w:rPr>
        <w:t xml:space="preserve">:</w:t>
      </w:r>
      <w:r>
        <w:t xml:space="preserve"> </w:t>
      </w:r>
      <w:r>
        <w:t xml:space="preserve">fora da Rússia, a timalina, o timogênio e produtos aparentados são vendidos pela internet, em parte como solução injetável, em parte como cápsulas com a denominação</w:t>
      </w:r>
      <w:r>
        <w:t xml:space="preserve"> </w:t>
      </w:r>
      <w:r>
        <w:t xml:space="preserve">“</w:t>
      </w:r>
      <w:r>
        <w:t xml:space="preserve">biorregulador</w:t>
      </w:r>
      <w:r>
        <w:t xml:space="preserve">”</w:t>
      </w:r>
      <w:r>
        <w:t xml:space="preserve">. Origem, teor e qualidade desses produtos não são verificáveis.</w:t>
      </w:r>
    </w:p>
    <w:bookmarkEnd w:id="1215"/>
    <w:bookmarkEnd w:id="1216"/>
    <w:bookmarkStart w:id="1217" w:name="situação-legal-22"/>
    <w:p>
      <w:pPr>
        <w:pStyle w:val="Heading3"/>
      </w:pPr>
      <w:r>
        <w:t xml:space="preserve">Situação legal</w:t>
      </w:r>
    </w:p>
    <w:p>
      <w:pPr>
        <w:pStyle w:val="FirstParagraph"/>
      </w:pPr>
      <w:r>
        <w:rPr>
          <w:iCs/>
          <w:i/>
        </w:rPr>
        <w:t xml:space="preserve">Situação em 2026, verificar atualização.</w:t>
      </w:r>
    </w:p>
    <w:p>
      <w:pPr>
        <w:numPr>
          <w:ilvl w:val="0"/>
          <w:numId w:val="1144"/>
        </w:numPr>
        <w:pStyle w:val="Compact"/>
      </w:pPr>
      <w:r>
        <w:rPr>
          <w:bCs/>
          <w:b/>
        </w:rPr>
        <w:t xml:space="preserve">Rússia e alguns Estados sucessores da União Soviética:</w:t>
      </w:r>
      <w:r>
        <w:t xml:space="preserve"> </w:t>
      </w:r>
      <w:r>
        <w:t xml:space="preserve">a timalina e o timogênio estão aprovados como medicamentos.</w:t>
      </w:r>
    </w:p>
    <w:p>
      <w:pPr>
        <w:numPr>
          <w:ilvl w:val="0"/>
          <w:numId w:val="1144"/>
        </w:numPr>
        <w:pStyle w:val="Compact"/>
      </w:pPr>
      <w:r>
        <w:rPr>
          <w:bCs/>
          <w:b/>
        </w:rPr>
        <w:t xml:space="preserve">UE, Alemanha, Áustria:</w:t>
      </w:r>
      <w:r>
        <w:t xml:space="preserve"> </w:t>
      </w:r>
      <w:r>
        <w:t xml:space="preserve">sem aprovação. A importação e o fornecimento para uso em humanos só são permitidos sob as condições estritas da respectiva legislação de medicamentos. Cápsulas com extratos de órgãos vendidas como suplementos alimentares não podem prometer efeitos sobre doenças; se devem ser classificadas como medicamentos depende do caso individual.</w:t>
      </w:r>
    </w:p>
    <w:p>
      <w:pPr>
        <w:numPr>
          <w:ilvl w:val="0"/>
          <w:numId w:val="1144"/>
        </w:numPr>
        <w:pStyle w:val="Compact"/>
      </w:pPr>
      <w:r>
        <w:rPr>
          <w:bCs/>
          <w:b/>
        </w:rPr>
        <w:t xml:space="preserve">EUA:</w:t>
      </w:r>
      <w:r>
        <w:t xml:space="preserve"> </w:t>
      </w:r>
      <w:r>
        <w:t xml:space="preserve">sem aprovação da FDA.</w:t>
      </w:r>
    </w:p>
    <w:p>
      <w:pPr>
        <w:numPr>
          <w:ilvl w:val="0"/>
          <w:numId w:val="1144"/>
        </w:numPr>
        <w:pStyle w:val="Compact"/>
      </w:pPr>
      <w:r>
        <w:rPr>
          <w:bCs/>
          <w:b/>
        </w:rPr>
        <w:t xml:space="preserve">WADA:</w:t>
      </w:r>
      <w:r>
        <w:t xml:space="preserve"> </w:t>
      </w:r>
      <w:r>
        <w:t xml:space="preserve">não listados nominalmente.</w:t>
      </w:r>
    </w:p>
    <w:bookmarkEnd w:id="1217"/>
    <w:bookmarkStart w:id="1218" w:name="estudos-em-andamento-e-perspectivas-22"/>
    <w:p>
      <w:pPr>
        <w:pStyle w:val="Heading3"/>
      </w:pPr>
      <w:r>
        <w:t xml:space="preserve">Estudos em andamento e perspectivas</w:t>
      </w:r>
    </w:p>
    <w:p>
      <w:pPr>
        <w:pStyle w:val="FirstParagraph"/>
      </w:pPr>
      <w:r>
        <w:rPr>
          <w:bCs/>
          <w:b/>
        </w:rPr>
        <w:t xml:space="preserve">Confirmado:</w:t>
      </w:r>
      <w:r>
        <w:t xml:space="preserve"> </w:t>
      </w:r>
      <w:r>
        <w:t xml:space="preserve">no ClinicalTrials.gov, em outubro de 2026, não há nenhum estudo sobre timalina ou timogênio registrado.</w:t>
      </w:r>
    </w:p>
    <w:p>
      <w:pPr>
        <w:pStyle w:val="BodyText"/>
      </w:pPr>
      <w:r>
        <w:rPr>
          <w:bCs/>
          <w:b/>
        </w:rPr>
        <w:t xml:space="preserve">Avaliação do autor:</w:t>
      </w:r>
      <w:r>
        <w:t xml:space="preserve"> </w:t>
      </w:r>
      <w:r>
        <w:t xml:space="preserve">uma aprovação na UE ou nos EUA está excluída sem novos estudos realizados segundo padrões internacionais, e tais estudos não estão à vista. A timalina e o timogênio provavelmente continuarão sendo um fenômeno do mercado de saúde de língua russa e da cena internacional de longevidade.</w:t>
      </w:r>
    </w:p>
    <w:bookmarkEnd w:id="1218"/>
    <w:bookmarkStart w:id="1220" w:name="conclusão-22"/>
    <w:p>
      <w:pPr>
        <w:pStyle w:val="Heading3"/>
      </w:pPr>
      <w:r>
        <w:t xml:space="preserve">Conclusão</w:t>
      </w:r>
    </w:p>
    <w:p>
      <w:pPr>
        <w:pStyle w:val="FirstParagraph"/>
      </w:pPr>
      <w:r>
        <w:t xml:space="preserve">A timalina é um extrato de timo de bezerro; o timogênio, um dipeptídeo derivado dele; ambos estão aprovados na Rússia e são promovidos no Ocidente como</w:t>
      </w:r>
      <w:r>
        <w:t xml:space="preserve"> </w:t>
      </w:r>
      <w:r>
        <w:t xml:space="preserve">“</w:t>
      </w:r>
      <w:r>
        <w:t xml:space="preserve">biorreguladores</w:t>
      </w:r>
      <w:r>
        <w:t xml:space="preserve">”</w:t>
      </w:r>
      <w:r>
        <w:t xml:space="preserve"> </w:t>
      </w:r>
      <w:r>
        <w:t xml:space="preserve">para prolongar a vida. A base de estudos vem quase inteiramente de uma única escola de pesquisa russa, foi publicada predominantemente em russo e consiste em estudos pequenos, geralmente não randomizados. A muito citada redução pela metade da mortalidade em pessoas idosas</w:t>
      </w:r>
      <w:r>
        <w:rPr>
          <w:rStyle w:val="FootnoteReference"/>
        </w:rPr>
        <w:footnoteReference w:id="1219"/>
      </w:r>
      <w:r>
        <w:t xml:space="preserve"> </w:t>
      </w:r>
      <w:r>
        <w:t xml:space="preserve">se baseia em um estudo cujo desenho não é descrito de forma compreensível no resumo. Um benefício não está comprovado pelos padrões atuais, e a qualidade dos produtos vendidos livremente é desconhecida.</w:t>
      </w:r>
    </w:p>
    <w:bookmarkEnd w:id="1220"/>
    <w:bookmarkEnd w:id="1221"/>
    <w:bookmarkEnd w:id="1222"/>
    <w:bookmarkStart w:id="1602" w:name="X7d07b6dd99550a8e01eb1562fa54021376deb08"/>
    <w:p>
      <w:pPr>
        <w:pStyle w:val="Heading1"/>
      </w:pPr>
      <w:r>
        <w:t xml:space="preserve">Parte II · C – Eixo do hormônio do crescimento</w:t>
      </w:r>
    </w:p>
    <w:p>
      <w:pPr>
        <w:pStyle w:val="FirstParagraph"/>
      </w:pPr>
      <w:r>
        <w:t xml:space="preserve">O hormônio do crescimento (GH, do inglês</w:t>
      </w:r>
      <w:r>
        <w:t xml:space="preserve"> </w:t>
      </w:r>
      <w:r>
        <w:rPr>
          <w:iCs/>
          <w:i/>
        </w:rPr>
        <w:t xml:space="preserve">growth hormone</w:t>
      </w:r>
      <w:r>
        <w:t xml:space="preserve">) é um dos hormônios mais mitificados que existem. Nas academias, é considerado o hormônio dos músculos e da queima de gordura; nos consultórios anti-aging, uma</w:t>
      </w:r>
      <w:r>
        <w:t xml:space="preserve"> </w:t>
      </w:r>
      <w:r>
        <w:t xml:space="preserve">“</w:t>
      </w:r>
      <w:r>
        <w:t xml:space="preserve">fonte da juventude</w:t>
      </w:r>
      <w:r>
        <w:t xml:space="preserve">”</w:t>
      </w:r>
      <w:r>
        <w:t xml:space="preserve">. O hormônio do crescimento verdadeiro é uma proteína grande, cara e sujeita a prescrição médica. Os peptídeos desta parte prometem um caminho aparentemente mais elegante: eles deveriam levar o corpo a liberar</w:t>
      </w:r>
      <w:r>
        <w:t xml:space="preserve"> </w:t>
      </w:r>
      <w:r>
        <w:rPr>
          <w:iCs/>
          <w:i/>
        </w:rPr>
        <w:t xml:space="preserve">mais hormônio do crescimento próprio</w:t>
      </w:r>
      <w:r>
        <w:t xml:space="preserve"> </w:t>
      </w:r>
      <w:r>
        <w:t xml:space="preserve">– ou fornecem diretamente o mensageiro subsequente IGF-1.</w:t>
      </w:r>
    </w:p>
    <w:bookmarkStart w:id="1224" w:name="o-eixo-em-quatro-estações"/>
    <w:p>
      <w:pPr>
        <w:pStyle w:val="Heading3"/>
      </w:pPr>
      <w:r>
        <w:t xml:space="preserve">O eixo em quatro estações</w:t>
      </w:r>
    </w:p>
    <w:p>
      <w:pPr>
        <w:numPr>
          <w:ilvl w:val="0"/>
          <w:numId w:val="1145"/>
        </w:numPr>
        <w:pStyle w:val="Compact"/>
      </w:pPr>
      <w:r>
        <w:t xml:space="preserve">O</w:t>
      </w:r>
      <w:r>
        <w:t xml:space="preserve"> </w:t>
      </w:r>
      <w:r>
        <w:rPr>
          <w:bCs/>
          <w:b/>
        </w:rPr>
        <w:t xml:space="preserve">GHRH</w:t>
      </w:r>
      <w:r>
        <w:t xml:space="preserve"> </w:t>
      </w:r>
      <w:r>
        <w:t xml:space="preserve">(hormônio liberador do hormônio do crescimento), do diencéfalo, dá à hipófise o sinal para a liberação. Seu antagonista, a somatostatina, freia.</w:t>
      </w:r>
    </w:p>
    <w:p>
      <w:pPr>
        <w:numPr>
          <w:ilvl w:val="0"/>
          <w:numId w:val="1145"/>
        </w:numPr>
        <w:pStyle w:val="Compact"/>
      </w:pPr>
      <w:r>
        <w:t xml:space="preserve">A</w:t>
      </w:r>
      <w:r>
        <w:t xml:space="preserve"> </w:t>
      </w:r>
      <w:r>
        <w:rPr>
          <w:bCs/>
          <w:b/>
        </w:rPr>
        <w:t xml:space="preserve">grelina</w:t>
      </w:r>
      <w:r>
        <w:t xml:space="preserve">, um hormônio do estômago, intensifica a liberação por meio de um receptor próprio (GHS-R1a) e, ao mesmo tempo, dá fome</w:t>
      </w:r>
      <w:r>
        <w:rPr>
          <w:rStyle w:val="FootnoteReference"/>
        </w:rPr>
        <w:footnoteReference w:id="1223"/>
      </w:r>
      <w:r>
        <w:t xml:space="preserve">.</w:t>
      </w:r>
    </w:p>
    <w:p>
      <w:pPr>
        <w:numPr>
          <w:ilvl w:val="0"/>
          <w:numId w:val="1145"/>
        </w:numPr>
        <w:pStyle w:val="Compact"/>
      </w:pPr>
      <w:r>
        <w:t xml:space="preserve">O</w:t>
      </w:r>
      <w:r>
        <w:t xml:space="preserve"> </w:t>
      </w:r>
      <w:r>
        <w:rPr>
          <w:bCs/>
          <w:b/>
        </w:rPr>
        <w:t xml:space="preserve">hormônio do crescimento</w:t>
      </w:r>
      <w:r>
        <w:t xml:space="preserve"> </w:t>
      </w:r>
      <w:r>
        <w:t xml:space="preserve">é liberado pela hipófise em pulsos, sobretudo à noite.</w:t>
      </w:r>
    </w:p>
    <w:p>
      <w:pPr>
        <w:numPr>
          <w:ilvl w:val="0"/>
          <w:numId w:val="1145"/>
        </w:numPr>
        <w:pStyle w:val="Compact"/>
      </w:pPr>
      <w:r>
        <w:t xml:space="preserve">O</w:t>
      </w:r>
      <w:r>
        <w:t xml:space="preserve"> </w:t>
      </w:r>
      <w:r>
        <w:rPr>
          <w:bCs/>
          <w:b/>
        </w:rPr>
        <w:t xml:space="preserve">IGF-1</w:t>
      </w:r>
      <w:r>
        <w:t xml:space="preserve"> </w:t>
      </w:r>
      <w:r>
        <w:t xml:space="preserve">(fator de crescimento semelhante à insulina 1) é produzido sobretudo no fígado em resposta ao hormônio do crescimento e medeia muitos de seus efeitos anabólicos. Níveis altos de IGF-1, por sua vez, freiam o eixo.</w:t>
      </w:r>
    </w:p>
    <w:p>
      <w:pPr>
        <w:pStyle w:val="FirstParagraph"/>
      </w:pPr>
      <w:r>
        <w:t xml:space="preserve">As substâncias desta parte atuam em estações diferentes:</w:t>
      </w:r>
      <w:r>
        <w:t xml:space="preserve"> </w:t>
      </w:r>
      <w:r>
        <w:rPr>
          <w:bCs/>
          <w:b/>
        </w:rPr>
        <w:t xml:space="preserve">análogos de GHRH</w:t>
      </w:r>
      <w:r>
        <w:t xml:space="preserve"> </w:t>
      </w:r>
      <w:r>
        <w:t xml:space="preserve">(sermorrelina, tesamorrelina, CJC-1295) no receptor de GHRH,</w:t>
      </w:r>
      <w:r>
        <w:t xml:space="preserve"> </w:t>
      </w:r>
      <w:r>
        <w:rPr>
          <w:bCs/>
          <w:b/>
        </w:rPr>
        <w:t xml:space="preserve">miméticos de grelina</w:t>
      </w:r>
      <w:r>
        <w:t xml:space="preserve"> </w:t>
      </w:r>
      <w:r>
        <w:t xml:space="preserve">(ipamorelina, GHRP-2, GHRP-6, hexarelina, macimorelina e, para comparação, o não peptídeo ibutamoreno) no receptor de grelina,</w:t>
      </w:r>
      <w:r>
        <w:t xml:space="preserve"> </w:t>
      </w:r>
      <w:r>
        <w:rPr>
          <w:bCs/>
          <w:b/>
        </w:rPr>
        <w:t xml:space="preserve">IGF-1 e suas variantes</w:t>
      </w:r>
      <w:r>
        <w:t xml:space="preserve"> </w:t>
      </w:r>
      <w:r>
        <w:t xml:space="preserve">(mecasermina, IGF-1 LR3) diretamente no fim da cadeia.</w:t>
      </w:r>
    </w:p>
    <w:bookmarkEnd w:id="1224"/>
    <w:bookmarkStart w:id="1227" w:name="por-que-este-grupo-é-tão-popular"/>
    <w:p>
      <w:pPr>
        <w:pStyle w:val="Heading3"/>
      </w:pPr>
      <w:r>
        <w:t xml:space="preserve">Por que este grupo é tão popular</w:t>
      </w:r>
    </w:p>
    <w:p>
      <w:pPr>
        <w:pStyle w:val="FirstParagraph"/>
      </w:pPr>
      <w:r>
        <w:t xml:space="preserve">O hormônio do crescimento degrada gordura e aumenta a massa magra – isso está bem comprovado. Uma revisão de estudos randomizados em pessoas jovens e treinadas encontrou um aumento da massa livre de gordura de 2,1 kg, mas nenhuma melhora de força ou resistência, e, em contrapartida, mais retenção de líquidos e cansaço</w:t>
      </w:r>
      <w:r>
        <w:rPr>
          <w:rStyle w:val="FootnoteReference"/>
        </w:rPr>
        <w:footnoteReference w:id="1225"/>
      </w:r>
      <w:r>
        <w:t xml:space="preserve">. Em idosos saudáveis, a massa gorda caiu 2,1 kg e a massa magra subiu 2,1 kg; ao mesmo tempo, ocorreram com mais frequência inchaços nos tecidos, dores articulares, síndrome do túnel do carpo e aumento das mamas em homens</w:t>
      </w:r>
      <w:r>
        <w:rPr>
          <w:rStyle w:val="FootnoteReference"/>
        </w:rPr>
        <w:footnoteReference w:id="1226"/>
      </w:r>
      <w:r>
        <w:t xml:space="preserve">. Como a liberação de hormônio do crescimento diminui com a idade, é tentadora a ideia de</w:t>
      </w:r>
      <w:r>
        <w:t xml:space="preserve"> </w:t>
      </w:r>
      <w:r>
        <w:t xml:space="preserve">“</w:t>
      </w:r>
      <w:r>
        <w:t xml:space="preserve">fazê-la voltar</w:t>
      </w:r>
      <w:r>
        <w:t xml:space="preserve">”</w:t>
      </w:r>
      <w:r>
        <w:t xml:space="preserve">. Os liberadores são considerados uma alternativa mais suave, porque a regulação própria do corpo é preservada. Soma-se a isso que muitos deles são vendidos on-line, a preço baixo, como</w:t>
      </w:r>
      <w:r>
        <w:t xml:space="preserve"> </w:t>
      </w:r>
      <w:r>
        <w:t xml:space="preserve">“</w:t>
      </w:r>
      <w:r>
        <w:t xml:space="preserve">research peptides</w:t>
      </w:r>
      <w:r>
        <w:t xml:space="preserve">”</w:t>
      </w:r>
      <w:r>
        <w:t xml:space="preserve">.</w:t>
      </w:r>
    </w:p>
    <w:p>
      <w:pPr>
        <w:pStyle w:val="BodyText"/>
      </w:pPr>
      <w:r>
        <w:t xml:space="preserve">O padrão que atravessa quase todos os capítulos: o IGF-1 e a massa magra aumentam, mas força, função ou evolução de doenças quase não melhoram em estudos controlados – enquanto glicemia, retenção de líquidos e, com algumas substâncias, hormônios do estresse aumentam.</w:t>
      </w:r>
    </w:p>
    <w:bookmarkEnd w:id="1227"/>
    <w:bookmarkStart w:id="1234" w:name="o-ponto-em-aberto-mais-importante-câncer"/>
    <w:p>
      <w:pPr>
        <w:pStyle w:val="Heading3"/>
      </w:pPr>
      <w:r>
        <w:t xml:space="preserve">O ponto em aberto mais importante: câncer</w:t>
      </w:r>
    </w:p>
    <w:p>
      <w:pPr>
        <w:pStyle w:val="FirstParagraph"/>
      </w:pPr>
      <w:r>
        <w:t xml:space="preserve">O IGF-1 favorece a divisão celular e mantém as células vivas. Se uma elevação permanente aumenta o risco de câncer é a questão de segurança central do grupo. As evidências, resumidas com sobriedade:</w:t>
      </w:r>
    </w:p>
    <w:p>
      <w:pPr>
        <w:numPr>
          <w:ilvl w:val="0"/>
          <w:numId w:val="1146"/>
        </w:numPr>
        <w:pStyle w:val="Compact"/>
      </w:pPr>
      <w:r>
        <w:rPr>
          <w:bCs/>
          <w:b/>
        </w:rPr>
        <w:t xml:space="preserve">IGF-1 naturalmente alto:</w:t>
      </w:r>
      <w:r>
        <w:t xml:space="preserve"> </w:t>
      </w:r>
      <w:r>
        <w:t xml:space="preserve">em estudos observacionais, um nível mais alto está associado a um risco moderadamente aumentado de câncer de próstata e de câncer de mama antes da menopausa</w:t>
      </w:r>
      <w:r>
        <w:rPr>
          <w:rStyle w:val="FootnoteReference"/>
        </w:rPr>
        <w:footnoteReference w:id="1228"/>
      </w:r>
      <w:r>
        <w:t xml:space="preserve">. Análises genéticas com centenas de milhares de participantes indicam que a associação poderia ser causal nos cânceres de mama e colorretal</w:t>
      </w:r>
      <w:r>
        <w:rPr>
          <w:rStyle w:val="FootnoteReference"/>
        </w:rPr>
        <w:footnoteReference w:id="1229"/>
      </w:r>
      <w:r>
        <w:t xml:space="preserve">.</w:t>
      </w:r>
    </w:p>
    <w:p>
      <w:pPr>
        <w:numPr>
          <w:ilvl w:val="0"/>
          <w:numId w:val="1146"/>
        </w:numPr>
        <w:pStyle w:val="Compact"/>
      </w:pPr>
      <w:r>
        <w:rPr>
          <w:bCs/>
          <w:b/>
        </w:rPr>
        <w:t xml:space="preserve">Excesso natural de hormônio do crescimento (acromegalia):</w:t>
      </w:r>
      <w:r>
        <w:t xml:space="preserve"> </w:t>
      </w:r>
      <w:r>
        <w:t xml:space="preserve">uma metanálise de 23 estudos encontrou uma taxa de câncer cerca de 50% maior, mas aponta também para vieses em estudos mais antigos</w:t>
      </w:r>
      <w:r>
        <w:rPr>
          <w:rStyle w:val="FootnoteReference"/>
        </w:rPr>
        <w:footnoteReference w:id="1230"/>
      </w:r>
      <w:r>
        <w:t xml:space="preserve">.</w:t>
      </w:r>
    </w:p>
    <w:p>
      <w:pPr>
        <w:numPr>
          <w:ilvl w:val="0"/>
          <w:numId w:val="1146"/>
        </w:numPr>
        <w:pStyle w:val="Compact"/>
      </w:pPr>
      <w:r>
        <w:rPr>
          <w:bCs/>
          <w:b/>
        </w:rPr>
        <w:t xml:space="preserve">Deficiência de IGF-1 por toda a vida (síndrome de Laron):</w:t>
      </w:r>
      <w:r>
        <w:t xml:space="preserve"> </w:t>
      </w:r>
      <w:r>
        <w:t xml:space="preserve">o câncer ocorreu de forma notavelmente rara</w:t>
      </w:r>
      <w:r>
        <w:rPr>
          <w:rStyle w:val="FootnoteReference"/>
        </w:rPr>
        <w:footnoteReference w:id="1231"/>
      </w:r>
      <w:r>
        <w:t xml:space="preserve">.</w:t>
      </w:r>
    </w:p>
    <w:p>
      <w:pPr>
        <w:numPr>
          <w:ilvl w:val="0"/>
          <w:numId w:val="1146"/>
        </w:numPr>
        <w:pStyle w:val="Compact"/>
      </w:pPr>
      <w:r>
        <w:rPr>
          <w:bCs/>
          <w:b/>
        </w:rPr>
        <w:t xml:space="preserve">Hormônio do crescimento como medicamento:</w:t>
      </w:r>
      <w:r>
        <w:t xml:space="preserve"> </w:t>
      </w:r>
      <w:r>
        <w:t xml:space="preserve">em uma coorte europeia com 23.984 crianças tratadas, não se encontrou risco geral aumentado em crianças sem doença prévia, mas anomalias em alguns tipos de câncer e em crianças que já haviam tido câncer</w:t>
      </w:r>
      <w:r>
        <w:rPr>
          <w:rStyle w:val="FootnoteReference"/>
        </w:rPr>
        <w:footnoteReference w:id="1232"/>
      </w:r>
      <w:r>
        <w:t xml:space="preserve">. Em 8.418 adultos tratados com hipopituitarismo, o risco de câncer não estava aumentado</w:t>
      </w:r>
      <w:r>
        <w:rPr>
          <w:rStyle w:val="FootnoteReference"/>
        </w:rPr>
        <w:footnoteReference w:id="1233"/>
      </w:r>
      <w:r>
        <w:t xml:space="preserve">.</w:t>
      </w:r>
    </w:p>
    <w:p>
      <w:pPr>
        <w:pStyle w:val="FirstParagraph"/>
      </w:pPr>
      <w:r>
        <w:t xml:space="preserve">Conclusão: em pessoas com deficiência real, uma terapia de reposição, segundo o conhecimento atual, não está associada a um risco de câncer claramente maior. Para pessoas saudáveis que elevam um nível normal ao longo de anos, faltam dados – e a biologia fala mais a favor do que contra um certo risco. A Parte IV aprofunda o tema.</w:t>
      </w:r>
    </w:p>
    <w:bookmarkEnd w:id="1234"/>
    <w:bookmarkStart w:id="1235" w:name="visão-geral-1"/>
    <w:p>
      <w:pPr>
        <w:pStyle w:val="Heading3"/>
      </w:pPr>
      <w:r>
        <w:t xml:space="preserve">Visão geral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w:t>
            </w:r>
          </w:p>
        </w:tc>
        <w:tc>
          <w:tcPr/>
          <w:p>
            <w:pPr>
              <w:pStyle w:val="Compact"/>
              <w:jc w:val="left"/>
            </w:pPr>
            <w:r>
              <w:t xml:space="preserve">Em resumo</w:t>
            </w:r>
          </w:p>
        </w:tc>
      </w:tr>
      <w:tr>
        <w:tc>
          <w:tcPr/>
          <w:p>
            <w:pPr>
              <w:pStyle w:val="Compact"/>
              <w:jc w:val="left"/>
            </w:pPr>
            <w:r>
              <w:t xml:space="preserve">Sermorrelina</w:t>
            </w:r>
          </w:p>
        </w:tc>
        <w:tc>
          <w:tcPr/>
          <w:p>
            <w:pPr>
              <w:pStyle w:val="Compact"/>
              <w:jc w:val="left"/>
            </w:pPr>
            <w:r>
              <w:t xml:space="preserve">B</w:t>
            </w:r>
          </w:p>
        </w:tc>
        <w:tc>
          <w:tcPr/>
          <w:p>
            <w:pPr>
              <w:pStyle w:val="Compact"/>
              <w:jc w:val="left"/>
            </w:pPr>
            <w:r>
              <w:t xml:space="preserve">antes EUA (Geref), hoje nenhuma</w:t>
            </w:r>
          </w:p>
        </w:tc>
        <w:tc>
          <w:tcPr/>
          <w:p>
            <w:pPr>
              <w:pStyle w:val="Compact"/>
              <w:jc w:val="left"/>
            </w:pPr>
            <w:r>
              <w:t xml:space="preserve">fragmento de GHRH; crianças com deficiência de GH</w:t>
            </w:r>
          </w:p>
        </w:tc>
      </w:tr>
      <w:tr>
        <w:tc>
          <w:tcPr/>
          <w:p>
            <w:pPr>
              <w:pStyle w:val="Compact"/>
              <w:jc w:val="left"/>
            </w:pPr>
            <w:r>
              <w:t xml:space="preserve">Tesamorrelina</w:t>
            </w:r>
          </w:p>
        </w:tc>
        <w:tc>
          <w:tcPr/>
          <w:p>
            <w:pPr>
              <w:pStyle w:val="Compact"/>
              <w:jc w:val="left"/>
            </w:pPr>
            <w:r>
              <w:t xml:space="preserve">A</w:t>
            </w:r>
          </w:p>
        </w:tc>
        <w:tc>
          <w:tcPr/>
          <w:p>
            <w:pPr>
              <w:pStyle w:val="Compact"/>
              <w:jc w:val="left"/>
            </w:pPr>
            <w:r>
              <w:t xml:space="preserve">EUA (Egrifta)</w:t>
            </w:r>
          </w:p>
        </w:tc>
        <w:tc>
          <w:tcPr/>
          <w:p>
            <w:pPr>
              <w:pStyle w:val="Compact"/>
              <w:jc w:val="left"/>
            </w:pPr>
            <w:r>
              <w:t xml:space="preserve">menos gordura abdominal e hepática no HIV</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nenhuma</w:t>
            </w:r>
          </w:p>
        </w:tc>
        <w:tc>
          <w:tcPr/>
          <w:p>
            <w:pPr>
              <w:pStyle w:val="Compact"/>
              <w:jc w:val="left"/>
            </w:pPr>
            <w:r>
              <w:t xml:space="preserve">apenas dados de fase 1; variante</w:t>
            </w:r>
            <w:r>
              <w:t xml:space="preserve"> </w:t>
            </w:r>
            <w:r>
              <w:t xml:space="preserve">“</w:t>
            </w:r>
            <w:r>
              <w:t xml:space="preserve">sem DAC</w:t>
            </w:r>
            <w:r>
              <w:t xml:space="preserve">”</w:t>
            </w:r>
            <w:r>
              <w:t xml:space="preserve"> </w:t>
            </w:r>
            <w:r>
              <w:t xml:space="preserve">não pesquisada</w:t>
            </w:r>
          </w:p>
        </w:tc>
      </w:tr>
      <w:tr>
        <w:tc>
          <w:tcPr/>
          <w:p>
            <w:pPr>
              <w:pStyle w:val="Compact"/>
              <w:jc w:val="left"/>
            </w:pPr>
            <w:r>
              <w:t xml:space="preserve">Ipamorelina</w:t>
            </w:r>
          </w:p>
        </w:tc>
        <w:tc>
          <w:tcPr/>
          <w:p>
            <w:pPr>
              <w:pStyle w:val="Compact"/>
              <w:jc w:val="left"/>
            </w:pPr>
            <w:r>
              <w:t xml:space="preserve">B</w:t>
            </w:r>
          </w:p>
        </w:tc>
        <w:tc>
          <w:tcPr/>
          <w:p>
            <w:pPr>
              <w:pStyle w:val="Compact"/>
              <w:jc w:val="left"/>
            </w:pPr>
            <w:r>
              <w:t xml:space="preserve">nenhuma</w:t>
            </w:r>
          </w:p>
        </w:tc>
        <w:tc>
          <w:tcPr/>
          <w:p>
            <w:pPr>
              <w:pStyle w:val="Compact"/>
              <w:jc w:val="left"/>
            </w:pPr>
            <w:r>
              <w:t xml:space="preserve">sem benefício no íleo paralítico pós-operatório</w:t>
            </w:r>
          </w:p>
        </w:tc>
      </w:tr>
      <w:tr>
        <w:tc>
          <w:tcPr/>
          <w:p>
            <w:pPr>
              <w:pStyle w:val="Compact"/>
              <w:jc w:val="left"/>
            </w:pPr>
            <w:r>
              <w:t xml:space="preserve">GHRP-2 (pralmorelina)</w:t>
            </w:r>
          </w:p>
        </w:tc>
        <w:tc>
          <w:tcPr/>
          <w:p>
            <w:pPr>
              <w:pStyle w:val="Compact"/>
              <w:jc w:val="left"/>
            </w:pPr>
            <w:r>
              <w:t xml:space="preserve">B</w:t>
            </w:r>
          </w:p>
        </w:tc>
        <w:tc>
          <w:tcPr/>
          <w:p>
            <w:pPr>
              <w:pStyle w:val="Compact"/>
              <w:jc w:val="left"/>
            </w:pPr>
            <w:r>
              <w:t xml:space="preserve">Japão (diagnóstico)</w:t>
            </w:r>
          </w:p>
        </w:tc>
        <w:tc>
          <w:tcPr/>
          <w:p>
            <w:pPr>
              <w:pStyle w:val="Compact"/>
              <w:jc w:val="left"/>
            </w:pPr>
            <w:r>
              <w:t xml:space="preserve">teste de deficiência de GH</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nenhuma</w:t>
            </w:r>
          </w:p>
        </w:tc>
        <w:tc>
          <w:tcPr/>
          <w:p>
            <w:pPr>
              <w:pStyle w:val="Compact"/>
              <w:jc w:val="left"/>
            </w:pPr>
            <w:r>
              <w:t xml:space="preserve">substância de pesquisa e de teste</w:t>
            </w:r>
          </w:p>
        </w:tc>
      </w:tr>
      <w:tr>
        <w:tc>
          <w:tcPr/>
          <w:p>
            <w:pPr>
              <w:pStyle w:val="Compact"/>
              <w:jc w:val="left"/>
            </w:pPr>
            <w:r>
              <w:t xml:space="preserve">Hexarelina</w:t>
            </w:r>
          </w:p>
        </w:tc>
        <w:tc>
          <w:tcPr/>
          <w:p>
            <w:pPr>
              <w:pStyle w:val="Compact"/>
              <w:jc w:val="left"/>
            </w:pPr>
            <w:r>
              <w:t xml:space="preserve">C</w:t>
            </w:r>
          </w:p>
        </w:tc>
        <w:tc>
          <w:tcPr/>
          <w:p>
            <w:pPr>
              <w:pStyle w:val="Compact"/>
              <w:jc w:val="left"/>
            </w:pPr>
            <w:r>
              <w:t xml:space="preserve">nenhuma</w:t>
            </w:r>
          </w:p>
        </w:tc>
        <w:tc>
          <w:tcPr/>
          <w:p>
            <w:pPr>
              <w:pStyle w:val="Compact"/>
              <w:jc w:val="left"/>
            </w:pPr>
            <w:r>
              <w:t xml:space="preserve">efeitos cardíacos agudos; perda de efeito com uso contínuo</w:t>
            </w:r>
          </w:p>
        </w:tc>
      </w:tr>
      <w:tr>
        <w:tc>
          <w:tcPr/>
          <w:p>
            <w:pPr>
              <w:pStyle w:val="Compact"/>
              <w:jc w:val="left"/>
            </w:pPr>
            <w:r>
              <w:t xml:space="preserve">Macimorelina</w:t>
            </w:r>
          </w:p>
        </w:tc>
        <w:tc>
          <w:tcPr/>
          <w:p>
            <w:pPr>
              <w:pStyle w:val="Compact"/>
              <w:jc w:val="left"/>
            </w:pPr>
            <w:r>
              <w:t xml:space="preserve">A</w:t>
            </w:r>
          </w:p>
        </w:tc>
        <w:tc>
          <w:tcPr/>
          <w:p>
            <w:pPr>
              <w:pStyle w:val="Compact"/>
              <w:jc w:val="left"/>
            </w:pPr>
            <w:r>
              <w:t xml:space="preserve">UE, EUA (diagnóstico)</w:t>
            </w:r>
          </w:p>
        </w:tc>
        <w:tc>
          <w:tcPr/>
          <w:p>
            <w:pPr>
              <w:pStyle w:val="Compact"/>
              <w:jc w:val="left"/>
            </w:pPr>
            <w:r>
              <w:t xml:space="preserve">teste oral de deficiência de GH</w:t>
            </w:r>
          </w:p>
        </w:tc>
      </w:tr>
      <w:tr>
        <w:tc>
          <w:tcPr/>
          <w:p>
            <w:pPr>
              <w:pStyle w:val="Compact"/>
              <w:jc w:val="left"/>
            </w:pPr>
            <w:r>
              <w:t xml:space="preserve">Mecasermina (IGF-1)</w:t>
            </w:r>
          </w:p>
        </w:tc>
        <w:tc>
          <w:tcPr/>
          <w:p>
            <w:pPr>
              <w:pStyle w:val="Compact"/>
              <w:jc w:val="left"/>
            </w:pPr>
            <w:r>
              <w:t xml:space="preserve">A</w:t>
            </w:r>
          </w:p>
        </w:tc>
        <w:tc>
          <w:tcPr/>
          <w:p>
            <w:pPr>
              <w:pStyle w:val="Compact"/>
              <w:jc w:val="left"/>
            </w:pPr>
            <w:r>
              <w:t xml:space="preserve">UE, EUA (Increlex)</w:t>
            </w:r>
          </w:p>
        </w:tc>
        <w:tc>
          <w:tcPr/>
          <w:p>
            <w:pPr>
              <w:pStyle w:val="Compact"/>
              <w:jc w:val="left"/>
            </w:pPr>
            <w:r>
              <w:t xml:space="preserve">deficiência grave de IGF-1 em crianças</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nenhuma</w:t>
            </w:r>
          </w:p>
        </w:tc>
        <w:tc>
          <w:tcPr/>
          <w:p>
            <w:pPr>
              <w:pStyle w:val="Compact"/>
              <w:jc w:val="left"/>
            </w:pPr>
            <w:r>
              <w:t xml:space="preserve">reagente de laboratório, nunca testado em humanos</w:t>
            </w:r>
          </w:p>
        </w:tc>
      </w:tr>
      <w:tr>
        <w:tc>
          <w:tcPr/>
          <w:p>
            <w:pPr>
              <w:pStyle w:val="Compact"/>
              <w:jc w:val="left"/>
            </w:pPr>
            <w:r>
              <w:t xml:space="preserve">Ibutamoreno (comparação)</w:t>
            </w:r>
          </w:p>
        </w:tc>
        <w:tc>
          <w:tcPr/>
          <w:p>
            <w:pPr>
              <w:pStyle w:val="Compact"/>
              <w:jc w:val="left"/>
            </w:pPr>
            <w:r>
              <w:t xml:space="preserve">B</w:t>
            </w:r>
          </w:p>
        </w:tc>
        <w:tc>
          <w:tcPr/>
          <w:p>
            <w:pPr>
              <w:pStyle w:val="Compact"/>
              <w:jc w:val="left"/>
            </w:pPr>
            <w:r>
              <w:t xml:space="preserve">nenhuma</w:t>
            </w:r>
          </w:p>
        </w:tc>
        <w:tc>
          <w:tcPr/>
          <w:p>
            <w:pPr>
              <w:pStyle w:val="Compact"/>
              <w:jc w:val="left"/>
            </w:pPr>
            <w:r>
              <w:t xml:space="preserve">comprimido; sinal de insuficiência cardíaca</w:t>
            </w:r>
          </w:p>
        </w:tc>
      </w:tr>
    </w:tbl>
    <w:bookmarkEnd w:id="1235"/>
    <w:bookmarkStart w:id="1236" w:name="orientação-de-leitura-2"/>
    <w:p>
      <w:pPr>
        <w:pStyle w:val="Heading3"/>
      </w:pPr>
      <w:r>
        <w:t xml:space="preserve">Orientação de leitura</w:t>
      </w:r>
    </w:p>
    <w:p>
      <w:pPr>
        <w:pStyle w:val="FirstParagraph"/>
      </w:pPr>
      <w:r>
        <w:t xml:space="preserve">Quem se interessa por aplicações com benefício real começa pela tesamorrelina, pela macimorelina e pela mecasermina. Quem quer saber o que há por trás dos clássicos do mercado cinza lê CJC-1295, ipamorelina e IGF-1 LR3. O ibutamoreno não é um peptídeo, mas mostra com especial clareza, em grandes estudos, o que uma estimulação permanente do eixo provoca. Todas as substâncias deste grupo constam da lista de proibições da Agência Mundial Antidoping (grupo S2).</w:t>
      </w:r>
    </w:p>
    <w:bookmarkEnd w:id="1236"/>
    <w:bookmarkStart w:id="1273" w:name="sermorrelina"/>
    <w:p>
      <w:pPr>
        <w:pStyle w:val="Heading2"/>
      </w:pPr>
      <w:r>
        <w:t xml:space="preserve">Sermorrelina</w:t>
      </w:r>
    </w:p>
    <w:p>
      <w:pPr>
        <w:pStyle w:val="FirstParagraph"/>
      </w:pPr>
      <w:r>
        <w:t xml:space="preserve">A sermorrelina é um pedaço da história dos medicamentos que leva uma segunda vida na internet. Nos anos 1990, ela estava aprovada como medicamento nos EUA – primeiro como substância de teste para o diagnóstico de deficiência de hormônio do crescimento, depois para o tratamento de crianças com baixa estatura. Desde o fim dos anos 2000, a preparação original desapareceu do mercado. Hoje, a sermorrelina é prescrita sobretudo em clínicas americanas de</w:t>
      </w:r>
      <w:r>
        <w:t xml:space="preserve"> </w:t>
      </w:r>
      <w:r>
        <w:t xml:space="preserve">“</w:t>
      </w:r>
      <w:r>
        <w:t xml:space="preserve">anti-aging</w:t>
      </w:r>
      <w:r>
        <w:t xml:space="preserve">”</w:t>
      </w:r>
      <w:r>
        <w:t xml:space="preserve"> </w:t>
      </w:r>
      <w:r>
        <w:t xml:space="preserve">e de</w:t>
      </w:r>
      <w:r>
        <w:t xml:space="preserve"> </w:t>
      </w:r>
      <w:r>
        <w:t xml:space="preserve">“</w:t>
      </w:r>
      <w:r>
        <w:t xml:space="preserve">saúde masculina</w:t>
      </w:r>
      <w:r>
        <w:t xml:space="preserve">”</w:t>
      </w:r>
      <w:r>
        <w:t xml:space="preserve"> </w:t>
      </w:r>
      <w:r>
        <w:t xml:space="preserve">como fórmula manipulada e oferecida no mercado cinza. Este capítulo mostra o que os estudos antigos de fato comprovam e o que não comprovam.</w:t>
      </w:r>
    </w:p>
    <w:bookmarkStart w:id="1238" w:name="ficha-técnica-23"/>
    <w:p>
      <w:pPr>
        <w:pStyle w:val="Heading3"/>
      </w:pPr>
      <w:r>
        <w:t xml:space="preserve">Ficha técnica</w:t>
      </w:r>
    </w:p>
    <w:p>
      <w:pPr>
        <w:numPr>
          <w:ilvl w:val="0"/>
          <w:numId w:val="1147"/>
        </w:numPr>
        <w:pStyle w:val="Compact"/>
      </w:pPr>
      <w:r>
        <w:rPr>
          <w:bCs/>
          <w:b/>
        </w:rPr>
        <w:t xml:space="preserve">Tipo e estrutura:</w:t>
      </w:r>
      <w:r>
        <w:t xml:space="preserve"> </w:t>
      </w:r>
      <w:r>
        <w:t xml:space="preserve">peptídeo sintético de 29 aminoácidos; corresponde ao segmento inicial, ativo, do hormônio liberador do hormônio do crescimento endógeno, GHRH(1-29)NH2. É o peptídeo sintético mais curto com efeito completo de GHRH</w:t>
      </w:r>
      <w:r>
        <w:rPr>
          <w:rStyle w:val="FootnoteReference"/>
        </w:rPr>
        <w:footnoteReference w:id="1237"/>
      </w:r>
      <w:r>
        <w:t xml:space="preserve">.</w:t>
      </w:r>
    </w:p>
    <w:p>
      <w:pPr>
        <w:numPr>
          <w:ilvl w:val="0"/>
          <w:numId w:val="1147"/>
        </w:numPr>
        <w:pStyle w:val="Compact"/>
      </w:pPr>
      <w:r>
        <w:rPr>
          <w:bCs/>
          <w:b/>
        </w:rPr>
        <w:t xml:space="preserve">Origem:</w:t>
      </w:r>
      <w:r>
        <w:t xml:space="preserve"> </w:t>
      </w:r>
      <w:r>
        <w:t xml:space="preserve">derivada nos anos 1980 do GHRH natural; comercializada pela Serono como Geref.</w:t>
      </w:r>
    </w:p>
    <w:p>
      <w:pPr>
        <w:numPr>
          <w:ilvl w:val="0"/>
          <w:numId w:val="1147"/>
        </w:numPr>
        <w:pStyle w:val="Compact"/>
      </w:pPr>
      <w:r>
        <w:rPr>
          <w:bCs/>
          <w:b/>
        </w:rPr>
        <w:t xml:space="preserve">Princípio de ação:</w:t>
      </w:r>
      <w:r>
        <w:t xml:space="preserve"> </w:t>
      </w:r>
      <w:r>
        <w:t xml:space="preserve">liga-se ao receptor de GHRH da hipófise e ali desencadeia uma liberação de hormônio do crescimento; a regulação própria do corpo (freio pela somatostatina, retroalimentação pelo IGF-1) é preservada.</w:t>
      </w:r>
    </w:p>
    <w:p>
      <w:pPr>
        <w:numPr>
          <w:ilvl w:val="0"/>
          <w:numId w:val="1147"/>
        </w:numPr>
        <w:pStyle w:val="Compact"/>
      </w:pPr>
      <w:r>
        <w:rPr>
          <w:bCs/>
          <w:b/>
        </w:rPr>
        <w:t xml:space="preserve">Aprovação UE:</w:t>
      </w:r>
      <w:r>
        <w:t xml:space="preserve"> </w:t>
      </w:r>
      <w:r>
        <w:t xml:space="preserve">não (situação em 2026).</w:t>
      </w:r>
      <w:r>
        <w:t xml:space="preserve"> </w:t>
      </w:r>
      <w:r>
        <w:rPr>
          <w:bCs/>
          <w:b/>
        </w:rPr>
        <w:t xml:space="preserve">Aprovação EUA:</w:t>
      </w:r>
      <w:r>
        <w:t xml:space="preserve"> </w:t>
      </w:r>
      <w:r>
        <w:t xml:space="preserve">antes sim (Geref como agente diagnóstico e para o tratamento de crianças com deficiência de hormônio do crescimento); a preparação original não está disponível desde o fim dos anos 2000.</w:t>
      </w:r>
    </w:p>
    <w:p>
      <w:pPr>
        <w:numPr>
          <w:ilvl w:val="0"/>
          <w:numId w:val="1147"/>
        </w:numPr>
        <w:pStyle w:val="Compact"/>
      </w:pPr>
      <w:r>
        <w:rPr>
          <w:bCs/>
          <w:b/>
        </w:rPr>
        <w:t xml:space="preserve">WADA:</w:t>
      </w:r>
      <w:r>
        <w:t xml:space="preserve"> </w:t>
      </w:r>
      <w:r>
        <w:t xml:space="preserve">proibida, grupo S2 – a sermorrelina é mencionada expressamente como análogo de GHRH.</w:t>
      </w:r>
    </w:p>
    <w:p>
      <w:pPr>
        <w:numPr>
          <w:ilvl w:val="0"/>
          <w:numId w:val="1147"/>
        </w:numPr>
        <w:pStyle w:val="Compact"/>
      </w:pPr>
      <w:r>
        <w:rPr>
          <w:bCs/>
          <w:b/>
        </w:rPr>
        <w:t xml:space="preserve">Nível de evidência: B</w:t>
      </w:r>
      <w:r>
        <w:t xml:space="preserve"> </w:t>
      </w:r>
      <w:r>
        <w:t xml:space="preserve">– estudos randomizados ou controlados isolados e pequenos, em geral abertos e dos anos 1980 e 1990; nenhum grande estudo moderno.</w:t>
      </w:r>
    </w:p>
    <w:bookmarkEnd w:id="1238"/>
    <w:bookmarkStart w:id="1240" w:name="como-deveria-agir-23"/>
    <w:p>
      <w:pPr>
        <w:pStyle w:val="Heading3"/>
      </w:pPr>
      <w:r>
        <w:t xml:space="preserve">Como deveria agir</w:t>
      </w:r>
    </w:p>
    <w:p>
      <w:pPr>
        <w:pStyle w:val="FirstParagraph"/>
      </w:pPr>
      <w:r>
        <w:t xml:space="preserve">A hipófise libera o hormônio do crescimento em pulsos. O sinal de partida é dado pelo GHRH do diencéfalo. Quando produzido na natureza, o GHRH tem 44 aminoácidos; pesquisadores constataram nos anos 1980 que os primeiros 29 aminoácidos bastam para o efeito completo. Daí surgiu a sermorrelina.</w:t>
      </w:r>
    </w:p>
    <w:p>
      <w:pPr>
        <w:pStyle w:val="BodyText"/>
      </w:pPr>
      <w:r>
        <w:t xml:space="preserve">A vantagem em relação ao hormônio do crescimento injetado estaria no fato de a hipófise</w:t>
      </w:r>
      <w:r>
        <w:t xml:space="preserve"> </w:t>
      </w:r>
      <w:r>
        <w:t xml:space="preserve">“</w:t>
      </w:r>
      <w:r>
        <w:t xml:space="preserve">participar da decisão</w:t>
      </w:r>
      <w:r>
        <w:t xml:space="preserve">”</w:t>
      </w:r>
      <w:r>
        <w:t xml:space="preserve">: havendo IGF-1 suficiente no sangue, o próprio corpo freia por meio da somatostatina. Superdosagens, como na administração direta de GH, seriam assim menos prováveis. A desvantagem: a sermorrelina só funciona se a hipófise ainda puder produzir hormônio do crescimento, e seu efeito é curto: a meia-vida no sangue, em humanos, é de apenas cerca de 10 a 20 minutos</w:t>
      </w:r>
      <w:r>
        <w:rPr>
          <w:rStyle w:val="FootnoteReference"/>
        </w:rPr>
        <w:footnoteReference w:id="1239"/>
      </w:r>
      <w:r>
        <w:t xml:space="preserve">. Por isso, ela é eficaz sobretudo em distúrbios localizados no diencéfalo, não na própria hipófise.</w:t>
      </w:r>
    </w:p>
    <w:bookmarkEnd w:id="1240"/>
    <w:bookmarkStart w:id="1257" w:name="estudos-em-humanos-23"/>
    <w:p>
      <w:pPr>
        <w:pStyle w:val="Heading3"/>
      </w:pPr>
      <w:r>
        <w:t xml:space="preserve">Estudos em humanos</w:t>
      </w:r>
    </w:p>
    <w:p>
      <w:pPr>
        <w:pStyle w:val="FirstParagraph"/>
      </w:pPr>
      <w:r>
        <w:rPr>
          <w:bCs/>
          <w:b/>
        </w:rPr>
        <w:t xml:space="preserve">Dimensão da base de estudos (consulta de outubro de 2026):</w:t>
      </w:r>
      <w:r>
        <w:t xml:space="preserve"> </w:t>
      </w:r>
      <w:r>
        <w:t xml:space="preserve">a busca automatizada deste livro com o termo</w:t>
      </w:r>
      <w:r>
        <w:t xml:space="preserve"> </w:t>
      </w:r>
      <w:r>
        <w:t xml:space="preserve">“</w:t>
      </w:r>
      <w:r>
        <w:t xml:space="preserve">sermorelin</w:t>
      </w:r>
      <w:r>
        <w:t xml:space="preserve">”</w:t>
      </w:r>
      <w:r>
        <w:t xml:space="preserve"> </w:t>
      </w:r>
      <w:r>
        <w:rPr>
          <w:bCs/>
          <w:b/>
        </w:rPr>
        <w:t xml:space="preserve">não</w:t>
      </w:r>
      <w:r>
        <w:t xml:space="preserve"> </w:t>
      </w:r>
      <w:r>
        <w:t xml:space="preserve">encontrou nenhum estudo em humanos (</w:t>
      </w:r>
      <w:r>
        <w:rPr>
          <w:rStyle w:val="VerbatimChar"/>
        </w:rPr>
        <w:t xml:space="preserve">humanstudien_alle</w:t>
      </w:r>
      <w:r>
        <w:t xml:space="preserve">: 0) e encontrou</w:t>
      </w:r>
      <w:r>
        <w:t xml:space="preserve"> </w:t>
      </w:r>
      <w:r>
        <w:rPr>
          <w:bCs/>
          <w:b/>
        </w:rPr>
        <w:t xml:space="preserve">27</w:t>
      </w:r>
      <w:r>
        <w:t xml:space="preserve"> </w:t>
      </w:r>
      <w:r>
        <w:t xml:space="preserve">registros no ClinicalTrials.gov. Ambos os números enganam: a maioria dos trabalhos clínicos foi publicada com denominações como</w:t>
      </w:r>
      <w:r>
        <w:t xml:space="preserve"> </w:t>
      </w:r>
      <w:r>
        <w:t xml:space="preserve">“</w:t>
      </w:r>
      <w:r>
        <w:t xml:space="preserve">GHRH(1-29)NH2</w:t>
      </w:r>
      <w:r>
        <w:t xml:space="preserve">”</w:t>
      </w:r>
      <w:r>
        <w:t xml:space="preserve">,</w:t>
      </w:r>
      <w:r>
        <w:t xml:space="preserve"> </w:t>
      </w:r>
      <w:r>
        <w:t xml:space="preserve">“</w:t>
      </w:r>
      <w:r>
        <w:t xml:space="preserve">GRF 1-29</w:t>
      </w:r>
      <w:r>
        <w:t xml:space="preserve">”</w:t>
      </w:r>
      <w:r>
        <w:t xml:space="preserve"> </w:t>
      </w:r>
      <w:r>
        <w:t xml:space="preserve">ou</w:t>
      </w:r>
      <w:r>
        <w:t xml:space="preserve"> </w:t>
      </w:r>
      <w:r>
        <w:t xml:space="preserve">“</w:t>
      </w:r>
      <w:r>
        <w:t xml:space="preserve">Geref</w:t>
      </w:r>
      <w:r>
        <w:t xml:space="preserve">”</w:t>
      </w:r>
      <w:r>
        <w:t xml:space="preserve"> </w:t>
      </w:r>
      <w:r>
        <w:t xml:space="preserve">e não é captada por uma busca apenas pelo nome. Inversamente, muitos dos 27 registros nem se referem à sermorrelina, mas à tesamorrelina ou a testes de GHRH em geral. Uma busca direcionada adicional encontrou várias dezenas de estudos clínicos, predominantemente pequenos e anteriores a 2000.</w:t>
      </w:r>
    </w:p>
    <w:bookmarkStart w:id="1246" w:name="Xaf9725c517e8751ed54975af2da1cb37632680d"/>
    <w:p>
      <w:pPr>
        <w:pStyle w:val="Heading4"/>
      </w:pPr>
      <w:r>
        <w:t xml:space="preserve">Crianças com deficiência de hormônio do crescimento</w:t>
      </w:r>
    </w:p>
    <w:p>
      <w:pPr>
        <w:pStyle w:val="FirstParagraph"/>
      </w:pPr>
      <w:r>
        <w:t xml:space="preserve">A principal área de aplicação era o distúrbio de crescimento em crianças. Em um estudo aberto e multicêntrico do grupo de estudos Geref, 110 crianças pré-púberes sem tratamento prévio receberam sermorrelina uma vez ao dia, à noite, durante um ano. A velocidade de crescimento subiu de 4,1 cm por ano para 8,0 cm após seis meses e 7,2 cm após doze meses; 74% foram consideradas boas respondedoras após seis meses. Não ocorreram alterações laboratoriais anormais</w:t>
      </w:r>
      <w:r>
        <w:rPr>
          <w:rStyle w:val="FootnoteReference"/>
        </w:rPr>
        <w:footnoteReference w:id="1241"/>
      </w:r>
      <w:r>
        <w:t xml:space="preserve">.</w:t>
      </w:r>
    </w:p>
    <w:p>
      <w:pPr>
        <w:pStyle w:val="BodyText"/>
      </w:pPr>
      <w:r>
        <w:t xml:space="preserve">Um estudo britânico inicial com 18 crianças já mostrou os limites: em apenas 8 crianças a velocidade de crescimento aumentou mais de 2 cm por ano nos primeiros seis meses; em 14 crianças formaram-se anticorpos contra o peptídeo, sem influência reconhecível sobre o crescimento</w:t>
      </w:r>
      <w:r>
        <w:rPr>
          <w:rStyle w:val="FootnoteReference"/>
        </w:rPr>
        <w:footnoteReference w:id="1242"/>
      </w:r>
      <w:r>
        <w:t xml:space="preserve">. Em um estudo randomizado com 43 crianças, as crianças cresceram mais devagar com sermorrelina em dose baixa; apenas com hormônio do crescimento a estatura melhorou em relação à idade óssea</w:t>
      </w:r>
      <w:r>
        <w:rPr>
          <w:rStyle w:val="FootnoteReference"/>
        </w:rPr>
        <w:footnoteReference w:id="1243"/>
      </w:r>
      <w:r>
        <w:t xml:space="preserve">. Uma revisão registrou que a sermorrelina é eficaz em parte das crianças, mas mais fraca do que o hormônio do crescimento, e que faltam dados sobre a estatura final</w:t>
      </w:r>
      <w:r>
        <w:rPr>
          <w:rStyle w:val="FootnoteReference"/>
        </w:rPr>
        <w:footnoteReference w:id="1244"/>
      </w:r>
      <w:r>
        <w:t xml:space="preserve">.</w:t>
      </w:r>
    </w:p>
    <w:p>
      <w:pPr>
        <w:pStyle w:val="BodyText"/>
      </w:pPr>
      <w:r>
        <w:t xml:space="preserve">Também em crianças com baixa estatura idiopática (ou seja, sem deficiência hormonal comprovável), a velocidade de crescimento aumentou com injeções duas vezes ao dia em um pequeno estudo com 18 crianças; após a suspensão, caiu abaixo do valor inicial, e a glicemia de jejum e a insulina subiram durante o tratamento</w:t>
      </w:r>
      <w:r>
        <w:rPr>
          <w:rStyle w:val="FootnoteReference"/>
        </w:rPr>
        <w:footnoteReference w:id="1245"/>
      </w:r>
      <w:r>
        <w:t xml:space="preserve">.</w:t>
      </w:r>
    </w:p>
    <w:bookmarkEnd w:id="1246"/>
    <w:bookmarkStart w:id="1251" w:name="adultos-mais-velhos"/>
    <w:p>
      <w:pPr>
        <w:pStyle w:val="Heading4"/>
      </w:pPr>
      <w:r>
        <w:t xml:space="preserve">Adultos mais velhos</w:t>
      </w:r>
    </w:p>
    <w:p>
      <w:pPr>
        <w:pStyle w:val="FirstParagraph"/>
      </w:pPr>
      <w:r>
        <w:t xml:space="preserve">Para o marketing atual (</w:t>
      </w:r>
      <w:r>
        <w:t xml:space="preserve">“</w:t>
      </w:r>
      <w:r>
        <w:t xml:space="preserve">anti-aging</w:t>
      </w:r>
      <w:r>
        <w:t xml:space="preserve">”</w:t>
      </w:r>
      <w:r>
        <w:t xml:space="preserve">), os estudos com pessoas idosas são decisivos. Há poucos, e são muito pequenos:</w:t>
      </w:r>
    </w:p>
    <w:p>
      <w:pPr>
        <w:numPr>
          <w:ilvl w:val="0"/>
          <w:numId w:val="1148"/>
        </w:numPr>
        <w:pStyle w:val="Compact"/>
      </w:pPr>
      <w:r>
        <w:t xml:space="preserve">19 mulheres e homens saudáveis entre 55 e 71 anos receberam, após quatro semanas de placebo, um análogo de sermorrelina durante 16 semanas. O hormônio do crescimento e o IGF-1 aumentaram, a espessura da pele aumentou em ambos os sexos, e a massa livre de gordura e a sensibilidade à insulina, apenas nos homens. Os homens relataram melhor bem-estar e libido aumentada; a qualidade do sono não mudou. Como efeito colateral, ocorreu um aumento temporário dos lipídios sanguíneos</w:t>
      </w:r>
      <w:r>
        <w:rPr>
          <w:rStyle w:val="FootnoteReference"/>
        </w:rPr>
        <w:footnoteReference w:id="1247"/>
      </w:r>
      <w:r>
        <w:t xml:space="preserve">. O mesmo grupo descreveu alterações em células imunológicas</w:t>
      </w:r>
      <w:r>
        <w:rPr>
          <w:rStyle w:val="FootnoteReference"/>
        </w:rPr>
        <w:footnoteReference w:id="1248"/>
      </w:r>
      <w:r>
        <w:t xml:space="preserve">. O estudo teve apenas cegamento simples e não tinha grupo de controle paralelo.</w:t>
      </w:r>
    </w:p>
    <w:p>
      <w:pPr>
        <w:numPr>
          <w:ilvl w:val="0"/>
          <w:numId w:val="1148"/>
        </w:numPr>
        <w:pStyle w:val="Compact"/>
      </w:pPr>
      <w:r>
        <w:t xml:space="preserve">Em 11 homens saudáveis entre 64 e 76 anos, seis semanas de injeções noturnas aumentaram a liberação noturna de GH, mas nem o IGF-1 nem a massa muscular ou gorda se alteraram; duas de seis medições de força melhoraram</w:t>
      </w:r>
      <w:r>
        <w:rPr>
          <w:rStyle w:val="FootnoteReference"/>
        </w:rPr>
        <w:footnoteReference w:id="1249"/>
      </w:r>
      <w:r>
        <w:t xml:space="preserve">.</w:t>
      </w:r>
    </w:p>
    <w:p>
      <w:pPr>
        <w:pStyle w:val="FirstParagraph"/>
      </w:pPr>
      <w:r>
        <w:t xml:space="preserve">Dois estudos posteriores sobre GHRH em pessoas idosas foram interrompidos após 5 e 13 participantes, respectivamente</w:t>
      </w:r>
      <w:r>
        <w:rPr>
          <w:rStyle w:val="FootnoteReference"/>
        </w:rPr>
        <w:footnoteReference w:id="1250"/>
      </w:r>
      <w:r>
        <w:t xml:space="preserve">.</w:t>
      </w:r>
    </w:p>
    <w:bookmarkEnd w:id="1251"/>
    <w:bookmarkStart w:id="1254" w:name="diagnóstico"/>
    <w:p>
      <w:pPr>
        <w:pStyle w:val="Heading4"/>
      </w:pPr>
      <w:r>
        <w:t xml:space="preserve">Diagnóstico</w:t>
      </w:r>
    </w:p>
    <w:p>
      <w:pPr>
        <w:pStyle w:val="FirstParagraph"/>
      </w:pPr>
      <w:r>
        <w:t xml:space="preserve">Como substância de teste, a sermorrelina era administrada por via intravenosa para verificar se a hipófise reage ao GHRH. Combinado com o aminoácido arginina, esse teste era considerado, em adultos, uma alternativa ao penoso teste de hipoglicemia insulínica</w:t>
      </w:r>
      <w:r>
        <w:rPr>
          <w:rStyle w:val="FootnoteReference"/>
        </w:rPr>
        <w:footnoteReference w:id="1252"/>
      </w:r>
      <w:r>
        <w:t xml:space="preserve">. Depois que o agente diagnóstico deixou de estar disponível nos EUA, um estudo em andamento sobre um novo teste (macimorelina) teve de mudar seu desenho</w:t>
      </w:r>
      <w:r>
        <w:rPr>
          <w:rStyle w:val="FootnoteReference"/>
        </w:rPr>
        <w:footnoteReference w:id="1253"/>
      </w:r>
      <w:r>
        <w:t xml:space="preserve">.</w:t>
      </w:r>
    </w:p>
    <w:bookmarkEnd w:id="1254"/>
    <w:bookmarkStart w:id="1256" w:name="medicina-masculina-moderna"/>
    <w:p>
      <w:pPr>
        <w:pStyle w:val="Heading4"/>
      </w:pPr>
      <w:r>
        <w:t xml:space="preserve">“</w:t>
      </w:r>
      <w:r>
        <w:t xml:space="preserve">Medicina masculina</w:t>
      </w:r>
      <w:r>
        <w:t xml:space="preserve">”</w:t>
      </w:r>
      <w:r>
        <w:t xml:space="preserve"> </w:t>
      </w:r>
      <w:r>
        <w:t xml:space="preserve">moderna</w:t>
      </w:r>
    </w:p>
    <w:p>
      <w:pPr>
        <w:pStyle w:val="FirstParagraph"/>
      </w:pPr>
      <w:r>
        <w:t xml:space="preserve">Uma análise retrospectiva de prontuários de uma clínica masculina norte-americana descreveu 14 homens jovens sob terapia com testosterona aos quais foi prescrita uma combinação de sermorrelina, GHRP-2 e GHRP-6. O IGF-1 subiu em média de 159,5 para 239,0 ng/ml</w:t>
      </w:r>
      <w:r>
        <w:rPr>
          <w:rStyle w:val="FootnoteReference"/>
        </w:rPr>
        <w:footnoteReference w:id="1255"/>
      </w:r>
      <w:r>
        <w:t xml:space="preserve">. Dos 105 homens originais, apenas 14 preencheram os critérios de inclusão; o trabalho não permite afirmações sobre massa muscular, perda de gordura ou segurança.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Grupo de estudos Geref (Thorner 1996), PMID 8772599</w:t>
            </w:r>
          </w:p>
        </w:tc>
        <w:tc>
          <w:tcPr/>
          <w:p>
            <w:pPr>
              <w:pStyle w:val="Compact"/>
              <w:jc w:val="left"/>
            </w:pPr>
            <w:r>
              <w:t xml:space="preserve">110 crianças com deficiência de GH, aberto, sem grupo de controle</w:t>
            </w:r>
          </w:p>
        </w:tc>
        <w:tc>
          <w:tcPr/>
          <w:p>
            <w:pPr>
              <w:pStyle w:val="Compact"/>
              <w:jc w:val="left"/>
            </w:pPr>
            <w:r>
              <w:t xml:space="preserve">12 meses</w:t>
            </w:r>
          </w:p>
        </w:tc>
        <w:tc>
          <w:tcPr/>
          <w:p>
            <w:pPr>
              <w:pStyle w:val="Compact"/>
              <w:jc w:val="left"/>
            </w:pPr>
            <w:r>
              <w:t xml:space="preserve">crescimento 4,1 → 7,2 cm/ano</w:t>
            </w:r>
          </w:p>
        </w:tc>
      </w:tr>
      <w:tr>
        <w:tc>
          <w:tcPr/>
          <w:p>
            <w:pPr>
              <w:pStyle w:val="Compact"/>
              <w:jc w:val="left"/>
            </w:pPr>
            <w:r>
              <w:t xml:space="preserve">Comparação com GH (Neyzi 1993), PMID 8329826</w:t>
            </w:r>
          </w:p>
        </w:tc>
        <w:tc>
          <w:tcPr/>
          <w:p>
            <w:pPr>
              <w:pStyle w:val="Compact"/>
              <w:jc w:val="left"/>
            </w:pPr>
            <w:r>
              <w:t xml:space="preserve">43 crianças, randomizado (2 doses de sermorrelina vs. GH)</w:t>
            </w:r>
          </w:p>
        </w:tc>
        <w:tc>
          <w:tcPr/>
          <w:p>
            <w:pPr>
              <w:pStyle w:val="Compact"/>
              <w:jc w:val="left"/>
            </w:pPr>
            <w:r>
              <w:t xml:space="preserve">6 meses</w:t>
            </w:r>
          </w:p>
        </w:tc>
        <w:tc>
          <w:tcPr/>
          <w:p>
            <w:pPr>
              <w:pStyle w:val="Compact"/>
              <w:jc w:val="left"/>
            </w:pPr>
            <w:r>
              <w:t xml:space="preserve">dose alta semelhante ao GH, baixa mais fraca</w:t>
            </w:r>
          </w:p>
        </w:tc>
      </w:tr>
      <w:tr>
        <w:tc>
          <w:tcPr/>
          <w:p>
            <w:pPr>
              <w:pStyle w:val="Compact"/>
              <w:jc w:val="left"/>
            </w:pPr>
            <w:r>
              <w:t xml:space="preserve">Adultos mais velhos (Khorram 1997), PMID 9141536</w:t>
            </w:r>
          </w:p>
        </w:tc>
        <w:tc>
          <w:tcPr/>
          <w:p>
            <w:pPr>
              <w:pStyle w:val="Compact"/>
              <w:jc w:val="left"/>
            </w:pPr>
            <w:r>
              <w:t xml:space="preserve">19 pessoas saudáveis, 55–71 anos, cegamento simples, fase prévia com placebo</w:t>
            </w:r>
          </w:p>
        </w:tc>
        <w:tc>
          <w:tcPr/>
          <w:p>
            <w:pPr>
              <w:pStyle w:val="Compact"/>
              <w:jc w:val="left"/>
            </w:pPr>
            <w:r>
              <w:t xml:space="preserve">5 meses</w:t>
            </w:r>
          </w:p>
        </w:tc>
        <w:tc>
          <w:tcPr/>
          <w:p>
            <w:pPr>
              <w:pStyle w:val="Compact"/>
              <w:jc w:val="left"/>
            </w:pPr>
            <w:r>
              <w:t xml:space="preserve">IGF-1 ↑, massa livre de gordura ↑ apenas em homens</w:t>
            </w:r>
          </w:p>
        </w:tc>
      </w:tr>
      <w:tr>
        <w:tc>
          <w:tcPr/>
          <w:p>
            <w:pPr>
              <w:pStyle w:val="Compact"/>
              <w:jc w:val="left"/>
            </w:pPr>
            <w:r>
              <w:t xml:space="preserve">Homens mais velhos (Vittone 1997), PMID 9005976</w:t>
            </w:r>
          </w:p>
        </w:tc>
        <w:tc>
          <w:tcPr/>
          <w:p>
            <w:pPr>
              <w:pStyle w:val="Compact"/>
              <w:jc w:val="left"/>
            </w:pPr>
            <w:r>
              <w:t xml:space="preserve">11 pessoas saudáveis, 64–76 anos, sem grupo de controle</w:t>
            </w:r>
          </w:p>
        </w:tc>
        <w:tc>
          <w:tcPr/>
          <w:p>
            <w:pPr>
              <w:pStyle w:val="Compact"/>
              <w:jc w:val="left"/>
            </w:pPr>
            <w:r>
              <w:t xml:space="preserve">6 semanas</w:t>
            </w:r>
          </w:p>
        </w:tc>
        <w:tc>
          <w:tcPr/>
          <w:p>
            <w:pPr>
              <w:pStyle w:val="Compact"/>
              <w:jc w:val="left"/>
            </w:pPr>
            <w:r>
              <w:t xml:space="preserve">GH ↑, IGF-1 e composição corporal inalterados</w:t>
            </w:r>
          </w:p>
        </w:tc>
      </w:tr>
      <w:tr>
        <w:tc>
          <w:tcPr/>
          <w:p>
            <w:pPr>
              <w:pStyle w:val="Compact"/>
              <w:jc w:val="left"/>
            </w:pPr>
            <w:r>
              <w:t xml:space="preserve">Clínica masculina (Sigalos 2017), PMID 28830317</w:t>
            </w:r>
          </w:p>
        </w:tc>
        <w:tc>
          <w:tcPr/>
          <w:p>
            <w:pPr>
              <w:pStyle w:val="Compact"/>
              <w:jc w:val="left"/>
            </w:pPr>
            <w:r>
              <w:t xml:space="preserve">14 homens, retrospectivo, combinação com GHRP-2/-6</w:t>
            </w:r>
          </w:p>
        </w:tc>
        <w:tc>
          <w:tcPr/>
          <w:p>
            <w:pPr>
              <w:pStyle w:val="Compact"/>
              <w:jc w:val="left"/>
            </w:pPr>
            <w:r>
              <w:t xml:space="preserve">média de 134 dias</w:t>
            </w:r>
          </w:p>
        </w:tc>
        <w:tc>
          <w:tcPr/>
          <w:p>
            <w:pPr>
              <w:pStyle w:val="Compact"/>
              <w:jc w:val="left"/>
            </w:pPr>
            <w:r>
              <w:t xml:space="preserve">IGF-1 159,5 → 239,0 ng/ml</w:t>
            </w:r>
          </w:p>
        </w:tc>
      </w:tr>
    </w:tbl>
    <w:bookmarkEnd w:id="1256"/>
    <w:bookmarkEnd w:id="1257"/>
    <w:bookmarkStart w:id="1260" w:name="estudos-em-animais-e-em-laboratório-23"/>
    <w:p>
      <w:pPr>
        <w:pStyle w:val="Heading3"/>
      </w:pPr>
      <w:r>
        <w:t xml:space="preserve">Estudos em animais e em laboratório</w:t>
      </w:r>
    </w:p>
    <w:p>
      <w:pPr>
        <w:pStyle w:val="FirstParagraph"/>
      </w:pPr>
      <w:r>
        <w:t xml:space="preserve">A própria sermorrelina foi estudada em laboratório sobretudo no contexto de sua descoberta e de variantes com efeito mais duradouro, por exemplo variantes acopladas a polietilenoglicol, que em ratos e porcos agiram por mais tempo do que o peptídeo inalterado</w:t>
      </w:r>
      <w:r>
        <w:rPr>
          <w:rStyle w:val="FootnoteReference"/>
        </w:rPr>
        <w:footnoteReference w:id="1258"/>
      </w:r>
      <w:r>
        <w:t xml:space="preserve">. Um trabalho puramente computacional, que cruzou dados de atividade gênica de pacientes com glioma com um banco de dados de medicamentos, citou a sermorrelina como possível candidata contra tumores cerebrais recorrentes</w:t>
      </w:r>
      <w:r>
        <w:rPr>
          <w:rStyle w:val="FootnoteReference"/>
        </w:rPr>
        <w:footnoteReference w:id="1259"/>
      </w:r>
      <w:r>
        <w:t xml:space="preserve">. Trata-se de uma hipótese computacional sem confirmação em laboratório ou em pacientes – e está em notável contraste com a preocupação de que uma estimulação do eixo do crescimento tenderia antes a favorecer tumores.</w:t>
      </w:r>
    </w:p>
    <w:bookmarkEnd w:id="1260"/>
    <w:bookmarkStart w:id="1266" w:name="riscos-e-efeitos-colaterais-23"/>
    <w:p>
      <w:pPr>
        <w:pStyle w:val="Heading3"/>
      </w:pPr>
      <w:r>
        <w:t xml:space="preserve">Riscos e efeitos colaterais</w:t>
      </w:r>
    </w:p>
    <w:p>
      <w:pPr>
        <w:pStyle w:val="FirstParagraph"/>
      </w:pPr>
      <w:r>
        <w:rPr>
          <w:bCs/>
          <w:b/>
        </w:rPr>
        <w:t xml:space="preserve">Comprovados (a partir dos dados de aprovação e de estudos):</w:t>
      </w:r>
      <w:r>
        <w:t xml:space="preserve"> </w:t>
      </w:r>
      <w:r>
        <w:t xml:space="preserve">rubor facial passageiro (flush) e dor no local da injeção foram os efeitos colaterais mais frequentes</w:t>
      </w:r>
      <w:r>
        <w:rPr>
          <w:rStyle w:val="FootnoteReference"/>
        </w:rPr>
        <w:footnoteReference w:id="1261"/>
      </w:r>
      <w:r>
        <w:t xml:space="preserve">. Anticorpos contra a sermorrelina surgiram com frequência em crianças, sem consequências reconhecíveis</w:t>
      </w:r>
      <w:r>
        <w:rPr>
          <w:rStyle w:val="FootnoteReference"/>
        </w:rPr>
        <w:footnoteReference w:id="1262"/>
      </w:r>
      <w:r>
        <w:t xml:space="preserve">. Em estudos isolados, glicemia, insulina ou lipídios sanguíneos subiram temporariamente</w:t>
      </w:r>
      <w:r>
        <w:rPr>
          <w:rStyle w:val="FootnoteReference"/>
        </w:rPr>
        <w:footnoteReference w:id="1263"/>
      </w:r>
      <w:r>
        <w:t xml:space="preserve">.</w:t>
      </w:r>
    </w:p>
    <w:p>
      <w:pPr>
        <w:pStyle w:val="BodyText"/>
      </w:pPr>
      <w:r>
        <w:rPr>
          <w:bCs/>
          <w:b/>
        </w:rPr>
        <w:t xml:space="preserve">Riscos de longo prazo:</w:t>
      </w:r>
      <w:r>
        <w:t xml:space="preserve"> </w:t>
      </w:r>
      <w:r>
        <w:t xml:space="preserve">não há dados sistemáticos de longo prazo sobre a sermorrelina em adultos. Um relato de caso descreve um fisiculturista amador de 62 anos que usou hormônio do crescimento e liberadores de GH (entre eles sermorrelina com GHRP-6) durante cerca de 20 anos e desenvolveu dificuldades para engolir devido a um grande osteófito na coluna cervical; os autores consideram uma relação possível, mas não comprovada</w:t>
      </w:r>
      <w:r>
        <w:rPr>
          <w:rStyle w:val="FootnoteReference"/>
        </w:rPr>
        <w:footnoteReference w:id="1264"/>
      </w:r>
      <w:r>
        <w:t xml:space="preserve">. Sobre a questão fundamental de se uma elevação permanente do IGF-1 aumenta o risco de câncer, veja a introdução a este grupo e a Parte IV.</w:t>
      </w:r>
    </w:p>
    <w:p>
      <w:pPr>
        <w:pStyle w:val="BodyText"/>
      </w:pPr>
      <w:r>
        <w:rPr>
          <w:bCs/>
          <w:b/>
        </w:rPr>
        <w:t xml:space="preserve">Mercado cinza:</w:t>
      </w:r>
      <w:r>
        <w:t xml:space="preserve"> </w:t>
      </w:r>
      <w:r>
        <w:t xml:space="preserve">em uma operação aduaneira europeia, foram encontrados, entre preparações injetáveis apreendidas, além de hormônio do crescimento e melanotan II, também produtos de sermorrelina – sem rotulagem e, em parte, sem a substância ativa</w:t>
      </w:r>
      <w:r>
        <w:rPr>
          <w:rStyle w:val="FootnoteReference"/>
        </w:rPr>
        <w:footnoteReference w:id="1265"/>
      </w:r>
      <w:r>
        <w:t xml:space="preserve">.</w:t>
      </w:r>
    </w:p>
    <w:bookmarkEnd w:id="1266"/>
    <w:bookmarkStart w:id="1270" w:name="situação-legal-23"/>
    <w:p>
      <w:pPr>
        <w:pStyle w:val="Heading3"/>
      </w:pPr>
      <w:r>
        <w:t xml:space="preserve">Situação legal</w:t>
      </w:r>
    </w:p>
    <w:p>
      <w:pPr>
        <w:pStyle w:val="FirstParagraph"/>
      </w:pPr>
      <w:r>
        <w:rPr>
          <w:iCs/>
          <w:i/>
        </w:rPr>
        <w:t xml:space="preserve">Situação em 2026, verificar atualização.</w:t>
      </w:r>
    </w:p>
    <w:p>
      <w:pPr>
        <w:numPr>
          <w:ilvl w:val="0"/>
          <w:numId w:val="1149"/>
        </w:numPr>
        <w:pStyle w:val="Compact"/>
      </w:pPr>
      <w:r>
        <w:rPr>
          <w:bCs/>
          <w:b/>
        </w:rPr>
        <w:t xml:space="preserve">Contexto da aprovação nos EUA:</w:t>
      </w:r>
      <w:r>
        <w:t xml:space="preserve"> </w:t>
      </w:r>
      <w:r>
        <w:t xml:space="preserve">o Geref foi aprovado nos EUA primeiro como agente diagnóstico e, a partir dos anos 1990, para o tratamento de crianças com deficiência de hormônio do crescimento. O fabricante encerrou a comercialização no fim dos anos 2000; segundo as informações publicamente disponíveis, por razões de fabricação ou econômicas, e não por um problema de segurança recém-identificado. Que o agente diagnóstico deixou de existir por essa época está documentado em um estudo</w:t>
      </w:r>
      <w:r>
        <w:rPr>
          <w:rStyle w:val="FootnoteReference"/>
        </w:rPr>
        <w:footnoteReference w:id="1267"/>
      </w:r>
      <w:r>
        <w:t xml:space="preserve">. Hoje não existe um medicamento industrializado com aprovação válida.</w:t>
      </w:r>
    </w:p>
    <w:p>
      <w:pPr>
        <w:numPr>
          <w:ilvl w:val="0"/>
          <w:numId w:val="1149"/>
        </w:numPr>
        <w:pStyle w:val="Compact"/>
      </w:pPr>
      <w:r>
        <w:rPr>
          <w:bCs/>
          <w:b/>
        </w:rPr>
        <w:t xml:space="preserve">EUA hoje:</w:t>
      </w:r>
      <w:r>
        <w:t xml:space="preserve"> </w:t>
      </w:r>
      <w:r>
        <w:t xml:space="preserve">a sermorrelina é produzida por farmácias de manipulação (compounding) e prescrita sobretudo em consultórios anti-aging. Se e sob quais condições isso é permitido depende das regras variáveis da FDA para substâncias de manipulação magistral, discutidas de forma controversa nos meios especializados</w:t>
      </w:r>
      <w:r>
        <w:rPr>
          <w:rStyle w:val="FootnoteReference"/>
        </w:rPr>
        <w:footnoteReference w:id="1268"/>
      </w:r>
      <w:r>
        <w:t xml:space="preserve">.</w:t>
      </w:r>
    </w:p>
    <w:p>
      <w:pPr>
        <w:numPr>
          <w:ilvl w:val="0"/>
          <w:numId w:val="1149"/>
        </w:numPr>
        <w:pStyle w:val="Compact"/>
      </w:pPr>
      <w:r>
        <w:rPr>
          <w:bCs/>
          <w:b/>
        </w:rPr>
        <w:t xml:space="preserve">UE, Alemanha, Áustria:</w:t>
      </w:r>
      <w:r>
        <w:t xml:space="preserve"> </w:t>
      </w:r>
      <w:r>
        <w:t xml:space="preserve">sem aprovação, nenhum medicamento industrializado no mercado. O fornecimento para uso em humanos sem aprovação é inadmissível segundo a respectiva lei de medicamentos; rótulos</w:t>
      </w:r>
      <w:r>
        <w:t xml:space="preserve"> </w:t>
      </w:r>
      <w:r>
        <w:t xml:space="preserve">“</w:t>
      </w:r>
      <w:r>
        <w:t xml:space="preserve">apenas para fins de pesquisa</w:t>
      </w:r>
      <w:r>
        <w:t xml:space="preserve">”</w:t>
      </w:r>
      <w:r>
        <w:t xml:space="preserve"> </w:t>
      </w:r>
      <w:r>
        <w:t xml:space="preserve">não mudam isso.</w:t>
      </w:r>
    </w:p>
    <w:p>
      <w:pPr>
        <w:numPr>
          <w:ilvl w:val="0"/>
          <w:numId w:val="1149"/>
        </w:numPr>
        <w:pStyle w:val="Compact"/>
      </w:pPr>
      <w:r>
        <w:rPr>
          <w:bCs/>
          <w:b/>
        </w:rPr>
        <w:t xml:space="preserve">WADA:</w:t>
      </w:r>
      <w:r>
        <w:t xml:space="preserve"> </w:t>
      </w:r>
      <w:r>
        <w:t xml:space="preserve">proibida (S2). Foram desenvolvidos métodos de detecção da sermorrelina e de seus produtos de degradação na urina</w:t>
      </w:r>
      <w:r>
        <w:rPr>
          <w:rStyle w:val="FootnoteReference"/>
        </w:rPr>
        <w:footnoteReference w:id="1269"/>
      </w:r>
      <w:r>
        <w:t xml:space="preserve">.</w:t>
      </w:r>
    </w:p>
    <w:bookmarkEnd w:id="1270"/>
    <w:bookmarkStart w:id="1271" w:name="estudos-em-andamento-e-perspectivas-23"/>
    <w:p>
      <w:pPr>
        <w:pStyle w:val="Heading3"/>
      </w:pPr>
      <w:r>
        <w:t xml:space="preserve">Estudos em andamento e perspectivas</w:t>
      </w:r>
    </w:p>
    <w:p>
      <w:pPr>
        <w:pStyle w:val="FirstParagraph"/>
      </w:pPr>
      <w:r>
        <w:t xml:space="preserve">Em outubro de 2026, não há no ClinicalTrials.gov nenhum estudo clínico em andamento com a própria sermorrelina; os registros com esse termo de busca dizem respeito a estudos de GHRH concluídos ou à tesamorrelina.</w:t>
      </w:r>
      <w:r>
        <w:t xml:space="preserve"> </w:t>
      </w:r>
      <w:r>
        <w:rPr>
          <w:iCs/>
          <w:i/>
        </w:rPr>
        <w:t xml:space="preserve">Avaliação do autor:</w:t>
      </w:r>
      <w:r>
        <w:t xml:space="preserve"> </w:t>
      </w:r>
      <w:r>
        <w:t xml:space="preserve">um retorno como medicamento aprovado não está à vista. A demanda continuará sendo impulsionada por clínicas e fornecedores on-line, não por novos dados de estudos.</w:t>
      </w:r>
    </w:p>
    <w:bookmarkEnd w:id="1271"/>
    <w:bookmarkStart w:id="1272" w:name="conclusão-23"/>
    <w:p>
      <w:pPr>
        <w:pStyle w:val="Heading3"/>
      </w:pPr>
      <w:r>
        <w:t xml:space="preserve">Conclusão</w:t>
      </w:r>
    </w:p>
    <w:p>
      <w:pPr>
        <w:pStyle w:val="FirstParagraph"/>
      </w:pPr>
      <w:r>
        <w:t xml:space="preserve">A sermorrelina estimula de forma confiável a liberação endógena de hormônio do crescimento e foi aprovada nos EUA para crianças com deficiência de hormônio do crescimento, mas ali agiu de forma mais fraca do que o próprio hormônio do crescimento. Os estudos em adultos mais velhos incluem cada um apenas cerca de dez a vinte pessoas e mostram, no máximo, efeitos pequenos e inconsistentes. Faltam provas de benefício como agente</w:t>
      </w:r>
      <w:r>
        <w:t xml:space="preserve"> </w:t>
      </w:r>
      <w:r>
        <w:t xml:space="preserve">“</w:t>
      </w:r>
      <w:r>
        <w:t xml:space="preserve">anti-aging</w:t>
      </w:r>
      <w:r>
        <w:t xml:space="preserve">”</w:t>
      </w:r>
      <w:r>
        <w:t xml:space="preserve"> </w:t>
      </w:r>
      <w:r>
        <w:t xml:space="preserve">ou para aumento de desempenho, assim como dados de segurança de longo prazo.</w:t>
      </w:r>
    </w:p>
    <w:bookmarkEnd w:id="1272"/>
    <w:bookmarkEnd w:id="1273"/>
    <w:bookmarkStart w:id="1313" w:name="tesamorelina"/>
    <w:p>
      <w:pPr>
        <w:pStyle w:val="Heading2"/>
      </w:pPr>
      <w:r>
        <w:t xml:space="preserve">Tesamorelina</w:t>
      </w:r>
    </w:p>
    <w:p>
      <w:pPr>
        <w:pStyle w:val="FirstParagraph"/>
      </w:pPr>
      <w:r>
        <w:t xml:space="preserve">A tesamorelina é o único peptídeo deste grupo aprovado hoje nos EUA como medicamento para tratamento contínuo – porém para uma situação muito específica: excesso de gordura abdominal em pessoas com HIV. Justamente por isso ela é instrutiva. Com a tesamorelina é possível mostrar o que um aumento da secreção do próprio hormônio do crescimento do organismo realmente produz em estudos bem conduzidos e controlados por placebo – e o que não produz. Na internet, por outro lado, ela costuma ser anunciada como</w:t>
      </w:r>
      <w:r>
        <w:t xml:space="preserve"> </w:t>
      </w:r>
      <w:r>
        <w:t xml:space="preserve">“</w:t>
      </w:r>
      <w:r>
        <w:t xml:space="preserve">peptídeo da gordura abdominal</w:t>
      </w:r>
      <w:r>
        <w:t xml:space="preserve">”</w:t>
      </w:r>
      <w:r>
        <w:t xml:space="preserve"> </w:t>
      </w:r>
      <w:r>
        <w:t xml:space="preserve">para todos. Este capítulo separa a aplicação comprovada das esperanças.</w:t>
      </w:r>
    </w:p>
    <w:bookmarkStart w:id="1276" w:name="ficha-técnica-24"/>
    <w:p>
      <w:pPr>
        <w:pStyle w:val="Heading3"/>
      </w:pPr>
      <w:r>
        <w:t xml:space="preserve">Ficha técnica</w:t>
      </w:r>
    </w:p>
    <w:p>
      <w:pPr>
        <w:numPr>
          <w:ilvl w:val="0"/>
          <w:numId w:val="1150"/>
        </w:numPr>
        <w:pStyle w:val="Compact"/>
      </w:pPr>
      <w:r>
        <w:rPr>
          <w:bCs/>
          <w:b/>
        </w:rPr>
        <w:t xml:space="preserve">Tipo e estrutura:</w:t>
      </w:r>
      <w:r>
        <w:t xml:space="preserve"> </w:t>
      </w:r>
      <w:r>
        <w:t xml:space="preserve">peptídeo sintético de 44 aminoácidos; corresponde ao hormônio liberador do hormônio do crescimento humano completo, GHRH(1-44)</w:t>
      </w:r>
      <w:r>
        <w:rPr>
          <w:rStyle w:val="FootnoteReference"/>
        </w:rPr>
        <w:footnoteReference w:id="1274"/>
      </w:r>
      <w:r>
        <w:t xml:space="preserve">, em cujo início foi acoplado um grupo químico adicional que retarda a degradação rápida no sangue.</w:t>
      </w:r>
    </w:p>
    <w:p>
      <w:pPr>
        <w:numPr>
          <w:ilvl w:val="0"/>
          <w:numId w:val="1150"/>
        </w:numPr>
        <w:pStyle w:val="Compact"/>
      </w:pPr>
      <w:r>
        <w:rPr>
          <w:bCs/>
          <w:b/>
        </w:rPr>
        <w:t xml:space="preserve">Origem:</w:t>
      </w:r>
      <w:r>
        <w:t xml:space="preserve"> </w:t>
      </w:r>
      <w:r>
        <w:t xml:space="preserve">desenvolvida pela empresa canadense Theratechnologies (nome de desenvolvimento TH9507).</w:t>
      </w:r>
    </w:p>
    <w:p>
      <w:pPr>
        <w:numPr>
          <w:ilvl w:val="0"/>
          <w:numId w:val="1150"/>
        </w:numPr>
        <w:pStyle w:val="Compact"/>
      </w:pPr>
      <w:r>
        <w:rPr>
          <w:bCs/>
          <w:b/>
        </w:rPr>
        <w:t xml:space="preserve">Princípio de ação:</w:t>
      </w:r>
      <w:r>
        <w:t xml:space="preserve"> </w:t>
      </w:r>
      <w:r>
        <w:t xml:space="preserve">liga-se, como o GHRH do próprio organismo, ao receptor deste na hipófise e assim aumenta a secreção própria, que continua pulsátil, de hormônio do crescimento (GH); em consequência, aumenta o mensageiro IGF-1.</w:t>
      </w:r>
    </w:p>
    <w:p>
      <w:pPr>
        <w:numPr>
          <w:ilvl w:val="0"/>
          <w:numId w:val="1150"/>
        </w:numPr>
        <w:pStyle w:val="Compact"/>
      </w:pPr>
      <w:r>
        <w:rPr>
          <w:bCs/>
          <w:b/>
        </w:rPr>
        <w:t xml:space="preserve">Aprovação UE:</w:t>
      </w:r>
      <w:r>
        <w:t xml:space="preserve"> </w:t>
      </w:r>
      <w:r>
        <w:t xml:space="preserve">não.</w:t>
      </w:r>
      <w:r>
        <w:t xml:space="preserve"> </w:t>
      </w:r>
      <w:r>
        <w:rPr>
          <w:bCs/>
          <w:b/>
        </w:rPr>
        <w:t xml:space="preserve">Aprovação EUA:</w:t>
      </w:r>
      <w:r>
        <w:t xml:space="preserve"> </w:t>
      </w:r>
      <w:r>
        <w:t xml:space="preserve">sim (Egrifta, desde 2010) para a redução do excesso de gordura abdominal em adultos com HIV e lipodistrofia</w:t>
      </w:r>
      <w:r>
        <w:rPr>
          <w:rStyle w:val="FootnoteReference"/>
        </w:rPr>
        <w:footnoteReference w:id="1275"/>
      </w:r>
      <w:r>
        <w:t xml:space="preserve">.</w:t>
      </w:r>
    </w:p>
    <w:p>
      <w:pPr>
        <w:numPr>
          <w:ilvl w:val="0"/>
          <w:numId w:val="1150"/>
        </w:numPr>
        <w:pStyle w:val="Compact"/>
      </w:pPr>
      <w:r>
        <w:rPr>
          <w:bCs/>
          <w:b/>
        </w:rPr>
        <w:t xml:space="preserve">WADA:</w:t>
      </w:r>
      <w:r>
        <w:t xml:space="preserve"> </w:t>
      </w:r>
      <w:r>
        <w:t xml:space="preserve">proibida, grupo S2 (hormônios peptídicos, fatores de crescimento, substâncias relacionadas) – expressamente abrangida como análogo de GHRH.</w:t>
      </w:r>
    </w:p>
    <w:p>
      <w:pPr>
        <w:numPr>
          <w:ilvl w:val="0"/>
          <w:numId w:val="1150"/>
        </w:numPr>
        <w:pStyle w:val="Compact"/>
      </w:pPr>
      <w:r>
        <w:rPr>
          <w:bCs/>
          <w:b/>
        </w:rPr>
        <w:t xml:space="preserve">Nível de evidência: A</w:t>
      </w:r>
      <w:r>
        <w:t xml:space="preserve"> </w:t>
      </w:r>
      <w:r>
        <w:t xml:space="preserve">– dois grandes estudos de fase 3 com um total de 806 participantes, vários outros estudos randomizados, aprovação nos EUA.</w:t>
      </w:r>
    </w:p>
    <w:bookmarkEnd w:id="1276"/>
    <w:bookmarkStart w:id="1277" w:name="como-deveria-agir-24"/>
    <w:p>
      <w:pPr>
        <w:pStyle w:val="Heading3"/>
      </w:pPr>
      <w:r>
        <w:t xml:space="preserve">Como deveria agir</w:t>
      </w:r>
    </w:p>
    <w:p>
      <w:pPr>
        <w:pStyle w:val="FirstParagraph"/>
      </w:pPr>
      <w:r>
        <w:t xml:space="preserve">O hormônio do crescimento não é liberado pela hipófise de forma uniforme, mas em pulsos, sobretudo à noite. Isso é controlado por dois antagonistas do diencéfalo: o GHRH acelera, a somatostatina freia. O próprio hormônio do crescimento degrada gordura – especialmente a gordura entre os órgãos da cavidade abdominal (gordura visceral) – e estimula o fígado a produzir IGF-1, que medeia muitos dos efeitos anabólicos.</w:t>
      </w:r>
    </w:p>
    <w:p>
      <w:pPr>
        <w:pStyle w:val="BodyText"/>
      </w:pPr>
      <w:r>
        <w:t xml:space="preserve">Sob determinadas terapias para HIV, sobretudo as mais antigas, algumas pessoas acumulam uma quantidade notável de gordura abdominal, enquanto braços e pernas tendem a afinar. Essa redistribuição de gordura se chama lipodistrofia. Nas pessoas afetadas, a secreção de hormônio do crescimento costuma estar reduzida. A ideia por trás da tesamorelina: em vez de injetar hormônio do crescimento de fora, estimula-se a própria hipófise. Como os circuitos de retroalimentação do organismo são preservados, níveis excessivos e seus efeitos colaterais deveriam ser mais raros do que com a administração direta de GH – uma suposição que os estudos sustentam em parte, mas não completamente.</w:t>
      </w:r>
    </w:p>
    <w:bookmarkEnd w:id="1277"/>
    <w:bookmarkStart w:id="1295" w:name="estudos-em-humanos-24"/>
    <w:p>
      <w:pPr>
        <w:pStyle w:val="Heading3"/>
      </w:pPr>
      <w:r>
        <w:t xml:space="preserve">Estudos em humanos</w:t>
      </w:r>
    </w:p>
    <w:p>
      <w:pPr>
        <w:pStyle w:val="FirstParagraph"/>
      </w:pPr>
      <w:r>
        <w:rPr>
          <w:bCs/>
          <w:b/>
        </w:rPr>
        <w:t xml:space="preserve">Dimensão do conjunto de estudos (consulta de outubro de 2026):</w:t>
      </w:r>
      <w:r>
        <w:t xml:space="preserve"> </w:t>
      </w:r>
      <w:r>
        <w:t xml:space="preserve">a busca automatizada deste livro encontrou</w:t>
      </w:r>
      <w:r>
        <w:t xml:space="preserve"> </w:t>
      </w:r>
      <w:r>
        <w:rPr>
          <w:bCs/>
          <w:b/>
        </w:rPr>
        <w:t xml:space="preserve">23</w:t>
      </w:r>
      <w:r>
        <w:t xml:space="preserve"> </w:t>
      </w:r>
      <w:r>
        <w:t xml:space="preserve">estudos em humanos no PubMed (</w:t>
      </w:r>
      <w:r>
        <w:rPr>
          <w:rStyle w:val="VerbatimChar"/>
        </w:rPr>
        <w:t xml:space="preserve">humanstudien_alle</w:t>
      </w:r>
      <w:r>
        <w:t xml:space="preserve">) e</w:t>
      </w:r>
      <w:r>
        <w:t xml:space="preserve"> </w:t>
      </w:r>
      <w:r>
        <w:rPr>
          <w:bCs/>
          <w:b/>
        </w:rPr>
        <w:t xml:space="preserve">24</w:t>
      </w:r>
      <w:r>
        <w:t xml:space="preserve"> </w:t>
      </w:r>
      <w:r>
        <w:t xml:space="preserve">registros no ClinicalTrials.gov; um deles (patrocinador</w:t>
      </w:r>
      <w:r>
        <w:t xml:space="preserve"> </w:t>
      </w:r>
      <w:r>
        <w:t xml:space="preserve">“</w:t>
      </w:r>
      <w:r>
        <w:t xml:space="preserve">Hudson Biotech</w:t>
      </w:r>
      <w:r>
        <w:t xml:space="preserve">”</w:t>
      </w:r>
      <w:r>
        <w:t xml:space="preserve">, com o acréscimo</w:t>
      </w:r>
      <w:r>
        <w:t xml:space="preserve"> </w:t>
      </w:r>
      <w:r>
        <w:t xml:space="preserve">“</w:t>
      </w:r>
      <w:r>
        <w:t xml:space="preserve">Mock Study</w:t>
      </w:r>
      <w:r>
        <w:t xml:space="preserve">”</w:t>
      </w:r>
      <w:r>
        <w:t xml:space="preserve"> </w:t>
      </w:r>
      <w:r>
        <w:t xml:space="preserve">no título) é aparentemente um registro fictício de exemplo e não é contado aqui, de modo que restam</w:t>
      </w:r>
      <w:r>
        <w:t xml:space="preserve"> </w:t>
      </w:r>
      <w:r>
        <w:rPr>
          <w:bCs/>
          <w:b/>
        </w:rPr>
        <w:t xml:space="preserve">23</w:t>
      </w:r>
      <w:r>
        <w:t xml:space="preserve"> </w:t>
      </w:r>
      <w:r>
        <w:t xml:space="preserve">estudos registrados reais. Somam-se a isso três revisões sistemáticas com metanálises.</w:t>
      </w:r>
    </w:p>
    <w:bookmarkStart w:id="1283" w:name="os-estudos-de-aprovação"/>
    <w:p>
      <w:pPr>
        <w:pStyle w:val="Heading4"/>
      </w:pPr>
      <w:r>
        <w:t xml:space="preserve">Os estudos de aprovação</w:t>
      </w:r>
    </w:p>
    <w:p>
      <w:pPr>
        <w:pStyle w:val="FirstParagraph"/>
      </w:pPr>
      <w:r>
        <w:t xml:space="preserve">A aprovação se baseia em dois estudos de fase 3 de desenho quase idêntico em pessoas com HIV e aumento de gordura abdominal. Em ambos, os participantes receberam, na proporção 2:1, tesamorelina ou um medicamento simulado (placebo) diariamente por injeção subcutânea; após 26 semanas seguiu-se uma fase de extensão, na qual parte do grupo da tesamorelina continuou o tratamento e outra parte passou para placebo.</w:t>
      </w:r>
    </w:p>
    <w:p>
      <w:pPr>
        <w:pStyle w:val="BodyText"/>
      </w:pPr>
      <w:r>
        <w:t xml:space="preserve">No primeiro estudo, com 412 participantes (86% homens), a gordura visceral, medida por tomografia computadorizada, diminuiu 15,2% com tesamorelina, enquanto com placebo aumentou 5,0%. Os triglicerídeos (gorduras do sangue) caíram 50 mg/dl, frente a um aumento de 9 mg/dl. O IGF-1 subiu 81,0%. Os valores de glicemia não diferiram significativamente; no entanto, no grupo da tesamorelina mais participantes abandonaram o estudo por efeitos colaterais</w:t>
      </w:r>
      <w:r>
        <w:rPr>
          <w:rStyle w:val="FootnoteReference"/>
        </w:rPr>
        <w:footnoteReference w:id="1278"/>
      </w:r>
      <w:r>
        <w:t xml:space="preserve">. Ao longo de 52 semanas, a redução da gordura abdominal com tratamento contínuo ficou em cerca de −18%; após a suspensão, a gordura voltou</w:t>
      </w:r>
      <w:r>
        <w:rPr>
          <w:rStyle w:val="FootnoteReference"/>
        </w:rPr>
        <w:footnoteReference w:id="1279"/>
      </w:r>
      <w:r>
        <w:t xml:space="preserve">.</w:t>
      </w:r>
    </w:p>
    <w:p>
      <w:pPr>
        <w:pStyle w:val="BodyText"/>
      </w:pPr>
      <w:r>
        <w:t xml:space="preserve">O segundo estudo, com 404 participantes, confirmou isso: −10,9% de gordura visceral com tesamorelina frente a −0,6% com placebo após seis meses, nenhuma alteração da gordura subcutânea em braços, pernas e abdome, e uma rápida perda do efeito após a troca para placebo</w:t>
      </w:r>
      <w:r>
        <w:rPr>
          <w:rStyle w:val="FootnoteReference"/>
        </w:rPr>
        <w:footnoteReference w:id="1280"/>
      </w:r>
      <w:r>
        <w:t xml:space="preserve">.</w:t>
      </w:r>
    </w:p>
    <w:p>
      <w:pPr>
        <w:pStyle w:val="BodyText"/>
      </w:pPr>
      <w:r>
        <w:t xml:space="preserve">A análise conjunta dos dois estudos com 806 pessoas resultou, após 26 semanas, em um efeito do tratamento de −15,4% na gordura visceral, melhorias nos triglicerídeos e na relação entre colesterol total e HDL, bem como na satisfação com a aparência do abdome. Os autores não encontraram diferenças clinicamente relevantes nos valores de glicemia</w:t>
      </w:r>
      <w:r>
        <w:rPr>
          <w:rStyle w:val="FootnoteReference"/>
        </w:rPr>
        <w:footnoteReference w:id="1281"/>
      </w:r>
      <w:r>
        <w:t xml:space="preserve">. Nem todos se beneficiam igualmente: uma análise posterior definiu previamente uma redução da gordura abdominal de pelo menos 8% como</w:t>
      </w:r>
      <w:r>
        <w:t xml:space="preserve"> </w:t>
      </w:r>
      <w:r>
        <w:t xml:space="preserve">“</w:t>
      </w:r>
      <w:r>
        <w:t xml:space="preserve">resposta</w:t>
      </w:r>
      <w:r>
        <w:t xml:space="preserve">”</w:t>
      </w:r>
      <w:r>
        <w:t xml:space="preserve">. Nesses respondedores, os triglicerídeos caíram de forma bem mais acentuada, e a glicemia e a HbA1c permaneceram em grande parte estáveis; nos não respondedores, a glicemia de jejum e a HbA1c subiram levemente (análise post hoc)</w:t>
      </w:r>
      <w:r>
        <w:rPr>
          <w:rStyle w:val="FootnoteReference"/>
        </w:rPr>
        <w:footnoteReference w:id="1282"/>
      </w:r>
      <w:r>
        <w:t xml:space="preserve">.</w:t>
      </w:r>
    </w:p>
    <w:bookmarkEnd w:id="1283"/>
    <w:bookmarkStart w:id="1286" w:name="gordura-no-fígado"/>
    <w:p>
      <w:pPr>
        <w:pStyle w:val="Heading4"/>
      </w:pPr>
      <w:r>
        <w:t xml:space="preserve">Gordura no fígado</w:t>
      </w:r>
    </w:p>
    <w:p>
      <w:pPr>
        <w:pStyle w:val="FirstParagraph"/>
      </w:pPr>
      <w:r>
        <w:t xml:space="preserve">Particularmente interessante é o efeito sobre o fígado gorduroso. Em um estudo menor com 50 pessoas com HIV, além da gordura abdominal também diminuiu a gordura hepática; a glicemia de jejum subiu temporariamente após duas semanas, e após seis meses já não havia diferença significativa</w:t>
      </w:r>
      <w:r>
        <w:rPr>
          <w:rStyle w:val="FootnoteReference"/>
        </w:rPr>
        <w:footnoteReference w:id="1284"/>
      </w:r>
      <w:r>
        <w:t xml:space="preserve">. Um estudo randomizado e duplo-cego subsequente examinou especificamente 61 pessoas com HIV e doença hepática gordurosa não alcoólica ao longo de doze meses, com biópsias hepáticas. A fração de gordura hepática caiu 4,1 pontos percentuais a mais em termos absolutos do que com placebo, 37% em termos relativos; 35% do grupo da tesamorelina, mas apenas 4% do grupo placebo, ficaram ao final abaixo do limite de fígado gorduroso de 5%</w:t>
      </w:r>
      <w:r>
        <w:rPr>
          <w:rStyle w:val="FootnoteReference"/>
        </w:rPr>
        <w:footnoteReference w:id="1285"/>
      </w:r>
      <w:r>
        <w:t xml:space="preserve">. Se isso previne a longo prazo cirrose hepática ou câncer de fígado não foi estudado.</w:t>
      </w:r>
    </w:p>
    <w:bookmarkEnd w:id="1286"/>
    <w:bookmarkStart w:id="1291" w:name="outras-aplicações"/>
    <w:p>
      <w:pPr>
        <w:pStyle w:val="Heading4"/>
      </w:pPr>
      <w:r>
        <w:t xml:space="preserve">Outras aplicações</w:t>
      </w:r>
    </w:p>
    <w:p>
      <w:pPr>
        <w:pStyle w:val="FirstParagraph"/>
      </w:pPr>
      <w:r>
        <w:t xml:space="preserve">Fora do HIV, há apenas estudos menores:</w:t>
      </w:r>
    </w:p>
    <w:p>
      <w:pPr>
        <w:numPr>
          <w:ilvl w:val="0"/>
          <w:numId w:val="1151"/>
        </w:numPr>
        <w:pStyle w:val="Compact"/>
      </w:pPr>
      <w:r>
        <w:t xml:space="preserve">Em 60 pessoas com obesidade abdominal e secreção reduzida de GH (sem HIV), a tesamorelina reduziu ao longo de doze meses a gordura visceral, os triglicerídeos, a proteína C-reativa e a espessura da parede da artéria carótida, sem piorar os valores de glicemia</w:t>
      </w:r>
      <w:r>
        <w:rPr>
          <w:rStyle w:val="FootnoteReference"/>
        </w:rPr>
        <w:footnoteReference w:id="1287"/>
      </w:r>
      <w:r>
        <w:t xml:space="preserve">.</w:t>
      </w:r>
    </w:p>
    <w:p>
      <w:pPr>
        <w:numPr>
          <w:ilvl w:val="0"/>
          <w:numId w:val="1151"/>
        </w:numPr>
        <w:pStyle w:val="Compact"/>
      </w:pPr>
      <w:r>
        <w:t xml:space="preserve">Em 53 pessoas com diabetes tipo 2, ao longo de doze semanas nem a resposta insulínica nem a HbA1c se alteraram em comparação com placebo</w:t>
      </w:r>
      <w:r>
        <w:rPr>
          <w:rStyle w:val="FootnoteReference"/>
        </w:rPr>
        <w:footnoteReference w:id="1288"/>
      </w:r>
      <w:r>
        <w:t xml:space="preserve">.</w:t>
      </w:r>
    </w:p>
    <w:p>
      <w:pPr>
        <w:numPr>
          <w:ilvl w:val="0"/>
          <w:numId w:val="1151"/>
        </w:numPr>
        <w:pStyle w:val="Compact"/>
      </w:pPr>
      <w:r>
        <w:t xml:space="preserve">Em um estudo com 152 adultos mais velhos (55 a 87 anos), dos quais 66 com comprometimento cognitivo leve, observou-se após 20 semanas um efeito favorável na avaliação global do desempenho cognitivo, sobretudo nas funções executivas. Efeitos colaterais – em geral leves – foram relatados por 68% com tesamorelina frente a 36% com placebo</w:t>
      </w:r>
      <w:r>
        <w:rPr>
          <w:rStyle w:val="FootnoteReference"/>
        </w:rPr>
        <w:footnoteReference w:id="1289"/>
      </w:r>
      <w:r>
        <w:t xml:space="preserve">. Falta um estudo de confirmação.</w:t>
      </w:r>
    </w:p>
    <w:p>
      <w:pPr>
        <w:numPr>
          <w:ilvl w:val="0"/>
          <w:numId w:val="1151"/>
        </w:numPr>
        <w:pStyle w:val="Compact"/>
      </w:pPr>
      <w:r>
        <w:t xml:space="preserve">Em 73 pessoas com HIV, obesidade abdominal e limitações cognitivas, um estudo aberto de fase 2 não mostrou diferença significativa no desempenho cognitivo em relação ao tratamento padrão</w:t>
      </w:r>
      <w:r>
        <w:rPr>
          <w:rStyle w:val="FootnoteReference"/>
        </w:rPr>
        <w:footnoteReference w:id="1290"/>
      </w:r>
      <w:r>
        <w:t xml:space="preserve">.</w:t>
      </w:r>
    </w:p>
    <w:bookmarkEnd w:id="1291"/>
    <w:bookmarkStart w:id="1294" w:name="metanálises"/>
    <w:p>
      <w:pPr>
        <w:pStyle w:val="Heading4"/>
      </w:pPr>
      <w:r>
        <w:t xml:space="preserve">Metanálises</w:t>
      </w:r>
    </w:p>
    <w:p>
      <w:pPr>
        <w:pStyle w:val="FirstParagraph"/>
      </w:pPr>
      <w:r>
        <w:t xml:space="preserve">Duas metanálises de 2026 resumem os estudos randomizados na lipodistrofia associada ao HIV. Uma (quatro estudos, 909 pessoas) encontrou redução da gordura visceral, da circunferência da cintura em 1,61 cm e da gordura do tronco, bem como aumento da massa livre de gordura em 1,42 kg; a taxa de abandono por efeitos colaterais tendeu a ser maior (razão de risco 2,25, por pouco não estatisticamente significativa)</w:t>
      </w:r>
      <w:r>
        <w:rPr>
          <w:rStyle w:val="FootnoteReference"/>
        </w:rPr>
        <w:footnoteReference w:id="1292"/>
      </w:r>
      <w:r>
        <w:t xml:space="preserve">. A outra (cinco estudos) confirmou a redução da gordura hepática em 4,28 pontos percentuais e citou dores articulares e musculares, parestesias e reações cutâneas no local da injeção como efeitos colaterais típicos</w:t>
      </w:r>
      <w:r>
        <w:rPr>
          <w:rStyle w:val="FootnoteReference"/>
        </w:rPr>
        <w:footnoteReference w:id="1293"/>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Fase 3, estudo 1 (Falutz 2007), PMID 18057338</w:t>
            </w:r>
          </w:p>
        </w:tc>
        <w:tc>
          <w:tcPr/>
          <w:p>
            <w:pPr>
              <w:pStyle w:val="Compact"/>
              <w:jc w:val="left"/>
            </w:pPr>
            <w:r>
              <w:t xml:space="preserve">412 pessoas com HIV e gordura abdominal, ECR contra placebo</w:t>
            </w:r>
          </w:p>
        </w:tc>
        <w:tc>
          <w:tcPr/>
          <w:p>
            <w:pPr>
              <w:pStyle w:val="Compact"/>
              <w:jc w:val="left"/>
            </w:pPr>
            <w:r>
              <w:t xml:space="preserve">26 semanas</w:t>
            </w:r>
          </w:p>
        </w:tc>
        <w:tc>
          <w:tcPr/>
          <w:p>
            <w:pPr>
              <w:pStyle w:val="Compact"/>
              <w:jc w:val="left"/>
            </w:pPr>
            <w:r>
              <w:t xml:space="preserve">gordura visceral −15,2% vs. +5,0%</w:t>
            </w:r>
          </w:p>
        </w:tc>
      </w:tr>
      <w:tr>
        <w:tc>
          <w:tcPr/>
          <w:p>
            <w:pPr>
              <w:pStyle w:val="Compact"/>
              <w:jc w:val="left"/>
            </w:pPr>
            <w:r>
              <w:t xml:space="preserve">Fase 3, estudo 2 (Falutz 2010), PMID 20101189</w:t>
            </w:r>
          </w:p>
        </w:tc>
        <w:tc>
          <w:tcPr/>
          <w:p>
            <w:pPr>
              <w:pStyle w:val="Compact"/>
              <w:jc w:val="left"/>
            </w:pPr>
            <w:r>
              <w:t xml:space="preserve">404 pessoas com HIV, ECR com fase de extensão</w:t>
            </w:r>
          </w:p>
        </w:tc>
        <w:tc>
          <w:tcPr/>
          <w:p>
            <w:pPr>
              <w:pStyle w:val="Compact"/>
              <w:jc w:val="left"/>
            </w:pPr>
            <w:r>
              <w:t xml:space="preserve">12 meses</w:t>
            </w:r>
          </w:p>
        </w:tc>
        <w:tc>
          <w:tcPr/>
          <w:p>
            <w:pPr>
              <w:pStyle w:val="Compact"/>
              <w:jc w:val="left"/>
            </w:pPr>
            <w:r>
              <w:t xml:space="preserve">−10,9% vs. −0,6% após 6 meses; efeito se perde após a suspensão</w:t>
            </w:r>
          </w:p>
        </w:tc>
      </w:tr>
      <w:tr>
        <w:tc>
          <w:tcPr/>
          <w:p>
            <w:pPr>
              <w:pStyle w:val="Compact"/>
              <w:jc w:val="left"/>
            </w:pPr>
            <w:r>
              <w:t xml:space="preserve">Análise combinada (Falutz 2010), PMID 20554713</w:t>
            </w:r>
          </w:p>
        </w:tc>
        <w:tc>
          <w:tcPr/>
          <w:p>
            <w:pPr>
              <w:pStyle w:val="Compact"/>
              <w:jc w:val="left"/>
            </w:pPr>
            <w:r>
              <w:t xml:space="preserve">806 pessoas dos dois estudos de fase 3</w:t>
            </w:r>
          </w:p>
        </w:tc>
        <w:tc>
          <w:tcPr/>
          <w:p>
            <w:pPr>
              <w:pStyle w:val="Compact"/>
              <w:jc w:val="left"/>
            </w:pPr>
            <w:r>
              <w:t xml:space="preserve">26–52 semanas</w:t>
            </w:r>
          </w:p>
        </w:tc>
        <w:tc>
          <w:tcPr/>
          <w:p>
            <w:pPr>
              <w:pStyle w:val="Compact"/>
              <w:jc w:val="left"/>
            </w:pPr>
            <w:r>
              <w:t xml:space="preserve">efeito do tratamento −15,4%; glicemia sem alteração clinicamente relevante</w:t>
            </w:r>
          </w:p>
        </w:tc>
      </w:tr>
      <w:tr>
        <w:tc>
          <w:tcPr/>
          <w:p>
            <w:pPr>
              <w:pStyle w:val="Compact"/>
              <w:jc w:val="left"/>
            </w:pPr>
            <w:r>
              <w:t xml:space="preserve">Fígado gorduroso no HIV (Stanley 2019), PMID 31611038</w:t>
            </w:r>
          </w:p>
        </w:tc>
        <w:tc>
          <w:tcPr/>
          <w:p>
            <w:pPr>
              <w:pStyle w:val="Compact"/>
              <w:jc w:val="left"/>
            </w:pPr>
            <w:r>
              <w:t xml:space="preserve">61 pessoas com HIV e fígado gorduroso, ECR</w:t>
            </w:r>
          </w:p>
        </w:tc>
        <w:tc>
          <w:tcPr/>
          <w:p>
            <w:pPr>
              <w:pStyle w:val="Compact"/>
              <w:jc w:val="left"/>
            </w:pPr>
            <w:r>
              <w:t xml:space="preserve">12 meses</w:t>
            </w:r>
          </w:p>
        </w:tc>
        <w:tc>
          <w:tcPr/>
          <w:p>
            <w:pPr>
              <w:pStyle w:val="Compact"/>
              <w:jc w:val="left"/>
            </w:pPr>
            <w:r>
              <w:t xml:space="preserve">fração de gordura hepática −4,1 pontos percentuais vs. placebo</w:t>
            </w:r>
          </w:p>
        </w:tc>
      </w:tr>
      <w:tr>
        <w:tc>
          <w:tcPr/>
          <w:p>
            <w:pPr>
              <w:pStyle w:val="Compact"/>
              <w:jc w:val="left"/>
            </w:pPr>
            <w:r>
              <w:t xml:space="preserve">Sem HIV (Makimura 2012), PMID 23015655</w:t>
            </w:r>
          </w:p>
        </w:tc>
        <w:tc>
          <w:tcPr/>
          <w:p>
            <w:pPr>
              <w:pStyle w:val="Compact"/>
              <w:jc w:val="left"/>
            </w:pPr>
            <w:r>
              <w:t xml:space="preserve">60 adultos com obesidade abdominal, ECR</w:t>
            </w:r>
          </w:p>
        </w:tc>
        <w:tc>
          <w:tcPr/>
          <w:p>
            <w:pPr>
              <w:pStyle w:val="Compact"/>
              <w:jc w:val="left"/>
            </w:pPr>
            <w:r>
              <w:t xml:space="preserve">12 meses</w:t>
            </w:r>
          </w:p>
        </w:tc>
        <w:tc>
          <w:tcPr/>
          <w:p>
            <w:pPr>
              <w:pStyle w:val="Compact"/>
              <w:jc w:val="left"/>
            </w:pPr>
            <w:r>
              <w:t xml:space="preserve">gordura visceral −35 cm² em relação ao placebo</w:t>
            </w:r>
          </w:p>
        </w:tc>
      </w:tr>
      <w:tr>
        <w:tc>
          <w:tcPr/>
          <w:p>
            <w:pPr>
              <w:pStyle w:val="Compact"/>
              <w:jc w:val="left"/>
            </w:pPr>
            <w:r>
              <w:t xml:space="preserve">Cognição na velhice (Baker 2012), PMID 22869065</w:t>
            </w:r>
          </w:p>
        </w:tc>
        <w:tc>
          <w:tcPr/>
          <w:p>
            <w:pPr>
              <w:pStyle w:val="Compact"/>
              <w:jc w:val="left"/>
            </w:pPr>
            <w:r>
              <w:t xml:space="preserve">152 idosos, dos quais 66 com comprometimento cognitivo leve, ECR</w:t>
            </w:r>
          </w:p>
        </w:tc>
        <w:tc>
          <w:tcPr/>
          <w:p>
            <w:pPr>
              <w:pStyle w:val="Compact"/>
              <w:jc w:val="left"/>
            </w:pPr>
            <w:r>
              <w:t xml:space="preserve">20 semanas</w:t>
            </w:r>
          </w:p>
        </w:tc>
        <w:tc>
          <w:tcPr/>
          <w:p>
            <w:pPr>
              <w:pStyle w:val="Compact"/>
              <w:jc w:val="left"/>
            </w:pPr>
            <w:r>
              <w:t xml:space="preserve">efeito favorável no desempenho cognitivo; mais efeitos colaterais</w:t>
            </w:r>
          </w:p>
        </w:tc>
      </w:tr>
      <w:tr>
        <w:tc>
          <w:tcPr/>
          <w:p>
            <w:pPr>
              <w:pStyle w:val="Compact"/>
              <w:jc w:val="left"/>
            </w:pPr>
            <w:r>
              <w:t xml:space="preserve">Metanálise (Ditta 2026), PMID 42538058</w:t>
            </w:r>
          </w:p>
        </w:tc>
        <w:tc>
          <w:tcPr/>
          <w:p>
            <w:pPr>
              <w:pStyle w:val="Compact"/>
              <w:jc w:val="left"/>
            </w:pPr>
            <w:r>
              <w:t xml:space="preserve">4 ECRs, 909 pessoas com HIV</w:t>
            </w:r>
          </w:p>
        </w:tc>
        <w:tc>
          <w:tcPr/>
          <w:p>
            <w:pPr>
              <w:pStyle w:val="Compact"/>
              <w:jc w:val="left"/>
            </w:pPr>
            <w:r>
              <w:t xml:space="preserve">–</w:t>
            </w:r>
          </w:p>
        </w:tc>
        <w:tc>
          <w:tcPr/>
          <w:p>
            <w:pPr>
              <w:pStyle w:val="Compact"/>
              <w:jc w:val="left"/>
            </w:pPr>
            <w:r>
              <w:t xml:space="preserve">menos gordura visceral, +1,42 kg de massa livre de gordura</w:t>
            </w:r>
          </w:p>
        </w:tc>
      </w:tr>
    </w:tbl>
    <w:bookmarkEnd w:id="1294"/>
    <w:bookmarkEnd w:id="1295"/>
    <w:bookmarkStart w:id="1299" w:name="estudos-em-animais-e-em-laboratório-24"/>
    <w:p>
      <w:pPr>
        <w:pStyle w:val="Heading3"/>
      </w:pPr>
      <w:r>
        <w:t xml:space="preserve">Estudos em animais e em laboratório</w:t>
      </w:r>
    </w:p>
    <w:p>
      <w:pPr>
        <w:pStyle w:val="FirstParagraph"/>
      </w:pPr>
      <w:r>
        <w:t xml:space="preserve">Para a tesamorelina em si há comparativamente pouca pesquisa animal independente; o desenvolvimento se apoiou no GHRH endógeno, bem estudado. Um artigo de revisão discute se uma estimulação do eixo do hormônio do crescimento poderia favorecer a regeneração de nervos lesionados, apoiando-se predominantemente em estudos animais e mecanísticos</w:t>
      </w:r>
      <w:r>
        <w:rPr>
          <w:rStyle w:val="FootnoteReference"/>
        </w:rPr>
        <w:footnoteReference w:id="1296"/>
      </w:r>
      <w:r>
        <w:t xml:space="preserve">. Um pequeno estudo de fase 2 sobre isso em humanos está registrado</w:t>
      </w:r>
      <w:r>
        <w:rPr>
          <w:rStyle w:val="FootnoteReference"/>
        </w:rPr>
        <w:footnoteReference w:id="1297"/>
      </w:r>
      <w:r>
        <w:t xml:space="preserve">.</w:t>
      </w:r>
    </w:p>
    <w:p>
      <w:pPr>
        <w:pStyle w:val="BodyText"/>
      </w:pPr>
      <w:r>
        <w:t xml:space="preserve">Uma análise tecidual das biópsias hepáticas do estudo sobre fígado gorduroso mostrou que, com tesamorelina, grupos de genes da produção de energia nas mitocôndrias estavam mais ativos e grupos de genes de inflamação, remodelação tecidual e divisão celular menos ativos do que com placebo</w:t>
      </w:r>
      <w:r>
        <w:rPr>
          <w:rStyle w:val="FootnoteReference"/>
        </w:rPr>
        <w:footnoteReference w:id="1298"/>
      </w:r>
      <w:r>
        <w:t xml:space="preserve">. São achados de amostras de tecido humano, mas não desfechos clínicos.</w:t>
      </w:r>
    </w:p>
    <w:bookmarkEnd w:id="1299"/>
    <w:bookmarkStart w:id="1308" w:name="riscos-e-efeitos-colaterais-24"/>
    <w:p>
      <w:pPr>
        <w:pStyle w:val="Heading3"/>
      </w:pPr>
      <w:r>
        <w:t xml:space="preserve">Riscos e efeitos colaterais</w:t>
      </w:r>
    </w:p>
    <w:p>
      <w:pPr>
        <w:pStyle w:val="FirstParagraph"/>
      </w:pPr>
      <w:r>
        <w:rPr>
          <w:bCs/>
          <w:b/>
        </w:rPr>
        <w:t xml:space="preserve">Comprovado pelos estudos:</w:t>
      </w:r>
    </w:p>
    <w:p>
      <w:pPr>
        <w:numPr>
          <w:ilvl w:val="0"/>
          <w:numId w:val="1152"/>
        </w:numPr>
        <w:pStyle w:val="Compact"/>
      </w:pPr>
      <w:r>
        <w:t xml:space="preserve">Reações no local da injeção (vermelhidão, coceira) – no estudo sobre fígado gorduroso mais frequentes do que com placebo, mas não graves</w:t>
      </w:r>
      <w:r>
        <w:rPr>
          <w:rStyle w:val="FootnoteReference"/>
        </w:rPr>
        <w:footnoteReference w:id="1300"/>
      </w:r>
      <w:r>
        <w:t xml:space="preserve">.</w:t>
      </w:r>
    </w:p>
    <w:p>
      <w:pPr>
        <w:numPr>
          <w:ilvl w:val="0"/>
          <w:numId w:val="1152"/>
        </w:numPr>
        <w:pStyle w:val="Compact"/>
      </w:pPr>
      <w:r>
        <w:t xml:space="preserve">Efeitos típicos do hormônio do crescimento, como dores articulares e musculares, bem como parestesias</w:t>
      </w:r>
      <w:r>
        <w:rPr>
          <w:rStyle w:val="FootnoteReference"/>
        </w:rPr>
        <w:footnoteReference w:id="1301"/>
      </w:r>
      <w:r>
        <w:t xml:space="preserve">.</w:t>
      </w:r>
    </w:p>
    <w:p>
      <w:pPr>
        <w:numPr>
          <w:ilvl w:val="0"/>
          <w:numId w:val="1152"/>
        </w:numPr>
        <w:pStyle w:val="Compact"/>
      </w:pPr>
      <w:r>
        <w:t xml:space="preserve">Glicemia: nos grandes estudos, nenhuma piora clinicamente relevante em média, mas um aumento temporário da glicemia de jejum nas primeiras semanas</w:t>
      </w:r>
      <w:r>
        <w:rPr>
          <w:rStyle w:val="FootnoteReference"/>
        </w:rPr>
        <w:footnoteReference w:id="1302"/>
      </w:r>
      <w:r>
        <w:t xml:space="preserve"> </w:t>
      </w:r>
      <w:r>
        <w:t xml:space="preserve">e um leve aumento em pessoas cuja gordura abdominal não respondeu</w:t>
      </w:r>
      <w:r>
        <w:rPr>
          <w:rStyle w:val="FootnoteReference"/>
        </w:rPr>
        <w:footnoteReference w:id="1303"/>
      </w:r>
      <w:r>
        <w:t xml:space="preserve">. Pessoas com diabetes devem ter acompanhamento médico.</w:t>
      </w:r>
    </w:p>
    <w:p>
      <w:pPr>
        <w:numPr>
          <w:ilvl w:val="0"/>
          <w:numId w:val="1152"/>
        </w:numPr>
        <w:pStyle w:val="Compact"/>
      </w:pPr>
      <w:r>
        <w:t xml:space="preserve">Mais interrupções do tratamento por efeitos colaterais do que com placebo</w:t>
      </w:r>
      <w:r>
        <w:rPr>
          <w:rStyle w:val="FootnoteReference"/>
        </w:rPr>
        <w:footnoteReference w:id="1304"/>
      </w:r>
      <w:r>
        <w:t xml:space="preserve">.</w:t>
      </w:r>
    </w:p>
    <w:p>
      <w:pPr>
        <w:numPr>
          <w:ilvl w:val="0"/>
          <w:numId w:val="1152"/>
        </w:numPr>
        <w:pStyle w:val="Compact"/>
      </w:pPr>
      <w:r>
        <w:t xml:space="preserve">O efeito não é duradouro: após a suspensão, a gordura abdominal volta</w:t>
      </w:r>
      <w:r>
        <w:rPr>
          <w:rStyle w:val="FootnoteReference"/>
        </w:rPr>
        <w:footnoteReference w:id="1305"/>
      </w:r>
      <w:r>
        <w:t xml:space="preserve">.</w:t>
      </w:r>
    </w:p>
    <w:p>
      <w:pPr>
        <w:pStyle w:val="FirstParagraph"/>
      </w:pPr>
      <w:r>
        <w:rPr>
          <w:bCs/>
          <w:b/>
        </w:rPr>
        <w:t xml:space="preserve">Em aberto ou teórico:</w:t>
      </w:r>
      <w:r>
        <w:t xml:space="preserve"> </w:t>
      </w:r>
      <w:r>
        <w:t xml:space="preserve">a tesamorelina eleva claramente o IGF-1 – no primeiro estudo de fase 3, em 81%. Níveis altos de IGF-1 estão associados, em estudos observacionais, a um risco um pouco maior de alguns tipos de câncer (detalhes na introdução a este grupo e na Parte IV). Dos próprios estudos com tesamorelina não se pode depreender aumento do risco de câncer, mas eles foram curtos demais para isso. Um estudo observacional de longo prazo do fabricante com 391 participantes</w:t>
      </w:r>
      <w:r>
        <w:rPr>
          <w:rStyle w:val="FootnoteReference"/>
        </w:rPr>
        <w:footnoteReference w:id="1306"/>
      </w:r>
      <w:r>
        <w:t xml:space="preserve"> </w:t>
      </w:r>
      <w:r>
        <w:t xml:space="preserve">e um estudo sobre a doença diabética da retina</w:t>
      </w:r>
      <w:r>
        <w:rPr>
          <w:rStyle w:val="FootnoteReference"/>
        </w:rPr>
        <w:footnoteReference w:id="1307"/>
      </w:r>
      <w:r>
        <w:t xml:space="preserve"> </w:t>
      </w:r>
      <w:r>
        <w:t xml:space="preserve">foram encerrados antecipadamente; não encontrei no PubMed resultados publicados sobre eles. Segundo a bula técnica, a tesamorelina não deve ser usada em caso de câncer ativo; os detalhes estão na bula técnica, e o uso deve ficar a cargo de médicos.</w:t>
      </w:r>
    </w:p>
    <w:bookmarkEnd w:id="1308"/>
    <w:bookmarkStart w:id="1310" w:name="situação-legal-24"/>
    <w:p>
      <w:pPr>
        <w:pStyle w:val="Heading3"/>
      </w:pPr>
      <w:r>
        <w:t xml:space="preserve">Situação legal</w:t>
      </w:r>
    </w:p>
    <w:p>
      <w:pPr>
        <w:pStyle w:val="FirstParagraph"/>
      </w:pPr>
      <w:r>
        <w:rPr>
          <w:iCs/>
          <w:i/>
        </w:rPr>
        <w:t xml:space="preserve">Situação em 2026, verificar atualização.</w:t>
      </w:r>
    </w:p>
    <w:p>
      <w:pPr>
        <w:numPr>
          <w:ilvl w:val="0"/>
          <w:numId w:val="1153"/>
        </w:numPr>
        <w:pStyle w:val="Compact"/>
      </w:pPr>
      <w:r>
        <w:rPr>
          <w:bCs/>
          <w:b/>
        </w:rPr>
        <w:t xml:space="preserve">UE:</w:t>
      </w:r>
      <w:r>
        <w:t xml:space="preserve"> </w:t>
      </w:r>
      <w:r>
        <w:t xml:space="preserve">não aprovada. A tesamorelina não é comercializada como medicamento industrializado em nenhum Estado da UE.</w:t>
      </w:r>
    </w:p>
    <w:p>
      <w:pPr>
        <w:numPr>
          <w:ilvl w:val="0"/>
          <w:numId w:val="1153"/>
        </w:numPr>
        <w:pStyle w:val="Compact"/>
      </w:pPr>
      <w:r>
        <w:rPr>
          <w:bCs/>
          <w:b/>
        </w:rPr>
        <w:t xml:space="preserve">Alemanha e Áustria:</w:t>
      </w:r>
      <w:r>
        <w:t xml:space="preserve"> </w:t>
      </w:r>
      <w:r>
        <w:t xml:space="preserve">nenhuma aprovação. A obtenção seria concebível, quando muito, por meio de importação individual, sob responsabilidade médica, de um medicamento aprovado no exterior; o fornecimento de produtos do mercado cinza para uso em humanos é proibido.</w:t>
      </w:r>
    </w:p>
    <w:p>
      <w:pPr>
        <w:numPr>
          <w:ilvl w:val="0"/>
          <w:numId w:val="1153"/>
        </w:numPr>
        <w:pStyle w:val="Compact"/>
      </w:pPr>
      <w:r>
        <w:rPr>
          <w:bCs/>
          <w:b/>
        </w:rPr>
        <w:t xml:space="preserve">EUA:</w:t>
      </w:r>
      <w:r>
        <w:t xml:space="preserve"> </w:t>
      </w:r>
      <w:r>
        <w:t xml:space="preserve">aprovada como Egrifta (sujeita a prescrição) exclusivamente para a redução do excesso de gordura abdominal na lipodistrofia associada ao HIV. Qualquer outro uso – por exemplo</w:t>
      </w:r>
      <w:r>
        <w:t xml:space="preserve"> </w:t>
      </w:r>
      <w:r>
        <w:t xml:space="preserve">“</w:t>
      </w:r>
      <w:r>
        <w:t xml:space="preserve">para emagrecer</w:t>
      </w:r>
      <w:r>
        <w:t xml:space="preserve">”</w:t>
      </w:r>
      <w:r>
        <w:t xml:space="preserve"> </w:t>
      </w:r>
      <w:r>
        <w:t xml:space="preserve">ou</w:t>
      </w:r>
      <w:r>
        <w:t xml:space="preserve"> </w:t>
      </w:r>
      <w:r>
        <w:t xml:space="preserve">“</w:t>
      </w:r>
      <w:r>
        <w:t xml:space="preserve">contra o envelhecimento</w:t>
      </w:r>
      <w:r>
        <w:t xml:space="preserve">”</w:t>
      </w:r>
      <w:r>
        <w:t xml:space="preserve"> </w:t>
      </w:r>
      <w:r>
        <w:t xml:space="preserve">– é off-label.</w:t>
      </w:r>
    </w:p>
    <w:p>
      <w:pPr>
        <w:numPr>
          <w:ilvl w:val="0"/>
          <w:numId w:val="1153"/>
        </w:numPr>
        <w:pStyle w:val="Compact"/>
      </w:pPr>
      <w:r>
        <w:rPr>
          <w:bCs/>
          <w:b/>
        </w:rPr>
        <w:t xml:space="preserve">WADA:</w:t>
      </w:r>
      <w:r>
        <w:t xml:space="preserve"> </w:t>
      </w:r>
      <w:r>
        <w:t xml:space="preserve">proibida (S2), em competição e fora dela. Laboratórios antidoping desenvolveram métodos de detecção para tesamorelina e outros análogos de GHRH na urina</w:t>
      </w:r>
      <w:r>
        <w:rPr>
          <w:rStyle w:val="FootnoteReference"/>
        </w:rPr>
        <w:footnoteReference w:id="1309"/>
      </w:r>
      <w:r>
        <w:t xml:space="preserve">.</w:t>
      </w:r>
    </w:p>
    <w:bookmarkEnd w:id="1310"/>
    <w:bookmarkStart w:id="1311" w:name="estudos-em-andamento-e-perspectivas-24"/>
    <w:p>
      <w:pPr>
        <w:pStyle w:val="Heading3"/>
      </w:pPr>
      <w:r>
        <w:t xml:space="preserve">Estudos em andamento e perspectivas</w:t>
      </w:r>
    </w:p>
    <w:p>
      <w:pPr>
        <w:pStyle w:val="FirstParagraph"/>
      </w:pPr>
      <w:r>
        <w:t xml:space="preserve">No ClinicalTrials.gov, em outubro de 2026, estão registrados, entre outros, os seguintes estudos abertos: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Desenho</w:t>
            </w:r>
          </w:p>
        </w:tc>
        <w:tc>
          <w:tcPr/>
          <w:p>
            <w:pPr>
              <w:pStyle w:val="Compact"/>
              <w:jc w:val="left"/>
            </w:pPr>
            <w:r>
              <w:t xml:space="preserve">Status</w:t>
            </w:r>
          </w:p>
        </w:tc>
        <w:tc>
          <w:tcPr/>
          <w:p>
            <w:pPr>
              <w:pStyle w:val="Compact"/>
              <w:jc w:val="left"/>
            </w:pPr>
            <w:r>
              <w:t xml:space="preserve">Tema</w:t>
            </w:r>
          </w:p>
        </w:tc>
      </w:tr>
      <w:tr>
        <w:tc>
          <w:tcPr/>
          <w:p>
            <w:pPr>
              <w:pStyle w:val="Compact"/>
              <w:jc w:val="left"/>
            </w:pPr>
            <w:r>
              <w:t xml:space="preserve">NCT06554717</w:t>
            </w:r>
          </w:p>
        </w:tc>
        <w:tc>
          <w:tcPr/>
          <w:p>
            <w:pPr>
              <w:pStyle w:val="Compact"/>
              <w:jc w:val="left"/>
            </w:pPr>
            <w:r>
              <w:t xml:space="preserve">Fase 2, 100 pessoas</w:t>
            </w:r>
          </w:p>
        </w:tc>
        <w:tc>
          <w:tcPr/>
          <w:p>
            <w:pPr>
              <w:pStyle w:val="Compact"/>
              <w:jc w:val="left"/>
            </w:pPr>
            <w:r>
              <w:t xml:space="preserve">recrutando (início em 2025)</w:t>
            </w:r>
          </w:p>
        </w:tc>
        <w:tc>
          <w:tcPr/>
          <w:p>
            <w:pPr>
              <w:pStyle w:val="Compact"/>
              <w:jc w:val="left"/>
            </w:pPr>
            <w:r>
              <w:t xml:space="preserve">Tesamorelina adicionada ao treinamento no HIV – capacidade física</w:t>
            </w:r>
          </w:p>
        </w:tc>
      </w:tr>
      <w:tr>
        <w:tc>
          <w:tcPr/>
          <w:p>
            <w:pPr>
              <w:pStyle w:val="Compact"/>
              <w:jc w:val="left"/>
            </w:pPr>
            <w:r>
              <w:t xml:space="preserve">NCT03150511</w:t>
            </w:r>
          </w:p>
        </w:tc>
        <w:tc>
          <w:tcPr/>
          <w:p>
            <w:pPr>
              <w:pStyle w:val="Compact"/>
              <w:jc w:val="left"/>
            </w:pPr>
            <w:r>
              <w:t xml:space="preserve">Fase 2, 36 pessoas</w:t>
            </w:r>
          </w:p>
        </w:tc>
        <w:tc>
          <w:tcPr/>
          <w:p>
            <w:pPr>
              <w:pStyle w:val="Compact"/>
              <w:jc w:val="left"/>
            </w:pPr>
            <w:r>
              <w:t xml:space="preserve">recrutando (desde 2018)</w:t>
            </w:r>
          </w:p>
        </w:tc>
        <w:tc>
          <w:tcPr/>
          <w:p>
            <w:pPr>
              <w:pStyle w:val="Compact"/>
              <w:jc w:val="left"/>
            </w:pPr>
            <w:r>
              <w:t xml:space="preserve">Recuperação após lesão de nervos periféricos</w:t>
            </w:r>
          </w:p>
        </w:tc>
      </w:tr>
    </w:tbl>
    <w:p>
      <w:pPr>
        <w:pStyle w:val="BodyText"/>
      </w:pPr>
      <w:r>
        <w:rPr>
          <w:iCs/>
          <w:i/>
        </w:rPr>
        <w:t xml:space="preserve">Comprovado</w:t>
      </w:r>
      <w:r>
        <w:t xml:space="preserve"> </w:t>
      </w:r>
      <w:r>
        <w:t xml:space="preserve">é, portanto, apenas que a pesquisa continua em pequenos estudos de fase 2.</w:t>
      </w:r>
      <w:r>
        <w:t xml:space="preserve"> </w:t>
      </w:r>
      <w:r>
        <w:rPr>
          <w:iCs/>
          <w:i/>
        </w:rPr>
        <w:t xml:space="preserve">Avaliação do autor:</w:t>
      </w:r>
      <w:r>
        <w:t xml:space="preserve"> </w:t>
      </w:r>
      <w:r>
        <w:t xml:space="preserve">o fígado gorduroso fora do HIV seria a nova área de aplicação mais óbvia, mas ali competem hoje outras substâncias com programas de estudos bem maiores. Uma aprovação na UE não se vislumbra em futuro próximo.</w:t>
      </w:r>
    </w:p>
    <w:bookmarkEnd w:id="1311"/>
    <w:bookmarkStart w:id="1312" w:name="conclusão-24"/>
    <w:p>
      <w:pPr>
        <w:pStyle w:val="Heading3"/>
      </w:pPr>
      <w:r>
        <w:t xml:space="preserve">Conclusão</w:t>
      </w:r>
    </w:p>
    <w:p>
      <w:pPr>
        <w:pStyle w:val="FirstParagraph"/>
      </w:pPr>
      <w:r>
        <w:t xml:space="preserve">A tesamorelina é o peptídeo mais bem estudado do eixo do hormônio do crescimento: dois grandes estudos de fase 3 mostram que, em pessoas com HIV, ela reduz a gordura abdominal visceral em cerca de 15 a 18% e também diminui a gordura hepática. O efeito dura apenas enquanto dura o tratamento, e nem todos respondem. Para pessoas saudáveis, atletas ou como recurso</w:t>
      </w:r>
      <w:r>
        <w:t xml:space="preserve"> </w:t>
      </w:r>
      <w:r>
        <w:t xml:space="preserve">“</w:t>
      </w:r>
      <w:r>
        <w:t xml:space="preserve">anti-aging</w:t>
      </w:r>
      <w:r>
        <w:t xml:space="preserve">”</w:t>
      </w:r>
      <w:r>
        <w:t xml:space="preserve"> </w:t>
      </w:r>
      <w:r>
        <w:t xml:space="preserve">não há dados confiáveis. A segurança a longo prazo, especialmente no que diz respeito ao IGF-1 elevado, não está definitivamente esclarecida.</w:t>
      </w:r>
    </w:p>
    <w:bookmarkEnd w:id="1312"/>
    <w:bookmarkEnd w:id="1313"/>
    <w:bookmarkStart w:id="1338" w:name="cjc-1295"/>
    <w:p>
      <w:pPr>
        <w:pStyle w:val="Heading2"/>
      </w:pPr>
      <w:r>
        <w:t xml:space="preserve">CJC-1295</w:t>
      </w:r>
    </w:p>
    <w:p>
      <w:pPr>
        <w:pStyle w:val="FirstParagraph"/>
      </w:pPr>
      <w:r>
        <w:t xml:space="preserve">Sob o nome CJC-1295 vendem-se na internet duas substâncias diferentes – e esse é o ponto mais importante deste capítulo. O CJC-1295 original da empresa ConjuChem é um hormônio liberador do hormônio do crescimento com uma</w:t>
      </w:r>
      <w:r>
        <w:t xml:space="preserve"> </w:t>
      </w:r>
      <w:r>
        <w:t xml:space="preserve">“</w:t>
      </w:r>
      <w:r>
        <w:t xml:space="preserve">âncora</w:t>
      </w:r>
      <w:r>
        <w:t xml:space="preserve">”</w:t>
      </w:r>
      <w:r>
        <w:t xml:space="preserve"> </w:t>
      </w:r>
      <w:r>
        <w:t xml:space="preserve">química que, no sangue, se prende à proteína albumina e prolonga o efeito para cerca de uma semana. Paralelamente, comerciantes do mercado cinza oferecem o</w:t>
      </w:r>
      <w:r>
        <w:t xml:space="preserve"> </w:t>
      </w:r>
      <w:r>
        <w:t xml:space="preserve">“</w:t>
      </w:r>
      <w:r>
        <w:t xml:space="preserve">CJC-1295 sem DAC</w:t>
      </w:r>
      <w:r>
        <w:t xml:space="preserve">”</w:t>
      </w:r>
      <w:r>
        <w:t xml:space="preserve">, que na literatura especializada geralmente se chama</w:t>
      </w:r>
      <w:r>
        <w:t xml:space="preserve"> </w:t>
      </w:r>
      <w:r>
        <w:t xml:space="preserve">“</w:t>
      </w:r>
      <w:r>
        <w:t xml:space="preserve">GRF (1-29) modificado</w:t>
      </w:r>
      <w:r>
        <w:t xml:space="preserve">”</w:t>
      </w:r>
      <w:r>
        <w:t xml:space="preserve">. Para o primeiro existem dois pequenos estudos em pessoas saudáveis; para o segundo, nenhum.</w:t>
      </w:r>
    </w:p>
    <w:bookmarkStart w:id="1315" w:name="ficha-técnica-25"/>
    <w:p>
      <w:pPr>
        <w:pStyle w:val="Heading3"/>
      </w:pPr>
      <w:r>
        <w:t xml:space="preserve">Ficha técnica</w:t>
      </w:r>
    </w:p>
    <w:p>
      <w:pPr>
        <w:numPr>
          <w:ilvl w:val="0"/>
          <w:numId w:val="1154"/>
        </w:numPr>
        <w:pStyle w:val="Compact"/>
      </w:pPr>
      <w:r>
        <w:rPr>
          <w:bCs/>
          <w:b/>
        </w:rPr>
        <w:t xml:space="preserve">Tipo e estrutura:</w:t>
      </w:r>
      <w:r>
        <w:t xml:space="preserve"> </w:t>
      </w:r>
      <w:r>
        <w:t xml:space="preserve">análogo sintético do hormônio liberador do hormônio do crescimento, construído sobre os seus primeiros 29 aminoácidos, com quatro componentes substituídos que dificultam a degradação.</w:t>
      </w:r>
    </w:p>
    <w:p>
      <w:pPr>
        <w:numPr>
          <w:ilvl w:val="1"/>
          <w:numId w:val="1155"/>
        </w:numPr>
        <w:pStyle w:val="Compact"/>
      </w:pPr>
      <w:r>
        <w:rPr>
          <w:iCs/>
          <w:i/>
        </w:rPr>
        <w:t xml:space="preserve">CJC-1295 com DAC</w:t>
      </w:r>
      <w:r>
        <w:t xml:space="preserve"> </w:t>
      </w:r>
      <w:r>
        <w:t xml:space="preserve">(Drug Affinity Complex): adicionalmente, uma âncora reativa no final da cadeia que, após a injeção, se liga firmemente à albumina</w:t>
      </w:r>
      <w:r>
        <w:rPr>
          <w:rStyle w:val="FootnoteReference"/>
        </w:rPr>
        <w:footnoteReference w:id="1314"/>
      </w:r>
      <w:r>
        <w:t xml:space="preserve">.</w:t>
      </w:r>
    </w:p>
    <w:p>
      <w:pPr>
        <w:numPr>
          <w:ilvl w:val="1"/>
          <w:numId w:val="1155"/>
        </w:numPr>
        <w:pStyle w:val="Compact"/>
      </w:pPr>
      <w:r>
        <w:rPr>
          <w:iCs/>
          <w:i/>
        </w:rPr>
        <w:t xml:space="preserve">CJC-1295 sem DAC</w:t>
      </w:r>
      <w:r>
        <w:t xml:space="preserve"> </w:t>
      </w:r>
      <w:r>
        <w:t xml:space="preserve">(</w:t>
      </w:r>
      <w:r>
        <w:t xml:space="preserve">“</w:t>
      </w:r>
      <w:r>
        <w:t xml:space="preserve">Mod GRF 1-29</w:t>
      </w:r>
      <w:r>
        <w:t xml:space="preserve">”</w:t>
      </w:r>
      <w:r>
        <w:t xml:space="preserve">): a mesma cadeia sem âncora; curta duração de ação.</w:t>
      </w:r>
    </w:p>
    <w:p>
      <w:pPr>
        <w:numPr>
          <w:ilvl w:val="0"/>
          <w:numId w:val="1154"/>
        </w:numPr>
        <w:pStyle w:val="Compact"/>
      </w:pPr>
      <w:r>
        <w:rPr>
          <w:bCs/>
          <w:b/>
        </w:rPr>
        <w:t xml:space="preserve">Origem:</w:t>
      </w:r>
      <w:r>
        <w:t xml:space="preserve"> </w:t>
      </w:r>
      <w:r>
        <w:t xml:space="preserve">desenvolvido pela ConjuChem (Canadá) nos anos 2000; o desenvolvimento clínico não teve continuidade.</w:t>
      </w:r>
    </w:p>
    <w:p>
      <w:pPr>
        <w:numPr>
          <w:ilvl w:val="0"/>
          <w:numId w:val="1154"/>
        </w:numPr>
        <w:pStyle w:val="Compact"/>
      </w:pPr>
      <w:r>
        <w:rPr>
          <w:bCs/>
          <w:b/>
        </w:rPr>
        <w:t xml:space="preserve">Princípio de ação:</w:t>
      </w:r>
      <w:r>
        <w:t xml:space="preserve"> </w:t>
      </w:r>
      <w:r>
        <w:t xml:space="preserve">ligação ao receptor de GHRH da hipófise; aumento do hormônio do crescimento e do IGF-1.</w:t>
      </w:r>
    </w:p>
    <w:p>
      <w:pPr>
        <w:numPr>
          <w:ilvl w:val="0"/>
          <w:numId w:val="1154"/>
        </w:numPr>
        <w:pStyle w:val="Compact"/>
      </w:pPr>
      <w:r>
        <w:rPr>
          <w:bCs/>
          <w:b/>
        </w:rPr>
        <w:t xml:space="preserve">Aprovação UE:</w:t>
      </w:r>
      <w:r>
        <w:t xml:space="preserve"> </w:t>
      </w:r>
      <w:r>
        <w:t xml:space="preserve">não.</w:t>
      </w:r>
      <w:r>
        <w:t xml:space="preserve"> </w:t>
      </w:r>
      <w:r>
        <w:rPr>
          <w:bCs/>
          <w:b/>
        </w:rPr>
        <w:t xml:space="preserve">Aprovação EUA:</w:t>
      </w:r>
      <w:r>
        <w:t xml:space="preserve"> </w:t>
      </w:r>
      <w:r>
        <w:t xml:space="preserve">não.</w:t>
      </w:r>
    </w:p>
    <w:p>
      <w:pPr>
        <w:numPr>
          <w:ilvl w:val="0"/>
          <w:numId w:val="1154"/>
        </w:numPr>
        <w:pStyle w:val="Compact"/>
      </w:pPr>
      <w:r>
        <w:rPr>
          <w:bCs/>
          <w:b/>
        </w:rPr>
        <w:t xml:space="preserve">WADA:</w:t>
      </w:r>
      <w:r>
        <w:t xml:space="preserve"> </w:t>
      </w:r>
      <w:r>
        <w:t xml:space="preserve">proibido, grupo S2 – o CJC-1295 é expressamente citado como análogo de GHRH.</w:t>
      </w:r>
    </w:p>
    <w:p>
      <w:pPr>
        <w:numPr>
          <w:ilvl w:val="0"/>
          <w:numId w:val="1154"/>
        </w:numPr>
        <w:pStyle w:val="Compact"/>
      </w:pPr>
      <w:r>
        <w:rPr>
          <w:bCs/>
          <w:b/>
        </w:rPr>
        <w:t xml:space="preserve">Nível de evidência: C</w:t>
      </w:r>
      <w:r>
        <w:t xml:space="preserve"> </w:t>
      </w:r>
      <w:r>
        <w:t xml:space="preserve">– dois pequenos estudos de fase 1 em pessoas saudáveis (com DAC); nenhum estudo sobre benefício clínico; para a variante sem DAC, nenhum estudo em humanos.</w:t>
      </w:r>
    </w:p>
    <w:bookmarkEnd w:id="1315"/>
    <w:bookmarkStart w:id="1317" w:name="como-deveria-agir-25"/>
    <w:p>
      <w:pPr>
        <w:pStyle w:val="Heading3"/>
      </w:pPr>
      <w:r>
        <w:t xml:space="preserve">Como deveria agir</w:t>
      </w:r>
    </w:p>
    <w:p>
      <w:pPr>
        <w:pStyle w:val="FirstParagraph"/>
      </w:pPr>
      <w:r>
        <w:t xml:space="preserve">O GHRH natural é eliminado do sangue em poucos minutos pela enzima dipeptidil peptidase-4 e pelos rins. A âncora DAC deveria resolver esse problema: após a injeção, ela reage com um grupo sulfidrila livre da albumina. O peptídeo então</w:t>
      </w:r>
      <w:r>
        <w:t xml:space="preserve"> </w:t>
      </w:r>
      <w:r>
        <w:t xml:space="preserve">“</w:t>
      </w:r>
      <w:r>
        <w:t xml:space="preserve">pega carona</w:t>
      </w:r>
      <w:r>
        <w:t xml:space="preserve">”</w:t>
      </w:r>
      <w:r>
        <w:t xml:space="preserve"> </w:t>
      </w:r>
      <w:r>
        <w:t xml:space="preserve">na albumina, que tem uma vida útil de semanas, e é liberado lentamente. Em ratos, o CJC-1295 permaneceu assim detectável no sangue por mais de 72 horas</w:t>
      </w:r>
      <w:r>
        <w:rPr>
          <w:rStyle w:val="FootnoteReference"/>
        </w:rPr>
        <w:footnoteReference w:id="1316"/>
      </w:r>
      <w:r>
        <w:t xml:space="preserve">.</w:t>
      </w:r>
    </w:p>
    <w:p>
      <w:pPr>
        <w:pStyle w:val="BodyText"/>
      </w:pPr>
      <w:r>
        <w:t xml:space="preserve">Com isso, o CJC-1295 com DAC difere fundamentalmente de todos os outros liberadores de GH: em vez de impulsos curtos, ele produz uma estimulação contínua da hipófise. Se isso é fisiologicamente favorável era uma das questões em aberto do desenvolvimento. A variante sem DAC, por outro lado, tem ação tão curta quanto a sermorelina e é frequentemente oferecida no mercado cinza combinada com liberadores de GH do grupo da grelina (por exemplo, ipamorelina) – uma prática para a qual não há estudos.</w:t>
      </w:r>
    </w:p>
    <w:bookmarkEnd w:id="1317"/>
    <w:bookmarkStart w:id="1323" w:name="estudos-em-humanos-25"/>
    <w:p>
      <w:pPr>
        <w:pStyle w:val="Heading3"/>
      </w:pPr>
      <w:r>
        <w:t xml:space="preserve">Estudos em humanos</w:t>
      </w:r>
    </w:p>
    <w:p>
      <w:pPr>
        <w:pStyle w:val="FirstParagraph"/>
      </w:pPr>
      <w:r>
        <w:rPr>
          <w:bCs/>
          <w:b/>
        </w:rPr>
        <w:t xml:space="preserve">Dimensão do conjunto de estudos (consulta de outubro de 2026):</w:t>
      </w:r>
      <w:r>
        <w:t xml:space="preserve"> </w:t>
      </w:r>
      <w:r>
        <w:t xml:space="preserve">a busca automatizada deste livro encontrou</w:t>
      </w:r>
      <w:r>
        <w:t xml:space="preserve"> </w:t>
      </w:r>
      <w:r>
        <w:rPr>
          <w:bCs/>
          <w:b/>
        </w:rPr>
        <w:t xml:space="preserve">2</w:t>
      </w:r>
      <w:r>
        <w:t xml:space="preserve"> </w:t>
      </w:r>
      <w:r>
        <w:t xml:space="preserve">estudos em humanos no PubMed (</w:t>
      </w:r>
      <w:r>
        <w:rPr>
          <w:rStyle w:val="VerbatimChar"/>
        </w:rPr>
        <w:t xml:space="preserve">humanstudien_alle</w:t>
      </w:r>
      <w:r>
        <w:t xml:space="preserve">) e</w:t>
      </w:r>
      <w:r>
        <w:t xml:space="preserve"> </w:t>
      </w:r>
      <w:r>
        <w:rPr>
          <w:bCs/>
          <w:b/>
        </w:rPr>
        <w:t xml:space="preserve">1</w:t>
      </w:r>
      <w:r>
        <w:t xml:space="preserve"> </w:t>
      </w:r>
      <w:r>
        <w:t xml:space="preserve">registro no ClinicalTrials.gov. Uma busca direcionada adicional revelou ainda uma análise posterior de amostras de sangue de um dos dois estudos. Todos os trabalhos se referem ao CJC-1295</w:t>
      </w:r>
      <w:r>
        <w:t xml:space="preserve"> </w:t>
      </w:r>
      <w:r>
        <w:rPr>
          <w:iCs/>
          <w:i/>
        </w:rPr>
        <w:t xml:space="preserve">com</w:t>
      </w:r>
      <w:r>
        <w:t xml:space="preserve"> </w:t>
      </w:r>
      <w:r>
        <w:t xml:space="preserve">DAC.</w:t>
      </w:r>
    </w:p>
    <w:p>
      <w:pPr>
        <w:pStyle w:val="BodyText"/>
      </w:pPr>
      <w:r>
        <w:rPr>
          <w:bCs/>
          <w:b/>
        </w:rPr>
        <w:t xml:space="preserve">Determinação de dose em pessoas saudáveis:</w:t>
      </w:r>
      <w:r>
        <w:t xml:space="preserve"> </w:t>
      </w:r>
      <w:r>
        <w:t xml:space="preserve">em dois estudos randomizados, controlados por placebo e duplo-cegos, com doses crescentes, adultos saudáveis entre 21 e 61 anos receberam uma única injeção ou duas a três injeções semanais ou quinzenais. Após uma única injeção, o hormônio do crescimento subiu em média para 2 a 10 vezes o valor inicial por seis dias ou mais, e o IGF-1 para 1,5 a 3 vezes por 9 a 11 dias. A meia-vida foi de 5,8 a 8,1 dias. Após várias doses, o IGF-1 permaneceu acima do valor inicial por até 28 dias. Não foram relatados efeitos colaterais graves</w:t>
      </w:r>
      <w:r>
        <w:rPr>
          <w:rStyle w:val="FootnoteReference"/>
        </w:rPr>
        <w:footnoteReference w:id="1318"/>
      </w:r>
      <w:r>
        <w:t xml:space="preserve">.</w:t>
      </w:r>
    </w:p>
    <w:p>
      <w:pPr>
        <w:pStyle w:val="BodyText"/>
      </w:pPr>
      <w:r>
        <w:rPr>
          <w:bCs/>
          <w:b/>
        </w:rPr>
        <w:t xml:space="preserve">Pulsatilidade:</w:t>
      </w:r>
      <w:r>
        <w:t xml:space="preserve"> </w:t>
      </w:r>
      <w:r>
        <w:t xml:space="preserve">um segundo estudo examinou, em homens saudáveis entre 20 e 40 anos, se o padrão natural pulsátil da secreção de GH é preservado. Uma semana após a injeção, a frequência e a amplitude dos pulsos de GH estavam inalteradas, mas o nível basal entre os pulsos estava 7,5 vezes maior; o GH médio subiu 46%, o IGF-1 45%</w:t>
      </w:r>
      <w:r>
        <w:rPr>
          <w:rStyle w:val="FootnoteReference"/>
        </w:rPr>
        <w:footnoteReference w:id="1319"/>
      </w:r>
      <w:r>
        <w:t xml:space="preserve">.</w:t>
      </w:r>
    </w:p>
    <w:p>
      <w:pPr>
        <w:pStyle w:val="BodyText"/>
      </w:pPr>
      <w:r>
        <w:rPr>
          <w:bCs/>
          <w:b/>
        </w:rPr>
        <w:t xml:space="preserve">Proteínas do sangue:</w:t>
      </w:r>
      <w:r>
        <w:t xml:space="preserve"> </w:t>
      </w:r>
      <w:r>
        <w:t xml:space="preserve">uma análise de amostras de soro de 11 homens jovens antes e uma semana após a injeção buscou novos marcadores do efeito do hormônio do crescimento e encontrou alterações em algumas proteínas do sangue</w:t>
      </w:r>
      <w:r>
        <w:rPr>
          <w:rStyle w:val="FootnoteReference"/>
        </w:rPr>
        <w:footnoteReference w:id="1320"/>
      </w:r>
      <w:r>
        <w:t xml:space="preserve">. Trata-se de pesquisa básica sem conclusão clínica.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Determinação de dose (Teichman 2006), PMID 16352683</w:t>
            </w:r>
          </w:p>
        </w:tc>
        <w:tc>
          <w:tcPr/>
          <w:p>
            <w:pPr>
              <w:pStyle w:val="Compact"/>
              <w:jc w:val="left"/>
            </w:pPr>
            <w:r>
              <w:t xml:space="preserve">adultos saudáveis de 21–61 anos, dois ECRs contra placebo, doses crescentes</w:t>
            </w:r>
          </w:p>
        </w:tc>
        <w:tc>
          <w:tcPr/>
          <w:p>
            <w:pPr>
              <w:pStyle w:val="Compact"/>
              <w:jc w:val="left"/>
            </w:pPr>
            <w:r>
              <w:t xml:space="preserve">28 ou 49 dias</w:t>
            </w:r>
          </w:p>
        </w:tc>
        <w:tc>
          <w:tcPr/>
          <w:p>
            <w:pPr>
              <w:pStyle w:val="Compact"/>
              <w:jc w:val="left"/>
            </w:pPr>
            <w:r>
              <w:t xml:space="preserve">GH 2 a 10 vezes, IGF-1 1,5 a 3 vezes maior; meia-vida 5,8–8,1 dias</w:t>
            </w:r>
          </w:p>
        </w:tc>
      </w:tr>
      <w:tr>
        <w:tc>
          <w:tcPr/>
          <w:p>
            <w:pPr>
              <w:pStyle w:val="Compact"/>
              <w:jc w:val="left"/>
            </w:pPr>
            <w:r>
              <w:t xml:space="preserve">Pulsatilidade do GH (Ionescu 2006), PMID 17018654</w:t>
            </w:r>
          </w:p>
        </w:tc>
        <w:tc>
          <w:tcPr/>
          <w:p>
            <w:pPr>
              <w:pStyle w:val="Compact"/>
              <w:jc w:val="left"/>
            </w:pPr>
            <w:r>
              <w:t xml:space="preserve">homens saudáveis de 20–40 anos, comparação antes-depois</w:t>
            </w:r>
          </w:p>
        </w:tc>
        <w:tc>
          <w:tcPr/>
          <w:p>
            <w:pPr>
              <w:pStyle w:val="Compact"/>
              <w:jc w:val="left"/>
            </w:pPr>
            <w:r>
              <w:t xml:space="preserve">1 semana após dose única</w:t>
            </w:r>
          </w:p>
        </w:tc>
        <w:tc>
          <w:tcPr/>
          <w:p>
            <w:pPr>
              <w:pStyle w:val="Compact"/>
              <w:jc w:val="left"/>
            </w:pPr>
            <w:r>
              <w:t xml:space="preserve">pulsos preservados, GH basal 7,5 vezes, IGF-1 +45%</w:t>
            </w:r>
          </w:p>
        </w:tc>
      </w:tr>
      <w:tr>
        <w:tc>
          <w:tcPr/>
          <w:p>
            <w:pPr>
              <w:pStyle w:val="Compact"/>
              <w:jc w:val="left"/>
            </w:pPr>
            <w:r>
              <w:t xml:space="preserve">Gordura abdominal no HIV, NCT00267527</w:t>
            </w:r>
          </w:p>
        </w:tc>
        <w:tc>
          <w:tcPr/>
          <w:p>
            <w:pPr>
              <w:pStyle w:val="Compact"/>
              <w:jc w:val="left"/>
            </w:pPr>
            <w:r>
              <w:t xml:space="preserve">120 pessoas previstas, fase 2, ECR</w:t>
            </w:r>
          </w:p>
        </w:tc>
        <w:tc>
          <w:tcPr/>
          <w:p>
            <w:pPr>
              <w:pStyle w:val="Compact"/>
              <w:jc w:val="left"/>
            </w:pPr>
            <w:r>
              <w:t xml:space="preserve">12 semanas previstas</w:t>
            </w:r>
          </w:p>
        </w:tc>
        <w:tc>
          <w:tcPr/>
          <w:p>
            <w:pPr>
              <w:pStyle w:val="Compact"/>
              <w:jc w:val="left"/>
            </w:pPr>
            <w:r>
              <w:t xml:space="preserve">interrompido em 2006; nenhum resultado publicado</w:t>
            </w:r>
          </w:p>
        </w:tc>
      </w:tr>
    </w:tbl>
    <w:bookmarkStart w:id="1322" w:name="X1c4a43b57fa7d48907a56f3809cb4c87bbdb9a6"/>
    <w:p>
      <w:pPr>
        <w:pStyle w:val="Heading4"/>
      </w:pPr>
      <w:r>
        <w:t xml:space="preserve">O estudo de fase 2 interrompido e a morte relatada</w:t>
      </w:r>
    </w:p>
    <w:p>
      <w:pPr>
        <w:pStyle w:val="FirstParagraph"/>
      </w:pPr>
      <w:r>
        <w:t xml:space="preserve">No final de 2005, a ConjuChem iniciou um estudo de fase 2 randomizado e controlado por placebo com duas doses de CJC-1295 em pessoas com HIV e aumento de gordura abdominal – ou seja, na mesma indicação em que mais tarde a tesamorelina foi aprovada</w:t>
      </w:r>
      <w:r>
        <w:rPr>
          <w:rStyle w:val="FootnoteReference"/>
        </w:rPr>
        <w:footnoteReference w:id="1321"/>
      </w:r>
      <w:r>
        <w:t xml:space="preserve">. O registro indica o status</w:t>
      </w:r>
      <w:r>
        <w:t xml:space="preserve"> </w:t>
      </w:r>
      <w:r>
        <w:t xml:space="preserve">“</w:t>
      </w:r>
      <w:r>
        <w:t xml:space="preserve">interrompido</w:t>
      </w:r>
      <w:r>
        <w:t xml:space="preserve">”</w:t>
      </w:r>
      <w:r>
        <w:t xml:space="preserve"> </w:t>
      </w:r>
      <w:r>
        <w:t xml:space="preserve">(última atualização em outubro de 2006), mas nenhum motivo da interrupção e nenhum resultado.</w:t>
      </w:r>
    </w:p>
    <w:p>
      <w:pPr>
        <w:pStyle w:val="BodyText"/>
      </w:pPr>
      <w:r>
        <w:t xml:space="preserve">Em fóruns online e em algumas revisões afirma-se que o estudo foi suspenso após a morte de um participante.</w:t>
      </w:r>
      <w:r>
        <w:t xml:space="preserve"> </w:t>
      </w:r>
      <w:r>
        <w:rPr>
          <w:bCs/>
          <w:b/>
        </w:rPr>
        <w:t xml:space="preserve">Essa morte não está documentada nas fontes verificadas para este livro:</w:t>
      </w:r>
      <w:r>
        <w:t xml:space="preserve"> </w:t>
      </w:r>
      <w:r>
        <w:t xml:space="preserve">nem o registro nem uma publicação no PubMed a documentam. Portanto, não é possível confirmar que ela ocorreu, nem avaliar se teve relação com a substância. Comprovado está apenas que o estudo terminou antecipadamente e que o CJC-1295 não foi mais desenvolvido depois disso.</w:t>
      </w:r>
    </w:p>
    <w:bookmarkEnd w:id="1322"/>
    <w:bookmarkEnd w:id="1323"/>
    <w:bookmarkStart w:id="1326" w:name="estudos-em-animais-e-em-laboratório-25"/>
    <w:p>
      <w:pPr>
        <w:pStyle w:val="Heading3"/>
      </w:pPr>
      <w:r>
        <w:t xml:space="preserve">Estudos em animais e em laboratório</w:t>
      </w:r>
    </w:p>
    <w:p>
      <w:pPr>
        <w:numPr>
          <w:ilvl w:val="0"/>
          <w:numId w:val="1156"/>
        </w:numPr>
        <w:pStyle w:val="Compact"/>
      </w:pPr>
      <w:r>
        <w:rPr>
          <w:bCs/>
          <w:b/>
        </w:rPr>
        <w:t xml:space="preserve">Ratos:</w:t>
      </w:r>
      <w:r>
        <w:t xml:space="preserve"> </w:t>
      </w:r>
      <w:r>
        <w:t xml:space="preserve">das três variantes de âncora de albumina testadas, o CJC-1295 liberou a maior quantidade de hormônio do crescimento – ao longo de duas horas, cerca de quatro vezes mais do que o GRF(1-29) inalterado – e permaneceu mais de 72 horas no sangue</w:t>
      </w:r>
      <w:r>
        <w:rPr>
          <w:rStyle w:val="FootnoteReference"/>
        </w:rPr>
        <w:footnoteReference w:id="1324"/>
      </w:r>
      <w:r>
        <w:t xml:space="preserve">.</w:t>
      </w:r>
    </w:p>
    <w:p>
      <w:pPr>
        <w:numPr>
          <w:ilvl w:val="0"/>
          <w:numId w:val="1156"/>
        </w:numPr>
        <w:pStyle w:val="Compact"/>
      </w:pPr>
      <w:r>
        <w:rPr>
          <w:bCs/>
          <w:b/>
        </w:rPr>
        <w:t xml:space="preserve">Camundongos:</w:t>
      </w:r>
      <w:r>
        <w:t xml:space="preserve"> </w:t>
      </w:r>
      <w:r>
        <w:t xml:space="preserve">em camundongos sem GHRH próprio, a administração diária normalizou peso e comprimento; a administração a cada 48 ou 72 horas não foi totalmente suficiente para isso. Na hipófise, o número de células produtoras de GH aumentou</w:t>
      </w:r>
      <w:r>
        <w:rPr>
          <w:rStyle w:val="FootnoteReference"/>
        </w:rPr>
        <w:footnoteReference w:id="1325"/>
      </w:r>
      <w:r>
        <w:t xml:space="preserve">. Uma multiplicação de células hipofisárias é desejável quando se pretende compensar uma deficiência – em pessoas saudáveis, seu significado a longo prazo é desconhecido.</w:t>
      </w:r>
    </w:p>
    <w:bookmarkEnd w:id="1326"/>
    <w:bookmarkStart w:id="1331" w:name="riscos-e-efeitos-colaterais-25"/>
    <w:p>
      <w:pPr>
        <w:pStyle w:val="Heading3"/>
      </w:pPr>
      <w:r>
        <w:t xml:space="preserve">Riscos e efeitos colaterais</w:t>
      </w:r>
    </w:p>
    <w:p>
      <w:pPr>
        <w:pStyle w:val="FirstParagraph"/>
      </w:pPr>
      <w:r>
        <w:rPr>
          <w:bCs/>
          <w:b/>
        </w:rPr>
        <w:t xml:space="preserve">Comprovado pelos estudos de fase 1:</w:t>
      </w:r>
      <w:r>
        <w:t xml:space="preserve"> </w:t>
      </w:r>
      <w:r>
        <w:t xml:space="preserve">nenhum efeito colateral grave em poucas pessoas saudáveis tratadas por pouco tempo; a tolerabilidade foi descrita como relativamente boa, sobretudo nas doses mais baixas</w:t>
      </w:r>
      <w:r>
        <w:rPr>
          <w:rStyle w:val="FootnoteReference"/>
        </w:rPr>
        <w:footnoteReference w:id="1327"/>
      </w:r>
      <w:r>
        <w:t xml:space="preserve">. Essa base de dados é pequena demais para identificar riscos raros ou de longo prazo.</w:t>
      </w:r>
    </w:p>
    <w:p>
      <w:pPr>
        <w:pStyle w:val="BodyText"/>
      </w:pPr>
      <w:r>
        <w:rPr>
          <w:bCs/>
          <w:b/>
        </w:rPr>
        <w:t xml:space="preserve">Plausível, mas não estudado:</w:t>
      </w:r>
      <w:r>
        <w:t xml:space="preserve"> </w:t>
      </w:r>
      <w:r>
        <w:t xml:space="preserve">a variante DAC mantém o hormônio do crescimento e o IGF-1 elevados continuamente por dias. Consequências típicas de níveis elevados de GH são retenção de líquidos, dores articulares, sintomas de túnel do carpo e piora da sensibilidade à insulina. Se um IGF-1 continuamente elevado aumenta o risco de câncer a longo prazo não foi estudado para o CJC-1295; sobre o panorama geral dos dados, veja a introdução deste grupo e a Parte IV.</w:t>
      </w:r>
    </w:p>
    <w:p>
      <w:pPr>
        <w:pStyle w:val="BodyText"/>
      </w:pPr>
      <w:r>
        <w:rPr>
          <w:bCs/>
          <w:b/>
        </w:rPr>
        <w:t xml:space="preserve">Mercado cinza:</w:t>
      </w:r>
      <w:r>
        <w:t xml:space="preserve"> </w:t>
      </w:r>
      <w:r>
        <w:t xml:space="preserve">já em 2009, um laboratório norueguês analisou, a pedido da polícia e da alfândega, um preparado desconhecido e encontrou um peptídeo de 29 aminoácidos que correspondia à sequência vendida como CJC-1295</w:t>
      </w:r>
      <w:r>
        <w:rPr>
          <w:rStyle w:val="FootnoteReference"/>
        </w:rPr>
        <w:footnoteReference w:id="1328"/>
      </w:r>
      <w:r>
        <w:t xml:space="preserve">. Amostras da alfândega dinamarquesa continham</w:t>
      </w:r>
      <w:r>
        <w:t xml:space="preserve"> </w:t>
      </w:r>
      <w:r>
        <w:t xml:space="preserve">“</w:t>
      </w:r>
      <w:r>
        <w:t xml:space="preserve">GRF 1-29 modificado</w:t>
      </w:r>
      <w:r>
        <w:t xml:space="preserve">”</w:t>
      </w:r>
      <w:r>
        <w:t xml:space="preserve"> </w:t>
      </w:r>
      <w:r>
        <w:t xml:space="preserve">e miméticos de grelina com um aminoácido glicina adicional, não declarado</w:t>
      </w:r>
      <w:r>
        <w:rPr>
          <w:rStyle w:val="FootnoteReference"/>
        </w:rPr>
        <w:footnoteReference w:id="1329"/>
      </w:r>
      <w:r>
        <w:t xml:space="preserve">. Os compradores, portanto, não têm como saber se recebem a variante com ou sem DAC, uma molécula modificada ou algo completamente diferente. Uma análise de fóruns de fisiculturismo mostra que também mulheres usam CJC-1295 para emagrecer, para a pele ou para o sono, baseando-se em relatos de experiência em vez de estudos</w:t>
      </w:r>
      <w:r>
        <w:rPr>
          <w:rStyle w:val="FootnoteReference"/>
        </w:rPr>
        <w:footnoteReference w:id="1330"/>
      </w:r>
      <w:r>
        <w:t xml:space="preserve">.</w:t>
      </w:r>
    </w:p>
    <w:bookmarkEnd w:id="1331"/>
    <w:bookmarkStart w:id="1335" w:name="situação-legal-25"/>
    <w:p>
      <w:pPr>
        <w:pStyle w:val="Heading3"/>
      </w:pPr>
      <w:r>
        <w:t xml:space="preserve">Situação legal</w:t>
      </w:r>
    </w:p>
    <w:p>
      <w:pPr>
        <w:pStyle w:val="FirstParagraph"/>
      </w:pPr>
      <w:r>
        <w:rPr>
          <w:iCs/>
          <w:i/>
        </w:rPr>
        <w:t xml:space="preserve">Situação em 2026, verificar atualização.</w:t>
      </w:r>
    </w:p>
    <w:p>
      <w:pPr>
        <w:numPr>
          <w:ilvl w:val="0"/>
          <w:numId w:val="1157"/>
        </w:numPr>
        <w:pStyle w:val="Compact"/>
      </w:pPr>
      <w:r>
        <w:rPr>
          <w:bCs/>
          <w:b/>
        </w:rPr>
        <w:t xml:space="preserve">UE, Alemanha, Áustria:</w:t>
      </w:r>
      <w:r>
        <w:t xml:space="preserve"> </w:t>
      </w:r>
      <w:r>
        <w:t xml:space="preserve">nenhuma aprovação. O CJC-1295 é um fármaco não aprovado; o fornecimento e o comércio para uso em humanos são proibidos pelas leis de medicamentos, mesmo quando os produtos são declarados como</w:t>
      </w:r>
      <w:r>
        <w:t xml:space="preserve"> </w:t>
      </w:r>
      <w:r>
        <w:t xml:space="preserve">“</w:t>
      </w:r>
      <w:r>
        <w:t xml:space="preserve">Research Peptide</w:t>
      </w:r>
      <w:r>
        <w:t xml:space="preserve">”</w:t>
      </w:r>
      <w:r>
        <w:t xml:space="preserve">.</w:t>
      </w:r>
    </w:p>
    <w:p>
      <w:pPr>
        <w:numPr>
          <w:ilvl w:val="0"/>
          <w:numId w:val="1157"/>
        </w:numPr>
        <w:pStyle w:val="Compact"/>
      </w:pPr>
      <w:r>
        <w:rPr>
          <w:bCs/>
          <w:b/>
        </w:rPr>
        <w:t xml:space="preserve">EUA:</w:t>
      </w:r>
      <w:r>
        <w:t xml:space="preserve"> </w:t>
      </w:r>
      <w:r>
        <w:t xml:space="preserve">nenhuma aprovação. A FDA classificou o CJC-1295 – como vários outros peptídeos deste livro – entre as substâncias de partida para farmácias de manipulação como substância com preocupações de segurança (categoria 2). Essas classificações foram desde então discutidas de forma controversa no comitê consultivo competente e em círculos especializados</w:t>
      </w:r>
      <w:r>
        <w:rPr>
          <w:rStyle w:val="FootnoteReference"/>
        </w:rPr>
        <w:footnoteReference w:id="1332"/>
      </w:r>
      <w:r>
        <w:t xml:space="preserve">; mudanças são possíveis.</w:t>
      </w:r>
    </w:p>
    <w:p>
      <w:pPr>
        <w:numPr>
          <w:ilvl w:val="0"/>
          <w:numId w:val="1157"/>
        </w:numPr>
        <w:pStyle w:val="Compact"/>
      </w:pPr>
      <w:r>
        <w:rPr>
          <w:bCs/>
          <w:b/>
        </w:rPr>
        <w:t xml:space="preserve">WADA:</w:t>
      </w:r>
      <w:r>
        <w:t xml:space="preserve"> </w:t>
      </w:r>
      <w:r>
        <w:t xml:space="preserve">proibido (S2). Foram descritos métodos de detecção na urina para CJC-1295 com e sem DAC</w:t>
      </w:r>
      <w:r>
        <w:rPr>
          <w:rStyle w:val="FootnoteReference"/>
        </w:rPr>
        <w:footnoteReference w:id="1333"/>
      </w:r>
      <w:r>
        <w:t xml:space="preserve">; ele também é pesquisado no hipismo</w:t>
      </w:r>
      <w:r>
        <w:rPr>
          <w:rStyle w:val="FootnoteReference"/>
        </w:rPr>
        <w:footnoteReference w:id="1334"/>
      </w:r>
      <w:r>
        <w:t xml:space="preserve">.</w:t>
      </w:r>
    </w:p>
    <w:bookmarkEnd w:id="1335"/>
    <w:bookmarkStart w:id="1336" w:name="estudos-em-andamento-e-perspectivas-25"/>
    <w:p>
      <w:pPr>
        <w:pStyle w:val="Heading3"/>
      </w:pPr>
      <w:r>
        <w:t xml:space="preserve">Estudos em andamento e perspectivas</w:t>
      </w:r>
    </w:p>
    <w:p>
      <w:pPr>
        <w:pStyle w:val="FirstParagraph"/>
      </w:pPr>
      <w:r>
        <w:t xml:space="preserve">No ClinicalTrials.gov, em outubro de 2026, além do estudo de fase 2 interrompido em 2006, não há registro sobre o CJC-1295.</w:t>
      </w:r>
      <w:r>
        <w:t xml:space="preserve"> </w:t>
      </w:r>
      <w:r>
        <w:rPr>
          <w:iCs/>
          <w:i/>
        </w:rPr>
        <w:t xml:space="preserve">Avaliação do autor:</w:t>
      </w:r>
      <w:r>
        <w:t xml:space="preserve"> </w:t>
      </w:r>
      <w:r>
        <w:t xml:space="preserve">não se vislumbra continuidade do desenvolvimento clínico. O princípio</w:t>
      </w:r>
      <w:r>
        <w:t xml:space="preserve"> </w:t>
      </w:r>
      <w:r>
        <w:t xml:space="preserve">“</w:t>
      </w:r>
      <w:r>
        <w:t xml:space="preserve">peptídeo com âncora de albumina para efeito mais prolongado</w:t>
      </w:r>
      <w:r>
        <w:t xml:space="preserve">”</w:t>
      </w:r>
      <w:r>
        <w:t xml:space="preserve">, por outro lado, sobrevive em outras substâncias, por exemplo em preparações de hormônio do crescimento de ação prolongada e em medicamentos GLP-1.</w:t>
      </w:r>
    </w:p>
    <w:bookmarkEnd w:id="1336"/>
    <w:bookmarkStart w:id="1337" w:name="conclusão-25"/>
    <w:p>
      <w:pPr>
        <w:pStyle w:val="Heading3"/>
      </w:pPr>
      <w:r>
        <w:t xml:space="preserve">Conclusão</w:t>
      </w:r>
    </w:p>
    <w:p>
      <w:pPr>
        <w:pStyle w:val="FirstParagraph"/>
      </w:pPr>
      <w:r>
        <w:t xml:space="preserve">O CJC-1295 com DAC eleva, em pessoas saudáveis, o hormônio do crescimento e o IGF-1 por uma a duas semanas após uma única injeção – mais do que isso não foi estudado em humanos. O único estudo com pacientes foi interrompido em 2006 sem motivo publicado; uma morte frequentemente alegada não está documentada no registro nem na literatura especializada. Para a variante sem DAC, a mais vendida na internet, não há um único estudo em humanos, e análises laboratoriais mostram que o conteúdo dos produtos do mercado cinza é incerto.</w:t>
      </w:r>
    </w:p>
    <w:bookmarkEnd w:id="1337"/>
    <w:bookmarkEnd w:id="1338"/>
    <w:bookmarkStart w:id="1361" w:name="ipamorelina"/>
    <w:p>
      <w:pPr>
        <w:pStyle w:val="Heading2"/>
      </w:pPr>
      <w:r>
        <w:t xml:space="preserve">Ipamorelina</w:t>
      </w:r>
    </w:p>
    <w:p>
      <w:pPr>
        <w:pStyle w:val="FirstParagraph"/>
      </w:pPr>
      <w:r>
        <w:t xml:space="preserve">Nos círculos de fitness e anti-aging, a ipamorelina é considerada o liberador</w:t>
      </w:r>
      <w:r>
        <w:t xml:space="preserve"> </w:t>
      </w:r>
      <w:r>
        <w:t xml:space="preserve">“</w:t>
      </w:r>
      <w:r>
        <w:t xml:space="preserve">limpo</w:t>
      </w:r>
      <w:r>
        <w:t xml:space="preserve">”</w:t>
      </w:r>
      <w:r>
        <w:t xml:space="preserve"> </w:t>
      </w:r>
      <w:r>
        <w:t xml:space="preserve">de hormônio do crescimento: ela liberaria de forma seletiva hormônio do crescimento, sem estimular hormônios do estresse e apetite. Essa característica vem de experimentos com animais dos anos 1990. Em humanos, a ipamorelina foi de fato testada clinicamente – porém não para ganho muscular ou rejuvenescimento, mas para algo completamente diferente: a paralisia intestinal após cirurgias abdominais. Ali ela não trouxe benefício comprovável.</w:t>
      </w:r>
    </w:p>
    <w:bookmarkStart w:id="1340" w:name="ficha-técnica-26"/>
    <w:p>
      <w:pPr>
        <w:pStyle w:val="Heading3"/>
      </w:pPr>
      <w:r>
        <w:t xml:space="preserve">Ficha técnica</w:t>
      </w:r>
    </w:p>
    <w:p>
      <w:pPr>
        <w:numPr>
          <w:ilvl w:val="0"/>
          <w:numId w:val="1158"/>
        </w:numPr>
        <w:pStyle w:val="Compact"/>
      </w:pPr>
      <w:r>
        <w:rPr>
          <w:bCs/>
          <w:b/>
        </w:rPr>
        <w:t xml:space="preserve">Tipo e estrutura:</w:t>
      </w:r>
      <w:r>
        <w:t xml:space="preserve"> </w:t>
      </w:r>
      <w:r>
        <w:t xml:space="preserve">pentapeptídeo sintético (5 aminoácidos, em parte não naturais: Aib-His-D-2-Nal-D-Phe-Lys-NH2)</w:t>
      </w:r>
      <w:r>
        <w:rPr>
          <w:rStyle w:val="FootnoteReference"/>
        </w:rPr>
        <w:footnoteReference w:id="1339"/>
      </w:r>
      <w:r>
        <w:t xml:space="preserve">.</w:t>
      </w:r>
    </w:p>
    <w:p>
      <w:pPr>
        <w:numPr>
          <w:ilvl w:val="0"/>
          <w:numId w:val="1158"/>
        </w:numPr>
        <w:pStyle w:val="Compact"/>
      </w:pPr>
      <w:r>
        <w:rPr>
          <w:bCs/>
          <w:b/>
        </w:rPr>
        <w:t xml:space="preserve">Origem:</w:t>
      </w:r>
      <w:r>
        <w:t xml:space="preserve"> </w:t>
      </w:r>
      <w:r>
        <w:t xml:space="preserve">desenvolvida pela Novo Nordisk (Dinamarca) a partir da família dos peptídeos liberadores de hormônio do crescimento (GHRP); mais tarde desenvolvida pela Helsinn para a área gastrointestinal.</w:t>
      </w:r>
    </w:p>
    <w:p>
      <w:pPr>
        <w:numPr>
          <w:ilvl w:val="0"/>
          <w:numId w:val="1158"/>
        </w:numPr>
        <w:pStyle w:val="Compact"/>
      </w:pPr>
      <w:r>
        <w:rPr>
          <w:bCs/>
          <w:b/>
        </w:rPr>
        <w:t xml:space="preserve">Princípio de ação:</w:t>
      </w:r>
      <w:r>
        <w:t xml:space="preserve"> </w:t>
      </w:r>
      <w:r>
        <w:t xml:space="preserve">liga-se ao receptor de grelina (GHS-R1a) na hipófise e no diencéfalo, bem como no trato gastrointestinal; desencadeia um pulso curto de hormônio do crescimento e estimularia o movimento intestinal.</w:t>
      </w:r>
    </w:p>
    <w:p>
      <w:pPr>
        <w:numPr>
          <w:ilvl w:val="0"/>
          <w:numId w:val="1158"/>
        </w:numPr>
        <w:pStyle w:val="Compact"/>
      </w:pPr>
      <w:r>
        <w:rPr>
          <w:bCs/>
          <w:b/>
        </w:rPr>
        <w:t xml:space="preserve">Aprovação UE:</w:t>
      </w:r>
      <w:r>
        <w:t xml:space="preserve"> </w:t>
      </w:r>
      <w:r>
        <w:t xml:space="preserve">não.</w:t>
      </w:r>
      <w:r>
        <w:t xml:space="preserve"> </w:t>
      </w:r>
      <w:r>
        <w:rPr>
          <w:bCs/>
          <w:b/>
        </w:rPr>
        <w:t xml:space="preserve">Aprovação EUA:</w:t>
      </w:r>
      <w:r>
        <w:t xml:space="preserve"> </w:t>
      </w:r>
      <w:r>
        <w:t xml:space="preserve">não.</w:t>
      </w:r>
    </w:p>
    <w:p>
      <w:pPr>
        <w:numPr>
          <w:ilvl w:val="0"/>
          <w:numId w:val="1158"/>
        </w:numPr>
        <w:pStyle w:val="Compact"/>
      </w:pPr>
      <w:r>
        <w:rPr>
          <w:bCs/>
          <w:b/>
        </w:rPr>
        <w:t xml:space="preserve">WADA:</w:t>
      </w:r>
      <w:r>
        <w:t xml:space="preserve"> </w:t>
      </w:r>
      <w:r>
        <w:t xml:space="preserve">proibida, grupo S2 (secretagogos do hormônio do crescimento; a ipamorelina é expressamente citada).</w:t>
      </w:r>
    </w:p>
    <w:p>
      <w:pPr>
        <w:numPr>
          <w:ilvl w:val="0"/>
          <w:numId w:val="1158"/>
        </w:numPr>
        <w:pStyle w:val="Compact"/>
      </w:pPr>
      <w:r>
        <w:rPr>
          <w:bCs/>
          <w:b/>
        </w:rPr>
        <w:t xml:space="preserve">Nível de evidência: B</w:t>
      </w:r>
      <w:r>
        <w:t xml:space="preserve"> </w:t>
      </w:r>
      <w:r>
        <w:t xml:space="preserve">– um estudo randomizado de fase 2 com 117 pessoas (sem comprovação de eficácia) e um pequeno estudo farmacológico em pessoas saudáveis; um segundo estudo de fase 2 foi concluído, mas não publicado.</w:t>
      </w:r>
    </w:p>
    <w:bookmarkEnd w:id="1340"/>
    <w:bookmarkStart w:id="1343" w:name="como-deveria-agir-26"/>
    <w:p>
      <w:pPr>
        <w:pStyle w:val="Heading3"/>
      </w:pPr>
      <w:r>
        <w:t xml:space="preserve">Como deveria agir</w:t>
      </w:r>
    </w:p>
    <w:p>
      <w:pPr>
        <w:pStyle w:val="FirstParagraph"/>
      </w:pPr>
      <w:r>
        <w:t xml:space="preserve">O receptor de grelina é, ao lado do receptor de GHRH, o segundo grande mecanismo de controle da secreção de hormônio do crescimento. Sua chave natural é a grelina, um hormônio do estômago descoberto em 1999</w:t>
      </w:r>
      <w:r>
        <w:rPr>
          <w:rStyle w:val="FootnoteReference"/>
        </w:rPr>
        <w:footnoteReference w:id="1341"/>
      </w:r>
      <w:r>
        <w:t xml:space="preserve">. A grelina aumenta não apenas o hormônio do crescimento, mas também a fome, e estimula os movimentos do estômago e do intestino.</w:t>
      </w:r>
    </w:p>
    <w:p>
      <w:pPr>
        <w:pStyle w:val="BodyText"/>
      </w:pPr>
      <w:r>
        <w:t xml:space="preserve">Liberadores sintéticos mais antigos, como o GHRP-6 ou o GHRP-2, liberam além do hormônio do crescimento também o sistema dos hormônios do estresse (ACTH e cortisol) e a prolactina. A ipamorelina foi desenvolvida especificamente para não ter esse efeito secundário: em porcos, liberou hormônio do crescimento com intensidade semelhante à do GHRP-6, enquanto ACTH e cortisol, mesmo com doses mais de 200 vezes maiores, não subiram mais do que com GHRH</w:t>
      </w:r>
      <w:r>
        <w:rPr>
          <w:rStyle w:val="FootnoteReference"/>
        </w:rPr>
        <w:footnoteReference w:id="1342"/>
      </w:r>
      <w:r>
        <w:t xml:space="preserve">. Se essa seletividade vale na mesma medida em humanos não foi estudado sistematicamente.</w:t>
      </w:r>
    </w:p>
    <w:p>
      <w:pPr>
        <w:pStyle w:val="BodyText"/>
      </w:pPr>
      <w:r>
        <w:t xml:space="preserve">Para a clínica, o interesse estava sobretudo no efeito intestinal: após cirurgias abdominais, a atividade intestinal muitas vezes para por dias (íleo pós-operatório), o que prolonga a internação hospitalar. Um mimético de grelina que pudesse ser administrado por via intravenosa parecia uma solução elegante.</w:t>
      </w:r>
    </w:p>
    <w:bookmarkEnd w:id="1343"/>
    <w:bookmarkStart w:id="1348" w:name="estudos-em-humanos-26"/>
    <w:p>
      <w:pPr>
        <w:pStyle w:val="Heading3"/>
      </w:pPr>
      <w:r>
        <w:t xml:space="preserve">Estudos em humanos</w:t>
      </w:r>
    </w:p>
    <w:p>
      <w:pPr>
        <w:pStyle w:val="FirstParagraph"/>
      </w:pPr>
      <w:r>
        <w:rPr>
          <w:bCs/>
          <w:b/>
        </w:rPr>
        <w:t xml:space="preserve">Dimensão do conjunto de estudos (consulta de outubro de 2026):</w:t>
      </w:r>
      <w:r>
        <w:t xml:space="preserve"> </w:t>
      </w:r>
      <w:r>
        <w:t xml:space="preserve">a busca automatizada deste livro encontrou</w:t>
      </w:r>
      <w:r>
        <w:t xml:space="preserve"> </w:t>
      </w:r>
      <w:r>
        <w:rPr>
          <w:bCs/>
          <w:b/>
        </w:rPr>
        <w:t xml:space="preserve">2</w:t>
      </w:r>
      <w:r>
        <w:t xml:space="preserve"> </w:t>
      </w:r>
      <w:r>
        <w:t xml:space="preserve">estudos em humanos no PubMed (</w:t>
      </w:r>
      <w:r>
        <w:rPr>
          <w:rStyle w:val="VerbatimChar"/>
        </w:rPr>
        <w:t xml:space="preserve">humanstudien_alle</w:t>
      </w:r>
      <w:r>
        <w:t xml:space="preserve">) e</w:t>
      </w:r>
      <w:r>
        <w:t xml:space="preserve"> </w:t>
      </w:r>
      <w:r>
        <w:rPr>
          <w:bCs/>
          <w:b/>
        </w:rPr>
        <w:t xml:space="preserve">3</w:t>
      </w:r>
      <w:r>
        <w:t xml:space="preserve"> </w:t>
      </w:r>
      <w:r>
        <w:t xml:space="preserve">registros no ClinicalTrials.gov. Um desses registros</w:t>
      </w:r>
      <w:r>
        <w:rPr>
          <w:rStyle w:val="FootnoteReference"/>
        </w:rPr>
        <w:footnoteReference w:id="1344"/>
      </w:r>
      <w:r>
        <w:t xml:space="preserve"> </w:t>
      </w:r>
      <w:r>
        <w:t xml:space="preserve">se refere a um estudo observacional sobre psicodélicos em veteranos e não examina a ipamorelina como medicamento em teste; ela é apenas listada ali como um de vários componentes de uma</w:t>
      </w:r>
      <w:r>
        <w:t xml:space="preserve"> </w:t>
      </w:r>
      <w:r>
        <w:t xml:space="preserve">“</w:t>
      </w:r>
      <w:r>
        <w:t xml:space="preserve">suplementação fisiológica</w:t>
      </w:r>
      <w:r>
        <w:t xml:space="preserve">”</w:t>
      </w:r>
      <w:r>
        <w:t xml:space="preserve"> </w:t>
      </w:r>
      <w:r>
        <w:t xml:space="preserve">(ao lado de testosterona, óleo de peixe e vitaminas). Clinicamente relevantes são, portanto, dois estudos sobre o íleo pós-operatório.</w:t>
      </w:r>
    </w:p>
    <w:p>
      <w:pPr>
        <w:pStyle w:val="BodyText"/>
      </w:pPr>
      <w:r>
        <w:rPr>
          <w:bCs/>
          <w:b/>
        </w:rPr>
        <w:t xml:space="preserve">Farmacologia em pessoas saudáveis:</w:t>
      </w:r>
      <w:r>
        <w:t xml:space="preserve"> </w:t>
      </w:r>
      <w:r>
        <w:t xml:space="preserve">em um estudo com doses crescentes, oito homens saudáveis por nível de dose receberam uma infusão de 15 minutos. A ipamorelina teve uma meia-vida curta de cerca de 2 horas e desencadeou em todas as doses um único pulso de GH, que atingiu o pico após cerca de 40 minutos e depois caiu rapidamente</w:t>
      </w:r>
      <w:r>
        <w:rPr>
          <w:rStyle w:val="FootnoteReference"/>
        </w:rPr>
        <w:footnoteReference w:id="1345"/>
      </w:r>
      <w:r>
        <w:t xml:space="preserve">.</w:t>
      </w:r>
    </w:p>
    <w:p>
      <w:pPr>
        <w:pStyle w:val="BodyText"/>
      </w:pPr>
      <w:r>
        <w:rPr>
          <w:bCs/>
          <w:b/>
        </w:rPr>
        <w:t xml:space="preserve">Íleo pós-operatório, primeiro estudo de fase 2:</w:t>
      </w:r>
      <w:r>
        <w:t xml:space="preserve"> </w:t>
      </w:r>
      <w:r>
        <w:t xml:space="preserve">em um estudo multicêntrico, duplo-cego e controlado por placebo, 117 adultos receberam, após ressecção de intestino delgado ou grosso, ipamorelina ou placebo em infusão duas vezes ao dia por até sete dias. O tempo médio até a primeira refeição sólida tolerada foi de 25,3 horas com ipamorelina e 32,6 horas com placebo – uma diferença que não foi estatisticamente significativa (p = 0,15). Os demais desfechos de eficácia também não diferiram. Efeitos colaterais ocorreram em 87,5% com ipamorelina e 94,8% com placebo, o que não é incomum após grandes cirurgias abdominais</w:t>
      </w:r>
      <w:r>
        <w:rPr>
          <w:rStyle w:val="FootnoteReference"/>
        </w:rPr>
        <w:footnoteReference w:id="1346"/>
      </w:r>
      <w:r>
        <w:t xml:space="preserve">.</w:t>
      </w:r>
    </w:p>
    <w:p>
      <w:pPr>
        <w:pStyle w:val="BodyText"/>
      </w:pPr>
      <w:r>
        <w:rPr>
          <w:bCs/>
          <w:b/>
        </w:rPr>
        <w:t xml:space="preserve">Segundo estudo de fase 2:</w:t>
      </w:r>
      <w:r>
        <w:t xml:space="preserve"> </w:t>
      </w:r>
      <w:r>
        <w:t xml:space="preserve">um estudo subsequente maior, com 320 participantes, sobre a recuperação da função gastrointestinal foi concluído em 2014</w:t>
      </w:r>
      <w:r>
        <w:rPr>
          <w:rStyle w:val="FootnoteReference"/>
        </w:rPr>
        <w:footnoteReference w:id="1347"/>
      </w:r>
      <w:r>
        <w:t xml:space="preserve">. Não encontrei no PubMed uma publicação dos resultados, e o registro não contém resultados. Depois disso, o desenvolvimento não continuou.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Farmacologia (Gobburu 1999), PMID 10496658</w:t>
            </w:r>
          </w:p>
        </w:tc>
        <w:tc>
          <w:tcPr/>
          <w:p>
            <w:pPr>
              <w:pStyle w:val="Compact"/>
              <w:jc w:val="left"/>
            </w:pPr>
            <w:r>
              <w:t xml:space="preserve">homens saudáveis, 5 níveis de dose com 8 pessoas cada</w:t>
            </w:r>
          </w:p>
        </w:tc>
        <w:tc>
          <w:tcPr/>
          <w:p>
            <w:pPr>
              <w:pStyle w:val="Compact"/>
              <w:jc w:val="left"/>
            </w:pPr>
            <w:r>
              <w:t xml:space="preserve">infusão única</w:t>
            </w:r>
          </w:p>
        </w:tc>
        <w:tc>
          <w:tcPr/>
          <w:p>
            <w:pPr>
              <w:pStyle w:val="Compact"/>
              <w:jc w:val="left"/>
            </w:pPr>
            <w:r>
              <w:t xml:space="preserve">meia-vida de cerca de 2 h; um pulso de GH por administração</w:t>
            </w:r>
          </w:p>
        </w:tc>
      </w:tr>
      <w:tr>
        <w:tc>
          <w:tcPr/>
          <w:p>
            <w:pPr>
              <w:pStyle w:val="Compact"/>
              <w:jc w:val="left"/>
            </w:pPr>
            <w:r>
              <w:t xml:space="preserve">Estudo de íleo 1 (Beck 2014), PMID 25331030</w:t>
            </w:r>
          </w:p>
        </w:tc>
        <w:tc>
          <w:tcPr/>
          <w:p>
            <w:pPr>
              <w:pStyle w:val="Compact"/>
              <w:jc w:val="left"/>
            </w:pPr>
            <w:r>
              <w:t xml:space="preserve">117 adultos após ressecção intestinal, ECR contra placebo</w:t>
            </w:r>
          </w:p>
        </w:tc>
        <w:tc>
          <w:tcPr/>
          <w:p>
            <w:pPr>
              <w:pStyle w:val="Compact"/>
              <w:jc w:val="left"/>
            </w:pPr>
            <w:r>
              <w:t xml:space="preserve">até 7 dias</w:t>
            </w:r>
          </w:p>
        </w:tc>
        <w:tc>
          <w:tcPr/>
          <w:p>
            <w:pPr>
              <w:pStyle w:val="Compact"/>
              <w:jc w:val="left"/>
            </w:pPr>
            <w:r>
              <w:t xml:space="preserve">25,3 vs. 32,6 h até a primeira refeição, não significativo</w:t>
            </w:r>
          </w:p>
        </w:tc>
      </w:tr>
      <w:tr>
        <w:tc>
          <w:tcPr/>
          <w:p>
            <w:pPr>
              <w:pStyle w:val="Compact"/>
              <w:jc w:val="left"/>
            </w:pPr>
            <w:r>
              <w:t xml:space="preserve">Estudo de íleo 2, NCT01280344</w:t>
            </w:r>
          </w:p>
        </w:tc>
        <w:tc>
          <w:tcPr/>
          <w:p>
            <w:pPr>
              <w:pStyle w:val="Compact"/>
              <w:jc w:val="left"/>
            </w:pPr>
            <w:r>
              <w:t xml:space="preserve">320 adultos, fase 2 contra placebo</w:t>
            </w:r>
          </w:p>
        </w:tc>
        <w:tc>
          <w:tcPr/>
          <w:p>
            <w:pPr>
              <w:pStyle w:val="Compact"/>
              <w:jc w:val="left"/>
            </w:pPr>
            <w:r>
              <w:t xml:space="preserve">–</w:t>
            </w:r>
          </w:p>
        </w:tc>
        <w:tc>
          <w:tcPr/>
          <w:p>
            <w:pPr>
              <w:pStyle w:val="Compact"/>
              <w:jc w:val="left"/>
            </w:pPr>
            <w:r>
              <w:t xml:space="preserve">concluído em 2014, resultados não publicados</w:t>
            </w:r>
          </w:p>
        </w:tc>
      </w:tr>
    </w:tbl>
    <w:p>
      <w:pPr>
        <w:pStyle w:val="BodyText"/>
      </w:pPr>
      <w:r>
        <w:rPr>
          <w:bCs/>
          <w:b/>
        </w:rPr>
        <w:t xml:space="preserve">Não</w:t>
      </w:r>
      <w:r>
        <w:t xml:space="preserve"> </w:t>
      </w:r>
      <w:r>
        <w:t xml:space="preserve">há estudo publicado que tenha examinado a ipamorelina em adultos saudáveis, atletas ou pessoas idosas quanto a massa muscular, perda de gordura, sono, pele ou desempenho.</w:t>
      </w:r>
    </w:p>
    <w:bookmarkEnd w:id="1348"/>
    <w:bookmarkStart w:id="1352" w:name="estudos-em-animais-e-em-laboratório-26"/>
    <w:p>
      <w:pPr>
        <w:pStyle w:val="Heading3"/>
      </w:pPr>
      <w:r>
        <w:t xml:space="preserve">Estudos em animais e em laboratório</w:t>
      </w:r>
    </w:p>
    <w:p>
      <w:pPr>
        <w:numPr>
          <w:ilvl w:val="0"/>
          <w:numId w:val="1159"/>
        </w:numPr>
        <w:pStyle w:val="Compact"/>
      </w:pPr>
      <w:r>
        <w:rPr>
          <w:bCs/>
          <w:b/>
        </w:rPr>
        <w:t xml:space="preserve">Intestino (ratos):</w:t>
      </w:r>
      <w:r>
        <w:t xml:space="preserve"> </w:t>
      </w:r>
      <w:r>
        <w:t xml:space="preserve">em ratos com paralisia intestinal induzida cirurgicamente, uma dose única de ipamorelina encurtou o tempo até a primeira evacuação; doses repetidas aumentaram a quantidade de fezes, a ingestão de alimento e o ganho de peso</w:t>
      </w:r>
      <w:r>
        <w:rPr>
          <w:rStyle w:val="FootnoteReference"/>
        </w:rPr>
        <w:footnoteReference w:id="1349"/>
      </w:r>
      <w:r>
        <w:t xml:space="preserve">. Esses resultados foram a base dos estudos de íleo em humanos – que não confirmaram o efeito.</w:t>
      </w:r>
    </w:p>
    <w:p>
      <w:pPr>
        <w:numPr>
          <w:ilvl w:val="0"/>
          <w:numId w:val="1159"/>
        </w:numPr>
        <w:pStyle w:val="Compact"/>
      </w:pPr>
      <w:r>
        <w:rPr>
          <w:bCs/>
          <w:b/>
        </w:rPr>
        <w:t xml:space="preserve">Ossos (ratos):</w:t>
      </w:r>
      <w:r>
        <w:t xml:space="preserve"> </w:t>
      </w:r>
      <w:r>
        <w:t xml:space="preserve">em ratas adultas, a ipamorelina aumentou ao longo de 15 dias, de forma dependente da dose, o crescimento longitudinal dos ossos e o ganho de peso, sem elevar de forma mensurável o IGF-1</w:t>
      </w:r>
      <w:r>
        <w:rPr>
          <w:rStyle w:val="FootnoteReference"/>
        </w:rPr>
        <w:footnoteReference w:id="1350"/>
      </w:r>
      <w:r>
        <w:t xml:space="preserve">.</w:t>
      </w:r>
    </w:p>
    <w:p>
      <w:pPr>
        <w:numPr>
          <w:ilvl w:val="0"/>
          <w:numId w:val="1159"/>
        </w:numPr>
        <w:pStyle w:val="Compact"/>
      </w:pPr>
      <w:r>
        <w:rPr>
          <w:bCs/>
          <w:b/>
        </w:rPr>
        <w:t xml:space="preserve">Seletividade (porcos, células de rato):</w:t>
      </w:r>
      <w:r>
        <w:t xml:space="preserve"> </w:t>
      </w:r>
      <w:r>
        <w:t xml:space="preserve">veja acima</w:t>
      </w:r>
      <w:r>
        <w:rPr>
          <w:rStyle w:val="FootnoteReference"/>
        </w:rPr>
        <w:footnoteReference w:id="1351"/>
      </w:r>
      <w:r>
        <w:t xml:space="preserve">.</w:t>
      </w:r>
    </w:p>
    <w:bookmarkEnd w:id="1352"/>
    <w:bookmarkStart w:id="1355" w:name="riscos-e-efeitos-colaterais-26"/>
    <w:p>
      <w:pPr>
        <w:pStyle w:val="Heading3"/>
      </w:pPr>
      <w:r>
        <w:t xml:space="preserve">Riscos e efeitos colaterais</w:t>
      </w:r>
    </w:p>
    <w:p>
      <w:pPr>
        <w:pStyle w:val="FirstParagraph"/>
      </w:pPr>
      <w:r>
        <w:rPr>
          <w:bCs/>
          <w:b/>
        </w:rPr>
        <w:t xml:space="preserve">Comprovado:</w:t>
      </w:r>
      <w:r>
        <w:t xml:space="preserve"> </w:t>
      </w:r>
      <w:r>
        <w:t xml:space="preserve">no estudo de íleo, a ipamorelina foi descrita como bem tolerada por até sete dias, sem acúmulo de efeitos colaterais em relação ao placebo</w:t>
      </w:r>
      <w:r>
        <w:rPr>
          <w:rStyle w:val="FootnoteReference"/>
        </w:rPr>
        <w:footnoteReference w:id="1353"/>
      </w:r>
      <w:r>
        <w:t xml:space="preserve">. Trata-se de um uso curto, em ambiente hospitalar, com administração intravenosa.</w:t>
      </w:r>
    </w:p>
    <w:p>
      <w:pPr>
        <w:pStyle w:val="BodyText"/>
      </w:pPr>
      <w:r>
        <w:rPr>
          <w:bCs/>
          <w:b/>
        </w:rPr>
        <w:t xml:space="preserve">Desconhecido:</w:t>
      </w:r>
      <w:r>
        <w:t xml:space="preserve"> </w:t>
      </w:r>
      <w:r>
        <w:t xml:space="preserve">não há dados sobre o uso repetido ao longo de semanas ou meses, como descrito na internet. Teoricamente, seriam de esperar os efeitos de níveis elevados de GH (retenção de líquidos, queixas articulares, redução da sensibilidade à insulina), bem como, via receptor de grelina, aumento do apetite. Sobre a questão de um risco de câncer por IGF-1 continuamente elevado, veja a introdução deste grupo e a Parte IV.</w:t>
      </w:r>
    </w:p>
    <w:p>
      <w:pPr>
        <w:pStyle w:val="BodyText"/>
      </w:pPr>
      <w:r>
        <w:rPr>
          <w:bCs/>
          <w:b/>
        </w:rPr>
        <w:t xml:space="preserve">Mercado cinza:</w:t>
      </w:r>
      <w:r>
        <w:t xml:space="preserve"> </w:t>
      </w:r>
      <w:r>
        <w:t xml:space="preserve">análises laboratoriais de produtos apreendidos encontraram</w:t>
      </w:r>
      <w:r>
        <w:t xml:space="preserve"> </w:t>
      </w:r>
      <w:r>
        <w:t xml:space="preserve">“</w:t>
      </w:r>
      <w:r>
        <w:t xml:space="preserve">Gly-ipamorelina</w:t>
      </w:r>
      <w:r>
        <w:t xml:space="preserve">”</w:t>
      </w:r>
      <w:r>
        <w:t xml:space="preserve">, ou seja, ipamorelina com um aminoácido adicional, não declarado, no início – provavelmente para burlar testes antidoping</w:t>
      </w:r>
      <w:r>
        <w:rPr>
          <w:rStyle w:val="FootnoteReference"/>
        </w:rPr>
        <w:footnoteReference w:id="1354"/>
      </w:r>
      <w:r>
        <w:t xml:space="preserve">. Como tais modificações se comportam no organismo é desconhecido.</w:t>
      </w:r>
    </w:p>
    <w:bookmarkEnd w:id="1355"/>
    <w:bookmarkStart w:id="1358" w:name="situação-legal-26"/>
    <w:p>
      <w:pPr>
        <w:pStyle w:val="Heading3"/>
      </w:pPr>
      <w:r>
        <w:t xml:space="preserve">Situação legal</w:t>
      </w:r>
    </w:p>
    <w:p>
      <w:pPr>
        <w:pStyle w:val="FirstParagraph"/>
      </w:pPr>
      <w:r>
        <w:rPr>
          <w:iCs/>
          <w:i/>
        </w:rPr>
        <w:t xml:space="preserve">Situação em 2026, verificar atualização.</w:t>
      </w:r>
    </w:p>
    <w:p>
      <w:pPr>
        <w:numPr>
          <w:ilvl w:val="0"/>
          <w:numId w:val="1160"/>
        </w:numPr>
        <w:pStyle w:val="Compact"/>
      </w:pPr>
      <w:r>
        <w:rPr>
          <w:bCs/>
          <w:b/>
        </w:rPr>
        <w:t xml:space="preserve">UE, Alemanha, Áustria:</w:t>
      </w:r>
      <w:r>
        <w:t xml:space="preserve"> </w:t>
      </w:r>
      <w:r>
        <w:t xml:space="preserve">nenhuma aprovação; fornecimento para uso em humanos proibido.</w:t>
      </w:r>
    </w:p>
    <w:p>
      <w:pPr>
        <w:numPr>
          <w:ilvl w:val="0"/>
          <w:numId w:val="1160"/>
        </w:numPr>
        <w:pStyle w:val="Compact"/>
      </w:pPr>
      <w:r>
        <w:rPr>
          <w:bCs/>
          <w:b/>
        </w:rPr>
        <w:t xml:space="preserve">EUA:</w:t>
      </w:r>
      <w:r>
        <w:t xml:space="preserve"> </w:t>
      </w:r>
      <w:r>
        <w:t xml:space="preserve">nenhuma aprovação. A FDA classificou a ipamorelina entre as substâncias de partida para farmácias de manipulação como substância com preocupações de segurança (categoria 2); a classificação de peptídeos é desde então discutida de forma controversa</w:t>
      </w:r>
      <w:r>
        <w:rPr>
          <w:rStyle w:val="FootnoteReference"/>
        </w:rPr>
        <w:footnoteReference w:id="1356"/>
      </w:r>
      <w:r>
        <w:t xml:space="preserve">.</w:t>
      </w:r>
    </w:p>
    <w:p>
      <w:pPr>
        <w:numPr>
          <w:ilvl w:val="0"/>
          <w:numId w:val="1160"/>
        </w:numPr>
        <w:pStyle w:val="Compact"/>
      </w:pPr>
      <w:r>
        <w:rPr>
          <w:bCs/>
          <w:b/>
        </w:rPr>
        <w:t xml:space="preserve">WADA:</w:t>
      </w:r>
      <w:r>
        <w:t xml:space="preserve"> </w:t>
      </w:r>
      <w:r>
        <w:t xml:space="preserve">proibida (S2), em competição e fora dela. A ipamorelina e seus produtos de degradação podem ser detectados na urina, também após uso como spray nasal</w:t>
      </w:r>
      <w:r>
        <w:rPr>
          <w:rStyle w:val="FootnoteReference"/>
        </w:rPr>
        <w:footnoteReference w:id="1357"/>
      </w:r>
      <w:r>
        <w:t xml:space="preserve">.</w:t>
      </w:r>
    </w:p>
    <w:bookmarkEnd w:id="1358"/>
    <w:bookmarkStart w:id="1359" w:name="estudos-em-andamento-e-perspectivas-26"/>
    <w:p>
      <w:pPr>
        <w:pStyle w:val="Heading3"/>
      </w:pPr>
      <w:r>
        <w:t xml:space="preserve">Estudos em andamento e perspectivas</w:t>
      </w:r>
    </w:p>
    <w:p>
      <w:pPr>
        <w:pStyle w:val="FirstParagraph"/>
      </w:pPr>
      <w:r>
        <w:t xml:space="preserve">No ClinicalTrials.gov, em outubro de 2026, não há registro de estudo em andamento que examine a ipamorelina como medicamento em teste.</w:t>
      </w:r>
      <w:r>
        <w:t xml:space="preserve"> </w:t>
      </w:r>
      <w:r>
        <w:rPr>
          <w:iCs/>
          <w:i/>
        </w:rPr>
        <w:t xml:space="preserve">Avaliação do autor:</w:t>
      </w:r>
      <w:r>
        <w:t xml:space="preserve"> </w:t>
      </w:r>
      <w:r>
        <w:t xml:space="preserve">após o resultado negativo no íleo pós-operatório, falta uma empresa que continue o desenvolvimento da substância. Novos dados são mais prováveis a partir de relatos de caso sobre usos do mercado cinza.</w:t>
      </w:r>
    </w:p>
    <w:bookmarkEnd w:id="1359"/>
    <w:bookmarkStart w:id="1360" w:name="conclusão-26"/>
    <w:p>
      <w:pPr>
        <w:pStyle w:val="Heading3"/>
      </w:pPr>
      <w:r>
        <w:t xml:space="preserve">Conclusão</w:t>
      </w:r>
    </w:p>
    <w:p>
      <w:pPr>
        <w:pStyle w:val="FirstParagraph"/>
      </w:pPr>
      <w:r>
        <w:t xml:space="preserve">A ipamorelina é um agonista do receptor de grelina desenvolvido de forma direcionada, que em animais libera hormônio do crescimento sem secreção relevante de hormônios do estresse. O único estudo de eficácia publicado em humanos – 117 pacientes após cirurgias intestinais – não encontrou benefício significativo; um estudo subsequente maior permaneceu sem publicação. Para os usos anunciados na internet (ganho muscular, perda de gordura, sono, anti-aging) não há estudos em humanos, e produtos do mercado cinza comprovadamente contêm também moléculas modificadas.</w:t>
      </w:r>
    </w:p>
    <w:bookmarkEnd w:id="1360"/>
    <w:bookmarkEnd w:id="1361"/>
    <w:bookmarkStart w:id="1394" w:name="ghrp-2-pralmorelina"/>
    <w:p>
      <w:pPr>
        <w:pStyle w:val="Heading2"/>
      </w:pPr>
      <w:r>
        <w:t xml:space="preserve">GHRP-2 (pralmorelina)</w:t>
      </w:r>
    </w:p>
    <w:p>
      <w:pPr>
        <w:pStyle w:val="FirstParagraph"/>
      </w:pPr>
      <w:r>
        <w:t xml:space="preserve">O GHRP-2 é um pequeno peptídeo artificial de seis aminoácidos que estimula a hipófise a secretar hormônio do crescimento com mais força do que quase qualquer outro estímulo conhecido. Essa potência fez dele, no Japão, um medicamento aprovado – não como terapia, mas como substância de teste: com uma única injeção é possível verificar se um adulto tem deficiência de hormônio do crescimento. No mercado cinza, o mesmo peptídeo é vendido como</w:t>
      </w:r>
      <w:r>
        <w:t xml:space="preserve"> </w:t>
      </w:r>
      <w:r>
        <w:t xml:space="preserve">“</w:t>
      </w:r>
      <w:r>
        <w:t xml:space="preserve">peptídeo para músculos e anti-aging</w:t>
      </w:r>
      <w:r>
        <w:t xml:space="preserve">”</w:t>
      </w:r>
      <w:r>
        <w:t xml:space="preserve">. Para isso não há evidências.</w:t>
      </w:r>
    </w:p>
    <w:bookmarkStart w:id="1364" w:name="ficha-técnica-27"/>
    <w:p>
      <w:pPr>
        <w:pStyle w:val="Heading3"/>
      </w:pPr>
      <w:r>
        <w:t xml:space="preserve">Ficha técnica</w:t>
      </w:r>
    </w:p>
    <w:p>
      <w:pPr>
        <w:numPr>
          <w:ilvl w:val="0"/>
          <w:numId w:val="1161"/>
        </w:numPr>
        <w:pStyle w:val="Compact"/>
      </w:pPr>
      <w:r>
        <w:rPr>
          <w:bCs/>
          <w:b/>
        </w:rPr>
        <w:t xml:space="preserve">Tipo e estrutura:</w:t>
      </w:r>
      <w:r>
        <w:t xml:space="preserve"> </w:t>
      </w:r>
      <w:r>
        <w:t xml:space="preserve">hexapeptídeo sintético (D-Ala-D-2-Nal-Ala-Trp-D-Phe-Lys-NH2) com vários aminoácidos não naturais; nomes de desenvolvimento KP-102 e GPA-748, denominação comum internacional pralmorelina</w:t>
      </w:r>
      <w:r>
        <w:rPr>
          <w:rStyle w:val="FootnoteReference"/>
        </w:rPr>
        <w:footnoteReference w:id="1362"/>
      </w:r>
      <w:r>
        <w:t xml:space="preserve">.</w:t>
      </w:r>
    </w:p>
    <w:p>
      <w:pPr>
        <w:numPr>
          <w:ilvl w:val="0"/>
          <w:numId w:val="1161"/>
        </w:numPr>
        <w:pStyle w:val="Compact"/>
      </w:pPr>
      <w:r>
        <w:rPr>
          <w:bCs/>
          <w:b/>
        </w:rPr>
        <w:t xml:space="preserve">Origem:</w:t>
      </w:r>
      <w:r>
        <w:t xml:space="preserve"> </w:t>
      </w:r>
      <w:r>
        <w:t xml:space="preserve">desenvolvido nos anos 1990 a partir da série de peptídeos liberadores de GH fundada por Cyril Bowers (Tulane University, EUA); direitos com a Kaken (Japão)</w:t>
      </w:r>
      <w:r>
        <w:rPr>
          <w:rStyle w:val="FootnoteReference"/>
        </w:rPr>
        <w:footnoteReference w:id="1363"/>
      </w:r>
      <w:r>
        <w:t xml:space="preserve">.</w:t>
      </w:r>
    </w:p>
    <w:p>
      <w:pPr>
        <w:numPr>
          <w:ilvl w:val="0"/>
          <w:numId w:val="1161"/>
        </w:numPr>
        <w:pStyle w:val="Compact"/>
      </w:pPr>
      <w:r>
        <w:rPr>
          <w:bCs/>
          <w:b/>
        </w:rPr>
        <w:t xml:space="preserve">Princípio de ação:</w:t>
      </w:r>
      <w:r>
        <w:t xml:space="preserve"> </w:t>
      </w:r>
      <w:r>
        <w:t xml:space="preserve">agonista do receptor de grelina (GHS-R1a) na hipófise e no diencéfalo; libera hormônio do crescimento e, em menor grau, também ACTH, cortisol e prolactina; aumenta o apetite.</w:t>
      </w:r>
    </w:p>
    <w:p>
      <w:pPr>
        <w:numPr>
          <w:ilvl w:val="0"/>
          <w:numId w:val="1161"/>
        </w:numPr>
        <w:pStyle w:val="Compact"/>
      </w:pPr>
      <w:r>
        <w:rPr>
          <w:bCs/>
          <w:b/>
        </w:rPr>
        <w:t xml:space="preserve">Aprovação UE:</w:t>
      </w:r>
      <w:r>
        <w:t xml:space="preserve"> </w:t>
      </w:r>
      <w:r>
        <w:t xml:space="preserve">não.</w:t>
      </w:r>
      <w:r>
        <w:t xml:space="preserve"> </w:t>
      </w:r>
      <w:r>
        <w:rPr>
          <w:bCs/>
          <w:b/>
        </w:rPr>
        <w:t xml:space="preserve">Aprovação EUA:</w:t>
      </w:r>
      <w:r>
        <w:t xml:space="preserve"> </w:t>
      </w:r>
      <w:r>
        <w:t xml:space="preserve">não.</w:t>
      </w:r>
      <w:r>
        <w:t xml:space="preserve"> </w:t>
      </w:r>
      <w:r>
        <w:rPr>
          <w:bCs/>
          <w:b/>
        </w:rPr>
        <w:t xml:space="preserve">Japão:</w:t>
      </w:r>
      <w:r>
        <w:t xml:space="preserve"> </w:t>
      </w:r>
      <w:r>
        <w:t xml:space="preserve">aprovado como agente diagnóstico da função hipofisária.</w:t>
      </w:r>
    </w:p>
    <w:p>
      <w:pPr>
        <w:numPr>
          <w:ilvl w:val="0"/>
          <w:numId w:val="1161"/>
        </w:numPr>
        <w:pStyle w:val="Compact"/>
      </w:pPr>
      <w:r>
        <w:rPr>
          <w:bCs/>
          <w:b/>
        </w:rPr>
        <w:t xml:space="preserve">WADA:</w:t>
      </w:r>
      <w:r>
        <w:t xml:space="preserve"> </w:t>
      </w:r>
      <w:r>
        <w:t xml:space="preserve">proibido, grupo S2 – o GHRP-2 (pralmorelina) é expressamente citado como peptídeo liberador de hormônio do crescimento.</w:t>
      </w:r>
    </w:p>
    <w:p>
      <w:pPr>
        <w:numPr>
          <w:ilvl w:val="0"/>
          <w:numId w:val="1161"/>
        </w:numPr>
        <w:pStyle w:val="Compact"/>
      </w:pPr>
      <w:r>
        <w:rPr>
          <w:bCs/>
          <w:b/>
        </w:rPr>
        <w:t xml:space="preserve">Nível de evidência: B</w:t>
      </w:r>
      <w:r>
        <w:t xml:space="preserve"> </w:t>
      </w:r>
      <w:r>
        <w:t xml:space="preserve">– numerosos pequenos estudos randomizados sobre fisiologia hormonal e um estudo de validação como agente diagnóstico; nenhum estudo randomizado sobre benefício terapêutico.</w:t>
      </w:r>
    </w:p>
    <w:bookmarkEnd w:id="1364"/>
    <w:bookmarkStart w:id="1367" w:name="como-deveria-agir-27"/>
    <w:p>
      <w:pPr>
        <w:pStyle w:val="Heading3"/>
      </w:pPr>
      <w:r>
        <w:t xml:space="preserve">Como deveria agir</w:t>
      </w:r>
    </w:p>
    <w:p>
      <w:pPr>
        <w:pStyle w:val="FirstParagraph"/>
      </w:pPr>
      <w:r>
        <w:t xml:space="preserve">O GHRP-2 imita a grelina, o hormônio da fome produzido no estômago, que ao mesmo tempo controla a secreção de hormônio do crescimento</w:t>
      </w:r>
      <w:r>
        <w:rPr>
          <w:rStyle w:val="FootnoteReference"/>
        </w:rPr>
        <w:footnoteReference w:id="1365"/>
      </w:r>
      <w:r>
        <w:t xml:space="preserve">. Historicamente, foi o contrário: os GHRPs sintéticos vieram primeiro, seu receptor foi encontrado, e só depois se descobriu a grelina como sua chave natural.</w:t>
      </w:r>
    </w:p>
    <w:p>
      <w:pPr>
        <w:pStyle w:val="BodyText"/>
      </w:pPr>
      <w:r>
        <w:t xml:space="preserve">O GHRP-2 atua em dois níveis: diretamente na hipófise e indiretamente no diencéfalo, onde atenua o freio somatostatina e apoia o GHRH do próprio organismo. Para o efeito pleno ele precisa, por isso, de um diencéfalo intacto: em ratos sem hipófise não teve efeito algum, e em ratos com a conexão entre diencéfalo e hipófise destruída, apenas um efeito atenuado</w:t>
      </w:r>
      <w:r>
        <w:rPr>
          <w:rStyle w:val="FootnoteReference"/>
        </w:rPr>
        <w:footnoteReference w:id="1366"/>
      </w:r>
      <w:r>
        <w:t xml:space="preserve">. Quando se administram GHRP-2 e GHRH juntos, a secreção é bem maior do que a soma dos efeitos individuais.</w:t>
      </w:r>
    </w:p>
    <w:bookmarkEnd w:id="1367"/>
    <w:bookmarkStart w:id="1381" w:name="estudos-em-humanos-27"/>
    <w:p>
      <w:pPr>
        <w:pStyle w:val="Heading3"/>
      </w:pPr>
      <w:r>
        <w:t xml:space="preserve">Estudos em humanos</w:t>
      </w:r>
    </w:p>
    <w:p>
      <w:pPr>
        <w:pStyle w:val="FirstParagraph"/>
      </w:pPr>
      <w:r>
        <w:rPr>
          <w:bCs/>
          <w:b/>
        </w:rPr>
        <w:t xml:space="preserve">Dimensão do conjunto de estudos (consulta de outubro de 2026):</w:t>
      </w:r>
      <w:r>
        <w:t xml:space="preserve"> </w:t>
      </w:r>
      <w:r>
        <w:t xml:space="preserve">a busca automatizada deste livro encontrou</w:t>
      </w:r>
      <w:r>
        <w:t xml:space="preserve"> </w:t>
      </w:r>
      <w:r>
        <w:rPr>
          <w:bCs/>
          <w:b/>
        </w:rPr>
        <w:t xml:space="preserve">55</w:t>
      </w:r>
      <w:r>
        <w:t xml:space="preserve"> </w:t>
      </w:r>
      <w:r>
        <w:t xml:space="preserve">estudos em humanos no PubMed (</w:t>
      </w:r>
      <w:r>
        <w:rPr>
          <w:rStyle w:val="VerbatimChar"/>
        </w:rPr>
        <w:t xml:space="preserve">humanstudien_alle</w:t>
      </w:r>
      <w:r>
        <w:t xml:space="preserve">) e</w:t>
      </w:r>
      <w:r>
        <w:t xml:space="preserve"> </w:t>
      </w:r>
      <w:r>
        <w:rPr>
          <w:bCs/>
          <w:b/>
        </w:rPr>
        <w:t xml:space="preserve">nenhum</w:t>
      </w:r>
      <w:r>
        <w:t xml:space="preserve"> </w:t>
      </w:r>
      <w:r>
        <w:t xml:space="preserve">registro no ClinicalTrials.gov. O número elevado engana: a maioria dos trabalhos (sobretudo de um grupo de pesquisa da Mayo Clinic) usa o GHRP-2 como ferramenta para estudar o controle da secreção de hormônio do crescimento em mulheres e homens, sob hormônios sexuais ou no envelhecimento. Eles nada dizem sobre um benefício para a saúde.</w:t>
      </w:r>
    </w:p>
    <w:bookmarkStart w:id="1372" w:name="X1cfcb42bfb7c016049fe6d68fa0732e8ef8ca3c"/>
    <w:p>
      <w:pPr>
        <w:pStyle w:val="Heading4"/>
      </w:pPr>
      <w:r>
        <w:t xml:space="preserve">Diagnóstico da deficiência de hormônio do crescimento</w:t>
      </w:r>
    </w:p>
    <w:p>
      <w:pPr>
        <w:pStyle w:val="FirstParagraph"/>
      </w:pPr>
      <w:r>
        <w:t xml:space="preserve">A aplicação mais importante é o teste com GHRP-2. Em um estudo de validação, 77 pessoas saudáveis e 58 pacientes com deficiência grave confirmada de hormônio do crescimento receberam uma dose única intravenosa. O pico de GH foi em média de 84,6 µg/l nas pessoas saudáveis e de 1,36 µg/l nas pessoas afetadas. O teste teve boa reprodutibilidade e foi pouco influenciado por idade e excesso de peso; um ponto de corte de 15 µg/l correspondeu ao ponto de corte usual do teste de hipoglicemia insulínica</w:t>
      </w:r>
      <w:r>
        <w:rPr>
          <w:rStyle w:val="FootnoteReference"/>
        </w:rPr>
        <w:footnoteReference w:id="1368"/>
      </w:r>
      <w:r>
        <w:t xml:space="preserve">. Em uma comparação com 71 pessoas com tumores hipofisários, o teste com GHRP-2 alcançou, em relação ao teste com insulina, uma sensibilidade de 81,3% e uma especificidade de 94,5%</w:t>
      </w:r>
      <w:r>
        <w:rPr>
          <w:rStyle w:val="FootnoteReference"/>
        </w:rPr>
        <w:footnoteReference w:id="1369"/>
      </w:r>
      <w:r>
        <w:t xml:space="preserve">.</w:t>
      </w:r>
    </w:p>
    <w:p>
      <w:pPr>
        <w:pStyle w:val="BodyText"/>
      </w:pPr>
      <w:r>
        <w:t xml:space="preserve">Como o GHRP-2 também libera ACTH, verificou-se se o teste reconhece adicionalmente uma hipofunção do eixo adrenal. Os resultados são mistos: em um estudo com 47 pessoas, alcançou uma sensibilidade de 89,7%</w:t>
      </w:r>
      <w:r>
        <w:rPr>
          <w:rStyle w:val="FootnoteReference"/>
        </w:rPr>
        <w:footnoteReference w:id="1370"/>
      </w:r>
      <w:r>
        <w:t xml:space="preserve">; em uma análise maior de 254 pessoas, não foi, no geral, suficientemente confiável (sensibilidade de 64%, especificidade de 79%), tendo bom desempenho apenas em homens sem tumor hormonalmente ativo</w:t>
      </w:r>
      <w:r>
        <w:rPr>
          <w:rStyle w:val="FootnoteReference"/>
        </w:rPr>
        <w:footnoteReference w:id="1371"/>
      </w:r>
      <w:r>
        <w:t xml:space="preserve">.</w:t>
      </w:r>
    </w:p>
    <w:bookmarkEnd w:id="1372"/>
    <w:bookmarkStart w:id="1377" w:name="tentativas-de-tratamento-em-crianças"/>
    <w:p>
      <w:pPr>
        <w:pStyle w:val="Heading4"/>
      </w:pPr>
      <w:r>
        <w:t xml:space="preserve">Tentativas de tratamento em crianças</w:t>
      </w:r>
    </w:p>
    <w:p>
      <w:pPr>
        <w:pStyle w:val="FirstParagraph"/>
      </w:pPr>
      <w:r>
        <w:t xml:space="preserve">Nos anos 1990, o GHRP-2 foi testado como terapia para crianças de baixa estatura. Em seis crianças com deficiência de hormônio do crescimento, a secreção noturna de GH aumentou de forma dependente da dose, mas o IGF-1 não; a velocidade de crescimento foi maior durante o tratamento</w:t>
      </w:r>
      <w:r>
        <w:rPr>
          <w:rStyle w:val="FootnoteReference"/>
        </w:rPr>
        <w:footnoteReference w:id="1373"/>
      </w:r>
      <w:r>
        <w:t xml:space="preserve">. Como spray nasal, o GHRP-2 aumentou em 15 crianças a velocidade de crescimento de 3,7 para 6,1 cm por ano, novamente sem aumento do IGF-1</w:t>
      </w:r>
      <w:r>
        <w:rPr>
          <w:rStyle w:val="FootnoteReference"/>
        </w:rPr>
        <w:footnoteReference w:id="1374"/>
      </w:r>
      <w:r>
        <w:t xml:space="preserve">. Em dez crianças que receberam GHRP-2 em comprimido por doze meses, sete relataram apetite claramente maior nos primeiros meses</w:t>
      </w:r>
      <w:r>
        <w:rPr>
          <w:rStyle w:val="FootnoteReference"/>
        </w:rPr>
        <w:footnoteReference w:id="1375"/>
      </w:r>
      <w:r>
        <w:t xml:space="preserve">. O desenvolvimento como terapia foi encerrado nos EUA</w:t>
      </w:r>
      <w:r>
        <w:rPr>
          <w:rStyle w:val="FootnoteReference"/>
        </w:rPr>
        <w:footnoteReference w:id="1376"/>
      </w:r>
      <w:r>
        <w:t xml:space="preserve">.</w:t>
      </w:r>
    </w:p>
    <w:bookmarkEnd w:id="1377"/>
    <w:bookmarkStart w:id="1380" w:name="apetite-e-medicina-intensiva"/>
    <w:p>
      <w:pPr>
        <w:pStyle w:val="Heading4"/>
      </w:pPr>
      <w:r>
        <w:t xml:space="preserve">Apetite e medicina intensiva</w:t>
      </w:r>
    </w:p>
    <w:p>
      <w:pPr>
        <w:pStyle w:val="FirstParagraph"/>
      </w:pPr>
      <w:r>
        <w:t xml:space="preserve">Em 19 adultos magros e com excesso de peso, uma infusão de GHRP-2 aumentou a quantidade de comida escolhida livremente, de forma dependente da dose, em 10,2% e 33,5%, respectivamente, em relação ao placebo</w:t>
      </w:r>
      <w:r>
        <w:rPr>
          <w:rStyle w:val="FootnoteReference"/>
        </w:rPr>
        <w:footnoteReference w:id="1378"/>
      </w:r>
      <w:r>
        <w:t xml:space="preserve">. Em 14 pacientes de terapia intensiva de longa permanência, uma infusão de cinco dias de GHRP-2 junto com o hormônio liberador de tireotrofina TRH reativou o eixo do GH e o eixo tireoidiano suprimidos e deslocou marcadores metabólicos em direção ao anabolismo</w:t>
      </w:r>
      <w:r>
        <w:rPr>
          <w:rStyle w:val="FootnoteReference"/>
        </w:rPr>
        <w:footnoteReference w:id="1379"/>
      </w:r>
      <w:r>
        <w:t xml:space="preserve">. Se isso altera as chances de sobrevivência nunca foi verificado em um estudo de desfechos.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Diagnóstico (Chihara 2007), PMID 17609397</w:t>
            </w:r>
          </w:p>
        </w:tc>
        <w:tc>
          <w:tcPr/>
          <w:p>
            <w:pPr>
              <w:pStyle w:val="Compact"/>
              <w:jc w:val="left"/>
            </w:pPr>
            <w:r>
              <w:t xml:space="preserve">77 saudáveis, 58 afetados com deficiência de GH, validação controlada</w:t>
            </w:r>
          </w:p>
        </w:tc>
        <w:tc>
          <w:tcPr/>
          <w:p>
            <w:pPr>
              <w:pStyle w:val="Compact"/>
              <w:jc w:val="left"/>
            </w:pPr>
            <w:r>
              <w:t xml:space="preserve">teste único</w:t>
            </w:r>
          </w:p>
        </w:tc>
        <w:tc>
          <w:tcPr/>
          <w:p>
            <w:pPr>
              <w:pStyle w:val="Compact"/>
              <w:jc w:val="left"/>
            </w:pPr>
            <w:r>
              <w:t xml:space="preserve">pico de GH 84,6 vs. 1,36 µg/l; ponto de corte 15 µg/l</w:t>
            </w:r>
          </w:p>
        </w:tc>
      </w:tr>
      <w:tr>
        <w:tc>
          <w:tcPr/>
          <w:p>
            <w:pPr>
              <w:pStyle w:val="Compact"/>
              <w:jc w:val="left"/>
            </w:pPr>
            <w:r>
              <w:t xml:space="preserve">Diagnóstico (Kinoshita 2013), PMID 23079545</w:t>
            </w:r>
          </w:p>
        </w:tc>
        <w:tc>
          <w:tcPr/>
          <w:p>
            <w:pPr>
              <w:pStyle w:val="Compact"/>
              <w:jc w:val="left"/>
            </w:pPr>
            <w:r>
              <w:t xml:space="preserve">71 pessoas com tumores hipofisários, comparação com teste de insulina</w:t>
            </w:r>
          </w:p>
        </w:tc>
        <w:tc>
          <w:tcPr/>
          <w:p>
            <w:pPr>
              <w:pStyle w:val="Compact"/>
              <w:jc w:val="left"/>
            </w:pPr>
            <w:r>
              <w:t xml:space="preserve">teste único</w:t>
            </w:r>
          </w:p>
        </w:tc>
        <w:tc>
          <w:tcPr/>
          <w:p>
            <w:pPr>
              <w:pStyle w:val="Compact"/>
              <w:jc w:val="left"/>
            </w:pPr>
            <w:r>
              <w:t xml:space="preserve">sensibilidade 81,3%, especificidade 94,5%</w:t>
            </w:r>
          </w:p>
        </w:tc>
      </w:tr>
      <w:tr>
        <w:tc>
          <w:tcPr/>
          <w:p>
            <w:pPr>
              <w:pStyle w:val="Compact"/>
              <w:jc w:val="left"/>
            </w:pPr>
            <w:r>
              <w:t xml:space="preserve">Crianças, spray nasal (Pihoker 1997), PMID 9390009</w:t>
            </w:r>
          </w:p>
        </w:tc>
        <w:tc>
          <w:tcPr/>
          <w:p>
            <w:pPr>
              <w:pStyle w:val="Compact"/>
              <w:jc w:val="left"/>
            </w:pPr>
            <w:r>
              <w:t xml:space="preserve">15 crianças de baixa estatura, sem grupo controle</w:t>
            </w:r>
          </w:p>
        </w:tc>
        <w:tc>
          <w:tcPr/>
          <w:p>
            <w:pPr>
              <w:pStyle w:val="Compact"/>
              <w:jc w:val="left"/>
            </w:pPr>
            <w:r>
              <w:t xml:space="preserve">6–24 meses</w:t>
            </w:r>
          </w:p>
        </w:tc>
        <w:tc>
          <w:tcPr/>
          <w:p>
            <w:pPr>
              <w:pStyle w:val="Compact"/>
              <w:jc w:val="left"/>
            </w:pPr>
            <w:r>
              <w:t xml:space="preserve">crescimento 3,7 → 6,1 cm/ano</w:t>
            </w:r>
          </w:p>
        </w:tc>
      </w:tr>
      <w:tr>
        <w:tc>
          <w:tcPr/>
          <w:p>
            <w:pPr>
              <w:pStyle w:val="Compact"/>
              <w:jc w:val="left"/>
            </w:pPr>
            <w:r>
              <w:t xml:space="preserve">Apetite (Laferrère 2006), PMID 16861611</w:t>
            </w:r>
          </w:p>
        </w:tc>
        <w:tc>
          <w:tcPr/>
          <w:p>
            <w:pPr>
              <w:pStyle w:val="Compact"/>
              <w:jc w:val="left"/>
            </w:pPr>
            <w:r>
              <w:t xml:space="preserve">19 adultos, ECR cruzado contra placebo</w:t>
            </w:r>
          </w:p>
        </w:tc>
        <w:tc>
          <w:tcPr/>
          <w:p>
            <w:pPr>
              <w:pStyle w:val="Compact"/>
              <w:jc w:val="left"/>
            </w:pPr>
            <w:r>
              <w:t xml:space="preserve">3 infusões únicas</w:t>
            </w:r>
          </w:p>
        </w:tc>
        <w:tc>
          <w:tcPr/>
          <w:p>
            <w:pPr>
              <w:pStyle w:val="Compact"/>
              <w:jc w:val="left"/>
            </w:pPr>
            <w:r>
              <w:t xml:space="preserve">quantidade de comida +10,2% e +33,5%</w:t>
            </w:r>
          </w:p>
        </w:tc>
      </w:tr>
      <w:tr>
        <w:tc>
          <w:tcPr/>
          <w:p>
            <w:pPr>
              <w:pStyle w:val="Compact"/>
              <w:jc w:val="left"/>
            </w:pPr>
            <w:r>
              <w:t xml:space="preserve">Medicina intensiva (Van den Berghe 1999), PMID 10199772</w:t>
            </w:r>
          </w:p>
        </w:tc>
        <w:tc>
          <w:tcPr/>
          <w:p>
            <w:pPr>
              <w:pStyle w:val="Compact"/>
              <w:jc w:val="left"/>
            </w:pPr>
            <w:r>
              <w:t xml:space="preserve">14 pacientes de terapia intensiva de longa permanência, desenho cruzado randomizado</w:t>
            </w:r>
          </w:p>
        </w:tc>
        <w:tc>
          <w:tcPr/>
          <w:p>
            <w:pPr>
              <w:pStyle w:val="Compact"/>
              <w:jc w:val="left"/>
            </w:pPr>
            <w:r>
              <w:t xml:space="preserve">5 dias</w:t>
            </w:r>
          </w:p>
        </w:tc>
        <w:tc>
          <w:tcPr/>
          <w:p>
            <w:pPr>
              <w:pStyle w:val="Compact"/>
              <w:jc w:val="left"/>
            </w:pPr>
            <w:r>
              <w:t xml:space="preserve">eixos do GH e tireoidiano reativados</w:t>
            </w:r>
          </w:p>
        </w:tc>
      </w:tr>
    </w:tbl>
    <w:bookmarkEnd w:id="1380"/>
    <w:bookmarkEnd w:id="1381"/>
    <w:bookmarkStart w:id="1384" w:name="estudos-em-animais-e-em-laboratório-27"/>
    <w:p>
      <w:pPr>
        <w:pStyle w:val="Heading3"/>
      </w:pPr>
      <w:r>
        <w:t xml:space="preserve">Estudos em animais e em laboratório</w:t>
      </w:r>
    </w:p>
    <w:p>
      <w:pPr>
        <w:pStyle w:val="FirstParagraph"/>
      </w:pPr>
      <w:r>
        <w:t xml:space="preserve">Em ratos acordados, o GHRP-2 liberou mais hormônio do crescimento do que o GHRH e funcionou também em cães, nos quais o GHRH falhou; em ratos, aumentou ACTH e corticosterona, mas não prolactina, e acelerou o crescimento ao longo de três semanas</w:t>
      </w:r>
      <w:r>
        <w:rPr>
          <w:rStyle w:val="FootnoteReference"/>
        </w:rPr>
        <w:footnoteReference w:id="1382"/>
      </w:r>
      <w:r>
        <w:t xml:space="preserve">. Em porcos, o GHRP-2 foi particularmente potente em um estudo comparativo, mas, ao contrário da ipamorelina, também liberou ACTH e cortisol</w:t>
      </w:r>
      <w:r>
        <w:rPr>
          <w:rStyle w:val="FootnoteReference"/>
        </w:rPr>
        <w:footnoteReference w:id="1383"/>
      </w:r>
      <w:r>
        <w:t xml:space="preserve">.</w:t>
      </w:r>
    </w:p>
    <w:bookmarkEnd w:id="1384"/>
    <w:bookmarkStart w:id="1389" w:name="riscos-e-efeitos-colaterais-27"/>
    <w:p>
      <w:pPr>
        <w:pStyle w:val="Heading3"/>
      </w:pPr>
      <w:r>
        <w:t xml:space="preserve">Riscos e efeitos colaterais</w:t>
      </w:r>
    </w:p>
    <w:p>
      <w:pPr>
        <w:pStyle w:val="FirstParagraph"/>
      </w:pPr>
      <w:r>
        <w:rPr>
          <w:bCs/>
          <w:b/>
        </w:rPr>
        <w:t xml:space="preserve">Comprovado:</w:t>
      </w:r>
      <w:r>
        <w:t xml:space="preserve"> </w:t>
      </w:r>
      <w:r>
        <w:t xml:space="preserve">nos estudos, o GHRP-2 foi bem tolerado a curto prazo. Foram descritos repetidamente aumento do apetite</w:t>
      </w:r>
      <w:r>
        <w:rPr>
          <w:rStyle w:val="FootnoteReference"/>
        </w:rPr>
        <w:footnoteReference w:id="1385"/>
      </w:r>
      <w:r>
        <w:t xml:space="preserve">, bem como a liberação de ACTH e cortisol</w:t>
      </w:r>
      <w:r>
        <w:rPr>
          <w:rStyle w:val="FootnoteReference"/>
        </w:rPr>
        <w:footnoteReference w:id="1386"/>
      </w:r>
      <w:r>
        <w:t xml:space="preserve">. Uma revisão sobre liberadores de GH cita ainda um possível aumento da glicemia por redução da sensibilidade à insulina e pede dados de longo prazo sobre câncer e mortalidade</w:t>
      </w:r>
      <w:r>
        <w:rPr>
          <w:rStyle w:val="FootnoteReference"/>
        </w:rPr>
        <w:footnoteReference w:id="1387"/>
      </w:r>
      <w:r>
        <w:t xml:space="preserve">.</w:t>
      </w:r>
    </w:p>
    <w:p>
      <w:pPr>
        <w:pStyle w:val="BodyText"/>
      </w:pPr>
      <w:r>
        <w:rPr>
          <w:bCs/>
          <w:b/>
        </w:rPr>
        <w:t xml:space="preserve">Desconhecido:</w:t>
      </w:r>
      <w:r>
        <w:t xml:space="preserve"> </w:t>
      </w:r>
      <w:r>
        <w:t xml:space="preserve">não há dados sobre o uso por meses ou anos em adultos. Sobre a questão de se um hormônio do crescimento/IGF-1 continuamente elevado aumenta o risco de câncer, veja a introdução deste grupo e a Parte IV.</w:t>
      </w:r>
    </w:p>
    <w:p>
      <w:pPr>
        <w:pStyle w:val="BodyText"/>
      </w:pPr>
      <w:r>
        <w:rPr>
          <w:bCs/>
          <w:b/>
        </w:rPr>
        <w:t xml:space="preserve">Mercado cinza:</w:t>
      </w:r>
      <w:r>
        <w:t xml:space="preserve"> </w:t>
      </w:r>
      <w:r>
        <w:t xml:space="preserve">em produtos apreendidos foi encontrado</w:t>
      </w:r>
      <w:r>
        <w:t xml:space="preserve"> </w:t>
      </w:r>
      <w:r>
        <w:t xml:space="preserve">“</w:t>
      </w:r>
      <w:r>
        <w:t xml:space="preserve">Gly-GHRP-2</w:t>
      </w:r>
      <w:r>
        <w:t xml:space="preserve">”</w:t>
      </w:r>
      <w:r>
        <w:t xml:space="preserve">, ou seja, GHRP-2 com um aminoácido adicional que não estava declarado</w:t>
      </w:r>
      <w:r>
        <w:rPr>
          <w:rStyle w:val="FootnoteReference"/>
        </w:rPr>
        <w:footnoteReference w:id="1388"/>
      </w:r>
      <w:r>
        <w:t xml:space="preserve">.</w:t>
      </w:r>
    </w:p>
    <w:bookmarkEnd w:id="1389"/>
    <w:bookmarkStart w:id="1391" w:name="situação-legal-27"/>
    <w:p>
      <w:pPr>
        <w:pStyle w:val="Heading3"/>
      </w:pPr>
      <w:r>
        <w:t xml:space="preserve">Situação legal</w:t>
      </w:r>
    </w:p>
    <w:p>
      <w:pPr>
        <w:pStyle w:val="FirstParagraph"/>
      </w:pPr>
      <w:r>
        <w:rPr>
          <w:iCs/>
          <w:i/>
        </w:rPr>
        <w:t xml:space="preserve">Situação em 2026, verificar atualização.</w:t>
      </w:r>
    </w:p>
    <w:p>
      <w:pPr>
        <w:numPr>
          <w:ilvl w:val="0"/>
          <w:numId w:val="1162"/>
        </w:numPr>
        <w:pStyle w:val="Compact"/>
      </w:pPr>
      <w:r>
        <w:rPr>
          <w:bCs/>
          <w:b/>
        </w:rPr>
        <w:t xml:space="preserve">Japão:</w:t>
      </w:r>
      <w:r>
        <w:t xml:space="preserve"> </w:t>
      </w:r>
      <w:r>
        <w:t xml:space="preserve">aprovado como agente diagnóstico; uso exclusivamente no contexto de testes funcionais médicos.</w:t>
      </w:r>
    </w:p>
    <w:p>
      <w:pPr>
        <w:numPr>
          <w:ilvl w:val="0"/>
          <w:numId w:val="1162"/>
        </w:numPr>
        <w:pStyle w:val="Compact"/>
      </w:pPr>
      <w:r>
        <w:rPr>
          <w:bCs/>
          <w:b/>
        </w:rPr>
        <w:t xml:space="preserve">UE, Alemanha, Áustria:</w:t>
      </w:r>
      <w:r>
        <w:t xml:space="preserve"> </w:t>
      </w:r>
      <w:r>
        <w:t xml:space="preserve">nenhuma aprovação; fornecimento para uso em humanos proibido.</w:t>
      </w:r>
    </w:p>
    <w:p>
      <w:pPr>
        <w:numPr>
          <w:ilvl w:val="0"/>
          <w:numId w:val="1162"/>
        </w:numPr>
        <w:pStyle w:val="Compact"/>
      </w:pPr>
      <w:r>
        <w:rPr>
          <w:bCs/>
          <w:b/>
        </w:rPr>
        <w:t xml:space="preserve">EUA:</w:t>
      </w:r>
      <w:r>
        <w:t xml:space="preserve"> </w:t>
      </w:r>
      <w:r>
        <w:t xml:space="preserve">nenhuma aprovação.</w:t>
      </w:r>
    </w:p>
    <w:p>
      <w:pPr>
        <w:numPr>
          <w:ilvl w:val="0"/>
          <w:numId w:val="1162"/>
        </w:numPr>
        <w:pStyle w:val="Compact"/>
      </w:pPr>
      <w:r>
        <w:rPr>
          <w:bCs/>
          <w:b/>
        </w:rPr>
        <w:t xml:space="preserve">WADA:</w:t>
      </w:r>
      <w:r>
        <w:t xml:space="preserve"> </w:t>
      </w:r>
      <w:r>
        <w:t xml:space="preserve">proibido (S2). O GHRP-2 e seus produtos de degradação são detectáveis na urina por até 47 horas após administração como spray nasal em um voluntário</w:t>
      </w:r>
      <w:r>
        <w:rPr>
          <w:rStyle w:val="FootnoteReference"/>
        </w:rPr>
        <w:footnoteReference w:id="1390"/>
      </w:r>
      <w:r>
        <w:t xml:space="preserve">.</w:t>
      </w:r>
    </w:p>
    <w:bookmarkEnd w:id="1391"/>
    <w:bookmarkStart w:id="1392" w:name="estudos-em-andamento-e-perspectivas-27"/>
    <w:p>
      <w:pPr>
        <w:pStyle w:val="Heading3"/>
      </w:pPr>
      <w:r>
        <w:t xml:space="preserve">Estudos em andamento e perspectivas</w:t>
      </w:r>
    </w:p>
    <w:p>
      <w:pPr>
        <w:pStyle w:val="FirstParagraph"/>
      </w:pPr>
      <w:r>
        <w:t xml:space="preserve">No ClinicalTrials.gov, em outubro de 2026, não há estudo registrado com GHRP-2 ou pralmorelina.</w:t>
      </w:r>
      <w:r>
        <w:t xml:space="preserve"> </w:t>
      </w:r>
      <w:r>
        <w:rPr>
          <w:iCs/>
          <w:i/>
        </w:rPr>
        <w:t xml:space="preserve">Avaliação do autor:</w:t>
      </w:r>
      <w:r>
        <w:t xml:space="preserve"> </w:t>
      </w:r>
      <w:r>
        <w:t xml:space="preserve">o GHRP-2 continuará sendo uma ferramenta de diagnóstico no Japão e de pesquisa hormonal. Em outros países, como substância de teste, ele concorre com a macimorelina, disponível em forma oral.</w:t>
      </w:r>
    </w:p>
    <w:bookmarkEnd w:id="1392"/>
    <w:bookmarkStart w:id="1393" w:name="conclusão-27"/>
    <w:p>
      <w:pPr>
        <w:pStyle w:val="Heading3"/>
      </w:pPr>
      <w:r>
        <w:t xml:space="preserve">Conclusão</w:t>
      </w:r>
    </w:p>
    <w:p>
      <w:pPr>
        <w:pStyle w:val="FirstParagraph"/>
      </w:pPr>
      <w:r>
        <w:t xml:space="preserve">O GHRP-2 é um dos mais fortes desencadeadores conhecidos da secreção de hormônio do crescimento e está estabelecido no Japão como agente diagnóstico para a deficiência de hormônio do crescimento. Tentativas de tratamento em crianças mostraram apenas efeitos modestos e não tiveram continuidade. Para ganho muscular, perda de gordura ou</w:t>
      </w:r>
      <w:r>
        <w:t xml:space="preserve"> </w:t>
      </w:r>
      <w:r>
        <w:t xml:space="preserve">“</w:t>
      </w:r>
      <w:r>
        <w:t xml:space="preserve">anti-aging</w:t>
      </w:r>
      <w:r>
        <w:t xml:space="preserve">”</w:t>
      </w:r>
      <w:r>
        <w:t xml:space="preserve"> </w:t>
      </w:r>
      <w:r>
        <w:t xml:space="preserve">em pessoas saudáveis não há estudos; comprovados, por outro lado, são efeitos secundários como fome intensa e ativação dos hormônios do estresse.</w:t>
      </w:r>
    </w:p>
    <w:bookmarkEnd w:id="1393"/>
    <w:bookmarkEnd w:id="1394"/>
    <w:bookmarkStart w:id="1424" w:name="ghrp-6"/>
    <w:p>
      <w:pPr>
        <w:pStyle w:val="Heading2"/>
      </w:pPr>
      <w:r>
        <w:t xml:space="preserve">GHRP-6</w:t>
      </w:r>
    </w:p>
    <w:p>
      <w:pPr>
        <w:pStyle w:val="FirstParagraph"/>
      </w:pPr>
      <w:r>
        <w:t xml:space="preserve">O GHRP-6 é o ancestral de todos os peptídeos liberadores de hormônio do crescimento. Em 1984, o endocrinologista americano Cyril Bowers descreveu um hexapeptídeo artificial que libera seletivamente hormônio do crescimento – 15 anos antes de se conhecer o correspondente natural, a grelina. Na pesquisa, o GHRP-6 tornou-se a ferramenta padrão para testar o eixo do hormônio do crescimento. Nos círculos de fisiculturismo, por outro lado, é considerado um impulsionador barato de GH com o efeito secundário de</w:t>
      </w:r>
      <w:r>
        <w:t xml:space="preserve"> </w:t>
      </w:r>
      <w:r>
        <w:t xml:space="preserve">“</w:t>
      </w:r>
      <w:r>
        <w:t xml:space="preserve">fome intensa</w:t>
      </w:r>
      <w:r>
        <w:t xml:space="preserve">”</w:t>
      </w:r>
      <w:r>
        <w:t xml:space="preserve">. Nunca se tornou um medicamento.</w:t>
      </w:r>
    </w:p>
    <w:bookmarkStart w:id="1396" w:name="ficha-técnica-28"/>
    <w:p>
      <w:pPr>
        <w:pStyle w:val="Heading3"/>
      </w:pPr>
      <w:r>
        <w:t xml:space="preserve">Ficha técnica</w:t>
      </w:r>
    </w:p>
    <w:p>
      <w:pPr>
        <w:numPr>
          <w:ilvl w:val="0"/>
          <w:numId w:val="1163"/>
        </w:numPr>
        <w:pStyle w:val="Compact"/>
      </w:pPr>
      <w:r>
        <w:rPr>
          <w:bCs/>
          <w:b/>
        </w:rPr>
        <w:t xml:space="preserve">Tipo e estrutura:</w:t>
      </w:r>
      <w:r>
        <w:t xml:space="preserve"> </w:t>
      </w:r>
      <w:r>
        <w:t xml:space="preserve">hexapeptídeo sintético His-D-Trp-Ala-Trp-D-Phe-Lys-NH2 com dois D-aminoácidos não naturais</w:t>
      </w:r>
      <w:r>
        <w:rPr>
          <w:rStyle w:val="FootnoteReference"/>
        </w:rPr>
        <w:footnoteReference w:id="1395"/>
      </w:r>
      <w:r>
        <w:t xml:space="preserve">.</w:t>
      </w:r>
    </w:p>
    <w:p>
      <w:pPr>
        <w:numPr>
          <w:ilvl w:val="0"/>
          <w:numId w:val="1163"/>
        </w:numPr>
        <w:pStyle w:val="Compact"/>
      </w:pPr>
      <w:r>
        <w:rPr>
          <w:bCs/>
          <w:b/>
        </w:rPr>
        <w:t xml:space="preserve">Origem:</w:t>
      </w:r>
      <w:r>
        <w:t xml:space="preserve"> </w:t>
      </w:r>
      <w:r>
        <w:t xml:space="preserve">Tulane University (EUA), início dos anos 1980.</w:t>
      </w:r>
    </w:p>
    <w:p>
      <w:pPr>
        <w:numPr>
          <w:ilvl w:val="0"/>
          <w:numId w:val="1163"/>
        </w:numPr>
        <w:pStyle w:val="Compact"/>
      </w:pPr>
      <w:r>
        <w:rPr>
          <w:bCs/>
          <w:b/>
        </w:rPr>
        <w:t xml:space="preserve">Princípio de ação:</w:t>
      </w:r>
      <w:r>
        <w:t xml:space="preserve"> </w:t>
      </w:r>
      <w:r>
        <w:t xml:space="preserve">agonista do receptor de grelina (GHS-R1a) na hipófise e no diencéfalo; libera hormônio do crescimento e, além disso, ACTH, cortisol e prolactina; aumenta o apetite.</w:t>
      </w:r>
    </w:p>
    <w:p>
      <w:pPr>
        <w:numPr>
          <w:ilvl w:val="0"/>
          <w:numId w:val="1163"/>
        </w:numPr>
        <w:pStyle w:val="Compact"/>
      </w:pPr>
      <w:r>
        <w:rPr>
          <w:bCs/>
          <w:b/>
        </w:rPr>
        <w:t xml:space="preserve">Aprovação UE:</w:t>
      </w:r>
      <w:r>
        <w:t xml:space="preserve"> </w:t>
      </w:r>
      <w:r>
        <w:t xml:space="preserve">não.</w:t>
      </w:r>
      <w:r>
        <w:t xml:space="preserve"> </w:t>
      </w:r>
      <w:r>
        <w:rPr>
          <w:bCs/>
          <w:b/>
        </w:rPr>
        <w:t xml:space="preserve">Aprovação EUA:</w:t>
      </w:r>
      <w:r>
        <w:t xml:space="preserve"> </w:t>
      </w:r>
      <w:r>
        <w:t xml:space="preserve">não. Também não aprovado como medicamento em nenhum outro lugar (situação em 2026).</w:t>
      </w:r>
    </w:p>
    <w:p>
      <w:pPr>
        <w:numPr>
          <w:ilvl w:val="0"/>
          <w:numId w:val="1163"/>
        </w:numPr>
        <w:pStyle w:val="Compact"/>
      </w:pPr>
      <w:r>
        <w:rPr>
          <w:bCs/>
          <w:b/>
        </w:rPr>
        <w:t xml:space="preserve">WADA:</w:t>
      </w:r>
      <w:r>
        <w:t xml:space="preserve"> </w:t>
      </w:r>
      <w:r>
        <w:t xml:space="preserve">proibido, grupo S2 – o GHRP-6 é expressamente citado como peptídeo liberador de hormônio do crescimento.</w:t>
      </w:r>
    </w:p>
    <w:p>
      <w:pPr>
        <w:numPr>
          <w:ilvl w:val="0"/>
          <w:numId w:val="1163"/>
        </w:numPr>
        <w:pStyle w:val="Compact"/>
      </w:pPr>
      <w:r>
        <w:rPr>
          <w:bCs/>
          <w:b/>
        </w:rPr>
        <w:t xml:space="preserve">Nível de evidência: C</w:t>
      </w:r>
      <w:r>
        <w:t xml:space="preserve"> </w:t>
      </w:r>
      <w:r>
        <w:t xml:space="preserve">– muitos pequenos estudos sobre fisiologia hormonal e diagnóstico, com 10 a 250 pessoas cada, mas nenhum estudo controlado sobre benefício terapêutico.</w:t>
      </w:r>
    </w:p>
    <w:bookmarkEnd w:id="1396"/>
    <w:bookmarkStart w:id="1399" w:name="como-deveria-agir-28"/>
    <w:p>
      <w:pPr>
        <w:pStyle w:val="Heading3"/>
      </w:pPr>
      <w:r>
        <w:t xml:space="preserve">Como deveria agir</w:t>
      </w:r>
    </w:p>
    <w:p>
      <w:pPr>
        <w:pStyle w:val="FirstParagraph"/>
      </w:pPr>
      <w:r>
        <w:t xml:space="preserve">Bowers e colegas mostraram em 1984 que o hexapeptídeo libera hormônio do crescimento em poucos minutos em ratos, macacos, cordeiros e bezerros, sem influenciar outros hormônios hipofisários como LH, FSH ou TSH; ratos que o receberam repetidamente ganharam mais peso</w:t>
      </w:r>
      <w:r>
        <w:rPr>
          <w:rStyle w:val="FootnoteReference"/>
        </w:rPr>
        <w:footnoteReference w:id="1397"/>
      </w:r>
      <w:r>
        <w:t xml:space="preserve">. Mais tarde, verificou-se que o GHRP-6 atua no mesmo receptor que o hormônio gástrico grelina</w:t>
      </w:r>
      <w:r>
        <w:rPr>
          <w:rStyle w:val="FootnoteReference"/>
        </w:rPr>
        <w:footnoteReference w:id="1398"/>
      </w:r>
      <w:r>
        <w:t xml:space="preserve">.</w:t>
      </w:r>
    </w:p>
    <w:p>
      <w:pPr>
        <w:pStyle w:val="BodyText"/>
      </w:pPr>
      <w:r>
        <w:t xml:space="preserve">Como o GHRP-2, o GHRP-6 tem efeito máximo quando o GHRH do próprio organismo, vindo do diencéfalo, também participa. Combinando os dois, a secreção de hormônio do crescimento é maior do que a soma dos efeitos individuais. Justamente essa característica tornou o GHRP-6 interessante como agente diagnóstico. Ao contrário da ipamorelina, o GHRP-6 também ativa o eixo dos hormônios do estresse (ACTH e cortisol).</w:t>
      </w:r>
    </w:p>
    <w:bookmarkEnd w:id="1399"/>
    <w:bookmarkStart w:id="1410" w:name="estudos-em-humanos-28"/>
    <w:p>
      <w:pPr>
        <w:pStyle w:val="Heading3"/>
      </w:pPr>
      <w:r>
        <w:t xml:space="preserve">Estudos em humanos</w:t>
      </w:r>
    </w:p>
    <w:p>
      <w:pPr>
        <w:pStyle w:val="FirstParagraph"/>
      </w:pPr>
      <w:r>
        <w:rPr>
          <w:bCs/>
          <w:b/>
        </w:rPr>
        <w:t xml:space="preserve">Dimensão do conjunto de estudos (consulta de outubro de 2026):</w:t>
      </w:r>
      <w:r>
        <w:t xml:space="preserve"> </w:t>
      </w:r>
      <w:r>
        <w:t xml:space="preserve">a busca automatizada deste livro encontrou</w:t>
      </w:r>
      <w:r>
        <w:t xml:space="preserve"> </w:t>
      </w:r>
      <w:r>
        <w:rPr>
          <w:bCs/>
          <w:b/>
        </w:rPr>
        <w:t xml:space="preserve">40</w:t>
      </w:r>
      <w:r>
        <w:t xml:space="preserve"> </w:t>
      </w:r>
      <w:r>
        <w:t xml:space="preserve">estudos em humanos no PubMed (</w:t>
      </w:r>
      <w:r>
        <w:rPr>
          <w:rStyle w:val="VerbatimChar"/>
        </w:rPr>
        <w:t xml:space="preserve">humanstudien_alle</w:t>
      </w:r>
      <w:r>
        <w:t xml:space="preserve">) e</w:t>
      </w:r>
      <w:r>
        <w:t xml:space="preserve"> </w:t>
      </w:r>
      <w:r>
        <w:rPr>
          <w:bCs/>
          <w:b/>
        </w:rPr>
        <w:t xml:space="preserve">nenhum</w:t>
      </w:r>
      <w:r>
        <w:t xml:space="preserve"> </w:t>
      </w:r>
      <w:r>
        <w:t xml:space="preserve">registro no ClinicalTrials.gov. Quase todos os trabalhos usam o GHRP-6 como substância de teste administrada uma única vez, para estudar a regulação hormonal em doenças como síndrome de Cushing, hipertireoidismo, excesso de peso ou no envelhecimento. Um estudo dessa lista foi realizado em cães.</w:t>
      </w:r>
    </w:p>
    <w:bookmarkStart w:id="1404" w:name="Xa2131a185652b89ba62b78c7b8d6a61454b27d3"/>
    <w:p>
      <w:pPr>
        <w:pStyle w:val="Heading4"/>
      </w:pPr>
      <w:r>
        <w:t xml:space="preserve">Diagnóstico da deficiência de hormônio do crescimento</w:t>
      </w:r>
    </w:p>
    <w:p>
      <w:pPr>
        <w:pStyle w:val="FirstParagraph"/>
      </w:pPr>
      <w:r>
        <w:t xml:space="preserve">O estudo mais conhecido foi publicado em 2000 na revista Lancet: 125 adultos com doenças da hipófise e 125 pessoas saudáveis receberam GHRH mais GHRP-6 como teste combinado. O pico médio de GH foi de 59,2 µg/l nas pessoas saudáveis e de 4,1 µg/l nas pessoas afetadas; um ponto de corte de 15 µg/l separou os dois grupos de forma confiável. Não ocorreram efeitos colaterais, e idade, sexo e gordura corporal não influenciaram o resultado</w:t>
      </w:r>
      <w:r>
        <w:rPr>
          <w:rStyle w:val="FootnoteReference"/>
        </w:rPr>
        <w:footnoteReference w:id="1400"/>
      </w:r>
      <w:r>
        <w:t xml:space="preserve">. Em um estudo menor com 20 pessoas, o teste identificou corretamente todos os casos de deficiência de hormônio do crescimento; o único efeito colateral observado foi uma sensação de calor (rubor)</w:t>
      </w:r>
      <w:r>
        <w:rPr>
          <w:rStyle w:val="FootnoteReference"/>
        </w:rPr>
        <w:footnoteReference w:id="1401"/>
      </w:r>
      <w:r>
        <w:t xml:space="preserve">. Em 21 adultos nos quais uma deficiência havia sido constatada anteriormente com testes convencionais, cerca de 40% ainda responderam claramente à combinação</w:t>
      </w:r>
      <w:r>
        <w:rPr>
          <w:rStyle w:val="FootnoteReference"/>
        </w:rPr>
        <w:footnoteReference w:id="1402"/>
      </w:r>
      <w:r>
        <w:t xml:space="preserve"> </w:t>
      </w:r>
      <w:r>
        <w:t xml:space="preserve">– um indício de que testes diferentes respondem a perguntas diferentes.</w:t>
      </w:r>
    </w:p>
    <w:p>
      <w:pPr>
        <w:pStyle w:val="BodyText"/>
      </w:pPr>
      <w:r>
        <w:t xml:space="preserve">Como teste para hipofunção do eixo adrenal, por outro lado, o GHRP-6 foi de utilidade limitada: em 49 pacientes, alcançou, em comparação com o teste de insulina, uma sensibilidade de 71,0% e uma especificidade de 77,8%</w:t>
      </w:r>
      <w:r>
        <w:rPr>
          <w:rStyle w:val="FootnoteReference"/>
        </w:rPr>
        <w:footnoteReference w:id="1403"/>
      </w:r>
      <w:r>
        <w:t xml:space="preserve">.</w:t>
      </w:r>
    </w:p>
    <w:bookmarkEnd w:id="1404"/>
    <w:bookmarkStart w:id="1409" w:name="farmacologia-sono-envelhecimento"/>
    <w:p>
      <w:pPr>
        <w:pStyle w:val="Heading4"/>
      </w:pPr>
      <w:r>
        <w:t xml:space="preserve">Farmacologia, sono, envelhecimento</w:t>
      </w:r>
    </w:p>
    <w:p>
      <w:pPr>
        <w:numPr>
          <w:ilvl w:val="0"/>
          <w:numId w:val="1164"/>
        </w:numPr>
        <w:pStyle w:val="Compact"/>
      </w:pPr>
      <w:r>
        <w:rPr>
          <w:bCs/>
          <w:b/>
        </w:rPr>
        <w:t xml:space="preserve">Farmacocinética:</w:t>
      </w:r>
      <w:r>
        <w:t xml:space="preserve"> </w:t>
      </w:r>
      <w:r>
        <w:t xml:space="preserve">em nove homens saudáveis, a meia-vida de eliminação após administração intravenosa foi em média de 2,5 horas</w:t>
      </w:r>
      <w:r>
        <w:rPr>
          <w:rStyle w:val="FootnoteReference"/>
        </w:rPr>
        <w:footnoteReference w:id="1405"/>
      </w:r>
      <w:r>
        <w:t xml:space="preserve">.</w:t>
      </w:r>
    </w:p>
    <w:p>
      <w:pPr>
        <w:numPr>
          <w:ilvl w:val="0"/>
          <w:numId w:val="1164"/>
        </w:numPr>
        <w:pStyle w:val="Compact"/>
      </w:pPr>
      <w:r>
        <w:rPr>
          <w:bCs/>
          <w:b/>
        </w:rPr>
        <w:t xml:space="preserve">Sono:</w:t>
      </w:r>
      <w:r>
        <w:t xml:space="preserve"> </w:t>
      </w:r>
      <w:r>
        <w:t xml:space="preserve">em homens saudáveis, o GHRP-6 aumentou à noite o hormônio do crescimento, o ACTH e o cortisol e prolongou o sono leve (estágio 2), mas não o sono profundo</w:t>
      </w:r>
      <w:r>
        <w:rPr>
          <w:rStyle w:val="FootnoteReference"/>
        </w:rPr>
        <w:footnoteReference w:id="1406"/>
      </w:r>
      <w:r>
        <w:t xml:space="preserve">.</w:t>
      </w:r>
    </w:p>
    <w:p>
      <w:pPr>
        <w:numPr>
          <w:ilvl w:val="0"/>
          <w:numId w:val="1164"/>
        </w:numPr>
        <w:pStyle w:val="Compact"/>
      </w:pPr>
      <w:r>
        <w:rPr>
          <w:bCs/>
          <w:b/>
        </w:rPr>
        <w:t xml:space="preserve">Envelhecimento:</w:t>
      </w:r>
      <w:r>
        <w:t xml:space="preserve"> </w:t>
      </w:r>
      <w:r>
        <w:t xml:space="preserve">em nove adultos jovens e nove mais velhos, a hipófise respondeu com a idade mais fracamente ao GHRH, mas não ao GHRP-6</w:t>
      </w:r>
      <w:r>
        <w:rPr>
          <w:rStyle w:val="FootnoteReference"/>
        </w:rPr>
        <w:footnoteReference w:id="1407"/>
      </w:r>
      <w:r>
        <w:t xml:space="preserve">.</w:t>
      </w:r>
    </w:p>
    <w:p>
      <w:pPr>
        <w:numPr>
          <w:ilvl w:val="0"/>
          <w:numId w:val="1164"/>
        </w:numPr>
        <w:pStyle w:val="Compact"/>
      </w:pPr>
      <w:r>
        <w:rPr>
          <w:bCs/>
          <w:b/>
        </w:rPr>
        <w:t xml:space="preserve">Crianças:</w:t>
      </w:r>
      <w:r>
        <w:t xml:space="preserve"> </w:t>
      </w:r>
      <w:r>
        <w:t xml:space="preserve">em comprimido, o GHRP-6 desencadeou em crianças de baixa estatura sem deficiência hormonal um aumento de GH semelhante ao observado após injeção de GHRH</w:t>
      </w:r>
      <w:r>
        <w:rPr>
          <w:rStyle w:val="FootnoteReference"/>
        </w:rPr>
        <w:footnoteReference w:id="1408"/>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Diagnóstico (Popovic 2000), PMID 11030292</w:t>
            </w:r>
          </w:p>
        </w:tc>
        <w:tc>
          <w:tcPr/>
          <w:p>
            <w:pPr>
              <w:pStyle w:val="Compact"/>
              <w:jc w:val="left"/>
            </w:pPr>
            <w:r>
              <w:t xml:space="preserve">125 afetados, 125 saudáveis; estudo comparativo multicêntrico</w:t>
            </w:r>
          </w:p>
        </w:tc>
        <w:tc>
          <w:tcPr/>
          <w:p>
            <w:pPr>
              <w:pStyle w:val="Compact"/>
              <w:jc w:val="left"/>
            </w:pPr>
            <w:r>
              <w:t xml:space="preserve">teste único</w:t>
            </w:r>
          </w:p>
        </w:tc>
        <w:tc>
          <w:tcPr/>
          <w:p>
            <w:pPr>
              <w:pStyle w:val="Compact"/>
              <w:jc w:val="left"/>
            </w:pPr>
            <w:r>
              <w:t xml:space="preserve">pico de GH 59,2 vs. 4,1 µg/l; ponto de corte 15 µg/l</w:t>
            </w:r>
          </w:p>
        </w:tc>
      </w:tr>
      <w:tr>
        <w:tc>
          <w:tcPr/>
          <w:p>
            <w:pPr>
              <w:pStyle w:val="Compact"/>
              <w:jc w:val="left"/>
            </w:pPr>
            <w:r>
              <w:t xml:space="preserve">Diagnóstico (Petersenn 2002), PMID 11980622</w:t>
            </w:r>
          </w:p>
        </w:tc>
        <w:tc>
          <w:tcPr/>
          <w:p>
            <w:pPr>
              <w:pStyle w:val="Compact"/>
              <w:jc w:val="left"/>
            </w:pPr>
            <w:r>
              <w:t xml:space="preserve">20 pessoas, comparação com teste de insulina</w:t>
            </w:r>
          </w:p>
        </w:tc>
        <w:tc>
          <w:tcPr/>
          <w:p>
            <w:pPr>
              <w:pStyle w:val="Compact"/>
              <w:jc w:val="left"/>
            </w:pPr>
            <w:r>
              <w:t xml:space="preserve">testes únicos</w:t>
            </w:r>
          </w:p>
        </w:tc>
        <w:tc>
          <w:tcPr/>
          <w:p>
            <w:pPr>
              <w:pStyle w:val="Compact"/>
              <w:jc w:val="left"/>
            </w:pPr>
            <w:r>
              <w:t xml:space="preserve">todos os casos de deficiência de GH identificados</w:t>
            </w:r>
          </w:p>
        </w:tc>
      </w:tr>
      <w:tr>
        <w:tc>
          <w:tcPr/>
          <w:p>
            <w:pPr>
              <w:pStyle w:val="Compact"/>
              <w:jc w:val="left"/>
            </w:pPr>
            <w:r>
              <w:t xml:space="preserve">Teste adrenal (Alaioubi 2010), PMID 19946832</w:t>
            </w:r>
          </w:p>
        </w:tc>
        <w:tc>
          <w:tcPr/>
          <w:p>
            <w:pPr>
              <w:pStyle w:val="Compact"/>
              <w:jc w:val="left"/>
            </w:pPr>
            <w:r>
              <w:t xml:space="preserve">49 afetados, 20 saudáveis</w:t>
            </w:r>
          </w:p>
        </w:tc>
        <w:tc>
          <w:tcPr/>
          <w:p>
            <w:pPr>
              <w:pStyle w:val="Compact"/>
              <w:jc w:val="left"/>
            </w:pPr>
            <w:r>
              <w:t xml:space="preserve">teste único</w:t>
            </w:r>
          </w:p>
        </w:tc>
        <w:tc>
          <w:tcPr/>
          <w:p>
            <w:pPr>
              <w:pStyle w:val="Compact"/>
              <w:jc w:val="left"/>
            </w:pPr>
            <w:r>
              <w:t xml:space="preserve">sensibilidade 71,0%, especificidade 77,8%</w:t>
            </w:r>
          </w:p>
        </w:tc>
      </w:tr>
      <w:tr>
        <w:tc>
          <w:tcPr/>
          <w:p>
            <w:pPr>
              <w:pStyle w:val="Compact"/>
              <w:jc w:val="left"/>
            </w:pPr>
            <w:r>
              <w:t xml:space="preserve">Farmacocinética (Cabrales 2013), PMID 23099431</w:t>
            </w:r>
          </w:p>
        </w:tc>
        <w:tc>
          <w:tcPr/>
          <w:p>
            <w:pPr>
              <w:pStyle w:val="Compact"/>
              <w:jc w:val="left"/>
            </w:pPr>
            <w:r>
              <w:t xml:space="preserve">9 homens saudáveis, fase 1</w:t>
            </w:r>
          </w:p>
        </w:tc>
        <w:tc>
          <w:tcPr/>
          <w:p>
            <w:pPr>
              <w:pStyle w:val="Compact"/>
              <w:jc w:val="left"/>
            </w:pPr>
            <w:r>
              <w:t xml:space="preserve">doses únicas</w:t>
            </w:r>
          </w:p>
        </w:tc>
        <w:tc>
          <w:tcPr/>
          <w:p>
            <w:pPr>
              <w:pStyle w:val="Compact"/>
              <w:jc w:val="left"/>
            </w:pPr>
            <w:r>
              <w:t xml:space="preserve">meia-vida 2,5 h</w:t>
            </w:r>
          </w:p>
        </w:tc>
      </w:tr>
      <w:tr>
        <w:tc>
          <w:tcPr/>
          <w:p>
            <w:pPr>
              <w:pStyle w:val="Compact"/>
              <w:jc w:val="left"/>
            </w:pPr>
            <w:r>
              <w:t xml:space="preserve">Sono (Frieboes 1995), PMID 7617137</w:t>
            </w:r>
          </w:p>
        </w:tc>
        <w:tc>
          <w:tcPr/>
          <w:p>
            <w:pPr>
              <w:pStyle w:val="Compact"/>
              <w:jc w:val="left"/>
            </w:pPr>
            <w:r>
              <w:t xml:space="preserve">homens saudáveis, comparação com placebo</w:t>
            </w:r>
          </w:p>
        </w:tc>
        <w:tc>
          <w:tcPr/>
          <w:p>
            <w:pPr>
              <w:pStyle w:val="Compact"/>
              <w:jc w:val="left"/>
            </w:pPr>
            <w:r>
              <w:t xml:space="preserve">1 noite</w:t>
            </w:r>
          </w:p>
        </w:tc>
        <w:tc>
          <w:tcPr/>
          <w:p>
            <w:pPr>
              <w:pStyle w:val="Compact"/>
              <w:jc w:val="left"/>
            </w:pPr>
            <w:r>
              <w:t xml:space="preserve">GH, ACTH, cortisol ↑; sono profundo inalterado</w:t>
            </w:r>
          </w:p>
        </w:tc>
      </w:tr>
    </w:tbl>
    <w:bookmarkEnd w:id="1409"/>
    <w:bookmarkEnd w:id="1410"/>
    <w:bookmarkStart w:id="1414" w:name="estudos-em-animais-e-em-laboratório-28"/>
    <w:p>
      <w:pPr>
        <w:pStyle w:val="Heading3"/>
      </w:pPr>
      <w:r>
        <w:t xml:space="preserve">Estudos em animais e em laboratório</w:t>
      </w:r>
    </w:p>
    <w:p>
      <w:pPr>
        <w:pStyle w:val="FirstParagraph"/>
      </w:pPr>
      <w:r>
        <w:t xml:space="preserve">Grande parte da pesquisa mais recente diz respeito à proteção de órgãos:</w:t>
      </w:r>
    </w:p>
    <w:p>
      <w:pPr>
        <w:numPr>
          <w:ilvl w:val="0"/>
          <w:numId w:val="1165"/>
        </w:numPr>
        <w:pStyle w:val="Compact"/>
      </w:pPr>
      <w:r>
        <w:rPr>
          <w:bCs/>
          <w:b/>
        </w:rPr>
        <w:t xml:space="preserve">Coração (ratos):</w:t>
      </w:r>
      <w:r>
        <w:t xml:space="preserve"> </w:t>
      </w:r>
      <w:r>
        <w:t xml:space="preserve">em ratos que receberam o quimioterápico cardiotóxico doxorrubicina, a administração simultânea de GHRP-6 impediu a dilatação dos ventrículos e preservou a função de bombeamento</w:t>
      </w:r>
      <w:r>
        <w:rPr>
          <w:rStyle w:val="FootnoteReference"/>
        </w:rPr>
        <w:footnoteReference w:id="1411"/>
      </w:r>
      <w:r>
        <w:t xml:space="preserve">.</w:t>
      </w:r>
    </w:p>
    <w:p>
      <w:pPr>
        <w:numPr>
          <w:ilvl w:val="0"/>
          <w:numId w:val="1165"/>
        </w:numPr>
        <w:pStyle w:val="Compact"/>
      </w:pPr>
      <w:r>
        <w:rPr>
          <w:bCs/>
          <w:b/>
        </w:rPr>
        <w:t xml:space="preserve">Falência de múltiplos órgãos (ratos, culturas de células):</w:t>
      </w:r>
      <w:r>
        <w:t xml:space="preserve"> </w:t>
      </w:r>
      <w:r>
        <w:t xml:space="preserve">após interrupção temporária da circulação hepática, o GHRP-6 reduziu danos ao fígado e ao intestino; em culturas de células, acelerou a migração de células intestinais</w:t>
      </w:r>
      <w:r>
        <w:rPr>
          <w:rStyle w:val="FootnoteReference"/>
        </w:rPr>
        <w:footnoteReference w:id="1412"/>
      </w:r>
      <w:r>
        <w:t xml:space="preserve">.</w:t>
      </w:r>
    </w:p>
    <w:p>
      <w:pPr>
        <w:numPr>
          <w:ilvl w:val="0"/>
          <w:numId w:val="1165"/>
        </w:numPr>
        <w:pStyle w:val="Compact"/>
      </w:pPr>
      <w:r>
        <w:rPr>
          <w:bCs/>
          <w:b/>
        </w:rPr>
        <w:t xml:space="preserve">Sistema nervoso (ratos, camundongos):</w:t>
      </w:r>
      <w:r>
        <w:t xml:space="preserve"> </w:t>
      </w:r>
      <w:r>
        <w:t xml:space="preserve">em um modelo animal de esclerose múltipla, apenas a combinação de GHRP-6 com o fator de crescimento EGF melhorou a evolução da doença, não o GHRP-6 sozinho</w:t>
      </w:r>
      <w:r>
        <w:rPr>
          <w:rStyle w:val="FootnoteReference"/>
        </w:rPr>
        <w:footnoteReference w:id="1413"/>
      </w:r>
      <w:r>
        <w:t xml:space="preserve">.</w:t>
      </w:r>
    </w:p>
    <w:p>
      <w:pPr>
        <w:pStyle w:val="FirstParagraph"/>
      </w:pPr>
      <w:r>
        <w:t xml:space="preserve">Nenhuma dessas abordagens levou até agora a um estudo controlado publicado em humanos.</w:t>
      </w:r>
    </w:p>
    <w:bookmarkEnd w:id="1414"/>
    <w:bookmarkStart w:id="1419" w:name="riscos-e-efeitos-colaterais-28"/>
    <w:p>
      <w:pPr>
        <w:pStyle w:val="Heading3"/>
      </w:pPr>
      <w:r>
        <w:t xml:space="preserve">Riscos e efeitos colaterais</w:t>
      </w:r>
    </w:p>
    <w:p>
      <w:pPr>
        <w:pStyle w:val="FirstParagraph"/>
      </w:pPr>
      <w:r>
        <w:rPr>
          <w:bCs/>
          <w:b/>
        </w:rPr>
        <w:t xml:space="preserve">Comprovado pelos estudos de curta duração:</w:t>
      </w:r>
      <w:r>
        <w:t xml:space="preserve"> </w:t>
      </w:r>
      <w:r>
        <w:t xml:space="preserve">sensação de calor (rubor)</w:t>
      </w:r>
      <w:r>
        <w:rPr>
          <w:rStyle w:val="FootnoteReference"/>
        </w:rPr>
        <w:footnoteReference w:id="1415"/>
      </w:r>
      <w:r>
        <w:t xml:space="preserve">; aumento de ACTH, cortisol e prolactina</w:t>
      </w:r>
      <w:r>
        <w:rPr>
          <w:rStyle w:val="FootnoteReference"/>
        </w:rPr>
        <w:footnoteReference w:id="1416"/>
      </w:r>
      <w:r>
        <w:t xml:space="preserve">; fome como efeito conhecido da grelina. Nos estudos diagnósticos com doses únicas, não ocorreram outros efeitos colaterais relevantes.</w:t>
      </w:r>
    </w:p>
    <w:p>
      <w:pPr>
        <w:pStyle w:val="BodyText"/>
      </w:pPr>
      <w:r>
        <w:rPr>
          <w:bCs/>
          <w:b/>
        </w:rPr>
        <w:t xml:space="preserve">Desconhecido:</w:t>
      </w:r>
      <w:r>
        <w:t xml:space="preserve"> </w:t>
      </w:r>
      <w:r>
        <w:t xml:space="preserve">não há estudos em humanos sobre o uso repetido ao longo de semanas ou meses. Com o uso contínuo, são concebíveis as consequências conhecidas de níveis elevados de hormônio do crescimento e de uma estimulação repetida do cortisol, como piora da regulação da glicemia. Um relato de caso descreve um fisiculturista que, durante décadas, usou hormônio do crescimento e liberadores – entre eles uma combinação de sermorelina e GHRP-6 – e desenvolveu um grande osteófito na coluna cervical; uma relação causal não está comprovada</w:t>
      </w:r>
      <w:r>
        <w:rPr>
          <w:rStyle w:val="FootnoteReference"/>
        </w:rPr>
        <w:footnoteReference w:id="1417"/>
      </w:r>
      <w:r>
        <w:t xml:space="preserve">. Sobre a questão do câncer, veja a introdução deste grupo e a Parte IV.</w:t>
      </w:r>
    </w:p>
    <w:p>
      <w:pPr>
        <w:pStyle w:val="BodyText"/>
      </w:pPr>
      <w:r>
        <w:rPr>
          <w:bCs/>
          <w:b/>
        </w:rPr>
        <w:t xml:space="preserve">Mercado cinza:</w:t>
      </w:r>
      <w:r>
        <w:t xml:space="preserve"> </w:t>
      </w:r>
      <w:r>
        <w:t xml:space="preserve">em produtos apreendidos foi detectado</w:t>
      </w:r>
      <w:r>
        <w:t xml:space="preserve"> </w:t>
      </w:r>
      <w:r>
        <w:t xml:space="preserve">“</w:t>
      </w:r>
      <w:r>
        <w:t xml:space="preserve">Gly-GHRP-6</w:t>
      </w:r>
      <w:r>
        <w:t xml:space="preserve">”</w:t>
      </w:r>
      <w:r>
        <w:t xml:space="preserve">, uma modificação não declarada com um aminoácido adicional</w:t>
      </w:r>
      <w:r>
        <w:rPr>
          <w:rStyle w:val="FootnoteReference"/>
        </w:rPr>
        <w:footnoteReference w:id="1418"/>
      </w:r>
      <w:r>
        <w:t xml:space="preserve">.</w:t>
      </w:r>
    </w:p>
    <w:bookmarkEnd w:id="1419"/>
    <w:bookmarkStart w:id="1421" w:name="situação-legal-28"/>
    <w:p>
      <w:pPr>
        <w:pStyle w:val="Heading3"/>
      </w:pPr>
      <w:r>
        <w:t xml:space="preserve">Situação legal</w:t>
      </w:r>
    </w:p>
    <w:p>
      <w:pPr>
        <w:pStyle w:val="FirstParagraph"/>
      </w:pPr>
      <w:r>
        <w:rPr>
          <w:iCs/>
          <w:i/>
        </w:rPr>
        <w:t xml:space="preserve">Situação em 2026, verificar atualização.</w:t>
      </w:r>
    </w:p>
    <w:p>
      <w:pPr>
        <w:numPr>
          <w:ilvl w:val="0"/>
          <w:numId w:val="1166"/>
        </w:numPr>
        <w:pStyle w:val="Compact"/>
      </w:pPr>
      <w:r>
        <w:rPr>
          <w:bCs/>
          <w:b/>
        </w:rPr>
        <w:t xml:space="preserve">UE, Alemanha, Áustria, EUA:</w:t>
      </w:r>
      <w:r>
        <w:t xml:space="preserve"> </w:t>
      </w:r>
      <w:r>
        <w:t xml:space="preserve">nenhuma aprovação como medicamento; o fornecimento para uso em humanos é proibido. Na pesquisa, o GHRP-6 é usado no âmbito de estudos autorizados.</w:t>
      </w:r>
    </w:p>
    <w:p>
      <w:pPr>
        <w:numPr>
          <w:ilvl w:val="0"/>
          <w:numId w:val="1166"/>
        </w:numPr>
        <w:pStyle w:val="Compact"/>
      </w:pPr>
      <w:r>
        <w:rPr>
          <w:bCs/>
          <w:b/>
        </w:rPr>
        <w:t xml:space="preserve">WADA:</w:t>
      </w:r>
      <w:r>
        <w:t xml:space="preserve"> </w:t>
      </w:r>
      <w:r>
        <w:t xml:space="preserve">proibido (S2). O GHRP-6 é excretado em grande parte inalterado pela urina e, após administração como spray nasal em um voluntário, foi detectável por 23 horas</w:t>
      </w:r>
      <w:r>
        <w:rPr>
          <w:rStyle w:val="FootnoteReference"/>
        </w:rPr>
        <w:footnoteReference w:id="1420"/>
      </w:r>
      <w:r>
        <w:t xml:space="preserve">.</w:t>
      </w:r>
    </w:p>
    <w:bookmarkEnd w:id="1421"/>
    <w:bookmarkStart w:id="1422" w:name="estudos-em-andamento-e-perspectivas-28"/>
    <w:p>
      <w:pPr>
        <w:pStyle w:val="Heading3"/>
      </w:pPr>
      <w:r>
        <w:t xml:space="preserve">Estudos em andamento e perspectivas</w:t>
      </w:r>
    </w:p>
    <w:p>
      <w:pPr>
        <w:pStyle w:val="FirstParagraph"/>
      </w:pPr>
      <w:r>
        <w:t xml:space="preserve">No ClinicalTrials.gov, em outubro de 2026, não há estudo registrado com GHRP-6.</w:t>
      </w:r>
      <w:r>
        <w:t xml:space="preserve"> </w:t>
      </w:r>
      <w:r>
        <w:rPr>
          <w:iCs/>
          <w:i/>
        </w:rPr>
        <w:t xml:space="preserve">Avaliação do autor:</w:t>
      </w:r>
      <w:r>
        <w:t xml:space="preserve"> </w:t>
      </w:r>
      <w:r>
        <w:t xml:space="preserve">os trabalhos em animais sobre proteção de órgãos são a única linha de desenvolvimento reconhecível; se daí surgirão estudos em humanos é incerto. No diagnóstico, o GHRP-6 foi em grande parte substituído por outros testes.</w:t>
      </w:r>
    </w:p>
    <w:bookmarkEnd w:id="1422"/>
    <w:bookmarkStart w:id="1423" w:name="conclusão-28"/>
    <w:p>
      <w:pPr>
        <w:pStyle w:val="Heading3"/>
      </w:pPr>
      <w:r>
        <w:t xml:space="preserve">Conclusão</w:t>
      </w:r>
    </w:p>
    <w:p>
      <w:pPr>
        <w:pStyle w:val="FirstParagraph"/>
      </w:pPr>
      <w:r>
        <w:t xml:space="preserve">O GHRP-6 foi o primeiro peptídeo artificial a liberar seletivamente hormônio do crescimento e contribuiu de forma decisiva para a descoberta do sistema da grelina. Em humanos, foi estudado quase só como substância de teste administrada uma única vez, entre outros em um grande estudo publicado na Lancet sobre o diagnóstico da deficiência de hormônio do crescimento. Não há benefício terapêutico comprovado, e faltam completamente dados sobre o uso repetido, como é anunciado no mercado cinza.</w:t>
      </w:r>
    </w:p>
    <w:bookmarkEnd w:id="1423"/>
    <w:bookmarkEnd w:id="1424"/>
    <w:bookmarkStart w:id="1457" w:name="hexarelina"/>
    <w:p>
      <w:pPr>
        <w:pStyle w:val="Heading2"/>
      </w:pPr>
      <w:r>
        <w:t xml:space="preserve">Hexarelina</w:t>
      </w:r>
    </w:p>
    <w:p>
      <w:pPr>
        <w:pStyle w:val="FirstParagraph"/>
      </w:pPr>
      <w:r>
        <w:t xml:space="preserve">A hexarelina é uma parente próxima do GHRP-6 – e um dos mais potentes liberadores artificiais de hormônio do crescimento que existem. Nos anos 1990, foi estudada intensivamente em humanos, sobretudo na Itália. Nisso chamou a atenção algo inesperado: a hexarelina parece agir diretamente sobre o coração, independentemente do hormônio do crescimento. Mesmo assim, não houve aprovação. Um dos motivos estava em uma fraqueza típica desta classe de substâncias: com o uso contínuo, o efeito diminui.</w:t>
      </w:r>
    </w:p>
    <w:bookmarkStart w:id="1427" w:name="ficha-técnica-29"/>
    <w:p>
      <w:pPr>
        <w:pStyle w:val="Heading3"/>
      </w:pPr>
      <w:r>
        <w:t xml:space="preserve">Ficha técnica</w:t>
      </w:r>
    </w:p>
    <w:p>
      <w:pPr>
        <w:numPr>
          <w:ilvl w:val="0"/>
          <w:numId w:val="1167"/>
        </w:numPr>
        <w:pStyle w:val="Compact"/>
      </w:pPr>
      <w:r>
        <w:rPr>
          <w:bCs/>
          <w:b/>
        </w:rPr>
        <w:t xml:space="preserve">Tipo e estrutura:</w:t>
      </w:r>
      <w:r>
        <w:t xml:space="preserve"> </w:t>
      </w:r>
      <w:r>
        <w:t xml:space="preserve">hexapeptídeo sintético His-D-2-Metil-Trp-Ala-Trp-D-Phe-Lys-NH2; difere do GHRP-6 por um grupo metila adicional no segundo componente</w:t>
      </w:r>
      <w:r>
        <w:rPr>
          <w:rStyle w:val="FootnoteReference"/>
        </w:rPr>
        <w:footnoteReference w:id="1425"/>
      </w:r>
      <w:r>
        <w:t xml:space="preserve">.</w:t>
      </w:r>
    </w:p>
    <w:p>
      <w:pPr>
        <w:numPr>
          <w:ilvl w:val="0"/>
          <w:numId w:val="1167"/>
        </w:numPr>
        <w:pStyle w:val="Compact"/>
      </w:pPr>
      <w:r>
        <w:rPr>
          <w:bCs/>
          <w:b/>
        </w:rPr>
        <w:t xml:space="preserve">Origem:</w:t>
      </w:r>
      <w:r>
        <w:t xml:space="preserve"> </w:t>
      </w:r>
      <w:r>
        <w:t xml:space="preserve">desenvolvida no início dos anos 1990 como modificação do GHRP-6; grande parte da pesquisa clínica vem de centros universitários italianos.</w:t>
      </w:r>
    </w:p>
    <w:p>
      <w:pPr>
        <w:numPr>
          <w:ilvl w:val="0"/>
          <w:numId w:val="1167"/>
        </w:numPr>
        <w:pStyle w:val="Compact"/>
      </w:pPr>
      <w:r>
        <w:rPr>
          <w:bCs/>
          <w:b/>
        </w:rPr>
        <w:t xml:space="preserve">Princípio de ação:</w:t>
      </w:r>
      <w:r>
        <w:t xml:space="preserve"> </w:t>
      </w:r>
      <w:r>
        <w:t xml:space="preserve">agonista do receptor de grelina (GHS-R1a); libera hormônio do crescimento, ACTH, cortisol e prolactina. Além disso, a hexarelina se liga ao receptor CD36 no tecido cardíaco, através do qual se supõem efeitos cardíacos independentes do GH</w:t>
      </w:r>
      <w:r>
        <w:rPr>
          <w:rStyle w:val="FootnoteReference"/>
        </w:rPr>
        <w:footnoteReference w:id="1426"/>
      </w:r>
      <w:r>
        <w:t xml:space="preserve">.</w:t>
      </w:r>
    </w:p>
    <w:p>
      <w:pPr>
        <w:numPr>
          <w:ilvl w:val="0"/>
          <w:numId w:val="1167"/>
        </w:numPr>
        <w:pStyle w:val="Compact"/>
      </w:pPr>
      <w:r>
        <w:rPr>
          <w:bCs/>
          <w:b/>
        </w:rPr>
        <w:t xml:space="preserve">Aprovação UE:</w:t>
      </w:r>
      <w:r>
        <w:t xml:space="preserve"> </w:t>
      </w:r>
      <w:r>
        <w:t xml:space="preserve">não.</w:t>
      </w:r>
      <w:r>
        <w:t xml:space="preserve"> </w:t>
      </w:r>
      <w:r>
        <w:rPr>
          <w:bCs/>
          <w:b/>
        </w:rPr>
        <w:t xml:space="preserve">Aprovação EUA:</w:t>
      </w:r>
      <w:r>
        <w:t xml:space="preserve"> </w:t>
      </w:r>
      <w:r>
        <w:t xml:space="preserve">não.</w:t>
      </w:r>
    </w:p>
    <w:p>
      <w:pPr>
        <w:numPr>
          <w:ilvl w:val="0"/>
          <w:numId w:val="1167"/>
        </w:numPr>
        <w:pStyle w:val="Compact"/>
      </w:pPr>
      <w:r>
        <w:rPr>
          <w:bCs/>
          <w:b/>
        </w:rPr>
        <w:t xml:space="preserve">WADA:</w:t>
      </w:r>
      <w:r>
        <w:t xml:space="preserve"> </w:t>
      </w:r>
      <w:r>
        <w:t xml:space="preserve">proibida, grupo S2 – a hexarelina é expressamente citada como peptídeo liberador de hormônio do crescimento.</w:t>
      </w:r>
    </w:p>
    <w:p>
      <w:pPr>
        <w:numPr>
          <w:ilvl w:val="0"/>
          <w:numId w:val="1167"/>
        </w:numPr>
        <w:pStyle w:val="Compact"/>
      </w:pPr>
      <w:r>
        <w:rPr>
          <w:bCs/>
          <w:b/>
        </w:rPr>
        <w:t xml:space="preserve">Nível de evidência: C</w:t>
      </w:r>
      <w:r>
        <w:t xml:space="preserve"> </w:t>
      </w:r>
      <w:r>
        <w:t xml:space="preserve">– numerosos pequenos estudos, muitos deles randomizados, mas quase exclusivamente com doses únicas e com parâmetros hormonais ou de fisiologia circulatória; nenhum estudo sobre um desfecho clínico.</w:t>
      </w:r>
    </w:p>
    <w:bookmarkEnd w:id="1427"/>
    <w:bookmarkStart w:id="1429" w:name="como-deveria-agir-29"/>
    <w:p>
      <w:pPr>
        <w:pStyle w:val="Heading3"/>
      </w:pPr>
      <w:r>
        <w:t xml:space="preserve">Como deveria agir</w:t>
      </w:r>
    </w:p>
    <w:p>
      <w:pPr>
        <w:pStyle w:val="FirstParagraph"/>
      </w:pPr>
      <w:r>
        <w:t xml:space="preserve">Como o GHRP-6 e o GHRP-2, a hexarelina imita o hormônio gástrico grelina e assim desencadeia a secreção de hormônio do crescimento. Seu efeito depende de uma conexão intacta entre o diencéfalo e a hipófise: em crianças e adultos nos quais essa conexão estava anatomicamente interrompida, a resposta de GH esteve ausente ou fortemente atenuada, ao passo que na deficiência idiopática foi intensa</w:t>
      </w:r>
      <w:r>
        <w:rPr>
          <w:rStyle w:val="FootnoteReference"/>
        </w:rPr>
        <w:footnoteReference w:id="1428"/>
      </w:r>
      <w:r>
        <w:t xml:space="preserve">.</w:t>
      </w:r>
    </w:p>
    <w:p>
      <w:pPr>
        <w:pStyle w:val="BodyText"/>
      </w:pPr>
      <w:r>
        <w:t xml:space="preserve">A segunda ideia, independente, diz respeito ao coração. Receptores de grelina e a molécula captadora CD36 também ocorrem no músculo cardíaco. A hexarelina poderia, portanto, aumentar diretamente a força de bombeamento do coração – uma possível abordagem na insuficiência cardíaca, independentemente do hormônio do crescimento.</w:t>
      </w:r>
    </w:p>
    <w:bookmarkEnd w:id="1429"/>
    <w:bookmarkStart w:id="1443" w:name="estudos-em-humanos-29"/>
    <w:p>
      <w:pPr>
        <w:pStyle w:val="Heading3"/>
      </w:pPr>
      <w:r>
        <w:t xml:space="preserve">Estudos em humanos</w:t>
      </w:r>
    </w:p>
    <w:p>
      <w:pPr>
        <w:pStyle w:val="FirstParagraph"/>
      </w:pPr>
      <w:r>
        <w:rPr>
          <w:bCs/>
          <w:b/>
        </w:rPr>
        <w:t xml:space="preserve">Dimensão do conjunto de estudos (consulta de outubro de 2026):</w:t>
      </w:r>
      <w:r>
        <w:t xml:space="preserve"> </w:t>
      </w:r>
      <w:r>
        <w:t xml:space="preserve">a busca automatizada deste livro encontrou</w:t>
      </w:r>
      <w:r>
        <w:t xml:space="preserve"> </w:t>
      </w:r>
      <w:r>
        <w:rPr>
          <w:bCs/>
          <w:b/>
        </w:rPr>
        <w:t xml:space="preserve">58</w:t>
      </w:r>
      <w:r>
        <w:t xml:space="preserve"> </w:t>
      </w:r>
      <w:r>
        <w:t xml:space="preserve">estudos em humanos no PubMed (</w:t>
      </w:r>
      <w:r>
        <w:rPr>
          <w:rStyle w:val="VerbatimChar"/>
        </w:rPr>
        <w:t xml:space="preserve">humanstudien_alle</w:t>
      </w:r>
      <w:r>
        <w:t xml:space="preserve">) e</w:t>
      </w:r>
      <w:r>
        <w:t xml:space="preserve"> </w:t>
      </w:r>
      <w:r>
        <w:rPr>
          <w:bCs/>
          <w:b/>
        </w:rPr>
        <w:t xml:space="preserve">nenhum</w:t>
      </w:r>
      <w:r>
        <w:t xml:space="preserve"> </w:t>
      </w:r>
      <w:r>
        <w:t xml:space="preserve">registro no ClinicalTrials.gov. A maioria dos estudos é de 1994 a 2004 e examina, com doses únicas, como a resposta hormonal depende de idade, sexo, alimentação, medicamentos ou doenças. Alguns registros da lista tratam principalmente de grelina ou GHRP-6 e usam a hexarelina apenas como comparação.</w:t>
      </w:r>
    </w:p>
    <w:bookmarkStart w:id="1433" w:name="efeito-hormonal-e-dose"/>
    <w:p>
      <w:pPr>
        <w:pStyle w:val="Heading4"/>
      </w:pPr>
      <w:r>
        <w:t xml:space="preserve">Efeito hormonal e dose</w:t>
      </w:r>
    </w:p>
    <w:p>
      <w:pPr>
        <w:pStyle w:val="FirstParagraph"/>
      </w:pPr>
      <w:r>
        <w:t xml:space="preserve">Em um estudo duplo-cego e controlado por placebo com doze homens saudáveis, o hormônio do crescimento aumentou de forma dependente da dose após administração intravenosa, com pico após cerca de 30 minutos e retorno ao valor inicial em quatro horas</w:t>
      </w:r>
      <w:r>
        <w:rPr>
          <w:rStyle w:val="FootnoteReference"/>
        </w:rPr>
        <w:footnoteReference w:id="1430"/>
      </w:r>
      <w:r>
        <w:t xml:space="preserve">. A hexarelina também liberou prolactina e cortisol de forma dependente da dose; combinada com GHRH, uma dose baixa de hexarelina bastou para uma secreção maciça de GH sem aumento do cortisol</w:t>
      </w:r>
      <w:r>
        <w:rPr>
          <w:rStyle w:val="FootnoteReference"/>
        </w:rPr>
        <w:footnoteReference w:id="1431"/>
      </w:r>
      <w:r>
        <w:t xml:space="preserve">. A ativação do eixo dos hormônios do estresse ocorre aparentemente via diencéfalo; em um estudo com 15 homens jovens, a hexarelina também aumentou o apetite a curto prazo</w:t>
      </w:r>
      <w:r>
        <w:rPr>
          <w:rStyle w:val="FootnoteReference"/>
        </w:rPr>
        <w:footnoteReference w:id="1432"/>
      </w:r>
      <w:r>
        <w:t xml:space="preserve">.</w:t>
      </w:r>
    </w:p>
    <w:bookmarkEnd w:id="1433"/>
    <w:bookmarkStart w:id="1438" w:name="Xd91ebaf58933254b25d20d165c30b8ffe616444"/>
    <w:p>
      <w:pPr>
        <w:pStyle w:val="Heading4"/>
      </w:pPr>
      <w:r>
        <w:t xml:space="preserve">Administração prolongada: o efeito diminui</w:t>
      </w:r>
    </w:p>
    <w:p>
      <w:pPr>
        <w:pStyle w:val="FirstParagraph"/>
      </w:pPr>
      <w:r>
        <w:t xml:space="preserve">Decisivo para uma terapia é saber se o efeito se mantém com a administração repetida. Em adultos que injetaram hexarelina por via subcutânea duas vezes ao dia por 16 semanas, a resposta de GH diminuiu claramente e só se recuperou quatro semanas após a suspensão. IGF-1, gordura corporal, massa muscular e densidade óssea não se alteraram significativamente</w:t>
      </w:r>
      <w:r>
        <w:rPr>
          <w:rStyle w:val="FootnoteReference"/>
        </w:rPr>
        <w:footnoteReference w:id="1434"/>
      </w:r>
      <w:r>
        <w:t xml:space="preserve">. A resposta do cortisol também se atenuou temporariamente no mesmo estudo</w:t>
      </w:r>
      <w:r>
        <w:rPr>
          <w:rStyle w:val="FootnoteReference"/>
        </w:rPr>
        <w:footnoteReference w:id="1435"/>
      </w:r>
      <w:r>
        <w:t xml:space="preserve">.</w:t>
      </w:r>
    </w:p>
    <w:p>
      <w:pPr>
        <w:pStyle w:val="BodyText"/>
      </w:pPr>
      <w:r>
        <w:t xml:space="preserve">Em crianças de baixa estatura, o quadro foi um pouco mais favorável: com spray nasal, a velocidade de crescimento subiu em oito crianças de 5,3 para 8,3 cm por ano, e o IGF-1 aumentou</w:t>
      </w:r>
      <w:r>
        <w:rPr>
          <w:rStyle w:val="FootnoteReference"/>
        </w:rPr>
        <w:footnoteReference w:id="1436"/>
      </w:r>
      <w:r>
        <w:t xml:space="preserve">. Um estudo subsequente com sete crianças mostrou que a resposta de GH da hipófise já estava reduzida à metade após sete dias, mas o crescimento mais rápido se manteve mesmo assim</w:t>
      </w:r>
      <w:r>
        <w:rPr>
          <w:rStyle w:val="FootnoteReference"/>
        </w:rPr>
        <w:footnoteReference w:id="1437"/>
      </w:r>
      <w:r>
        <w:t xml:space="preserve">.</w:t>
      </w:r>
    </w:p>
    <w:bookmarkEnd w:id="1438"/>
    <w:bookmarkStart w:id="1442" w:name="efeitos-cardíacos"/>
    <w:p>
      <w:pPr>
        <w:pStyle w:val="Heading4"/>
      </w:pPr>
      <w:r>
        <w:t xml:space="preserve">Efeitos cardíacos</w:t>
      </w:r>
    </w:p>
    <w:p>
      <w:pPr>
        <w:pStyle w:val="FirstParagraph"/>
      </w:pPr>
      <w:r>
        <w:t xml:space="preserve">Vários pequenos estudos de um grupo de trabalho italiano examinaram o coração:</w:t>
      </w:r>
    </w:p>
    <w:p>
      <w:pPr>
        <w:numPr>
          <w:ilvl w:val="0"/>
          <w:numId w:val="1168"/>
        </w:numPr>
        <w:pStyle w:val="Compact"/>
      </w:pPr>
      <w:r>
        <w:t xml:space="preserve">Em sete homens com deficiência de hormônio do crescimento e nove controles saudáveis, a fração de ejeção do ventrículo esquerdo (a proporção de sangue que o ventrículo esquerdo ejeta a cada batimento) aumentou após uma dose única de hexarelina nos dois grupos, embora os afetados quase não secretassem hormônio do crescimento. Os autores concluem por um efeito independente do GH</w:t>
      </w:r>
      <w:r>
        <w:rPr>
          <w:rStyle w:val="FootnoteReference"/>
        </w:rPr>
        <w:footnoteReference w:id="1439"/>
      </w:r>
      <w:r>
        <w:t xml:space="preserve">.</w:t>
      </w:r>
    </w:p>
    <w:p>
      <w:pPr>
        <w:numPr>
          <w:ilvl w:val="0"/>
          <w:numId w:val="1168"/>
        </w:numPr>
        <w:pStyle w:val="Compact"/>
      </w:pPr>
      <w:r>
        <w:t xml:space="preserve">Em pacientes com doença grave do músculo cardíaco com dilatação (cardiomiopatia dilatada), por outro lado, esse efeito esteve ausente</w:t>
      </w:r>
      <w:r>
        <w:rPr>
          <w:rStyle w:val="FootnoteReference"/>
        </w:rPr>
        <w:footnoteReference w:id="1440"/>
      </w:r>
      <w:r>
        <w:t xml:space="preserve">.</w:t>
      </w:r>
    </w:p>
    <w:p>
      <w:pPr>
        <w:numPr>
          <w:ilvl w:val="0"/>
          <w:numId w:val="1168"/>
        </w:numPr>
        <w:pStyle w:val="Compact"/>
      </w:pPr>
      <w:r>
        <w:t xml:space="preserve">Em 24 homens com doença arterial coronariana durante uma cirurgia de revascularização (bypass), a hexarelina aumentou a fração de ejeção e o débito cardíaco por até 90 minutos, enquanto GHRH, hormônio do crescimento e placebo não tiveram efeito</w:t>
      </w:r>
      <w:r>
        <w:rPr>
          <w:rStyle w:val="FootnoteReference"/>
        </w:rPr>
        <w:footnoteReference w:id="1441"/>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Determinação de dose (Imbimbo 1994), PMID 7957536</w:t>
            </w:r>
          </w:p>
        </w:tc>
        <w:tc>
          <w:tcPr/>
          <w:p>
            <w:pPr>
              <w:pStyle w:val="Compact"/>
              <w:jc w:val="left"/>
            </w:pPr>
            <w:r>
              <w:t xml:space="preserve">12 homens saudáveis, duplo-cego, placebo, doses crescentes</w:t>
            </w:r>
          </w:p>
        </w:tc>
        <w:tc>
          <w:tcPr/>
          <w:p>
            <w:pPr>
              <w:pStyle w:val="Compact"/>
              <w:jc w:val="left"/>
            </w:pPr>
            <w:r>
              <w:t xml:space="preserve">doses únicas</w:t>
            </w:r>
          </w:p>
        </w:tc>
        <w:tc>
          <w:tcPr/>
          <w:p>
            <w:pPr>
              <w:pStyle w:val="Compact"/>
              <w:jc w:val="left"/>
            </w:pPr>
            <w:r>
              <w:t xml:space="preserve">pico de GH após cerca de 30 min, dependente da dose</w:t>
            </w:r>
          </w:p>
        </w:tc>
      </w:tr>
      <w:tr>
        <w:tc>
          <w:tcPr/>
          <w:p>
            <w:pPr>
              <w:pStyle w:val="Compact"/>
              <w:jc w:val="left"/>
            </w:pPr>
            <w:r>
              <w:t xml:space="preserve">Administração prolongada (Rahim 1998), PMID 9589671</w:t>
            </w:r>
          </w:p>
        </w:tc>
        <w:tc>
          <w:tcPr/>
          <w:p>
            <w:pPr>
              <w:pStyle w:val="Compact"/>
              <w:jc w:val="left"/>
            </w:pPr>
            <w:r>
              <w:t xml:space="preserve">adultos, sem grupo controle</w:t>
            </w:r>
          </w:p>
        </w:tc>
        <w:tc>
          <w:tcPr/>
          <w:p>
            <w:pPr>
              <w:pStyle w:val="Compact"/>
              <w:jc w:val="left"/>
            </w:pPr>
            <w:r>
              <w:t xml:space="preserve">16 semanas</w:t>
            </w:r>
          </w:p>
        </w:tc>
        <w:tc>
          <w:tcPr/>
          <w:p>
            <w:pPr>
              <w:pStyle w:val="Compact"/>
              <w:jc w:val="left"/>
            </w:pPr>
            <w:r>
              <w:t xml:space="preserve">resposta de GH atenuada; IGF-1 e composição corporal inalterados</w:t>
            </w:r>
          </w:p>
        </w:tc>
      </w:tr>
      <w:tr>
        <w:tc>
          <w:tcPr/>
          <w:p>
            <w:pPr>
              <w:pStyle w:val="Compact"/>
              <w:jc w:val="left"/>
            </w:pPr>
            <w:r>
              <w:t xml:space="preserve">Crianças, spray nasal (Laron 1995), PMID 8548949</w:t>
            </w:r>
          </w:p>
        </w:tc>
        <w:tc>
          <w:tcPr/>
          <w:p>
            <w:pPr>
              <w:pStyle w:val="Compact"/>
              <w:jc w:val="left"/>
            </w:pPr>
            <w:r>
              <w:t xml:space="preserve">8 crianças de baixa estatura, sem grupo controle</w:t>
            </w:r>
          </w:p>
        </w:tc>
        <w:tc>
          <w:tcPr/>
          <w:p>
            <w:pPr>
              <w:pStyle w:val="Compact"/>
              <w:jc w:val="left"/>
            </w:pPr>
            <w:r>
              <w:t xml:space="preserve">até 8 meses</w:t>
            </w:r>
          </w:p>
        </w:tc>
        <w:tc>
          <w:tcPr/>
          <w:p>
            <w:pPr>
              <w:pStyle w:val="Compact"/>
              <w:jc w:val="left"/>
            </w:pPr>
            <w:r>
              <w:t xml:space="preserve">crescimento 5,3 → 8,3 cm/ano</w:t>
            </w:r>
          </w:p>
        </w:tc>
      </w:tr>
      <w:tr>
        <w:tc>
          <w:tcPr/>
          <w:p>
            <w:pPr>
              <w:pStyle w:val="Compact"/>
              <w:jc w:val="left"/>
            </w:pPr>
            <w:r>
              <w:t xml:space="preserve">Coração, deficiência de GH (Bisi 1999), PMID 10528131</w:t>
            </w:r>
          </w:p>
        </w:tc>
        <w:tc>
          <w:tcPr/>
          <w:p>
            <w:pPr>
              <w:pStyle w:val="Compact"/>
              <w:jc w:val="left"/>
            </w:pPr>
            <w:r>
              <w:t xml:space="preserve">7 homens com deficiência de GH, 9 saudáveis</w:t>
            </w:r>
          </w:p>
        </w:tc>
        <w:tc>
          <w:tcPr/>
          <w:p>
            <w:pPr>
              <w:pStyle w:val="Compact"/>
              <w:jc w:val="left"/>
            </w:pPr>
            <w:r>
              <w:t xml:space="preserve">dose única</w:t>
            </w:r>
          </w:p>
        </w:tc>
        <w:tc>
          <w:tcPr/>
          <w:p>
            <w:pPr>
              <w:pStyle w:val="Compact"/>
              <w:jc w:val="left"/>
            </w:pPr>
            <w:r>
              <w:t xml:space="preserve">fração de ejeção 50 → 57% e 63 → 70%</w:t>
            </w:r>
          </w:p>
        </w:tc>
      </w:tr>
      <w:tr>
        <w:tc>
          <w:tcPr/>
          <w:p>
            <w:pPr>
              <w:pStyle w:val="Compact"/>
              <w:jc w:val="left"/>
            </w:pPr>
            <w:r>
              <w:t xml:space="preserve">Coração, cirurgia de bypass (Broglio 2002), PMID 12144941</w:t>
            </w:r>
          </w:p>
        </w:tc>
        <w:tc>
          <w:tcPr/>
          <w:p>
            <w:pPr>
              <w:pStyle w:val="Compact"/>
              <w:jc w:val="left"/>
            </w:pPr>
            <w:r>
              <w:t xml:space="preserve">24 homens com DAC, comparação com GHRH, GH, placebo</w:t>
            </w:r>
          </w:p>
        </w:tc>
        <w:tc>
          <w:tcPr/>
          <w:p>
            <w:pPr>
              <w:pStyle w:val="Compact"/>
              <w:jc w:val="left"/>
            </w:pPr>
            <w:r>
              <w:t xml:space="preserve">dose única</w:t>
            </w:r>
          </w:p>
        </w:tc>
        <w:tc>
          <w:tcPr/>
          <w:p>
            <w:pPr>
              <w:pStyle w:val="Compact"/>
              <w:jc w:val="left"/>
            </w:pPr>
            <w:r>
              <w:t xml:space="preserve">fração de ejeção e débito cardíaco ↑</w:t>
            </w:r>
          </w:p>
        </w:tc>
      </w:tr>
    </w:tbl>
    <w:bookmarkEnd w:id="1442"/>
    <w:bookmarkEnd w:id="1443"/>
    <w:bookmarkStart w:id="1447" w:name="estudos-em-animais-e-em-laboratório-29"/>
    <w:p>
      <w:pPr>
        <w:pStyle w:val="Heading3"/>
      </w:pPr>
      <w:r>
        <w:t xml:space="preserve">Estudos em animais e em laboratório</w:t>
      </w:r>
    </w:p>
    <w:p>
      <w:pPr>
        <w:numPr>
          <w:ilvl w:val="0"/>
          <w:numId w:val="1169"/>
        </w:numPr>
        <w:pStyle w:val="Compact"/>
      </w:pPr>
      <w:r>
        <w:rPr>
          <w:bCs/>
          <w:b/>
        </w:rPr>
        <w:t xml:space="preserve">Infarto do miocárdio (ratos, camundongos):</w:t>
      </w:r>
      <w:r>
        <w:t xml:space="preserve"> </w:t>
      </w:r>
      <w:r>
        <w:t xml:space="preserve">em ratos, quatro semanas após um infarto induzido artificialmente, a hexarelina melhorou ao longo de duas semanas o volume sistólico e reduziu a resistência vascular, de modo semelhante ao hormônio do crescimento</w:t>
      </w:r>
      <w:r>
        <w:rPr>
          <w:rStyle w:val="FootnoteReference"/>
        </w:rPr>
        <w:footnoteReference w:id="1444"/>
      </w:r>
      <w:r>
        <w:t xml:space="preserve">. Em camundongos após infarto, preservou a função de bombeamento e reduziu a cicatrização do músculo cardíaco</w:t>
      </w:r>
      <w:r>
        <w:rPr>
          <w:rStyle w:val="FootnoteReference"/>
        </w:rPr>
        <w:footnoteReference w:id="1445"/>
      </w:r>
      <w:r>
        <w:t xml:space="preserve">.</w:t>
      </w:r>
    </w:p>
    <w:p>
      <w:pPr>
        <w:numPr>
          <w:ilvl w:val="0"/>
          <w:numId w:val="1169"/>
        </w:numPr>
        <w:pStyle w:val="Compact"/>
      </w:pPr>
      <w:r>
        <w:rPr>
          <w:bCs/>
          <w:b/>
        </w:rPr>
        <w:t xml:space="preserve">Mecanismo:</w:t>
      </w:r>
      <w:r>
        <w:t xml:space="preserve"> </w:t>
      </w:r>
      <w:r>
        <w:t xml:space="preserve">uma revisão descreve o CD36 como receptor cardíaco específico para a hexarelina, que mediaria os efeitos protetores</w:t>
      </w:r>
      <w:r>
        <w:rPr>
          <w:rStyle w:val="FootnoteReference"/>
        </w:rPr>
        <w:footnoteReference w:id="1446"/>
      </w:r>
      <w:r>
        <w:t xml:space="preserve">.</w:t>
      </w:r>
    </w:p>
    <w:bookmarkEnd w:id="1447"/>
    <w:bookmarkStart w:id="1452" w:name="riscos-e-efeitos-colaterais-29"/>
    <w:p>
      <w:pPr>
        <w:pStyle w:val="Heading3"/>
      </w:pPr>
      <w:r>
        <w:t xml:space="preserve">Riscos e efeitos colaterais</w:t>
      </w:r>
    </w:p>
    <w:p>
      <w:pPr>
        <w:pStyle w:val="FirstParagraph"/>
      </w:pPr>
      <w:r>
        <w:rPr>
          <w:bCs/>
          <w:b/>
        </w:rPr>
        <w:t xml:space="preserve">Comprovado:</w:t>
      </w:r>
      <w:r>
        <w:t xml:space="preserve"> </w:t>
      </w:r>
      <w:r>
        <w:t xml:space="preserve">aumento de cortisol, ACTH e prolactina</w:t>
      </w:r>
      <w:r>
        <w:rPr>
          <w:rStyle w:val="FootnoteReference"/>
        </w:rPr>
        <w:footnoteReference w:id="1448"/>
      </w:r>
      <w:r>
        <w:t xml:space="preserve">; aumento do apetite a curto prazo</w:t>
      </w:r>
      <w:r>
        <w:rPr>
          <w:rStyle w:val="FootnoteReference"/>
        </w:rPr>
        <w:footnoteReference w:id="1449"/>
      </w:r>
      <w:r>
        <w:t xml:space="preserve">; perda de efeito com administração contínua</w:t>
      </w:r>
      <w:r>
        <w:rPr>
          <w:rStyle w:val="FootnoteReference"/>
        </w:rPr>
        <w:footnoteReference w:id="1450"/>
      </w:r>
      <w:r>
        <w:t xml:space="preserve">. Efeitos colaterais graves não foram relatados nos pequenos estudos; em crianças, os autores não encontraram efeitos indesejados</w:t>
      </w:r>
      <w:r>
        <w:rPr>
          <w:rStyle w:val="FootnoteReference"/>
        </w:rPr>
        <w:footnoteReference w:id="1451"/>
      </w:r>
      <w:r>
        <w:t xml:space="preserve">.</w:t>
      </w:r>
    </w:p>
    <w:p>
      <w:pPr>
        <w:pStyle w:val="BodyText"/>
      </w:pPr>
      <w:r>
        <w:rPr>
          <w:bCs/>
          <w:b/>
        </w:rPr>
        <w:t xml:space="preserve">Desconhecido:</w:t>
      </w:r>
      <w:r>
        <w:t xml:space="preserve"> </w:t>
      </w:r>
      <w:r>
        <w:t xml:space="preserve">faltam dados de segurança de longo prazo, especialmente no coração. O fato de uma substância aumentar agudamente a força de bombeamento nada diz sobre se, na insuficiência cardíaca, ela é benéfica ou prejudicial a longo prazo – isso só poderia ser esclarecido em estudos de longo prazo próprios, com desfechos clínicos, que não existem. Sobre a questão de um risco de câncer com hormônio do crescimento continuamente elevado, veja a introdução deste grupo e a Parte IV.</w:t>
      </w:r>
    </w:p>
    <w:bookmarkEnd w:id="1452"/>
    <w:bookmarkStart w:id="1454" w:name="situação-legal-29"/>
    <w:p>
      <w:pPr>
        <w:pStyle w:val="Heading3"/>
      </w:pPr>
      <w:r>
        <w:t xml:space="preserve">Situação legal</w:t>
      </w:r>
    </w:p>
    <w:p>
      <w:pPr>
        <w:pStyle w:val="FirstParagraph"/>
      </w:pPr>
      <w:r>
        <w:rPr>
          <w:iCs/>
          <w:i/>
        </w:rPr>
        <w:t xml:space="preserve">Situação em 2026, verificar atualização.</w:t>
      </w:r>
    </w:p>
    <w:p>
      <w:pPr>
        <w:numPr>
          <w:ilvl w:val="0"/>
          <w:numId w:val="1170"/>
        </w:numPr>
        <w:pStyle w:val="Compact"/>
      </w:pPr>
      <w:r>
        <w:rPr>
          <w:bCs/>
          <w:b/>
        </w:rPr>
        <w:t xml:space="preserve">UE, Alemanha, Áustria, EUA:</w:t>
      </w:r>
      <w:r>
        <w:t xml:space="preserve"> </w:t>
      </w:r>
      <w:r>
        <w:t xml:space="preserve">nenhuma aprovação como medicamento; o fornecimento para uso em humanos é proibido.</w:t>
      </w:r>
    </w:p>
    <w:p>
      <w:pPr>
        <w:numPr>
          <w:ilvl w:val="0"/>
          <w:numId w:val="1170"/>
        </w:numPr>
        <w:pStyle w:val="Compact"/>
      </w:pPr>
      <w:r>
        <w:rPr>
          <w:bCs/>
          <w:b/>
        </w:rPr>
        <w:t xml:space="preserve">WADA:</w:t>
      </w:r>
      <w:r>
        <w:t xml:space="preserve"> </w:t>
      </w:r>
      <w:r>
        <w:t xml:space="preserve">proibida (S2). A hexarelina é intensamente metabolizada no organismo; produtos de degradação permanecem detectáveis na urina após o desaparecimento da substância original</w:t>
      </w:r>
      <w:r>
        <w:rPr>
          <w:rStyle w:val="FootnoteReference"/>
        </w:rPr>
        <w:footnoteReference w:id="1453"/>
      </w:r>
      <w:r>
        <w:t xml:space="preserve">.</w:t>
      </w:r>
    </w:p>
    <w:bookmarkEnd w:id="1454"/>
    <w:bookmarkStart w:id="1455" w:name="estudos-em-andamento-e-perspectivas-29"/>
    <w:p>
      <w:pPr>
        <w:pStyle w:val="Heading3"/>
      </w:pPr>
      <w:r>
        <w:t xml:space="preserve">Estudos em andamento e perspectivas</w:t>
      </w:r>
    </w:p>
    <w:p>
      <w:pPr>
        <w:pStyle w:val="FirstParagraph"/>
      </w:pPr>
      <w:r>
        <w:t xml:space="preserve">No ClinicalTrials.gov, em outubro de 2026, não há estudo registrado com hexarelina.</w:t>
      </w:r>
      <w:r>
        <w:t xml:space="preserve"> </w:t>
      </w:r>
      <w:r>
        <w:rPr>
          <w:iCs/>
          <w:i/>
        </w:rPr>
        <w:t xml:space="preserve">Avaliação do autor:</w:t>
      </w:r>
      <w:r>
        <w:t xml:space="preserve"> </w:t>
      </w:r>
      <w:r>
        <w:t xml:space="preserve">a pesquisa cardíaca continua, mas apenas em modelos animais. Um desenvolvimento clínico pressuporia uma empresa que detenha os direitos e financie estudos – no momento, não se vislumbra nenhuma.</w:t>
      </w:r>
    </w:p>
    <w:bookmarkEnd w:id="1455"/>
    <w:bookmarkStart w:id="1456" w:name="conclusão-29"/>
    <w:p>
      <w:pPr>
        <w:pStyle w:val="Heading3"/>
      </w:pPr>
      <w:r>
        <w:t xml:space="preserve">Conclusão</w:t>
      </w:r>
    </w:p>
    <w:p>
      <w:pPr>
        <w:pStyle w:val="FirstParagraph"/>
      </w:pPr>
      <w:r>
        <w:t xml:space="preserve">A hexarelina libera intensamente hormônio do crescimento em humanos, mas também hormônios do estresse e prolactina, e com a administração contínua o efeito diminui claramente; IGF-1 e composição corporal não se alteraram em um estudo de 16 semanas. Interessantes são pequenos estudos nos quais uma dose única aumentou a força de bombeamento do coração, aparentemente de forma independente do hormônio do crescimento. Se disso algum dia resultará um benefício para pessoas com doenças cardíacas é totalmente incerto; para ganho muscular ou rejuvenescimento não há evidências.</w:t>
      </w:r>
    </w:p>
    <w:bookmarkEnd w:id="1456"/>
    <w:bookmarkEnd w:id="1457"/>
    <w:bookmarkStart w:id="1489" w:name="macimorelina"/>
    <w:p>
      <w:pPr>
        <w:pStyle w:val="Heading2"/>
      </w:pPr>
      <w:r>
        <w:t xml:space="preserve">Macimorelina</w:t>
      </w:r>
    </w:p>
    <w:p>
      <w:pPr>
        <w:pStyle w:val="FirstParagraph"/>
      </w:pPr>
      <w:r>
        <w:t xml:space="preserve">A macimorelina é o membro mais sóbrio deste grupo – e justamente por isso um bom contraexemplo aos peptídeos do mercado cinza. Ela não é usada para tratamento, mas como teste: a pessoa bebe uma solução com macimorelina e, em seguida, colhe-se sangue várias vezes. Se o hormônio do crescimento quase não sobe, isso indica uma deficiência de hormônio do crescimento. Para isso a macimorelina está aprovada nos EUA e na UE. Ela é um exemplo de como um mimético de grelina pode se tornar um medicamento de verdade com estudos comparativos bem conduzidos.</w:t>
      </w:r>
    </w:p>
    <w:bookmarkStart w:id="1459" w:name="ficha-técnica-30"/>
    <w:p>
      <w:pPr>
        <w:pStyle w:val="Heading3"/>
      </w:pPr>
      <w:r>
        <w:t xml:space="preserve">Ficha técnica</w:t>
      </w:r>
    </w:p>
    <w:p>
      <w:pPr>
        <w:numPr>
          <w:ilvl w:val="0"/>
          <w:numId w:val="1171"/>
        </w:numPr>
        <w:pStyle w:val="Compact"/>
      </w:pPr>
      <w:r>
        <w:rPr>
          <w:bCs/>
          <w:b/>
        </w:rPr>
        <w:t xml:space="preserve">Tipo e estrutura:</w:t>
      </w:r>
      <w:r>
        <w:t xml:space="preserve"> </w:t>
      </w:r>
      <w:r>
        <w:t xml:space="preserve">pequena molécula semelhante a um peptídeo (peptidomimético), ativa após ser engolida</w:t>
      </w:r>
      <w:r>
        <w:rPr>
          <w:rStyle w:val="FootnoteReference"/>
        </w:rPr>
        <w:footnoteReference w:id="1458"/>
      </w:r>
      <w:r>
        <w:t xml:space="preserve">. Designações anteriores: EP01572, ARD-07, AEZS-130.</w:t>
      </w:r>
    </w:p>
    <w:p>
      <w:pPr>
        <w:numPr>
          <w:ilvl w:val="0"/>
          <w:numId w:val="1171"/>
        </w:numPr>
        <w:pStyle w:val="Compact"/>
      </w:pPr>
      <w:r>
        <w:rPr>
          <w:bCs/>
          <w:b/>
        </w:rPr>
        <w:t xml:space="preserve">Origem:</w:t>
      </w:r>
      <w:r>
        <w:t xml:space="preserve"> </w:t>
      </w:r>
      <w:r>
        <w:t xml:space="preserve">desenvolvida a partir da pesquisa sobre liberadores de hormônio do crescimento ativos por via oral; aprovada a pedido da Aeterna Zentaris.</w:t>
      </w:r>
    </w:p>
    <w:p>
      <w:pPr>
        <w:numPr>
          <w:ilvl w:val="0"/>
          <w:numId w:val="1171"/>
        </w:numPr>
        <w:pStyle w:val="Compact"/>
      </w:pPr>
      <w:r>
        <w:rPr>
          <w:bCs/>
          <w:b/>
        </w:rPr>
        <w:t xml:space="preserve">Princípio de ação:</w:t>
      </w:r>
      <w:r>
        <w:t xml:space="preserve"> </w:t>
      </w:r>
      <w:r>
        <w:t xml:space="preserve">agonista do receptor de grelina (GHS-R1a); desencadeia uma única secreção de hormônio do crescimento, cuja magnitude reflete a capacidade funcional da hipófise.</w:t>
      </w:r>
    </w:p>
    <w:p>
      <w:pPr>
        <w:numPr>
          <w:ilvl w:val="0"/>
          <w:numId w:val="1171"/>
        </w:numPr>
        <w:pStyle w:val="Compact"/>
      </w:pPr>
      <w:r>
        <w:rPr>
          <w:bCs/>
          <w:b/>
        </w:rPr>
        <w:t xml:space="preserve">Aprovação EUA:</w:t>
      </w:r>
      <w:r>
        <w:t xml:space="preserve"> </w:t>
      </w:r>
      <w:r>
        <w:t xml:space="preserve">sim (Macrilen, desde 2017) para o diagnóstico da deficiência de hormônio do crescimento em adultos.</w:t>
      </w:r>
      <w:r>
        <w:t xml:space="preserve"> </w:t>
      </w:r>
      <w:r>
        <w:rPr>
          <w:bCs/>
          <w:b/>
        </w:rPr>
        <w:t xml:space="preserve">Aprovação UE:</w:t>
      </w:r>
      <w:r>
        <w:t xml:space="preserve"> </w:t>
      </w:r>
      <w:r>
        <w:t xml:space="preserve">sim (aprovação centralizada em 2019) para a mesma indicação. Sobre a disponibilidade atual em cada país, veja abaixo.</w:t>
      </w:r>
    </w:p>
    <w:p>
      <w:pPr>
        <w:numPr>
          <w:ilvl w:val="0"/>
          <w:numId w:val="1171"/>
        </w:numPr>
        <w:pStyle w:val="Compact"/>
      </w:pPr>
      <w:r>
        <w:rPr>
          <w:bCs/>
          <w:b/>
        </w:rPr>
        <w:t xml:space="preserve">WADA:</w:t>
      </w:r>
      <w:r>
        <w:t xml:space="preserve"> </w:t>
      </w:r>
      <w:r>
        <w:t xml:space="preserve">proibida, grupo S2 (secretagogos do hormônio do crescimento; a macimorelina é expressamente citada).</w:t>
      </w:r>
    </w:p>
    <w:p>
      <w:pPr>
        <w:numPr>
          <w:ilvl w:val="0"/>
          <w:numId w:val="1171"/>
        </w:numPr>
        <w:pStyle w:val="Compact"/>
      </w:pPr>
      <w:r>
        <w:rPr>
          <w:bCs/>
          <w:b/>
        </w:rPr>
        <w:t xml:space="preserve">Nível de evidência: A</w:t>
      </w:r>
      <w:r>
        <w:t xml:space="preserve"> </w:t>
      </w:r>
      <w:r>
        <w:t xml:space="preserve">– dois estudos de fase 3 sobre acurácia diagnóstica, aprovação nos EUA e na UE. Ressalva: trata-se de um agente diagnóstico, não de uma terapia.</w:t>
      </w:r>
    </w:p>
    <w:bookmarkEnd w:id="1459"/>
    <w:bookmarkStart w:id="1460" w:name="como-deveria-agir-30"/>
    <w:p>
      <w:pPr>
        <w:pStyle w:val="Heading3"/>
      </w:pPr>
      <w:r>
        <w:t xml:space="preserve">Como deveria agir</w:t>
      </w:r>
    </w:p>
    <w:p>
      <w:pPr>
        <w:pStyle w:val="FirstParagraph"/>
      </w:pPr>
      <w:r>
        <w:t xml:space="preserve">O diagnóstico de deficiência de hormônio do crescimento em adultos é difícil. Um único valor sanguíneo não basta, porque o hormônio do crescimento é secretado em pulsos. É necessário um teste de estimulação: a hipófise é estimulada de forma direcionada e mede-se quanto hormônio do crescimento ela libera.</w:t>
      </w:r>
    </w:p>
    <w:p>
      <w:pPr>
        <w:pStyle w:val="BodyText"/>
      </w:pPr>
      <w:r>
        <w:t xml:space="preserve">O teste de referência é o teste de hipoglicemia insulínica (teste de tolerância à insulina, TTI). Nele, a glicemia é intencionalmente reduzida de forma acentuada com insulina – o que é desagradável, exige supervisão médica e não é permitido em caso de doenças cardíacas ou convulsões. A macimorelina oferece uma alternativa: ela ativa o receptor de grelina, que desencadeia diretamente a secreção de hormônio do crescimento, sem baixar a glicemia. Como é engolida, também dispensa uma infusão.</w:t>
      </w:r>
    </w:p>
    <w:bookmarkEnd w:id="1460"/>
    <w:bookmarkStart w:id="1474" w:name="estudos-em-humanos-30"/>
    <w:p>
      <w:pPr>
        <w:pStyle w:val="Heading3"/>
      </w:pPr>
      <w:r>
        <w:t xml:space="preserve">Estudos em humanos</w:t>
      </w:r>
    </w:p>
    <w:p>
      <w:pPr>
        <w:pStyle w:val="FirstParagraph"/>
      </w:pPr>
      <w:r>
        <w:rPr>
          <w:bCs/>
          <w:b/>
        </w:rPr>
        <w:t xml:space="preserve">Dimensão do conjunto de estudos (consulta de outubro de 2026):</w:t>
      </w:r>
      <w:r>
        <w:t xml:space="preserve"> </w:t>
      </w:r>
      <w:r>
        <w:t xml:space="preserve">a busca automatizada deste livro encontrou</w:t>
      </w:r>
      <w:r>
        <w:t xml:space="preserve"> </w:t>
      </w:r>
      <w:r>
        <w:rPr>
          <w:bCs/>
          <w:b/>
        </w:rPr>
        <w:t xml:space="preserve">4</w:t>
      </w:r>
      <w:r>
        <w:t xml:space="preserve"> </w:t>
      </w:r>
      <w:r>
        <w:t xml:space="preserve">estudos em humanos no PubMed (</w:t>
      </w:r>
      <w:r>
        <w:rPr>
          <w:rStyle w:val="VerbatimChar"/>
        </w:rPr>
        <w:t xml:space="preserve">humanstudien_alle</w:t>
      </w:r>
      <w:r>
        <w:t xml:space="preserve">) e</w:t>
      </w:r>
      <w:r>
        <w:t xml:space="preserve"> </w:t>
      </w:r>
      <w:r>
        <w:rPr>
          <w:bCs/>
          <w:b/>
        </w:rPr>
        <w:t xml:space="preserve">6</w:t>
      </w:r>
      <w:r>
        <w:t xml:space="preserve"> </w:t>
      </w:r>
      <w:r>
        <w:t xml:space="preserve">registros no ClinicalTrials.gov. Uma busca direcionada adicional revelou outros estudos, entre eles o primeiro estudo de fase 3, um estudo pediátrico, vários trabalhos em pessoas saudáveis e uma análise da prática clínica.</w:t>
      </w:r>
    </w:p>
    <w:bookmarkStart w:id="1463" w:name="farmacologia-inicial"/>
    <w:p>
      <w:pPr>
        <w:pStyle w:val="Heading4"/>
      </w:pPr>
      <w:r>
        <w:t xml:space="preserve">Farmacologia inicial</w:t>
      </w:r>
    </w:p>
    <w:p>
      <w:pPr>
        <w:pStyle w:val="FirstParagraph"/>
      </w:pPr>
      <w:r>
        <w:t xml:space="preserve">Já em 2007, um estudo com 36 homens saudáveis mostrou que a substância (na época EP01572) chega rapidamente ao sangue após ser engolida, de forma dependente da dose, e libera intensamente hormônio do crescimento</w:t>
      </w:r>
      <w:r>
        <w:rPr>
          <w:rStyle w:val="FootnoteReference"/>
        </w:rPr>
        <w:footnoteReference w:id="1461"/>
      </w:r>
      <w:r>
        <w:t xml:space="preserve">. Em um estudo randomizado de fase 1 com 28 pessoas saudáveis, a meia-vida foi de 3,5 horas para as duas doses mais baixas; o pico de GH ocorreu após 45 a 60 minutos. ACTH, cortisol e prolactina subiram temporariamente</w:t>
      </w:r>
      <w:r>
        <w:rPr>
          <w:rStyle w:val="FootnoteReference"/>
        </w:rPr>
        <w:footnoteReference w:id="1462"/>
      </w:r>
      <w:r>
        <w:t xml:space="preserve">.</w:t>
      </w:r>
    </w:p>
    <w:bookmarkEnd w:id="1463"/>
    <w:bookmarkStart w:id="1467" w:name="os-estudos-de-aprovação-1"/>
    <w:p>
      <w:pPr>
        <w:pStyle w:val="Heading4"/>
      </w:pPr>
      <w:r>
        <w:t xml:space="preserve">Os estudos de aprovação</w:t>
      </w:r>
    </w:p>
    <w:p>
      <w:pPr>
        <w:pStyle w:val="FirstParagraph"/>
      </w:pPr>
      <w:r>
        <w:rPr>
          <w:bCs/>
          <w:b/>
        </w:rPr>
        <w:t xml:space="preserve">Primeiro estudo de fase 3:</w:t>
      </w:r>
      <w:r>
        <w:t xml:space="preserve"> </w:t>
      </w:r>
      <w:r>
        <w:t xml:space="preserve">em um estudo aberto multicêntrico, a macimorelina foi comparada com o teste combinado de arginina e GHRH, então usual. Foram avaliados 50 adultos com deficiência de hormônio do crescimento e 48 pessoas saudáveis. O pico de GH foi em média de 2,36 ng/ml nos afetados e de 17,71 ng/ml nos saudáveis. Com um ponto de corte de 2,7 ng/ml, o teste alcançou uma sensibilidade de 82% e uma especificidade de 92%. O único efeito colateral grave relacionado ao medicamento relatado foi um prolongamento assintomático do intervalo QT no ECG. Durante o estudo, o preparado de GHRH (sermorelina) foi retirado do mercado nos EUA, de modo que parte dos participantes foi testada apenas com macimorelina</w:t>
      </w:r>
      <w:r>
        <w:rPr>
          <w:rStyle w:val="FootnoteReference"/>
        </w:rPr>
        <w:footnoteReference w:id="1464"/>
      </w:r>
      <w:r>
        <w:t xml:space="preserve">.</w:t>
      </w:r>
    </w:p>
    <w:p>
      <w:pPr>
        <w:pStyle w:val="BodyText"/>
      </w:pPr>
      <w:r>
        <w:rPr>
          <w:bCs/>
          <w:b/>
        </w:rPr>
        <w:t xml:space="preserve">Segundo estudo de fase 3 (base da aprovação):</w:t>
      </w:r>
      <w:r>
        <w:t xml:space="preserve"> </w:t>
      </w:r>
      <w:r>
        <w:t xml:space="preserve">em um estudo cruzado randomizado, adultos com probabilidade alta, intermediária e baixa de deficiência de hormônio do crescimento, bem como pessoas saudáveis de comparação, receberam tanto o teste de macimorelina quanto o teste de insulina. 99% dos testes de macimorelina, mas apenas 82% dos testes de insulina, foram avaliáveis. Com os pontos de corte de 2,8 ng/ml (macimorelina) e 5,1 ng/ml (TTI), a sensibilidade foi de 87% e a especificidade de 96%; na repetição, o resultado foi igual em 97%. Não ocorreram efeitos colaterais graves causados pela macimorelina. Um ponto de corte único de 5,1 ng/ml para os dois testes resultou, em uma análise posterior, em 92% de sensibilidade com 96% de especificidade</w:t>
      </w:r>
      <w:r>
        <w:rPr>
          <w:rStyle w:val="FootnoteReference"/>
        </w:rPr>
        <w:footnoteReference w:id="1465"/>
      </w:r>
      <w:r>
        <w:t xml:space="preserve">. Outras análises mostraram que idade, peso corporal e sexo não influenciaram substancialmente a acurácia do teste</w:t>
      </w:r>
      <w:r>
        <w:rPr>
          <w:rStyle w:val="FootnoteReference"/>
        </w:rPr>
        <w:footnoteReference w:id="1466"/>
      </w:r>
      <w:r>
        <w:t xml:space="preserve">.</w:t>
      </w:r>
    </w:p>
    <w:bookmarkEnd w:id="1467"/>
    <w:bookmarkStart w:id="1469" w:name="experiências-da-prática-clínica"/>
    <w:p>
      <w:pPr>
        <w:pStyle w:val="Heading4"/>
      </w:pPr>
      <w:r>
        <w:t xml:space="preserve">Experiências da prática clínica</w:t>
      </w:r>
    </w:p>
    <w:p>
      <w:pPr>
        <w:pStyle w:val="FirstParagraph"/>
      </w:pPr>
      <w:r>
        <w:t xml:space="preserve">Uma análise retrospectiva de 37 pacientes de uma clínica constatou que, com o ponto de corte aprovado nos EUA de 2,8 ng/ml, 40,5% foram classificados como tendo deficiência de hormônio do crescimento, enquanto com 5,1 ng/ml foram 54,0%. As classificações divergentes se referiam sobretudo a pessoas com obesidade acentuada e baixa probabilidade pré-teste</w:t>
      </w:r>
      <w:r>
        <w:rPr>
          <w:rStyle w:val="FootnoteReference"/>
        </w:rPr>
        <w:footnoteReference w:id="1468"/>
      </w:r>
      <w:r>
        <w:t xml:space="preserve">. Isso mostra: o ponto de corte não é trivial, e em caso de obesidade acentuada é preciso cautela na interpretação.</w:t>
      </w:r>
    </w:p>
    <w:bookmarkEnd w:id="1469"/>
    <w:bookmarkStart w:id="1473" w:name="crianças-e-outras-aplicações"/>
    <w:p>
      <w:pPr>
        <w:pStyle w:val="Heading4"/>
      </w:pPr>
      <w:r>
        <w:t xml:space="preserve">Crianças e outras aplicações</w:t>
      </w:r>
    </w:p>
    <w:p>
      <w:pPr>
        <w:numPr>
          <w:ilvl w:val="0"/>
          <w:numId w:val="1172"/>
        </w:numPr>
        <w:pStyle w:val="Compact"/>
      </w:pPr>
      <w:r>
        <w:rPr>
          <w:bCs/>
          <w:b/>
        </w:rPr>
        <w:t xml:space="preserve">Crianças:</w:t>
      </w:r>
      <w:r>
        <w:t xml:space="preserve"> </w:t>
      </w:r>
      <w:r>
        <w:t xml:space="preserve">um estudo aberto de determinação de dose com 24 crianças e adolescentes com suspeita de deficiência de hormônio do crescimento não encontrou efeitos colaterais atribuíveis à macimorelina</w:t>
      </w:r>
      <w:r>
        <w:rPr>
          <w:rStyle w:val="FootnoteReference"/>
        </w:rPr>
        <w:footnoteReference w:id="1470"/>
      </w:r>
      <w:r>
        <w:t xml:space="preserve">. O estudo de fase 3 subsequente, DETECT, com 101 crianças</w:t>
      </w:r>
      <w:r>
        <w:rPr>
          <w:rStyle w:val="FootnoteReference"/>
        </w:rPr>
        <w:footnoteReference w:id="1471"/>
      </w:r>
      <w:r>
        <w:t xml:space="preserve">, foi concluído em junho de 2024; os resultados não estão depositados no registro, e não encontrei uma publicação no PubMed.</w:t>
      </w:r>
    </w:p>
    <w:p>
      <w:pPr>
        <w:numPr>
          <w:ilvl w:val="0"/>
          <w:numId w:val="1172"/>
        </w:numPr>
        <w:pStyle w:val="Compact"/>
      </w:pPr>
      <w:r>
        <w:rPr>
          <w:bCs/>
          <w:b/>
        </w:rPr>
        <w:t xml:space="preserve">Caquexia tumoral:</w:t>
      </w:r>
      <w:r>
        <w:t xml:space="preserve"> </w:t>
      </w:r>
      <w:r>
        <w:t xml:space="preserve">em um estudo piloto com 15 pacientes com câncer e perda de peso patológica, a macimorelina foi bem tolerada por uma semana; peso e qualidade de vida melhoraram numericamente, mas sem diferença significativa em relação ao placebo</w:t>
      </w:r>
      <w:r>
        <w:rPr>
          <w:rStyle w:val="FootnoteReference"/>
        </w:rPr>
        <w:footnoteReference w:id="1472"/>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Fase 3, estudo 1 (Garcia 2013), PMID 23559086</w:t>
            </w:r>
          </w:p>
        </w:tc>
        <w:tc>
          <w:tcPr/>
          <w:p>
            <w:pPr>
              <w:pStyle w:val="Compact"/>
              <w:jc w:val="left"/>
            </w:pPr>
            <w:r>
              <w:t xml:space="preserve">50 adultos com deficiência de GH, 48 saudáveis; comparação com arginina+GHRH</w:t>
            </w:r>
          </w:p>
        </w:tc>
        <w:tc>
          <w:tcPr/>
          <w:p>
            <w:pPr>
              <w:pStyle w:val="Compact"/>
              <w:jc w:val="left"/>
            </w:pPr>
            <w:r>
              <w:t xml:space="preserve">teste único</w:t>
            </w:r>
          </w:p>
        </w:tc>
        <w:tc>
          <w:tcPr/>
          <w:p>
            <w:pPr>
              <w:pStyle w:val="Compact"/>
              <w:jc w:val="left"/>
            </w:pPr>
            <w:r>
              <w:t xml:space="preserve">sensibilidade 82%, especificidade 92%</w:t>
            </w:r>
          </w:p>
        </w:tc>
      </w:tr>
      <w:tr>
        <w:tc>
          <w:tcPr/>
          <w:p>
            <w:pPr>
              <w:pStyle w:val="Compact"/>
              <w:jc w:val="left"/>
            </w:pPr>
            <w:r>
              <w:t xml:space="preserve">Fase 3, estudo 2 (Garcia 2018), PMID 29860473</w:t>
            </w:r>
          </w:p>
        </w:tc>
        <w:tc>
          <w:tcPr/>
          <w:p>
            <w:pPr>
              <w:pStyle w:val="Compact"/>
              <w:jc w:val="left"/>
            </w:pPr>
            <w:r>
              <w:t xml:space="preserve">adultos com diferentes probabilidades pré-teste e saudáveis; estudo cruzado randomizado contra TTI</w:t>
            </w:r>
          </w:p>
        </w:tc>
        <w:tc>
          <w:tcPr/>
          <w:p>
            <w:pPr>
              <w:pStyle w:val="Compact"/>
              <w:jc w:val="left"/>
            </w:pPr>
            <w:r>
              <w:t xml:space="preserve">testes únicos</w:t>
            </w:r>
          </w:p>
        </w:tc>
        <w:tc>
          <w:tcPr/>
          <w:p>
            <w:pPr>
              <w:pStyle w:val="Compact"/>
              <w:jc w:val="left"/>
            </w:pPr>
            <w:r>
              <w:t xml:space="preserve">sensibilidade 87%, especificidade 96%; reprodutibilidade 97%</w:t>
            </w:r>
          </w:p>
        </w:tc>
      </w:tr>
      <w:tr>
        <w:tc>
          <w:tcPr/>
          <w:p>
            <w:pPr>
              <w:pStyle w:val="Compact"/>
              <w:jc w:val="left"/>
            </w:pPr>
            <w:r>
              <w:t xml:space="preserve">Estudo de QT (Lissy 2021), PMID 32961034</w:t>
            </w:r>
          </w:p>
        </w:tc>
        <w:tc>
          <w:tcPr/>
          <w:p>
            <w:pPr>
              <w:pStyle w:val="Compact"/>
              <w:jc w:val="left"/>
            </w:pPr>
            <w:r>
              <w:t xml:space="preserve">60 saudáveis, randomizado, placebo e moxifloxacino</w:t>
            </w:r>
          </w:p>
        </w:tc>
        <w:tc>
          <w:tcPr/>
          <w:p>
            <w:pPr>
              <w:pStyle w:val="Compact"/>
              <w:jc w:val="left"/>
            </w:pPr>
            <w:r>
              <w:t xml:space="preserve">doses únicas</w:t>
            </w:r>
          </w:p>
        </w:tc>
        <w:tc>
          <w:tcPr/>
          <w:p>
            <w:pPr>
              <w:pStyle w:val="Compact"/>
              <w:jc w:val="left"/>
            </w:pPr>
            <w:r>
              <w:t xml:space="preserve">prolongamento do QT de até 9,61 ms com dose excessiva</w:t>
            </w:r>
          </w:p>
        </w:tc>
      </w:tr>
      <w:tr>
        <w:tc>
          <w:tcPr/>
          <w:p>
            <w:pPr>
              <w:pStyle w:val="Compact"/>
              <w:jc w:val="left"/>
            </w:pPr>
            <w:r>
              <w:t xml:space="preserve">Dados da prática (Yadav 2026), PMID 41793495</w:t>
            </w:r>
          </w:p>
        </w:tc>
        <w:tc>
          <w:tcPr/>
          <w:p>
            <w:pPr>
              <w:pStyle w:val="Compact"/>
              <w:jc w:val="left"/>
            </w:pPr>
            <w:r>
              <w:t xml:space="preserve">37 pessoas, retrospectivo</w:t>
            </w:r>
          </w:p>
        </w:tc>
        <w:tc>
          <w:tcPr/>
          <w:p>
            <w:pPr>
              <w:pStyle w:val="Compact"/>
              <w:jc w:val="left"/>
            </w:pPr>
            <w:r>
              <w:t xml:space="preserve">teste único</w:t>
            </w:r>
          </w:p>
        </w:tc>
        <w:tc>
          <w:tcPr/>
          <w:p>
            <w:pPr>
              <w:pStyle w:val="Compact"/>
              <w:jc w:val="left"/>
            </w:pPr>
            <w:r>
              <w:t xml:space="preserve">ponto de corte influencia o diagnóstico, sobretudo na obesidade</w:t>
            </w:r>
          </w:p>
        </w:tc>
      </w:tr>
      <w:tr>
        <w:tc>
          <w:tcPr/>
          <w:p>
            <w:pPr>
              <w:pStyle w:val="Compact"/>
              <w:jc w:val="left"/>
            </w:pPr>
            <w:r>
              <w:t xml:space="preserve">Caquexia (Herodes 2023), PMID 36860137</w:t>
            </w:r>
          </w:p>
        </w:tc>
        <w:tc>
          <w:tcPr/>
          <w:p>
            <w:pPr>
              <w:pStyle w:val="Compact"/>
              <w:jc w:val="left"/>
            </w:pPr>
            <w:r>
              <w:t xml:space="preserve">15 pacientes com câncer, ECR piloto</w:t>
            </w:r>
          </w:p>
        </w:tc>
        <w:tc>
          <w:tcPr/>
          <w:p>
            <w:pPr>
              <w:pStyle w:val="Compact"/>
              <w:jc w:val="left"/>
            </w:pPr>
            <w:r>
              <w:t xml:space="preserve">1 semana</w:t>
            </w:r>
          </w:p>
        </w:tc>
        <w:tc>
          <w:tcPr/>
          <w:p>
            <w:pPr>
              <w:pStyle w:val="Compact"/>
              <w:jc w:val="left"/>
            </w:pPr>
            <w:r>
              <w:t xml:space="preserve">bem tolerada, nenhum efeito significativo</w:t>
            </w:r>
          </w:p>
        </w:tc>
      </w:tr>
    </w:tbl>
    <w:bookmarkEnd w:id="1473"/>
    <w:bookmarkEnd w:id="1474"/>
    <w:bookmarkStart w:id="1477" w:name="estudos-em-animais-e-em-laboratório-30"/>
    <w:p>
      <w:pPr>
        <w:pStyle w:val="Heading3"/>
      </w:pPr>
      <w:r>
        <w:t xml:space="preserve">Estudos em animais e em laboratório</w:t>
      </w:r>
    </w:p>
    <w:p>
      <w:pPr>
        <w:pStyle w:val="FirstParagraph"/>
      </w:pPr>
      <w:r>
        <w:t xml:space="preserve">Em camundongos com epilepsia de difícil tratamento, a macimorelina reduziu, durante o tratamento de duas semanas, o número e a duração das crises, mas não alterou a evolução da doença</w:t>
      </w:r>
      <w:r>
        <w:rPr>
          <w:rStyle w:val="FootnoteReference"/>
        </w:rPr>
        <w:footnoteReference w:id="1475"/>
      </w:r>
      <w:r>
        <w:t xml:space="preserve">. Estudos estruturais mostram como a macimorelina se liga ao receptor de grelina</w:t>
      </w:r>
      <w:r>
        <w:rPr>
          <w:rStyle w:val="FootnoteReference"/>
        </w:rPr>
        <w:footnoteReference w:id="1476"/>
      </w:r>
      <w:r>
        <w:t xml:space="preserve">. Para o uso aprovado, esses trabalhos não são relevantes.</w:t>
      </w:r>
    </w:p>
    <w:bookmarkEnd w:id="1477"/>
    <w:bookmarkStart w:id="1482" w:name="riscos-e-efeitos-colaterais-30"/>
    <w:p>
      <w:pPr>
        <w:pStyle w:val="Heading3"/>
      </w:pPr>
      <w:r>
        <w:t xml:space="preserve">Riscos e efeitos colaterais</w:t>
      </w:r>
    </w:p>
    <w:p>
      <w:pPr>
        <w:pStyle w:val="FirstParagraph"/>
      </w:pPr>
      <w:r>
        <w:rPr>
          <w:bCs/>
          <w:b/>
        </w:rPr>
        <w:t xml:space="preserve">Comprovado:</w:t>
      </w:r>
      <w:r>
        <w:t xml:space="preserve"> </w:t>
      </w:r>
      <w:r>
        <w:t xml:space="preserve">a macimorelina é tomada apenas uma vez por teste; os efeitos colaterais são, portanto, limitados. No estudo de aprovação, não ocorreram efeitos colaterais graves causados pela macimorelina</w:t>
      </w:r>
      <w:r>
        <w:rPr>
          <w:rStyle w:val="FootnoteReference"/>
        </w:rPr>
        <w:footnoteReference w:id="1478"/>
      </w:r>
      <w:r>
        <w:t xml:space="preserve">. ACTH, cortisol e prolactina sobem temporariamente</w:t>
      </w:r>
      <w:r>
        <w:rPr>
          <w:rStyle w:val="FootnoteReference"/>
        </w:rPr>
        <w:footnoteReference w:id="1479"/>
      </w:r>
      <w:r>
        <w:t xml:space="preserve">.</w:t>
      </w:r>
    </w:p>
    <w:p>
      <w:pPr>
        <w:pStyle w:val="BodyText"/>
      </w:pPr>
      <w:r>
        <w:rPr>
          <w:bCs/>
          <w:b/>
        </w:rPr>
        <w:t xml:space="preserve">Prolongamento do QT:</w:t>
      </w:r>
      <w:r>
        <w:t xml:space="preserve"> </w:t>
      </w:r>
      <w:r>
        <w:t xml:space="preserve">em um estudo minucioso de ECG com 60 pessoas saudáveis, uma dose única intencionalmente excessiva (supraterapêutica) prolongou o intervalo QT – uma medida da repolarização do coração – em média em até 9,61 milissegundos; o limite superior do intervalo de confiança ultrapassou o limiar regulatório de 10 milissegundos</w:t>
      </w:r>
      <w:r>
        <w:rPr>
          <w:rStyle w:val="FootnoteReference"/>
        </w:rPr>
        <w:footnoteReference w:id="1480"/>
      </w:r>
      <w:r>
        <w:t xml:space="preserve">. Por isso, é necessária cautela em pessoas que tomam outros medicamentos que prolongam o QT. Os detalhes sobre contraindicações e interações estão na bula técnica; o teste é realizado por médicos.</w:t>
      </w:r>
    </w:p>
    <w:p>
      <w:pPr>
        <w:pStyle w:val="BodyText"/>
      </w:pPr>
      <w:r>
        <w:rPr>
          <w:bCs/>
          <w:b/>
        </w:rPr>
        <w:t xml:space="preserve">Diagnósticos errados:</w:t>
      </w:r>
      <w:r>
        <w:t xml:space="preserve"> </w:t>
      </w:r>
      <w:r>
        <w:t xml:space="preserve">como todo teste de estimulação, também o teste de macimorelina pode fornecer resultados falso-positivos e falso-negativos, especialmente em caso de obesidade acentuada</w:t>
      </w:r>
      <w:r>
        <w:rPr>
          <w:rStyle w:val="FootnoteReference"/>
        </w:rPr>
        <w:footnoteReference w:id="1481"/>
      </w:r>
      <w:r>
        <w:t xml:space="preserve">.</w:t>
      </w:r>
    </w:p>
    <w:p>
      <w:pPr>
        <w:pStyle w:val="BodyText"/>
      </w:pPr>
      <w:r>
        <w:t xml:space="preserve">Um risco de câncer não é de esperar com uma administração única; a discussão sobre IGF-1 continuamente elevado (veja a introdução deste grupo) não se aplica, portanto, à macimorelina.</w:t>
      </w:r>
    </w:p>
    <w:bookmarkEnd w:id="1482"/>
    <w:bookmarkStart w:id="1484" w:name="situação-legal-30"/>
    <w:p>
      <w:pPr>
        <w:pStyle w:val="Heading3"/>
      </w:pPr>
      <w:r>
        <w:t xml:space="preserve">Situação legal</w:t>
      </w:r>
    </w:p>
    <w:p>
      <w:pPr>
        <w:pStyle w:val="FirstParagraph"/>
      </w:pPr>
      <w:r>
        <w:rPr>
          <w:iCs/>
          <w:i/>
        </w:rPr>
        <w:t xml:space="preserve">Situação em 2026, verificar atualização.</w:t>
      </w:r>
    </w:p>
    <w:p>
      <w:pPr>
        <w:numPr>
          <w:ilvl w:val="0"/>
          <w:numId w:val="1173"/>
        </w:numPr>
        <w:pStyle w:val="Compact"/>
      </w:pPr>
      <w:r>
        <w:rPr>
          <w:bCs/>
          <w:b/>
        </w:rPr>
        <w:t xml:space="preserve">UE:</w:t>
      </w:r>
      <w:r>
        <w:t xml:space="preserve"> </w:t>
      </w:r>
      <w:r>
        <w:t xml:space="preserve">aprovação centralizada para o diagnóstico da deficiência de hormônio do crescimento em adultos. Se o preparado está de fato à venda na Alemanha e na Áustria depende das decisões de distribuição do titular da autorização e deve ser verificado atualmente.</w:t>
      </w:r>
    </w:p>
    <w:p>
      <w:pPr>
        <w:numPr>
          <w:ilvl w:val="0"/>
          <w:numId w:val="1173"/>
        </w:numPr>
        <w:pStyle w:val="Compact"/>
      </w:pPr>
      <w:r>
        <w:rPr>
          <w:bCs/>
          <w:b/>
        </w:rPr>
        <w:t xml:space="preserve">EUA:</w:t>
      </w:r>
      <w:r>
        <w:t xml:space="preserve"> </w:t>
      </w:r>
      <w:r>
        <w:t xml:space="preserve">aprovada (Macrilen) para a mesma indicação; os direitos de distribuição mudaram nos últimos anos.</w:t>
      </w:r>
    </w:p>
    <w:p>
      <w:pPr>
        <w:numPr>
          <w:ilvl w:val="0"/>
          <w:numId w:val="1173"/>
        </w:numPr>
        <w:pStyle w:val="Compact"/>
      </w:pPr>
      <w:r>
        <w:rPr>
          <w:bCs/>
          <w:b/>
        </w:rPr>
        <w:t xml:space="preserve">Uso:</w:t>
      </w:r>
      <w:r>
        <w:t xml:space="preserve"> </w:t>
      </w:r>
      <w:r>
        <w:t xml:space="preserve">exclusivamente como teste funcional realizado por médicos conforme a bula técnica; nenhuma aprovação terapêutica.</w:t>
      </w:r>
    </w:p>
    <w:p>
      <w:pPr>
        <w:numPr>
          <w:ilvl w:val="0"/>
          <w:numId w:val="1173"/>
        </w:numPr>
        <w:pStyle w:val="Compact"/>
      </w:pPr>
      <w:r>
        <w:rPr>
          <w:bCs/>
          <w:b/>
        </w:rPr>
        <w:t xml:space="preserve">WADA:</w:t>
      </w:r>
      <w:r>
        <w:t xml:space="preserve"> </w:t>
      </w:r>
      <w:r>
        <w:t xml:space="preserve">proibida (S2). Para controles antidoping, foram caracterizados produtos de degradação da macimorelina e de miméticos de grelina relacionados</w:t>
      </w:r>
      <w:r>
        <w:rPr>
          <w:rStyle w:val="FootnoteReference"/>
        </w:rPr>
        <w:footnoteReference w:id="1483"/>
      </w:r>
      <w:r>
        <w:t xml:space="preserve">.</w:t>
      </w:r>
    </w:p>
    <w:bookmarkEnd w:id="1484"/>
    <w:bookmarkStart w:id="1487" w:name="estudos-em-andamento-e-perspectivas-30"/>
    <w:p>
      <w:pPr>
        <w:pStyle w:val="Heading3"/>
      </w:pPr>
      <w:r>
        <w:t xml:space="preserve">Estudos em andamento e perspectivas</w:t>
      </w:r>
    </w:p>
    <w:p>
      <w:pPr>
        <w:pStyle w:val="FirstParagraph"/>
      </w:pPr>
      <w:r>
        <w:rPr>
          <w:iCs/>
          <w:i/>
        </w:rPr>
        <w:t xml:space="preserve">Comprovado:</w:t>
      </w:r>
      <w:r>
        <w:t xml:space="preserve"> </w:t>
      </w:r>
      <w:r>
        <w:t xml:space="preserve">o estudo pediátrico DETECT</w:t>
      </w:r>
      <w:r>
        <w:rPr>
          <w:rStyle w:val="FootnoteReference"/>
        </w:rPr>
        <w:footnoteReference w:id="1485"/>
      </w:r>
      <w:r>
        <w:t xml:space="preserve"> </w:t>
      </w:r>
      <w:r>
        <w:t xml:space="preserve">foi concluído; os resultados ainda não foram divulgados. Outro estudo examinou como a macimorelina influencia o hormônio copeptina</w:t>
      </w:r>
      <w:r>
        <w:rPr>
          <w:rStyle w:val="FootnoteReference"/>
        </w:rPr>
        <w:footnoteReference w:id="1486"/>
      </w:r>
      <w:r>
        <w:t xml:space="preserve">.</w:t>
      </w:r>
      <w:r>
        <w:t xml:space="preserve"> </w:t>
      </w:r>
      <w:r>
        <w:rPr>
          <w:iCs/>
          <w:i/>
        </w:rPr>
        <w:t xml:space="preserve">Avaliação do autor:</w:t>
      </w:r>
      <w:r>
        <w:t xml:space="preserve"> </w:t>
      </w:r>
      <w:r>
        <w:t xml:space="preserve">uma ampliação da aprovação para crianças seria o próximo passo lógico, mas depende do resultado do estudo DETECT. Um uso terapêutico, por exemplo na caquexia, não se vislumbra com base nos dados atuais.</w:t>
      </w:r>
    </w:p>
    <w:bookmarkEnd w:id="1487"/>
    <w:bookmarkStart w:id="1488" w:name="conclusão-30"/>
    <w:p>
      <w:pPr>
        <w:pStyle w:val="Heading3"/>
      </w:pPr>
      <w:r>
        <w:t xml:space="preserve">Conclusão</w:t>
      </w:r>
    </w:p>
    <w:p>
      <w:pPr>
        <w:pStyle w:val="FirstParagraph"/>
      </w:pPr>
      <w:r>
        <w:t xml:space="preserve">A macimorelina é um agente diagnóstico aprovado nos EUA e na UE: um teste bebido uma única vez identifica a deficiência de hormônio do crescimento em adultos de forma quase tão confiável quanto o desgastante teste de insulina, com 87% de sensibilidade e 96% de especificidade no estudo de aprovação. O efeito colateral conhecido mais importante é um pequeno prolongamento do intervalo QT com dose excessiva. Para tratamento, ganho muscular ou</w:t>
      </w:r>
      <w:r>
        <w:t xml:space="preserve"> </w:t>
      </w:r>
      <w:r>
        <w:t xml:space="preserve">“</w:t>
      </w:r>
      <w:r>
        <w:t xml:space="preserve">anti-aging</w:t>
      </w:r>
      <w:r>
        <w:t xml:space="preserve">”</w:t>
      </w:r>
      <w:r>
        <w:t xml:space="preserve">, a macimorelina não foi concebida nem estudada.</w:t>
      </w:r>
    </w:p>
    <w:bookmarkEnd w:id="1488"/>
    <w:bookmarkEnd w:id="1489"/>
    <w:bookmarkStart w:id="1529" w:name="mecasermina-igf-1"/>
    <w:p>
      <w:pPr>
        <w:pStyle w:val="Heading2"/>
      </w:pPr>
      <w:r>
        <w:t xml:space="preserve">Mecasermina (IGF-1)</w:t>
      </w:r>
    </w:p>
    <w:p>
      <w:pPr>
        <w:pStyle w:val="FirstParagraph"/>
      </w:pPr>
      <w:r>
        <w:t xml:space="preserve">A mecasermina é IGF-1 humano produzido por engenharia genética – ou seja, o mensageiro por meio do qual o hormônio do crescimento exerce grande parte do seu efeito. Como medicamento (Increlex), está aprovada para um grupo muito raro de crianças: crianças cujo organismo produz hormônio do crescimento suficiente, mas não reage a ele e, por isso, quase não produz IGF-1. A mecasermina é, assim, um raro exemplo de peptídeo aprovado deste grupo – e, ao mesmo tempo, a substância na qual a questão da hipoglicemia e do risco de câncer pelo IGF-1 se coloca de forma mais nítida.</w:t>
      </w:r>
    </w:p>
    <w:bookmarkStart w:id="1490" w:name="ficha-técnica-31"/>
    <w:p>
      <w:pPr>
        <w:pStyle w:val="Heading3"/>
      </w:pPr>
      <w:r>
        <w:t xml:space="preserve">Ficha técnica</w:t>
      </w:r>
    </w:p>
    <w:p>
      <w:pPr>
        <w:numPr>
          <w:ilvl w:val="0"/>
          <w:numId w:val="1174"/>
        </w:numPr>
        <w:pStyle w:val="Compact"/>
      </w:pPr>
      <w:r>
        <w:rPr>
          <w:bCs/>
          <w:b/>
        </w:rPr>
        <w:t xml:space="preserve">Tipo e estrutura:</w:t>
      </w:r>
      <w:r>
        <w:t xml:space="preserve"> </w:t>
      </w:r>
      <w:r>
        <w:t xml:space="preserve">IGF-1 humano recombinante (produzido por engenharia genética em bactérias) de 70 aminoácidos, idêntico ao hormônio do próprio organismo.</w:t>
      </w:r>
    </w:p>
    <w:p>
      <w:pPr>
        <w:numPr>
          <w:ilvl w:val="0"/>
          <w:numId w:val="1174"/>
        </w:numPr>
        <w:pStyle w:val="Compact"/>
      </w:pPr>
      <w:r>
        <w:rPr>
          <w:bCs/>
          <w:b/>
        </w:rPr>
        <w:t xml:space="preserve">Origem:</w:t>
      </w:r>
      <w:r>
        <w:t xml:space="preserve"> </w:t>
      </w:r>
      <w:r>
        <w:t xml:space="preserve">o IGF-1 foi descrito nos anos 1970 como</w:t>
      </w:r>
      <w:r>
        <w:t xml:space="preserve"> </w:t>
      </w:r>
      <w:r>
        <w:t xml:space="preserve">“</w:t>
      </w:r>
      <w:r>
        <w:t xml:space="preserve">somatomedina</w:t>
      </w:r>
      <w:r>
        <w:t xml:space="preserve">”</w:t>
      </w:r>
      <w:r>
        <w:t xml:space="preserve">; a mecasermina foi desenvolvida pela Tercica e comercializada pela Ipsen, hoje por outro titular da autorização.</w:t>
      </w:r>
    </w:p>
    <w:p>
      <w:pPr>
        <w:numPr>
          <w:ilvl w:val="0"/>
          <w:numId w:val="1174"/>
        </w:numPr>
        <w:pStyle w:val="Compact"/>
      </w:pPr>
      <w:r>
        <w:rPr>
          <w:bCs/>
          <w:b/>
        </w:rPr>
        <w:t xml:space="preserve">Princípio de ação:</w:t>
      </w:r>
      <w:r>
        <w:t xml:space="preserve"> </w:t>
      </w:r>
      <w:r>
        <w:t xml:space="preserve">liga-se ao receptor de IGF-1 e substitui diretamente o IGF-1 ausente; promove o crescimento, tem ação anabólica e – em doses mais altas – reduz a glicemia de modo semelhante à insulina.</w:t>
      </w:r>
    </w:p>
    <w:p>
      <w:pPr>
        <w:numPr>
          <w:ilvl w:val="0"/>
          <w:numId w:val="1174"/>
        </w:numPr>
        <w:pStyle w:val="Compact"/>
      </w:pPr>
      <w:r>
        <w:rPr>
          <w:bCs/>
          <w:b/>
        </w:rPr>
        <w:t xml:space="preserve">Aprovação UE:</w:t>
      </w:r>
      <w:r>
        <w:t xml:space="preserve"> </w:t>
      </w:r>
      <w:r>
        <w:t xml:space="preserve">sim (Increlex) para o tratamento a longo prazo de distúrbios do crescimento em crianças e adolescentes com deficiência primária grave de IGF-1.</w:t>
      </w:r>
      <w:r>
        <w:t xml:space="preserve"> </w:t>
      </w:r>
      <w:r>
        <w:rPr>
          <w:bCs/>
          <w:b/>
        </w:rPr>
        <w:t xml:space="preserve">Aprovação EUA:</w:t>
      </w:r>
      <w:r>
        <w:t xml:space="preserve"> </w:t>
      </w:r>
      <w:r>
        <w:t xml:space="preserve">sim (Increlex), mesma indicação.</w:t>
      </w:r>
    </w:p>
    <w:p>
      <w:pPr>
        <w:numPr>
          <w:ilvl w:val="0"/>
          <w:numId w:val="1174"/>
        </w:numPr>
        <w:pStyle w:val="Compact"/>
      </w:pPr>
      <w:r>
        <w:rPr>
          <w:bCs/>
          <w:b/>
        </w:rPr>
        <w:t xml:space="preserve">WADA:</w:t>
      </w:r>
      <w:r>
        <w:t xml:space="preserve"> </w:t>
      </w:r>
      <w:r>
        <w:t xml:space="preserve">proibida, grupo S2 (IGF-1 e seus análogos como fatores de crescimento).</w:t>
      </w:r>
    </w:p>
    <w:p>
      <w:pPr>
        <w:numPr>
          <w:ilvl w:val="0"/>
          <w:numId w:val="1174"/>
        </w:numPr>
        <w:pStyle w:val="Compact"/>
      </w:pPr>
      <w:r>
        <w:rPr>
          <w:bCs/>
          <w:b/>
        </w:rPr>
        <w:t xml:space="preserve">Nível de evidência: A</w:t>
      </w:r>
      <w:r>
        <w:t xml:space="preserve"> </w:t>
      </w:r>
      <w:r>
        <w:t xml:space="preserve">– aprovada na UE e nos EUA. Ressalva: devido à raridade da doença, a aprovação se baseia em estudos abertos de longo prazo e registros, não em grandes estudos randomizados. Há estudos randomizados sobre outras aplicações, como a ELA (negativos).</w:t>
      </w:r>
    </w:p>
    <w:bookmarkEnd w:id="1490"/>
    <w:bookmarkStart w:id="1492" w:name="como-deveria-agir-31"/>
    <w:p>
      <w:pPr>
        <w:pStyle w:val="Heading3"/>
      </w:pPr>
      <w:r>
        <w:t xml:space="preserve">Como deveria agir</w:t>
      </w:r>
    </w:p>
    <w:p>
      <w:pPr>
        <w:pStyle w:val="FirstParagraph"/>
      </w:pPr>
      <w:r>
        <w:t xml:space="preserve">O hormônio do crescimento da hipófise age sobretudo no fígado, que então produz IGF-1. O IGF-1, por sua vez, faz os ossos crescerem em comprimento e promove a formação de músculo e de outros tecidos. Em algumas crianças essa cadeia está interrompida: seu receptor de hormônio do crescimento não funciona devido a uma alteração genética, ou a transmissão do sinal está comprometida. O exemplo clássico é a síndrome de Laron. Essas crianças têm muito hormônio do crescimento, mas quase nenhum IGF-1, e injeções de hormônio do crescimento não as ajudam. Sem tratamento, quando adultas muitas vezes atingem apenas 120 a 130 cm</w:t>
      </w:r>
      <w:r>
        <w:rPr>
          <w:rStyle w:val="FootnoteReference"/>
        </w:rPr>
        <w:footnoteReference w:id="1491"/>
      </w:r>
      <w:r>
        <w:t xml:space="preserve">.</w:t>
      </w:r>
    </w:p>
    <w:p>
      <w:pPr>
        <w:pStyle w:val="BodyText"/>
      </w:pPr>
      <w:r>
        <w:t xml:space="preserve">A mecasermina contorna a etapa defeituosa e fornece IGF-1 diretamente. Como o IGF-1 se assemelha à insulina, ele pode baixar a glicemia – o efeito colateral mais importante.</w:t>
      </w:r>
    </w:p>
    <w:bookmarkEnd w:id="1492"/>
    <w:bookmarkStart w:id="1508" w:name="estudos-em-humanos-31"/>
    <w:p>
      <w:pPr>
        <w:pStyle w:val="Heading3"/>
      </w:pPr>
      <w:r>
        <w:t xml:space="preserve">Estudos em humanos</w:t>
      </w:r>
    </w:p>
    <w:p>
      <w:pPr>
        <w:pStyle w:val="FirstParagraph"/>
      </w:pPr>
      <w:r>
        <w:rPr>
          <w:bCs/>
          <w:b/>
        </w:rPr>
        <w:t xml:space="preserve">Dimensão do conjunto de estudos (consulta de outubro de 2026):</w:t>
      </w:r>
      <w:r>
        <w:t xml:space="preserve"> </w:t>
      </w:r>
      <w:r>
        <w:t xml:space="preserve">a busca automatizada deste livro encontrou</w:t>
      </w:r>
      <w:r>
        <w:t xml:space="preserve"> </w:t>
      </w:r>
      <w:r>
        <w:rPr>
          <w:bCs/>
          <w:b/>
        </w:rPr>
        <w:t xml:space="preserve">21</w:t>
      </w:r>
      <w:r>
        <w:t xml:space="preserve"> </w:t>
      </w:r>
      <w:r>
        <w:t xml:space="preserve">estudos em humanos no PubMed (</w:t>
      </w:r>
      <w:r>
        <w:rPr>
          <w:rStyle w:val="VerbatimChar"/>
        </w:rPr>
        <w:t xml:space="preserve">humanstudien_alle</w:t>
      </w:r>
      <w:r>
        <w:t xml:space="preserve">) e</w:t>
      </w:r>
      <w:r>
        <w:t xml:space="preserve"> </w:t>
      </w:r>
      <w:r>
        <w:rPr>
          <w:bCs/>
          <w:b/>
        </w:rPr>
        <w:t xml:space="preserve">37</w:t>
      </w:r>
      <w:r>
        <w:t xml:space="preserve"> </w:t>
      </w:r>
      <w:r>
        <w:t xml:space="preserve">registros no ClinicalTrials.gov; alguns desses registros tratam de outros temas e aparecem apenas por causa do termo de busca. Somam-se três revisões sistemáticas. Uma busca direcionada adicional revelou os importantes estudos de longo prazo e análises de registros sobre a indicação aprovada.</w:t>
      </w:r>
    </w:p>
    <w:bookmarkStart w:id="1498" w:name="Xa0de77d799017ed91a78d6e20f04597fde78c5e"/>
    <w:p>
      <w:pPr>
        <w:pStyle w:val="Heading4"/>
      </w:pPr>
      <w:r>
        <w:t xml:space="preserve">Deficiência primária grave de IGF-1 em crianças</w:t>
      </w:r>
    </w:p>
    <w:p>
      <w:pPr>
        <w:pStyle w:val="FirstParagraph"/>
      </w:pPr>
      <w:r>
        <w:t xml:space="preserve">A base da aprovação é um estudo predominantemente aberto, com duração de até doze anos, com 76 crianças com deficiência de IGF-1 por resistência ao hormônio do crescimento. A velocidade de crescimento subiu de uma média de 2,8 cm por ano antes do tratamento para 8,0 cm no primeiro ano de tratamento; nos anos seguintes caiu, mas permaneceu acima do valor inicial por até oito anos. O efeito colateral mais frequente foi hipoglicemia (em 49% das crianças, embora já observada antes do início da terapia), seguido de alterações do tecido adiposo no local da injeção (32%) e aumento das amígdalas e adenoides (22%)</w:t>
      </w:r>
      <w:r>
        <w:rPr>
          <w:rStyle w:val="FootnoteReference"/>
        </w:rPr>
        <w:footnoteReference w:id="1493"/>
      </w:r>
      <w:r>
        <w:t xml:space="preserve">.</w:t>
      </w:r>
    </w:p>
    <w:p>
      <w:pPr>
        <w:pStyle w:val="BodyText"/>
      </w:pPr>
      <w:r>
        <w:t xml:space="preserve">Desde 2008, um registro europeu, hoje global, coleta dados da prática clínica</w:t>
      </w:r>
      <w:r>
        <w:rPr>
          <w:rStyle w:val="FootnoteReference"/>
        </w:rPr>
        <w:footnoteReference w:id="1494"/>
      </w:r>
      <w:r>
        <w:t xml:space="preserve">. Em 138 crianças pré-púberes não tratadas anteriormente, a estatura melhorou no primeiro ano; crianças com síndrome de Laron responderam um pouco melhor, e entre as demais 56% foram consideradas respondedoras. 65,3% das crianças tiveram pelo menos um efeito indesejado, mais frequentemente hipoglicemia</w:t>
      </w:r>
      <w:r>
        <w:rPr>
          <w:rStyle w:val="FootnoteReference"/>
        </w:rPr>
        <w:footnoteReference w:id="1495"/>
      </w:r>
      <w:r>
        <w:t xml:space="preserve">. 102 crianças e adolescentes que já tinham atingido quase a estatura final ganharam em média 0,9 desvio padrão de altura, e 1,4 quando o tratamento começou antes da puberdade. Quase metade dessas crianças tratadas precocemente atingiu uma estatura dentro da faixa normal; na síndrome de Laron, apenas 10,5%</w:t>
      </w:r>
      <w:r>
        <w:rPr>
          <w:rStyle w:val="FootnoteReference"/>
        </w:rPr>
        <w:footnoteReference w:id="1496"/>
      </w:r>
      <w:r>
        <w:t xml:space="preserve">. Hipoglicemias graves foram raras, com 0,01 evento por paciente e ano de tratamento; estavam em risco sobretudo crianças com síndrome de Laron ou hipoglicemias anteriores</w:t>
      </w:r>
      <w:r>
        <w:rPr>
          <w:rStyle w:val="FootnoteReference"/>
        </w:rPr>
        <w:footnoteReference w:id="1497"/>
      </w:r>
      <w:r>
        <w:t xml:space="preserve">.</w:t>
      </w:r>
    </w:p>
    <w:bookmarkEnd w:id="1498"/>
    <w:bookmarkStart w:id="1507" w:name="outras-aplicações-1"/>
    <w:p>
      <w:pPr>
        <w:pStyle w:val="Heading4"/>
      </w:pPr>
      <w:r>
        <w:t xml:space="preserve">Outras aplicações</w:t>
      </w:r>
    </w:p>
    <w:p>
      <w:pPr>
        <w:numPr>
          <w:ilvl w:val="0"/>
          <w:numId w:val="1175"/>
        </w:numPr>
        <w:pStyle w:val="Compact"/>
      </w:pPr>
      <w:r>
        <w:rPr>
          <w:bCs/>
          <w:b/>
        </w:rPr>
        <w:t xml:space="preserve">ELA:</w:t>
      </w:r>
      <w:r>
        <w:t xml:space="preserve"> </w:t>
      </w:r>
      <w:r>
        <w:t xml:space="preserve">em um estudo de fase 3 com 330 pessoas com esclerose lateral amiotrófica, o IGF-1 não trouxe, ao longo de dois anos, diferença em relação ao placebo – nem na força muscular nem na sobrevida sem traqueostomia</w:t>
      </w:r>
      <w:r>
        <w:rPr>
          <w:rStyle w:val="FootnoteReference"/>
        </w:rPr>
        <w:footnoteReference w:id="1499"/>
      </w:r>
      <w:r>
        <w:t xml:space="preserve">.</w:t>
      </w:r>
    </w:p>
    <w:p>
      <w:pPr>
        <w:numPr>
          <w:ilvl w:val="0"/>
          <w:numId w:val="1175"/>
        </w:numPr>
        <w:pStyle w:val="Compact"/>
      </w:pPr>
      <w:r>
        <w:rPr>
          <w:bCs/>
          <w:b/>
        </w:rPr>
        <w:t xml:space="preserve">Distrofia muscular de Duchenne:</w:t>
      </w:r>
      <w:r>
        <w:t xml:space="preserve"> </w:t>
      </w:r>
      <w:r>
        <w:t xml:space="preserve">em 17 meninos tratados frente a 21 controles, os meninos cresceram mais rápido ao longo de seis meses (6,5 vs. 3,3 cm por ano), mas a distância percorrida no teste de 6 minutos não se alterou</w:t>
      </w:r>
      <w:r>
        <w:rPr>
          <w:rStyle w:val="FootnoteReference"/>
        </w:rPr>
        <w:footnoteReference w:id="1500"/>
      </w:r>
      <w:r>
        <w:t xml:space="preserve">.</w:t>
      </w:r>
    </w:p>
    <w:p>
      <w:pPr>
        <w:numPr>
          <w:ilvl w:val="0"/>
          <w:numId w:val="1175"/>
        </w:numPr>
        <w:pStyle w:val="Compact"/>
      </w:pPr>
      <w:r>
        <w:rPr>
          <w:bCs/>
          <w:b/>
        </w:rPr>
        <w:t xml:space="preserve">Síndrome de Rett:</w:t>
      </w:r>
      <w:r>
        <w:t xml:space="preserve"> </w:t>
      </w:r>
      <w:r>
        <w:t xml:space="preserve">uma revisão sistemática descreve indícios de preservação de habilidades sociais e cognitivas, mas resultados inconsistentes, e pede estudos maiores</w:t>
      </w:r>
      <w:r>
        <w:rPr>
          <w:rStyle w:val="FootnoteReference"/>
        </w:rPr>
        <w:footnoteReference w:id="1501"/>
      </w:r>
      <w:r>
        <w:t xml:space="preserve">.</w:t>
      </w:r>
    </w:p>
    <w:p>
      <w:pPr>
        <w:numPr>
          <w:ilvl w:val="0"/>
          <w:numId w:val="1175"/>
        </w:numPr>
        <w:pStyle w:val="Compact"/>
      </w:pPr>
      <w:r>
        <w:rPr>
          <w:bCs/>
          <w:b/>
        </w:rPr>
        <w:t xml:space="preserve">Prematuros:</w:t>
      </w:r>
      <w:r>
        <w:t xml:space="preserve"> </w:t>
      </w:r>
      <w:r>
        <w:t xml:space="preserve">o IGF-1 junto com sua proteína de ligação IGFBP-3 não preveniu a retinopatia da prematuridade em 121 prematuros extremos, mas reduziu a displasia broncopulmonar grave (21,3% vs. 44,9%). Eventos graves fatais ocorreram em 19,7% das crianças tratadas e 11,7% das crianças do grupo controle</w:t>
      </w:r>
      <w:r>
        <w:rPr>
          <w:rStyle w:val="FootnoteReference"/>
        </w:rPr>
        <w:footnoteReference w:id="1502"/>
      </w:r>
      <w:r>
        <w:t xml:space="preserve">. Um estudo subsequente sobre o desenvolvimento pulmonar está em andamento</w:t>
      </w:r>
      <w:r>
        <w:rPr>
          <w:rStyle w:val="FootnoteReference"/>
        </w:rPr>
        <w:footnoteReference w:id="1503"/>
      </w:r>
      <w:r>
        <w:t xml:space="preserve">.</w:t>
      </w:r>
    </w:p>
    <w:p>
      <w:pPr>
        <w:numPr>
          <w:ilvl w:val="0"/>
          <w:numId w:val="1175"/>
        </w:numPr>
        <w:pStyle w:val="Compact"/>
      </w:pPr>
      <w:r>
        <w:rPr>
          <w:bCs/>
          <w:b/>
        </w:rPr>
        <w:t xml:space="preserve">Anorexia:</w:t>
      </w:r>
      <w:r>
        <w:t xml:space="preserve"> </w:t>
      </w:r>
      <w:r>
        <w:t xml:space="preserve">em 90 mulheres com anorexia nervosa, um tratamento de seis meses com IGF-1, seguido de um medicamento para os ossos, aumentou a densidade óssea da coluna mais do que o placebo</w:t>
      </w:r>
      <w:r>
        <w:rPr>
          <w:rStyle w:val="FootnoteReference"/>
        </w:rPr>
        <w:footnoteReference w:id="1504"/>
      </w:r>
      <w:r>
        <w:t xml:space="preserve">.</w:t>
      </w:r>
    </w:p>
    <w:p>
      <w:pPr>
        <w:numPr>
          <w:ilvl w:val="0"/>
          <w:numId w:val="1175"/>
        </w:numPr>
        <w:pStyle w:val="Compact"/>
      </w:pPr>
      <w:r>
        <w:rPr>
          <w:bCs/>
          <w:b/>
        </w:rPr>
        <w:t xml:space="preserve">Adultos com síndrome de Laron:</w:t>
      </w:r>
      <w:r>
        <w:t xml:space="preserve"> </w:t>
      </w:r>
      <w:r>
        <w:t xml:space="preserve">em dez adultos, após oito semanas de IGF-1 a proporção de gordura diminuiu e a massa magra aumentou</w:t>
      </w:r>
      <w:r>
        <w:rPr>
          <w:rStyle w:val="FootnoteReference"/>
        </w:rPr>
        <w:footnoteReference w:id="1505"/>
      </w:r>
      <w:r>
        <w:t xml:space="preserve">.</w:t>
      </w:r>
    </w:p>
    <w:p>
      <w:pPr>
        <w:numPr>
          <w:ilvl w:val="0"/>
          <w:numId w:val="1175"/>
        </w:numPr>
        <w:pStyle w:val="Compact"/>
      </w:pPr>
      <w:r>
        <w:rPr>
          <w:bCs/>
          <w:b/>
        </w:rPr>
        <w:t xml:space="preserve">Atletas:</w:t>
      </w:r>
      <w:r>
        <w:t xml:space="preserve"> </w:t>
      </w:r>
      <w:r>
        <w:t xml:space="preserve">em um estudo randomizado e duplo-cego com 56 atletas amadores ao longo de 28 dias, com IGF-1/IGFBP-3 alteraram-se os lipídios sanguíneos e os valores de insulina</w:t>
      </w:r>
      <w:r>
        <w:rPr>
          <w:rStyle w:val="FootnoteReference"/>
        </w:rPr>
        <w:footnoteReference w:id="1506"/>
      </w:r>
      <w:r>
        <w:t xml:space="preserve">. Esse estudo não fornece dados de desempenho.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Estudo de longo prazo (Chernausek 2007), PMID 17192294</w:t>
            </w:r>
          </w:p>
        </w:tc>
        <w:tc>
          <w:tcPr/>
          <w:p>
            <w:pPr>
              <w:pStyle w:val="Compact"/>
              <w:jc w:val="left"/>
            </w:pPr>
            <w:r>
              <w:t xml:space="preserve">76 crianças com resistência ao GH, predominantemente aberto</w:t>
            </w:r>
          </w:p>
        </w:tc>
        <w:tc>
          <w:tcPr/>
          <w:p>
            <w:pPr>
              <w:pStyle w:val="Compact"/>
              <w:jc w:val="left"/>
            </w:pPr>
            <w:r>
              <w:t xml:space="preserve">até 12 anos</w:t>
            </w:r>
          </w:p>
        </w:tc>
        <w:tc>
          <w:tcPr/>
          <w:p>
            <w:pPr>
              <w:pStyle w:val="Compact"/>
              <w:jc w:val="left"/>
            </w:pPr>
            <w:r>
              <w:t xml:space="preserve">crescimento 2,8 → 8,0 cm/ano no 1.º ano; hipoglicemia em 49%</w:t>
            </w:r>
          </w:p>
        </w:tc>
      </w:tr>
      <w:tr>
        <w:tc>
          <w:tcPr/>
          <w:p>
            <w:pPr>
              <w:pStyle w:val="Compact"/>
              <w:jc w:val="left"/>
            </w:pPr>
            <w:r>
              <w:t xml:space="preserve">Registro (Bang 2021), PMID 33434161</w:t>
            </w:r>
          </w:p>
        </w:tc>
        <w:tc>
          <w:tcPr/>
          <w:p>
            <w:pPr>
              <w:pStyle w:val="Compact"/>
              <w:jc w:val="left"/>
            </w:pPr>
            <w:r>
              <w:t xml:space="preserve">242 crianças, das quais 138 não tratadas antes da puberdade; observacional</w:t>
            </w:r>
          </w:p>
        </w:tc>
        <w:tc>
          <w:tcPr/>
          <w:p>
            <w:pPr>
              <w:pStyle w:val="Compact"/>
              <w:jc w:val="left"/>
            </w:pPr>
            <w:r>
              <w:t xml:space="preserve">até 5 anos</w:t>
            </w:r>
          </w:p>
        </w:tc>
        <w:tc>
          <w:tcPr/>
          <w:p>
            <w:pPr>
              <w:pStyle w:val="Compact"/>
              <w:jc w:val="left"/>
            </w:pPr>
            <w:r>
              <w:t xml:space="preserve">ganho de estatura; 65,3% com efeitos colaterais</w:t>
            </w:r>
          </w:p>
        </w:tc>
      </w:tr>
      <w:tr>
        <w:tc>
          <w:tcPr/>
          <w:p>
            <w:pPr>
              <w:pStyle w:val="Compact"/>
              <w:jc w:val="left"/>
            </w:pPr>
            <w:r>
              <w:t xml:space="preserve">Registro, estatura final (Ramon-Krauel 2026), PMID 40626687</w:t>
            </w:r>
          </w:p>
        </w:tc>
        <w:tc>
          <w:tcPr/>
          <w:p>
            <w:pPr>
              <w:pStyle w:val="Compact"/>
              <w:jc w:val="left"/>
            </w:pPr>
            <w:r>
              <w:t xml:space="preserve">102 adolescentes com estatura final quase atingida</w:t>
            </w:r>
          </w:p>
        </w:tc>
        <w:tc>
          <w:tcPr/>
          <w:p>
            <w:pPr>
              <w:pStyle w:val="Compact"/>
              <w:jc w:val="left"/>
            </w:pPr>
            <w:r>
              <w:t xml:space="preserve">mediana de 3,9 anos</w:t>
            </w:r>
          </w:p>
        </w:tc>
        <w:tc>
          <w:tcPr/>
          <w:p>
            <w:pPr>
              <w:pStyle w:val="Compact"/>
              <w:jc w:val="left"/>
            </w:pPr>
            <w:r>
              <w:t xml:space="preserve">+0,9 DP (tratamento precoce +1,4 DP)</w:t>
            </w:r>
          </w:p>
        </w:tc>
      </w:tr>
      <w:tr>
        <w:tc>
          <w:tcPr/>
          <w:p>
            <w:pPr>
              <w:pStyle w:val="Compact"/>
              <w:jc w:val="left"/>
            </w:pPr>
            <w:r>
              <w:t xml:space="preserve">ELA (Sorenson 2008), PMID 19029516</w:t>
            </w:r>
          </w:p>
        </w:tc>
        <w:tc>
          <w:tcPr/>
          <w:p>
            <w:pPr>
              <w:pStyle w:val="Compact"/>
              <w:jc w:val="left"/>
            </w:pPr>
            <w:r>
              <w:t xml:space="preserve">330 pessoas com ELA, ECR contra placebo</w:t>
            </w:r>
          </w:p>
        </w:tc>
        <w:tc>
          <w:tcPr/>
          <w:p>
            <w:pPr>
              <w:pStyle w:val="Compact"/>
              <w:jc w:val="left"/>
            </w:pPr>
            <w:r>
              <w:t xml:space="preserve">2 anos</w:t>
            </w:r>
          </w:p>
        </w:tc>
        <w:tc>
          <w:tcPr/>
          <w:p>
            <w:pPr>
              <w:pStyle w:val="Compact"/>
              <w:jc w:val="left"/>
            </w:pPr>
            <w:r>
              <w:t xml:space="preserve">nenhum benefício</w:t>
            </w:r>
          </w:p>
        </w:tc>
      </w:tr>
      <w:tr>
        <w:tc>
          <w:tcPr/>
          <w:p>
            <w:pPr>
              <w:pStyle w:val="Compact"/>
              <w:jc w:val="left"/>
            </w:pPr>
            <w:r>
              <w:t xml:space="preserve">Prematuros (Ley 2019), PMID 30471715</w:t>
            </w:r>
          </w:p>
        </w:tc>
        <w:tc>
          <w:tcPr/>
          <w:p>
            <w:pPr>
              <w:pStyle w:val="Compact"/>
              <w:jc w:val="left"/>
            </w:pPr>
            <w:r>
              <w:t xml:space="preserve">121 prematuros extremos, ECR contra tratamento padrão</w:t>
            </w:r>
          </w:p>
        </w:tc>
        <w:tc>
          <w:tcPr/>
          <w:p>
            <w:pPr>
              <w:pStyle w:val="Compact"/>
              <w:jc w:val="left"/>
            </w:pPr>
            <w:r>
              <w:t xml:space="preserve">até a 40.ª semana</w:t>
            </w:r>
          </w:p>
        </w:tc>
        <w:tc>
          <w:tcPr/>
          <w:p>
            <w:pPr>
              <w:pStyle w:val="Compact"/>
              <w:jc w:val="left"/>
            </w:pPr>
            <w:r>
              <w:t xml:space="preserve">nenhum efeito sobre a retina; menos DBP grave</w:t>
            </w:r>
          </w:p>
        </w:tc>
      </w:tr>
    </w:tbl>
    <w:bookmarkEnd w:id="1507"/>
    <w:bookmarkEnd w:id="1508"/>
    <w:bookmarkStart w:id="1511" w:name="estudos-em-animais-e-em-laboratório-31"/>
    <w:p>
      <w:pPr>
        <w:pStyle w:val="Heading3"/>
      </w:pPr>
      <w:r>
        <w:t xml:space="preserve">Estudos em animais e em laboratório</w:t>
      </w:r>
    </w:p>
    <w:p>
      <w:pPr>
        <w:pStyle w:val="FirstParagraph"/>
      </w:pPr>
      <w:r>
        <w:t xml:space="preserve">Os efeitos do IGF-1 sobre crescimento, músculo e metabolismo foram estudados de forma muito ampla em estudos com animais e células e constituem a base da terapia. Importantes para a questão da segurança são experimentos com células usando soro sanguíneo de pessoas com síndrome de Laron: células tratadas com esse soro pobre em IGF-1 e depois expostas a estresse oxidativo tiveram menos quebras de DNA, e células danificadas morreram com mais frequência</w:t>
      </w:r>
      <w:r>
        <w:rPr>
          <w:rStyle w:val="FootnoteReference"/>
        </w:rPr>
        <w:footnoteReference w:id="1509"/>
      </w:r>
      <w:r>
        <w:t xml:space="preserve">. Quando se acrescentava IGF-1 ao soro, essas diferenças desapareciam</w:t>
      </w:r>
      <w:r>
        <w:rPr>
          <w:rStyle w:val="FootnoteReference"/>
        </w:rPr>
        <w:footnoteReference w:id="1510"/>
      </w:r>
      <w:r>
        <w:t xml:space="preserve">. O IGF-1, portanto, tende a manter vivas também células danificadas – um possível mecanismo para um risco de câncer.</w:t>
      </w:r>
    </w:p>
    <w:bookmarkEnd w:id="1511"/>
    <w:bookmarkStart w:id="1522" w:name="riscos-e-efeitos-colaterais-31"/>
    <w:p>
      <w:pPr>
        <w:pStyle w:val="Heading3"/>
      </w:pPr>
      <w:r>
        <w:t xml:space="preserve">Riscos e efeitos colaterais</w:t>
      </w:r>
    </w:p>
    <w:p>
      <w:pPr>
        <w:pStyle w:val="FirstParagraph"/>
      </w:pPr>
      <w:r>
        <w:rPr>
          <w:bCs/>
          <w:b/>
        </w:rPr>
        <w:t xml:space="preserve">Comprovado:</w:t>
      </w:r>
    </w:p>
    <w:p>
      <w:pPr>
        <w:numPr>
          <w:ilvl w:val="0"/>
          <w:numId w:val="1176"/>
        </w:numPr>
        <w:pStyle w:val="Compact"/>
      </w:pPr>
      <w:r>
        <w:rPr>
          <w:bCs/>
          <w:b/>
        </w:rPr>
        <w:t xml:space="preserve">Hipoglicemia</w:t>
      </w:r>
      <w:r>
        <w:t xml:space="preserve"> </w:t>
      </w:r>
      <w:r>
        <w:t xml:space="preserve">– o efeito colateral mais frequente e mais importante, especialmente em crianças pequenas, na síndrome de Laron e após hipoglicemias anteriores</w:t>
      </w:r>
      <w:r>
        <w:rPr>
          <w:rStyle w:val="FootnoteReference"/>
        </w:rPr>
        <w:footnoteReference w:id="1512"/>
      </w:r>
      <w:r>
        <w:t xml:space="preserve">. Por isso, a bula técnica prescreve uma relação temporal estreita com as refeições; os detalhes estão na própria bula.</w:t>
      </w:r>
    </w:p>
    <w:p>
      <w:pPr>
        <w:numPr>
          <w:ilvl w:val="0"/>
          <w:numId w:val="1176"/>
        </w:numPr>
        <w:pStyle w:val="Compact"/>
      </w:pPr>
      <w:r>
        <w:rPr>
          <w:bCs/>
          <w:b/>
        </w:rPr>
        <w:t xml:space="preserve">Aumento das amígdalas e das adenoides</w:t>
      </w:r>
      <w:r>
        <w:t xml:space="preserve"> </w:t>
      </w:r>
      <w:r>
        <w:t xml:space="preserve">(22%) e alterações do tecido adiposo no local da injeção (32%)</w:t>
      </w:r>
      <w:r>
        <w:rPr>
          <w:rStyle w:val="FootnoteReference"/>
        </w:rPr>
        <w:footnoteReference w:id="1513"/>
      </w:r>
      <w:r>
        <w:t xml:space="preserve">.</w:t>
      </w:r>
    </w:p>
    <w:p>
      <w:pPr>
        <w:numPr>
          <w:ilvl w:val="0"/>
          <w:numId w:val="1176"/>
        </w:numPr>
        <w:pStyle w:val="Compact"/>
      </w:pPr>
      <w:r>
        <w:t xml:space="preserve">No estudo com prematuros, ocorreram numericamente mais eventos graves fatais com IGF-1/IGFBP-3 do que com o tratamento padrão</w:t>
      </w:r>
      <w:r>
        <w:rPr>
          <w:rStyle w:val="FootnoteReference"/>
        </w:rPr>
        <w:footnoteReference w:id="1514"/>
      </w:r>
      <w:r>
        <w:t xml:space="preserve">; o estudo não foi desenhado para avaliar essa diferença.</w:t>
      </w:r>
    </w:p>
    <w:p>
      <w:pPr>
        <w:pStyle w:val="FirstParagraph"/>
      </w:pPr>
      <w:r>
        <w:rPr>
          <w:bCs/>
          <w:b/>
        </w:rPr>
        <w:t xml:space="preserve">Risco de câncer – o que está comprovado e o que não está:</w:t>
      </w:r>
    </w:p>
    <w:p>
      <w:pPr>
        <w:pStyle w:val="BodyText"/>
      </w:pPr>
      <w:r>
        <w:t xml:space="preserve">O IGF-1 é um sinal de crescimento e sobrevivência para as células. A preocupação de que mais IGF-1 aumente o risco de câncer é, portanto, biologicamente plausível e é sustentada por vários tipos de achados:</w:t>
      </w:r>
    </w:p>
    <w:p>
      <w:pPr>
        <w:numPr>
          <w:ilvl w:val="0"/>
          <w:numId w:val="1177"/>
        </w:numPr>
        <w:pStyle w:val="Compact"/>
      </w:pPr>
      <w:r>
        <w:rPr>
          <w:iCs/>
          <w:i/>
        </w:rPr>
        <w:t xml:space="preserve">Estudos observacionais:</w:t>
      </w:r>
      <w:r>
        <w:t xml:space="preserve"> </w:t>
      </w:r>
      <w:r>
        <w:t xml:space="preserve">pessoas com níveis sanguíneos mais altos de IGF-1 adoecem um pouco mais frequentemente de câncer de próstata e de câncer de mama antes da menopausa</w:t>
      </w:r>
      <w:r>
        <w:rPr>
          <w:rStyle w:val="FootnoteReference"/>
        </w:rPr>
        <w:footnoteReference w:id="1515"/>
      </w:r>
      <w:r>
        <w:t xml:space="preserve">. No UK Biobank, cada aumento de 5 nmol/l esteve associado a um risco 11% maior de câncer de mama</w:t>
      </w:r>
      <w:r>
        <w:rPr>
          <w:rStyle w:val="FootnoteReference"/>
        </w:rPr>
        <w:footnoteReference w:id="1516"/>
      </w:r>
      <w:r>
        <w:t xml:space="preserve">; associações semelhantes aparecem para câncer colorretal</w:t>
      </w:r>
      <w:r>
        <w:rPr>
          <w:rStyle w:val="FootnoteReference"/>
        </w:rPr>
        <w:footnoteReference w:id="1517"/>
      </w:r>
      <w:r>
        <w:t xml:space="preserve"> </w:t>
      </w:r>
      <w:r>
        <w:t xml:space="preserve">e câncer de próstata</w:t>
      </w:r>
      <w:r>
        <w:rPr>
          <w:rStyle w:val="FootnoteReference"/>
        </w:rPr>
        <w:footnoteReference w:id="1518"/>
      </w:r>
      <w:r>
        <w:t xml:space="preserve">.</w:t>
      </w:r>
    </w:p>
    <w:p>
      <w:pPr>
        <w:numPr>
          <w:ilvl w:val="0"/>
          <w:numId w:val="1177"/>
        </w:numPr>
        <w:pStyle w:val="Compact"/>
      </w:pPr>
      <w:r>
        <w:rPr>
          <w:iCs/>
          <w:i/>
        </w:rPr>
        <w:t xml:space="preserve">Análises genéticas (randomização mendeliana):</w:t>
      </w:r>
      <w:r>
        <w:t xml:space="preserve"> </w:t>
      </w:r>
      <w:r>
        <w:t xml:space="preserve">também pessoas com níveis de IGF-1 geneticamente mais altos adoecem um pouco mais frequentemente de câncer de mama e colorretal – um indício de que a associação pode ser causal</w:t>
      </w:r>
      <w:r>
        <w:rPr>
          <w:rStyle w:val="FootnoteReference"/>
        </w:rPr>
        <w:footnoteReference w:id="1519"/>
      </w:r>
      <w:r>
        <w:t xml:space="preserve">.</w:t>
      </w:r>
    </w:p>
    <w:p>
      <w:pPr>
        <w:numPr>
          <w:ilvl w:val="0"/>
          <w:numId w:val="1177"/>
        </w:numPr>
        <w:pStyle w:val="Compact"/>
      </w:pPr>
      <w:r>
        <w:rPr>
          <w:iCs/>
          <w:i/>
        </w:rPr>
        <w:t xml:space="preserve">O contraponto:</w:t>
      </w:r>
      <w:r>
        <w:t xml:space="preserve"> </w:t>
      </w:r>
      <w:r>
        <w:t xml:space="preserve">em um grupo equatoriano com síndrome de Laron, ou seja, com deficiência de IGF-1 ao longo da vida, ocorreu em 22 anos de observação apenas um único câncer, não fatal, frente a 17% entre parentes não afetados</w:t>
      </w:r>
      <w:r>
        <w:rPr>
          <w:rStyle w:val="FootnoteReference"/>
        </w:rPr>
        <w:footnoteReference w:id="1520"/>
      </w:r>
      <w:r>
        <w:t xml:space="preserve">.</w:t>
      </w:r>
    </w:p>
    <w:p>
      <w:pPr>
        <w:pStyle w:val="FirstParagraph"/>
      </w:pPr>
      <w:r>
        <w:t xml:space="preserve">Importante é a ordem de grandeza: os aumentos de risco medidos com IGF-1 naturalmente mais alto são moderados (dependendo da comparação e do tipo de câncer, em geral entre cerca de 5 e 65% em termos relativos). Nas crianças para as quais a mecasermina está aprovada, substitui-se um hormônio ausente, e não se eleva um nível normal. Mesmo assim, após a introdução no mercado foram notificados casos de neoplasias benignas e malignas em crianças tratadas; a bula técnica na UE e nos EUA recebeu então advertências correspondentes, e em caso de câncer ativo ou suspeito a mecasermina não pode ser usada (situação em 2026, detalhes na bula técnica atual). Se existe uma relação causal não é possível esclarecer a partir de notificações isoladas; o registro de longo prazo</w:t>
      </w:r>
      <w:r>
        <w:rPr>
          <w:rStyle w:val="FootnoteReference"/>
        </w:rPr>
        <w:footnoteReference w:id="1521"/>
      </w:r>
      <w:r>
        <w:t xml:space="preserve"> </w:t>
      </w:r>
      <w:r>
        <w:t xml:space="preserve">deve fornecer dados sobre isso.</w:t>
      </w:r>
    </w:p>
    <w:p>
      <w:pPr>
        <w:pStyle w:val="BodyText"/>
      </w:pPr>
      <w:r>
        <w:t xml:space="preserve">Para adultos que usam IGF-1 sem deficiência, para aumentar o desempenho ou para</w:t>
      </w:r>
      <w:r>
        <w:t xml:space="preserve"> </w:t>
      </w:r>
      <w:r>
        <w:t xml:space="preserve">“</w:t>
      </w:r>
      <w:r>
        <w:t xml:space="preserve">rejuvenescer</w:t>
      </w:r>
      <w:r>
        <w:t xml:space="preserve">”</w:t>
      </w:r>
      <w:r>
        <w:t xml:space="preserve">, essas considerações devem ser levadas muito mais a sério: aqui um nível normal seria elevado continuamente – exatamente a situação que, nos estudos observacionais, está associada a um risco maior. O tema é tratado em detalhe na Parte IV.</w:t>
      </w:r>
    </w:p>
    <w:bookmarkEnd w:id="1522"/>
    <w:bookmarkStart w:id="1525" w:name="situação-legal-31"/>
    <w:p>
      <w:pPr>
        <w:pStyle w:val="Heading3"/>
      </w:pPr>
      <w:r>
        <w:t xml:space="preserve">Situação legal</w:t>
      </w:r>
    </w:p>
    <w:p>
      <w:pPr>
        <w:pStyle w:val="FirstParagraph"/>
      </w:pPr>
      <w:r>
        <w:rPr>
          <w:iCs/>
          <w:i/>
        </w:rPr>
        <w:t xml:space="preserve">Situação em 2026, verificar atualização.</w:t>
      </w:r>
    </w:p>
    <w:p>
      <w:pPr>
        <w:numPr>
          <w:ilvl w:val="0"/>
          <w:numId w:val="1178"/>
        </w:numPr>
        <w:pStyle w:val="Compact"/>
      </w:pPr>
      <w:r>
        <w:rPr>
          <w:bCs/>
          <w:b/>
        </w:rPr>
        <w:t xml:space="preserve">UE, Alemanha, Áustria:</w:t>
      </w:r>
      <w:r>
        <w:t xml:space="preserve"> </w:t>
      </w:r>
      <w:r>
        <w:t xml:space="preserve">aprovada (Increlex) exclusivamente para crianças e adolescentes com deficiência primária grave de IGF-1; sujeita a prescrição, tratamento por médicos com experiência em endocrinologia pediátrica conforme a bula técnica. A aprovação na UE está vinculada à coleta de dados no registro de longo prazo</w:t>
      </w:r>
      <w:r>
        <w:rPr>
          <w:rStyle w:val="FootnoteReference"/>
        </w:rPr>
        <w:footnoteReference w:id="1523"/>
      </w:r>
      <w:r>
        <w:t xml:space="preserve">.</w:t>
      </w:r>
    </w:p>
    <w:p>
      <w:pPr>
        <w:numPr>
          <w:ilvl w:val="0"/>
          <w:numId w:val="1178"/>
        </w:numPr>
        <w:pStyle w:val="Compact"/>
      </w:pPr>
      <w:r>
        <w:rPr>
          <w:bCs/>
          <w:b/>
        </w:rPr>
        <w:t xml:space="preserve">EUA:</w:t>
      </w:r>
      <w:r>
        <w:t xml:space="preserve"> </w:t>
      </w:r>
      <w:r>
        <w:t xml:space="preserve">aprovada (Increlex) para a mesma indicação.</w:t>
      </w:r>
    </w:p>
    <w:p>
      <w:pPr>
        <w:numPr>
          <w:ilvl w:val="0"/>
          <w:numId w:val="1178"/>
        </w:numPr>
        <w:pStyle w:val="Compact"/>
      </w:pPr>
      <w:r>
        <w:rPr>
          <w:bCs/>
          <w:b/>
        </w:rPr>
        <w:t xml:space="preserve">Outras aplicações</w:t>
      </w:r>
      <w:r>
        <w:t xml:space="preserve"> </w:t>
      </w:r>
      <w:r>
        <w:t xml:space="preserve">(adultos, esporte, anti-aging) não são aprovadas.</w:t>
      </w:r>
    </w:p>
    <w:p>
      <w:pPr>
        <w:numPr>
          <w:ilvl w:val="0"/>
          <w:numId w:val="1178"/>
        </w:numPr>
        <w:pStyle w:val="Compact"/>
      </w:pPr>
      <w:r>
        <w:rPr>
          <w:bCs/>
          <w:b/>
        </w:rPr>
        <w:t xml:space="preserve">WADA:</w:t>
      </w:r>
      <w:r>
        <w:t xml:space="preserve"> </w:t>
      </w:r>
      <w:r>
        <w:t xml:space="preserve">proibida (S2). Para a detecção do abuso de IGF-1, estão sendo desenvolvidos métodos com marcadores semelhantes aos do teste de hormônio do crescimento</w:t>
      </w:r>
      <w:r>
        <w:rPr>
          <w:rStyle w:val="FootnoteReference"/>
        </w:rPr>
        <w:footnoteReference w:id="1524"/>
      </w:r>
      <w:r>
        <w:t xml:space="preserve">.</w:t>
      </w:r>
    </w:p>
    <w:bookmarkEnd w:id="1525"/>
    <w:bookmarkStart w:id="1527" w:name="estudos-em-andamento-e-perspectivas-31"/>
    <w:p>
      <w:pPr>
        <w:pStyle w:val="Heading3"/>
      </w:pPr>
      <w:r>
        <w:t xml:space="preserve">Estudos em andamento e perspectivas</w:t>
      </w:r>
    </w:p>
    <w:p>
      <w:pPr>
        <w:pStyle w:val="FirstParagraph"/>
      </w:pPr>
      <w:r>
        <w:rPr>
          <w:iCs/>
          <w:i/>
        </w:rPr>
        <w:t xml:space="preserve">Comprovado:</w:t>
      </w:r>
      <w:r>
        <w:t xml:space="preserve"> </w:t>
      </w:r>
      <w:r>
        <w:t xml:space="preserve">o registro global do Increlex</w:t>
      </w:r>
      <w:r>
        <w:rPr>
          <w:rStyle w:val="FootnoteReference"/>
        </w:rPr>
        <w:footnoteReference w:id="1526"/>
      </w:r>
      <w:r>
        <w:t xml:space="preserve"> </w:t>
      </w:r>
      <w:r>
        <w:t xml:space="preserve">segue, segundo o registro, até o final de 2027. Um estudo de fase 2 com IGF-1/IGFBP-3 para a prevenção da displasia broncopulmonar em prematuros extremos (NCT03253263, 295 crianças) está ativo, mas não está mais recrutando.</w:t>
      </w:r>
      <w:r>
        <w:t xml:space="preserve"> </w:t>
      </w:r>
      <w:r>
        <w:rPr>
          <w:iCs/>
          <w:i/>
        </w:rPr>
        <w:t xml:space="preserve">Avaliação do autor:</w:t>
      </w:r>
      <w:r>
        <w:t xml:space="preserve"> </w:t>
      </w:r>
      <w:r>
        <w:t xml:space="preserve">novas aprovações para adultos não estão à vista; a importância da mecasermina continuará limitada a distúrbios raros do crescimento e, eventualmente, à medicina de prematuros.</w:t>
      </w:r>
    </w:p>
    <w:bookmarkEnd w:id="1527"/>
    <w:bookmarkStart w:id="1528" w:name="conclusão-31"/>
    <w:p>
      <w:pPr>
        <w:pStyle w:val="Heading3"/>
      </w:pPr>
      <w:r>
        <w:t xml:space="preserve">Conclusão</w:t>
      </w:r>
    </w:p>
    <w:p>
      <w:pPr>
        <w:pStyle w:val="FirstParagraph"/>
      </w:pPr>
      <w:r>
        <w:t xml:space="preserve">A mecasermina substitui o IGF-1 ausente em crianças com deficiência primária grave de IGF-1 e melhora claramente seu crescimento, especialmente quando o tratamento começa cedo. O efeito colateral mais frequente é a hipoglicemia; após notificações de neoplasias, as advertências foram reforçadas. Em outras aplicações, como na ELA, o IGF-1 não trouxe benefício. Para pessoas saudáveis, o uso não está comprovado nem é justificável, porque o IGF-1 continuamente elevado está associado, em grandes estudos observacionais e genéticos, a um risco um pouco maior de câncer.</w:t>
      </w:r>
    </w:p>
    <w:bookmarkEnd w:id="1528"/>
    <w:bookmarkEnd w:id="1529"/>
    <w:bookmarkStart w:id="1559" w:name="igf-1-lr3"/>
    <w:p>
      <w:pPr>
        <w:pStyle w:val="Heading2"/>
      </w:pPr>
      <w:r>
        <w:t xml:space="preserve">IGF-1 LR3</w:t>
      </w:r>
    </w:p>
    <w:p>
      <w:pPr>
        <w:pStyle w:val="FirstParagraph"/>
      </w:pPr>
      <w:r>
        <w:t xml:space="preserve">O IGF-1 LR3 (por extenso</w:t>
      </w:r>
      <w:r>
        <w:t xml:space="preserve"> </w:t>
      </w:r>
      <w:r>
        <w:t xml:space="preserve">“</w:t>
      </w:r>
      <w:r>
        <w:t xml:space="preserve">Long-R3-IGF-I</w:t>
      </w:r>
      <w:r>
        <w:t xml:space="preserve">”</w:t>
      </w:r>
      <w:r>
        <w:t xml:space="preserve">) não é um medicamento, mas um reagente de laboratório. Foi desenvolvido para fazer culturas de células crescerem melhor na biotecnologia e é usado em experimentos com animais. O fato de ser vendido na internet em frascos para injeção é um exemplo típico do mercado de</w:t>
      </w:r>
      <w:r>
        <w:t xml:space="preserve"> </w:t>
      </w:r>
      <w:r>
        <w:t xml:space="preserve">“</w:t>
      </w:r>
      <w:r>
        <w:t xml:space="preserve">Research Peptides</w:t>
      </w:r>
      <w:r>
        <w:t xml:space="preserve">”</w:t>
      </w:r>
      <w:r>
        <w:t xml:space="preserve">: uma substância que nunca foi pensada para humanos, nunca foi testada em humanos e cujas propriedades reforçam justamente os riscos que preocupam no IGF-1 natural.</w:t>
      </w:r>
    </w:p>
    <w:bookmarkStart w:id="1531" w:name="ficha-técnica-32"/>
    <w:p>
      <w:pPr>
        <w:pStyle w:val="Heading3"/>
      </w:pPr>
      <w:r>
        <w:t xml:space="preserve">Ficha técnica</w:t>
      </w:r>
    </w:p>
    <w:p>
      <w:pPr>
        <w:numPr>
          <w:ilvl w:val="0"/>
          <w:numId w:val="1179"/>
        </w:numPr>
        <w:pStyle w:val="Compact"/>
      </w:pPr>
      <w:r>
        <w:rPr>
          <w:bCs/>
          <w:b/>
        </w:rPr>
        <w:t xml:space="preserve">Tipo e estrutura:</w:t>
      </w:r>
      <w:r>
        <w:t xml:space="preserve"> </w:t>
      </w:r>
      <w:r>
        <w:t xml:space="preserve">IGF-1 humano modificado: na posição 3 está o aminoácido arginina (</w:t>
      </w:r>
      <w:r>
        <w:t xml:space="preserve">“</w:t>
      </w:r>
      <w:r>
        <w:t xml:space="preserve">R3</w:t>
      </w:r>
      <w:r>
        <w:t xml:space="preserve">”</w:t>
      </w:r>
      <w:r>
        <w:t xml:space="preserve">), e no início foi acrescentada uma cadeia adicional de aminoácidos (</w:t>
      </w:r>
      <w:r>
        <w:t xml:space="preserve">“</w:t>
      </w:r>
      <w:r>
        <w:t xml:space="preserve">Long</w:t>
      </w:r>
      <w:r>
        <w:t xml:space="preserve">”</w:t>
      </w:r>
      <w:r>
        <w:t xml:space="preserve">). Ambas as alterações reduzem fortemente a ligação às proteínas de ligação de IGF</w:t>
      </w:r>
      <w:r>
        <w:rPr>
          <w:rStyle w:val="FootnoteReference"/>
        </w:rPr>
        <w:footnoteReference w:id="1530"/>
      </w:r>
      <w:r>
        <w:t xml:space="preserve">.</w:t>
      </w:r>
    </w:p>
    <w:p>
      <w:pPr>
        <w:numPr>
          <w:ilvl w:val="0"/>
          <w:numId w:val="1179"/>
        </w:numPr>
        <w:pStyle w:val="Compact"/>
      </w:pPr>
      <w:r>
        <w:rPr>
          <w:bCs/>
          <w:b/>
        </w:rPr>
        <w:t xml:space="preserve">Origem:</w:t>
      </w:r>
      <w:r>
        <w:t xml:space="preserve"> </w:t>
      </w:r>
      <w:r>
        <w:t xml:space="preserve">descrito no início dos anos 1990 como ferramenta de pesquisa; hoje disponível comercialmente como aditivo para meios de cultura de células.</w:t>
      </w:r>
    </w:p>
    <w:p>
      <w:pPr>
        <w:numPr>
          <w:ilvl w:val="0"/>
          <w:numId w:val="1179"/>
        </w:numPr>
        <w:pStyle w:val="Compact"/>
      </w:pPr>
      <w:r>
        <w:rPr>
          <w:bCs/>
          <w:b/>
        </w:rPr>
        <w:t xml:space="preserve">Princípio de ação:</w:t>
      </w:r>
      <w:r>
        <w:t xml:space="preserve"> </w:t>
      </w:r>
      <w:r>
        <w:t xml:space="preserve">liga-se, como o IGF-1, ao receptor de IGF-1; como quase não é captado por proteínas de ligação, encontra-se no sangue predominantemente na forma livre e, portanto, diretamente ativa.</w:t>
      </w:r>
    </w:p>
    <w:p>
      <w:pPr>
        <w:numPr>
          <w:ilvl w:val="0"/>
          <w:numId w:val="1179"/>
        </w:numPr>
        <w:pStyle w:val="Compact"/>
      </w:pPr>
      <w:r>
        <w:rPr>
          <w:bCs/>
          <w:b/>
        </w:rPr>
        <w:t xml:space="preserve">Aprovação UE:</w:t>
      </w:r>
      <w:r>
        <w:t xml:space="preserve"> </w:t>
      </w:r>
      <w:r>
        <w:t xml:space="preserve">não.</w:t>
      </w:r>
      <w:r>
        <w:t xml:space="preserve"> </w:t>
      </w:r>
      <w:r>
        <w:rPr>
          <w:bCs/>
          <w:b/>
        </w:rPr>
        <w:t xml:space="preserve">Aprovação EUA:</w:t>
      </w:r>
      <w:r>
        <w:t xml:space="preserve"> </w:t>
      </w:r>
      <w:r>
        <w:t xml:space="preserve">não. Em nenhum lugar aprovado como medicamento, nem jamais solicitado.</w:t>
      </w:r>
    </w:p>
    <w:p>
      <w:pPr>
        <w:numPr>
          <w:ilvl w:val="0"/>
          <w:numId w:val="1179"/>
        </w:numPr>
        <w:pStyle w:val="Compact"/>
      </w:pPr>
      <w:r>
        <w:rPr>
          <w:bCs/>
          <w:b/>
        </w:rPr>
        <w:t xml:space="preserve">WADA:</w:t>
      </w:r>
      <w:r>
        <w:t xml:space="preserve"> </w:t>
      </w:r>
      <w:r>
        <w:t xml:space="preserve">proibido, grupo S2 (análogos de IGF-1 como fatores de crescimento).</w:t>
      </w:r>
    </w:p>
    <w:p>
      <w:pPr>
        <w:numPr>
          <w:ilvl w:val="0"/>
          <w:numId w:val="1179"/>
        </w:numPr>
        <w:pStyle w:val="Compact"/>
      </w:pPr>
      <w:r>
        <w:rPr>
          <w:bCs/>
          <w:b/>
        </w:rPr>
        <w:t xml:space="preserve">Nível de evidência: D</w:t>
      </w:r>
      <w:r>
        <w:t xml:space="preserve"> </w:t>
      </w:r>
      <w:r>
        <w:t xml:space="preserve">– nenhum estudo em humanos; apenas estudos em animais e em laboratório.</w:t>
      </w:r>
    </w:p>
    <w:bookmarkEnd w:id="1531"/>
    <w:bookmarkStart w:id="1535" w:name="como-deveria-agir-32"/>
    <w:p>
      <w:pPr>
        <w:pStyle w:val="Heading3"/>
      </w:pPr>
      <w:r>
        <w:t xml:space="preserve">Como deveria agir</w:t>
      </w:r>
    </w:p>
    <w:p>
      <w:pPr>
        <w:pStyle w:val="FirstParagraph"/>
      </w:pPr>
      <w:r>
        <w:t xml:space="preserve">No sangue, quase todo o IGF-1 está acoplado a proteínas de ligação, sobretudo à IGFBP-3. Essas proteínas funcionam como um tampão: prolongam a vida útil do IGF-1, mas também o mantêm afastado das células e assim atenuam seu efeito. Em experimentos com células, a IGFBP-3 inibiu a ativação do receptor de IGF-1 pelo IGF-1 e também pelo Long-R3-IGF-I, captando os mensageiros</w:t>
      </w:r>
      <w:r>
        <w:rPr>
          <w:rStyle w:val="FootnoteReference"/>
        </w:rPr>
        <w:footnoteReference w:id="1532"/>
      </w:r>
      <w:r>
        <w:t xml:space="preserve">.</w:t>
      </w:r>
    </w:p>
    <w:p>
      <w:pPr>
        <w:pStyle w:val="BodyText"/>
      </w:pPr>
      <w:r>
        <w:t xml:space="preserve">O LR3 foi modificado de forma a escapar em grande parte desse tampão. Em ratos, encontrava-se no sangue predominantemente como peptídeo livre e era removido do sangue – em animais não prenhes – cerca de dez vezes mais rápido do que o IGF-1 – ou seja, desaparece rapidamente para os tecidos</w:t>
      </w:r>
      <w:r>
        <w:rPr>
          <w:rStyle w:val="FootnoteReference"/>
        </w:rPr>
        <w:footnoteReference w:id="1533"/>
      </w:r>
      <w:r>
        <w:t xml:space="preserve">. Em ratos diabéticos, foi 2,5 a 3 vezes mais eficaz do que o IGF-1 na restauração do crescimento</w:t>
      </w:r>
      <w:r>
        <w:rPr>
          <w:rStyle w:val="FootnoteReference"/>
        </w:rPr>
        <w:footnoteReference w:id="1534"/>
      </w:r>
      <w:r>
        <w:t xml:space="preserve">. No mercado cinza, deriva-se daí a expectativa de que o LR3 desenvolveria músculos em humanos com mais força do que o IGF-1 natural. Não há evidências disso.</w:t>
      </w:r>
    </w:p>
    <w:bookmarkEnd w:id="1535"/>
    <w:bookmarkStart w:id="1539" w:name="estudos-em-humanos-32"/>
    <w:p>
      <w:pPr>
        <w:pStyle w:val="Heading3"/>
      </w:pPr>
      <w:r>
        <w:t xml:space="preserve">Estudos em humanos</w:t>
      </w:r>
    </w:p>
    <w:p>
      <w:pPr>
        <w:pStyle w:val="FirstParagraph"/>
      </w:pPr>
      <w:r>
        <w:rPr>
          <w:bCs/>
          <w:b/>
        </w:rPr>
        <w:t xml:space="preserve">Dimensão do conjunto de estudos (consulta de outubro de 2026):</w:t>
      </w:r>
      <w:r>
        <w:t xml:space="preserve"> </w:t>
      </w:r>
      <w:r>
        <w:t xml:space="preserve">a busca automatizada deste livro</w:t>
      </w:r>
      <w:r>
        <w:t xml:space="preserve"> </w:t>
      </w:r>
      <w:r>
        <w:rPr>
          <w:bCs/>
          <w:b/>
        </w:rPr>
        <w:t xml:space="preserve">não</w:t>
      </w:r>
      <w:r>
        <w:t xml:space="preserve"> </w:t>
      </w:r>
      <w:r>
        <w:t xml:space="preserve">encontrou nenhum estudo em humanos no PubMed (</w:t>
      </w:r>
      <w:r>
        <w:rPr>
          <w:rStyle w:val="VerbatimChar"/>
        </w:rPr>
        <w:t xml:space="preserve">humanstudien_alle</w:t>
      </w:r>
      <w:r>
        <w:t xml:space="preserve">: 0) e</w:t>
      </w:r>
      <w:r>
        <w:t xml:space="preserve"> </w:t>
      </w:r>
      <w:r>
        <w:rPr>
          <w:bCs/>
          <w:b/>
        </w:rPr>
        <w:t xml:space="preserve">nenhum</w:t>
      </w:r>
      <w:r>
        <w:t xml:space="preserve"> </w:t>
      </w:r>
      <w:r>
        <w:t xml:space="preserve">registro no ClinicalTrials.gov. Também uma busca direcionada adicional por estudos piloto, relatos de caso sobre intoxicações ou efeitos colaterais não revelou nenhuma publicação na qual pessoas tenham recebido IGF-1 LR3.</w:t>
      </w:r>
    </w:p>
    <w:p>
      <w:pPr>
        <w:pStyle w:val="BodyText"/>
      </w:pPr>
      <w:r>
        <w:t xml:space="preserve">Foram encontrados apenas:</w:t>
      </w:r>
    </w:p>
    <w:p>
      <w:pPr>
        <w:numPr>
          <w:ilvl w:val="0"/>
          <w:numId w:val="1180"/>
        </w:numPr>
        <w:pStyle w:val="Compact"/>
      </w:pPr>
      <w:r>
        <w:rPr>
          <w:bCs/>
          <w:b/>
        </w:rPr>
        <w:t xml:space="preserve">Análises do mercado cinza:</w:t>
      </w:r>
      <w:r>
        <w:t xml:space="preserve"> </w:t>
      </w:r>
      <w:r>
        <w:t xml:space="preserve">um laboratório antidoping encontrou em um frasco de injeção do mercado negro Long-R3-IGF-I com uma chamada His-tag – um apêndice de seis unidades de histidina usado na produção de proteínas de laboratório para purificação. Os autores supõem que se tratava de um subproduto da pesquisa bioquímica, e não de um preparado fabricado para injeções; o efeito dessa variante em humanos é totalmente desconhecido</w:t>
      </w:r>
      <w:r>
        <w:rPr>
          <w:rStyle w:val="FootnoteReference"/>
        </w:rPr>
        <w:footnoteReference w:id="1536"/>
      </w:r>
      <w:r>
        <w:t xml:space="preserve">. Outro grupo de pesquisa encontrou em produtos do mercado negro numerosos indícios de formas peptídicas de baixa qualidade, oxidadas</w:t>
      </w:r>
      <w:r>
        <w:rPr>
          <w:rStyle w:val="FootnoteReference"/>
        </w:rPr>
        <w:footnoteReference w:id="1537"/>
      </w:r>
      <w:r>
        <w:t xml:space="preserve">.</w:t>
      </w:r>
    </w:p>
    <w:p>
      <w:pPr>
        <w:numPr>
          <w:ilvl w:val="0"/>
          <w:numId w:val="1180"/>
        </w:numPr>
        <w:pStyle w:val="Compact"/>
      </w:pPr>
      <w:r>
        <w:rPr>
          <w:bCs/>
          <w:b/>
        </w:rPr>
        <w:t xml:space="preserve">Revisões sobre doping:</w:t>
      </w:r>
      <w:r>
        <w:t xml:space="preserve"> </w:t>
      </w:r>
      <w:r>
        <w:t xml:space="preserve">o IGF-1 e seus análogos são anunciados na internet e estão disponíveis há anos no mercado negro</w:t>
      </w:r>
      <w:r>
        <w:rPr>
          <w:rStyle w:val="FootnoteReference"/>
        </w:rPr>
        <w:footnoteReference w:id="1538"/>
      </w:r>
      <w:r>
        <w:t xml:space="preserve">.</w:t>
      </w:r>
    </w:p>
    <w:bookmarkEnd w:id="1539"/>
    <w:bookmarkStart w:id="1547" w:name="estudos-em-animais-e-em-laboratório-32"/>
    <w:p>
      <w:pPr>
        <w:pStyle w:val="Heading3"/>
      </w:pPr>
      <w:r>
        <w:t xml:space="preserve">Estudos em animais e em laboratório</w:t>
      </w:r>
    </w:p>
    <w:p>
      <w:pPr>
        <w:pStyle w:val="FirstParagraph"/>
      </w:pPr>
      <w:r>
        <w:t xml:space="preserve">Quase toda a pesquisa sobre o LR3 vem da biologia de animais de produção e do desenvolvimento:</w:t>
      </w:r>
    </w:p>
    <w:p>
      <w:pPr>
        <w:numPr>
          <w:ilvl w:val="0"/>
          <w:numId w:val="1181"/>
        </w:numPr>
        <w:pStyle w:val="Compact"/>
      </w:pPr>
      <w:r>
        <w:rPr>
          <w:bCs/>
          <w:b/>
        </w:rPr>
        <w:t xml:space="preserve">Ratos:</w:t>
      </w:r>
      <w:r>
        <w:t xml:space="preserve"> </w:t>
      </w:r>
      <w:r>
        <w:t xml:space="preserve">distribuição rápida para os tecidos, predominantemente como peptídeo livre</w:t>
      </w:r>
      <w:r>
        <w:rPr>
          <w:rStyle w:val="FootnoteReference"/>
        </w:rPr>
        <w:footnoteReference w:id="1540"/>
      </w:r>
      <w:r>
        <w:t xml:space="preserve">; efeito de crescimento mais forte do que o IGF-1 em ratos diabéticos, sem reduzir a excreção de glicose na urina</w:t>
      </w:r>
      <w:r>
        <w:rPr>
          <w:rStyle w:val="FootnoteReference"/>
        </w:rPr>
        <w:footnoteReference w:id="1541"/>
      </w:r>
      <w:r>
        <w:t xml:space="preserve">.</w:t>
      </w:r>
    </w:p>
    <w:p>
      <w:pPr>
        <w:numPr>
          <w:ilvl w:val="0"/>
          <w:numId w:val="1181"/>
        </w:numPr>
        <w:pStyle w:val="Compact"/>
      </w:pPr>
      <w:r>
        <w:rPr>
          <w:bCs/>
          <w:b/>
        </w:rPr>
        <w:t xml:space="preserve">Porcos:</w:t>
      </w:r>
      <w:r>
        <w:t xml:space="preserve"> </w:t>
      </w:r>
      <w:r>
        <w:t xml:space="preserve">uma infusão de quatro dias</w:t>
      </w:r>
      <w:r>
        <w:t xml:space="preserve"> </w:t>
      </w:r>
      <w:r>
        <w:rPr>
          <w:bCs/>
          <w:b/>
        </w:rPr>
        <w:t xml:space="preserve">reduziu</w:t>
      </w:r>
      <w:r>
        <w:t xml:space="preserve"> </w:t>
      </w:r>
      <w:r>
        <w:t xml:space="preserve">em porcos de engorda o ganho de peso e a ingestão de alimento e suprimiu os níveis próprios de hormônio do crescimento, IGF-1, IGFBP-3 e insulina</w:t>
      </w:r>
      <w:r>
        <w:rPr>
          <w:rStyle w:val="FootnoteReference"/>
        </w:rPr>
        <w:footnoteReference w:id="1542"/>
      </w:r>
      <w:r>
        <w:t xml:space="preserve">.</w:t>
      </w:r>
    </w:p>
    <w:p>
      <w:pPr>
        <w:numPr>
          <w:ilvl w:val="0"/>
          <w:numId w:val="1181"/>
        </w:numPr>
        <w:pStyle w:val="Compact"/>
      </w:pPr>
      <w:r>
        <w:rPr>
          <w:bCs/>
          <w:b/>
        </w:rPr>
        <w:t xml:space="preserve">Porquinhos-da-índia:</w:t>
      </w:r>
      <w:r>
        <w:t xml:space="preserve"> </w:t>
      </w:r>
      <w:r>
        <w:t xml:space="preserve">órgãos como intestino, rins, baço e adrenais ficaram mais pesados, mas o crescimento corporal como um todo não aumentou</w:t>
      </w:r>
      <w:r>
        <w:rPr>
          <w:rStyle w:val="FootnoteReference"/>
        </w:rPr>
        <w:footnoteReference w:id="1543"/>
      </w:r>
      <w:r>
        <w:t xml:space="preserve">.</w:t>
      </w:r>
    </w:p>
    <w:p>
      <w:pPr>
        <w:numPr>
          <w:ilvl w:val="0"/>
          <w:numId w:val="1181"/>
        </w:numPr>
        <w:pStyle w:val="Compact"/>
      </w:pPr>
      <w:r>
        <w:rPr>
          <w:bCs/>
          <w:b/>
        </w:rPr>
        <w:t xml:space="preserve">Fetos de ovelha:</w:t>
      </w:r>
      <w:r>
        <w:t xml:space="preserve"> </w:t>
      </w:r>
      <w:r>
        <w:t xml:space="preserve">em fetos com crescimento normal, o LR3 reduziu a secreção de insulina; uma infusão curta diminuiu os níveis de insulina sob sobrecarga de glicose em 66%</w:t>
      </w:r>
      <w:r>
        <w:rPr>
          <w:rStyle w:val="FootnoteReference"/>
        </w:rPr>
        <w:footnoteReference w:id="1544"/>
      </w:r>
      <w:r>
        <w:t xml:space="preserve">. Em fetos com restrição de crescimento, um tratamento de uma semana não melhorou o crescimento</w:t>
      </w:r>
      <w:r>
        <w:rPr>
          <w:rStyle w:val="FootnoteReference"/>
        </w:rPr>
        <w:footnoteReference w:id="1545"/>
      </w:r>
      <w:r>
        <w:t xml:space="preserve">.</w:t>
      </w:r>
    </w:p>
    <w:p>
      <w:pPr>
        <w:numPr>
          <w:ilvl w:val="0"/>
          <w:numId w:val="1181"/>
        </w:numPr>
        <w:pStyle w:val="Compact"/>
      </w:pPr>
      <w:r>
        <w:rPr>
          <w:bCs/>
          <w:b/>
        </w:rPr>
        <w:t xml:space="preserve">Camundongos:</w:t>
      </w:r>
      <w:r>
        <w:t xml:space="preserve"> </w:t>
      </w:r>
      <w:r>
        <w:t xml:space="preserve">em um modelo de Alzheimer, o LR3 como spray nasal alterou os depósitos de amiloide, mas não impediu a perda de memória</w:t>
      </w:r>
      <w:r>
        <w:rPr>
          <w:rStyle w:val="FootnoteReference"/>
        </w:rPr>
        <w:footnoteReference w:id="1546"/>
      </w:r>
      <w:r>
        <w:t xml:space="preserve">.</w:t>
      </w:r>
    </w:p>
    <w:p>
      <w:pPr>
        <w:pStyle w:val="FirstParagraph"/>
      </w:pPr>
      <w:r>
        <w:t xml:space="preserve">Os dados em animais são contraditórios: dependendo da espécie, o LR3 promoveu o crescimento, não teve efeito ou chegou a inibir o crescimento. Uma transposição para humanos não é possível.</w:t>
      </w:r>
    </w:p>
    <w:bookmarkEnd w:id="1547"/>
    <w:bookmarkStart w:id="1554" w:name="riscos-e-efeitos-colaterais-32"/>
    <w:p>
      <w:pPr>
        <w:pStyle w:val="Heading3"/>
      </w:pPr>
      <w:r>
        <w:t xml:space="preserve">Riscos e efeitos colaterais</w:t>
      </w:r>
    </w:p>
    <w:p>
      <w:pPr>
        <w:pStyle w:val="FirstParagraph"/>
      </w:pPr>
      <w:r>
        <w:t xml:space="preserve">Como não há estudos em humanos, os riscos só podem ser deduzidos da biologia e da experiência com o IGF-1 natural (mecasermina). Essas deduções são</w:t>
      </w:r>
      <w:r>
        <w:t xml:space="preserve"> </w:t>
      </w:r>
      <w:r>
        <w:rPr>
          <w:bCs/>
          <w:b/>
        </w:rPr>
        <w:t xml:space="preserve">teóricas</w:t>
      </w:r>
      <w:r>
        <w:t xml:space="preserve">, mas bem fundamentadas:</w:t>
      </w:r>
    </w:p>
    <w:p>
      <w:pPr>
        <w:numPr>
          <w:ilvl w:val="0"/>
          <w:numId w:val="1182"/>
        </w:numPr>
        <w:pStyle w:val="Compact"/>
      </w:pPr>
      <w:r>
        <w:rPr>
          <w:bCs/>
          <w:b/>
        </w:rPr>
        <w:t xml:space="preserve">Hipoglicemia:</w:t>
      </w:r>
      <w:r>
        <w:t xml:space="preserve"> </w:t>
      </w:r>
      <w:r>
        <w:t xml:space="preserve">em doses mais altas, o IGF-1 age de forma semelhante à insulina. Com a mecasermina aprovada, a hipoglicemia é o efeito colateral mais frequente, embora ali o tampão das proteínas de ligação seja em grande parte preservado</w:t>
      </w:r>
      <w:r>
        <w:rPr>
          <w:rStyle w:val="FootnoteReference"/>
        </w:rPr>
        <w:footnoteReference w:id="1548"/>
      </w:r>
      <w:r>
        <w:t xml:space="preserve">. Um análogo que escapa deliberadamente desse tampão poderia agir de forma mais intensa e menos previsível. Isso não foi medido em humanos. Nos experimentos com animais, os níveis de insulina caíram em parte</w:t>
      </w:r>
      <w:r>
        <w:rPr>
          <w:rStyle w:val="FootnoteReference"/>
        </w:rPr>
        <w:footnoteReference w:id="1549"/>
      </w:r>
      <w:r>
        <w:t xml:space="preserve">, o que poderia alterar adicionalmente a regulação da glicemia.</w:t>
      </w:r>
    </w:p>
    <w:p>
      <w:pPr>
        <w:numPr>
          <w:ilvl w:val="0"/>
          <w:numId w:val="1182"/>
        </w:numPr>
        <w:pStyle w:val="Compact"/>
      </w:pPr>
      <w:r>
        <w:rPr>
          <w:bCs/>
          <w:b/>
        </w:rPr>
        <w:t xml:space="preserve">Crescimento de órgãos e tecidos:</w:t>
      </w:r>
      <w:r>
        <w:t xml:space="preserve"> </w:t>
      </w:r>
      <w:r>
        <w:t xml:space="preserve">em porquinhos-da-índia, órgãos internos aumentaram de tamanho</w:t>
      </w:r>
      <w:r>
        <w:rPr>
          <w:rStyle w:val="FootnoteReference"/>
        </w:rPr>
        <w:footnoteReference w:id="1550"/>
      </w:r>
      <w:r>
        <w:t xml:space="preserve">. Em humanos, não se sabe se algo semelhante ocorre.</w:t>
      </w:r>
    </w:p>
    <w:p>
      <w:pPr>
        <w:numPr>
          <w:ilvl w:val="0"/>
          <w:numId w:val="1182"/>
        </w:numPr>
        <w:pStyle w:val="Compact"/>
      </w:pPr>
      <w:r>
        <w:rPr>
          <w:bCs/>
          <w:b/>
        </w:rPr>
        <w:t xml:space="preserve">Teoria do câncer:</w:t>
      </w:r>
      <w:r>
        <w:t xml:space="preserve"> </w:t>
      </w:r>
      <w:r>
        <w:t xml:space="preserve">o IGF-1 promove a divisão e a sobrevivência celular. Níveis mais altos de IGF-1 estão associados, em grandes estudos observacionais e genéticos, a um risco um pouco maior de câncer de mama e de próstata</w:t>
      </w:r>
      <w:r>
        <w:rPr>
          <w:rStyle w:val="FootnoteReference"/>
        </w:rPr>
        <w:footnoteReference w:id="1551"/>
      </w:r>
      <w:r>
        <w:t xml:space="preserve">, e pessoas com deficiência congênita de IGF-1 adoecem de câncer com notável raridade</w:t>
      </w:r>
      <w:r>
        <w:rPr>
          <w:rStyle w:val="FootnoteReference"/>
        </w:rPr>
        <w:footnoteReference w:id="1552"/>
      </w:r>
      <w:r>
        <w:t xml:space="preserve">. Um análogo que age de forma mais intensa e sem tampão no receptor de IGF-1 reforça justamente essa via de sinalização. Se isso aumenta de forma mensurável o risco de câncer em humanos não foi estudado – e, por falta de estudos, também não será. A preocupação se baseia em plausibilidade, não em relatos de caso.</w:t>
      </w:r>
    </w:p>
    <w:p>
      <w:pPr>
        <w:numPr>
          <w:ilvl w:val="0"/>
          <w:numId w:val="1182"/>
        </w:numPr>
        <w:pStyle w:val="Compact"/>
      </w:pPr>
      <w:r>
        <w:rPr>
          <w:bCs/>
          <w:b/>
        </w:rPr>
        <w:t xml:space="preserve">Qualidade do produto:</w:t>
      </w:r>
      <w:r>
        <w:t xml:space="preserve"> </w:t>
      </w:r>
      <w:r>
        <w:t xml:space="preserve">os preparados do mercado negro encontrados continham variantes de laboratório com apêndice de purificação e peptídeos oxidados</w:t>
      </w:r>
      <w:r>
        <w:rPr>
          <w:rStyle w:val="FootnoteReference"/>
        </w:rPr>
        <w:footnoteReference w:id="1553"/>
      </w:r>
      <w:r>
        <w:t xml:space="preserve">. Somam-se os riscos gerais de injeções não estéreis. Reagentes para cultura de células não estão sujeitos a controle de medicamentos.</w:t>
      </w:r>
    </w:p>
    <w:bookmarkEnd w:id="1554"/>
    <w:bookmarkStart w:id="1556" w:name="situação-legal-32"/>
    <w:p>
      <w:pPr>
        <w:pStyle w:val="Heading3"/>
      </w:pPr>
      <w:r>
        <w:t xml:space="preserve">Situação legal</w:t>
      </w:r>
    </w:p>
    <w:p>
      <w:pPr>
        <w:pStyle w:val="FirstParagraph"/>
      </w:pPr>
      <w:r>
        <w:rPr>
          <w:iCs/>
          <w:i/>
        </w:rPr>
        <w:t xml:space="preserve">Situação em 2026, verificar atualização.</w:t>
      </w:r>
    </w:p>
    <w:p>
      <w:pPr>
        <w:numPr>
          <w:ilvl w:val="0"/>
          <w:numId w:val="1183"/>
        </w:numPr>
        <w:pStyle w:val="Compact"/>
      </w:pPr>
      <w:r>
        <w:rPr>
          <w:bCs/>
          <w:b/>
        </w:rPr>
        <w:t xml:space="preserve">UE, Alemanha, Áustria:</w:t>
      </w:r>
      <w:r>
        <w:t xml:space="preserve"> </w:t>
      </w:r>
      <w:r>
        <w:t xml:space="preserve">não é medicamento, não tem aprovação, nem foi solicitada. Como reagente de laboratório, pode ser vendido para pesquisa; o fornecimento para uso em humanos é proibido pelas leis de medicamentos.</w:t>
      </w:r>
    </w:p>
    <w:p>
      <w:pPr>
        <w:numPr>
          <w:ilvl w:val="0"/>
          <w:numId w:val="1183"/>
        </w:numPr>
        <w:pStyle w:val="Compact"/>
      </w:pPr>
      <w:r>
        <w:rPr>
          <w:bCs/>
          <w:b/>
        </w:rPr>
        <w:t xml:space="preserve">EUA:</w:t>
      </w:r>
      <w:r>
        <w:t xml:space="preserve"> </w:t>
      </w:r>
      <w:r>
        <w:t xml:space="preserve">nenhuma aprovação; distribuição apenas como produto químico de pesquisa.</w:t>
      </w:r>
    </w:p>
    <w:p>
      <w:pPr>
        <w:numPr>
          <w:ilvl w:val="0"/>
          <w:numId w:val="1183"/>
        </w:numPr>
        <w:pStyle w:val="Compact"/>
      </w:pPr>
      <w:r>
        <w:rPr>
          <w:bCs/>
          <w:b/>
        </w:rPr>
        <w:t xml:space="preserve">WADA:</w:t>
      </w:r>
      <w:r>
        <w:t xml:space="preserve"> </w:t>
      </w:r>
      <w:r>
        <w:t xml:space="preserve">proibido (S2). Foi desenvolvido um método de detecção no sangue para o LR3 e análogos de IGF-1 relacionados; em ratos, o LR3 inalterado desapareceu já após cerca de 4 horas, e produtos de degradação foram detectáveis por até 16 horas</w:t>
      </w:r>
      <w:r>
        <w:rPr>
          <w:rStyle w:val="FootnoteReference"/>
        </w:rPr>
        <w:footnoteReference w:id="1555"/>
      </w:r>
      <w:r>
        <w:t xml:space="preserve">.</w:t>
      </w:r>
    </w:p>
    <w:bookmarkEnd w:id="1556"/>
    <w:bookmarkStart w:id="1557" w:name="estudos-em-andamento-e-perspectivas-32"/>
    <w:p>
      <w:pPr>
        <w:pStyle w:val="Heading3"/>
      </w:pPr>
      <w:r>
        <w:t xml:space="preserve">Estudos em andamento e perspectivas</w:t>
      </w:r>
    </w:p>
    <w:p>
      <w:pPr>
        <w:pStyle w:val="FirstParagraph"/>
      </w:pPr>
      <w:r>
        <w:t xml:space="preserve">No ClinicalTrials.gov, em outubro de 2026, não há estudo registrado com IGF-1 LR3.</w:t>
      </w:r>
      <w:r>
        <w:t xml:space="preserve"> </w:t>
      </w:r>
      <w:r>
        <w:rPr>
          <w:iCs/>
          <w:i/>
        </w:rPr>
        <w:t xml:space="preserve">Avaliação do autor:</w:t>
      </w:r>
      <w:r>
        <w:t xml:space="preserve"> </w:t>
      </w:r>
      <w:r>
        <w:t xml:space="preserve">não é de esperar um desenvolvimento como medicamento. O LR3 continua sendo uma ferramenta para cultura de células e pesquisa animal.</w:t>
      </w:r>
    </w:p>
    <w:bookmarkEnd w:id="1557"/>
    <w:bookmarkStart w:id="1558" w:name="conclusão-32"/>
    <w:p>
      <w:pPr>
        <w:pStyle w:val="Heading3"/>
      </w:pPr>
      <w:r>
        <w:t xml:space="preserve">Conclusão</w:t>
      </w:r>
    </w:p>
    <w:p>
      <w:pPr>
        <w:pStyle w:val="FirstParagraph"/>
      </w:pPr>
      <w:r>
        <w:t xml:space="preserve">O IGF-1 LR3 é um reagente de laboratório que nunca foi estudado em humanos. Em experimentos com animais, dependendo da espécie, promoveu o crescimento, não teve efeito ou chegou a inibir o crescimento. Sua propriedade especial – a ausência de ligação às proteínas de ligação tamponantes – faz esperar um risco maior de hipoglicemia e uma sinalização de crescimento reforçada. Produtos do mercado negro comprovadamente continham variantes de laboratório que nunca foram pensadas para injeções.</w:t>
      </w:r>
    </w:p>
    <w:bookmarkEnd w:id="1558"/>
    <w:bookmarkEnd w:id="1559"/>
    <w:bookmarkStart w:id="1601" w:name="ibutamoreno-mk-677"/>
    <w:p>
      <w:pPr>
        <w:pStyle w:val="Heading2"/>
      </w:pPr>
      <w:r>
        <w:t xml:space="preserve">Ibutamoreno (MK-677)</w:t>
      </w:r>
    </w:p>
    <w:p>
      <w:pPr>
        <w:pStyle w:val="FirstParagraph"/>
      </w:pPr>
      <w:r>
        <w:rPr>
          <w:iCs/>
          <w:i/>
        </w:rPr>
        <w:t xml:space="preserve">Capítulo comparativo:</w:t>
      </w:r>
      <w:r>
        <w:t xml:space="preserve"> </w:t>
      </w:r>
      <w:r>
        <w:t xml:space="preserve">o ibutamoreno não é um peptídeo. É uma pequena molécula sintética que se engole em comprimido ou líquido – e justamente por isso está neste livro: como comparação. Ele age no mesmo receptor que a ipamorelina, o GHRP-2 ou a hexarelina, ou seja, no receptor de grelina, e eleva o hormônio do crescimento e o IGF-1 ao longo de meses. O ibutamoreno foi testado nos anos 1990 e 2000 pela empresa farmacêutica Merck em vários estudos randomizados de maior porte. Esses estudos mostram com bastante precisão o que uma estimulação contínua do eixo do hormônio do crescimento traz para pessoas idosas – e onde estão os riscos. No mercado cinza, o ibutamoreno é hoje vendido geralmente como</w:t>
      </w:r>
      <w:r>
        <w:t xml:space="preserve"> </w:t>
      </w:r>
      <w:r>
        <w:t xml:space="preserve">“</w:t>
      </w:r>
      <w:r>
        <w:t xml:space="preserve">suplemento semelhante a SARM</w:t>
      </w:r>
      <w:r>
        <w:t xml:space="preserve">”</w:t>
      </w:r>
      <w:r>
        <w:t xml:space="preserve">.</w:t>
      </w:r>
    </w:p>
    <w:bookmarkStart w:id="1561" w:name="ficha-técnica-33"/>
    <w:p>
      <w:pPr>
        <w:pStyle w:val="Heading3"/>
      </w:pPr>
      <w:r>
        <w:t xml:space="preserve">Ficha técnica</w:t>
      </w:r>
    </w:p>
    <w:p>
      <w:pPr>
        <w:numPr>
          <w:ilvl w:val="0"/>
          <w:numId w:val="1184"/>
        </w:numPr>
        <w:pStyle w:val="Compact"/>
      </w:pPr>
      <w:r>
        <w:rPr>
          <w:bCs/>
          <w:b/>
        </w:rPr>
        <w:t xml:space="preserve">Tipo e estrutura:</w:t>
      </w:r>
      <w:r>
        <w:t xml:space="preserve"> </w:t>
      </w:r>
      <w:r>
        <w:t xml:space="preserve">pequena molécula sintética, não é peptídeo (</w:t>
      </w:r>
      <w:r>
        <w:t xml:space="preserve">“</w:t>
      </w:r>
      <w:r>
        <w:t xml:space="preserve">non-peptide agonist</w:t>
      </w:r>
      <w:r>
        <w:t xml:space="preserve">”</w:t>
      </w:r>
      <w:r>
        <w:t xml:space="preserve">; Liu 2021, PMID 34737341); ativa por via oral. Nomes de desenvolvimento MK-677 ou MK-0677, hoje em desenvolvimento como LUM-201</w:t>
      </w:r>
      <w:r>
        <w:rPr>
          <w:rStyle w:val="FootnoteReference"/>
        </w:rPr>
        <w:footnoteReference w:id="1560"/>
      </w:r>
      <w:r>
        <w:t xml:space="preserve">.</w:t>
      </w:r>
    </w:p>
    <w:p>
      <w:pPr>
        <w:numPr>
          <w:ilvl w:val="0"/>
          <w:numId w:val="1184"/>
        </w:numPr>
        <w:pStyle w:val="Compact"/>
      </w:pPr>
      <w:r>
        <w:rPr>
          <w:bCs/>
          <w:b/>
        </w:rPr>
        <w:t xml:space="preserve">Origem:</w:t>
      </w:r>
      <w:r>
        <w:t xml:space="preserve"> </w:t>
      </w:r>
      <w:r>
        <w:t xml:space="preserve">desenvolvido pela Merck (EUA) nos anos 1990 como</w:t>
      </w:r>
      <w:r>
        <w:t xml:space="preserve"> </w:t>
      </w:r>
      <w:r>
        <w:t xml:space="preserve">“</w:t>
      </w:r>
      <w:r>
        <w:t xml:space="preserve">peptidomimético</w:t>
      </w:r>
      <w:r>
        <w:t xml:space="preserve">”</w:t>
      </w:r>
      <w:r>
        <w:t xml:space="preserve"> </w:t>
      </w:r>
      <w:r>
        <w:t xml:space="preserve">dos peptídeos liberadores de hormônio do crescimento.</w:t>
      </w:r>
    </w:p>
    <w:p>
      <w:pPr>
        <w:numPr>
          <w:ilvl w:val="0"/>
          <w:numId w:val="1184"/>
        </w:numPr>
        <w:pStyle w:val="Compact"/>
      </w:pPr>
      <w:r>
        <w:rPr>
          <w:bCs/>
          <w:b/>
        </w:rPr>
        <w:t xml:space="preserve">Princípio de ação:</w:t>
      </w:r>
      <w:r>
        <w:t xml:space="preserve"> </w:t>
      </w:r>
      <w:r>
        <w:t xml:space="preserve">agonista do receptor de grelina (GHS-R1a); reforça os pulsos existentes de GH e eleva o IGF-1 de forma contínua; aumenta o apetite.</w:t>
      </w:r>
    </w:p>
    <w:p>
      <w:pPr>
        <w:numPr>
          <w:ilvl w:val="0"/>
          <w:numId w:val="1184"/>
        </w:numPr>
        <w:pStyle w:val="Compact"/>
      </w:pPr>
      <w:r>
        <w:rPr>
          <w:bCs/>
          <w:b/>
        </w:rPr>
        <w:t xml:space="preserve">Aprovação UE:</w:t>
      </w:r>
      <w:r>
        <w:t xml:space="preserve"> </w:t>
      </w:r>
      <w:r>
        <w:t xml:space="preserve">não.</w:t>
      </w:r>
      <w:r>
        <w:t xml:space="preserve"> </w:t>
      </w:r>
      <w:r>
        <w:rPr>
          <w:bCs/>
          <w:b/>
        </w:rPr>
        <w:t xml:space="preserve">Aprovação EUA:</w:t>
      </w:r>
      <w:r>
        <w:t xml:space="preserve"> </w:t>
      </w:r>
      <w:r>
        <w:t xml:space="preserve">não.</w:t>
      </w:r>
    </w:p>
    <w:p>
      <w:pPr>
        <w:numPr>
          <w:ilvl w:val="0"/>
          <w:numId w:val="1184"/>
        </w:numPr>
        <w:pStyle w:val="Compact"/>
      </w:pPr>
      <w:r>
        <w:rPr>
          <w:bCs/>
          <w:b/>
        </w:rPr>
        <w:t xml:space="preserve">WADA:</w:t>
      </w:r>
      <w:r>
        <w:t xml:space="preserve"> </w:t>
      </w:r>
      <w:r>
        <w:t xml:space="preserve">proibido, grupo S2 (secretagogos do hormônio do crescimento; o ibutamoreno é expressamente citado).</w:t>
      </w:r>
    </w:p>
    <w:p>
      <w:pPr>
        <w:numPr>
          <w:ilvl w:val="0"/>
          <w:numId w:val="1184"/>
        </w:numPr>
        <w:pStyle w:val="Compact"/>
      </w:pPr>
      <w:r>
        <w:rPr>
          <w:bCs/>
          <w:b/>
        </w:rPr>
        <w:t xml:space="preserve">Nível de evidência: B</w:t>
      </w:r>
      <w:r>
        <w:t xml:space="preserve"> </w:t>
      </w:r>
      <w:r>
        <w:t xml:space="preserve">– vários estudos randomizados e controlados por placebo com até 563 participantes, mas nenhuma aprovação e nenhum estudo com resultado clínico principal positivo.</w:t>
      </w:r>
    </w:p>
    <w:bookmarkEnd w:id="1561"/>
    <w:bookmarkStart w:id="1563" w:name="como-deveria-agir-33"/>
    <w:p>
      <w:pPr>
        <w:pStyle w:val="Heading3"/>
      </w:pPr>
      <w:r>
        <w:t xml:space="preserve">Como deveria agir</w:t>
      </w:r>
    </w:p>
    <w:p>
      <w:pPr>
        <w:pStyle w:val="FirstParagraph"/>
      </w:pPr>
      <w:r>
        <w:t xml:space="preserve">O ibutamoreno imita a grelina. Diferentemente dos peptídeos do grupo, ele não é destruído no estômago e age por tempo suficiente para, com uma ingestão diária, reforçar a secreção de hormônio do crescimento durante as 24 horas. Em pessoas idosas saudáveis, em um estudo, ele praticamente duplicou a concentração média de hormônio do crescimento em 24 horas; o número de pulsos de GH permaneceu igual, sua amplitude aumentou. O IGF-1 atingiu, após quatro semanas, valores como os de adultos jovens</w:t>
      </w:r>
      <w:r>
        <w:rPr>
          <w:rStyle w:val="FootnoteReference"/>
        </w:rPr>
        <w:footnoteReference w:id="1562"/>
      </w:r>
      <w:r>
        <w:t xml:space="preserve">.</w:t>
      </w:r>
    </w:p>
    <w:p>
      <w:pPr>
        <w:pStyle w:val="BodyText"/>
      </w:pPr>
      <w:r>
        <w:t xml:space="preserve">A esperança da Merck era compensar assim o declínio do eixo do hormônio do crescimento com a idade, chamado</w:t>
      </w:r>
      <w:r>
        <w:t xml:space="preserve"> </w:t>
      </w:r>
      <w:r>
        <w:t xml:space="preserve">“</w:t>
      </w:r>
      <w:r>
        <w:t xml:space="preserve">somatopausa</w:t>
      </w:r>
      <w:r>
        <w:t xml:space="preserve">”</w:t>
      </w:r>
      <w:r>
        <w:t xml:space="preserve">: perda muscular (sarcopenia), fragilidade, perda óssea e recuperação lenta após lesões.</w:t>
      </w:r>
    </w:p>
    <w:bookmarkEnd w:id="1563"/>
    <w:bookmarkStart w:id="1578" w:name="estudos-em-humanos-33"/>
    <w:p>
      <w:pPr>
        <w:pStyle w:val="Heading3"/>
      </w:pPr>
      <w:r>
        <w:t xml:space="preserve">Estudos em humanos</w:t>
      </w:r>
    </w:p>
    <w:p>
      <w:pPr>
        <w:pStyle w:val="FirstParagraph"/>
      </w:pPr>
      <w:r>
        <w:rPr>
          <w:bCs/>
          <w:b/>
        </w:rPr>
        <w:t xml:space="preserve">Dimensão do conjunto de estudos (consulta de outubro de 2026):</w:t>
      </w:r>
      <w:r>
        <w:t xml:space="preserve"> </w:t>
      </w:r>
      <w:r>
        <w:t xml:space="preserve">a busca automatizada deste livro encontrou</w:t>
      </w:r>
      <w:r>
        <w:t xml:space="preserve"> </w:t>
      </w:r>
      <w:r>
        <w:rPr>
          <w:bCs/>
          <w:b/>
        </w:rPr>
        <w:t xml:space="preserve">19</w:t>
      </w:r>
      <w:r>
        <w:t xml:space="preserve"> </w:t>
      </w:r>
      <w:r>
        <w:t xml:space="preserve">estudos em humanos no PubMed (</w:t>
      </w:r>
      <w:r>
        <w:rPr>
          <w:rStyle w:val="VerbatimChar"/>
        </w:rPr>
        <w:t xml:space="preserve">humanstudien_alle</w:t>
      </w:r>
      <w:r>
        <w:t xml:space="preserve">) e</w:t>
      </w:r>
      <w:r>
        <w:t xml:space="preserve"> </w:t>
      </w:r>
      <w:r>
        <w:rPr>
          <w:bCs/>
          <w:b/>
        </w:rPr>
        <w:t xml:space="preserve">8</w:t>
      </w:r>
      <w:r>
        <w:t xml:space="preserve"> </w:t>
      </w:r>
      <w:r>
        <w:t xml:space="preserve">registros no ClinicalTrials.gov.</w:t>
      </w:r>
    </w:p>
    <w:bookmarkStart w:id="1565" w:name="adultos-idosos-saudáveis"/>
    <w:p>
      <w:pPr>
        <w:pStyle w:val="Heading4"/>
      </w:pPr>
      <w:r>
        <w:t xml:space="preserve">Adultos idosos saudáveis</w:t>
      </w:r>
    </w:p>
    <w:p>
      <w:pPr>
        <w:pStyle w:val="FirstParagraph"/>
      </w:pPr>
      <w:r>
        <w:t xml:space="preserve">O estudo mais importante durou dois anos: 65 mulheres e homens saudáveis entre 60 e 81 anos receberam diariamente ibutamoreno ou placebo. Hormônio do crescimento e IGF-1 subiram a valores de adultos jovens. A massa livre de gordura aumentou 1,1 kg com ibutamoreno e diminuiu 0,5 kg com placebo. A gordura abdominal não se alterou, o peso corporal subiu 2,7 kg (placebo: 0,8 kg), e a gordura em braços e pernas aumentou mais. O aumento da massa livre de gordura</w:t>
      </w:r>
      <w:r>
        <w:t xml:space="preserve"> </w:t>
      </w:r>
      <w:r>
        <w:rPr>
          <w:bCs/>
          <w:b/>
        </w:rPr>
        <w:t xml:space="preserve">não</w:t>
      </w:r>
      <w:r>
        <w:t xml:space="preserve"> </w:t>
      </w:r>
      <w:r>
        <w:t xml:space="preserve">levou a mais força ou melhor função; os autores admitem que o estudo era pequeno demais para isso. A glicemia de jejum subiu em média 0,3 mmol/l (5 mg/dl), e a sensibilidade à insulina diminuiu. Os efeitos colaterais mais frequentes foram aumento inicial do apetite, leve retenção de líquidos nas pernas e dores musculares</w:t>
      </w:r>
      <w:r>
        <w:rPr>
          <w:rStyle w:val="FootnoteReference"/>
        </w:rPr>
        <w:footnoteReference w:id="1564"/>
      </w:r>
      <w:r>
        <w:t xml:space="preserve">.</w:t>
      </w:r>
    </w:p>
    <w:bookmarkEnd w:id="1565"/>
    <w:bookmarkStart w:id="1568" w:name="fratura-de-quadril"/>
    <w:p>
      <w:pPr>
        <w:pStyle w:val="Heading4"/>
      </w:pPr>
      <w:r>
        <w:t xml:space="preserve">Fratura de quadril</w:t>
      </w:r>
    </w:p>
    <w:p>
      <w:pPr>
        <w:pStyle w:val="FirstParagraph"/>
      </w:pPr>
      <w:r>
        <w:t xml:space="preserve">Dois estudos verificaram se o ibutamoreno ajuda pessoas idosas a se recuperarem após uma fratura de quadril:</w:t>
      </w:r>
    </w:p>
    <w:p>
      <w:pPr>
        <w:numPr>
          <w:ilvl w:val="0"/>
          <w:numId w:val="1185"/>
        </w:numPr>
        <w:pStyle w:val="Compact"/>
      </w:pPr>
      <w:r>
        <w:t xml:space="preserve">No primeiro estudo, com 161 pacientes de 13 centros, o IGF-1 subiu 84% (placebo: 17%). Nos testes funcionais houve em parte tendências favoráveis, mas nenhuma diferença estatisticamente significativa</w:t>
      </w:r>
      <w:r>
        <w:rPr>
          <w:rStyle w:val="FootnoteReference"/>
        </w:rPr>
        <w:footnoteReference w:id="1566"/>
      </w:r>
      <w:r>
        <w:t xml:space="preserve">.</w:t>
      </w:r>
    </w:p>
    <w:p>
      <w:pPr>
        <w:numPr>
          <w:ilvl w:val="0"/>
          <w:numId w:val="1185"/>
        </w:numPr>
        <w:pStyle w:val="Compact"/>
      </w:pPr>
      <w:r>
        <w:t xml:space="preserve">O segundo estudo, com 123 pacientes, foi</w:t>
      </w:r>
      <w:r>
        <w:t xml:space="preserve"> </w:t>
      </w:r>
      <w:r>
        <w:rPr>
          <w:bCs/>
          <w:b/>
        </w:rPr>
        <w:t xml:space="preserve">interrompido antecipadamente porque ocorreu insuficiência cardíaca em um número limitado de tratados</w:t>
      </w:r>
      <w:r>
        <w:t xml:space="preserve">. A velocidade de marcha havia melhorado levemente, a maioria das outras medidas funcionais não; os autores avaliaram o perfil de segurança nesse grupo de pacientes como desfavorável</w:t>
      </w:r>
      <w:r>
        <w:rPr>
          <w:rStyle w:val="FootnoteReference"/>
        </w:rPr>
        <w:footnoteReference w:id="1567"/>
      </w:r>
      <w:r>
        <w:t xml:space="preserve">.</w:t>
      </w:r>
    </w:p>
    <w:p>
      <w:pPr>
        <w:pStyle w:val="FirstParagraph"/>
      </w:pPr>
      <w:r>
        <w:t xml:space="preserve">Outro registro da Merck sobre sarcopenia após fratura de quadril (NCT00128115, 83 pessoas) consta como interrompido, sem indicação de motivos ou resultados.</w:t>
      </w:r>
    </w:p>
    <w:bookmarkEnd w:id="1568"/>
    <w:bookmarkStart w:id="1570" w:name="doença-de-alzheimer"/>
    <w:p>
      <w:pPr>
        <w:pStyle w:val="Heading4"/>
      </w:pPr>
      <w:r>
        <w:t xml:space="preserve">Doença de Alzheimer</w:t>
      </w:r>
    </w:p>
    <w:p>
      <w:pPr>
        <w:pStyle w:val="FirstParagraph"/>
      </w:pPr>
      <w:r>
        <w:t xml:space="preserve">Em um grande estudo, 563 pessoas com demência de Alzheimer leve a moderada receberam por um ano ibutamoreno ou placebo. O IGF-1 subiu 60,1% após seis semanas e 72,9% após doze meses. Em nenhuma das quatro escalas de desempenho cognitivo, capacidade para atividades diárias e impressão global a evolução diferiu do placebo</w:t>
      </w:r>
      <w:r>
        <w:rPr>
          <w:rStyle w:val="FootnoteReference"/>
        </w:rPr>
        <w:footnoteReference w:id="1569"/>
      </w:r>
      <w:r>
        <w:t xml:space="preserve">.</w:t>
      </w:r>
    </w:p>
    <w:bookmarkEnd w:id="1570"/>
    <w:bookmarkStart w:id="1577" w:name="outros-estudos-1"/>
    <w:p>
      <w:pPr>
        <w:pStyle w:val="Heading4"/>
      </w:pPr>
      <w:r>
        <w:t xml:space="preserve">Outros estudos</w:t>
      </w:r>
    </w:p>
    <w:p>
      <w:pPr>
        <w:numPr>
          <w:ilvl w:val="0"/>
          <w:numId w:val="1186"/>
        </w:numPr>
        <w:pStyle w:val="Compact"/>
      </w:pPr>
      <w:r>
        <w:rPr>
          <w:bCs/>
          <w:b/>
        </w:rPr>
        <w:t xml:space="preserve">Homens com excesso de peso:</w:t>
      </w:r>
      <w:r>
        <w:t xml:space="preserve"> </w:t>
      </w:r>
      <w:r>
        <w:t xml:space="preserve">em 24 homens, a massa livre de gordura aumentou ao longo de oito semanas, a gordura total e abdominal não se alteraram; no teste de tolerância à glicose, a regulação da glicemia piorou</w:t>
      </w:r>
      <w:r>
        <w:rPr>
          <w:rStyle w:val="FootnoteReference"/>
        </w:rPr>
        <w:footnoteReference w:id="1571"/>
      </w:r>
      <w:r>
        <w:t xml:space="preserve">.</w:t>
      </w:r>
    </w:p>
    <w:p>
      <w:pPr>
        <w:numPr>
          <w:ilvl w:val="0"/>
          <w:numId w:val="1186"/>
        </w:numPr>
        <w:pStyle w:val="Compact"/>
      </w:pPr>
      <w:r>
        <w:rPr>
          <w:bCs/>
          <w:b/>
        </w:rPr>
        <w:t xml:space="preserve">Osteoporose:</w:t>
      </w:r>
      <w:r>
        <w:t xml:space="preserve"> </w:t>
      </w:r>
      <w:r>
        <w:t xml:space="preserve">em 292 mulheres após a menopausa, o ibutamoreno junto com o medicamento para os ossos alendronato aumentou a densidade óssea mais do que o alendronato sozinho apenas no colo do fêmur, não na coluna nem no quadril total</w:t>
      </w:r>
      <w:r>
        <w:rPr>
          <w:rStyle w:val="FootnoteReference"/>
        </w:rPr>
        <w:footnoteReference w:id="1572"/>
      </w:r>
      <w:r>
        <w:t xml:space="preserve">.</w:t>
      </w:r>
    </w:p>
    <w:p>
      <w:pPr>
        <w:numPr>
          <w:ilvl w:val="0"/>
          <w:numId w:val="1186"/>
        </w:numPr>
        <w:pStyle w:val="Compact"/>
      </w:pPr>
      <w:r>
        <w:rPr>
          <w:bCs/>
          <w:b/>
        </w:rPr>
        <w:t xml:space="preserve">Sono:</w:t>
      </w:r>
      <w:r>
        <w:t xml:space="preserve"> </w:t>
      </w:r>
      <w:r>
        <w:t xml:space="preserve">em pequenos estudos com oito pessoas jovens e seis idosas, o sono profundo e o sono REM, respectivamente, se prolongaram</w:t>
      </w:r>
      <w:r>
        <w:rPr>
          <w:rStyle w:val="FootnoteReference"/>
        </w:rPr>
        <w:footnoteReference w:id="1573"/>
      </w:r>
      <w:r>
        <w:t xml:space="preserve">.</w:t>
      </w:r>
    </w:p>
    <w:p>
      <w:pPr>
        <w:numPr>
          <w:ilvl w:val="0"/>
          <w:numId w:val="1186"/>
        </w:numPr>
        <w:pStyle w:val="Compact"/>
      </w:pPr>
      <w:r>
        <w:rPr>
          <w:bCs/>
          <w:b/>
        </w:rPr>
        <w:t xml:space="preserve">Diálise:</w:t>
      </w:r>
      <w:r>
        <w:t xml:space="preserve"> </w:t>
      </w:r>
      <w:r>
        <w:t xml:space="preserve">em 22 pacientes em diálise, o IGF-1 subiu 65% mais do que com placebo, sem efeitos colaterais graves</w:t>
      </w:r>
      <w:r>
        <w:rPr>
          <w:rStyle w:val="FootnoteReference"/>
        </w:rPr>
        <w:footnoteReference w:id="1574"/>
      </w:r>
      <w:r>
        <w:t xml:space="preserve">.</w:t>
      </w:r>
    </w:p>
    <w:p>
      <w:pPr>
        <w:numPr>
          <w:ilvl w:val="0"/>
          <w:numId w:val="1186"/>
        </w:numPr>
        <w:pStyle w:val="Compact"/>
      </w:pPr>
      <w:r>
        <w:rPr>
          <w:bCs/>
          <w:b/>
        </w:rPr>
        <w:t xml:space="preserve">Crianças com deficiência de hormônio do crescimento:</w:t>
      </w:r>
      <w:r>
        <w:t xml:space="preserve"> </w:t>
      </w:r>
      <w:r>
        <w:t xml:space="preserve">já em 2001, o ibutamoreno aumentou o hormônio do crescimento e o IGF-1 em 18 crianças</w:t>
      </w:r>
      <w:r>
        <w:rPr>
          <w:rStyle w:val="FootnoteReference"/>
        </w:rPr>
        <w:footnoteReference w:id="1575"/>
      </w:r>
      <w:r>
        <w:t xml:space="preserve">. Sob o nome LUM-201, desencadeou em um estudo com 68 crianças respostas de GH mais altas do que os testes de estimulação usuais</w:t>
      </w:r>
      <w:r>
        <w:rPr>
          <w:rStyle w:val="FootnoteReference"/>
        </w:rPr>
        <w:footnoteReference w:id="1576"/>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Idosos saudáveis (Nass 2008), PMID 18981485</w:t>
            </w:r>
          </w:p>
        </w:tc>
        <w:tc>
          <w:tcPr/>
          <w:p>
            <w:pPr>
              <w:pStyle w:val="Compact"/>
              <w:jc w:val="left"/>
            </w:pPr>
            <w:r>
              <w:t xml:space="preserve">65 pessoas de 60–81 anos, ECR contra placebo</w:t>
            </w:r>
          </w:p>
        </w:tc>
        <w:tc>
          <w:tcPr/>
          <w:p>
            <w:pPr>
              <w:pStyle w:val="Compact"/>
              <w:jc w:val="left"/>
            </w:pPr>
            <w:r>
              <w:t xml:space="preserve">2 anos</w:t>
            </w:r>
          </w:p>
        </w:tc>
        <w:tc>
          <w:tcPr/>
          <w:p>
            <w:pPr>
              <w:pStyle w:val="Compact"/>
              <w:jc w:val="left"/>
            </w:pPr>
            <w:r>
              <w:t xml:space="preserve">massa livre de gordura +1,1 vs. −0,5 kg; força e função inalteradas; glicemia de jejum ↑</w:t>
            </w:r>
          </w:p>
        </w:tc>
      </w:tr>
      <w:tr>
        <w:tc>
          <w:tcPr/>
          <w:p>
            <w:pPr>
              <w:pStyle w:val="Compact"/>
              <w:jc w:val="left"/>
            </w:pPr>
            <w:r>
              <w:t xml:space="preserve">Fratura de quadril 1 (Bach 2004), PMID 15066065</w:t>
            </w:r>
          </w:p>
        </w:tc>
        <w:tc>
          <w:tcPr/>
          <w:p>
            <w:pPr>
              <w:pStyle w:val="Compact"/>
              <w:jc w:val="left"/>
            </w:pPr>
            <w:r>
              <w:t xml:space="preserve">161 idosos após fratura de quadril, ECR</w:t>
            </w:r>
          </w:p>
        </w:tc>
        <w:tc>
          <w:tcPr/>
          <w:p>
            <w:pPr>
              <w:pStyle w:val="Compact"/>
              <w:jc w:val="left"/>
            </w:pPr>
            <w:r>
              <w:t xml:space="preserve">6 meses</w:t>
            </w:r>
          </w:p>
        </w:tc>
        <w:tc>
          <w:tcPr/>
          <w:p>
            <w:pPr>
              <w:pStyle w:val="Compact"/>
              <w:jc w:val="left"/>
            </w:pPr>
            <w:r>
              <w:t xml:space="preserve">IGF-1 +84%; função não significativamente melhor</w:t>
            </w:r>
          </w:p>
        </w:tc>
      </w:tr>
      <w:tr>
        <w:tc>
          <w:tcPr/>
          <w:p>
            <w:pPr>
              <w:pStyle w:val="Compact"/>
              <w:jc w:val="left"/>
            </w:pPr>
            <w:r>
              <w:t xml:space="preserve">Fratura de quadril 2 (Adunsky 2011), PMID 21067829</w:t>
            </w:r>
          </w:p>
        </w:tc>
        <w:tc>
          <w:tcPr/>
          <w:p>
            <w:pPr>
              <w:pStyle w:val="Compact"/>
              <w:jc w:val="left"/>
            </w:pPr>
            <w:r>
              <w:t xml:space="preserve">123 idosos após fratura de quadril, ECR</w:t>
            </w:r>
          </w:p>
        </w:tc>
        <w:tc>
          <w:tcPr/>
          <w:p>
            <w:pPr>
              <w:pStyle w:val="Compact"/>
              <w:jc w:val="left"/>
            </w:pPr>
            <w:r>
              <w:t xml:space="preserve">24 semanas previstas</w:t>
            </w:r>
          </w:p>
        </w:tc>
        <w:tc>
          <w:tcPr/>
          <w:p>
            <w:pPr>
              <w:pStyle w:val="Compact"/>
              <w:jc w:val="left"/>
            </w:pPr>
            <w:r>
              <w:t xml:space="preserve">interrupção por sinal de insuficiência cardíaca</w:t>
            </w:r>
          </w:p>
        </w:tc>
      </w:tr>
      <w:tr>
        <w:tc>
          <w:tcPr/>
          <w:p>
            <w:pPr>
              <w:pStyle w:val="Compact"/>
              <w:jc w:val="left"/>
            </w:pPr>
            <w:r>
              <w:t xml:space="preserve">Alzheimer (Sevigny 2008), PMID 19015485</w:t>
            </w:r>
          </w:p>
        </w:tc>
        <w:tc>
          <w:tcPr/>
          <w:p>
            <w:pPr>
              <w:pStyle w:val="Compact"/>
              <w:jc w:val="left"/>
            </w:pPr>
            <w:r>
              <w:t xml:space="preserve">563 pessoas com Alzheimer, ECR</w:t>
            </w:r>
          </w:p>
        </w:tc>
        <w:tc>
          <w:tcPr/>
          <w:p>
            <w:pPr>
              <w:pStyle w:val="Compact"/>
              <w:jc w:val="left"/>
            </w:pPr>
            <w:r>
              <w:t xml:space="preserve">12 meses</w:t>
            </w:r>
          </w:p>
        </w:tc>
        <w:tc>
          <w:tcPr/>
          <w:p>
            <w:pPr>
              <w:pStyle w:val="Compact"/>
              <w:jc w:val="left"/>
            </w:pPr>
            <w:r>
              <w:t xml:space="preserve">IGF-1 +72,9%; nenhum efeito na evolução da doença</w:t>
            </w:r>
          </w:p>
        </w:tc>
      </w:tr>
      <w:tr>
        <w:tc>
          <w:tcPr/>
          <w:p>
            <w:pPr>
              <w:pStyle w:val="Compact"/>
              <w:jc w:val="left"/>
            </w:pPr>
            <w:r>
              <w:t xml:space="preserve">Osteoporose (Murphy 2001), PMID 11238495</w:t>
            </w:r>
          </w:p>
        </w:tc>
        <w:tc>
          <w:tcPr/>
          <w:p>
            <w:pPr>
              <w:pStyle w:val="Compact"/>
              <w:jc w:val="left"/>
            </w:pPr>
            <w:r>
              <w:t xml:space="preserve">292 mulheres, ECR com alendronato</w:t>
            </w:r>
          </w:p>
        </w:tc>
        <w:tc>
          <w:tcPr/>
          <w:p>
            <w:pPr>
              <w:pStyle w:val="Compact"/>
              <w:jc w:val="left"/>
            </w:pPr>
            <w:r>
              <w:t xml:space="preserve">12–18 meses</w:t>
            </w:r>
          </w:p>
        </w:tc>
        <w:tc>
          <w:tcPr/>
          <w:p>
            <w:pPr>
              <w:pStyle w:val="Compact"/>
              <w:jc w:val="left"/>
            </w:pPr>
            <w:r>
              <w:t xml:space="preserve">apenas densidade óssea do colo do fêmur um pouco maior</w:t>
            </w:r>
          </w:p>
        </w:tc>
      </w:tr>
    </w:tbl>
    <w:bookmarkEnd w:id="1577"/>
    <w:bookmarkEnd w:id="1578"/>
    <w:bookmarkStart w:id="1581" w:name="estudos-em-animais-e-em-laboratório-33"/>
    <w:p>
      <w:pPr>
        <w:pStyle w:val="Heading3"/>
      </w:pPr>
      <w:r>
        <w:t xml:space="preserve">Estudos em animais e em laboratório</w:t>
      </w:r>
    </w:p>
    <w:p>
      <w:pPr>
        <w:pStyle w:val="FirstParagraph"/>
      </w:pPr>
      <w:r>
        <w:t xml:space="preserve">Em camundongos com um modelo de Alzheimer, o ibutamoreno reduziu depósitos de amiloide e perdas de neurônios no cérebro</w:t>
      </w:r>
      <w:r>
        <w:rPr>
          <w:rStyle w:val="FootnoteReference"/>
        </w:rPr>
        <w:footnoteReference w:id="1579"/>
      </w:r>
      <w:r>
        <w:t xml:space="preserve"> </w:t>
      </w:r>
      <w:r>
        <w:t xml:space="preserve">– um achado que, no grande estudo de Alzheimer em humanos, não se traduziu em benefício clínico. A estrutura do receptor de grelina com ibutamoreno ligado foi elucidada em 2021</w:t>
      </w:r>
      <w:r>
        <w:rPr>
          <w:rStyle w:val="FootnoteReference"/>
        </w:rPr>
        <w:footnoteReference w:id="1580"/>
      </w:r>
      <w:r>
        <w:t xml:space="preserve">.</w:t>
      </w:r>
    </w:p>
    <w:bookmarkEnd w:id="1581"/>
    <w:bookmarkStart w:id="1592" w:name="riscos-e-efeitos-colaterais-33"/>
    <w:p>
      <w:pPr>
        <w:pStyle w:val="Heading3"/>
      </w:pPr>
      <w:r>
        <w:t xml:space="preserve">Riscos e efeitos colaterais</w:t>
      </w:r>
    </w:p>
    <w:p>
      <w:pPr>
        <w:pStyle w:val="FirstParagraph"/>
      </w:pPr>
      <w:r>
        <w:rPr>
          <w:bCs/>
          <w:b/>
        </w:rPr>
        <w:t xml:space="preserve">Comprovado por estudos randomizados:</w:t>
      </w:r>
    </w:p>
    <w:p>
      <w:pPr>
        <w:numPr>
          <w:ilvl w:val="0"/>
          <w:numId w:val="1187"/>
        </w:numPr>
        <w:pStyle w:val="Compact"/>
      </w:pPr>
      <w:r>
        <w:rPr>
          <w:bCs/>
          <w:b/>
        </w:rPr>
        <w:t xml:space="preserve">Sinal de insuficiência cardíaca:</w:t>
      </w:r>
      <w:r>
        <w:t xml:space="preserve"> </w:t>
      </w:r>
      <w:r>
        <w:t xml:space="preserve">interrupção de um estudo em pessoas idosas após fratura de quadril por casos de insuficiência cardíaca</w:t>
      </w:r>
      <w:r>
        <w:rPr>
          <w:rStyle w:val="FootnoteReference"/>
        </w:rPr>
        <w:footnoteReference w:id="1582"/>
      </w:r>
      <w:r>
        <w:t xml:space="preserve">. Quantos casos foram, o resumo não informa. A retenção de líquidos está entre os efeitos conhecidos de níveis elevados de hormônio do crescimento e sobrecarrega um coração previamente lesado.</w:t>
      </w:r>
    </w:p>
    <w:p>
      <w:pPr>
        <w:numPr>
          <w:ilvl w:val="0"/>
          <w:numId w:val="1187"/>
        </w:numPr>
        <w:pStyle w:val="Compact"/>
      </w:pPr>
      <w:r>
        <w:rPr>
          <w:bCs/>
          <w:b/>
        </w:rPr>
        <w:t xml:space="preserve">Glicemia:</w:t>
      </w:r>
      <w:r>
        <w:t xml:space="preserve"> </w:t>
      </w:r>
      <w:r>
        <w:t xml:space="preserve">aumento da glicemia de jejum e redução da sensibilidade à insulina</w:t>
      </w:r>
      <w:r>
        <w:rPr>
          <w:rStyle w:val="FootnoteReference"/>
        </w:rPr>
        <w:footnoteReference w:id="1583"/>
      </w:r>
      <w:r>
        <w:t xml:space="preserve">; piora da tolerância à glicose em homens com excesso de peso</w:t>
      </w:r>
      <w:r>
        <w:rPr>
          <w:rStyle w:val="FootnoteReference"/>
        </w:rPr>
        <w:footnoteReference w:id="1584"/>
      </w:r>
      <w:r>
        <w:t xml:space="preserve">.</w:t>
      </w:r>
    </w:p>
    <w:p>
      <w:pPr>
        <w:numPr>
          <w:ilvl w:val="0"/>
          <w:numId w:val="1187"/>
        </w:numPr>
        <w:pStyle w:val="Compact"/>
      </w:pPr>
      <w:r>
        <w:rPr>
          <w:bCs/>
          <w:b/>
        </w:rPr>
        <w:t xml:space="preserve">Ganho de peso e apetite:</w:t>
      </w:r>
      <w:r>
        <w:t xml:space="preserve"> </w:t>
      </w:r>
      <w:r>
        <w:t xml:space="preserve">mais peso corporal, mais gordura em braços e pernas, aumento da fome</w:t>
      </w:r>
      <w:r>
        <w:rPr>
          <w:rStyle w:val="FootnoteReference"/>
        </w:rPr>
        <w:footnoteReference w:id="1585"/>
      </w:r>
      <w:r>
        <w:t xml:space="preserve">.</w:t>
      </w:r>
    </w:p>
    <w:p>
      <w:pPr>
        <w:numPr>
          <w:ilvl w:val="0"/>
          <w:numId w:val="1187"/>
        </w:numPr>
        <w:pStyle w:val="Compact"/>
      </w:pPr>
      <w:r>
        <w:rPr>
          <w:bCs/>
          <w:b/>
        </w:rPr>
        <w:t xml:space="preserve">Retenção de líquidos e dores musculares</w:t>
      </w:r>
      <w:r>
        <w:rPr>
          <w:rStyle w:val="FootnoteReference"/>
        </w:rPr>
        <w:footnoteReference w:id="1586"/>
      </w:r>
      <w:r>
        <w:t xml:space="preserve">.</w:t>
      </w:r>
    </w:p>
    <w:p>
      <w:pPr>
        <w:pStyle w:val="FirstParagraph"/>
      </w:pPr>
      <w:r>
        <w:rPr>
          <w:bCs/>
          <w:b/>
        </w:rPr>
        <w:t xml:space="preserve">Relatos de caso do uso no mercado cinza:</w:t>
      </w:r>
      <w:r>
        <w:t xml:space="preserve"> </w:t>
      </w:r>
      <w:r>
        <w:t xml:space="preserve">um homem de pouco mais de 30 anos desenvolveu, após dois meses de uso de MK-677, enzimas hepáticas elevadas, que se normalizaram após a suspensão</w:t>
      </w:r>
      <w:r>
        <w:rPr>
          <w:rStyle w:val="FootnoteReference"/>
        </w:rPr>
        <w:footnoteReference w:id="1587"/>
      </w:r>
      <w:r>
        <w:t xml:space="preserve">. Um homem de 40 anos desenvolveu crescimento das mamas e deficiência de testosterona; seus suplementos de fitness continham, além de MK-677, também um SARM, cardarine e hormônios não declarados</w:t>
      </w:r>
      <w:r>
        <w:rPr>
          <w:rStyle w:val="FootnoteReference"/>
        </w:rPr>
        <w:footnoteReference w:id="1588"/>
      </w:r>
      <w:r>
        <w:t xml:space="preserve">.</w:t>
      </w:r>
    </w:p>
    <w:p>
      <w:pPr>
        <w:pStyle w:val="BodyText"/>
      </w:pPr>
      <w:r>
        <w:rPr>
          <w:bCs/>
          <w:b/>
        </w:rPr>
        <w:t xml:space="preserve">Câncer:</w:t>
      </w:r>
      <w:r>
        <w:t xml:space="preserve"> </w:t>
      </w:r>
      <w:r>
        <w:t xml:space="preserve">o ibutamoreno eleva o IGF-1 ao longo de meses a anos ao nível de adultos jovens. Nos estudos não foi relatado sinal de câncer, mas eles não foram nem grandes nem longos o suficiente para isso. Uma revisão sobre liberadores de GH pede expressamente dados de longo prazo sobre câncer e mortalidade</w:t>
      </w:r>
      <w:r>
        <w:rPr>
          <w:rStyle w:val="FootnoteReference"/>
        </w:rPr>
        <w:footnoteReference w:id="1589"/>
      </w:r>
      <w:r>
        <w:t xml:space="preserve">. Sobre o panorama geral dos dados, veja a introdução deste grupo e a Parte IV.</w:t>
      </w:r>
    </w:p>
    <w:p>
      <w:pPr>
        <w:pStyle w:val="BodyText"/>
      </w:pPr>
      <w:r>
        <w:rPr>
          <w:bCs/>
          <w:b/>
        </w:rPr>
        <w:t xml:space="preserve">Qualidade no mercado cinza:</w:t>
      </w:r>
      <w:r>
        <w:t xml:space="preserve"> </w:t>
      </w:r>
      <w:r>
        <w:t xml:space="preserve">em uma análise americana de 44 produtos vendidos na internet como SARMs, 39% continham, em vez da substância declarada ou adicionalmente, outras substâncias não aprovadas, entre elas o ibutamoreno; apenas 41% continham a quantidade declarada da substância ativa</w:t>
      </w:r>
      <w:r>
        <w:rPr>
          <w:rStyle w:val="FootnoteReference"/>
        </w:rPr>
        <w:footnoteReference w:id="1590"/>
      </w:r>
      <w:r>
        <w:t xml:space="preserve">. Uma vigilância de mercado europeia com 324 amostras de 13 países encontrou o ibutamoreno como substância mais frequente entre os preparados para ganho muscular examinados; 24% dos produtos eram apresentados como suplementos alimentares</w:t>
      </w:r>
      <w:r>
        <w:rPr>
          <w:rStyle w:val="FootnoteReference"/>
        </w:rPr>
        <w:footnoteReference w:id="1591"/>
      </w:r>
      <w:r>
        <w:t xml:space="preserve">.</w:t>
      </w:r>
    </w:p>
    <w:bookmarkEnd w:id="1592"/>
    <w:bookmarkStart w:id="1594" w:name="situação-legal-33"/>
    <w:p>
      <w:pPr>
        <w:pStyle w:val="Heading3"/>
      </w:pPr>
      <w:r>
        <w:t xml:space="preserve">Situação legal</w:t>
      </w:r>
    </w:p>
    <w:p>
      <w:pPr>
        <w:pStyle w:val="FirstParagraph"/>
      </w:pPr>
      <w:r>
        <w:rPr>
          <w:iCs/>
          <w:i/>
        </w:rPr>
        <w:t xml:space="preserve">Situação em 2026, verificar atualização.</w:t>
      </w:r>
    </w:p>
    <w:p>
      <w:pPr>
        <w:numPr>
          <w:ilvl w:val="0"/>
          <w:numId w:val="1188"/>
        </w:numPr>
        <w:pStyle w:val="Compact"/>
      </w:pPr>
      <w:r>
        <w:rPr>
          <w:bCs/>
          <w:b/>
        </w:rPr>
        <w:t xml:space="preserve">UE, Alemanha, Áustria:</w:t>
      </w:r>
      <w:r>
        <w:t xml:space="preserve"> </w:t>
      </w:r>
      <w:r>
        <w:t xml:space="preserve">nenhuma aprovação. O ibutamoreno é um fármaco não aprovado; como suplemento alimentar, não pode ser comercializado. Quem o oferece para uso em humanos viola a legislação de medicamentos.</w:t>
      </w:r>
    </w:p>
    <w:p>
      <w:pPr>
        <w:numPr>
          <w:ilvl w:val="0"/>
          <w:numId w:val="1188"/>
        </w:numPr>
        <w:pStyle w:val="Compact"/>
      </w:pPr>
      <w:r>
        <w:rPr>
          <w:bCs/>
          <w:b/>
        </w:rPr>
        <w:t xml:space="preserve">EUA:</w:t>
      </w:r>
      <w:r>
        <w:t xml:space="preserve"> </w:t>
      </w:r>
      <w:r>
        <w:t xml:space="preserve">nenhuma aprovação; mesmo assim é vendido como</w:t>
      </w:r>
      <w:r>
        <w:t xml:space="preserve"> </w:t>
      </w:r>
      <w:r>
        <w:t xml:space="preserve">“</w:t>
      </w:r>
      <w:r>
        <w:t xml:space="preserve">Research Chemical</w:t>
      </w:r>
      <w:r>
        <w:t xml:space="preserve">”</w:t>
      </w:r>
      <w:r>
        <w:t xml:space="preserve"> </w:t>
      </w:r>
      <w:r>
        <w:t xml:space="preserve">ou em suplementos.</w:t>
      </w:r>
    </w:p>
    <w:p>
      <w:pPr>
        <w:numPr>
          <w:ilvl w:val="0"/>
          <w:numId w:val="1188"/>
        </w:numPr>
        <w:pStyle w:val="Compact"/>
      </w:pPr>
      <w:r>
        <w:rPr>
          <w:bCs/>
          <w:b/>
        </w:rPr>
        <w:t xml:space="preserve">WADA:</w:t>
      </w:r>
      <w:r>
        <w:t xml:space="preserve"> </w:t>
      </w:r>
      <w:r>
        <w:t xml:space="preserve">proibido (S2). Também no hipismo é controlado, por exemplo por meio de análises de pelos</w:t>
      </w:r>
      <w:r>
        <w:rPr>
          <w:rStyle w:val="FootnoteReference"/>
        </w:rPr>
        <w:footnoteReference w:id="1593"/>
      </w:r>
      <w:r>
        <w:t xml:space="preserve">.</w:t>
      </w:r>
    </w:p>
    <w:bookmarkEnd w:id="1594"/>
    <w:bookmarkStart w:id="1599" w:name="estudos-em-andamento-e-perspectivas-33"/>
    <w:p>
      <w:pPr>
        <w:pStyle w:val="Heading3"/>
      </w:pPr>
      <w:r>
        <w:t xml:space="preserve">Estudos em andamento e perspectivas</w:t>
      </w:r>
    </w:p>
    <w:p>
      <w:pPr>
        <w:pStyle w:val="FirstParagraph"/>
      </w:pPr>
      <w:r>
        <w:rPr>
          <w:iCs/>
          <w:i/>
        </w:rPr>
        <w:t xml:space="preserve">Comprovado:</w:t>
      </w:r>
      <w:r>
        <w:t xml:space="preserve"> </w:t>
      </w:r>
      <w:r>
        <w:t xml:space="preserve">sob o nome LUM-201, o ibutamoreno está sendo desenvolvido como comprimido para crianças com deficiência de hormônio do crescimento. Um estudo de fase 2 com 104 crianças</w:t>
      </w:r>
      <w:r>
        <w:rPr>
          <w:rStyle w:val="FootnoteReference"/>
        </w:rPr>
        <w:footnoteReference w:id="1595"/>
      </w:r>
      <w:r>
        <w:t xml:space="preserve"> </w:t>
      </w:r>
      <w:r>
        <w:t xml:space="preserve">foi concluído; um estudo de fase 3 com 150 crianças previstas está recrutando desde 2026</w:t>
      </w:r>
      <w:r>
        <w:rPr>
          <w:rStyle w:val="FootnoteReference"/>
        </w:rPr>
        <w:footnoteReference w:id="1596"/>
      </w:r>
      <w:r>
        <w:t xml:space="preserve">, e um estudo de segurança de longo prazo está planejado</w:t>
      </w:r>
      <w:r>
        <w:rPr>
          <w:rStyle w:val="FootnoteReference"/>
        </w:rPr>
        <w:footnoteReference w:id="1597"/>
      </w:r>
      <w:r>
        <w:t xml:space="preserve">. Outro estudo de fase 2 deverá examinar, a partir de 2027, o LUM-201 adicionado à semaglutida em pessoas idosas com obesidade, para limitar a perda muscular durante o emagrecimento</w:t>
      </w:r>
      <w:r>
        <w:rPr>
          <w:rStyle w:val="FootnoteReference"/>
        </w:rPr>
        <w:footnoteReference w:id="1598"/>
      </w:r>
      <w:r>
        <w:t xml:space="preserve">.</w:t>
      </w:r>
    </w:p>
    <w:p>
      <w:pPr>
        <w:pStyle w:val="BodyText"/>
      </w:pPr>
      <w:r>
        <w:rPr>
          <w:iCs/>
          <w:i/>
        </w:rPr>
        <w:t xml:space="preserve">Avaliação do autor:</w:t>
      </w:r>
      <w:r>
        <w:t xml:space="preserve"> </w:t>
      </w:r>
      <w:r>
        <w:t xml:space="preserve">uma aprovação para crianças só é concebível após a conclusão do estudo de fase 3, ou seja, não antes do final dos anos 2020. Uma aprovação para adultos idosos não está à vista após o sinal de insuficiência cardíaca e a ausência de melhorias funcionais.</w:t>
      </w:r>
    </w:p>
    <w:bookmarkEnd w:id="1599"/>
    <w:bookmarkStart w:id="1600" w:name="conclusão-33"/>
    <w:p>
      <w:pPr>
        <w:pStyle w:val="Heading3"/>
      </w:pPr>
      <w:r>
        <w:t xml:space="preserve">Conclusão</w:t>
      </w:r>
    </w:p>
    <w:p>
      <w:pPr>
        <w:pStyle w:val="FirstParagraph"/>
      </w:pPr>
      <w:r>
        <w:t xml:space="preserve">O ibutamoreno é o agente ativo por via oral mais minuciosamente estudado que estimula continuamente o eixo do hormônio do crescimento. Os estudos mostram o padrão básico de todo o grupo: IGF-1 e massa magra sobem, mas força, função e evolução de doenças – no envelhecimento, na fratura de quadril e no Alzheimer – não melhoraram. Em contrapartida, glicemia e peso subiram, e um estudo em pessoas idosas foi interrompido por insuficiência cardíaca. Produtos do mercado cinza com</w:t>
      </w:r>
      <w:r>
        <w:t xml:space="preserve"> </w:t>
      </w:r>
      <w:r>
        <w:t xml:space="preserve">“</w:t>
      </w:r>
      <w:r>
        <w:t xml:space="preserve">MK-677</w:t>
      </w:r>
      <w:r>
        <w:t xml:space="preserve">”</w:t>
      </w:r>
      <w:r>
        <w:t xml:space="preserve"> </w:t>
      </w:r>
      <w:r>
        <w:t xml:space="preserve">são frequentemente rotulados de forma incorreta.</w:t>
      </w:r>
    </w:p>
    <w:bookmarkEnd w:id="1600"/>
    <w:bookmarkEnd w:id="1601"/>
    <w:bookmarkEnd w:id="1602"/>
    <w:bookmarkStart w:id="1957" w:name="parte-ii-d-cérebro-sono-e-longevidade"/>
    <w:p>
      <w:pPr>
        <w:pStyle w:val="Heading1"/>
      </w:pPr>
      <w:r>
        <w:t xml:space="preserve">Parte II · D – Cérebro, sono e longevidade</w:t>
      </w:r>
    </w:p>
    <w:p>
      <w:pPr>
        <w:pStyle w:val="FirstParagraph"/>
      </w:pPr>
      <w:r>
        <w:t xml:space="preserve">Poucos grupos de peptídeos são anunciados na internet de forma tão promissora quanto este: substâncias para mais concentração e memória (</w:t>
      </w:r>
      <w:r>
        <w:t xml:space="preserve">“</w:t>
      </w:r>
      <w:r>
        <w:t xml:space="preserve">nootrópicos</w:t>
      </w:r>
      <w:r>
        <w:t xml:space="preserve">”</w:t>
      </w:r>
      <w:r>
        <w:t xml:space="preserve">), para um sono mais profundo, para telômeros mais longos e</w:t>
      </w:r>
      <w:r>
        <w:t xml:space="preserve"> </w:t>
      </w:r>
      <w:r>
        <w:t xml:space="preserve">“</w:t>
      </w:r>
      <w:r>
        <w:t xml:space="preserve">mitocôndrias mais jovens</w:t>
      </w:r>
      <w:r>
        <w:t xml:space="preserve">”</w:t>
      </w:r>
      <w:r>
        <w:t xml:space="preserve">. Em comum, as doze substâncias desta seção têm o fato de visarem o cérebro, o envelhecimento celular ou o metabolismo energético – e o fato de que aqui o abismo entre promessa e evidência é especialmente grande.</w:t>
      </w:r>
    </w:p>
    <w:bookmarkStart w:id="1603" w:name="o-que-une-estes-peptídeos"/>
    <w:p>
      <w:pPr>
        <w:pStyle w:val="Heading3"/>
      </w:pPr>
      <w:r>
        <w:t xml:space="preserve">O que une estes peptídeos</w:t>
      </w:r>
    </w:p>
    <w:p>
      <w:pPr>
        <w:pStyle w:val="FirstParagraph"/>
      </w:pPr>
      <w:r>
        <w:t xml:space="preserve">O grupo pode ser dividido, grosso modo, em três famílias:</w:t>
      </w:r>
    </w:p>
    <w:p>
      <w:pPr>
        <w:numPr>
          <w:ilvl w:val="0"/>
          <w:numId w:val="1189"/>
        </w:numPr>
        <w:pStyle w:val="Compact"/>
      </w:pPr>
      <w:r>
        <w:rPr>
          <w:bCs/>
          <w:b/>
        </w:rPr>
        <w:t xml:space="preserve">Neuropeptídeos russos e</w:t>
      </w:r>
      <w:r>
        <w:rPr>
          <w:bCs/>
          <w:b/>
        </w:rPr>
        <w:t xml:space="preserve"> </w:t>
      </w:r>
      <w:r>
        <w:rPr>
          <w:bCs/>
          <w:b/>
        </w:rPr>
        <w:t xml:space="preserve">“</w:t>
      </w:r>
      <w:r>
        <w:rPr>
          <w:bCs/>
          <w:b/>
        </w:rPr>
        <w:t xml:space="preserve">biorreguladores</w:t>
      </w:r>
      <w:r>
        <w:rPr>
          <w:bCs/>
          <w:b/>
        </w:rPr>
        <w:t xml:space="preserve">”</w:t>
      </w:r>
      <w:r>
        <w:rPr>
          <w:bCs/>
          <w:b/>
        </w:rPr>
        <w:t xml:space="preserve">:</w:t>
      </w:r>
      <w:r>
        <w:t xml:space="preserve"> </w:t>
      </w:r>
      <w:r>
        <w:t xml:space="preserve">Semax, Selank, DSIP, Epitalon e Pinealon vêm da pesquisa soviética e russa. A cerebrolisina, uma mistura de peptídeos de cérebro de porco, vem da Áustria, mas é usada sobretudo no Leste Europeu e na Ásia.</w:t>
      </w:r>
    </w:p>
    <w:p>
      <w:pPr>
        <w:numPr>
          <w:ilvl w:val="0"/>
          <w:numId w:val="1189"/>
        </w:numPr>
        <w:pStyle w:val="Compact"/>
      </w:pPr>
      <w:r>
        <w:rPr>
          <w:bCs/>
          <w:b/>
        </w:rPr>
        <w:t xml:space="preserve">Peptídeos mitocondriais:</w:t>
      </w:r>
      <w:r>
        <w:t xml:space="preserve"> </w:t>
      </w:r>
      <w:r>
        <w:t xml:space="preserve">MOTS-c e humanina são sinalizadores do próprio organismo codificados no material genético das mitocôndrias. O SS-31 (elamipretida) é um peptídeo artificial que se liga especificamente à membrana mitocondrial.</w:t>
      </w:r>
    </w:p>
    <w:p>
      <w:pPr>
        <w:numPr>
          <w:ilvl w:val="0"/>
          <w:numId w:val="1189"/>
        </w:numPr>
        <w:pStyle w:val="Compact"/>
      </w:pPr>
      <w:r>
        <w:rPr>
          <w:bCs/>
          <w:b/>
        </w:rPr>
        <w:t xml:space="preserve">Moléculas</w:t>
      </w:r>
      <w:r>
        <w:rPr>
          <w:bCs/>
          <w:b/>
        </w:rPr>
        <w:t xml:space="preserve"> </w:t>
      </w:r>
      <w:r>
        <w:rPr>
          <w:bCs/>
          <w:b/>
        </w:rPr>
        <w:t xml:space="preserve">“</w:t>
      </w:r>
      <w:r>
        <w:rPr>
          <w:bCs/>
          <w:b/>
        </w:rPr>
        <w:t xml:space="preserve">anti-aging</w:t>
      </w:r>
      <w:r>
        <w:rPr>
          <w:bCs/>
          <w:b/>
        </w:rPr>
        <w:t xml:space="preserve">”</w:t>
      </w:r>
      <w:r>
        <w:rPr>
          <w:bCs/>
          <w:b/>
        </w:rPr>
        <w:t xml:space="preserve"> </w:t>
      </w:r>
      <w:r>
        <w:rPr>
          <w:bCs/>
          <w:b/>
        </w:rPr>
        <w:t xml:space="preserve">experimentais:</w:t>
      </w:r>
      <w:r>
        <w:t xml:space="preserve"> </w:t>
      </w:r>
      <w:r>
        <w:t xml:space="preserve">Dihexa (um derivado da angiotensina IV) e FOXO4-DRI (um senolítico que eliminaria células envelhecidas) nunca foram estudados em humanos. A glutationa, por fim, é um tripeptídeo do próprio organismo vendido como suplemento alimentar e em infusão.</w:t>
      </w:r>
    </w:p>
    <w:bookmarkEnd w:id="1603"/>
    <w:bookmarkStart w:id="1604" w:name="a-cena-dos-nootrópicos-e-da-longevidade"/>
    <w:p>
      <w:pPr>
        <w:pStyle w:val="Heading3"/>
      </w:pPr>
      <w:r>
        <w:t xml:space="preserve">A cena dos nootrópicos e da longevidade</w:t>
      </w:r>
    </w:p>
    <w:p>
      <w:pPr>
        <w:pStyle w:val="FirstParagraph"/>
      </w:pPr>
      <w:r>
        <w:t xml:space="preserve">Quem procura essas substâncias na internet chega rapidamente a fóruns, influenciadores e</w:t>
      </w:r>
      <w:r>
        <w:t xml:space="preserve"> </w:t>
      </w:r>
      <w:r>
        <w:t xml:space="preserve">“</w:t>
      </w:r>
      <w:r>
        <w:t xml:space="preserve">clínicas de longevidade</w:t>
      </w:r>
      <w:r>
        <w:t xml:space="preserve">”</w:t>
      </w:r>
      <w:r>
        <w:t xml:space="preserve">. São típicos três erros de raciocínio que você encontrará repetidamente nos capítulos seguintes:</w:t>
      </w:r>
    </w:p>
    <w:p>
      <w:pPr>
        <w:numPr>
          <w:ilvl w:val="0"/>
          <w:numId w:val="1190"/>
        </w:numPr>
        <w:pStyle w:val="Compact"/>
      </w:pPr>
      <w:r>
        <w:rPr>
          <w:bCs/>
          <w:b/>
        </w:rPr>
        <w:t xml:space="preserve">Do animal para o ser humano:</w:t>
      </w:r>
      <w:r>
        <w:t xml:space="preserve"> </w:t>
      </w:r>
      <w:r>
        <w:t xml:space="preserve">o fato de um peptídeo melhorar a memória ou a expectativa de vida em camundongos diz pouco sobre se ele funciona em humanos. Na pesquisa sobre AVC e Alzheimer, centenas de substâncias bem-sucedidas em animais fracassaram em humanos.</w:t>
      </w:r>
    </w:p>
    <w:p>
      <w:pPr>
        <w:numPr>
          <w:ilvl w:val="0"/>
          <w:numId w:val="1190"/>
        </w:numPr>
        <w:pStyle w:val="Compact"/>
      </w:pPr>
      <w:r>
        <w:rPr>
          <w:bCs/>
          <w:b/>
        </w:rPr>
        <w:t xml:space="preserve">Do nível sanguíneo para a injeção:</w:t>
      </w:r>
      <w:r>
        <w:t xml:space="preserve"> </w:t>
      </w:r>
      <w:r>
        <w:t xml:space="preserve">o fato de pessoas com níveis baixos de MOTS-c ou humanina adoecerem com mais frequência não prova que uma suplementação traga saúde.</w:t>
      </w:r>
    </w:p>
    <w:p>
      <w:pPr>
        <w:numPr>
          <w:ilvl w:val="0"/>
          <w:numId w:val="1190"/>
        </w:numPr>
        <w:pStyle w:val="Compact"/>
      </w:pPr>
      <w:r>
        <w:rPr>
          <w:bCs/>
          <w:b/>
        </w:rPr>
        <w:t xml:space="preserve">Do mecanismo para o benefício:</w:t>
      </w:r>
      <w:r>
        <w:t xml:space="preserve"> </w:t>
      </w:r>
      <w:r>
        <w:t xml:space="preserve">um mecanismo coerente –</w:t>
      </w:r>
      <w:r>
        <w:t xml:space="preserve"> </w:t>
      </w:r>
      <w:r>
        <w:t xml:space="preserve">“</w:t>
      </w:r>
      <w:r>
        <w:t xml:space="preserve">protege as mitocôndrias</w:t>
      </w:r>
      <w:r>
        <w:t xml:space="preserve">”</w:t>
      </w:r>
      <w:r>
        <w:t xml:space="preserve">,</w:t>
      </w:r>
      <w:r>
        <w:t xml:space="preserve"> </w:t>
      </w:r>
      <w:r>
        <w:t xml:space="preserve">“</w:t>
      </w:r>
      <w:r>
        <w:t xml:space="preserve">alonga os telômeros</w:t>
      </w:r>
      <w:r>
        <w:t xml:space="preserve">”</w:t>
      </w:r>
      <w:r>
        <w:t xml:space="preserve"> </w:t>
      </w:r>
      <w:r>
        <w:t xml:space="preserve">– não é eficácia. O SS-31 é o melhor exemplo disso: foi testado em vários grandes estudos e não atingiu os desfechos principais no infarto do miocárdio, na insuficiência cardíaca e na miopatia mitocondrial.</w:t>
      </w:r>
    </w:p>
    <w:p>
      <w:pPr>
        <w:pStyle w:val="FirstParagraph"/>
      </w:pPr>
      <w:r>
        <w:t xml:space="preserve">Além disso, quase todas essas substâncias são vendidas no mercado cinza como</w:t>
      </w:r>
      <w:r>
        <w:t xml:space="preserve"> </w:t>
      </w:r>
      <w:r>
        <w:t xml:space="preserve">“</w:t>
      </w:r>
      <w:r>
        <w:t xml:space="preserve">Research Peptides</w:t>
      </w:r>
      <w:r>
        <w:t xml:space="preserve">”</w:t>
      </w:r>
      <w:r>
        <w:t xml:space="preserve"> </w:t>
      </w:r>
      <w:r>
        <w:t xml:space="preserve">– sem controle de qualidade (veja a Parte I e a Parte IV).</w:t>
      </w:r>
    </w:p>
    <w:bookmarkEnd w:id="1604"/>
    <w:bookmarkStart w:id="1605" w:name="Xf08a6ae354b7f29880be54209f84f19a3c68f5e"/>
    <w:p>
      <w:pPr>
        <w:pStyle w:val="Heading3"/>
      </w:pPr>
      <w:r>
        <w:t xml:space="preserve">A pesquisa russa de peptídeos e sua situação de publicação</w:t>
      </w:r>
    </w:p>
    <w:p>
      <w:pPr>
        <w:pStyle w:val="FirstParagraph"/>
      </w:pPr>
      <w:r>
        <w:t xml:space="preserve">Grande parte da literatura sobre Semax, Selank, DSIP, Epitalon e Pinealon vem de poucos institutos em Moscou e São Petersburgo. Isso não é motivo para rejeitar a pesquisa em bloco – mas é motivo para cautela:</w:t>
      </w:r>
    </w:p>
    <w:p>
      <w:pPr>
        <w:numPr>
          <w:ilvl w:val="0"/>
          <w:numId w:val="1191"/>
        </w:numPr>
        <w:pStyle w:val="Compact"/>
      </w:pPr>
      <w:r>
        <w:rPr>
          <w:bCs/>
          <w:b/>
        </w:rPr>
        <w:t xml:space="preserve">Aprovação sem padrões internacionais:</w:t>
      </w:r>
      <w:r>
        <w:t xml:space="preserve"> </w:t>
      </w:r>
      <w:r>
        <w:t xml:space="preserve">alguns peptídeos estão registrados como medicamentos na Rússia sem que tenham sido publicados grandes estudos cegos e pré-registrados, como os exigidos pela UE ou pelos EUA.</w:t>
      </w:r>
    </w:p>
    <w:p>
      <w:pPr>
        <w:numPr>
          <w:ilvl w:val="0"/>
          <w:numId w:val="1191"/>
        </w:numPr>
        <w:pStyle w:val="Compact"/>
      </w:pPr>
      <w:r>
        <w:rPr>
          <w:bCs/>
          <w:b/>
        </w:rPr>
        <w:t xml:space="preserve">Estudos pequenos e não controlados:</w:t>
      </w:r>
      <w:r>
        <w:t xml:space="preserve"> </w:t>
      </w:r>
      <w:r>
        <w:t xml:space="preserve">muitos trabalhos clínicos não têm grupo placebo, nem randomização, ou não informam números no resumo.</w:t>
      </w:r>
    </w:p>
    <w:p>
      <w:pPr>
        <w:numPr>
          <w:ilvl w:val="0"/>
          <w:numId w:val="1191"/>
        </w:numPr>
        <w:pStyle w:val="Compact"/>
      </w:pPr>
      <w:r>
        <w:rPr>
          <w:bCs/>
          <w:b/>
        </w:rPr>
        <w:t xml:space="preserve">Idioma e acesso:</w:t>
      </w:r>
      <w:r>
        <w:t xml:space="preserve"> </w:t>
      </w:r>
      <w:r>
        <w:t xml:space="preserve">muitos trabalhos são publicados apenas em russo, frequentemente em revistas nas quais os próprios grupos de autores publicam com frequência.</w:t>
      </w:r>
    </w:p>
    <w:p>
      <w:pPr>
        <w:numPr>
          <w:ilvl w:val="0"/>
          <w:numId w:val="1191"/>
        </w:numPr>
        <w:pStyle w:val="Compact"/>
      </w:pPr>
      <w:r>
        <w:rPr>
          <w:bCs/>
          <w:b/>
        </w:rPr>
        <w:t xml:space="preserve">Falta de replicação:</w:t>
      </w:r>
      <w:r>
        <w:t xml:space="preserve"> </w:t>
      </w:r>
      <w:r>
        <w:t xml:space="preserve">grupos independentes fora da Rússia raramente verificaram os resultados – e, quando o fizeram, muitas vezes com resultado decepcionante, como no caso do DSIP.</w:t>
      </w:r>
    </w:p>
    <w:p>
      <w:pPr>
        <w:numPr>
          <w:ilvl w:val="0"/>
          <w:numId w:val="1191"/>
        </w:numPr>
        <w:pStyle w:val="Compact"/>
      </w:pPr>
      <w:r>
        <w:rPr>
          <w:bCs/>
          <w:b/>
        </w:rPr>
        <w:t xml:space="preserve">Nenhum registro:</w:t>
      </w:r>
      <w:r>
        <w:t xml:space="preserve"> </w:t>
      </w:r>
      <w:r>
        <w:t xml:space="preserve">para Semax, Selank, DSIP e Pinealon não se encontra um único estudo no ClinicalTrials.gov.</w:t>
      </w:r>
    </w:p>
    <w:bookmarkEnd w:id="1605"/>
    <w:bookmarkStart w:id="1606" w:name="visão-geral-2"/>
    <w:p>
      <w:pPr>
        <w:pStyle w:val="Heading3"/>
      </w:pPr>
      <w:r>
        <w:t xml:space="preserve">Visão geral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w:t>
            </w:r>
          </w:p>
        </w:tc>
        <w:tc>
          <w:tcPr/>
          <w:p>
            <w:pPr>
              <w:pStyle w:val="Compact"/>
              <w:jc w:val="left"/>
            </w:pPr>
            <w:r>
              <w:t xml:space="preserve">Em resumo</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só na Rússia</w:t>
            </w:r>
          </w:p>
        </w:tc>
        <w:tc>
          <w:tcPr/>
          <w:p>
            <w:pPr>
              <w:pStyle w:val="Compact"/>
              <w:jc w:val="left"/>
            </w:pPr>
            <w:r>
              <w:t xml:space="preserve">fragmento de ACTH; pequenos estudos em AVC</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só na Rússia</w:t>
            </w:r>
          </w:p>
        </w:tc>
        <w:tc>
          <w:tcPr/>
          <w:p>
            <w:pPr>
              <w:pStyle w:val="Compact"/>
              <w:jc w:val="left"/>
            </w:pPr>
            <w:r>
              <w:t xml:space="preserve">ansiolítico; nenhum estudo com placebo</w:t>
            </w:r>
          </w:p>
        </w:tc>
      </w:tr>
      <w:tr>
        <w:tc>
          <w:tcPr/>
          <w:p>
            <w:pPr>
              <w:pStyle w:val="Compact"/>
              <w:jc w:val="left"/>
            </w:pPr>
            <w:r>
              <w:t xml:space="preserve">Cerebrolisina</w:t>
            </w:r>
          </w:p>
        </w:tc>
        <w:tc>
          <w:tcPr/>
          <w:p>
            <w:pPr>
              <w:pStyle w:val="Compact"/>
              <w:jc w:val="left"/>
            </w:pPr>
            <w:r>
              <w:t xml:space="preserve">B</w:t>
            </w:r>
          </w:p>
        </w:tc>
        <w:tc>
          <w:tcPr/>
          <w:p>
            <w:pPr>
              <w:pStyle w:val="Compact"/>
              <w:jc w:val="left"/>
            </w:pPr>
            <w:r>
              <w:t xml:space="preserve">nacional, entre outros na Áustria</w:t>
            </w:r>
          </w:p>
        </w:tc>
        <w:tc>
          <w:tcPr/>
          <w:p>
            <w:pPr>
              <w:pStyle w:val="Compact"/>
              <w:jc w:val="left"/>
            </w:pPr>
            <w:r>
              <w:t xml:space="preserve">muitos ECRs, Cochrane reservada</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não</w:t>
            </w:r>
          </w:p>
        </w:tc>
        <w:tc>
          <w:tcPr/>
          <w:p>
            <w:pPr>
              <w:pStyle w:val="Compact"/>
              <w:jc w:val="left"/>
            </w:pPr>
            <w:r>
              <w:t xml:space="preserve">só dados em animais; questão do câncer em aberto</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não</w:t>
            </w:r>
          </w:p>
        </w:tc>
        <w:tc>
          <w:tcPr/>
          <w:p>
            <w:pPr>
              <w:pStyle w:val="Compact"/>
              <w:jc w:val="left"/>
            </w:pPr>
            <w:r>
              <w:t xml:space="preserve">“</w:t>
            </w:r>
            <w:r>
              <w:t xml:space="preserve">peptídeo do sono</w:t>
            </w:r>
            <w:r>
              <w:t xml:space="preserve">”</w:t>
            </w:r>
            <w:r>
              <w:t xml:space="preserve"> </w:t>
            </w:r>
            <w:r>
              <w:t xml:space="preserve">sem benefício confirmado</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não</w:t>
            </w:r>
          </w:p>
        </w:tc>
        <w:tc>
          <w:tcPr/>
          <w:p>
            <w:pPr>
              <w:pStyle w:val="Compact"/>
              <w:jc w:val="left"/>
            </w:pPr>
            <w:r>
              <w:t xml:space="preserve">promessa de telômeros só em laboratório</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não</w:t>
            </w:r>
          </w:p>
        </w:tc>
        <w:tc>
          <w:tcPr/>
          <w:p>
            <w:pPr>
              <w:pStyle w:val="Compact"/>
              <w:jc w:val="left"/>
            </w:pPr>
            <w:r>
              <w:t xml:space="preserve">pequenas observações russas</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não</w:t>
            </w:r>
          </w:p>
        </w:tc>
        <w:tc>
          <w:tcPr/>
          <w:p>
            <w:pPr>
              <w:pStyle w:val="Compact"/>
              <w:jc w:val="left"/>
            </w:pPr>
            <w:r>
              <w:t xml:space="preserve">camundongos sim, humanos só níveis sanguíneos</w:t>
            </w:r>
          </w:p>
        </w:tc>
      </w:tr>
      <w:tr>
        <w:tc>
          <w:tcPr/>
          <w:p>
            <w:pPr>
              <w:pStyle w:val="Compact"/>
              <w:jc w:val="left"/>
            </w:pPr>
            <w:r>
              <w:t xml:space="preserve">Humanina</w:t>
            </w:r>
          </w:p>
        </w:tc>
        <w:tc>
          <w:tcPr/>
          <w:p>
            <w:pPr>
              <w:pStyle w:val="Compact"/>
              <w:jc w:val="left"/>
            </w:pPr>
            <w:r>
              <w:t xml:space="preserve">D</w:t>
            </w:r>
          </w:p>
        </w:tc>
        <w:tc>
          <w:tcPr/>
          <w:p>
            <w:pPr>
              <w:pStyle w:val="Compact"/>
              <w:jc w:val="left"/>
            </w:pPr>
            <w:r>
              <w:t xml:space="preserve">não</w:t>
            </w:r>
          </w:p>
        </w:tc>
        <w:tc>
          <w:tcPr/>
          <w:p>
            <w:pPr>
              <w:pStyle w:val="Compact"/>
              <w:jc w:val="left"/>
            </w:pPr>
            <w:r>
              <w:t xml:space="preserve">biomarcador; promotor de tumores em animais</w:t>
            </w:r>
          </w:p>
        </w:tc>
      </w:tr>
      <w:tr>
        <w:tc>
          <w:tcPr/>
          <w:p>
            <w:pPr>
              <w:pStyle w:val="Compact"/>
              <w:jc w:val="left"/>
            </w:pPr>
            <w:r>
              <w:t xml:space="preserve">SS-31 (elamipretida)</w:t>
            </w:r>
          </w:p>
        </w:tc>
        <w:tc>
          <w:tcPr/>
          <w:p>
            <w:pPr>
              <w:pStyle w:val="Compact"/>
              <w:jc w:val="left"/>
            </w:pPr>
            <w:r>
              <w:t xml:space="preserve">B</w:t>
            </w:r>
          </w:p>
        </w:tc>
        <w:tc>
          <w:tcPr/>
          <w:p>
            <w:pPr>
              <w:pStyle w:val="Compact"/>
              <w:jc w:val="left"/>
            </w:pPr>
            <w:r>
              <w:t xml:space="preserve">EUA (síndrome de Barth)</w:t>
            </w:r>
          </w:p>
        </w:tc>
        <w:tc>
          <w:tcPr/>
          <w:p>
            <w:pPr>
              <w:pStyle w:val="Compact"/>
              <w:jc w:val="left"/>
            </w:pPr>
            <w:r>
              <w:t xml:space="preserve">grandes estudos em geral negativos</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não</w:t>
            </w:r>
          </w:p>
        </w:tc>
        <w:tc>
          <w:tcPr/>
          <w:p>
            <w:pPr>
              <w:pStyle w:val="Compact"/>
              <w:jc w:val="left"/>
            </w:pPr>
            <w:r>
              <w:t xml:space="preserve">senolítico, só dados em animais</w:t>
            </w:r>
          </w:p>
        </w:tc>
      </w:tr>
      <w:tr>
        <w:tc>
          <w:tcPr/>
          <w:p>
            <w:pPr>
              <w:pStyle w:val="Compact"/>
              <w:jc w:val="left"/>
            </w:pPr>
            <w:r>
              <w:t xml:space="preserve">Glutationa</w:t>
            </w:r>
          </w:p>
        </w:tc>
        <w:tc>
          <w:tcPr/>
          <w:p>
            <w:pPr>
              <w:pStyle w:val="Compact"/>
              <w:jc w:val="left"/>
            </w:pPr>
            <w:r>
              <w:t xml:space="preserve">B</w:t>
            </w:r>
          </w:p>
        </w:tc>
        <w:tc>
          <w:tcPr/>
          <w:p>
            <w:pPr>
              <w:pStyle w:val="Compact"/>
              <w:jc w:val="left"/>
            </w:pPr>
            <w:r>
              <w:t xml:space="preserve">suplemento alimentar</w:t>
            </w:r>
          </w:p>
        </w:tc>
        <w:tc>
          <w:tcPr/>
          <w:p>
            <w:pPr>
              <w:pStyle w:val="Compact"/>
              <w:jc w:val="left"/>
            </w:pPr>
            <w:r>
              <w:t xml:space="preserve">infusões para clareamento da pele arriscadas</w:t>
            </w:r>
          </w:p>
        </w:tc>
      </w:tr>
    </w:tbl>
    <w:bookmarkEnd w:id="1606"/>
    <w:bookmarkStart w:id="1607" w:name="orientação-de-leitura-3"/>
    <w:p>
      <w:pPr>
        <w:pStyle w:val="Heading3"/>
      </w:pPr>
      <w:r>
        <w:t xml:space="preserve">Orientação de leitura</w:t>
      </w:r>
    </w:p>
    <w:p>
      <w:pPr>
        <w:pStyle w:val="FirstParagraph"/>
      </w:pPr>
      <w:r>
        <w:t xml:space="preserve">Os capítulos seguem a estrutura uniforme deste livro. Em cada capítulo, preste atenção especialmente à seção</w:t>
      </w:r>
      <w:r>
        <w:t xml:space="preserve"> </w:t>
      </w:r>
      <w:r>
        <w:t xml:space="preserve">“</w:t>
      </w:r>
      <w:r>
        <w:t xml:space="preserve">Estudos em humanos</w:t>
      </w:r>
      <w:r>
        <w:t xml:space="preserve">”</w:t>
      </w:r>
      <w:r>
        <w:t xml:space="preserve"> </w:t>
      </w:r>
      <w:r>
        <w:t xml:space="preserve">e, nela, à dimensão do conjunto de estudos: em nove dos doze peptídeos não há nenhum estudo em que pessoas tenham recebido a substância, ou há apenas estudos muito pequenos e metodologicamente fracos. A situação legal e o status junto à FDA mudaram várias vezes em 2026; as informações correspondem à situação de outubro de 2026 e devem ser verificadas atualmente.</w:t>
      </w:r>
    </w:p>
    <w:bookmarkEnd w:id="1607"/>
    <w:bookmarkStart w:id="1636" w:name="semax"/>
    <w:p>
      <w:pPr>
        <w:pStyle w:val="Heading2"/>
      </w:pPr>
      <w:r>
        <w:t xml:space="preserve">Semax</w:t>
      </w:r>
    </w:p>
    <w:bookmarkStart w:id="1608" w:name="ficha-técnica-34"/>
    <w:p>
      <w:pPr>
        <w:pStyle w:val="Heading3"/>
      </w:pPr>
      <w:r>
        <w:t xml:space="preserve">Ficha técnica</w:t>
      </w:r>
    </w:p>
    <w:p>
      <w:pPr>
        <w:numPr>
          <w:ilvl w:val="0"/>
          <w:numId w:val="1192"/>
        </w:numPr>
        <w:pStyle w:val="Compact"/>
      </w:pPr>
      <w:r>
        <w:rPr>
          <w:bCs/>
          <w:b/>
        </w:rPr>
        <w:t xml:space="preserve">Tipo e estrutura:</w:t>
      </w:r>
      <w:r>
        <w:t xml:space="preserve"> </w:t>
      </w:r>
      <w:r>
        <w:t xml:space="preserve">heptapeptídeo sintético (sete aminoácidos: Met-Glu-His-Phe-Pro-Gly-Pro). Os quatro primeiros componentes correspondem a um fragmento do hormônio do estresse ACTH (hormônio adrenocorticotrófico, segmento 4–7); acrescentado está o tripeptídeo Pro-Gly-Pro, que deveria retardar a degradação.</w:t>
      </w:r>
    </w:p>
    <w:p>
      <w:pPr>
        <w:numPr>
          <w:ilvl w:val="0"/>
          <w:numId w:val="1192"/>
        </w:numPr>
        <w:pStyle w:val="Compact"/>
      </w:pPr>
      <w:r>
        <w:rPr>
          <w:bCs/>
          <w:b/>
        </w:rPr>
        <w:t xml:space="preserve">Origem:</w:t>
      </w:r>
      <w:r>
        <w:t xml:space="preserve"> </w:t>
      </w:r>
      <w:r>
        <w:t xml:space="preserve">desenvolvido a partir dos anos 1980 no Instituto de Genética Molecular da Academia Russa de Ciências, em Moscou.</w:t>
      </w:r>
    </w:p>
    <w:p>
      <w:pPr>
        <w:numPr>
          <w:ilvl w:val="0"/>
          <w:numId w:val="1192"/>
        </w:numPr>
        <w:pStyle w:val="Compact"/>
      </w:pPr>
      <w:r>
        <w:rPr>
          <w:bCs/>
          <w:b/>
        </w:rPr>
        <w:t xml:space="preserve">Princípio de ação:</w:t>
      </w:r>
      <w:r>
        <w:t xml:space="preserve"> </w:t>
      </w:r>
      <w:r>
        <w:t xml:space="preserve">estimularia a produção de fatores de crescimento neural (sobretudo BDNF) e protegeria neurônios em caso de falta de oxigênio; ao contrário do ACTH, não estimula a adrenal a secretar cortisol. É administrado em gotas nasais.</w:t>
      </w:r>
    </w:p>
    <w:p>
      <w:pPr>
        <w:numPr>
          <w:ilvl w:val="0"/>
          <w:numId w:val="1192"/>
        </w:numPr>
        <w:pStyle w:val="Compact"/>
      </w:pPr>
      <w:r>
        <w:rPr>
          <w:bCs/>
          <w:b/>
        </w:rPr>
        <w:t xml:space="preserve">Aprovação UE:</w:t>
      </w:r>
      <w:r>
        <w:t xml:space="preserve"> </w:t>
      </w:r>
      <w:r>
        <w:t xml:space="preserve">não.</w:t>
      </w:r>
    </w:p>
    <w:p>
      <w:pPr>
        <w:numPr>
          <w:ilvl w:val="0"/>
          <w:numId w:val="1192"/>
        </w:numPr>
        <w:pStyle w:val="Compact"/>
      </w:pPr>
      <w:r>
        <w:rPr>
          <w:bCs/>
          <w:b/>
        </w:rPr>
        <w:t xml:space="preserve">Aprovação EUA:</w:t>
      </w:r>
      <w:r>
        <w:t xml:space="preserve"> </w:t>
      </w:r>
      <w:r>
        <w:t xml:space="preserve">não. O Semax constava desde 2023 na lista da FDA de substâncias com possíveis riscos de segurança para preparações de farmácia (</w:t>
      </w:r>
      <w:r>
        <w:t xml:space="preserve">“</w:t>
      </w:r>
      <w:r>
        <w:t xml:space="preserve">categoria 2</w:t>
      </w:r>
      <w:r>
        <w:t xml:space="preserve">”</w:t>
      </w:r>
      <w:r>
        <w:t xml:space="preserve">), foi retirado dela em abril de 2026 e, em julho de 2026, recomendado por pequena margem pelo comitê consultivo PCAC para inclusão na lista de substâncias permitidas para manipulação. Isso não é uma aprovação como medicamento.</w:t>
      </w:r>
    </w:p>
    <w:p>
      <w:pPr>
        <w:numPr>
          <w:ilvl w:val="0"/>
          <w:numId w:val="1192"/>
        </w:numPr>
        <w:pStyle w:val="Compact"/>
      </w:pPr>
      <w:r>
        <w:rPr>
          <w:bCs/>
          <w:b/>
        </w:rPr>
        <w:t xml:space="preserve">Rússia e alguns países vizinhos:</w:t>
      </w:r>
      <w:r>
        <w:t xml:space="preserve"> </w:t>
      </w:r>
      <w:r>
        <w:t xml:space="preserve">registrado como medicamento (gotas nasais; solução a 0,1% como nootrópico, solução a 1% para AVC).</w:t>
      </w:r>
    </w:p>
    <w:p>
      <w:pPr>
        <w:numPr>
          <w:ilvl w:val="0"/>
          <w:numId w:val="1192"/>
        </w:numPr>
        <w:pStyle w:val="Compact"/>
      </w:pPr>
      <w:r>
        <w:rPr>
          <w:bCs/>
          <w:b/>
        </w:rPr>
        <w:t xml:space="preserve">WADA:</w:t>
      </w:r>
      <w:r>
        <w:t xml:space="preserve"> </w:t>
      </w:r>
      <w:r>
        <w:t xml:space="preserve">não listado nominalmente. Como o Semax é aprovado na Rússia, não se enquadra de forma inequívoca na categoria geral S0 para substâncias não aprovadas.</w:t>
      </w:r>
    </w:p>
    <w:p>
      <w:pPr>
        <w:numPr>
          <w:ilvl w:val="0"/>
          <w:numId w:val="1192"/>
        </w:numPr>
        <w:pStyle w:val="Compact"/>
      </w:pPr>
      <w:r>
        <w:rPr>
          <w:bCs/>
          <w:b/>
        </w:rPr>
        <w:t xml:space="preserve">Nível de evidência:</w:t>
      </w:r>
      <w:r>
        <w:t xml:space="preserve"> </w:t>
      </w:r>
      <w:r>
        <w:rPr>
          <w:bCs/>
          <w:b/>
        </w:rPr>
        <w:t xml:space="preserve">C</w:t>
      </w:r>
      <w:r>
        <w:t xml:space="preserve"> </w:t>
      </w:r>
      <w:r>
        <w:t xml:space="preserve">– poucos estudos pequenos, predominantemente não randomizados, de centros russos.</w:t>
      </w:r>
    </w:p>
    <w:bookmarkEnd w:id="1608"/>
    <w:bookmarkStart w:id="1611" w:name="como-deveria-agir-34"/>
    <w:p>
      <w:pPr>
        <w:pStyle w:val="Heading3"/>
      </w:pPr>
      <w:r>
        <w:t xml:space="preserve">Como deveria agir</w:t>
      </w:r>
    </w:p>
    <w:p>
      <w:pPr>
        <w:pStyle w:val="FirstParagraph"/>
      </w:pPr>
      <w:r>
        <w:t xml:space="preserve">O ACTH é um hormônio da hipófise que estimula a adrenal a produzir cortisol. Já nos anos 1970 observou-se que fragmentos curtos desse hormônio – sem o efeito sobre a adrenal – influenciam a atenção e o aprendizado em animais. Esses fragmentos, porém, são degradados no organismo em minutos. Os desenvolvedores do Semax, por isso, prolongaram o fragmento ACTH(4–7) com a sequência Pro-Gly-Pro, mais estável contra enzimas que clivam proteínas.</w:t>
      </w:r>
    </w:p>
    <w:p>
      <w:pPr>
        <w:pStyle w:val="BodyText"/>
      </w:pPr>
      <w:r>
        <w:t xml:space="preserve">Para o mecanismo de ação, os desenvolvedores se apoiam sobretudo em dados animais:</w:t>
      </w:r>
    </w:p>
    <w:p>
      <w:pPr>
        <w:numPr>
          <w:ilvl w:val="0"/>
          <w:numId w:val="1193"/>
        </w:numPr>
        <w:pStyle w:val="Compact"/>
      </w:pPr>
      <w:r>
        <w:rPr>
          <w:bCs/>
          <w:b/>
        </w:rPr>
        <w:t xml:space="preserve">Fatores de crescimento neural:</w:t>
      </w:r>
      <w:r>
        <w:t xml:space="preserve"> </w:t>
      </w:r>
      <w:r>
        <w:t xml:space="preserve">em ratos, foram encontrados sítios de ligação específicos para Semax marcado no prosencéfalo basal; após administração nasal, o teor de BDNF (Brain-Derived Neurotrophic Factor), uma proteína que favorece a adaptabilidade das conexões neurais, subiu ali em três horas. No cerebelo isso não ocorreu</w:t>
      </w:r>
      <w:r>
        <w:rPr>
          <w:rStyle w:val="FootnoteReference"/>
        </w:rPr>
        <w:footnoteReference w:id="1609"/>
      </w:r>
      <w:r>
        <w:t xml:space="preserve">.</w:t>
      </w:r>
    </w:p>
    <w:p>
      <w:pPr>
        <w:numPr>
          <w:ilvl w:val="0"/>
          <w:numId w:val="1193"/>
        </w:numPr>
        <w:pStyle w:val="Compact"/>
      </w:pPr>
      <w:r>
        <w:rPr>
          <w:bCs/>
          <w:b/>
        </w:rPr>
        <w:t xml:space="preserve">Atividade gênica após AVC:</w:t>
      </w:r>
      <w:r>
        <w:t xml:space="preserve"> </w:t>
      </w:r>
      <w:r>
        <w:t xml:space="preserve">em um modelo de AVC em ratos, o Semax alterou a atividade de numerosos genes, sobretudo do sistema imunológico e da formação de vasos sanguíneos</w:t>
      </w:r>
      <w:r>
        <w:rPr>
          <w:rStyle w:val="FootnoteReference"/>
        </w:rPr>
        <w:footnoteReference w:id="1610"/>
      </w:r>
      <w:r>
        <w:t xml:space="preserve">.</w:t>
      </w:r>
    </w:p>
    <w:p>
      <w:pPr>
        <w:pStyle w:val="FirstParagraph"/>
      </w:pPr>
      <w:r>
        <w:t xml:space="preserve">Um receptor próprio para o Semax não foi identificado. Se os aumentos de BDNF medidos em ratos ocorrem de forma comparável em humanos e se bastam para um benefício é uma questão em aberto.</w:t>
      </w:r>
    </w:p>
    <w:bookmarkEnd w:id="1611"/>
    <w:bookmarkStart w:id="1623" w:name="estudos-em-humanos-34"/>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 resultou em apenas 4 publicações classificadas como estudos em humanos; ao todo, o PubMed lista cerca de 210 trabalhos com</w:t>
      </w:r>
      <w:r>
        <w:t xml:space="preserve"> </w:t>
      </w:r>
      <w:r>
        <w:t xml:space="preserve">“</w:t>
      </w:r>
      <w:r>
        <w:t xml:space="preserve">Semax</w:t>
      </w:r>
      <w:r>
        <w:t xml:space="preserve">”</w:t>
      </w:r>
      <w:r>
        <w:t xml:space="preserve"> </w:t>
      </w:r>
      <w:r>
        <w:t xml:space="preserve">no título ou resumo, em sua grande maioria estudos em animais e em laboratório. No ClinicalTrials.gov não há um único estudo registrado. Em uma busca direcionada adicional, foram encontrados alguns outros pequenos trabalhos clínicos. Praticamente todos vêm de instituições russas, muitos do círculo dos desenvolvedores, e foram publicados apenas em russo com resumo em inglês.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Gusev 1997, PMID 11517472</w:t>
            </w:r>
          </w:p>
        </w:tc>
        <w:tc>
          <w:tcPr/>
          <w:p>
            <w:pPr>
              <w:pStyle w:val="Compact"/>
              <w:jc w:val="left"/>
            </w:pPr>
            <w:r>
              <w:t xml:space="preserve">30 pessoas com AVC isquêmico agudo, comparação com 80 pessoas sob terapia padrão, não randomizado</w:t>
            </w:r>
          </w:p>
        </w:tc>
        <w:tc>
          <w:tcPr/>
          <w:p>
            <w:pPr>
              <w:pStyle w:val="Compact"/>
              <w:jc w:val="left"/>
            </w:pPr>
            <w:r>
              <w:t xml:space="preserve">5–10 dias de tratamento</w:t>
            </w:r>
          </w:p>
        </w:tc>
        <w:tc>
          <w:tcPr/>
          <w:p>
            <w:pPr>
              <w:pStyle w:val="Compact"/>
              <w:jc w:val="left"/>
            </w:pPr>
            <w:r>
              <w:t xml:space="preserve">“</w:t>
            </w:r>
            <w:r>
              <w:t xml:space="preserve">certa influência</w:t>
            </w:r>
            <w:r>
              <w:t xml:space="preserve">”</w:t>
            </w:r>
            <w:r>
              <w:t xml:space="preserve"> </w:t>
            </w:r>
            <w:r>
              <w:t xml:space="preserve">na velocidade de recuperação dos déficits neurológicos, sem tamanhos de efeito no resumo</w:t>
            </w:r>
          </w:p>
        </w:tc>
      </w:tr>
      <w:tr>
        <w:tc>
          <w:tcPr/>
          <w:p>
            <w:pPr>
              <w:pStyle w:val="Compact"/>
              <w:jc w:val="left"/>
            </w:pPr>
            <w:r>
              <w:t xml:space="preserve">Gusev 2005, PMID 15792140</w:t>
            </w:r>
          </w:p>
        </w:tc>
        <w:tc>
          <w:tcPr/>
          <w:p>
            <w:pPr>
              <w:pStyle w:val="Compact"/>
              <w:jc w:val="left"/>
            </w:pPr>
            <w:r>
              <w:t xml:space="preserve">187 pessoas com distúrbio crônico da circulação cerebral</w:t>
            </w:r>
          </w:p>
        </w:tc>
        <w:tc>
          <w:tcPr/>
          <w:p>
            <w:pPr>
              <w:pStyle w:val="Compact"/>
              <w:jc w:val="left"/>
            </w:pPr>
            <w:r>
              <w:t xml:space="preserve">não informada</w:t>
            </w:r>
          </w:p>
        </w:tc>
        <w:tc>
          <w:tcPr/>
          <w:p>
            <w:pPr>
              <w:pStyle w:val="Compact"/>
              <w:jc w:val="left"/>
            </w:pPr>
            <w:r>
              <w:t xml:space="preserve">segundo os autores, melhora clínica e menos AVCs; desenho e números não constam no resumo</w:t>
            </w:r>
          </w:p>
        </w:tc>
      </w:tr>
      <w:tr>
        <w:tc>
          <w:tcPr/>
          <w:p>
            <w:pPr>
              <w:pStyle w:val="Compact"/>
              <w:jc w:val="left"/>
            </w:pPr>
            <w:r>
              <w:t xml:space="preserve">Gusev 2018, PMID 29798983</w:t>
            </w:r>
          </w:p>
        </w:tc>
        <w:tc>
          <w:tcPr/>
          <w:p>
            <w:pPr>
              <w:pStyle w:val="Compact"/>
              <w:jc w:val="left"/>
            </w:pPr>
            <w:r>
              <w:t xml:space="preserve">110 pessoas após AVC, reabilitação precoce ou tardia, cada uma com ou sem Semax</w:t>
            </w:r>
          </w:p>
        </w:tc>
        <w:tc>
          <w:tcPr/>
          <w:p>
            <w:pPr>
              <w:pStyle w:val="Compact"/>
              <w:jc w:val="left"/>
            </w:pPr>
            <w:r>
              <w:t xml:space="preserve">cerca de 5 meses</w:t>
            </w:r>
          </w:p>
        </w:tc>
        <w:tc>
          <w:tcPr/>
          <w:p>
            <w:pPr>
              <w:pStyle w:val="Compact"/>
              <w:jc w:val="left"/>
            </w:pPr>
            <w:r>
              <w:t xml:space="preserve">nível mais alto de BDNF no sangue, melhora mais rápida no índice de Barthel</w:t>
            </w:r>
          </w:p>
        </w:tc>
      </w:tr>
      <w:tr>
        <w:tc>
          <w:tcPr/>
          <w:p>
            <w:pPr>
              <w:pStyle w:val="Compact"/>
              <w:jc w:val="left"/>
            </w:pPr>
            <w:r>
              <w:t xml:space="preserve">Serdiuk 2007, PMID 18379501</w:t>
            </w:r>
          </w:p>
        </w:tc>
        <w:tc>
          <w:tcPr/>
          <w:p>
            <w:pPr>
              <w:pStyle w:val="Compact"/>
              <w:jc w:val="left"/>
            </w:pPr>
            <w:r>
              <w:t xml:space="preserve">27 pessoas com doença do neurônio motor (p. ex. ELA), aberto</w:t>
            </w:r>
          </w:p>
        </w:tc>
        <w:tc>
          <w:tcPr/>
          <w:p>
            <w:pPr>
              <w:pStyle w:val="Compact"/>
              <w:jc w:val="left"/>
            </w:pPr>
            <w:r>
              <w:t xml:space="preserve">48 dias</w:t>
            </w:r>
          </w:p>
        </w:tc>
        <w:tc>
          <w:tcPr/>
          <w:p>
            <w:pPr>
              <w:pStyle w:val="Compact"/>
              <w:jc w:val="left"/>
            </w:pPr>
            <w:r>
              <w:t xml:space="preserve">nenhuma influência na evolução da doença e nos achados musculares; melhores escores de qualidade de vida</w:t>
            </w:r>
          </w:p>
        </w:tc>
      </w:tr>
      <w:tr>
        <w:tc>
          <w:tcPr/>
          <w:p>
            <w:pPr>
              <w:pStyle w:val="Compact"/>
              <w:jc w:val="left"/>
            </w:pPr>
            <w:r>
              <w:t xml:space="preserve">Polunin 2000, PMID 10741256</w:t>
            </w:r>
          </w:p>
        </w:tc>
        <w:tc>
          <w:tcPr/>
          <w:p>
            <w:pPr>
              <w:pStyle w:val="Compact"/>
              <w:jc w:val="left"/>
            </w:pPr>
            <w:r>
              <w:t xml:space="preserve">pessoas com doenças do nervo óptico, três grupos incl. controle</w:t>
            </w:r>
          </w:p>
        </w:tc>
        <w:tc>
          <w:tcPr/>
          <w:p>
            <w:pPr>
              <w:pStyle w:val="Compact"/>
              <w:jc w:val="left"/>
            </w:pPr>
            <w:r>
              <w:t xml:space="preserve">não informada</w:t>
            </w:r>
          </w:p>
        </w:tc>
        <w:tc>
          <w:tcPr/>
          <w:p>
            <w:pPr>
              <w:pStyle w:val="Compact"/>
              <w:jc w:val="left"/>
            </w:pPr>
            <w:r>
              <w:t xml:space="preserve">segundo os autores, melhor acuidade visual e campo visual; sem números no resumo</w:t>
            </w:r>
          </w:p>
        </w:tc>
      </w:tr>
      <w:tr>
        <w:tc>
          <w:tcPr/>
          <w:p>
            <w:pPr>
              <w:pStyle w:val="Compact"/>
              <w:jc w:val="left"/>
            </w:pPr>
            <w:r>
              <w:t xml:space="preserve">Lebedeva 2018, PMID 30225715</w:t>
            </w:r>
          </w:p>
        </w:tc>
        <w:tc>
          <w:tcPr/>
          <w:p>
            <w:pPr>
              <w:pStyle w:val="Compact"/>
              <w:jc w:val="left"/>
            </w:pPr>
            <w:r>
              <w:t xml:space="preserve">24 saudáveis, Semax (14) ou placebo (10)</w:t>
            </w:r>
          </w:p>
        </w:tc>
        <w:tc>
          <w:tcPr/>
          <w:p>
            <w:pPr>
              <w:pStyle w:val="Compact"/>
              <w:jc w:val="left"/>
            </w:pPr>
            <w:r>
              <w:t xml:space="preserve">administração única, medição após 20 minutos</w:t>
            </w:r>
          </w:p>
        </w:tc>
        <w:tc>
          <w:tcPr/>
          <w:p>
            <w:pPr>
              <w:pStyle w:val="Compact"/>
              <w:jc w:val="left"/>
            </w:pPr>
            <w:r>
              <w:t xml:space="preserve">atividade de redes em repouso alterada na ressonância magnética funcional</w:t>
            </w:r>
          </w:p>
        </w:tc>
      </w:tr>
    </w:tbl>
    <w:bookmarkStart w:id="1615" w:name="avc"/>
    <w:p>
      <w:pPr>
        <w:pStyle w:val="Heading4"/>
      </w:pPr>
      <w:r>
        <w:t xml:space="preserve">AVC</w:t>
      </w:r>
    </w:p>
    <w:p>
      <w:pPr>
        <w:pStyle w:val="FirstParagraph"/>
      </w:pPr>
      <w:r>
        <w:t xml:space="preserve">O AVC é a principal indicação para a qual o Semax está registrado na Rússia. A base para isso é escassa. No primeiro estudo clínico, 30 pessoas com AVC agudo receberam Semax além do tratamento padrão; como comparação serviram 80 pessoas que receberam apenas o tratamento padrão. Os grupos não foram alocados por sorteio. Os autores relatam uma</w:t>
      </w:r>
      <w:r>
        <w:t xml:space="preserve"> </w:t>
      </w:r>
      <w:r>
        <w:t xml:space="preserve">“</w:t>
      </w:r>
      <w:r>
        <w:t xml:space="preserve">certa influência</w:t>
      </w:r>
      <w:r>
        <w:t xml:space="preserve">”</w:t>
      </w:r>
      <w:r>
        <w:t xml:space="preserve"> </w:t>
      </w:r>
      <w:r>
        <w:t xml:space="preserve">na regressão dos déficits, sobretudo das paralisias</w:t>
      </w:r>
      <w:r>
        <w:rPr>
          <w:rStyle w:val="FootnoteReference"/>
        </w:rPr>
        <w:footnoteReference w:id="1612"/>
      </w:r>
      <w:r>
        <w:t xml:space="preserve">. Um trabalho posterior do mesmo grupo examinou mensageiros inflamatórios no sangue e foi expressamente uma análise retrospectiva</w:t>
      </w:r>
      <w:r>
        <w:rPr>
          <w:rStyle w:val="FootnoteReference"/>
        </w:rPr>
        <w:footnoteReference w:id="1613"/>
      </w:r>
      <w:r>
        <w:t xml:space="preserve">.</w:t>
      </w:r>
    </w:p>
    <w:p>
      <w:pPr>
        <w:pStyle w:val="BodyText"/>
      </w:pPr>
      <w:r>
        <w:t xml:space="preserve">O maior estudo até agora, com 110 pessoas após um AVC, comparou reabilitação precoce e tardia, cada uma com ou sem Semax. Com Semax, o nível de BDNF no plasma subiu e permaneceu elevado durante a observação; o índice de Barthel, uma medida da independência na vida diária, melhorou mais rapidamente</w:t>
      </w:r>
      <w:r>
        <w:rPr>
          <w:rStyle w:val="FootnoteReference"/>
        </w:rPr>
        <w:footnoteReference w:id="1614"/>
      </w:r>
      <w:r>
        <w:t xml:space="preserve">. O resumo não menciona randomização nem cegamento, e as diferenças entre os grupos não são apresentadas como tamanho de efeito. Para uma comprovação de benefício, isso não basta.</w:t>
      </w:r>
    </w:p>
    <w:p>
      <w:pPr>
        <w:pStyle w:val="BodyText"/>
      </w:pPr>
      <w:r>
        <w:t xml:space="preserve">Para comparação: no AVC, quase todas as outras substâncias que deveriam</w:t>
      </w:r>
      <w:r>
        <w:t xml:space="preserve"> </w:t>
      </w:r>
      <w:r>
        <w:t xml:space="preserve">“</w:t>
      </w:r>
      <w:r>
        <w:t xml:space="preserve">proteger neurônios</w:t>
      </w:r>
      <w:r>
        <w:t xml:space="preserve">”</w:t>
      </w:r>
      <w:r>
        <w:t xml:space="preserve"> </w:t>
      </w:r>
      <w:r>
        <w:t xml:space="preserve">fracassaram até agora em grandes estudos internacionais cegos. Um estudo assim não existe para o Semax.</w:t>
      </w:r>
    </w:p>
    <w:bookmarkEnd w:id="1615"/>
    <w:bookmarkStart w:id="1620" w:name="outras-aplicações-2"/>
    <w:p>
      <w:pPr>
        <w:pStyle w:val="Heading4"/>
      </w:pPr>
      <w:r>
        <w:t xml:space="preserve">Outras aplicações</w:t>
      </w:r>
    </w:p>
    <w:p>
      <w:pPr>
        <w:numPr>
          <w:ilvl w:val="0"/>
          <w:numId w:val="1194"/>
        </w:numPr>
        <w:pStyle w:val="Compact"/>
      </w:pPr>
      <w:r>
        <w:rPr>
          <w:bCs/>
          <w:b/>
        </w:rPr>
        <w:t xml:space="preserve">Doenças do neurônio motor:</w:t>
      </w:r>
      <w:r>
        <w:t xml:space="preserve"> </w:t>
      </w:r>
      <w:r>
        <w:t xml:space="preserve">em um estudo aberto com 27 pessoas, o Semax não alterou nem a evolução da lesão nervosa na eletromiografia nem as escalas de avaliação clínica. Os escores de qualidade de vida melhoraram, sobretudo humor e motivação, de forma mais acentuada no décimo dia</w:t>
      </w:r>
      <w:r>
        <w:rPr>
          <w:rStyle w:val="FootnoteReference"/>
        </w:rPr>
        <w:footnoteReference w:id="1616"/>
      </w:r>
      <w:r>
        <w:t xml:space="preserve">. Sem grupo placebo, um efeito de expectativa não pode ser descartado.</w:t>
      </w:r>
    </w:p>
    <w:p>
      <w:pPr>
        <w:numPr>
          <w:ilvl w:val="0"/>
          <w:numId w:val="1194"/>
        </w:numPr>
        <w:pStyle w:val="Compact"/>
      </w:pPr>
      <w:r>
        <w:rPr>
          <w:bCs/>
          <w:b/>
        </w:rPr>
        <w:t xml:space="preserve">Doenças do nervo óptico:</w:t>
      </w:r>
      <w:r>
        <w:t xml:space="preserve"> </w:t>
      </w:r>
      <w:r>
        <w:t xml:space="preserve">um estudo controlado relata melhores funções visuais com tratamento adicional com Semax, sem números no resumo</w:t>
      </w:r>
      <w:r>
        <w:rPr>
          <w:rStyle w:val="FootnoteReference"/>
        </w:rPr>
        <w:footnoteReference w:id="1617"/>
      </w:r>
      <w:r>
        <w:t xml:space="preserve">.</w:t>
      </w:r>
    </w:p>
    <w:p>
      <w:pPr>
        <w:numPr>
          <w:ilvl w:val="0"/>
          <w:numId w:val="1194"/>
        </w:numPr>
        <w:pStyle w:val="Compact"/>
      </w:pPr>
      <w:r>
        <w:rPr>
          <w:bCs/>
          <w:b/>
        </w:rPr>
        <w:t xml:space="preserve">Sequelas de falta de oxigênio:</w:t>
      </w:r>
      <w:r>
        <w:t xml:space="preserve"> </w:t>
      </w:r>
      <w:r>
        <w:t xml:space="preserve">em 73 pessoas com lesão cerebral após falta de oxigênio, os autores descrevem um efeito sobre distúrbios de memória. Em algumas, após a administração, ocorreram no EEG episódios de atividade de tipo convulsivo; por isso, os autores recomendam fazer a primeira administração sob controle de EEG</w:t>
      </w:r>
      <w:r>
        <w:rPr>
          <w:rStyle w:val="FootnoteReference"/>
        </w:rPr>
        <w:footnoteReference w:id="1618"/>
      </w:r>
      <w:r>
        <w:t xml:space="preserve">.</w:t>
      </w:r>
    </w:p>
    <w:p>
      <w:pPr>
        <w:numPr>
          <w:ilvl w:val="0"/>
          <w:numId w:val="1194"/>
        </w:numPr>
        <w:pStyle w:val="Compact"/>
      </w:pPr>
      <w:r>
        <w:rPr>
          <w:bCs/>
          <w:b/>
        </w:rPr>
        <w:t xml:space="preserve">Úlcera gástrica:</w:t>
      </w:r>
      <w:r>
        <w:t xml:space="preserve"> </w:t>
      </w:r>
      <w:r>
        <w:t xml:space="preserve">em um trabalho sobre úlceras gástricas resistentes à terapia, após 14 dias cicatrizaram 89,5% das úlceras com Semax adicionado à terapia padrão, frente a 30,8% no grupo controle</w:t>
      </w:r>
      <w:r>
        <w:rPr>
          <w:rStyle w:val="FootnoteReference"/>
        </w:rPr>
        <w:footnoteReference w:id="1619"/>
      </w:r>
      <w:r>
        <w:t xml:space="preserve">. O resumo não informa o tamanho dos grupos nem a alocação; os próprios autores pedem mais estudos.</w:t>
      </w:r>
    </w:p>
    <w:bookmarkEnd w:id="1620"/>
    <w:bookmarkStart w:id="1622" w:name="pessoas-saudáveis-e-nootrópico"/>
    <w:p>
      <w:pPr>
        <w:pStyle w:val="Heading4"/>
      </w:pPr>
      <w:r>
        <w:t xml:space="preserve">Pessoas saudáveis e</w:t>
      </w:r>
      <w:r>
        <w:t xml:space="preserve"> </w:t>
      </w:r>
      <w:r>
        <w:t xml:space="preserve">“</w:t>
      </w:r>
      <w:r>
        <w:t xml:space="preserve">nootrópico</w:t>
      </w:r>
      <w:r>
        <w:t xml:space="preserve">”</w:t>
      </w:r>
    </w:p>
    <w:p>
      <w:pPr>
        <w:pStyle w:val="FirstParagraph"/>
      </w:pPr>
      <w:r>
        <w:t xml:space="preserve">Na internet, o Semax é oferecido sobretudo como meio de aumentar a concentração e a memória em pessoas saudáveis. Faltam estudos confiáveis sobre isso. Um artigo de revisão dos desenvolvedores dos anos 1990 relata que o Semax melhora a memória e a atenção de homens saudáveis</w:t>
      </w:r>
      <w:r>
        <w:t xml:space="preserve"> </w:t>
      </w:r>
      <w:r>
        <w:t xml:space="preserve">“</w:t>
      </w:r>
      <w:r>
        <w:t xml:space="preserve">em condições extremas</w:t>
      </w:r>
      <w:r>
        <w:t xml:space="preserve">”</w:t>
      </w:r>
      <w:r>
        <w:t xml:space="preserve">, mas não apresenta dados de estudos no resumo</w:t>
      </w:r>
      <w:r>
        <w:rPr>
          <w:rStyle w:val="FootnoteReference"/>
        </w:rPr>
        <w:footnoteReference w:id="1621"/>
      </w:r>
      <w:r>
        <w:t xml:space="preserve">. Dois pequenos estudos de imagem em pessoas saudáveis mostraram, após uma única administração, padrões de atividade alterados na ressonância magnética funcional (Lebedeva 2018, PMID 30225715; Panikratova 2020, PMID 32342318, 52 saudáveis com Semax, Selank ou placebo). Atividade cerebral alterada no aparelho, porém, não é prova de melhor desempenho na vida diária.</w:t>
      </w:r>
    </w:p>
    <w:bookmarkEnd w:id="1622"/>
    <w:bookmarkEnd w:id="1623"/>
    <w:bookmarkStart w:id="1628" w:name="estudos-em-animais-e-em-laboratório-34"/>
    <w:p>
      <w:pPr>
        <w:pStyle w:val="Heading3"/>
      </w:pPr>
      <w:r>
        <w:t xml:space="preserve">Estudos em animais e em laboratório</w:t>
      </w:r>
    </w:p>
    <w:p>
      <w:pPr>
        <w:pStyle w:val="FirstParagraph"/>
      </w:pPr>
      <w:r>
        <w:t xml:space="preserve">A literatura pré-clínica é extensa e também vem predominantemente de Moscou:</w:t>
      </w:r>
    </w:p>
    <w:p>
      <w:pPr>
        <w:numPr>
          <w:ilvl w:val="0"/>
          <w:numId w:val="1195"/>
        </w:numPr>
        <w:pStyle w:val="Compact"/>
      </w:pPr>
      <w:r>
        <w:t xml:space="preserve">Em ratos com AVC induzido artificialmente, o Semax alterou a atividade de genes do sistema imunológico e vascular</w:t>
      </w:r>
      <w:r>
        <w:rPr>
          <w:rStyle w:val="FootnoteReference"/>
        </w:rPr>
        <w:footnoteReference w:id="1624"/>
      </w:r>
      <w:r>
        <w:t xml:space="preserve">.</w:t>
      </w:r>
    </w:p>
    <w:p>
      <w:pPr>
        <w:numPr>
          <w:ilvl w:val="0"/>
          <w:numId w:val="1195"/>
        </w:numPr>
        <w:pStyle w:val="Compact"/>
      </w:pPr>
      <w:r>
        <w:t xml:space="preserve">Em ratos cujo sistema dopaminérgico foi lesado com a neurotoxina MPTP, o Semax reduziu distúrbios de movimento e de ansiedade</w:t>
      </w:r>
      <w:r>
        <w:rPr>
          <w:rStyle w:val="FootnoteReference"/>
        </w:rPr>
        <w:footnoteReference w:id="1625"/>
      </w:r>
      <w:r>
        <w:t xml:space="preserve">.</w:t>
      </w:r>
    </w:p>
    <w:p>
      <w:pPr>
        <w:numPr>
          <w:ilvl w:val="0"/>
          <w:numId w:val="1195"/>
        </w:numPr>
        <w:pStyle w:val="Compact"/>
      </w:pPr>
      <w:r>
        <w:t xml:space="preserve">Em camundongos geneticamente modificados com depósitos semelhantes aos do Alzheimer, o Semax e um derivado melhoraram o comportamento em testes de memória e reduziram o número de depósitos de amiloide</w:t>
      </w:r>
      <w:r>
        <w:rPr>
          <w:rStyle w:val="FootnoteReference"/>
        </w:rPr>
        <w:footnoteReference w:id="1626"/>
      </w:r>
      <w:r>
        <w:t xml:space="preserve">.</w:t>
      </w:r>
    </w:p>
    <w:p>
      <w:pPr>
        <w:numPr>
          <w:ilvl w:val="0"/>
          <w:numId w:val="1195"/>
        </w:numPr>
        <w:pStyle w:val="Compact"/>
      </w:pPr>
      <w:r>
        <w:t xml:space="preserve">Em experimentos de laboratório, o Semax liga íons de cobre, o que atenuou a formação de radicais de oxigênio nocivos por complexos de amiloide e cobre</w:t>
      </w:r>
      <w:r>
        <w:rPr>
          <w:rStyle w:val="FootnoteReference"/>
        </w:rPr>
        <w:footnoteReference w:id="1627"/>
      </w:r>
      <w:r>
        <w:t xml:space="preserve">.</w:t>
      </w:r>
    </w:p>
    <w:p>
      <w:pPr>
        <w:pStyle w:val="FirstParagraph"/>
      </w:pPr>
      <w:r>
        <w:t xml:space="preserve">Esses resultados são achados em animais e em laboratório. Muitas substâncias que protegeram em tais modelos falharam mais tarde em humanos.</w:t>
      </w:r>
    </w:p>
    <w:bookmarkEnd w:id="1628"/>
    <w:bookmarkStart w:id="1632" w:name="riscos-e-efeitos-colaterais-34"/>
    <w:p>
      <w:pPr>
        <w:pStyle w:val="Heading3"/>
      </w:pPr>
      <w:r>
        <w:t xml:space="preserve">Riscos e efeitos colaterais</w:t>
      </w:r>
    </w:p>
    <w:p>
      <w:pPr>
        <w:pStyle w:val="FirstParagraph"/>
      </w:pPr>
      <w:r>
        <w:rPr>
          <w:bCs/>
          <w:b/>
        </w:rPr>
        <w:t xml:space="preserve">Comprovado:</w:t>
      </w:r>
      <w:r>
        <w:t xml:space="preserve"> </w:t>
      </w:r>
      <w:r>
        <w:t xml:space="preserve">não há dados de segurança sistematicamente coletados de estudos maiores. Os trabalhos russos descrevem o Semax como bem tolerado, em parte expressamente também em pessoas idosas</w:t>
      </w:r>
      <w:r>
        <w:rPr>
          <w:rStyle w:val="FootnoteReference"/>
        </w:rPr>
        <w:footnoteReference w:id="1629"/>
      </w:r>
      <w:r>
        <w:t xml:space="preserve">. Um sinal a ser levado a sério é a observação de alterações de tipo convulsivo no EEG após a administração em algumas pessoas com cérebro previamente lesado</w:t>
      </w:r>
      <w:r>
        <w:rPr>
          <w:rStyle w:val="FootnoteReference"/>
        </w:rPr>
        <w:footnoteReference w:id="1630"/>
      </w:r>
      <w:r>
        <w:t xml:space="preserve">.</w:t>
      </w:r>
    </w:p>
    <w:p>
      <w:pPr>
        <w:pStyle w:val="BodyText"/>
      </w:pPr>
      <w:r>
        <w:rPr>
          <w:bCs/>
          <w:b/>
        </w:rPr>
        <w:t xml:space="preserve">Teórico:</w:t>
      </w:r>
      <w:r>
        <w:t xml:space="preserve"> </w:t>
      </w:r>
      <w:r>
        <w:t xml:space="preserve">o Semax influenciaria fatores de crescimento e genes imunológicos; as consequências a longo prazo dessas intervenções não foram estudadas. Faltam dados para gravidez, amamentação, crianças, epilepsia e doenças psiquiátricas.</w:t>
      </w:r>
    </w:p>
    <w:p>
      <w:pPr>
        <w:pStyle w:val="BodyText"/>
      </w:pPr>
      <w:r>
        <w:rPr>
          <w:bCs/>
          <w:b/>
        </w:rPr>
        <w:t xml:space="preserve">Mercado cinza:</w:t>
      </w:r>
      <w:r>
        <w:t xml:space="preserve"> </w:t>
      </w:r>
      <w:r>
        <w:t xml:space="preserve">fora da Rússia, o Semax é vendido geralmente como</w:t>
      </w:r>
      <w:r>
        <w:t xml:space="preserve"> </w:t>
      </w:r>
      <w:r>
        <w:t xml:space="preserve">“</w:t>
      </w:r>
      <w:r>
        <w:t xml:space="preserve">Research Peptide</w:t>
      </w:r>
      <w:r>
        <w:t xml:space="preserve">”</w:t>
      </w:r>
      <w:r>
        <w:t xml:space="preserve"> </w:t>
      </w:r>
      <w:r>
        <w:t xml:space="preserve">ou como solução nasal preparada pelo próprio usuário. Teor, pureza e esterilidade desses produtos não são verificados. Um laboratório de controle de medicamentos identificou Semax e Selank em 2017 e 2018 em preparados desconhecidos apreendidos e constatou, em uma pesquisa online, que esses</w:t>
      </w:r>
      <w:r>
        <w:t xml:space="preserve"> </w:t>
      </w:r>
      <w:r>
        <w:t xml:space="preserve">“</w:t>
      </w:r>
      <w:r>
        <w:t xml:space="preserve">peptídeos nootrópicos</w:t>
      </w:r>
      <w:r>
        <w:t xml:space="preserve">”</w:t>
      </w:r>
      <w:r>
        <w:t xml:space="preserve"> </w:t>
      </w:r>
      <w:r>
        <w:t xml:space="preserve">são oferecidos livremente como pó para injeção ou como spray nasal</w:t>
      </w:r>
      <w:r>
        <w:rPr>
          <w:rStyle w:val="FootnoteReference"/>
        </w:rPr>
        <w:footnoteReference w:id="1631"/>
      </w:r>
      <w:r>
        <w:t xml:space="preserve">. Mais sobre isso na Parte I e na Parte IV.</w:t>
      </w:r>
    </w:p>
    <w:bookmarkEnd w:id="1632"/>
    <w:bookmarkStart w:id="1633" w:name="situação-legal-34"/>
    <w:p>
      <w:pPr>
        <w:pStyle w:val="Heading3"/>
      </w:pPr>
      <w:r>
        <w:t xml:space="preserve">Situação legal</w:t>
      </w:r>
    </w:p>
    <w:p>
      <w:pPr>
        <w:numPr>
          <w:ilvl w:val="0"/>
          <w:numId w:val="1196"/>
        </w:numPr>
        <w:pStyle w:val="Compact"/>
      </w:pPr>
      <w:r>
        <w:rPr>
          <w:bCs/>
          <w:b/>
        </w:rPr>
        <w:t xml:space="preserve">UE / Áustria / Alemanha:</w:t>
      </w:r>
      <w:r>
        <w:t xml:space="preserve"> </w:t>
      </w:r>
      <w:r>
        <w:t xml:space="preserve">o Semax não é aprovado. Como substância com efeito pretendido sobre funções corporais, é considerado medicamento; venda e publicidade sem aprovação não são permitidas. A importação da Rússia como medicamento está sujeita às regras para importações individuais.</w:t>
      </w:r>
    </w:p>
    <w:p>
      <w:pPr>
        <w:numPr>
          <w:ilvl w:val="0"/>
          <w:numId w:val="1196"/>
        </w:numPr>
        <w:pStyle w:val="Compact"/>
      </w:pPr>
      <w:r>
        <w:rPr>
          <w:bCs/>
          <w:b/>
        </w:rPr>
        <w:t xml:space="preserve">EUA:</w:t>
      </w:r>
      <w:r>
        <w:t xml:space="preserve"> </w:t>
      </w:r>
      <w:r>
        <w:t xml:space="preserve">não aprovado. A FDA retirou o Semax em abril de 2026 da sua lista da</w:t>
      </w:r>
      <w:r>
        <w:t xml:space="preserve"> </w:t>
      </w:r>
      <w:r>
        <w:t xml:space="preserve">“</w:t>
      </w:r>
      <w:r>
        <w:t xml:space="preserve">categoria 2</w:t>
      </w:r>
      <w:r>
        <w:t xml:space="preserve">”</w:t>
      </w:r>
      <w:r>
        <w:t xml:space="preserve">; o comitê consultivo PCAC votou em julho de 2026, por 8 a 5, a favor de incluir o Semax na lista de substâncias que farmácias podem usar para manipulação. Os especialistas da FDA haviam desaconselhado; a decisão da agência estava pendente no fechamento desta edição (situação em outubro de 2026, verificar atualização).</w:t>
      </w:r>
    </w:p>
    <w:p>
      <w:pPr>
        <w:numPr>
          <w:ilvl w:val="0"/>
          <w:numId w:val="1196"/>
        </w:numPr>
        <w:pStyle w:val="Compact"/>
      </w:pPr>
      <w:r>
        <w:rPr>
          <w:bCs/>
          <w:b/>
        </w:rPr>
        <w:t xml:space="preserve">Rússia:</w:t>
      </w:r>
      <w:r>
        <w:t xml:space="preserve"> </w:t>
      </w:r>
      <w:r>
        <w:t xml:space="preserve">registrado como medicamento e disponível em farmácias.</w:t>
      </w:r>
    </w:p>
    <w:p>
      <w:pPr>
        <w:numPr>
          <w:ilvl w:val="0"/>
          <w:numId w:val="1196"/>
        </w:numPr>
        <w:pStyle w:val="Compact"/>
      </w:pPr>
      <w:r>
        <w:rPr>
          <w:bCs/>
          <w:b/>
        </w:rPr>
        <w:t xml:space="preserve">Esporte:</w:t>
      </w:r>
      <w:r>
        <w:t xml:space="preserve"> </w:t>
      </w:r>
      <w:r>
        <w:t xml:space="preserve">não listado nominalmente na lista da WADA (situação em 2026, verificar atualização).</w:t>
      </w:r>
    </w:p>
    <w:bookmarkEnd w:id="1633"/>
    <w:bookmarkStart w:id="1634" w:name="estudos-em-andamento-e-perspectivas-34"/>
    <w:p>
      <w:pPr>
        <w:pStyle w:val="Heading3"/>
      </w:pPr>
      <w:r>
        <w:t xml:space="preserve">Estudos em andamento e perspectivas</w:t>
      </w:r>
    </w:p>
    <w:p>
      <w:pPr>
        <w:pStyle w:val="FirstParagraph"/>
      </w:pPr>
      <w:r>
        <w:rPr>
          <w:bCs/>
          <w:b/>
        </w:rPr>
        <w:t xml:space="preserve">Comprovado:</w:t>
      </w:r>
      <w:r>
        <w:t xml:space="preserve"> </w:t>
      </w:r>
      <w:r>
        <w:t xml:space="preserve">no ClinicalTrials.gov não há estudo registrado com Semax (consulta de outubro de 2026). A pesquisa na Rússia continua concentrada em modelos animais, por exemplo sobre atividade gênica após AVC e modelos de Alzheimer.</w:t>
      </w:r>
    </w:p>
    <w:p>
      <w:pPr>
        <w:pStyle w:val="BodyText"/>
      </w:pPr>
      <w:r>
        <w:rPr>
          <w:bCs/>
          <w:b/>
        </w:rPr>
        <w:t xml:space="preserve">Avaliação:</w:t>
      </w:r>
      <w:r>
        <w:t xml:space="preserve"> </w:t>
      </w:r>
      <w:r>
        <w:t xml:space="preserve">sem um estudo suficientemente grande, cego e registrado internacionalmente, o Semax dificilmente obterá uma aprovação fora da Rússia. A discussão nos EUA gira em torno de preparações de farmácia, não de uma comprovação de eficácia.</w:t>
      </w:r>
    </w:p>
    <w:bookmarkEnd w:id="1634"/>
    <w:bookmarkStart w:id="1635" w:name="conclusão-34"/>
    <w:p>
      <w:pPr>
        <w:pStyle w:val="Heading3"/>
      </w:pPr>
      <w:r>
        <w:t xml:space="preserve">Conclusão</w:t>
      </w:r>
    </w:p>
    <w:p>
      <w:pPr>
        <w:pStyle w:val="FirstParagraph"/>
      </w:pPr>
      <w:r>
        <w:t xml:space="preserve">O Semax é um peptídeo usado há décadas na Rússia, derivado de um fragmento de ACTH, que em ratos aumentou fatores de crescimento neural. Os estudos em humanos são pequenos, em geral não randomizados e vêm quase exclusivamente do círculo dos desenvolvedores; no AVC, relatam recuperação mais rápida e níveis mais altos de BDNF, sem tamanhos de efeito em padrão internacional. Para o aumento de desempenho em pessoas saudáveis não há dados conclusivos. Os dados não são suficientes para avaliar um benefício ou a segurança a longo prazo.</w:t>
      </w:r>
    </w:p>
    <w:bookmarkEnd w:id="1635"/>
    <w:bookmarkEnd w:id="1636"/>
    <w:bookmarkStart w:id="1659" w:name="selank"/>
    <w:p>
      <w:pPr>
        <w:pStyle w:val="Heading2"/>
      </w:pPr>
      <w:r>
        <w:t xml:space="preserve">Selank</w:t>
      </w:r>
    </w:p>
    <w:bookmarkStart w:id="1637" w:name="ficha-técnica-35"/>
    <w:p>
      <w:pPr>
        <w:pStyle w:val="Heading3"/>
      </w:pPr>
      <w:r>
        <w:t xml:space="preserve">Ficha técnica</w:t>
      </w:r>
    </w:p>
    <w:p>
      <w:pPr>
        <w:numPr>
          <w:ilvl w:val="0"/>
          <w:numId w:val="1197"/>
        </w:numPr>
        <w:pStyle w:val="Compact"/>
      </w:pPr>
      <w:r>
        <w:rPr>
          <w:bCs/>
          <w:b/>
        </w:rPr>
        <w:t xml:space="preserve">Tipo e estrutura:</w:t>
      </w:r>
      <w:r>
        <w:t xml:space="preserve"> </w:t>
      </w:r>
      <w:r>
        <w:t xml:space="preserve">heptapeptídeo sintético (Thr-Lys-Pro-Arg-Pro-Gly-Pro). Os quatro primeiros aminoácidos correspondem à tuftsina, um peptídeo do próprio organismo que é clivado de um fragmento de anticorpo e estimula células imunológicas; acrescentada está – como no Semax – a sequência estabilizadora Pro-Gly-Pro.</w:t>
      </w:r>
    </w:p>
    <w:p>
      <w:pPr>
        <w:numPr>
          <w:ilvl w:val="0"/>
          <w:numId w:val="1197"/>
        </w:numPr>
        <w:pStyle w:val="Compact"/>
      </w:pPr>
      <w:r>
        <w:rPr>
          <w:bCs/>
          <w:b/>
        </w:rPr>
        <w:t xml:space="preserve">Origem:</w:t>
      </w:r>
      <w:r>
        <w:t xml:space="preserve"> </w:t>
      </w:r>
      <w:r>
        <w:t xml:space="preserve">desenvolvido em Moscou, no Instituto de Genética Molecular e no Instituto de Farmacologia Zakusov.</w:t>
      </w:r>
    </w:p>
    <w:p>
      <w:pPr>
        <w:numPr>
          <w:ilvl w:val="0"/>
          <w:numId w:val="1197"/>
        </w:numPr>
        <w:pStyle w:val="Compact"/>
      </w:pPr>
      <w:r>
        <w:rPr>
          <w:bCs/>
          <w:b/>
        </w:rPr>
        <w:t xml:space="preserve">Princípio de ação:</w:t>
      </w:r>
      <w:r>
        <w:t xml:space="preserve"> </w:t>
      </w:r>
      <w:r>
        <w:t xml:space="preserve">teria efeito ansiolítico sem causar sonolência ou dependência como os benzodiazepínicos. Discutem-se uma inibição da degradação das encefalinas do próprio organismo (mensageiros que atenuam dor e estresse), influências sobre o sistema GABA e sobre mensageiros imunológicos. É administrado em gotas nasais.</w:t>
      </w:r>
    </w:p>
    <w:p>
      <w:pPr>
        <w:numPr>
          <w:ilvl w:val="0"/>
          <w:numId w:val="1197"/>
        </w:numPr>
        <w:pStyle w:val="Compact"/>
      </w:pPr>
      <w:r>
        <w:rPr>
          <w:bCs/>
          <w:b/>
        </w:rPr>
        <w:t xml:space="preserve">Aprovação UE:</w:t>
      </w:r>
      <w:r>
        <w:t xml:space="preserve"> </w:t>
      </w:r>
      <w:r>
        <w:t xml:space="preserve">não.</w:t>
      </w:r>
    </w:p>
    <w:p>
      <w:pPr>
        <w:numPr>
          <w:ilvl w:val="0"/>
          <w:numId w:val="1197"/>
        </w:numPr>
        <w:pStyle w:val="Compact"/>
      </w:pPr>
      <w:r>
        <w:rPr>
          <w:bCs/>
          <w:b/>
        </w:rPr>
        <w:t xml:space="preserve">Aprovação EUA:</w:t>
      </w:r>
      <w:r>
        <w:t xml:space="preserve"> </w:t>
      </w:r>
      <w:r>
        <w:t xml:space="preserve">não. O Selank constava em 2023 na lista da FDA</w:t>
      </w:r>
      <w:r>
        <w:t xml:space="preserve"> </w:t>
      </w:r>
      <w:r>
        <w:t xml:space="preserve">“</w:t>
      </w:r>
      <w:r>
        <w:t xml:space="preserve">categoria 2</w:t>
      </w:r>
      <w:r>
        <w:t xml:space="preserve">”</w:t>
      </w:r>
      <w:r>
        <w:t xml:space="preserve"> </w:t>
      </w:r>
      <w:r>
        <w:t xml:space="preserve">para preparações de farmácia; o status atual está documentado de forma inconsistente (situação em outubro de 2026, verificar atualização).</w:t>
      </w:r>
    </w:p>
    <w:p>
      <w:pPr>
        <w:numPr>
          <w:ilvl w:val="0"/>
          <w:numId w:val="1197"/>
        </w:numPr>
        <w:pStyle w:val="Compact"/>
      </w:pPr>
      <w:r>
        <w:rPr>
          <w:bCs/>
          <w:b/>
        </w:rPr>
        <w:t xml:space="preserve">Rússia:</w:t>
      </w:r>
      <w:r>
        <w:t xml:space="preserve"> </w:t>
      </w:r>
      <w:r>
        <w:t xml:space="preserve">registrado como medicamento (ansiolítico).</w:t>
      </w:r>
    </w:p>
    <w:p>
      <w:pPr>
        <w:numPr>
          <w:ilvl w:val="0"/>
          <w:numId w:val="1197"/>
        </w:numPr>
        <w:pStyle w:val="Compact"/>
      </w:pPr>
      <w:r>
        <w:rPr>
          <w:bCs/>
          <w:b/>
        </w:rPr>
        <w:t xml:space="preserve">WADA:</w:t>
      </w:r>
      <w:r>
        <w:t xml:space="preserve"> </w:t>
      </w:r>
      <w:r>
        <w:t xml:space="preserve">não listado nominalmente.</w:t>
      </w:r>
    </w:p>
    <w:p>
      <w:pPr>
        <w:numPr>
          <w:ilvl w:val="0"/>
          <w:numId w:val="1197"/>
        </w:numPr>
        <w:pStyle w:val="Compact"/>
      </w:pPr>
      <w:r>
        <w:rPr>
          <w:bCs/>
          <w:b/>
        </w:rPr>
        <w:t xml:space="preserve">Nível de evidência:</w:t>
      </w:r>
      <w:r>
        <w:t xml:space="preserve"> </w:t>
      </w:r>
      <w:r>
        <w:rPr>
          <w:bCs/>
          <w:b/>
        </w:rPr>
        <w:t xml:space="preserve">C</w:t>
      </w:r>
      <w:r>
        <w:t xml:space="preserve"> </w:t>
      </w:r>
      <w:r>
        <w:t xml:space="preserve">– três pequenos estudos comparativos da Rússia, sem controle por placebo e sem registro.</w:t>
      </w:r>
    </w:p>
    <w:bookmarkEnd w:id="1637"/>
    <w:bookmarkStart w:id="1641" w:name="como-deveria-agir-35"/>
    <w:p>
      <w:pPr>
        <w:pStyle w:val="Heading3"/>
      </w:pPr>
      <w:r>
        <w:t xml:space="preserve">Como deveria agir</w:t>
      </w:r>
    </w:p>
    <w:p>
      <w:pPr>
        <w:pStyle w:val="FirstParagraph"/>
      </w:pPr>
      <w:r>
        <w:t xml:space="preserve">A tuftsina é um peptídeo curto que ativa células fagocitárias do sistema imunológico. Em experimentos com animais, verificou-se que modificações dela também influenciam o comportamento. O Selank é uma dessas modificações, que, graças ao Pro-Gly-Pro acrescentado, deveria permanecer mais tempo no organismo.</w:t>
      </w:r>
    </w:p>
    <w:p>
      <w:pPr>
        <w:pStyle w:val="BodyText"/>
      </w:pPr>
      <w:r>
        <w:t xml:space="preserve">Para o mecanismo há várias hipóteses, apoiadas em dados de laboratório e de animais:</w:t>
      </w:r>
    </w:p>
    <w:p>
      <w:pPr>
        <w:numPr>
          <w:ilvl w:val="0"/>
          <w:numId w:val="1198"/>
        </w:numPr>
        <w:pStyle w:val="Compact"/>
      </w:pPr>
      <w:r>
        <w:rPr>
          <w:bCs/>
          <w:b/>
        </w:rPr>
        <w:t xml:space="preserve">Encefalinas:</w:t>
      </w:r>
      <w:r>
        <w:t xml:space="preserve"> </w:t>
      </w:r>
      <w:r>
        <w:t xml:space="preserve">no soro sanguíneo, o Selank inibiu em tubo de ensaio enzimas que degradam encefalinas. Os pesquisadores encontraram, além disso, em pessoas com transtorno de ansiedade generalizada uma meia-vida encurtada das encefalinas no sangue e concluíram que o Selank poderia agir por essa via</w:t>
      </w:r>
      <w:r>
        <w:rPr>
          <w:rStyle w:val="FootnoteReference"/>
        </w:rPr>
        <w:footnoteReference w:id="1638"/>
      </w:r>
      <w:r>
        <w:t xml:space="preserve">.</w:t>
      </w:r>
    </w:p>
    <w:p>
      <w:pPr>
        <w:numPr>
          <w:ilvl w:val="0"/>
          <w:numId w:val="1198"/>
        </w:numPr>
        <w:pStyle w:val="Compact"/>
      </w:pPr>
      <w:r>
        <w:rPr>
          <w:bCs/>
          <w:b/>
        </w:rPr>
        <w:t xml:space="preserve">Sistema GABA:</w:t>
      </w:r>
      <w:r>
        <w:t xml:space="preserve"> </w:t>
      </w:r>
      <w:r>
        <w:t xml:space="preserve">em ratos, o Selank alterou, uma hora após a administração, a atividade de 45 de 84 genes examinados da neurotransmissão no córtex cerebral, de forma semelhante ao próprio mensageiro GABA. Os autores supõem uma influência sobre o sistema GABA, no qual também atuam os benzodiazepínicos</w:t>
      </w:r>
      <w:r>
        <w:rPr>
          <w:rStyle w:val="FootnoteReference"/>
        </w:rPr>
        <w:footnoteReference w:id="1639"/>
      </w:r>
      <w:r>
        <w:t xml:space="preserve">.</w:t>
      </w:r>
    </w:p>
    <w:p>
      <w:pPr>
        <w:numPr>
          <w:ilvl w:val="0"/>
          <w:numId w:val="1198"/>
        </w:numPr>
        <w:pStyle w:val="Compact"/>
      </w:pPr>
      <w:r>
        <w:rPr>
          <w:bCs/>
          <w:b/>
        </w:rPr>
        <w:t xml:space="preserve">Sistema imunológico:</w:t>
      </w:r>
      <w:r>
        <w:t xml:space="preserve"> </w:t>
      </w:r>
      <w:r>
        <w:t xml:space="preserve">em ratos e camundongos, o Selank influenciou genes inflamatórios; em culturas de células e em camundongos, mostrou efeitos contra vírus da influenza</w:t>
      </w:r>
      <w:r>
        <w:rPr>
          <w:rStyle w:val="FootnoteReference"/>
        </w:rPr>
        <w:footnoteReference w:id="1640"/>
      </w:r>
      <w:r>
        <w:t xml:space="preserve">.</w:t>
      </w:r>
    </w:p>
    <w:p>
      <w:pPr>
        <w:pStyle w:val="FirstParagraph"/>
      </w:pPr>
      <w:r>
        <w:t xml:space="preserve">Quanto Selank de fato chega ao cérebro em humanos após administração nasal não foi publicado.</w:t>
      </w:r>
    </w:p>
    <w:bookmarkEnd w:id="1641"/>
    <w:bookmarkStart w:id="1649" w:name="estudos-em-humanos-35"/>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 resultou em 3 publicações classificadas como estudos em humanos; ao todo, o PubMed lista cerca de 70 trabalhos com</w:t>
      </w:r>
      <w:r>
        <w:t xml:space="preserve"> </w:t>
      </w:r>
      <w:r>
        <w:t xml:space="preserve">“</w:t>
      </w:r>
      <w:r>
        <w:t xml:space="preserve">Selank</w:t>
      </w:r>
      <w:r>
        <w:t xml:space="preserve">”</w:t>
      </w:r>
      <w:r>
        <w:t xml:space="preserve"> </w:t>
      </w:r>
      <w:r>
        <w:t xml:space="preserve">no título ou resumo, quase todos experimentos com animais. A busca no ClinicalTrials.gov resultou em 2 ocorrências – ambas, em exame mais detalhado, se referem a outros procedimentos (estimulação cerebral) e não a um estudo com Selank. Não há, portanto, nenhum estudo clínico registrado com Selank.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Zozulia 2008, PMID 18454096</w:t>
            </w:r>
          </w:p>
        </w:tc>
        <w:tc>
          <w:tcPr/>
          <w:p>
            <w:pPr>
              <w:pStyle w:val="Compact"/>
              <w:jc w:val="left"/>
            </w:pPr>
            <w:r>
              <w:t xml:space="preserve">62 pessoas com transtorno de ansiedade generalizada ou neurastenia; Selank (30) contra medazepam (32)</w:t>
            </w:r>
          </w:p>
        </w:tc>
        <w:tc>
          <w:tcPr/>
          <w:p>
            <w:pPr>
              <w:pStyle w:val="Compact"/>
              <w:jc w:val="left"/>
            </w:pPr>
            <w:r>
              <w:t xml:space="preserve">não consta no resumo</w:t>
            </w:r>
          </w:p>
        </w:tc>
        <w:tc>
          <w:tcPr/>
          <w:p>
            <w:pPr>
              <w:pStyle w:val="Compact"/>
              <w:jc w:val="left"/>
            </w:pPr>
            <w:r>
              <w:t xml:space="preserve">efeito ansiolítico semelhante dos dois agentes; com Selank, adicionalmente</w:t>
            </w:r>
            <w:r>
              <w:t xml:space="preserve"> </w:t>
            </w:r>
            <w:r>
              <w:t xml:space="preserve">“</w:t>
            </w:r>
            <w:r>
              <w:t xml:space="preserve">estimulante do ânimo</w:t>
            </w:r>
            <w:r>
              <w:t xml:space="preserve">”</w:t>
            </w:r>
          </w:p>
        </w:tc>
      </w:tr>
      <w:tr>
        <w:tc>
          <w:tcPr/>
          <w:p>
            <w:pPr>
              <w:pStyle w:val="Compact"/>
              <w:jc w:val="left"/>
            </w:pPr>
            <w:r>
              <w:t xml:space="preserve">Medvedev 2014, PMID 25176261</w:t>
            </w:r>
          </w:p>
        </w:tc>
        <w:tc>
          <w:tcPr/>
          <w:p>
            <w:pPr>
              <w:pStyle w:val="Compact"/>
              <w:jc w:val="left"/>
            </w:pPr>
            <w:r>
              <w:t xml:space="preserve">60 pessoas com transtornos de ansiedade e somatoformes; Selank contra fenazepam</w:t>
            </w:r>
          </w:p>
        </w:tc>
        <w:tc>
          <w:tcPr/>
          <w:p>
            <w:pPr>
              <w:pStyle w:val="Compact"/>
              <w:jc w:val="left"/>
            </w:pPr>
            <w:r>
              <w:t xml:space="preserve">não consta no resumo</w:t>
            </w:r>
          </w:p>
        </w:tc>
        <w:tc>
          <w:tcPr/>
          <w:p>
            <w:pPr>
              <w:pStyle w:val="Compact"/>
              <w:jc w:val="left"/>
            </w:pPr>
            <w:r>
              <w:t xml:space="preserve">segundo os autores, efeito ansiolítico claro, que persistiu uma semana após a suspensão</w:t>
            </w:r>
          </w:p>
        </w:tc>
      </w:tr>
      <w:tr>
        <w:tc>
          <w:tcPr/>
          <w:p>
            <w:pPr>
              <w:pStyle w:val="Compact"/>
              <w:jc w:val="left"/>
            </w:pPr>
            <w:r>
              <w:t xml:space="preserve">Medvedev 2015, PMID 26356395</w:t>
            </w:r>
          </w:p>
        </w:tc>
        <w:tc>
          <w:tcPr/>
          <w:p>
            <w:pPr>
              <w:pStyle w:val="Compact"/>
              <w:jc w:val="left"/>
            </w:pPr>
            <w:r>
              <w:t xml:space="preserve">70 pessoas; fenazepam sozinho (30) contra fenazepam mais Selank (40)</w:t>
            </w:r>
          </w:p>
        </w:tc>
        <w:tc>
          <w:tcPr/>
          <w:p>
            <w:pPr>
              <w:pStyle w:val="Compact"/>
              <w:jc w:val="left"/>
            </w:pPr>
            <w:r>
              <w:t xml:space="preserve">não consta no resumo</w:t>
            </w:r>
          </w:p>
        </w:tc>
        <w:tc>
          <w:tcPr/>
          <w:p>
            <w:pPr>
              <w:pStyle w:val="Compact"/>
              <w:jc w:val="left"/>
            </w:pPr>
            <w:r>
              <w:t xml:space="preserve">início de ação mais rápido e menos efeitos colaterais do fenazepam no grupo da combinação</w:t>
            </w:r>
          </w:p>
        </w:tc>
      </w:tr>
      <w:tr>
        <w:tc>
          <w:tcPr/>
          <w:p>
            <w:pPr>
              <w:pStyle w:val="Compact"/>
              <w:jc w:val="left"/>
            </w:pPr>
            <w:r>
              <w:t xml:space="preserve">Uchakina 2008, PMID 18577961</w:t>
            </w:r>
          </w:p>
        </w:tc>
        <w:tc>
          <w:tcPr/>
          <w:p>
            <w:pPr>
              <w:pStyle w:val="Compact"/>
              <w:jc w:val="left"/>
            </w:pPr>
            <w:r>
              <w:t xml:space="preserve">pessoas com transtorno de ansiedade ou neurastenia</w:t>
            </w:r>
          </w:p>
        </w:tc>
        <w:tc>
          <w:tcPr/>
          <w:p>
            <w:pPr>
              <w:pStyle w:val="Compact"/>
              <w:jc w:val="left"/>
            </w:pPr>
            <w:r>
              <w:t xml:space="preserve">14 dias</w:t>
            </w:r>
          </w:p>
        </w:tc>
        <w:tc>
          <w:tcPr/>
          <w:p>
            <w:pPr>
              <w:pStyle w:val="Compact"/>
              <w:jc w:val="left"/>
            </w:pPr>
            <w:r>
              <w:t xml:space="preserve">deslocamentos no equilíbrio de mensageiros imunológicos no sangue</w:t>
            </w:r>
          </w:p>
        </w:tc>
      </w:tr>
      <w:tr>
        <w:tc>
          <w:tcPr/>
          <w:p>
            <w:pPr>
              <w:pStyle w:val="Compact"/>
              <w:jc w:val="left"/>
            </w:pPr>
            <w:r>
              <w:t xml:space="preserve">Panikratova 2020, PMID 32342318</w:t>
            </w:r>
          </w:p>
        </w:tc>
        <w:tc>
          <w:tcPr/>
          <w:p>
            <w:pPr>
              <w:pStyle w:val="Compact"/>
              <w:jc w:val="left"/>
            </w:pPr>
            <w:r>
              <w:t xml:space="preserve">52 saudáveis; Selank, Semax ou placebo, administração única</w:t>
            </w:r>
          </w:p>
        </w:tc>
        <w:tc>
          <w:tcPr/>
          <w:p>
            <w:pPr>
              <w:pStyle w:val="Compact"/>
              <w:jc w:val="left"/>
            </w:pPr>
            <w:r>
              <w:t xml:space="preserve">20 minutos</w:t>
            </w:r>
          </w:p>
        </w:tc>
        <w:tc>
          <w:tcPr/>
          <w:p>
            <w:pPr>
              <w:pStyle w:val="Compact"/>
              <w:jc w:val="left"/>
            </w:pPr>
            <w:r>
              <w:t xml:space="preserve">conexões funcionais da amígdala alteradas na ressonância magnética</w:t>
            </w:r>
          </w:p>
        </w:tc>
      </w:tr>
    </w:tbl>
    <w:bookmarkStart w:id="1645" w:name="transtornos-de-ansiedade"/>
    <w:p>
      <w:pPr>
        <w:pStyle w:val="Heading4"/>
      </w:pPr>
      <w:r>
        <w:t xml:space="preserve">Transtornos de ansiedade</w:t>
      </w:r>
    </w:p>
    <w:p>
      <w:pPr>
        <w:pStyle w:val="FirstParagraph"/>
      </w:pPr>
      <w:r>
        <w:t xml:space="preserve">Os três estudos clínicos compararam o Selank com benzodiazepínicos – medazepam ou o fenazepam, difundido na Rússia. No primeiro estudo, com 62 pessoas, o efeito ansiolítico de Selank e medazepam em escalas de questionário (Hamilton, Zung, CGI) foi semelhante; o Selank teria agido adicionalmente contra a exaustão. Os pesquisadores mediram também a meia-vida do mensageiro Leu-encefalina no sangue, que aumentou com Selank</w:t>
      </w:r>
      <w:r>
        <w:rPr>
          <w:rStyle w:val="FootnoteReference"/>
        </w:rPr>
        <w:footnoteReference w:id="1642"/>
      </w:r>
      <w:r>
        <w:t xml:space="preserve">. Em um segundo estudo, com 60 pessoas, descreve-se um efeito ansiolítico pronunciado e um leve efeito favorecedor da memória, que persistiu uma semana além do fim do tratamento</w:t>
      </w:r>
      <w:r>
        <w:rPr>
          <w:rStyle w:val="FootnoteReference"/>
        </w:rPr>
        <w:footnoteReference w:id="1643"/>
      </w:r>
      <w:r>
        <w:t xml:space="preserve">.</w:t>
      </w:r>
    </w:p>
    <w:p>
      <w:pPr>
        <w:pStyle w:val="BodyText"/>
      </w:pPr>
      <w:r>
        <w:t xml:space="preserve">O terceiro estudo testou o Selank como complemento: 40 pessoas receberam fenazepam mais Selank, 30 apenas fenazepam. No grupo da combinação, segundo os autores, o efeito começou mais cedo, e efeitos colaterais típicos dos benzodiazepínicos, como distúrbios de atenção e memória, sonolência e disfunções sexuais, foram mais raros – também após a suspensão do calmante</w:t>
      </w:r>
      <w:r>
        <w:rPr>
          <w:rStyle w:val="FootnoteReference"/>
        </w:rPr>
        <w:footnoteReference w:id="1644"/>
      </w:r>
      <w:r>
        <w:t xml:space="preserve">.</w:t>
      </w:r>
    </w:p>
    <w:p>
      <w:pPr>
        <w:pStyle w:val="BodyText"/>
      </w:pPr>
      <w:r>
        <w:t xml:space="preserve">Esses resultados parecem encorajadores, mas têm limites claros:</w:t>
      </w:r>
    </w:p>
    <w:p>
      <w:pPr>
        <w:numPr>
          <w:ilvl w:val="0"/>
          <w:numId w:val="1199"/>
        </w:numPr>
        <w:pStyle w:val="Compact"/>
      </w:pPr>
      <w:r>
        <w:rPr>
          <w:bCs/>
          <w:b/>
        </w:rPr>
        <w:t xml:space="preserve">Sem placebo:</w:t>
      </w:r>
      <w:r>
        <w:t xml:space="preserve"> </w:t>
      </w:r>
      <w:r>
        <w:t xml:space="preserve">nos transtornos de ansiedade, os sintomas muitas vezes melhoram consideravelmente também com medicamentos simulados. Sem grupo placebo, não se pode dizer que parcela cabe ao Selank.</w:t>
      </w:r>
    </w:p>
    <w:p>
      <w:pPr>
        <w:numPr>
          <w:ilvl w:val="0"/>
          <w:numId w:val="1199"/>
        </w:numPr>
        <w:pStyle w:val="Compact"/>
      </w:pPr>
      <w:r>
        <w:rPr>
          <w:bCs/>
          <w:b/>
        </w:rPr>
        <w:t xml:space="preserve">“</w:t>
      </w:r>
      <w:r>
        <w:rPr>
          <w:bCs/>
          <w:b/>
        </w:rPr>
        <w:t xml:space="preserve">Eficácia semelhante</w:t>
      </w:r>
      <w:r>
        <w:rPr>
          <w:bCs/>
          <w:b/>
        </w:rPr>
        <w:t xml:space="preserve">”</w:t>
      </w:r>
      <w:r>
        <w:rPr>
          <w:bCs/>
          <w:b/>
        </w:rPr>
        <w:t xml:space="preserve"> </w:t>
      </w:r>
      <w:r>
        <w:rPr>
          <w:bCs/>
          <w:b/>
        </w:rPr>
        <w:t xml:space="preserve">não é prova:</w:t>
      </w:r>
      <w:r>
        <w:t xml:space="preserve"> </w:t>
      </w:r>
      <w:r>
        <w:t xml:space="preserve">uma demonstração de equivalência requer limites definidos previamente e participantes em número suficiente. Nenhum dos dois é reconhecível nos resumos.</w:t>
      </w:r>
    </w:p>
    <w:p>
      <w:pPr>
        <w:numPr>
          <w:ilvl w:val="0"/>
          <w:numId w:val="1199"/>
        </w:numPr>
        <w:pStyle w:val="Compact"/>
      </w:pPr>
      <w:r>
        <w:rPr>
          <w:bCs/>
          <w:b/>
        </w:rPr>
        <w:t xml:space="preserve">Observação curta, grupos pequenos, sem registro:</w:t>
      </w:r>
      <w:r>
        <w:t xml:space="preserve"> </w:t>
      </w:r>
      <w:r>
        <w:t xml:space="preserve">todos os estudos vêm de centros russos, não foram pré-registrados em um registro público e foram publicados em revistas especializadas de língua russa.</w:t>
      </w:r>
    </w:p>
    <w:bookmarkEnd w:id="1645"/>
    <w:bookmarkStart w:id="1648" w:name="sistema-imunológico-e-pessoas-saudáveis"/>
    <w:p>
      <w:pPr>
        <w:pStyle w:val="Heading4"/>
      </w:pPr>
      <w:r>
        <w:t xml:space="preserve">Sistema imunológico e pessoas saudáveis</w:t>
      </w:r>
    </w:p>
    <w:p>
      <w:pPr>
        <w:pStyle w:val="FirstParagraph"/>
      </w:pPr>
      <w:r>
        <w:t xml:space="preserve">Um trabalho descreve, em pessoas com estados de ansiedade e exaustão, após 14 dias de Selank, alterações nos mensageiros imunológicos (equilíbrio Th1/Th2) no sangue; em tubo de ensaio, o Selank suprimiu a formação do mensageiro inflamatório IL-6 em células sanguíneas de pessoas com depressão</w:t>
      </w:r>
      <w:r>
        <w:rPr>
          <w:rStyle w:val="FootnoteReference"/>
        </w:rPr>
        <w:footnoteReference w:id="1646"/>
      </w:r>
      <w:r>
        <w:t xml:space="preserve">. Se isso é clinicamente relevante não foi estudado. Em pessoas saudáveis, um pequeno estudo de imagem mostrou, após administração única, conexões alteradas entre a amígdala, uma região cerebral importante para a ansiedade, e partes do lobo temporal</w:t>
      </w:r>
      <w:r>
        <w:rPr>
          <w:rStyle w:val="FootnoteReference"/>
        </w:rPr>
        <w:footnoteReference w:id="1647"/>
      </w:r>
      <w:r>
        <w:t xml:space="preserve">. Estudos sobre concentração ou desempenho em pessoas saudáveis – a principal promessa na internet – não existem.</w:t>
      </w:r>
    </w:p>
    <w:bookmarkEnd w:id="1648"/>
    <w:bookmarkEnd w:id="1649"/>
    <w:bookmarkStart w:id="1653" w:name="estudos-em-animais-e-em-laboratório-35"/>
    <w:p>
      <w:pPr>
        <w:pStyle w:val="Heading3"/>
      </w:pPr>
      <w:r>
        <w:t xml:space="preserve">Estudos em animais e em laboratório</w:t>
      </w:r>
    </w:p>
    <w:p>
      <w:pPr>
        <w:numPr>
          <w:ilvl w:val="0"/>
          <w:numId w:val="1200"/>
        </w:numPr>
        <w:pStyle w:val="Compact"/>
      </w:pPr>
      <w:r>
        <w:t xml:space="preserve">Em ratos com 30 semanas de consumo de álcool, o Selank impediu distúrbios de memória e atenção na abstinência e influenciou o teor de BDNF no hipocampo e no lobo frontal</w:t>
      </w:r>
      <w:r>
        <w:rPr>
          <w:rStyle w:val="FootnoteReference"/>
        </w:rPr>
        <w:footnoteReference w:id="1650"/>
      </w:r>
      <w:r>
        <w:t xml:space="preserve">.</w:t>
      </w:r>
    </w:p>
    <w:p>
      <w:pPr>
        <w:numPr>
          <w:ilvl w:val="0"/>
          <w:numId w:val="1200"/>
        </w:numPr>
        <w:pStyle w:val="Compact"/>
      </w:pPr>
      <w:r>
        <w:t xml:space="preserve">Em ratos, o Selank alterou a atividade de numerosos genes do sistema GABA</w:t>
      </w:r>
      <w:r>
        <w:rPr>
          <w:rStyle w:val="FootnoteReference"/>
        </w:rPr>
        <w:footnoteReference w:id="1651"/>
      </w:r>
      <w:r>
        <w:t xml:space="preserve">.</w:t>
      </w:r>
    </w:p>
    <w:p>
      <w:pPr>
        <w:numPr>
          <w:ilvl w:val="0"/>
          <w:numId w:val="1200"/>
        </w:numPr>
        <w:pStyle w:val="Compact"/>
      </w:pPr>
      <w:r>
        <w:t xml:space="preserve">Em culturas de células e em camundongos, o Selank inibiu vírus da influenza, com mais força quando administrado antes da infecção</w:t>
      </w:r>
      <w:r>
        <w:rPr>
          <w:rStyle w:val="FootnoteReference"/>
        </w:rPr>
        <w:footnoteReference w:id="1652"/>
      </w:r>
      <w:r>
        <w:t xml:space="preserve">.</w:t>
      </w:r>
    </w:p>
    <w:p>
      <w:pPr>
        <w:numPr>
          <w:ilvl w:val="0"/>
          <w:numId w:val="1200"/>
        </w:numPr>
        <w:pStyle w:val="Compact"/>
      </w:pPr>
      <w:r>
        <w:t xml:space="preserve">Em outros trabalhos dos mesmos grupos de pesquisa, descrevem-se efeitos em roedores no estresse, na abstinência de morfina e álcool e em modelos de Parkinson.</w:t>
      </w:r>
    </w:p>
    <w:p>
      <w:pPr>
        <w:pStyle w:val="FirstParagraph"/>
      </w:pPr>
      <w:r>
        <w:t xml:space="preserve">Esses achados são achados em animais e em laboratório e vêm em grande parte de um pequeno círculo de grupos de pesquisa.</w:t>
      </w:r>
    </w:p>
    <w:bookmarkEnd w:id="1653"/>
    <w:bookmarkStart w:id="1655" w:name="riscos-e-efeitos-colaterais-35"/>
    <w:p>
      <w:pPr>
        <w:pStyle w:val="Heading3"/>
      </w:pPr>
      <w:r>
        <w:t xml:space="preserve">Riscos e efeitos colaterais</w:t>
      </w:r>
    </w:p>
    <w:p>
      <w:pPr>
        <w:pStyle w:val="FirstParagraph"/>
      </w:pPr>
      <w:r>
        <w:rPr>
          <w:bCs/>
          <w:b/>
        </w:rPr>
        <w:t xml:space="preserve">Comprovado:</w:t>
      </w:r>
      <w:r>
        <w:t xml:space="preserve"> </w:t>
      </w:r>
      <w:r>
        <w:t xml:space="preserve">nos pequenos estudos russos, o Selank é descrito como bem tolerado; os resumos não informam taxas de efeitos colaterais sistematicamente coletadas. Faltam dados de longo prazo e dados sobre dependência ou sintomas de abstinência.</w:t>
      </w:r>
    </w:p>
    <w:p>
      <w:pPr>
        <w:pStyle w:val="BodyText"/>
      </w:pPr>
      <w:r>
        <w:rPr>
          <w:bCs/>
          <w:b/>
        </w:rPr>
        <w:t xml:space="preserve">Teórico:</w:t>
      </w:r>
      <w:r>
        <w:t xml:space="preserve"> </w:t>
      </w:r>
      <w:r>
        <w:t xml:space="preserve">o Selank agiria sobre os sistemas imunológico, de encefalinas e GABA. Interações com calmantes, álcool ou antidepressivos não foram estudadas; o estudo russo de combinação mostra, de todo modo, que o Selank é usado junto com benzodiazepínicos. Para gravidez, amamentação e crianças não há dados.</w:t>
      </w:r>
    </w:p>
    <w:p>
      <w:pPr>
        <w:pStyle w:val="BodyText"/>
      </w:pPr>
      <w:r>
        <w:rPr>
          <w:bCs/>
          <w:b/>
        </w:rPr>
        <w:t xml:space="preserve">Mercado cinza:</w:t>
      </w:r>
      <w:r>
        <w:t xml:space="preserve"> </w:t>
      </w:r>
      <w:r>
        <w:t xml:space="preserve">fora da Rússia, o Selank é vendido como</w:t>
      </w:r>
      <w:r>
        <w:t xml:space="preserve"> </w:t>
      </w:r>
      <w:r>
        <w:t xml:space="preserve">“</w:t>
      </w:r>
      <w:r>
        <w:t xml:space="preserve">Research Peptide</w:t>
      </w:r>
      <w:r>
        <w:t xml:space="preserve">”</w:t>
      </w:r>
      <w:r>
        <w:t xml:space="preserve"> </w:t>
      </w:r>
      <w:r>
        <w:t xml:space="preserve">em pó para injeção ou como spray nasal. Um laboratório de controle belga encontrou Selank em preparados desconhecidos apreendidos</w:t>
      </w:r>
      <w:r>
        <w:rPr>
          <w:rStyle w:val="FootnoteReference"/>
        </w:rPr>
        <w:footnoteReference w:id="1654"/>
      </w:r>
      <w:r>
        <w:t xml:space="preserve">. A injeção não é uma via de administração testada em estudos; pureza e teor desses produtos não são verificados.</w:t>
      </w:r>
    </w:p>
    <w:p>
      <w:pPr>
        <w:pStyle w:val="BodyText"/>
      </w:pPr>
      <w:r>
        <w:rPr>
          <w:bCs/>
          <w:b/>
        </w:rPr>
        <w:t xml:space="preserve">Importante:</w:t>
      </w:r>
      <w:r>
        <w:t xml:space="preserve"> </w:t>
      </w:r>
      <w:r>
        <w:t xml:space="preserve">transtornos de ansiedade são bem tratáveis – com psicoterapia e com medicamentos aprovados, cujo efeito está comprovado em grandes estudos controlados por placebo. Um peptídeo do mercado cinza não é substituto para isso.</w:t>
      </w:r>
    </w:p>
    <w:bookmarkEnd w:id="1655"/>
    <w:bookmarkStart w:id="1656" w:name="situação-legal-35"/>
    <w:p>
      <w:pPr>
        <w:pStyle w:val="Heading3"/>
      </w:pPr>
      <w:r>
        <w:t xml:space="preserve">Situação legal</w:t>
      </w:r>
    </w:p>
    <w:p>
      <w:pPr>
        <w:numPr>
          <w:ilvl w:val="0"/>
          <w:numId w:val="1201"/>
        </w:numPr>
        <w:pStyle w:val="Compact"/>
      </w:pPr>
      <w:r>
        <w:rPr>
          <w:bCs/>
          <w:b/>
        </w:rPr>
        <w:t xml:space="preserve">UE / Áustria / Alemanha:</w:t>
      </w:r>
      <w:r>
        <w:t xml:space="preserve"> </w:t>
      </w:r>
      <w:r>
        <w:t xml:space="preserve">não aprovado; como substância com efeito farmacológico, o Selank é considerado medicamento, e a comercialização sem aprovação não é permitida.</w:t>
      </w:r>
    </w:p>
    <w:p>
      <w:pPr>
        <w:numPr>
          <w:ilvl w:val="0"/>
          <w:numId w:val="1201"/>
        </w:numPr>
        <w:pStyle w:val="Compact"/>
      </w:pPr>
      <w:r>
        <w:rPr>
          <w:bCs/>
          <w:b/>
        </w:rPr>
        <w:t xml:space="preserve">EUA:</w:t>
      </w:r>
      <w:r>
        <w:t xml:space="preserve"> </w:t>
      </w:r>
      <w:r>
        <w:t xml:space="preserve">não aprovado. O Selank foi incluído em 2023 na</w:t>
      </w:r>
      <w:r>
        <w:t xml:space="preserve"> </w:t>
      </w:r>
      <w:r>
        <w:t xml:space="preserve">“</w:t>
      </w:r>
      <w:r>
        <w:t xml:space="preserve">categoria 2</w:t>
      </w:r>
      <w:r>
        <w:t xml:space="preserve">”</w:t>
      </w:r>
      <w:r>
        <w:t xml:space="preserve"> </w:t>
      </w:r>
      <w:r>
        <w:t xml:space="preserve">da FDA para substâncias de manipulação com preocupações de segurança; mais tarde, segundo relatos, a nomeação foi retirada. O Selank não estava entre os peptídeos avaliados pelo comitê consultivo PCAC em julho de 2026. Segundo o conhecimento atual, não há permissão para preparações de farmácia (situação em outubro de 2026, verificar atualização).</w:t>
      </w:r>
    </w:p>
    <w:p>
      <w:pPr>
        <w:numPr>
          <w:ilvl w:val="0"/>
          <w:numId w:val="1201"/>
        </w:numPr>
        <w:pStyle w:val="Compact"/>
      </w:pPr>
      <w:r>
        <w:rPr>
          <w:bCs/>
          <w:b/>
        </w:rPr>
        <w:t xml:space="preserve">Rússia:</w:t>
      </w:r>
      <w:r>
        <w:t xml:space="preserve"> </w:t>
      </w:r>
      <w:r>
        <w:t xml:space="preserve">registrado como medicamento.</w:t>
      </w:r>
    </w:p>
    <w:p>
      <w:pPr>
        <w:numPr>
          <w:ilvl w:val="0"/>
          <w:numId w:val="1201"/>
        </w:numPr>
        <w:pStyle w:val="Compact"/>
      </w:pPr>
      <w:r>
        <w:rPr>
          <w:bCs/>
          <w:b/>
        </w:rPr>
        <w:t xml:space="preserve">Esporte:</w:t>
      </w:r>
      <w:r>
        <w:t xml:space="preserve"> </w:t>
      </w:r>
      <w:r>
        <w:t xml:space="preserve">não listado nominalmente na lista da WADA (situação em 2026, verificar atualização).</w:t>
      </w:r>
    </w:p>
    <w:bookmarkEnd w:id="1656"/>
    <w:bookmarkStart w:id="1657" w:name="estudos-em-andamento-e-perspectivas-35"/>
    <w:p>
      <w:pPr>
        <w:pStyle w:val="Heading3"/>
      </w:pPr>
      <w:r>
        <w:t xml:space="preserve">Estudos em andamento e perspectivas</w:t>
      </w:r>
    </w:p>
    <w:p>
      <w:pPr>
        <w:pStyle w:val="FirstParagraph"/>
      </w:pPr>
      <w:r>
        <w:rPr>
          <w:bCs/>
          <w:b/>
        </w:rPr>
        <w:t xml:space="preserve">Comprovado:</w:t>
      </w:r>
      <w:r>
        <w:t xml:space="preserve"> </w:t>
      </w:r>
      <w:r>
        <w:t xml:space="preserve">no ClinicalTrials.gov não há estudo registrado com Selank (consulta de outubro de 2026).</w:t>
      </w:r>
    </w:p>
    <w:p>
      <w:pPr>
        <w:pStyle w:val="BodyText"/>
      </w:pPr>
      <w:r>
        <w:rPr>
          <w:bCs/>
          <w:b/>
        </w:rPr>
        <w:t xml:space="preserve">Avaliação:</w:t>
      </w:r>
      <w:r>
        <w:t xml:space="preserve"> </w:t>
      </w:r>
      <w:r>
        <w:t xml:space="preserve">o Selank é um exemplo de peptídeo que entrou na assistência à saúde na Rússia sem cumprir os requisitos de estudos vigentes na UE ou nos EUA. Uma aprovação fora da Rússia pressuporia, no mínimo, um estudo maior controlado por placebo em transtornos de ansiedade; não há indícios disso.</w:t>
      </w:r>
    </w:p>
    <w:bookmarkEnd w:id="1657"/>
    <w:bookmarkStart w:id="1658" w:name="conclusão-35"/>
    <w:p>
      <w:pPr>
        <w:pStyle w:val="Heading3"/>
      </w:pPr>
      <w:r>
        <w:t xml:space="preserve">Conclusão</w:t>
      </w:r>
    </w:p>
    <w:p>
      <w:pPr>
        <w:pStyle w:val="FirstParagraph"/>
      </w:pPr>
      <w:r>
        <w:t xml:space="preserve">O Selank é um peptídeo derivado da tuftsina, registrado na Rússia como ansiolítico. Três pequenos estudos russos descrevem um efeito ansiolítico semelhante ao dos benzodiazepínicos, mas nenhum deles tinha grupo placebo ou foi pré-registrado. As hipóteses de mecanismo sobre encefalinas, GABA e sistema imunológico se baseiam em dados de laboratório e de animais. Os dados não são suficientes para avaliar eficácia e segurança pelos padrões atuais.</w:t>
      </w:r>
    </w:p>
    <w:bookmarkEnd w:id="1658"/>
    <w:bookmarkEnd w:id="1659"/>
    <w:bookmarkStart w:id="1712" w:name="cerebrolisina"/>
    <w:p>
      <w:pPr>
        <w:pStyle w:val="Heading2"/>
      </w:pPr>
      <w:r>
        <w:t xml:space="preserve">Cerebrolisina</w:t>
      </w:r>
    </w:p>
    <w:bookmarkStart w:id="1660" w:name="ficha-técnica-36"/>
    <w:p>
      <w:pPr>
        <w:pStyle w:val="Heading3"/>
      </w:pPr>
      <w:r>
        <w:t xml:space="preserve">Ficha técnica</w:t>
      </w:r>
    </w:p>
    <w:p>
      <w:pPr>
        <w:numPr>
          <w:ilvl w:val="0"/>
          <w:numId w:val="1202"/>
        </w:numPr>
        <w:pStyle w:val="Compact"/>
      </w:pPr>
      <w:r>
        <w:rPr>
          <w:bCs/>
          <w:b/>
        </w:rPr>
        <w:t xml:space="preserve">Tipo e estrutura:</w:t>
      </w:r>
      <w:r>
        <w:t xml:space="preserve"> </w:t>
      </w:r>
      <w:r>
        <w:t xml:space="preserve">não é um peptídeo único, mas uma mistura de peptídeos curtos e aminoácidos livres. É obtida por clivagem enzimática de proteínas purificadas de cérebro de porco. A composição exata não está completamente descrita; o fabricante padroniza o preparado por meio do seu processo de fabricação e de testes biológicos.</w:t>
      </w:r>
    </w:p>
    <w:p>
      <w:pPr>
        <w:numPr>
          <w:ilvl w:val="0"/>
          <w:numId w:val="1202"/>
        </w:numPr>
        <w:pStyle w:val="Compact"/>
      </w:pPr>
      <w:r>
        <w:rPr>
          <w:bCs/>
          <w:b/>
        </w:rPr>
        <w:t xml:space="preserve">Origem:</w:t>
      </w:r>
      <w:r>
        <w:t xml:space="preserve"> </w:t>
      </w:r>
      <w:r>
        <w:t xml:space="preserve">produzida há décadas por uma empresa austríaca (hoje EVER Neuro Pharma, Unterach am Attersee).</w:t>
      </w:r>
    </w:p>
    <w:p>
      <w:pPr>
        <w:numPr>
          <w:ilvl w:val="0"/>
          <w:numId w:val="1202"/>
        </w:numPr>
        <w:pStyle w:val="Compact"/>
      </w:pPr>
      <w:r>
        <w:rPr>
          <w:bCs/>
          <w:b/>
        </w:rPr>
        <w:t xml:space="preserve">Princípio de ação:</w:t>
      </w:r>
      <w:r>
        <w:t xml:space="preserve"> </w:t>
      </w:r>
      <w:r>
        <w:t xml:space="preserve">imitaria efeitos de fatores de crescimento neural do próprio organismo – proteger neurônios (neuroproteção) e favorecer processos de reparo e remodelação (neurorregeneração). É administrada como infusão ou injeção na veia, geralmente em ciclos de 10 a 21 dias.</w:t>
      </w:r>
    </w:p>
    <w:p>
      <w:pPr>
        <w:numPr>
          <w:ilvl w:val="0"/>
          <w:numId w:val="1202"/>
        </w:numPr>
        <w:pStyle w:val="Compact"/>
      </w:pPr>
      <w:r>
        <w:rPr>
          <w:bCs/>
          <w:b/>
        </w:rPr>
        <w:t xml:space="preserve">Aprovação UE:</w:t>
      </w:r>
      <w:r>
        <w:t xml:space="preserve"> </w:t>
      </w:r>
      <w:r>
        <w:t xml:space="preserve">nenhuma aprovação centralizada na UE. Aprovação nacional na Áustria e em uma série de outros Estados, sobretudo da Europa Central e Oriental (conforme o país, para AVC, traumatismo cranioencefálico e demência). Na Alemanha, segundo nosso conhecimento, não é comercializada.</w:t>
      </w:r>
    </w:p>
    <w:p>
      <w:pPr>
        <w:numPr>
          <w:ilvl w:val="0"/>
          <w:numId w:val="1202"/>
        </w:numPr>
        <w:pStyle w:val="Compact"/>
      </w:pPr>
      <w:r>
        <w:rPr>
          <w:bCs/>
          <w:b/>
        </w:rPr>
        <w:t xml:space="preserve">Aprovação EUA:</w:t>
      </w:r>
      <w:r>
        <w:t xml:space="preserve"> </w:t>
      </w:r>
      <w:r>
        <w:t xml:space="preserve">não.</w:t>
      </w:r>
    </w:p>
    <w:p>
      <w:pPr>
        <w:numPr>
          <w:ilvl w:val="0"/>
          <w:numId w:val="1202"/>
        </w:numPr>
        <w:pStyle w:val="Compact"/>
      </w:pPr>
      <w:r>
        <w:rPr>
          <w:bCs/>
          <w:b/>
        </w:rPr>
        <w:t xml:space="preserve">Outros países:</w:t>
      </w:r>
      <w:r>
        <w:t xml:space="preserve"> </w:t>
      </w:r>
      <w:r>
        <w:t xml:space="preserve">amplamente usada na Rússia, em outros Estados sucessores da União Soviética, na China e em outros países asiáticos.</w:t>
      </w:r>
    </w:p>
    <w:p>
      <w:pPr>
        <w:numPr>
          <w:ilvl w:val="0"/>
          <w:numId w:val="1202"/>
        </w:numPr>
        <w:pStyle w:val="Compact"/>
      </w:pPr>
      <w:r>
        <w:rPr>
          <w:bCs/>
          <w:b/>
        </w:rPr>
        <w:t xml:space="preserve">WADA:</w:t>
      </w:r>
      <w:r>
        <w:t xml:space="preserve"> </w:t>
      </w:r>
      <w:r>
        <w:t xml:space="preserve">não listada.</w:t>
      </w:r>
    </w:p>
    <w:p>
      <w:pPr>
        <w:numPr>
          <w:ilvl w:val="0"/>
          <w:numId w:val="1202"/>
        </w:numPr>
        <w:pStyle w:val="Compact"/>
      </w:pPr>
      <w:r>
        <w:rPr>
          <w:bCs/>
          <w:b/>
        </w:rPr>
        <w:t xml:space="preserve">Nível de evidência:</w:t>
      </w:r>
      <w:r>
        <w:t xml:space="preserve"> </w:t>
      </w:r>
      <w:r>
        <w:rPr>
          <w:bCs/>
          <w:b/>
        </w:rPr>
        <w:t xml:space="preserve">B</w:t>
      </w:r>
      <w:r>
        <w:t xml:space="preserve"> </w:t>
      </w:r>
      <w:r>
        <w:t xml:space="preserve">– numerosos estudos randomizados e controlados por placebo, entre eles um grande com mais de 1.000 participantes; os resultados, porém, são inconsistentes, e as duas grandes revisões Cochrane independentes chegam a avaliações reservadas.</w:t>
      </w:r>
    </w:p>
    <w:bookmarkEnd w:id="1660"/>
    <w:bookmarkStart w:id="1661" w:name="como-deveria-agir-36"/>
    <w:p>
      <w:pPr>
        <w:pStyle w:val="Heading3"/>
      </w:pPr>
      <w:r>
        <w:t xml:space="preserve">Como deveria agir</w:t>
      </w:r>
    </w:p>
    <w:p>
      <w:pPr>
        <w:pStyle w:val="FirstParagraph"/>
      </w:pPr>
      <w:r>
        <w:t xml:space="preserve">Fatores de crescimento neural como BDNF, NGF ou CNTF são proteínas que mantêm neurônios vivos, estimulam o brotamento de novas conexões e favorecem a formação de novos neurônios em determinadas regiões cerebrais. Como medicamentos, são difíceis: são grandes, quase não atravessam a barreira hematoencefálica e agem em muitos lugares ao mesmo tempo.</w:t>
      </w:r>
    </w:p>
    <w:p>
      <w:pPr>
        <w:pStyle w:val="BodyText"/>
      </w:pPr>
      <w:r>
        <w:t xml:space="preserve">A cerebrolisina segue outra abordagem. De proteínas de cérebro de porco, por clivagem controlada, surge uma mistura de pequenos fragmentos. O fabricante e pesquisadores ligados a ele partem do princípio de que alguns desses fragmentos desencadeiam sinais semelhantes aos dos fatores de crescimento do próprio organismo. Fala-se, por isso, de uma substância</w:t>
      </w:r>
      <w:r>
        <w:t xml:space="preserve"> </w:t>
      </w:r>
      <w:r>
        <w:t xml:space="preserve">“</w:t>
      </w:r>
      <w:r>
        <w:t xml:space="preserve">multimodal</w:t>
      </w:r>
      <w:r>
        <w:t xml:space="preserve">”</w:t>
      </w:r>
      <w:r>
        <w:t xml:space="preserve"> </w:t>
      </w:r>
      <w:r>
        <w:t xml:space="preserve">– ou seja, que influenciaria muitas vias ao mesmo tempo.</w:t>
      </w:r>
    </w:p>
    <w:p>
      <w:pPr>
        <w:pStyle w:val="BodyText"/>
      </w:pPr>
      <w:r>
        <w:t xml:space="preserve">Para os leitores, isso significa duas coisas: primeiro, o mecanismo é derivado sobretudo de experimentos com animais e células. Segundo, em uma mistura é difícil dizer qual componente é responsável por quê e quanto dele realmente chega ao cérebro.</w:t>
      </w:r>
    </w:p>
    <w:bookmarkEnd w:id="1661"/>
    <w:bookmarkStart w:id="1697" w:name="estudos-em-humanos-36"/>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 resultou em 88 publicações classificadas como estudos em humanos, além de 15 metanálises e revisões sistemáticas (entre elas oito versões de revisões Cochrane). No ClinicalTrials.gov estavam registrados 43 estudos, a maioria sobre AVC, alguns sobre traumatismo cranioencefálico, demência, hemorragia cerebral, delirium e – durante a pandemia – perda do olfato após COVID-19. Grande parte dos estudos foi financiada ou apoiada pelo fabricante; muitos trabalhos menores vêm da Rússia, Romênia, China e Irã.</w:t>
      </w:r>
    </w:p>
    <w:p>
      <w:pPr>
        <w:pStyle w:val="BodyText"/>
      </w:pPr>
      <w:r>
        <w:t xml:space="preserve">Uma palavra sobre a estatística usada em muitos estudos com cerebrolisina: em vez de um único desfecho principal, eles frequentemente testam uma combinação de várias escalas com o chamado estimador de Mann-Whitney (MW). Ele indica a probabilidade de que uma pessoa escolhida ao acaso no grupo da cerebrolisina tenha resultado melhor do que uma do grupo placebo. Um MW de 0,50 significa nenhuma diferença; valores em torno de 0,56 são considerados uma vantagem pequena, em torno de 0,64 média e a partir de 0,71 grande. Esse método é admissível, mas torna os resultados mais difíceis de comparar com outros estudos de AVC, que em geral informam a proporção de pessoas sem incapacidade permanente.</w:t>
      </w:r>
    </w:p>
    <w:bookmarkStart w:id="1668" w:name="avc-isquêmico-agudo"/>
    <w:p>
      <w:pPr>
        <w:pStyle w:val="Heading4"/>
      </w:pPr>
      <w:r>
        <w:t xml:space="preserve">AVC isquêmico agudo</w:t>
      </w:r>
    </w:p>
    <w:p>
      <w:pPr>
        <w:pStyle w:val="FirstParagraph"/>
      </w:pPr>
      <w:r>
        <w:t xml:space="preserve">No AVC isquêmico, um coágulo obstrui um vaso cerebral. Tratamentos estabelecidos são a dissolução do coágulo com medicamentos (trombólise) e a remoção com um cateter (trombectomia). Agentes adicionais</w:t>
      </w:r>
      <w:r>
        <w:t xml:space="preserve"> </w:t>
      </w:r>
      <w:r>
        <w:t xml:space="preserve">“</w:t>
      </w:r>
      <w:r>
        <w:t xml:space="preserve">neuroprotetores</w:t>
      </w:r>
      <w:r>
        <w:t xml:space="preserve">”</w:t>
      </w:r>
      <w:r>
        <w:t xml:space="preserve"> </w:t>
      </w:r>
      <w:r>
        <w:t xml:space="preserve">deveriam proteger o tecido circundante – uma abordagem na qual dezenas de substâncias fracassaram em grandes estudos no mundo todo.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Ladurner 2005, PMID 15583955</w:t>
            </w:r>
          </w:p>
        </w:tc>
        <w:tc>
          <w:tcPr/>
          <w:p>
            <w:pPr>
              <w:pStyle w:val="Compact"/>
              <w:jc w:val="left"/>
            </w:pPr>
            <w:r>
              <w:t xml:space="preserve">146 pessoas, ECR contra placebo, início em até 24 h</w:t>
            </w:r>
          </w:p>
        </w:tc>
        <w:tc>
          <w:tcPr/>
          <w:p>
            <w:pPr>
              <w:pStyle w:val="Compact"/>
              <w:jc w:val="left"/>
            </w:pPr>
            <w:r>
              <w:t xml:space="preserve">90 dias</w:t>
            </w:r>
          </w:p>
        </w:tc>
        <w:tc>
          <w:tcPr/>
          <w:p>
            <w:pPr>
              <w:pStyle w:val="Compact"/>
              <w:jc w:val="left"/>
            </w:pPr>
            <w:r>
              <w:t xml:space="preserve">nenhuma melhora na escala neurológica, no índice de Barthel e na impressão global; um teste cognitivo melhor</w:t>
            </w:r>
          </w:p>
        </w:tc>
      </w:tr>
      <w:tr>
        <w:tc>
          <w:tcPr/>
          <w:p>
            <w:pPr>
              <w:pStyle w:val="Compact"/>
              <w:jc w:val="left"/>
            </w:pPr>
            <w:r>
              <w:t xml:space="preserve">CASTA (Heiss 2012), PMID 22282884</w:t>
            </w:r>
          </w:p>
        </w:tc>
        <w:tc>
          <w:tcPr/>
          <w:p>
            <w:pPr>
              <w:pStyle w:val="Compact"/>
              <w:jc w:val="left"/>
            </w:pPr>
            <w:r>
              <w:t xml:space="preserve">1.070 pessoas na Ásia, duplo-cego contra placebo, início em até 12 h</w:t>
            </w:r>
          </w:p>
        </w:tc>
        <w:tc>
          <w:tcPr/>
          <w:p>
            <w:pPr>
              <w:pStyle w:val="Compact"/>
              <w:jc w:val="left"/>
            </w:pPr>
            <w:r>
              <w:t xml:space="preserve">90 dias</w:t>
            </w:r>
          </w:p>
        </w:tc>
        <w:tc>
          <w:tcPr/>
          <w:p>
            <w:pPr>
              <w:pStyle w:val="Compact"/>
              <w:jc w:val="left"/>
            </w:pPr>
            <w:r>
              <w:t xml:space="preserve">desfecho principal neutro; subgrupo post hoc de casos graves com tendência a favor da cerebrolisina</w:t>
            </w:r>
          </w:p>
        </w:tc>
      </w:tr>
      <w:tr>
        <w:tc>
          <w:tcPr/>
          <w:p>
            <w:pPr>
              <w:pStyle w:val="Compact"/>
              <w:jc w:val="left"/>
            </w:pPr>
            <w:r>
              <w:t xml:space="preserve">Lang 2013, PMID 23009193</w:t>
            </w:r>
          </w:p>
        </w:tc>
        <w:tc>
          <w:tcPr/>
          <w:p>
            <w:pPr>
              <w:pStyle w:val="Compact"/>
              <w:jc w:val="left"/>
            </w:pPr>
            <w:r>
              <w:t xml:space="preserve">119 pessoas, adicional à trombólise, duplo-cego</w:t>
            </w:r>
          </w:p>
        </w:tc>
        <w:tc>
          <w:tcPr/>
          <w:p>
            <w:pPr>
              <w:pStyle w:val="Compact"/>
              <w:jc w:val="left"/>
            </w:pPr>
            <w:r>
              <w:t xml:space="preserve">90 dias</w:t>
            </w:r>
          </w:p>
        </w:tc>
        <w:tc>
          <w:tcPr/>
          <w:p>
            <w:pPr>
              <w:pStyle w:val="Compact"/>
              <w:jc w:val="left"/>
            </w:pPr>
            <w:r>
              <w:t xml:space="preserve">interrompido após análise interina sem benefício no desfecho principal; melhora precoce na NIHSS mais frequente</w:t>
            </w:r>
          </w:p>
        </w:tc>
      </w:tr>
      <w:tr>
        <w:tc>
          <w:tcPr/>
          <w:p>
            <w:pPr>
              <w:pStyle w:val="Compact"/>
              <w:jc w:val="left"/>
            </w:pPr>
            <w:r>
              <w:t xml:space="preserve">CARS (Muresanu 2016), PMID 26564102</w:t>
            </w:r>
          </w:p>
        </w:tc>
        <w:tc>
          <w:tcPr/>
          <w:p>
            <w:pPr>
              <w:pStyle w:val="Compact"/>
              <w:jc w:val="left"/>
            </w:pPr>
            <w:r>
              <w:t xml:space="preserve">pessoas em reabilitação precoce, duplo-cego contra placebo</w:t>
            </w:r>
          </w:p>
        </w:tc>
        <w:tc>
          <w:tcPr/>
          <w:p>
            <w:pPr>
              <w:pStyle w:val="Compact"/>
              <w:jc w:val="left"/>
            </w:pPr>
            <w:r>
              <w:t xml:space="preserve">90 dias</w:t>
            </w:r>
          </w:p>
        </w:tc>
        <w:tc>
          <w:tcPr/>
          <w:p>
            <w:pPr>
              <w:pStyle w:val="Compact"/>
              <w:jc w:val="left"/>
            </w:pPr>
            <w:r>
              <w:t xml:space="preserve">função do braço (ARAT) claramente melhor: MW 0,71</w:t>
            </w:r>
          </w:p>
        </w:tc>
      </w:tr>
      <w:tr>
        <w:tc>
          <w:tcPr/>
          <w:p>
            <w:pPr>
              <w:pStyle w:val="Compact"/>
              <w:jc w:val="left"/>
            </w:pPr>
            <w:r>
              <w:t xml:space="preserve">Gharagozli 2017, PMID 29075343</w:t>
            </w:r>
          </w:p>
        </w:tc>
        <w:tc>
          <w:tcPr/>
          <w:p>
            <w:pPr>
              <w:pStyle w:val="Compact"/>
              <w:jc w:val="left"/>
            </w:pPr>
            <w:r>
              <w:t xml:space="preserve">100 pessoas, duplo-cego contra placebo</w:t>
            </w:r>
          </w:p>
        </w:tc>
        <w:tc>
          <w:tcPr/>
          <w:p>
            <w:pPr>
              <w:pStyle w:val="Compact"/>
              <w:jc w:val="left"/>
            </w:pPr>
            <w:r>
              <w:t xml:space="preserve">30 dias</w:t>
            </w:r>
          </w:p>
        </w:tc>
        <w:tc>
          <w:tcPr/>
          <w:p>
            <w:pPr>
              <w:pStyle w:val="Compact"/>
              <w:jc w:val="left"/>
            </w:pPr>
            <w:r>
              <w:t xml:space="preserve">NIHSS melhor: MW 0,66</w:t>
            </w:r>
          </w:p>
        </w:tc>
      </w:tr>
      <w:tr>
        <w:tc>
          <w:tcPr/>
          <w:p>
            <w:pPr>
              <w:pStyle w:val="Compact"/>
              <w:jc w:val="left"/>
            </w:pPr>
            <w:r>
              <w:t xml:space="preserve">CEREHETIS (Khasanova 2023), PMID 36973684</w:t>
            </w:r>
          </w:p>
        </w:tc>
        <w:tc>
          <w:tcPr/>
          <w:p>
            <w:pPr>
              <w:pStyle w:val="Compact"/>
              <w:jc w:val="left"/>
            </w:pPr>
            <w:r>
              <w:t xml:space="preserve">341 pessoas com trombólise, randomizado aberto</w:t>
            </w:r>
          </w:p>
        </w:tc>
        <w:tc>
          <w:tcPr/>
          <w:p>
            <w:pPr>
              <w:pStyle w:val="Compact"/>
              <w:jc w:val="left"/>
            </w:pPr>
            <w:r>
              <w:t xml:space="preserve">90 dias</w:t>
            </w:r>
          </w:p>
        </w:tc>
        <w:tc>
          <w:tcPr/>
          <w:p>
            <w:pPr>
              <w:pStyle w:val="Compact"/>
              <w:jc w:val="left"/>
            </w:pPr>
            <w:r>
              <w:t xml:space="preserve">menos hemorragias sintomáticas (OR 0,248); nenhuma diferença na mRS após 90 dias</w:t>
            </w:r>
          </w:p>
        </w:tc>
      </w:tr>
    </w:tbl>
    <w:p>
      <w:pPr>
        <w:pStyle w:val="BodyText"/>
      </w:pPr>
      <w:r>
        <w:rPr>
          <w:bCs/>
          <w:b/>
        </w:rPr>
        <w:t xml:space="preserve">CASTA – o maior estudo.</w:t>
      </w:r>
      <w:r>
        <w:t xml:space="preserve"> </w:t>
      </w:r>
      <w:r>
        <w:t xml:space="preserve">O estudo</w:t>
      </w:r>
      <w:r>
        <w:t xml:space="preserve"> </w:t>
      </w:r>
      <w:r>
        <w:rPr>
          <w:iCs/>
          <w:i/>
        </w:rPr>
        <w:t xml:space="preserve">Cerebrolysin Acute Stroke Treatment in Asia</w:t>
      </w:r>
      <w:r>
        <w:t xml:space="preserve"> </w:t>
      </w:r>
      <w:r>
        <w:t xml:space="preserve">teve o protocolo publicado previamente</w:t>
      </w:r>
      <w:r>
        <w:rPr>
          <w:rStyle w:val="FootnoteReference"/>
        </w:rPr>
        <w:footnoteReference w:id="1662"/>
      </w:r>
      <w:r>
        <w:t xml:space="preserve"> </w:t>
      </w:r>
      <w:r>
        <w:t xml:space="preserve">e está registrado no ClinicalTrials.gov</w:t>
      </w:r>
      <w:r>
        <w:rPr>
          <w:rStyle w:val="FootnoteReference"/>
        </w:rPr>
        <w:footnoteReference w:id="1663"/>
      </w:r>
      <w:r>
        <w:t xml:space="preserve">. 1.070 pessoas com AVC agudo receberam em até doze horas, por dez dias, cerebrolisina ou solução salina, em ambos os casos além de aspirina. O desfecho principal definido previamente – uma combinação da escala de Rankin modificada (mRS, grau de incapacidade), do índice de Barthel (independência na vida diária) e da NIHSS (gravidade dos déficits neurológicos) após 90 dias –</w:t>
      </w:r>
      <w:r>
        <w:t xml:space="preserve"> </w:t>
      </w:r>
      <w:r>
        <w:rPr>
          <w:bCs/>
          <w:b/>
        </w:rPr>
        <w:t xml:space="preserve">não mostrou diferença</w:t>
      </w:r>
      <w:r>
        <w:t xml:space="preserve">. Em uma análise posterior dos casos mais graves (NIHSS acima de 12), a mortalidade após 90 dias foi de 10,5% com cerebrolisina frente a 20,2% com placebo</w:t>
      </w:r>
      <w:r>
        <w:rPr>
          <w:rStyle w:val="FootnoteReference"/>
        </w:rPr>
        <w:footnoteReference w:id="1664"/>
      </w:r>
      <w:r>
        <w:t xml:space="preserve">. Os próprios autores escrevem que esse achado precisaria ser confirmado em outro estudo. Um estudo de confirmação desse tipo, grande e realizado especificamente em AVCs graves, não foi publicado até hoje.</w:t>
      </w:r>
    </w:p>
    <w:p>
      <w:pPr>
        <w:pStyle w:val="BodyText"/>
      </w:pPr>
      <w:r>
        <w:rPr>
          <w:bCs/>
          <w:b/>
        </w:rPr>
        <w:t xml:space="preserve">Junto com a trombólise.</w:t>
      </w:r>
      <w:r>
        <w:t xml:space="preserve"> </w:t>
      </w:r>
      <w:r>
        <w:t xml:space="preserve">Em um estudo com 119 pessoas, a cerebrolisina foi iniciada uma hora após a trombólise. Após a terceira análise interina, não se mostrou vantagem no desfecho principal (mRS após 90 dias), e o estudo foi encerrado. Nos primeiros 30 dias, mais pessoas melhoraram claramente na NIHSS com cerebrolisina</w:t>
      </w:r>
      <w:r>
        <w:rPr>
          <w:rStyle w:val="FootnoteReference"/>
        </w:rPr>
        <w:footnoteReference w:id="1665"/>
      </w:r>
      <w:r>
        <w:t xml:space="preserve">. Esse padrão – melhoras precoces em escalas neurológicas, mas nenhuma diferença clara na incapacidade após três meses – se repete em vários estudos. O estudo CEREHETIS encontrou em 341 pessoas menos hemorragias sintomáticas após a trombólise, mas também nenhuma diferença na mRS após 90 dias; ele era aberto, ou seja, não cego</w:t>
      </w:r>
      <w:r>
        <w:rPr>
          <w:rStyle w:val="FootnoteReference"/>
        </w:rPr>
        <w:footnoteReference w:id="1666"/>
      </w:r>
      <w:r>
        <w:t xml:space="preserve">.</w:t>
      </w:r>
    </w:p>
    <w:p>
      <w:pPr>
        <w:pStyle w:val="BodyText"/>
      </w:pPr>
      <w:r>
        <w:rPr>
          <w:bCs/>
          <w:b/>
        </w:rPr>
        <w:t xml:space="preserve">Trombectomia.</w:t>
      </w:r>
      <w:r>
        <w:t xml:space="preserve"> </w:t>
      </w:r>
      <w:r>
        <w:t xml:space="preserve">Um estudo comparou 50 pessoas que receberam cerebrolisina após tratamento por cateter com 50 pessoas tratadas anteriormente (controles históricos). Após 90 dias, 68% frente a 44% eram funcionalmente independentes (mRS 0–2), e hemorragias cerebrais secundárias ocorreram com menos frequência</w:t>
      </w:r>
      <w:r>
        <w:rPr>
          <w:rStyle w:val="FootnoteReference"/>
        </w:rPr>
        <w:footnoteReference w:id="1667"/>
      </w:r>
      <w:r>
        <w:t xml:space="preserve">. Sem randomização e com comparação contra pacientes anteriores, isso é, porém, apenas um indício; os próprios autores pedem estudos randomizados.</w:t>
      </w:r>
    </w:p>
    <w:bookmarkEnd w:id="1668"/>
    <w:bookmarkStart w:id="1675" w:name="X0f0563dfd8d6d1578d28464cf6060a26861fa8c"/>
    <w:p>
      <w:pPr>
        <w:pStyle w:val="Heading4"/>
      </w:pPr>
      <w:r>
        <w:t xml:space="preserve">Reabilitação após AVC: CARS e estudos subsequentes</w:t>
      </w:r>
    </w:p>
    <w:p>
      <w:pPr>
        <w:pStyle w:val="FirstParagraph"/>
      </w:pPr>
      <w:r>
        <w:t xml:space="preserve">Uma segunda abordagem não começa nas primeiras horas, mas na reabilitação precoce: a cerebrolisina deveria tornar o cérebro</w:t>
      </w:r>
      <w:r>
        <w:t xml:space="preserve"> </w:t>
      </w:r>
      <w:r>
        <w:t xml:space="preserve">“</w:t>
      </w:r>
      <w:r>
        <w:t xml:space="preserve">mais apto a aprender</w:t>
      </w:r>
      <w:r>
        <w:t xml:space="preserve">”</w:t>
      </w:r>
      <w:r>
        <w:t xml:space="preserve"> </w:t>
      </w:r>
      <w:r>
        <w:t xml:space="preserve">enquanto, ao mesmo tempo, ocorre fisioterapia.</w:t>
      </w:r>
    </w:p>
    <w:p>
      <w:pPr>
        <w:pStyle w:val="BodyText"/>
      </w:pPr>
      <w:r>
        <w:t xml:space="preserve">O</w:t>
      </w:r>
      <w:r>
        <w:t xml:space="preserve"> </w:t>
      </w:r>
      <w:r>
        <w:rPr>
          <w:bCs/>
          <w:b/>
        </w:rPr>
        <w:t xml:space="preserve">estudo CARS</w:t>
      </w:r>
      <w:r>
        <w:t xml:space="preserve"> </w:t>
      </w:r>
      <w:r>
        <w:t xml:space="preserve">(</w:t>
      </w:r>
      <w:r>
        <w:rPr>
          <w:iCs/>
          <w:i/>
        </w:rPr>
        <w:t xml:space="preserve">Cerebrolysin and Recovery After Stroke</w:t>
      </w:r>
      <w:r>
        <w:t xml:space="preserve">) tratou pessoas 24 a 72 horas após o AVC por 21 dias com cerebrolisina ou placebo, além de um programa padronizado de reabilitação. No desfecho principal, o Action Research Arm Test (ARAT) para a função do braço após 90 dias, mostrou-se uma grande vantagem (MW 0,71; intervalo de confiança de 95% 0,63–0,79); considerando doze escalas, uma vantagem pequena a média (MW 0,62)</w:t>
      </w:r>
      <w:r>
        <w:rPr>
          <w:rStyle w:val="FootnoteReference"/>
        </w:rPr>
        <w:footnoteReference w:id="1669"/>
      </w:r>
      <w:r>
        <w:t xml:space="preserve">. Os autores qualificam o estudo expressamente como exploratório, com número relativamente pequeno de casos. Uma análise conjunta planejada previamente com o estudo de desenho idêntico CARS-2 (442 pessoas ao todo) resultou para o ARAT em um MW de 0,62</w:t>
      </w:r>
      <w:r>
        <w:rPr>
          <w:rStyle w:val="FootnoteReference"/>
        </w:rPr>
        <w:footnoteReference w:id="1670"/>
      </w:r>
      <w:r>
        <w:t xml:space="preserve">.</w:t>
      </w:r>
    </w:p>
    <w:p>
      <w:pPr>
        <w:pStyle w:val="BodyText"/>
      </w:pPr>
      <w:r>
        <w:t xml:space="preserve">Outros estudos menores mostram um quadro misto:</w:t>
      </w:r>
    </w:p>
    <w:p>
      <w:pPr>
        <w:numPr>
          <w:ilvl w:val="0"/>
          <w:numId w:val="1203"/>
        </w:numPr>
        <w:pStyle w:val="Compact"/>
      </w:pPr>
      <w:r>
        <w:t xml:space="preserve">Um estudo com 60 pessoas encontrou grandes vantagens na NIHSS após 10 e 30 dias</w:t>
      </w:r>
      <w:r>
        <w:rPr>
          <w:rStyle w:val="FootnoteReference"/>
        </w:rPr>
        <w:footnoteReference w:id="1671"/>
      </w:r>
      <w:r>
        <w:t xml:space="preserve">.</w:t>
      </w:r>
    </w:p>
    <w:p>
      <w:pPr>
        <w:numPr>
          <w:ilvl w:val="0"/>
          <w:numId w:val="1203"/>
        </w:numPr>
        <w:pStyle w:val="Compact"/>
      </w:pPr>
      <w:r>
        <w:t xml:space="preserve">Um estudo com 70 pessoas</w:t>
      </w:r>
      <w:r>
        <w:t xml:space="preserve"> </w:t>
      </w:r>
      <w:r>
        <w:rPr>
          <w:bCs/>
          <w:b/>
        </w:rPr>
        <w:t xml:space="preserve">não</w:t>
      </w:r>
      <w:r>
        <w:t xml:space="preserve"> </w:t>
      </w:r>
      <w:r>
        <w:t xml:space="preserve">encontrou diferença na motricidade como um todo; apenas no subgrupo com paralisia grave a cerebrolisina teve resultado melhor</w:t>
      </w:r>
      <w:r>
        <w:rPr>
          <w:rStyle w:val="FootnoteReference"/>
        </w:rPr>
        <w:footnoteReference w:id="1672"/>
      </w:r>
      <w:r>
        <w:t xml:space="preserve">.</w:t>
      </w:r>
    </w:p>
    <w:p>
      <w:pPr>
        <w:numPr>
          <w:ilvl w:val="0"/>
          <w:numId w:val="1203"/>
        </w:numPr>
        <w:pStyle w:val="Compact"/>
      </w:pPr>
      <w:r>
        <w:t xml:space="preserve">O estudo piloto romeno ESCAS em distúrbios da linguagem (afasia não fluente), com 132 pessoas, combinou cerebrolisina com terapia da fala. Após 90 dias, a função da linguagem na Western Aphasia Battery melhorou cerca de 35,6 pontos frente a 20,8 pontos com placebo</w:t>
      </w:r>
      <w:r>
        <w:rPr>
          <w:rStyle w:val="FootnoteReference"/>
        </w:rPr>
        <w:footnoteReference w:id="1673"/>
      </w:r>
      <w:r>
        <w:t xml:space="preserve">.</w:t>
      </w:r>
    </w:p>
    <w:p>
      <w:pPr>
        <w:pStyle w:val="FirstParagraph"/>
      </w:pPr>
      <w:r>
        <w:t xml:space="preserve">Uma diretriz da European Academy of Neurology e da Federação Europeia das Sociedades de Neurorreabilitação recomendou em 2021, com base em uma metanálise, a cerebrolisina – ao lado do antidepressivo citalopram – para apoiar a reabilitação motora precoce após AVC isquêmico</w:t>
      </w:r>
      <w:r>
        <w:rPr>
          <w:rStyle w:val="FootnoteReference"/>
        </w:rPr>
        <w:footnoteReference w:id="1674"/>
      </w:r>
      <w:r>
        <w:t xml:space="preserve">. Outras grandes diretrizes, por exemplo nos EUA, não contêm tal recomendação.</w:t>
      </w:r>
    </w:p>
    <w:bookmarkEnd w:id="1675"/>
    <w:bookmarkStart w:id="1680" w:name="X6ed533455c3cc2e7e1507b34b6db642a68c9365"/>
    <w:p>
      <w:pPr>
        <w:pStyle w:val="Heading4"/>
      </w:pPr>
      <w:r>
        <w:t xml:space="preserve">As metanálises: duas leituras dos mesmos dados</w:t>
      </w:r>
    </w:p>
    <w:p>
      <w:pPr>
        <w:pStyle w:val="FirstParagraph"/>
      </w:pPr>
      <w:r>
        <w:t xml:space="preserve">No caso da cerebrolisina, os resumos divergem – dependendo de quem os redigiu e de quais desfechos estão em foco.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Revisão</w:t>
            </w:r>
          </w:p>
        </w:tc>
        <w:tc>
          <w:tcPr/>
          <w:p>
            <w:pPr>
              <w:pStyle w:val="Compact"/>
              <w:jc w:val="left"/>
            </w:pPr>
            <w:r>
              <w:t xml:space="preserve">Dados incluídos</w:t>
            </w:r>
          </w:p>
        </w:tc>
        <w:tc>
          <w:tcPr/>
          <w:p>
            <w:pPr>
              <w:pStyle w:val="Compact"/>
              <w:jc w:val="left"/>
            </w:pPr>
            <w:r>
              <w:t xml:space="preserve">Mensagem central</w:t>
            </w:r>
          </w:p>
        </w:tc>
      </w:tr>
      <w:tr>
        <w:tc>
          <w:tcPr/>
          <w:p>
            <w:pPr>
              <w:pStyle w:val="Compact"/>
              <w:jc w:val="left"/>
            </w:pPr>
            <w:r>
              <w:t xml:space="preserve">Cochrane (Ziganshina 2023), PMID 37818733</w:t>
            </w:r>
          </w:p>
        </w:tc>
        <w:tc>
          <w:tcPr/>
          <w:p>
            <w:pPr>
              <w:pStyle w:val="Compact"/>
              <w:jc w:val="left"/>
            </w:pPr>
            <w:r>
              <w:t xml:space="preserve">7 ECRs, 1.773 pessoas, início em até 48 h</w:t>
            </w:r>
          </w:p>
        </w:tc>
        <w:tc>
          <w:tcPr/>
          <w:p>
            <w:pPr>
              <w:pStyle w:val="Compact"/>
              <w:jc w:val="left"/>
            </w:pPr>
            <w:r>
              <w:t xml:space="preserve">nenhuma influência na mortalidade (RR 0,96); mais efeitos colaterais graves não fatais (RR 2,39)</w:t>
            </w:r>
          </w:p>
        </w:tc>
      </w:tr>
      <w:tr>
        <w:tc>
          <w:tcPr/>
          <w:p>
            <w:pPr>
              <w:pStyle w:val="Compact"/>
              <w:jc w:val="left"/>
            </w:pPr>
            <w:r>
              <w:t xml:space="preserve">Bornstein 2018, PMID 29248999</w:t>
            </w:r>
          </w:p>
        </w:tc>
        <w:tc>
          <w:tcPr/>
          <w:p>
            <w:pPr>
              <w:pStyle w:val="Compact"/>
              <w:jc w:val="left"/>
            </w:pPr>
            <w:r>
              <w:t xml:space="preserve">9 ECRs, 1.879 pessoas</w:t>
            </w:r>
          </w:p>
        </w:tc>
        <w:tc>
          <w:tcPr/>
          <w:p>
            <w:pPr>
              <w:pStyle w:val="Compact"/>
              <w:jc w:val="left"/>
            </w:pPr>
            <w:r>
              <w:t xml:space="preserve">NIHSS melhor após 30 dias (MW 0,60); NNT 7,7 para melhora clinicamente relevante</w:t>
            </w:r>
          </w:p>
        </w:tc>
      </w:tr>
      <w:tr>
        <w:tc>
          <w:tcPr/>
          <w:p>
            <w:pPr>
              <w:pStyle w:val="Compact"/>
              <w:jc w:val="left"/>
            </w:pPr>
            <w:r>
              <w:t xml:space="preserve">Zhang 2017, PMID 28656143</w:t>
            </w:r>
          </w:p>
        </w:tc>
        <w:tc>
          <w:tcPr/>
          <w:p>
            <w:pPr>
              <w:pStyle w:val="Compact"/>
              <w:jc w:val="left"/>
            </w:pPr>
            <w:r>
              <w:t xml:space="preserve">7 ECRs, 1.779 pessoas</w:t>
            </w:r>
          </w:p>
        </w:tc>
        <w:tc>
          <w:tcPr/>
          <w:p>
            <w:pPr>
              <w:pStyle w:val="Compact"/>
              <w:jc w:val="left"/>
            </w:pPr>
            <w:r>
              <w:t xml:space="preserve">nenhuma superioridade na mRS e no índice de Barthel; segurança neutra</w:t>
            </w:r>
          </w:p>
        </w:tc>
      </w:tr>
      <w:tr>
        <w:tc>
          <w:tcPr/>
          <w:p>
            <w:pPr>
              <w:pStyle w:val="Compact"/>
              <w:jc w:val="left"/>
            </w:pPr>
            <w:r>
              <w:t xml:space="preserve">Patel 2025, PMID 41018475</w:t>
            </w:r>
          </w:p>
        </w:tc>
        <w:tc>
          <w:tcPr/>
          <w:p>
            <w:pPr>
              <w:pStyle w:val="Compact"/>
              <w:jc w:val="left"/>
            </w:pPr>
            <w:r>
              <w:t xml:space="preserve">14 ECRs, 2.884 pessoas</w:t>
            </w:r>
          </w:p>
        </w:tc>
        <w:tc>
          <w:tcPr/>
          <w:p>
            <w:pPr>
              <w:pStyle w:val="Compact"/>
              <w:jc w:val="left"/>
            </w:pPr>
            <w:r>
              <w:t xml:space="preserve">melhora na NIHSS de 1,39 ponto a mais; independência funcional não significativa (RR 1,31)</w:t>
            </w:r>
          </w:p>
        </w:tc>
      </w:tr>
    </w:tbl>
    <w:p>
      <w:pPr>
        <w:pStyle w:val="BodyText"/>
      </w:pPr>
      <w:r>
        <w:t xml:space="preserve">A</w:t>
      </w:r>
      <w:r>
        <w:t xml:space="preserve"> </w:t>
      </w:r>
      <w:r>
        <w:rPr>
          <w:bCs/>
          <w:b/>
        </w:rPr>
        <w:t xml:space="preserve">revisão Cochrane</w:t>
      </w:r>
      <w:r>
        <w:t xml:space="preserve"> </w:t>
      </w:r>
      <w:r>
        <w:t xml:space="preserve">– uma forma de síntese independente e metodologicamente rigorosa – foi atualizada várias vezes desde 2010. A versão de 2020 abrangeu sete estudos randomizados com 1.601 pessoas e não encontrou efeito sobre a mortalidade (RR 0,90; IC de 95% 0,61–1,32). O total de eventos adversos graves não diferiu substancialmente, mas o número de pessoas com eventos adversos graves</w:t>
      </w:r>
      <w:r>
        <w:t xml:space="preserve"> </w:t>
      </w:r>
      <w:r>
        <w:rPr>
          <w:bCs/>
          <w:b/>
        </w:rPr>
        <w:t xml:space="preserve">não fatais</w:t>
      </w:r>
      <w:r>
        <w:t xml:space="preserve"> </w:t>
      </w:r>
      <w:r>
        <w:t xml:space="preserve">foi maior com cerebrolisina (RR 2,15; IC de 95% 1,01–4,55)</w:t>
      </w:r>
      <w:r>
        <w:rPr>
          <w:rStyle w:val="FootnoteReference"/>
        </w:rPr>
        <w:footnoteReference w:id="1676"/>
      </w:r>
      <w:r>
        <w:t xml:space="preserve">. A atualização de 2023 incluiu um estudo com o preparado russo de cérebro bovino Cortexin (1.773 pessoas ao todo) e confirmou essas afirmações: nenhum efeito sobre a mortalidade (RR 0,96), mais eventos graves não fatais (RR 2,39; IC de 95% 1,10–5,23), de forma ainda mais acentuada com um esquema de tratamento de dez dias</w:t>
      </w:r>
      <w:r>
        <w:rPr>
          <w:rStyle w:val="FootnoteReference"/>
        </w:rPr>
        <w:footnoteReference w:id="1677"/>
      </w:r>
      <w:r>
        <w:t xml:space="preserve">. Os autores da Cochrane avaliaram o risco de viés de muitos estudos como incerto ou alto e apontaram que o fabricante havia apoiado vários dos grandes estudos. Importante: nenhum dos estudos incluídos relatou o desfecho decisivo do ponto de vista dos pacientes,</w:t>
      </w:r>
      <w:r>
        <w:t xml:space="preserve"> </w:t>
      </w:r>
      <w:r>
        <w:t xml:space="preserve">“</w:t>
      </w:r>
      <w:r>
        <w:t xml:space="preserve">morte ou dependência de cuidados</w:t>
      </w:r>
      <w:r>
        <w:t xml:space="preserve">”</w:t>
      </w:r>
      <w:r>
        <w:t xml:space="preserve">, na forma prevista pela revisão.</w:t>
      </w:r>
    </w:p>
    <w:p>
      <w:pPr>
        <w:pStyle w:val="BodyText"/>
      </w:pPr>
      <w:r>
        <w:t xml:space="preserve">As</w:t>
      </w:r>
      <w:r>
        <w:t xml:space="preserve"> </w:t>
      </w:r>
      <w:r>
        <w:rPr>
          <w:bCs/>
          <w:b/>
        </w:rPr>
        <w:t xml:space="preserve">metanálises próximas ao fabricante</w:t>
      </w:r>
      <w:r>
        <w:t xml:space="preserve">, por outro lado, consideram sobretudo a melhora neurológica precoce na NIHSS e encontram ali uma vantagem moderada</w:t>
      </w:r>
      <w:r>
        <w:rPr>
          <w:rStyle w:val="FootnoteReference"/>
        </w:rPr>
        <w:footnoteReference w:id="1678"/>
      </w:r>
      <w:r>
        <w:t xml:space="preserve">. Uma metanálise de segurança com doze estudos e 2.202 pessoas não encontrou diferenças significativas em relação ao placebo nos efeitos colaterais</w:t>
      </w:r>
      <w:r>
        <w:rPr>
          <w:rStyle w:val="FootnoteReference"/>
        </w:rPr>
        <w:footnoteReference w:id="1679"/>
      </w:r>
      <w:r>
        <w:t xml:space="preserve"> </w:t>
      </w:r>
      <w:r>
        <w:t xml:space="preserve">– ao contrário do sinal da Cochrane, que, no entanto, se baseia em poucos eventos.</w:t>
      </w:r>
    </w:p>
    <w:p>
      <w:pPr>
        <w:pStyle w:val="BodyText"/>
      </w:pPr>
      <w:r>
        <w:t xml:space="preserve">Como conciliar isso? A resposta honesta é: em vários estudos, a cerebrolisina melhora os escores das escalas neurológicas nas primeiras semanas. Se daí resultam menos incapacidade permanente, menos dependência de cuidados ou vida mais longa não está comprovado. Para o sinal de efeitos colaterais graves não fatais falta uma explicação convincente; ele se baseia em poucos eventos e por isso é incerto, mas foi encontrado em duas versões da Cochrane.</w:t>
      </w:r>
    </w:p>
    <w:bookmarkEnd w:id="1680"/>
    <w:bookmarkStart w:id="1682" w:name="dados-de-registro-da-prática-clínica"/>
    <w:p>
      <w:pPr>
        <w:pStyle w:val="Heading4"/>
      </w:pPr>
      <w:r>
        <w:t xml:space="preserve">Dados de registro da prática clínica</w:t>
      </w:r>
    </w:p>
    <w:p>
      <w:pPr>
        <w:pStyle w:val="FirstParagraph"/>
      </w:pPr>
      <w:r>
        <w:t xml:space="preserve">O fabricante financiou adicionalmente grandes estudos observacionais. O estudo de registro C-REGS2 incluiu, em 16 países, 1.865 pessoas com AVC moderado; foram avaliadas 1.769 (1.021 com cerebrolisina, 748 sem). Após 90 dias, o grupo da cerebrolisina teve resultado melhor na escala de Rankin modificada (MW 0,6157)</w:t>
      </w:r>
      <w:r>
        <w:rPr>
          <w:rStyle w:val="FootnoteReference"/>
        </w:rPr>
        <w:footnoteReference w:id="1681"/>
      </w:r>
      <w:r>
        <w:t xml:space="preserve">. O estudo usa procedimentos estatísticos sofisticados para tornar os grupos comparáveis. Mas continua sendo um estudo observacional: quem recebe cerebrolisina na prática pode diferir, em tratamento, clínica ou país, de quem não recebe. Ele não pode substituir uma randomização.</w:t>
      </w:r>
    </w:p>
    <w:bookmarkEnd w:id="1682"/>
    <w:bookmarkStart w:id="1686" w:name="Xcce99705f2e40bd3ad824fc0c49e4d0618c5598"/>
    <w:p>
      <w:pPr>
        <w:pStyle w:val="Heading4"/>
      </w:pPr>
      <w:r>
        <w:t xml:space="preserve">Hemorragia intracerebral e hemorragia subaracnóidea</w:t>
      </w:r>
    </w:p>
    <w:p>
      <w:pPr>
        <w:pStyle w:val="FirstParagraph"/>
      </w:pPr>
      <w:r>
        <w:t xml:space="preserve">Nas hemorragias cerebrais, um estudo com 100 pessoas não encontrou diferenças significativas após 21 dias, mas também nenhum problema de segurança</w:t>
      </w:r>
      <w:r>
        <w:rPr>
          <w:rStyle w:val="FootnoteReference"/>
        </w:rPr>
        <w:footnoteReference w:id="1683"/>
      </w:r>
      <w:r>
        <w:t xml:space="preserve">. Nas hemorragias a partir de uma dilatação de vaso cerebral (hemorragia subaracnóidea aneurismática), um estudo piloto duplo-cego com 50 pessoas não mostrou diferença no resultado funcional após seis meses</w:t>
      </w:r>
      <w:r>
        <w:rPr>
          <w:rStyle w:val="FootnoteReference"/>
        </w:rPr>
        <w:footnoteReference w:id="1684"/>
      </w:r>
      <w:r>
        <w:t xml:space="preserve">. Um estudo piloto sobre hemorragias nos lobos cerebrais (CLINCH) está planejado ou em andamento</w:t>
      </w:r>
      <w:r>
        <w:rPr>
          <w:rStyle w:val="FootnoteReference"/>
        </w:rPr>
        <w:footnoteReference w:id="1685"/>
      </w:r>
      <w:r>
        <w:t xml:space="preserve">.</w:t>
      </w:r>
    </w:p>
    <w:bookmarkEnd w:id="1686"/>
    <w:bookmarkStart w:id="1688" w:name="traumatismo-cranioencefálico-captain"/>
    <w:p>
      <w:pPr>
        <w:pStyle w:val="Heading4"/>
      </w:pPr>
      <w:r>
        <w:t xml:space="preserve">Traumatismo cranioencefálico: CAPTAIN</w:t>
      </w:r>
    </w:p>
    <w:p>
      <w:pPr>
        <w:pStyle w:val="FirstParagraph"/>
      </w:pPr>
      <w:r>
        <w:t xml:space="preserve">No traumatismo cranioencefálico moderado a grave, dois estudos testaram a cerebrolisina adicionada ao tratamento padrão: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CAPTAIN I (Poon 2020), PMID 31494820</w:t>
            </w:r>
          </w:p>
        </w:tc>
        <w:tc>
          <w:tcPr/>
          <w:p>
            <w:pPr>
              <w:pStyle w:val="Compact"/>
              <w:jc w:val="left"/>
            </w:pPr>
            <w:r>
              <w:t xml:space="preserve">46 pessoas, duplo-cego contra placebo, vários centros</w:t>
            </w:r>
          </w:p>
        </w:tc>
        <w:tc>
          <w:tcPr/>
          <w:p>
            <w:pPr>
              <w:pStyle w:val="Compact"/>
              <w:jc w:val="left"/>
            </w:pPr>
            <w:r>
              <w:t xml:space="preserve">90 dias</w:t>
            </w:r>
          </w:p>
        </w:tc>
        <w:tc>
          <w:tcPr/>
          <w:p>
            <w:pPr>
              <w:pStyle w:val="Compact"/>
              <w:jc w:val="left"/>
            </w:pPr>
            <w:r>
              <w:t xml:space="preserve">desfecho principal não atingido por pouco (ITT: MW 0,63); significativo na análise por protocolo</w:t>
            </w:r>
          </w:p>
        </w:tc>
      </w:tr>
      <w:tr>
        <w:tc>
          <w:tcPr/>
          <w:p>
            <w:pPr>
              <w:pStyle w:val="Compact"/>
              <w:jc w:val="left"/>
            </w:pPr>
            <w:r>
              <w:t xml:space="preserve">CAPTAIN II (Muresanu 2020), PMID 31897941</w:t>
            </w:r>
          </w:p>
        </w:tc>
        <w:tc>
          <w:tcPr/>
          <w:p>
            <w:pPr>
              <w:pStyle w:val="Compact"/>
              <w:jc w:val="left"/>
            </w:pPr>
            <w:r>
              <w:t xml:space="preserve">142 pessoas (139 avaliadas), duplo-cego, um centro</w:t>
            </w:r>
          </w:p>
        </w:tc>
        <w:tc>
          <w:tcPr/>
          <w:p>
            <w:pPr>
              <w:pStyle w:val="Compact"/>
              <w:jc w:val="left"/>
            </w:pPr>
            <w:r>
              <w:t xml:space="preserve">90 dias</w:t>
            </w:r>
          </w:p>
        </w:tc>
        <w:tc>
          <w:tcPr/>
          <w:p>
            <w:pPr>
              <w:pStyle w:val="Compact"/>
              <w:jc w:val="left"/>
            </w:pPr>
            <w:r>
              <w:t xml:space="preserve">vantagem pequena a média no desfecho combinado de 13 escalas (MW 0,59)</w:t>
            </w:r>
          </w:p>
        </w:tc>
      </w:tr>
      <w:tr>
        <w:tc>
          <w:tcPr/>
          <w:p>
            <w:pPr>
              <w:pStyle w:val="Compact"/>
              <w:jc w:val="left"/>
            </w:pPr>
            <w:r>
              <w:t xml:space="preserve">Metanálise CAPTAIN (Vester 2021), PMID 33620612</w:t>
            </w:r>
          </w:p>
        </w:tc>
        <w:tc>
          <w:tcPr/>
          <w:p>
            <w:pPr>
              <w:pStyle w:val="Compact"/>
              <w:jc w:val="left"/>
            </w:pPr>
            <w:r>
              <w:t xml:space="preserve">185 pessoas dos dois estudos</w:t>
            </w:r>
          </w:p>
        </w:tc>
        <w:tc>
          <w:tcPr/>
          <w:p>
            <w:pPr>
              <w:pStyle w:val="Compact"/>
              <w:jc w:val="left"/>
            </w:pPr>
            <w:r>
              <w:t xml:space="preserve">90 dias</w:t>
            </w:r>
          </w:p>
        </w:tc>
        <w:tc>
          <w:tcPr/>
          <w:p>
            <w:pPr>
              <w:pStyle w:val="Compact"/>
              <w:jc w:val="left"/>
            </w:pPr>
            <w:r>
              <w:t xml:space="preserve">MW 0,60 após 30 e 90 dias</w:t>
            </w:r>
          </w:p>
        </w:tc>
      </w:tr>
    </w:tbl>
    <w:p>
      <w:pPr>
        <w:pStyle w:val="BodyText"/>
      </w:pPr>
      <w:r>
        <w:t xml:space="preserve">O CAPTAIN I foi encerrado antecipadamente com apenas 46 participantes (NCT01606111, status no registro</w:t>
      </w:r>
      <w:r>
        <w:t xml:space="preserve"> </w:t>
      </w:r>
      <w:r>
        <w:t xml:space="preserve">“</w:t>
      </w:r>
      <w:r>
        <w:t xml:space="preserve">interrompido</w:t>
      </w:r>
      <w:r>
        <w:t xml:space="preserve">”</w:t>
      </w:r>
      <w:r>
        <w:t xml:space="preserve">). Outras metanálises sobre traumatismo cranioencefálico se baseiam predominantemente em estudos observacionais e encontraram valores melhores na Glasgow Outcome Scale, mas nenhuma influência sobre a mortalidade</w:t>
      </w:r>
      <w:r>
        <w:rPr>
          <w:rStyle w:val="FootnoteReference"/>
        </w:rPr>
        <w:footnoteReference w:id="1687"/>
      </w:r>
      <w:r>
        <w:t xml:space="preserve">. No conjunto, os dados apontam para uma possível pequena vantagem; o número de pessoas estudadas de forma randomizada é pequeno demais para uma afirmação segura.</w:t>
      </w:r>
    </w:p>
    <w:bookmarkEnd w:id="1688"/>
    <w:bookmarkStart w:id="1694" w:name="demência"/>
    <w:p>
      <w:pPr>
        <w:pStyle w:val="Heading4"/>
      </w:pPr>
      <w:r>
        <w:t xml:space="preserve">Demência</w:t>
      </w:r>
    </w:p>
    <w:p>
      <w:pPr>
        <w:pStyle w:val="FirstParagraph"/>
      </w:pPr>
      <w:r>
        <w:rPr>
          <w:bCs/>
          <w:b/>
        </w:rPr>
        <w:t xml:space="preserve">Doença de Alzheimer.</w:t>
      </w:r>
      <w:r>
        <w:t xml:space="preserve"> </w:t>
      </w:r>
      <w:r>
        <w:t xml:space="preserve">Nos anos 1990 e 2000, foram realizados vários estudos controlados por placebo. Em um estudo com 192 pessoas, a impressão clínica global (CIBIC+) foi melhor com cerebrolisina após doze semanas (76% frente a 57% de</w:t>
      </w:r>
      <w:r>
        <w:t xml:space="preserve"> </w:t>
      </w:r>
      <w:r>
        <w:t xml:space="preserve">“</w:t>
      </w:r>
      <w:r>
        <w:t xml:space="preserve">respondedores</w:t>
      </w:r>
      <w:r>
        <w:t xml:space="preserve">”</w:t>
      </w:r>
      <w:r>
        <w:t xml:space="preserve">); os grupos, porém, já diferiam no início quanto à idade e a alucinações</w:t>
      </w:r>
      <w:r>
        <w:rPr>
          <w:rStyle w:val="FootnoteReference"/>
        </w:rPr>
        <w:footnoteReference w:id="1689"/>
      </w:r>
      <w:r>
        <w:t xml:space="preserve">. Em um estudo com 197 pessoas, a cerebrolisina foi tão eficaz na impressão global quanto o medicamento aprovado para Alzheimer donepezila; em cognição, funcionalidade diária e comportamento não houve diferenças significativas entre os grupos</w:t>
      </w:r>
      <w:r>
        <w:rPr>
          <w:rStyle w:val="FootnoteReference"/>
        </w:rPr>
        <w:footnoteReference w:id="1690"/>
      </w:r>
      <w:r>
        <w:t xml:space="preserve">. Uma metanálise de seis estudos encontrou uma vantagem na impressão clínica global após quatro semanas e seis meses, mas na cognição apenas após quatro semanas, não após seis meses</w:t>
      </w:r>
      <w:r>
        <w:rPr>
          <w:rStyle w:val="FootnoteReference"/>
        </w:rPr>
        <w:footnoteReference w:id="1691"/>
      </w:r>
      <w:r>
        <w:t xml:space="preserve">. Dessa metanálise participaram pesquisadores que colaboram com o fabricante.</w:t>
      </w:r>
    </w:p>
    <w:p>
      <w:pPr>
        <w:pStyle w:val="BodyText"/>
      </w:pPr>
      <w:r>
        <w:rPr>
          <w:bCs/>
          <w:b/>
        </w:rPr>
        <w:t xml:space="preserve">Demência vascular.</w:t>
      </w:r>
      <w:r>
        <w:t xml:space="preserve"> </w:t>
      </w:r>
      <w:r>
        <w:t xml:space="preserve">O maior estudo, com 242 pessoas, relatou após 24 semanas uma melhora no ADAS-cog+ de 10,6 pontos frente a 4,4 pontos com placebo</w:t>
      </w:r>
      <w:r>
        <w:rPr>
          <w:rStyle w:val="FootnoteReference"/>
        </w:rPr>
        <w:footnoteReference w:id="1692"/>
      </w:r>
      <w:r>
        <w:t xml:space="preserve"> </w:t>
      </w:r>
      <w:r>
        <w:t xml:space="preserve">– um efeito incomumente grande para estudos de demência. A revisão Cochrane sobre demência vascular resumiu seis estudos com 597 pessoas e encontrou vantagens em cognição e impressão global, mas avaliou a confiabilidade da evidência como</w:t>
      </w:r>
      <w:r>
        <w:t xml:space="preserve"> </w:t>
      </w:r>
      <w:r>
        <w:t xml:space="preserve">“</w:t>
      </w:r>
      <w:r>
        <w:t xml:space="preserve">muito baixa</w:t>
      </w:r>
      <w:r>
        <w:t xml:space="preserve">”</w:t>
      </w:r>
      <w:r>
        <w:t xml:space="preserve">. Os autores escrevem que possíveis efeitos poderiam ser pequenos demais para serem clinicamente relevantes e que a base de evidências é fraca, embora a cerebrolisina continue sendo promovida</w:t>
      </w:r>
      <w:r>
        <w:rPr>
          <w:rStyle w:val="FootnoteReference"/>
        </w:rPr>
        <w:footnoteReference w:id="1693"/>
      </w:r>
      <w:r>
        <w:t xml:space="preserve">.</w:t>
      </w:r>
    </w:p>
    <w:bookmarkEnd w:id="1694"/>
    <w:bookmarkStart w:id="1696" w:name="outras-aplicações-3"/>
    <w:p>
      <w:pPr>
        <w:pStyle w:val="Heading4"/>
      </w:pPr>
      <w:r>
        <w:t xml:space="preserve">Outras aplicações</w:t>
      </w:r>
    </w:p>
    <w:p>
      <w:pPr>
        <w:pStyle w:val="FirstParagraph"/>
      </w:pPr>
      <w:r>
        <w:t xml:space="preserve">Há estudos menores sobre ELA (20 pessoas, melhora na escala funcional da ELA após um mês; Firstenfeld 2023, PMID 38585517), prematuros, crianças com paralisia cerebral, perda do olfato após COVID-19 e doenças psiquiátricas. Em homens saudáveis, a cerebrolisina alterou padrões de EEG em um pequeno estudo com 48 participantes; na memória de curto prazo, com placebo mostrou-se uma tendência a pior recordação de palavras nas primeiras horas, com cerebrolisina não</w:t>
      </w:r>
      <w:r>
        <w:rPr>
          <w:rStyle w:val="FootnoteReference"/>
        </w:rPr>
        <w:footnoteReference w:id="1695"/>
      </w:r>
      <w:r>
        <w:t xml:space="preserve">. Para o uso como</w:t>
      </w:r>
      <w:r>
        <w:t xml:space="preserve"> </w:t>
      </w:r>
      <w:r>
        <w:t xml:space="preserve">“</w:t>
      </w:r>
      <w:r>
        <w:t xml:space="preserve">nootrópico</w:t>
      </w:r>
      <w:r>
        <w:t xml:space="preserve">”</w:t>
      </w:r>
      <w:r>
        <w:t xml:space="preserve"> </w:t>
      </w:r>
      <w:r>
        <w:t xml:space="preserve">em pessoas saudáveis não há evidências.</w:t>
      </w:r>
    </w:p>
    <w:bookmarkEnd w:id="1696"/>
    <w:bookmarkEnd w:id="1697"/>
    <w:bookmarkStart w:id="1701" w:name="estudos-em-animais-e-em-laboratório-36"/>
    <w:p>
      <w:pPr>
        <w:pStyle w:val="Heading3"/>
      </w:pPr>
      <w:r>
        <w:t xml:space="preserve">Estudos em animais e em laboratório</w:t>
      </w:r>
    </w:p>
    <w:p>
      <w:pPr>
        <w:numPr>
          <w:ilvl w:val="0"/>
          <w:numId w:val="1204"/>
        </w:numPr>
        <w:pStyle w:val="Compact"/>
      </w:pPr>
      <w:r>
        <w:t xml:space="preserve">Em ratos com AVC induzido artificialmente, a cerebrolisina melhorou, em um estudo animal randomizado e cego, a recuperação neurológica após 28 dias de forma dependente da dose</w:t>
      </w:r>
      <w:r>
        <w:rPr>
          <w:rStyle w:val="FootnoteReference"/>
        </w:rPr>
        <w:footnoteReference w:id="1698"/>
      </w:r>
      <w:r>
        <w:t xml:space="preserve">.</w:t>
      </w:r>
    </w:p>
    <w:p>
      <w:pPr>
        <w:numPr>
          <w:ilvl w:val="0"/>
          <w:numId w:val="1204"/>
        </w:numPr>
        <w:pStyle w:val="Compact"/>
      </w:pPr>
      <w:r>
        <w:t xml:space="preserve">Em ratos com lesão cerebral leve, a cerebrolisina reduziu danos axonais e favoreceu a formação de novos neurônios no hipocampo</w:t>
      </w:r>
      <w:r>
        <w:rPr>
          <w:rStyle w:val="FootnoteReference"/>
        </w:rPr>
        <w:footnoteReference w:id="1699"/>
      </w:r>
      <w:r>
        <w:t xml:space="preserve">.</w:t>
      </w:r>
    </w:p>
    <w:p>
      <w:pPr>
        <w:numPr>
          <w:ilvl w:val="0"/>
          <w:numId w:val="1204"/>
        </w:numPr>
        <w:pStyle w:val="Compact"/>
      </w:pPr>
      <w:r>
        <w:t xml:space="preserve">Em um modelo de camundongo da doença hereditária CADASIL, a cerebrolisina prolongou a expectativa de vida e melhorou a memória espacial, sem influenciar as alterações típicas da substância branca</w:t>
      </w:r>
      <w:r>
        <w:rPr>
          <w:rStyle w:val="FootnoteReference"/>
        </w:rPr>
        <w:footnoteReference w:id="1700"/>
      </w:r>
      <w:r>
        <w:t xml:space="preserve">.</w:t>
      </w:r>
    </w:p>
    <w:p>
      <w:pPr>
        <w:pStyle w:val="FirstParagraph"/>
      </w:pPr>
      <w:r>
        <w:t xml:space="preserve">Os estudos pré-clínicos vêm em parte considerável de cooperações com o fabricante. Bons resultados em animais raramente se traduziram até agora em benefício clínico no caso de medicamentos para AVC.</w:t>
      </w:r>
    </w:p>
    <w:bookmarkEnd w:id="1701"/>
    <w:bookmarkStart w:id="1705" w:name="riscos-e-efeitos-colaterais-36"/>
    <w:p>
      <w:pPr>
        <w:pStyle w:val="Heading3"/>
      </w:pPr>
      <w:r>
        <w:t xml:space="preserve">Riscos e efeitos colaterais</w:t>
      </w:r>
    </w:p>
    <w:p>
      <w:pPr>
        <w:pStyle w:val="FirstParagraph"/>
      </w:pPr>
      <w:r>
        <w:rPr>
          <w:bCs/>
          <w:b/>
        </w:rPr>
        <w:t xml:space="preserve">Comprovado:</w:t>
      </w:r>
    </w:p>
    <w:p>
      <w:pPr>
        <w:numPr>
          <w:ilvl w:val="0"/>
          <w:numId w:val="1205"/>
        </w:numPr>
        <w:pStyle w:val="Compact"/>
      </w:pPr>
      <w:r>
        <w:t xml:space="preserve">Nos estudos, os efeitos colaterais foram, no geral, tão frequentes quanto com placebo. São citados, entre outros, dor de cabeça, tontura e inquietação</w:t>
      </w:r>
      <w:r>
        <w:rPr>
          <w:rStyle w:val="FootnoteReference"/>
        </w:rPr>
        <w:footnoteReference w:id="1702"/>
      </w:r>
      <w:r>
        <w:t xml:space="preserve">.</w:t>
      </w:r>
    </w:p>
    <w:p>
      <w:pPr>
        <w:numPr>
          <w:ilvl w:val="0"/>
          <w:numId w:val="1205"/>
        </w:numPr>
        <w:pStyle w:val="Compact"/>
      </w:pPr>
      <w:r>
        <w:t xml:space="preserve">A revisão Cochrane sobre AVC encontrou mais</w:t>
      </w:r>
      <w:r>
        <w:t xml:space="preserve"> </w:t>
      </w:r>
      <w:r>
        <w:rPr>
          <w:bCs/>
          <w:b/>
        </w:rPr>
        <w:t xml:space="preserve">eventos adversos graves não fatais</w:t>
      </w:r>
      <w:r>
        <w:t xml:space="preserve"> </w:t>
      </w:r>
      <w:r>
        <w:t xml:space="preserve">com cerebrolisina (RR 2,39; Ziganshina 2023, PMID 37818733); a metanálise de segurança próxima ao fabricante, não</w:t>
      </w:r>
      <w:r>
        <w:rPr>
          <w:rStyle w:val="FootnoteReference"/>
        </w:rPr>
        <w:footnoteReference w:id="1703"/>
      </w:r>
      <w:r>
        <w:t xml:space="preserve">.</w:t>
      </w:r>
    </w:p>
    <w:p>
      <w:pPr>
        <w:numPr>
          <w:ilvl w:val="0"/>
          <w:numId w:val="1205"/>
        </w:numPr>
        <w:pStyle w:val="Compact"/>
      </w:pPr>
      <w:r>
        <w:rPr>
          <w:bCs/>
          <w:b/>
        </w:rPr>
        <w:t xml:space="preserve">Reações alérgicas:</w:t>
      </w:r>
      <w:r>
        <w:t xml:space="preserve"> </w:t>
      </w:r>
      <w:r>
        <w:t xml:space="preserve">um relato de caso documentado em detalhe descreve uma reação anafilática com risco de vida em um homem de 85 anos após uma infusão de cerebrolisina; os autores ressaltam que tais casos são raros, mas relevantes em pessoas criticamente doentes</w:t>
      </w:r>
      <w:r>
        <w:rPr>
          <w:rStyle w:val="FootnoteReference"/>
        </w:rPr>
        <w:footnoteReference w:id="1704"/>
      </w:r>
      <w:r>
        <w:t xml:space="preserve">.</w:t>
      </w:r>
    </w:p>
    <w:p>
      <w:pPr>
        <w:pStyle w:val="FirstParagraph"/>
      </w:pPr>
      <w:r>
        <w:rPr>
          <w:bCs/>
          <w:b/>
        </w:rPr>
        <w:t xml:space="preserve">Teórico:</w:t>
      </w:r>
      <w:r>
        <w:t xml:space="preserve"> </w:t>
      </w:r>
      <w:r>
        <w:t xml:space="preserve">como preparado de tecido cerebral animal, a cerebrolisina está em princípio ligada a questões de pureza e de transmissibilidade de patógenos; os processos de fabricação e as exigências das autoridades devem minimizar esse risco. Casos concretos de transmissão não estão descritos nas fontes avaliadas aqui.</w:t>
      </w:r>
    </w:p>
    <w:p>
      <w:pPr>
        <w:pStyle w:val="BodyText"/>
      </w:pPr>
      <w:r>
        <w:rPr>
          <w:bCs/>
          <w:b/>
        </w:rPr>
        <w:t xml:space="preserve">Mercado cinza:</w:t>
      </w:r>
      <w:r>
        <w:t xml:space="preserve"> </w:t>
      </w:r>
      <w:r>
        <w:t xml:space="preserve">em fóruns de nootrópicos, a cerebrolisina é discutida como</w:t>
      </w:r>
      <w:r>
        <w:t xml:space="preserve"> </w:t>
      </w:r>
      <w:r>
        <w:t xml:space="preserve">“</w:t>
      </w:r>
      <w:r>
        <w:t xml:space="preserve">impulsionador cerebral</w:t>
      </w:r>
      <w:r>
        <w:t xml:space="preserve">”</w:t>
      </w:r>
      <w:r>
        <w:t xml:space="preserve"> </w:t>
      </w:r>
      <w:r>
        <w:t xml:space="preserve">e obtida de países onde está disponível. A autoaplicação intravenosa sem supervisão médica traz o risco de reações alérgicas graves, para as quais não haveria atendimento de emergência disponível. Mais sobre produtos do mercado cinza na Parte I e na Parte IV.</w:t>
      </w:r>
    </w:p>
    <w:bookmarkEnd w:id="1705"/>
    <w:bookmarkStart w:id="1706" w:name="situação-legal-36"/>
    <w:p>
      <w:pPr>
        <w:pStyle w:val="Heading3"/>
      </w:pPr>
      <w:r>
        <w:t xml:space="preserve">Situação legal</w:t>
      </w:r>
    </w:p>
    <w:p>
      <w:pPr>
        <w:numPr>
          <w:ilvl w:val="0"/>
          <w:numId w:val="1206"/>
        </w:numPr>
        <w:pStyle w:val="Compact"/>
      </w:pPr>
      <w:r>
        <w:rPr>
          <w:bCs/>
          <w:b/>
        </w:rPr>
        <w:t xml:space="preserve">UE / Áustria / Alemanha:</w:t>
      </w:r>
      <w:r>
        <w:t xml:space="preserve"> </w:t>
      </w:r>
      <w:r>
        <w:t xml:space="preserve">nenhuma aprovação centralizada na UE. Na Áustria, a cerebrolisina é aprovada nacionalmente como medicamento sujeito a prescrição; indicações e reembolso seguem a bula técnica austríaca. Outros Estados da UE têm aprovações nacionais próprias. Na Alemanha, segundo nosso conhecimento, a cerebrolisina não é comercializada; a obtenção seria possível, quando muito, como importação individual mediante prescrição médica.</w:t>
      </w:r>
    </w:p>
    <w:p>
      <w:pPr>
        <w:numPr>
          <w:ilvl w:val="0"/>
          <w:numId w:val="1206"/>
        </w:numPr>
        <w:pStyle w:val="Compact"/>
      </w:pPr>
      <w:r>
        <w:rPr>
          <w:bCs/>
          <w:b/>
        </w:rPr>
        <w:t xml:space="preserve">EUA:</w:t>
      </w:r>
      <w:r>
        <w:t xml:space="preserve"> </w:t>
      </w:r>
      <w:r>
        <w:t xml:space="preserve">não aprovada.</w:t>
      </w:r>
    </w:p>
    <w:p>
      <w:pPr>
        <w:numPr>
          <w:ilvl w:val="0"/>
          <w:numId w:val="1206"/>
        </w:numPr>
        <w:pStyle w:val="Compact"/>
      </w:pPr>
      <w:r>
        <w:rPr>
          <w:bCs/>
          <w:b/>
        </w:rPr>
        <w:t xml:space="preserve">Esporte:</w:t>
      </w:r>
      <w:r>
        <w:t xml:space="preserve"> </w:t>
      </w:r>
      <w:r>
        <w:t xml:space="preserve">não consta na lista da WADA (situação em 2026, verificar atualização).</w:t>
      </w:r>
    </w:p>
    <w:p>
      <w:pPr>
        <w:numPr>
          <w:ilvl w:val="0"/>
          <w:numId w:val="1206"/>
        </w:numPr>
        <w:pStyle w:val="Compact"/>
      </w:pPr>
      <w:r>
        <w:t xml:space="preserve">No uso aprovado vale: consultar a bula técnica e ter acompanhamento médico.</w:t>
      </w:r>
    </w:p>
    <w:bookmarkEnd w:id="1706"/>
    <w:bookmarkStart w:id="1710" w:name="estudos-em-andamento-e-perspectivas-36"/>
    <w:p>
      <w:pPr>
        <w:pStyle w:val="Heading3"/>
      </w:pPr>
      <w:r>
        <w:t xml:space="preserve">Estudos em andamento e perspectivas</w:t>
      </w:r>
    </w:p>
    <w:p>
      <w:pPr>
        <w:pStyle w:val="FirstParagraph"/>
      </w:pPr>
      <w:r>
        <w:rPr>
          <w:bCs/>
          <w:b/>
        </w:rPr>
        <w:t xml:space="preserve">Comprovado (estudos registrados, situação em outubro de 2026):</w:t>
      </w:r>
    </w:p>
    <w:p>
      <w:pPr>
        <w:numPr>
          <w:ilvl w:val="0"/>
          <w:numId w:val="1207"/>
        </w:numPr>
        <w:pStyle w:val="Compact"/>
      </w:pPr>
      <w:r>
        <w:rPr>
          <w:bCs/>
          <w:b/>
        </w:rPr>
        <w:t xml:space="preserve">CERebrolysin In CADASIL</w:t>
      </w:r>
      <w:r>
        <w:rPr>
          <w:rStyle w:val="FootnoteReference"/>
        </w:rPr>
        <w:footnoteReference w:id="1707"/>
      </w:r>
      <w:r>
        <w:t xml:space="preserve">: estudo de fase 2 com 30 participantes na doença vascular hereditária CADASIL, ativo, recrutamento concluído.</w:t>
      </w:r>
    </w:p>
    <w:p>
      <w:pPr>
        <w:numPr>
          <w:ilvl w:val="0"/>
          <w:numId w:val="1207"/>
        </w:numPr>
        <w:pStyle w:val="Compact"/>
      </w:pPr>
      <w:r>
        <w:rPr>
          <w:bCs/>
          <w:b/>
        </w:rPr>
        <w:t xml:space="preserve">Afasia após AVC</w:t>
      </w:r>
      <w:r>
        <w:rPr>
          <w:rStyle w:val="FootnoteReference"/>
        </w:rPr>
        <w:footnoteReference w:id="1708"/>
      </w:r>
      <w:r>
        <w:t xml:space="preserve">: estudo randomizado e controlado por placebo com 40 participantes na Coreia, em recrutamento.</w:t>
      </w:r>
    </w:p>
    <w:p>
      <w:pPr>
        <w:numPr>
          <w:ilvl w:val="0"/>
          <w:numId w:val="1207"/>
        </w:numPr>
        <w:pStyle w:val="Compact"/>
      </w:pPr>
      <w:r>
        <w:rPr>
          <w:bCs/>
          <w:b/>
        </w:rPr>
        <w:t xml:space="preserve">Cerebrolisina após trombectomia ampliada</w:t>
      </w:r>
      <w:r>
        <w:rPr>
          <w:rStyle w:val="FootnoteReference"/>
        </w:rPr>
        <w:footnoteReference w:id="1709"/>
      </w:r>
      <w:r>
        <w:t xml:space="preserve">: estudo de fase 2 com 100 participantes previstos em Taiwan, início em 2026.</w:t>
      </w:r>
    </w:p>
    <w:p>
      <w:pPr>
        <w:numPr>
          <w:ilvl w:val="0"/>
          <w:numId w:val="1207"/>
        </w:numPr>
        <w:pStyle w:val="Compact"/>
      </w:pPr>
      <w:r>
        <w:t xml:space="preserve">Outros estudos menores sobre delirium após cirurgias cardíacas e na unidade de terapia intensiva, sobre hemorragia cerebral e sobre reabilitação precoce estão registrados.</w:t>
      </w:r>
    </w:p>
    <w:p>
      <w:pPr>
        <w:pStyle w:val="FirstParagraph"/>
      </w:pPr>
      <w:r>
        <w:rPr>
          <w:bCs/>
          <w:b/>
        </w:rPr>
        <w:t xml:space="preserve">Avaliação:</w:t>
      </w:r>
      <w:r>
        <w:t xml:space="preserve"> </w:t>
      </w:r>
      <w:r>
        <w:t xml:space="preserve">nenhum dos estudos registrados é grande o suficiente para responder à questão central em aberto: a cerebrolisina reduz a incapacidade permanente ou a mortalidade após AVC? Para isso, seria necessário um estudo conduzido de forma independente, suficientemente grande, com um desfecho principal claro e definido previamente, como a escala de Rankin modificada após 90 dias. Enquanto ele faltar, a avaliação continuará dividida entre</w:t>
      </w:r>
      <w:r>
        <w:t xml:space="preserve"> </w:t>
      </w:r>
      <w:r>
        <w:t xml:space="preserve">“</w:t>
      </w:r>
      <w:r>
        <w:t xml:space="preserve">estabelecida no Leste Europeu e na Ásia</w:t>
      </w:r>
      <w:r>
        <w:t xml:space="preserve">”</w:t>
      </w:r>
      <w:r>
        <w:t xml:space="preserve"> </w:t>
      </w:r>
      <w:r>
        <w:t xml:space="preserve">e</w:t>
      </w:r>
      <w:r>
        <w:t xml:space="preserve"> </w:t>
      </w:r>
      <w:r>
        <w:t xml:space="preserve">“</w:t>
      </w:r>
      <w:r>
        <w:t xml:space="preserve">insuficientemente comprovada no Ocidente</w:t>
      </w:r>
      <w:r>
        <w:t xml:space="preserve">”</w:t>
      </w:r>
      <w:r>
        <w:t xml:space="preserve">.</w:t>
      </w:r>
    </w:p>
    <w:bookmarkEnd w:id="1710"/>
    <w:bookmarkStart w:id="1711" w:name="conclusão-36"/>
    <w:p>
      <w:pPr>
        <w:pStyle w:val="Heading3"/>
      </w:pPr>
      <w:r>
        <w:t xml:space="preserve">Conclusão</w:t>
      </w:r>
    </w:p>
    <w:p>
      <w:pPr>
        <w:pStyle w:val="FirstParagraph"/>
      </w:pPr>
      <w:r>
        <w:t xml:space="preserve">A cerebrolisina é uma mistura de peptídeos obtida de cérebro de porco, usada na Áustria e em muitos países do Leste Europeu e da Ásia em AVC, traumatismo cranioencefálico e demência. Numerosos estudos randomizados mostram melhoras precoces em escalas neurológicas, mas o maior estudo (CASTA), com mais de 1.000 pessoas, não atingiu seu desfecho principal. As revisões Cochrane independentes não encontram influência sobre a mortalidade, um sinal de mais efeitos colaterais graves não fatais no AVC e apenas vantagens muito incertas na demência vascular. Análises próximas ao fabricante chegam a resultados bem mais positivos. Os dados não são suficientes para comprovar com segurança um benefício clinicamente relevante a longo prazo; como autotratamento ou</w:t>
      </w:r>
      <w:r>
        <w:t xml:space="preserve"> </w:t>
      </w:r>
      <w:r>
        <w:t xml:space="preserve">“</w:t>
      </w:r>
      <w:r>
        <w:t xml:space="preserve">nootrópico</w:t>
      </w:r>
      <w:r>
        <w:t xml:space="preserve">”</w:t>
      </w:r>
      <w:r>
        <w:t xml:space="preserve">, a cerebrolisina não é adequada.</w:t>
      </w:r>
    </w:p>
    <w:bookmarkEnd w:id="1711"/>
    <w:bookmarkEnd w:id="1712"/>
    <w:bookmarkStart w:id="1734" w:name="dihexa"/>
    <w:p>
      <w:pPr>
        <w:pStyle w:val="Heading2"/>
      </w:pPr>
      <w:r>
        <w:t xml:space="preserve">Dihexa</w:t>
      </w:r>
    </w:p>
    <w:bookmarkStart w:id="1713" w:name="ficha-técnica-37"/>
    <w:p>
      <w:pPr>
        <w:pStyle w:val="Heading3"/>
      </w:pPr>
      <w:r>
        <w:t xml:space="preserve">Ficha técnica</w:t>
      </w:r>
    </w:p>
    <w:p>
      <w:pPr>
        <w:numPr>
          <w:ilvl w:val="0"/>
          <w:numId w:val="1208"/>
        </w:numPr>
        <w:pStyle w:val="Compact"/>
      </w:pPr>
      <w:r>
        <w:rPr>
          <w:bCs/>
          <w:b/>
        </w:rPr>
        <w:t xml:space="preserve">Tipo e estrutura:</w:t>
      </w:r>
      <w:r>
        <w:t xml:space="preserve"> </w:t>
      </w:r>
      <w:r>
        <w:t xml:space="preserve">minipeptídeo quimicamente modificado, derivado da angiotensina IV, um fragmento do sistema hormonal que regula a pressão arterial. O núcleo é formado por dois aminoácidos (tirosina e isoleucina), com cadeias semelhantes a ácidos graxos nas duas extremidades; nome químico N-hexanoil-Tyr-Ile-(6)-amida do ácido amino-hexanoico, código de pesquisa PNB-0408.</w:t>
      </w:r>
    </w:p>
    <w:p>
      <w:pPr>
        <w:numPr>
          <w:ilvl w:val="0"/>
          <w:numId w:val="1208"/>
        </w:numPr>
        <w:pStyle w:val="Compact"/>
      </w:pPr>
      <w:r>
        <w:rPr>
          <w:bCs/>
          <w:b/>
        </w:rPr>
        <w:t xml:space="preserve">Origem:</w:t>
      </w:r>
      <w:r>
        <w:t xml:space="preserve"> </w:t>
      </w:r>
      <w:r>
        <w:t xml:space="preserve">desenvolvido por volta de 2012 na Washington State University (EUA).</w:t>
      </w:r>
    </w:p>
    <w:p>
      <w:pPr>
        <w:numPr>
          <w:ilvl w:val="0"/>
          <w:numId w:val="1208"/>
        </w:numPr>
        <w:pStyle w:val="Compact"/>
      </w:pPr>
      <w:r>
        <w:rPr>
          <w:bCs/>
          <w:b/>
        </w:rPr>
        <w:t xml:space="preserve">Princípio de ação:</w:t>
      </w:r>
      <w:r>
        <w:t xml:space="preserve"> </w:t>
      </w:r>
      <w:r>
        <w:t xml:space="preserve">reforçaria o sistema de fator de crescimento HGF/c-Met (HGF = fator de crescimento de hepatócitos, c-Met = seu receptor) e assim estimularia a formação de novas conexões neurais (sinapses).</w:t>
      </w:r>
    </w:p>
    <w:p>
      <w:pPr>
        <w:numPr>
          <w:ilvl w:val="0"/>
          <w:numId w:val="1208"/>
        </w:numPr>
        <w:pStyle w:val="Compact"/>
      </w:pPr>
      <w:r>
        <w:rPr>
          <w:bCs/>
          <w:b/>
        </w:rPr>
        <w:t xml:space="preserve">Aprovação UE:</w:t>
      </w:r>
      <w:r>
        <w:t xml:space="preserve"> </w:t>
      </w:r>
      <w:r>
        <w:t xml:space="preserve">não.</w:t>
      </w:r>
    </w:p>
    <w:p>
      <w:pPr>
        <w:numPr>
          <w:ilvl w:val="0"/>
          <w:numId w:val="1208"/>
        </w:numPr>
        <w:pStyle w:val="Compact"/>
      </w:pPr>
      <w:r>
        <w:rPr>
          <w:bCs/>
          <w:b/>
        </w:rPr>
        <w:t xml:space="preserve">Aprovação EUA:</w:t>
      </w:r>
      <w:r>
        <w:t xml:space="preserve"> </w:t>
      </w:r>
      <w:r>
        <w:t xml:space="preserve">não. O Dihexa constava desde 2023 na</w:t>
      </w:r>
      <w:r>
        <w:t xml:space="preserve"> </w:t>
      </w:r>
      <w:r>
        <w:t xml:space="preserve">“</w:t>
      </w:r>
      <w:r>
        <w:t xml:space="preserve">categoria 2</w:t>
      </w:r>
      <w:r>
        <w:t xml:space="preserve">”</w:t>
      </w:r>
      <w:r>
        <w:t xml:space="preserve"> </w:t>
      </w:r>
      <w:r>
        <w:t xml:space="preserve">da FDA para substâncias de manipulação com preocupações de segurança; em abril de 2026 foi retirado dela, e uma avaliação pelo comitê consultivo PCAC está anunciada para uma reunião até fevereiro de 2027 (situação em outubro de 2026, verificar atualização).</w:t>
      </w:r>
    </w:p>
    <w:p>
      <w:pPr>
        <w:numPr>
          <w:ilvl w:val="0"/>
          <w:numId w:val="1208"/>
        </w:numPr>
        <w:pStyle w:val="Compact"/>
      </w:pPr>
      <w:r>
        <w:rPr>
          <w:bCs/>
          <w:b/>
        </w:rPr>
        <w:t xml:space="preserve">WADA:</w:t>
      </w:r>
      <w:r>
        <w:t xml:space="preserve"> </w:t>
      </w:r>
      <w:r>
        <w:t xml:space="preserve">não listado nominalmente; como substância não aprovada em nenhum lugar, o Dihexa se enquadra, em nossa avaliação, na categoria geral S0</w:t>
      </w:r>
      <w:r>
        <w:t xml:space="preserve"> </w:t>
      </w:r>
      <w:r>
        <w:t xml:space="preserve">“</w:t>
      </w:r>
      <w:r>
        <w:t xml:space="preserve">substâncias não aprovadas</w:t>
      </w:r>
      <w:r>
        <w:t xml:space="preserve">”</w:t>
      </w:r>
      <w:r>
        <w:t xml:space="preserve">.</w:t>
      </w:r>
    </w:p>
    <w:p>
      <w:pPr>
        <w:numPr>
          <w:ilvl w:val="0"/>
          <w:numId w:val="1208"/>
        </w:numPr>
        <w:pStyle w:val="Compact"/>
      </w:pPr>
      <w:r>
        <w:rPr>
          <w:bCs/>
          <w:b/>
        </w:rPr>
        <w:t xml:space="preserve">Nível de evidência:</w:t>
      </w:r>
      <w:r>
        <w:t xml:space="preserve"> </w:t>
      </w:r>
      <w:r>
        <w:rPr>
          <w:bCs/>
          <w:b/>
        </w:rPr>
        <w:t xml:space="preserve">D</w:t>
      </w:r>
      <w:r>
        <w:t xml:space="preserve"> </w:t>
      </w:r>
      <w:r>
        <w:t xml:space="preserve">– nenhum estudo publicado em humanos.</w:t>
      </w:r>
    </w:p>
    <w:bookmarkEnd w:id="1713"/>
    <w:bookmarkStart w:id="1716" w:name="como-deveria-agir-37"/>
    <w:p>
      <w:pPr>
        <w:pStyle w:val="Heading3"/>
      </w:pPr>
      <w:r>
        <w:t xml:space="preserve">Como deveria agir</w:t>
      </w:r>
    </w:p>
    <w:p>
      <w:pPr>
        <w:pStyle w:val="FirstParagraph"/>
      </w:pPr>
      <w:r>
        <w:t xml:space="preserve">A angiotensina IV é um peptídeo curto que se forma no organismo a partir do hormônio da pressão arterial angiotensina II. Desde os anos 1990, pesquisadores observaram que a angiotensina IV e moléculas relacionadas melhoram o aprendizado e a memória em ratos quando injetadas diretamente no cérebro. Para um medicamento, isso era inútil: os peptídeos eram degradados rapidamente e não passavam do intestino para o sangue nem atravessavam a barreira hematoencefálica.</w:t>
      </w:r>
    </w:p>
    <w:p>
      <w:pPr>
        <w:pStyle w:val="BodyText"/>
      </w:pPr>
      <w:r>
        <w:t xml:space="preserve">O grupo de trabalho de Joseph Harding e John Wright, em Washington, encurtou por isso a molécula até seu núcleo ativo e a dotou de grupos químicos de proteção. O resultado foi o Dihexa: estável contra a degradação, ativo por via oral em ratos e capaz de chegar ao cérebro. Em ratos com distúrbio de memória induzido por medicamento e em ratos idosos, melhorou o desempenho no labirinto aquático e favoreceu a formação de sinapses no hipocampo</w:t>
      </w:r>
      <w:r>
        <w:rPr>
          <w:rStyle w:val="FootnoteReference"/>
        </w:rPr>
        <w:footnoteReference w:id="1714"/>
      </w:r>
      <w:r>
        <w:t xml:space="preserve">.</w:t>
      </w:r>
    </w:p>
    <w:p>
      <w:pPr>
        <w:pStyle w:val="BodyText"/>
      </w:pPr>
      <w:r>
        <w:t xml:space="preserve">Mais tarde, o mesmo grupo encontrou o suposto mecanismo de ação: o Dihexa se liga ao fator de crescimento HGF e reforça seu sinal no receptor c-Met. Quando o sistema HGF era bloqueado no cérebro de ratos, o efeito favorável à memória desaparecia</w:t>
      </w:r>
      <w:r>
        <w:rPr>
          <w:rStyle w:val="FootnoteReference"/>
        </w:rPr>
        <w:footnoteReference w:id="1715"/>
      </w:r>
      <w:r>
        <w:t xml:space="preserve">. Esse trabalho foi retratado pela revista em 2025 (nota de retratação: PMID 40312093), assim como outro trabalho fundamental do mesmo grupo sobre derivados da angiotensina IV como moduladores de HGF/c-Met (nota de retratação: PMID 40312092). O mecanismo de ação descrito não está, portanto, mais comprovado de forma confiável; os registros do PubMed não informam os motivos da retratação.</w:t>
      </w:r>
    </w:p>
    <w:p>
      <w:pPr>
        <w:pStyle w:val="BodyText"/>
      </w:pPr>
      <w:r>
        <w:t xml:space="preserve">Na internet, o Dihexa é frequentemente descrito como uma substância muitas vezes mais potente do que o fator de crescimento neural BDNF. Tais comparações vêm de experimentos em cultura de células e nada dizem sobre se e como o Dihexa age em humanos.</w:t>
      </w:r>
    </w:p>
    <w:bookmarkEnd w:id="1716"/>
    <w:bookmarkStart w:id="1721" w:name="estudos-em-humanos-37"/>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w:t>
      </w:r>
      <w:r>
        <w:t xml:space="preserve"> </w:t>
      </w:r>
      <w:r>
        <w:rPr>
          <w:bCs/>
          <w:b/>
        </w:rPr>
        <w:t xml:space="preserve">não</w:t>
      </w:r>
      <w:r>
        <w:t xml:space="preserve"> </w:t>
      </w:r>
      <w:r>
        <w:t xml:space="preserve">resultou em nenhum estudo em humanos com Dihexa; ao todo, o PubMed lista apenas 18 trabalhos com o termo de busca, entre eles vários sem relação com a substância. No ClinicalTrials.gov não há estudo registrado. Também uma busca direcionada adicional por relatos de caso, intoxicações ou análises de produtos do mercado cinza ficou sem resultado.</w:t>
      </w:r>
    </w:p>
    <w:p>
      <w:pPr>
        <w:pStyle w:val="BodyText"/>
      </w:pPr>
      <w:r>
        <w:t xml:space="preserve">Não há, portanto, dados sobre eficácia, tolerabilidade, duração do efeito ou quantidades adequadas em humanos. Tudo o que se relata sobre um efeito em humanos vem de relatos de experiência em fóruns.</w:t>
      </w:r>
    </w:p>
    <w:bookmarkStart w:id="1720" w:name="um-parente-na-clínica-fosgonimetona"/>
    <w:p>
      <w:pPr>
        <w:pStyle w:val="Heading4"/>
      </w:pPr>
      <w:r>
        <w:t xml:space="preserve">Um parente na clínica: fosgonimetona</w:t>
      </w:r>
    </w:p>
    <w:p>
      <w:pPr>
        <w:pStyle w:val="FirstParagraph"/>
      </w:pPr>
      <w:r>
        <w:t xml:space="preserve">Revelador é o destino de outra substância que surgiu da mesma abordagem de pesquisa – o reforço do sistema HGF/c-Met. A empresa Athira Pharma desenvolveu a fosgonimetona (ATH-1017), uma molécula quimicamente diferente que também influenciaria positivamente o HGF/c-Met. A fosgonimetona foi – ao contrário do Dihexa – testada em estudos clínicos regulares: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Fase 1 (Hua 2022), PMID 35180125</w:t>
            </w:r>
          </w:p>
        </w:tc>
        <w:tc>
          <w:tcPr/>
          <w:p>
            <w:pPr>
              <w:pStyle w:val="Compact"/>
              <w:jc w:val="left"/>
            </w:pPr>
            <w:r>
              <w:t xml:space="preserve">88 pessoas (saudáveis e 11 pessoas com Alzheimer), duplo-cego contra placebo</w:t>
            </w:r>
          </w:p>
        </w:tc>
        <w:tc>
          <w:tcPr/>
          <w:p>
            <w:pPr>
              <w:pStyle w:val="Compact"/>
              <w:jc w:val="left"/>
            </w:pPr>
            <w:r>
              <w:t xml:space="preserve">até 9 dias</w:t>
            </w:r>
          </w:p>
        </w:tc>
        <w:tc>
          <w:tcPr/>
          <w:p>
            <w:pPr>
              <w:pStyle w:val="Compact"/>
              <w:jc w:val="left"/>
            </w:pPr>
            <w:r>
              <w:t xml:space="preserve">bem tolerada; alterações no EEG como indício de penetração cerebral</w:t>
            </w:r>
          </w:p>
        </w:tc>
      </w:tr>
      <w:tr>
        <w:tc>
          <w:tcPr/>
          <w:p>
            <w:pPr>
              <w:pStyle w:val="Compact"/>
              <w:jc w:val="left"/>
            </w:pPr>
            <w:r>
              <w:t xml:space="preserve">LIFT-AD (Porsteinsson 2025), PMID 41393340</w:t>
            </w:r>
          </w:p>
        </w:tc>
        <w:tc>
          <w:tcPr/>
          <w:p>
            <w:pPr>
              <w:pStyle w:val="Compact"/>
              <w:jc w:val="left"/>
            </w:pPr>
            <w:r>
              <w:t xml:space="preserve">287 pessoas com doença de Alzheimer leve a moderada na análise principal, fase 2/3 contra placebo</w:t>
            </w:r>
          </w:p>
        </w:tc>
        <w:tc>
          <w:tcPr/>
          <w:p>
            <w:pPr>
              <w:pStyle w:val="Compact"/>
              <w:jc w:val="left"/>
            </w:pPr>
            <w:r>
              <w:t xml:space="preserve">26 semanas</w:t>
            </w:r>
          </w:p>
        </w:tc>
        <w:tc>
          <w:tcPr/>
          <w:p>
            <w:pPr>
              <w:pStyle w:val="Compact"/>
              <w:jc w:val="left"/>
            </w:pPr>
            <w:r>
              <w:t xml:space="preserve">desfechos principais e secundários não atingidos; mais interrupções do tratamento por efeitos colaterais (14,2% vs. 4,6%)</w:t>
            </w:r>
          </w:p>
        </w:tc>
      </w:tr>
    </w:tbl>
    <w:p>
      <w:pPr>
        <w:pStyle w:val="BodyText"/>
      </w:pPr>
      <w:r>
        <w:t xml:space="preserve">No LIFT-AD</w:t>
      </w:r>
      <w:r>
        <w:rPr>
          <w:rStyle w:val="FootnoteReference"/>
        </w:rPr>
        <w:footnoteReference w:id="1717"/>
      </w:r>
      <w:r>
        <w:t xml:space="preserve">, a fosgonimetona não diferiu significativamente do placebo nem no desfecho principal combinado nem em escalas de memória ou de atividades diárias. Eventos adversos graves foram equilibrados (4,2% frente a 6,9%); interrupções do tratamento por efeitos colaterais – sobretudo reações no local da injeção – foram mais frequentes com fosgonimetona</w:t>
      </w:r>
      <w:r>
        <w:rPr>
          <w:rStyle w:val="FootnoteReference"/>
        </w:rPr>
        <w:footnoteReference w:id="1718"/>
      </w:r>
      <w:r>
        <w:t xml:space="preserve">. Um estudo em demência da doença de Parkinson e demência com corpos de Lewy foi encerrado antecipadamente</w:t>
      </w:r>
      <w:r>
        <w:rPr>
          <w:rStyle w:val="FootnoteReference"/>
        </w:rPr>
        <w:footnoteReference w:id="1719"/>
      </w:r>
      <w:r>
        <w:t xml:space="preserve">.</w:t>
      </w:r>
    </w:p>
    <w:p>
      <w:pPr>
        <w:pStyle w:val="BodyText"/>
      </w:pPr>
      <w:r>
        <w:t xml:space="preserve">Isso não prova que o Dihexa seja ineficaz – trata-se de outra substância. Mas mostra o quão pouco melhoras de memória em ratos se transferem para pessoas com demência.</w:t>
      </w:r>
    </w:p>
    <w:bookmarkEnd w:id="1720"/>
    <w:bookmarkEnd w:id="1721"/>
    <w:bookmarkStart w:id="1728" w:name="estudos-em-animais-e-em-laboratório-37"/>
    <w:p>
      <w:pPr>
        <w:pStyle w:val="Heading3"/>
      </w:pPr>
      <w:r>
        <w:t xml:space="preserve">Estudos em animais e em laboratório</w:t>
      </w:r>
    </w:p>
    <w:p>
      <w:pPr>
        <w:numPr>
          <w:ilvl w:val="0"/>
          <w:numId w:val="1209"/>
        </w:numPr>
        <w:pStyle w:val="Compact"/>
      </w:pPr>
      <w:r>
        <w:t xml:space="preserve">Em ratos com distúrbio de memória por escopolamina e em ratos idosos, o Dihexa melhorou o aprendizado espacial e favoreceu a formação de sinapses</w:t>
      </w:r>
      <w:r>
        <w:rPr>
          <w:rStyle w:val="FootnoteReference"/>
        </w:rPr>
        <w:footnoteReference w:id="1722"/>
      </w:r>
      <w:r>
        <w:t xml:space="preserve">.</w:t>
      </w:r>
    </w:p>
    <w:p>
      <w:pPr>
        <w:numPr>
          <w:ilvl w:val="0"/>
          <w:numId w:val="1209"/>
        </w:numPr>
        <w:pStyle w:val="Compact"/>
      </w:pPr>
      <w:r>
        <w:t xml:space="preserve">Em camundongos modelo de Alzheimer (APP/PS1), o Dihexa melhorou o aprendizado no labirinto aquático e reduziu sinais de inflamação no cérebro</w:t>
      </w:r>
      <w:r>
        <w:rPr>
          <w:rStyle w:val="FootnoteReference"/>
        </w:rPr>
        <w:footnoteReference w:id="1723"/>
      </w:r>
      <w:r>
        <w:t xml:space="preserve">.</w:t>
      </w:r>
    </w:p>
    <w:p>
      <w:pPr>
        <w:numPr>
          <w:ilvl w:val="0"/>
          <w:numId w:val="1209"/>
        </w:numPr>
        <w:pStyle w:val="Compact"/>
      </w:pPr>
      <w:r>
        <w:t xml:space="preserve">Em um modelo de rato da doença de Huntington, o Dihexa</w:t>
      </w:r>
      <w:r>
        <w:t xml:space="preserve"> </w:t>
      </w:r>
      <w:r>
        <w:rPr>
          <w:bCs/>
          <w:b/>
        </w:rPr>
        <w:t xml:space="preserve">não</w:t>
      </w:r>
      <w:r>
        <w:t xml:space="preserve"> </w:t>
      </w:r>
      <w:r>
        <w:t xml:space="preserve">protegeu contra os déficits</w:t>
      </w:r>
      <w:r>
        <w:rPr>
          <w:rStyle w:val="FootnoteReference"/>
        </w:rPr>
        <w:footnoteReference w:id="1724"/>
      </w:r>
      <w:r>
        <w:t xml:space="preserve">.</w:t>
      </w:r>
    </w:p>
    <w:p>
      <w:pPr>
        <w:numPr>
          <w:ilvl w:val="0"/>
          <w:numId w:val="1209"/>
        </w:numPr>
        <w:pStyle w:val="Compact"/>
      </w:pPr>
      <w:r>
        <w:t xml:space="preserve">Em larvas de peixe-zebra, o Dihexa protegeu células ciliadas sensoriais contra danos causados por determinados antibióticos</w:t>
      </w:r>
      <w:r>
        <w:rPr>
          <w:rStyle w:val="FootnoteReference"/>
        </w:rPr>
        <w:footnoteReference w:id="1725"/>
      </w:r>
      <w:r>
        <w:t xml:space="preserve">.</w:t>
      </w:r>
    </w:p>
    <w:p>
      <w:pPr>
        <w:numPr>
          <w:ilvl w:val="0"/>
          <w:numId w:val="1209"/>
        </w:numPr>
        <w:pStyle w:val="Compact"/>
      </w:pPr>
      <w:r>
        <w:t xml:space="preserve">Na pesquisa com células-tronco, o Dihexa é usado como substituto barato de fatores de crescimento na produção de células semelhantes a hepatócitos</w:t>
      </w:r>
      <w:r>
        <w:rPr>
          <w:rStyle w:val="FootnoteReference"/>
        </w:rPr>
        <w:footnoteReference w:id="1726"/>
      </w:r>
      <w:r>
        <w:t xml:space="preserve"> </w:t>
      </w:r>
      <w:r>
        <w:t xml:space="preserve">– um indício de quão amplamente o sistema HGF age no organismo.</w:t>
      </w:r>
    </w:p>
    <w:p>
      <w:pPr>
        <w:pStyle w:val="FirstParagraph"/>
      </w:pPr>
      <w:r>
        <w:t xml:space="preserve">Uma revisão sistemática sobre derivados da angiotensina IV encontrou efeitos favoráveis em oito de nove estudos animais sobre distúrbios de memória, mas ressalta que as substâncias funcionaram melhor quando administradas diretamente no cérebro</w:t>
      </w:r>
      <w:r>
        <w:rPr>
          <w:rStyle w:val="FootnoteReference"/>
        </w:rPr>
        <w:footnoteReference w:id="1727"/>
      </w:r>
      <w:r>
        <w:t xml:space="preserve">.</w:t>
      </w:r>
    </w:p>
    <w:bookmarkEnd w:id="1728"/>
    <w:bookmarkStart w:id="1730" w:name="riscos-e-efeitos-colaterais-37"/>
    <w:p>
      <w:pPr>
        <w:pStyle w:val="Heading3"/>
      </w:pPr>
      <w:r>
        <w:t xml:space="preserve">Riscos e efeitos colaterais</w:t>
      </w:r>
    </w:p>
    <w:p>
      <w:pPr>
        <w:pStyle w:val="FirstParagraph"/>
      </w:pPr>
      <w:r>
        <w:rPr>
          <w:bCs/>
          <w:b/>
        </w:rPr>
        <w:t xml:space="preserve">Comprovado:</w:t>
      </w:r>
      <w:r>
        <w:t xml:space="preserve"> </w:t>
      </w:r>
      <w:r>
        <w:t xml:space="preserve">não há dados de segurança publicados em humanos – nem de estudos, nem de relatos de caso.</w:t>
      </w:r>
    </w:p>
    <w:p>
      <w:pPr>
        <w:pStyle w:val="BodyText"/>
      </w:pPr>
      <w:r>
        <w:rPr>
          <w:bCs/>
          <w:b/>
        </w:rPr>
        <w:t xml:space="preserve">Teórico – e a ser levado a sério:</w:t>
      </w:r>
      <w:r>
        <w:t xml:space="preserve"> </w:t>
      </w:r>
      <w:r>
        <w:t xml:space="preserve">o sistema HGF/c-Met não é importante apenas para neurônios. A ativação do c-Met estimula divisão celular, migração celular e remodelação tecidual</w:t>
      </w:r>
      <w:r>
        <w:rPr>
          <w:rStyle w:val="FootnoteReference"/>
        </w:rPr>
        <w:footnoteReference w:id="1729"/>
      </w:r>
      <w:r>
        <w:t xml:space="preserve">. Na pesquisa sobre câncer, o c-Met é conhecido como impulsionador do crescimento e da disseminação de diversos tumores; vários medicamentos oncológicos aprovados bloqueiam justamente esse receptor. Uma substância que reforça continuamente esse sinal poderia, teoricamente, favorecer o crescimento de tumores não detectados. Se isso ocorre com o Dihexa nunca foi estudado – não há estudos de toxicidade de longo prazo publicamente acessíveis. (Mais sobre sinais de crescimento e risco de câncer na Parte IV.)</w:t>
      </w:r>
    </w:p>
    <w:p>
      <w:pPr>
        <w:pStyle w:val="BodyText"/>
      </w:pPr>
      <w:r>
        <w:rPr>
          <w:bCs/>
          <w:b/>
        </w:rPr>
        <w:t xml:space="preserve">Mercado cinza:</w:t>
      </w:r>
      <w:r>
        <w:t xml:space="preserve"> </w:t>
      </w:r>
      <w:r>
        <w:t xml:space="preserve">o Dihexa é vendido online como pó, cápsulas ou solução, em parte para ingestão, em parte para aplicação na pele. Teor e pureza não são verificados.</w:t>
      </w:r>
    </w:p>
    <w:bookmarkEnd w:id="1730"/>
    <w:bookmarkStart w:id="1731" w:name="situação-legal-37"/>
    <w:p>
      <w:pPr>
        <w:pStyle w:val="Heading3"/>
      </w:pPr>
      <w:r>
        <w:t xml:space="preserve">Situação legal</w:t>
      </w:r>
    </w:p>
    <w:p>
      <w:pPr>
        <w:numPr>
          <w:ilvl w:val="0"/>
          <w:numId w:val="1210"/>
        </w:numPr>
        <w:pStyle w:val="Compact"/>
      </w:pPr>
      <w:r>
        <w:rPr>
          <w:bCs/>
          <w:b/>
        </w:rPr>
        <w:t xml:space="preserve">UE / Áustria / Alemanha:</w:t>
      </w:r>
      <w:r>
        <w:t xml:space="preserve"> </w:t>
      </w:r>
      <w:r>
        <w:t xml:space="preserve">não aprovado. Como substância com efeito farmacológico, o Dihexa é considerado medicamento; a venda para uso em humanos não é permitida. A rotulagem</w:t>
      </w:r>
      <w:r>
        <w:t xml:space="preserve"> </w:t>
      </w:r>
      <w:r>
        <w:t xml:space="preserve">“</w:t>
      </w:r>
      <w:r>
        <w:t xml:space="preserve">apenas para fins de pesquisa</w:t>
      </w:r>
      <w:r>
        <w:t xml:space="preserve">”</w:t>
      </w:r>
      <w:r>
        <w:t xml:space="preserve"> </w:t>
      </w:r>
      <w:r>
        <w:t xml:space="preserve">não muda isso.</w:t>
      </w:r>
    </w:p>
    <w:p>
      <w:pPr>
        <w:numPr>
          <w:ilvl w:val="0"/>
          <w:numId w:val="1210"/>
        </w:numPr>
        <w:pStyle w:val="Compact"/>
      </w:pPr>
      <w:r>
        <w:rPr>
          <w:bCs/>
          <w:b/>
        </w:rPr>
        <w:t xml:space="preserve">EUA:</w:t>
      </w:r>
      <w:r>
        <w:t xml:space="preserve"> </w:t>
      </w:r>
      <w:r>
        <w:t xml:space="preserve">não aprovado. Desde abril de 2026 não está mais na</w:t>
      </w:r>
      <w:r>
        <w:t xml:space="preserve"> </w:t>
      </w:r>
      <w:r>
        <w:t xml:space="preserve">“</w:t>
      </w:r>
      <w:r>
        <w:t xml:space="preserve">categoria 2</w:t>
      </w:r>
      <w:r>
        <w:t xml:space="preserve">”</w:t>
      </w:r>
      <w:r>
        <w:t xml:space="preserve"> </w:t>
      </w:r>
      <w:r>
        <w:t xml:space="preserve">da FDA; sobre uma possível inclusão na lista de substâncias permitidas para manipulação, o comitê consultivo PCAC ainda não havia deliberado até outubro de 2026 (situação em outubro de 2026, verificar atualização).</w:t>
      </w:r>
    </w:p>
    <w:p>
      <w:pPr>
        <w:numPr>
          <w:ilvl w:val="0"/>
          <w:numId w:val="1210"/>
        </w:numPr>
        <w:pStyle w:val="Compact"/>
      </w:pPr>
      <w:r>
        <w:rPr>
          <w:bCs/>
          <w:b/>
        </w:rPr>
        <w:t xml:space="preserve">Esporte:</w:t>
      </w:r>
      <w:r>
        <w:t xml:space="preserve"> </w:t>
      </w:r>
      <w:r>
        <w:t xml:space="preserve">como substância não aprovada, enquadra-se, em nossa avaliação, na categoria S0 da WADA (situação em 2026, verificar atualização).</w:t>
      </w:r>
    </w:p>
    <w:bookmarkEnd w:id="1731"/>
    <w:bookmarkStart w:id="1732" w:name="estudos-em-andamento-e-perspectivas-37"/>
    <w:p>
      <w:pPr>
        <w:pStyle w:val="Heading3"/>
      </w:pPr>
      <w:r>
        <w:t xml:space="preserve">Estudos em andamento e perspectivas</w:t>
      </w:r>
    </w:p>
    <w:p>
      <w:pPr>
        <w:pStyle w:val="FirstParagraph"/>
      </w:pPr>
      <w:r>
        <w:rPr>
          <w:bCs/>
          <w:b/>
        </w:rPr>
        <w:t xml:space="preserve">Comprovado:</w:t>
      </w:r>
      <w:r>
        <w:t xml:space="preserve"> </w:t>
      </w:r>
      <w:r>
        <w:t xml:space="preserve">para o Dihexa não há estudo clínico registrado (consulta de outubro de 2026). A abordagem relacionada, fosgonimetona, fracassou no estudo de Alzheimer LIFT-AD.</w:t>
      </w:r>
    </w:p>
    <w:p>
      <w:pPr>
        <w:pStyle w:val="BodyText"/>
      </w:pPr>
      <w:r>
        <w:rPr>
          <w:bCs/>
          <w:b/>
        </w:rPr>
        <w:t xml:space="preserve">Avaliação:</w:t>
      </w:r>
      <w:r>
        <w:t xml:space="preserve"> </w:t>
      </w:r>
      <w:r>
        <w:t xml:space="preserve">sem dados de toxicidade e sem um primeiro estudo em humanos, o Dihexa continua sendo uma substância de laboratório. Se a deliberação anunciada do PCAC nos EUA mudará algo é incerto – ela afetaria, quando muito, preparações de farmácia, não a falta de comprovação de eficácia.</w:t>
      </w:r>
    </w:p>
    <w:bookmarkEnd w:id="1732"/>
    <w:bookmarkStart w:id="1733" w:name="conclusão-37"/>
    <w:p>
      <w:pPr>
        <w:pStyle w:val="Heading3"/>
      </w:pPr>
      <w:r>
        <w:t xml:space="preserve">Conclusão</w:t>
      </w:r>
    </w:p>
    <w:p>
      <w:pPr>
        <w:pStyle w:val="FirstParagraph"/>
      </w:pPr>
      <w:r>
        <w:t xml:space="preserve">O Dihexa é um derivado quimicamente estabilizado da angiotensina IV que, em ratos e camundongos, favoreceu o aprendizado e a formação de sinapses, mediado pelo sistema de fator de crescimento HGF/c-Met. Nunca foi estudado em humanos; uma substância relacionada (fosgonimetona) não atingiu nenhum desfecho em um estudo de Alzheimer com 287 pessoas. Como o c-Met também impulsiona o crescimento de tumores, existe uma preocupação plausível, mas não verificada, quanto ao câncer. Os dados não são suficientes para avaliar qualquer benefício ou a segurança em humanos.</w:t>
      </w:r>
    </w:p>
    <w:bookmarkEnd w:id="1733"/>
    <w:bookmarkEnd w:id="1734"/>
    <w:bookmarkStart w:id="1766" w:name="dsip-peptídeo-indutor-do-sono-delta"/>
    <w:p>
      <w:pPr>
        <w:pStyle w:val="Heading2"/>
      </w:pPr>
      <w:r>
        <w:t xml:space="preserve">DSIP (peptídeo indutor do sono delta)</w:t>
      </w:r>
    </w:p>
    <w:bookmarkStart w:id="1735" w:name="ficha-técnica-38"/>
    <w:p>
      <w:pPr>
        <w:pStyle w:val="Heading3"/>
      </w:pPr>
      <w:r>
        <w:t xml:space="preserve">Ficha técnica</w:t>
      </w:r>
    </w:p>
    <w:p>
      <w:pPr>
        <w:numPr>
          <w:ilvl w:val="0"/>
          <w:numId w:val="1211"/>
        </w:numPr>
        <w:pStyle w:val="Compact"/>
      </w:pPr>
      <w:r>
        <w:rPr>
          <w:bCs/>
          <w:b/>
        </w:rPr>
        <w:t xml:space="preserve">Tipo e estrutura:</w:t>
      </w:r>
      <w:r>
        <w:t xml:space="preserve"> </w:t>
      </w:r>
      <w:r>
        <w:t xml:space="preserve">nonapeptídeo de nove aminoácidos (Trp-Ala-Gly-Gly-Asp-Ala-Ser-Gly-Glu); denominação internacional emideltida.</w:t>
      </w:r>
    </w:p>
    <w:p>
      <w:pPr>
        <w:numPr>
          <w:ilvl w:val="0"/>
          <w:numId w:val="1211"/>
        </w:numPr>
        <w:pStyle w:val="Compact"/>
      </w:pPr>
      <w:r>
        <w:rPr>
          <w:bCs/>
          <w:b/>
        </w:rPr>
        <w:t xml:space="preserve">Origem:</w:t>
      </w:r>
      <w:r>
        <w:t xml:space="preserve"> </w:t>
      </w:r>
      <w:r>
        <w:t xml:space="preserve">isolado em 1977 por um grupo de trabalho de Basileia a partir do sangue venoso cerebral de coelhos que haviam sido colocados em sono profundo por estimulação elétrica. Um gene, uma proteína precursora ou um receptor para o DSIP não foram encontrados até hoje.</w:t>
      </w:r>
    </w:p>
    <w:p>
      <w:pPr>
        <w:numPr>
          <w:ilvl w:val="0"/>
          <w:numId w:val="1211"/>
        </w:numPr>
        <w:pStyle w:val="Compact"/>
      </w:pPr>
      <w:r>
        <w:rPr>
          <w:bCs/>
          <w:b/>
        </w:rPr>
        <w:t xml:space="preserve">Princípio de ação:</w:t>
      </w:r>
      <w:r>
        <w:t xml:space="preserve"> </w:t>
      </w:r>
      <w:r>
        <w:t xml:space="preserve">deveria, como</w:t>
      </w:r>
      <w:r>
        <w:t xml:space="preserve"> </w:t>
      </w:r>
      <w:r>
        <w:t xml:space="preserve">“</w:t>
      </w:r>
      <w:r>
        <w:t xml:space="preserve">substância do sono</w:t>
      </w:r>
      <w:r>
        <w:t xml:space="preserve">”</w:t>
      </w:r>
      <w:r>
        <w:t xml:space="preserve"> </w:t>
      </w:r>
      <w:r>
        <w:t xml:space="preserve">do próprio organismo, favorecer o sono profundo (sono delta, com ondas lentas no EEG); mais tarde, supuseram-se influências sobre hormônios do estresse, dor e sintomas de abstinência.</w:t>
      </w:r>
    </w:p>
    <w:p>
      <w:pPr>
        <w:numPr>
          <w:ilvl w:val="0"/>
          <w:numId w:val="1211"/>
        </w:numPr>
        <w:pStyle w:val="Compact"/>
      </w:pPr>
      <w:r>
        <w:rPr>
          <w:bCs/>
          <w:b/>
        </w:rPr>
        <w:t xml:space="preserve">Aprovação UE:</w:t>
      </w:r>
      <w:r>
        <w:t xml:space="preserve"> </w:t>
      </w:r>
      <w:r>
        <w:t xml:space="preserve">não.</w:t>
      </w:r>
    </w:p>
    <w:p>
      <w:pPr>
        <w:numPr>
          <w:ilvl w:val="0"/>
          <w:numId w:val="1211"/>
        </w:numPr>
        <w:pStyle w:val="Compact"/>
      </w:pPr>
      <w:r>
        <w:rPr>
          <w:bCs/>
          <w:b/>
        </w:rPr>
        <w:t xml:space="preserve">Aprovação EUA:</w:t>
      </w:r>
      <w:r>
        <w:t xml:space="preserve"> </w:t>
      </w:r>
      <w:r>
        <w:t xml:space="preserve">não. A emideltida foi retirada da</w:t>
      </w:r>
      <w:r>
        <w:t xml:space="preserve"> </w:t>
      </w:r>
      <w:r>
        <w:t xml:space="preserve">“</w:t>
      </w:r>
      <w:r>
        <w:t xml:space="preserve">categoria 2</w:t>
      </w:r>
      <w:r>
        <w:t xml:space="preserve">”</w:t>
      </w:r>
      <w:r>
        <w:t xml:space="preserve"> </w:t>
      </w:r>
      <w:r>
        <w:t xml:space="preserve">da FDA em abril de 2026; o comitê consultivo PCAC votou em julho de 2026, por 6 a 7,</w:t>
      </w:r>
      <w:r>
        <w:t xml:space="preserve"> </w:t>
      </w:r>
      <w:r>
        <w:rPr>
          <w:bCs/>
          <w:b/>
        </w:rPr>
        <w:t xml:space="preserve">contra</w:t>
      </w:r>
      <w:r>
        <w:t xml:space="preserve"> </w:t>
      </w:r>
      <w:r>
        <w:t xml:space="preserve">a inclusão na lista de substâncias permitidas para manipulação (situação em outubro de 2026, verificar atualização).</w:t>
      </w:r>
    </w:p>
    <w:p>
      <w:pPr>
        <w:numPr>
          <w:ilvl w:val="0"/>
          <w:numId w:val="1211"/>
        </w:numPr>
        <w:pStyle w:val="Compact"/>
      </w:pPr>
      <w:r>
        <w:rPr>
          <w:bCs/>
          <w:b/>
        </w:rPr>
        <w:t xml:space="preserve">Rússia e países vizinhos:</w:t>
      </w:r>
      <w:r>
        <w:t xml:space="preserve"> </w:t>
      </w:r>
      <w:r>
        <w:t xml:space="preserve">preparados de DSIP (p. ex. Deltaran, Deltalicin) foram usados ali em estudos e na prática.</w:t>
      </w:r>
    </w:p>
    <w:p>
      <w:pPr>
        <w:numPr>
          <w:ilvl w:val="0"/>
          <w:numId w:val="1211"/>
        </w:numPr>
        <w:pStyle w:val="Compact"/>
      </w:pPr>
      <w:r>
        <w:rPr>
          <w:bCs/>
          <w:b/>
        </w:rPr>
        <w:t xml:space="preserve">WADA:</w:t>
      </w:r>
      <w:r>
        <w:t xml:space="preserve"> </w:t>
      </w:r>
      <w:r>
        <w:t xml:space="preserve">não listado nominalmente.</w:t>
      </w:r>
    </w:p>
    <w:p>
      <w:pPr>
        <w:numPr>
          <w:ilvl w:val="0"/>
          <w:numId w:val="1211"/>
        </w:numPr>
        <w:pStyle w:val="Compact"/>
      </w:pPr>
      <w:r>
        <w:rPr>
          <w:bCs/>
          <w:b/>
        </w:rPr>
        <w:t xml:space="preserve">Nível de evidência:</w:t>
      </w:r>
      <w:r>
        <w:t xml:space="preserve"> </w:t>
      </w:r>
      <w:r>
        <w:rPr>
          <w:bCs/>
          <w:b/>
        </w:rPr>
        <w:t xml:space="preserve">C</w:t>
      </w:r>
      <w:r>
        <w:t xml:space="preserve"> </w:t>
      </w:r>
      <w:r>
        <w:t xml:space="preserve">– apenas estudos muito pequenos, realizados predominantemente nos anos 1980; os metodologicamente melhores não encontraram benefício clinicamente relevante.</w:t>
      </w:r>
    </w:p>
    <w:bookmarkEnd w:id="1735"/>
    <w:bookmarkStart w:id="1739" w:name="como-deveria-agir-38"/>
    <w:p>
      <w:pPr>
        <w:pStyle w:val="Heading3"/>
      </w:pPr>
      <w:r>
        <w:t xml:space="preserve">Como deveria agir</w:t>
      </w:r>
    </w:p>
    <w:p>
      <w:pPr>
        <w:pStyle w:val="FirstParagraph"/>
      </w:pPr>
      <w:r>
        <w:t xml:space="preserve">A ideia era simples e atraente: se o cérebro, durante o sono, libera no sangue uma substância que induz sono em outros animais, ela poderia ser um sonífero natural – sem as desvantagens dos calmantes. Os pesquisadores de Basileia transferiram sangue de coelhos adormecidos para animais acordados e isolaram dele o peptídeo que consideravam responsável pelo efeito</w:t>
      </w:r>
      <w:r>
        <w:rPr>
          <w:rStyle w:val="FootnoteReference"/>
        </w:rPr>
        <w:footnoteReference w:id="1736"/>
      </w:r>
      <w:r>
        <w:t xml:space="preserve">.</w:t>
      </w:r>
    </w:p>
    <w:p>
      <w:pPr>
        <w:pStyle w:val="BodyText"/>
      </w:pPr>
      <w:r>
        <w:t xml:space="preserve">A esperança não se confirmou. Um artigo de revisão de 2006 chama o DSIP de</w:t>
      </w:r>
      <w:r>
        <w:t xml:space="preserve"> </w:t>
      </w:r>
      <w:r>
        <w:t xml:space="preserve">“</w:t>
      </w:r>
      <w:r>
        <w:t xml:space="preserve">enigma ainda não resolvido</w:t>
      </w:r>
      <w:r>
        <w:t xml:space="preserve">”</w:t>
      </w:r>
      <w:r>
        <w:t xml:space="preserve">: a relação com o sono seria</w:t>
      </w:r>
      <w:r>
        <w:t xml:space="preserve"> </w:t>
      </w:r>
      <w:r>
        <w:t xml:space="preserve">“</w:t>
      </w:r>
      <w:r>
        <w:t xml:space="preserve">extremamente mal documentada</w:t>
      </w:r>
      <w:r>
        <w:t xml:space="preserve">”</w:t>
      </w:r>
      <w:r>
        <w:t xml:space="preserve">, porque nem o gene correspondente nem um receptor foram encontrados. Em experimentos com animais, determinadas modificações artificiais favoreceram o sono profundo mais do que o próprio DSIP. Os autores supõem que um peptídeo semelhante ao DSIP, até agora desconhecido, poderia ser responsável pelos efeitos observados</w:t>
      </w:r>
      <w:r>
        <w:rPr>
          <w:rStyle w:val="FootnoteReference"/>
        </w:rPr>
        <w:footnoteReference w:id="1737"/>
      </w:r>
      <w:r>
        <w:t xml:space="preserve">.</w:t>
      </w:r>
    </w:p>
    <w:p>
      <w:pPr>
        <w:pStyle w:val="BodyText"/>
      </w:pPr>
      <w:r>
        <w:t xml:space="preserve">Outros efeitos supostos – sobre hormônios do estresse, percepção da dor, sistema opioide e enzimas antioxidantes – vêm predominantemente de experimentos com animais. Em ovelhas, DSIP marcado atravessou a barreira entre sangue e líquido cefalorraquidiano em grau pequeno a moderado</w:t>
      </w:r>
      <w:r>
        <w:rPr>
          <w:rStyle w:val="FootnoteReference"/>
        </w:rPr>
        <w:footnoteReference w:id="1738"/>
      </w:r>
      <w:r>
        <w:t xml:space="preserve">.</w:t>
      </w:r>
    </w:p>
    <w:bookmarkEnd w:id="1739"/>
    <w:bookmarkStart w:id="1756" w:name="estudos-em-humanos-38"/>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 resultou em 18 publicações classificadas como estudos em humanos; uma delas, em exame mais detalhado, trata de outro tema (cirurgia da coluna). Quase todas são de 1981 a 1998 e tinham entre 1 e 16 participantes nas partes controladas por placebo. No ClinicalTrials.gov, a busca resultou em uma ocorrência que não se refere ao DSIP; não há estudo registrado com DSIP.</w:t>
      </w:r>
    </w:p>
    <w:bookmarkStart w:id="1744" w:name="distúrbios-do-sono"/>
    <w:p>
      <w:pPr>
        <w:pStyle w:val="Heading4"/>
      </w:pPr>
      <w:r>
        <w:t xml:space="preserve">Distúrbios do sono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Schneider-Helmert 1981, PMID 6895513</w:t>
            </w:r>
          </w:p>
        </w:tc>
        <w:tc>
          <w:tcPr/>
          <w:p>
            <w:pPr>
              <w:pStyle w:val="Compact"/>
              <w:jc w:val="left"/>
            </w:pPr>
            <w:r>
              <w:t xml:space="preserve">6 saudáveis, duplo-cego, cruzado contra placebo</w:t>
            </w:r>
          </w:p>
        </w:tc>
        <w:tc>
          <w:tcPr/>
          <w:p>
            <w:pPr>
              <w:pStyle w:val="Compact"/>
              <w:jc w:val="left"/>
            </w:pPr>
            <w:r>
              <w:t xml:space="preserve">infusão única</w:t>
            </w:r>
          </w:p>
        </w:tc>
        <w:tc>
          <w:tcPr/>
          <w:p>
            <w:pPr>
              <w:pStyle w:val="Compact"/>
              <w:jc w:val="left"/>
            </w:pPr>
            <w:r>
              <w:t xml:space="preserve">tempo de sono 59% maior em 130 minutos; nenhuma sedação clássica</w:t>
            </w:r>
          </w:p>
        </w:tc>
      </w:tr>
      <w:tr>
        <w:tc>
          <w:tcPr/>
          <w:p>
            <w:pPr>
              <w:pStyle w:val="Compact"/>
              <w:jc w:val="left"/>
            </w:pPr>
            <w:r>
              <w:t xml:space="preserve">Schneider-Helmert 1981, PMID 7028502</w:t>
            </w:r>
          </w:p>
        </w:tc>
        <w:tc>
          <w:tcPr/>
          <w:p>
            <w:pPr>
              <w:pStyle w:val="Compact"/>
              <w:jc w:val="left"/>
            </w:pPr>
            <w:r>
              <w:t xml:space="preserve">6 pessoas com insônia crônica</w:t>
            </w:r>
          </w:p>
        </w:tc>
        <w:tc>
          <w:tcPr/>
          <w:p>
            <w:pPr>
              <w:pStyle w:val="Compact"/>
              <w:jc w:val="left"/>
            </w:pPr>
            <w:r>
              <w:t xml:space="preserve">administração única</w:t>
            </w:r>
          </w:p>
        </w:tc>
        <w:tc>
          <w:tcPr/>
          <w:p>
            <w:pPr>
              <w:pStyle w:val="Compact"/>
              <w:jc w:val="left"/>
            </w:pPr>
            <w:r>
              <w:t xml:space="preserve">sono mais longo e menos interrompido</w:t>
            </w:r>
          </w:p>
        </w:tc>
      </w:tr>
      <w:tr>
        <w:tc>
          <w:tcPr/>
          <w:p>
            <w:pPr>
              <w:pStyle w:val="Compact"/>
              <w:jc w:val="left"/>
            </w:pPr>
            <w:r>
              <w:t xml:space="preserve">Schneider-Helmert 1987, PMID 3622582</w:t>
            </w:r>
          </w:p>
        </w:tc>
        <w:tc>
          <w:tcPr/>
          <w:p>
            <w:pPr>
              <w:pStyle w:val="Compact"/>
              <w:jc w:val="left"/>
            </w:pPr>
            <w:r>
              <w:t xml:space="preserve">14 pessoas com insônia crônica grave, duplo-cego contra placebo</w:t>
            </w:r>
          </w:p>
        </w:tc>
        <w:tc>
          <w:tcPr/>
          <w:p>
            <w:pPr>
              <w:pStyle w:val="Compact"/>
              <w:jc w:val="left"/>
            </w:pPr>
            <w:r>
              <w:t xml:space="preserve">7 noites</w:t>
            </w:r>
          </w:p>
        </w:tc>
        <w:tc>
          <w:tcPr/>
          <w:p>
            <w:pPr>
              <w:pStyle w:val="Compact"/>
              <w:jc w:val="left"/>
            </w:pPr>
            <w:r>
              <w:t xml:space="preserve">eficiência do sono e desempenho diurno, segundo os autores, no nível de pessoas saudáveis</w:t>
            </w:r>
          </w:p>
        </w:tc>
      </w:tr>
      <w:tr>
        <w:tc>
          <w:tcPr/>
          <w:p>
            <w:pPr>
              <w:pStyle w:val="Compact"/>
              <w:jc w:val="left"/>
            </w:pPr>
            <w:r>
              <w:t xml:space="preserve">Monti 1987, PMID 3583493</w:t>
            </w:r>
          </w:p>
        </w:tc>
        <w:tc>
          <w:tcPr/>
          <w:p>
            <w:pPr>
              <w:pStyle w:val="Compact"/>
              <w:jc w:val="left"/>
            </w:pPr>
            <w:r>
              <w:t xml:space="preserve">pessoas com insônia crônica, duplo-cego, cruzado</w:t>
            </w:r>
          </w:p>
        </w:tc>
        <w:tc>
          <w:tcPr/>
          <w:p>
            <w:pPr>
              <w:pStyle w:val="Compact"/>
              <w:jc w:val="left"/>
            </w:pPr>
            <w:r>
              <w:t xml:space="preserve">4 noites</w:t>
            </w:r>
          </w:p>
        </w:tc>
        <w:tc>
          <w:tcPr/>
          <w:p>
            <w:pPr>
              <w:pStyle w:val="Compact"/>
              <w:jc w:val="left"/>
            </w:pPr>
            <w:r>
              <w:t xml:space="preserve">melhoras</w:t>
            </w:r>
            <w:r>
              <w:t xml:space="preserve"> </w:t>
            </w:r>
            <w:r>
              <w:t xml:space="preserve">“</w:t>
            </w:r>
            <w:r>
              <w:t xml:space="preserve">de pouca relevância clínica</w:t>
            </w:r>
            <w:r>
              <w:t xml:space="preserve">”</w:t>
            </w:r>
            <w:r>
              <w:t xml:space="preserve">; diferenças já existiam antes do tratamento</w:t>
            </w:r>
          </w:p>
        </w:tc>
      </w:tr>
      <w:tr>
        <w:tc>
          <w:tcPr/>
          <w:p>
            <w:pPr>
              <w:pStyle w:val="Compact"/>
              <w:jc w:val="left"/>
            </w:pPr>
            <w:r>
              <w:t xml:space="preserve">Bes 1992, PMID 1299794</w:t>
            </w:r>
          </w:p>
        </w:tc>
        <w:tc>
          <w:tcPr/>
          <w:p>
            <w:pPr>
              <w:pStyle w:val="Compact"/>
              <w:jc w:val="left"/>
            </w:pPr>
            <w:r>
              <w:t xml:space="preserve">16 pessoas com insônia crônica, duplo-cego contra placebo</w:t>
            </w:r>
          </w:p>
        </w:tc>
        <w:tc>
          <w:tcPr/>
          <w:p>
            <w:pPr>
              <w:pStyle w:val="Compact"/>
              <w:jc w:val="left"/>
            </w:pPr>
            <w:r>
              <w:t xml:space="preserve">3 noites</w:t>
            </w:r>
          </w:p>
        </w:tc>
        <w:tc>
          <w:tcPr/>
          <w:p>
            <w:pPr>
              <w:pStyle w:val="Compact"/>
              <w:jc w:val="left"/>
            </w:pPr>
            <w:r>
              <w:t xml:space="preserve">efeitos fracos, em parte explicáveis por flutuação aleatória;</w:t>
            </w:r>
            <w:r>
              <w:t xml:space="preserve"> </w:t>
            </w:r>
            <w:r>
              <w:t xml:space="preserve">“</w:t>
            </w:r>
            <w:r>
              <w:t xml:space="preserve">nenhum benefício terapêutico maior</w:t>
            </w:r>
            <w:r>
              <w:t xml:space="preserve">”</w:t>
            </w:r>
          </w:p>
        </w:tc>
      </w:tr>
    </w:tbl>
    <w:p>
      <w:pPr>
        <w:pStyle w:val="BodyText"/>
      </w:pPr>
      <w:r>
        <w:t xml:space="preserve">Os primeiros estudos vieram quase todos de um único grupo de pesquisa de Basileia e foram todos positivos. Em seis voluntários saudáveis, uma infusão matinal prolongou o tempo de sono nas pouco mais de duas horas seguintes em 59%, sem que os participantes parecessem sedados no sentido clássico</w:t>
      </w:r>
      <w:r>
        <w:rPr>
          <w:rStyle w:val="FootnoteReference"/>
        </w:rPr>
        <w:footnoteReference w:id="1740"/>
      </w:r>
      <w:r>
        <w:t xml:space="preserve">. Em 14 pessoas com insônia grave, a eficiência do sono e o desempenho diurno alcançaram, após sete noites, segundo os autores, o nível de controles saudáveis</w:t>
      </w:r>
      <w:r>
        <w:rPr>
          <w:rStyle w:val="FootnoteReference"/>
        </w:rPr>
        <w:footnoteReference w:id="1741"/>
      </w:r>
      <w:r>
        <w:t xml:space="preserve">.</w:t>
      </w:r>
    </w:p>
    <w:p>
      <w:pPr>
        <w:pStyle w:val="BodyText"/>
      </w:pPr>
      <w:r>
        <w:t xml:space="preserve">Grupos independentes não conseguiram confirmar isso. Um estudo encontrou de fato mais sono total e sono NREM, mas as diferenças significativas em relação ao placebo (sono NREM e estágio 2 do sono) já existiam antes do tratamento; os autores avaliaram a melhora como de pouca relevância clínica</w:t>
      </w:r>
      <w:r>
        <w:rPr>
          <w:rStyle w:val="FootnoteReference"/>
        </w:rPr>
        <w:footnoteReference w:id="1742"/>
      </w:r>
      <w:r>
        <w:t xml:space="preserve">. Outro estudo, com 16 pessoas, encontrou efeitos estatisticamente significativos, mas fracos, na eficiência do sono e na latência do sono, em parte explicáveis por uma alteração aleatória no grupo placebo; a qualidade subjetiva do sono não se alterou. Sua conclusão: um tratamento de curta duração com DSIP provavelmente não tem benefício terapêutico maior</w:t>
      </w:r>
      <w:r>
        <w:rPr>
          <w:rStyle w:val="FootnoteReference"/>
        </w:rPr>
        <w:footnoteReference w:id="1743"/>
      </w:r>
      <w:r>
        <w:t xml:space="preserve">.</w:t>
      </w:r>
    </w:p>
    <w:p>
      <w:pPr>
        <w:pStyle w:val="BodyText"/>
      </w:pPr>
      <w:r>
        <w:t xml:space="preserve">Esse padrão – primeiros relatos entusiasmados, repetições decepcionantes – é típico de substâncias cujo efeito se baseia em estudos muito pequenos.</w:t>
      </w:r>
    </w:p>
    <w:bookmarkEnd w:id="1744"/>
    <w:bookmarkStart w:id="1750" w:name="abstinência-dor-e-outras-aplicações"/>
    <w:p>
      <w:pPr>
        <w:pStyle w:val="Heading4"/>
      </w:pPr>
      <w:r>
        <w:t xml:space="preserve">Abstinência, dor e outras aplicações</w:t>
      </w:r>
    </w:p>
    <w:p>
      <w:pPr>
        <w:pStyle w:val="FirstParagraph"/>
      </w:pPr>
      <w:r>
        <w:t xml:space="preserve">Nos anos 1980, o DSIP foi usado em 107 pessoas internadas em abstinência de álcool ou opiáceos; segundo avaliação médica, os sintomas de abstinência desapareceram ou melhoraram claramente em 97% dos dependentes de opiáceos e 87% dos dependentes de álcool. Não havia grupo controle, e parte das pessoas não pôde ser avaliada</w:t>
      </w:r>
      <w:r>
        <w:rPr>
          <w:rStyle w:val="FootnoteReference"/>
        </w:rPr>
        <w:footnoteReference w:id="1745"/>
      </w:r>
      <w:r>
        <w:t xml:space="preserve">. Um estudo aberto posterior sobre desintoxicação de opioides foi publicado apenas como comunicação breve, sem resumo</w:t>
      </w:r>
      <w:r>
        <w:rPr>
          <w:rStyle w:val="FootnoteReference"/>
        </w:rPr>
        <w:footnoteReference w:id="1746"/>
      </w:r>
      <w:r>
        <w:t xml:space="preserve">. Outros relatos isolados se referem a sete pessoas com dor crônica</w:t>
      </w:r>
      <w:r>
        <w:rPr>
          <w:rStyle w:val="FootnoteReference"/>
        </w:rPr>
        <w:footnoteReference w:id="1747"/>
      </w:r>
      <w:r>
        <w:t xml:space="preserve"> </w:t>
      </w:r>
      <w:r>
        <w:t xml:space="preserve">e a um homem com narcolepsia</w:t>
      </w:r>
      <w:r>
        <w:rPr>
          <w:rStyle w:val="FootnoteReference"/>
        </w:rPr>
        <w:footnoteReference w:id="1748"/>
      </w:r>
      <w:r>
        <w:t xml:space="preserve">. Um estudo examinou um preparado de DSIP para administração nasal (Deltalicin) na doença diabética da retina, no qual as respostas elétricas da retina a estímulos melhoraram</w:t>
      </w:r>
      <w:r>
        <w:rPr>
          <w:rStyle w:val="FootnoteReference"/>
        </w:rPr>
        <w:footnoteReference w:id="1749"/>
      </w:r>
      <w:r>
        <w:t xml:space="preserve">.</w:t>
      </w:r>
    </w:p>
    <w:bookmarkEnd w:id="1750"/>
    <w:bookmarkStart w:id="1755" w:name="hormônios-e-anestesia"/>
    <w:p>
      <w:pPr>
        <w:pStyle w:val="Heading4"/>
      </w:pPr>
      <w:r>
        <w:t xml:space="preserve">Hormônios e anestesia</w:t>
      </w:r>
    </w:p>
    <w:p>
      <w:pPr>
        <w:pStyle w:val="FirstParagraph"/>
      </w:pPr>
      <w:r>
        <w:t xml:space="preserve">Vários pequenos estudos em pessoas saudáveis examinaram se o DSIP influencia os hormônios do estresse. Um estudo com onze homens encontrou, após uma injeção, menos ACTH no sangue, mas valores de cortisol inalterados</w:t>
      </w:r>
      <w:r>
        <w:rPr>
          <w:rStyle w:val="FootnoteReference"/>
        </w:rPr>
        <w:footnoteReference w:id="1751"/>
      </w:r>
      <w:r>
        <w:t xml:space="preserve">; outro, com 20 homens ao todo, não encontrou influência sobre ACTH e cortisol</w:t>
      </w:r>
      <w:r>
        <w:rPr>
          <w:rStyle w:val="FootnoteReference"/>
        </w:rPr>
        <w:footnoteReference w:id="1752"/>
      </w:r>
      <w:r>
        <w:t xml:space="preserve">. Sobre o hormônio do crescimento e a prolactina, o DSIP não teve influência em mulheres</w:t>
      </w:r>
      <w:r>
        <w:rPr>
          <w:rStyle w:val="FootnoteReference"/>
        </w:rPr>
        <w:footnoteReference w:id="1753"/>
      </w:r>
      <w:r>
        <w:t xml:space="preserve">.</w:t>
      </w:r>
    </w:p>
    <w:p>
      <w:pPr>
        <w:pStyle w:val="BodyText"/>
      </w:pPr>
      <w:r>
        <w:t xml:space="preserve">Notável é um estudo com 24 mulheres durante uma anestesia: em vez de aprofundar a anestesia, como seria de esperar de uma</w:t>
      </w:r>
      <w:r>
        <w:t xml:space="preserve"> </w:t>
      </w:r>
      <w:r>
        <w:t xml:space="preserve">“</w:t>
      </w:r>
      <w:r>
        <w:t xml:space="preserve">substância natural do sono</w:t>
      </w:r>
      <w:r>
        <w:t xml:space="preserve">”</w:t>
      </w:r>
      <w:r>
        <w:t xml:space="preserve">, o DSIP aumentou a frequência cardíaca e, paradoxalmente, reduziu o ritmo delta no EEG</w:t>
      </w:r>
      <w:r>
        <w:rPr>
          <w:rStyle w:val="FootnoteReference"/>
        </w:rPr>
        <w:footnoteReference w:id="1754"/>
      </w:r>
      <w:r>
        <w:t xml:space="preserve">.</w:t>
      </w:r>
    </w:p>
    <w:bookmarkEnd w:id="1755"/>
    <w:bookmarkEnd w:id="1756"/>
    <w:bookmarkStart w:id="1759" w:name="estudos-em-animais-e-em-laboratório-38"/>
    <w:p>
      <w:pPr>
        <w:pStyle w:val="Heading3"/>
      </w:pPr>
      <w:r>
        <w:t xml:space="preserve">Estudos em animais e em laboratório</w:t>
      </w:r>
    </w:p>
    <w:p>
      <w:pPr>
        <w:numPr>
          <w:ilvl w:val="0"/>
          <w:numId w:val="1212"/>
        </w:numPr>
        <w:pStyle w:val="Compact"/>
      </w:pPr>
      <w:r>
        <w:t xml:space="preserve">Em coelhos e ratos, estudos iniciais descreveram efeitos favoráveis ao sono, que, no entanto, não puderam ser reproduzidos de forma consistente</w:t>
      </w:r>
      <w:r>
        <w:rPr>
          <w:rStyle w:val="FootnoteReference"/>
        </w:rPr>
        <w:footnoteReference w:id="1757"/>
      </w:r>
      <w:r>
        <w:t xml:space="preserve">.</w:t>
      </w:r>
    </w:p>
    <w:p>
      <w:pPr>
        <w:numPr>
          <w:ilvl w:val="0"/>
          <w:numId w:val="1212"/>
        </w:numPr>
        <w:pStyle w:val="Compact"/>
      </w:pPr>
      <w:r>
        <w:t xml:space="preserve">Em camundongos, os 10% mais velhos dos animais que receberam por toda a vida um preparado russo de DSIP viveram 16% mais do que os animais controle; tumores espontâneos surgiram mais tarde</w:t>
      </w:r>
      <w:r>
        <w:rPr>
          <w:rStyle w:val="FootnoteReference"/>
        </w:rPr>
        <w:footnoteReference w:id="1758"/>
      </w:r>
      <w:r>
        <w:t xml:space="preserve">. Esse trabalho vem do círculo da gerontologia russa, que também estuda o Epitalon (veja o capítulo Epitalon).</w:t>
      </w:r>
    </w:p>
    <w:p>
      <w:pPr>
        <w:numPr>
          <w:ilvl w:val="0"/>
          <w:numId w:val="1212"/>
        </w:numPr>
        <w:pStyle w:val="Compact"/>
      </w:pPr>
      <w:r>
        <w:t xml:space="preserve">Outros estudos em animais descrevem efeitos sobre resistência ao estresse, percepção da dor e enzimas antioxidantes.</w:t>
      </w:r>
    </w:p>
    <w:bookmarkEnd w:id="1759"/>
    <w:bookmarkStart w:id="1762" w:name="riscos-e-efeitos-colaterais-38"/>
    <w:p>
      <w:pPr>
        <w:pStyle w:val="Heading3"/>
      </w:pPr>
      <w:r>
        <w:t xml:space="preserve">Riscos e efeitos colaterais</w:t>
      </w:r>
    </w:p>
    <w:p>
      <w:pPr>
        <w:pStyle w:val="FirstParagraph"/>
      </w:pPr>
      <w:r>
        <w:rPr>
          <w:bCs/>
          <w:b/>
        </w:rPr>
        <w:t xml:space="preserve">Comprovado:</w:t>
      </w:r>
      <w:r>
        <w:t xml:space="preserve"> </w:t>
      </w:r>
      <w:r>
        <w:t xml:space="preserve">nos pequenos estudos, o DSIP foi descrito como bem tolerado; ocasionalmente ocorreram dores de cabeça</w:t>
      </w:r>
      <w:r>
        <w:rPr>
          <w:rStyle w:val="FootnoteReference"/>
        </w:rPr>
        <w:footnoteReference w:id="1760"/>
      </w:r>
      <w:r>
        <w:t xml:space="preserve">. Sob anestesia, aumentou a frequência cardíaca e reduziu a variabilidade da frequência cardíaca</w:t>
      </w:r>
      <w:r>
        <w:rPr>
          <w:rStyle w:val="FootnoteReference"/>
        </w:rPr>
        <w:footnoteReference w:id="1761"/>
      </w:r>
      <w:r>
        <w:t xml:space="preserve">. Não há dados sistemáticos de segurança para mais do que poucos dias.</w:t>
      </w:r>
    </w:p>
    <w:p>
      <w:pPr>
        <w:pStyle w:val="BodyText"/>
      </w:pPr>
      <w:r>
        <w:rPr>
          <w:bCs/>
          <w:b/>
        </w:rPr>
        <w:t xml:space="preserve">Teórico:</w:t>
      </w:r>
      <w:r>
        <w:t xml:space="preserve"> </w:t>
      </w:r>
      <w:r>
        <w:t xml:space="preserve">como nem o receptor nem a função natural foram esclarecidos, efeitos e interações – por exemplo com soníferos, álcool ou opioides – dificilmente podem ser previstos.</w:t>
      </w:r>
    </w:p>
    <w:p>
      <w:pPr>
        <w:pStyle w:val="BodyText"/>
      </w:pPr>
      <w:r>
        <w:rPr>
          <w:bCs/>
          <w:b/>
        </w:rPr>
        <w:t xml:space="preserve">Mercado cinza:</w:t>
      </w:r>
      <w:r>
        <w:t xml:space="preserve"> </w:t>
      </w:r>
      <w:r>
        <w:t xml:space="preserve">o DSIP é vendido online como pó para injeção e anunciado como sonífero. Os preparados usados nos estudos eram infundidos na veia; faltam dados sobre a injeção subcutânea. Pureza e teor dos produtos do mercado cinza não são verificados.</w:t>
      </w:r>
    </w:p>
    <w:p>
      <w:pPr>
        <w:pStyle w:val="BodyText"/>
      </w:pPr>
      <w:r>
        <w:rPr>
          <w:bCs/>
          <w:b/>
        </w:rPr>
        <w:t xml:space="preserve">Importante:</w:t>
      </w:r>
      <w:r>
        <w:t xml:space="preserve"> </w:t>
      </w:r>
      <w:r>
        <w:t xml:space="preserve">para a insônia crônica existem tratamentos eficazes e bem estudados, sobretudo a terapia cognitivo-comportamental para insônia.</w:t>
      </w:r>
    </w:p>
    <w:bookmarkEnd w:id="1762"/>
    <w:bookmarkStart w:id="1763" w:name="situação-legal-38"/>
    <w:p>
      <w:pPr>
        <w:pStyle w:val="Heading3"/>
      </w:pPr>
      <w:r>
        <w:t xml:space="preserve">Situação legal</w:t>
      </w:r>
    </w:p>
    <w:p>
      <w:pPr>
        <w:numPr>
          <w:ilvl w:val="0"/>
          <w:numId w:val="1213"/>
        </w:numPr>
        <w:pStyle w:val="Compact"/>
      </w:pPr>
      <w:r>
        <w:rPr>
          <w:bCs/>
          <w:b/>
        </w:rPr>
        <w:t xml:space="preserve">UE / Áustria / Alemanha:</w:t>
      </w:r>
      <w:r>
        <w:t xml:space="preserve"> </w:t>
      </w:r>
      <w:r>
        <w:t xml:space="preserve">não aprovado; como substância com efeito farmacológico, o DSIP é considerado medicamento, e a venda para uso em humanos não é permitida.</w:t>
      </w:r>
    </w:p>
    <w:p>
      <w:pPr>
        <w:numPr>
          <w:ilvl w:val="0"/>
          <w:numId w:val="1213"/>
        </w:numPr>
        <w:pStyle w:val="Compact"/>
      </w:pPr>
      <w:r>
        <w:rPr>
          <w:bCs/>
          <w:b/>
        </w:rPr>
        <w:t xml:space="preserve">EUA:</w:t>
      </w:r>
      <w:r>
        <w:t xml:space="preserve"> </w:t>
      </w:r>
      <w:r>
        <w:t xml:space="preserve">não aprovado; o comitê consultivo PCAC manifestou-se em julho de 2026, por pequena margem, contra a permissão para preparações de farmácia. A decisão final da FDA estava pendente no fechamento desta edição (situação em outubro de 2026, verificar atualização).</w:t>
      </w:r>
    </w:p>
    <w:p>
      <w:pPr>
        <w:numPr>
          <w:ilvl w:val="0"/>
          <w:numId w:val="1213"/>
        </w:numPr>
        <w:pStyle w:val="Compact"/>
      </w:pPr>
      <w:r>
        <w:rPr>
          <w:bCs/>
          <w:b/>
        </w:rPr>
        <w:t xml:space="preserve">Esporte:</w:t>
      </w:r>
      <w:r>
        <w:t xml:space="preserve"> </w:t>
      </w:r>
      <w:r>
        <w:t xml:space="preserve">não listado nominalmente na lista da WADA (situação em 2026, verificar atualização).</w:t>
      </w:r>
    </w:p>
    <w:bookmarkEnd w:id="1763"/>
    <w:bookmarkStart w:id="1764" w:name="estudos-em-andamento-e-perspectivas-38"/>
    <w:p>
      <w:pPr>
        <w:pStyle w:val="Heading3"/>
      </w:pPr>
      <w:r>
        <w:t xml:space="preserve">Estudos em andamento e perspectivas</w:t>
      </w:r>
    </w:p>
    <w:p>
      <w:pPr>
        <w:pStyle w:val="FirstParagraph"/>
      </w:pPr>
      <w:r>
        <w:rPr>
          <w:bCs/>
          <w:b/>
        </w:rPr>
        <w:t xml:space="preserve">Comprovado:</w:t>
      </w:r>
      <w:r>
        <w:t xml:space="preserve"> </w:t>
      </w:r>
      <w:r>
        <w:t xml:space="preserve">no ClinicalTrials.gov não há estudo registrado com DSIP (consulta de outubro de 2026). Desde os anos 1990, praticamente não surgiram novos dados clínicos.</w:t>
      </w:r>
    </w:p>
    <w:p>
      <w:pPr>
        <w:pStyle w:val="BodyText"/>
      </w:pPr>
      <w:r>
        <w:rPr>
          <w:bCs/>
          <w:b/>
        </w:rPr>
        <w:t xml:space="preserve">Avaliação:</w:t>
      </w:r>
      <w:r>
        <w:t xml:space="preserve"> </w:t>
      </w:r>
      <w:r>
        <w:t xml:space="preserve">sem clareza sobre o receptor e a função natural e sem um estudo de sono moderno e suficientemente grande, não é de esperar que o DSIP retorne como medicamento.</w:t>
      </w:r>
    </w:p>
    <w:bookmarkEnd w:id="1764"/>
    <w:bookmarkStart w:id="1765" w:name="conclusão-38"/>
    <w:p>
      <w:pPr>
        <w:pStyle w:val="Heading3"/>
      </w:pPr>
      <w:r>
        <w:t xml:space="preserve">Conclusão</w:t>
      </w:r>
    </w:p>
    <w:p>
      <w:pPr>
        <w:pStyle w:val="FirstParagraph"/>
      </w:pPr>
      <w:r>
        <w:t xml:space="preserve">O DSIP foi descoberto em 1977 como possível</w:t>
      </w:r>
      <w:r>
        <w:t xml:space="preserve"> </w:t>
      </w:r>
      <w:r>
        <w:t xml:space="preserve">“</w:t>
      </w:r>
      <w:r>
        <w:t xml:space="preserve">substância do sono</w:t>
      </w:r>
      <w:r>
        <w:t xml:space="preserve">”</w:t>
      </w:r>
      <w:r>
        <w:t xml:space="preserve"> </w:t>
      </w:r>
      <w:r>
        <w:t xml:space="preserve">do próprio organismo, mas gene, receptor e função natural continuam desconhecidos até hoje. Estudos iniciais de um grupo de Basileia, com seis a 14 pessoas cada, relataram sono melhor; estudos independentes controlados por placebo encontraram apenas efeitos fracos e de pouca relevância clínica. Dados mais recentes em humanos quase não existem. Os dados não são suficientes para considerar o DSIP um sonífero eficaz ou seguro.</w:t>
      </w:r>
    </w:p>
    <w:bookmarkEnd w:id="1765"/>
    <w:bookmarkEnd w:id="1766"/>
    <w:bookmarkStart w:id="1796" w:name="epitalon-epithalon"/>
    <w:p>
      <w:pPr>
        <w:pStyle w:val="Heading2"/>
      </w:pPr>
      <w:r>
        <w:t xml:space="preserve">Epitalon (Epithalon)</w:t>
      </w:r>
    </w:p>
    <w:bookmarkStart w:id="1767" w:name="ficha-técnica-39"/>
    <w:p>
      <w:pPr>
        <w:pStyle w:val="Heading3"/>
      </w:pPr>
      <w:r>
        <w:t xml:space="preserve">Ficha técnica</w:t>
      </w:r>
    </w:p>
    <w:p>
      <w:pPr>
        <w:numPr>
          <w:ilvl w:val="0"/>
          <w:numId w:val="1214"/>
        </w:numPr>
        <w:pStyle w:val="Compact"/>
      </w:pPr>
      <w:r>
        <w:rPr>
          <w:bCs/>
          <w:b/>
        </w:rPr>
        <w:t xml:space="preserve">Tipo e estrutura:</w:t>
      </w:r>
      <w:r>
        <w:t xml:space="preserve"> </w:t>
      </w:r>
      <w:r>
        <w:t xml:space="preserve">tetrapeptídeo sintético de quatro aminoácidos: Ala-Glu-Asp-Gly (abreviado AEDG). Grafias: Epitalon, Epithalon, Epithalone.</w:t>
      </w:r>
    </w:p>
    <w:p>
      <w:pPr>
        <w:numPr>
          <w:ilvl w:val="0"/>
          <w:numId w:val="1214"/>
        </w:numPr>
        <w:pStyle w:val="Compact"/>
      </w:pPr>
      <w:r>
        <w:rPr>
          <w:bCs/>
          <w:b/>
        </w:rPr>
        <w:t xml:space="preserve">Origem:</w:t>
      </w:r>
      <w:r>
        <w:t xml:space="preserve"> </w:t>
      </w:r>
      <w:r>
        <w:t xml:space="preserve">desenvolvido nos anos 1980 e 1990 no Instituto de Biorregulação e Gerontologia de São Petersburgo, sob a direção de Vladimir Khavinson (em artigos especializados: Khavinson). A sequência de aminoácidos foi derivada da composição da</w:t>
      </w:r>
      <w:r>
        <w:t xml:space="preserve"> </w:t>
      </w:r>
      <w:r>
        <w:rPr>
          <w:bCs/>
          <w:b/>
        </w:rPr>
        <w:t xml:space="preserve">epitalamina</w:t>
      </w:r>
      <w:r>
        <w:t xml:space="preserve">, um extrato da glândula pineal (epífise) de bovinos. Epitalon e epitalamina são substâncias quimicamente diferentes.</w:t>
      </w:r>
    </w:p>
    <w:p>
      <w:pPr>
        <w:numPr>
          <w:ilvl w:val="0"/>
          <w:numId w:val="1214"/>
        </w:numPr>
        <w:pStyle w:val="Compact"/>
      </w:pPr>
      <w:r>
        <w:rPr>
          <w:bCs/>
          <w:b/>
        </w:rPr>
        <w:t xml:space="preserve">Princípio de ação:</w:t>
      </w:r>
      <w:r>
        <w:t xml:space="preserve"> </w:t>
      </w:r>
      <w:r>
        <w:t xml:space="preserve">como</w:t>
      </w:r>
      <w:r>
        <w:t xml:space="preserve"> </w:t>
      </w:r>
      <w:r>
        <w:t xml:space="preserve">“</w:t>
      </w:r>
      <w:r>
        <w:t xml:space="preserve">biorregulador peptídico</w:t>
      </w:r>
      <w:r>
        <w:t xml:space="preserve">”</w:t>
      </w:r>
      <w:r>
        <w:t xml:space="preserve">, normalizaria a função da glândula pineal, favoreceria a produção de melatonina na velhice e ativaria a enzima telomerase, que alonga as extremidades dos cromossomos (telômeros).</w:t>
      </w:r>
    </w:p>
    <w:p>
      <w:pPr>
        <w:numPr>
          <w:ilvl w:val="0"/>
          <w:numId w:val="1214"/>
        </w:numPr>
        <w:pStyle w:val="Compact"/>
      </w:pPr>
      <w:r>
        <w:rPr>
          <w:bCs/>
          <w:b/>
        </w:rPr>
        <w:t xml:space="preserve">Aprovação UE:</w:t>
      </w:r>
      <w:r>
        <w:t xml:space="preserve"> </w:t>
      </w:r>
      <w:r>
        <w:t xml:space="preserve">não.</w:t>
      </w:r>
    </w:p>
    <w:p>
      <w:pPr>
        <w:numPr>
          <w:ilvl w:val="0"/>
          <w:numId w:val="1214"/>
        </w:numPr>
        <w:pStyle w:val="Compact"/>
      </w:pPr>
      <w:r>
        <w:rPr>
          <w:bCs/>
          <w:b/>
        </w:rPr>
        <w:t xml:space="preserve">Aprovação EUA:</w:t>
      </w:r>
      <w:r>
        <w:t xml:space="preserve"> </w:t>
      </w:r>
      <w:r>
        <w:t xml:space="preserve">não. Retirado da</w:t>
      </w:r>
      <w:r>
        <w:t xml:space="preserve"> </w:t>
      </w:r>
      <w:r>
        <w:t xml:space="preserve">“</w:t>
      </w:r>
      <w:r>
        <w:t xml:space="preserve">categoria 2</w:t>
      </w:r>
      <w:r>
        <w:t xml:space="preserve">”</w:t>
      </w:r>
      <w:r>
        <w:t xml:space="preserve"> </w:t>
      </w:r>
      <w:r>
        <w:t xml:space="preserve">da FDA em abril de 2026; o comitê consultivo PCAC votou em julho de 2026, por 7 a 4, a favor da inclusão na lista de substâncias permitidas para manipulação, contra a recomendação dos especialistas da FDA. Isso não é uma aprovação como medicamento (situação em outubro de 2026, verificar atualização).</w:t>
      </w:r>
    </w:p>
    <w:p>
      <w:pPr>
        <w:numPr>
          <w:ilvl w:val="0"/>
          <w:numId w:val="1214"/>
        </w:numPr>
        <w:pStyle w:val="Compact"/>
      </w:pPr>
      <w:r>
        <w:rPr>
          <w:bCs/>
          <w:b/>
        </w:rPr>
        <w:t xml:space="preserve">WADA:</w:t>
      </w:r>
      <w:r>
        <w:t xml:space="preserve"> </w:t>
      </w:r>
      <w:r>
        <w:t xml:space="preserve">não listado nominalmente; como substância não aprovada como medicamento em nenhum lugar, o Epitalon se enquadra, em nossa avaliação, na categoria geral S0.</w:t>
      </w:r>
    </w:p>
    <w:p>
      <w:pPr>
        <w:numPr>
          <w:ilvl w:val="0"/>
          <w:numId w:val="1214"/>
        </w:numPr>
        <w:pStyle w:val="Compact"/>
      </w:pPr>
      <w:r>
        <w:rPr>
          <w:bCs/>
          <w:b/>
        </w:rPr>
        <w:t xml:space="preserve">Nível de evidência:</w:t>
      </w:r>
      <w:r>
        <w:t xml:space="preserve"> </w:t>
      </w:r>
      <w:r>
        <w:rPr>
          <w:bCs/>
          <w:b/>
        </w:rPr>
        <w:t xml:space="preserve">C</w:t>
      </w:r>
      <w:r>
        <w:t xml:space="preserve"> </w:t>
      </w:r>
      <w:r>
        <w:t xml:space="preserve">– apenas um pequeno estudo controlado com o peptídeo sintético em humanos; os demais dados em humanos se referem ao extrato epitalamina ou a células em tubo de ensaio.</w:t>
      </w:r>
    </w:p>
    <w:bookmarkEnd w:id="1767"/>
    <w:bookmarkStart w:id="1771" w:name="como-deveria-agir-39"/>
    <w:p>
      <w:pPr>
        <w:pStyle w:val="Heading3"/>
      </w:pPr>
      <w:r>
        <w:t xml:space="preserve">Como deveria agir</w:t>
      </w:r>
    </w:p>
    <w:p>
      <w:pPr>
        <w:pStyle w:val="FirstParagraph"/>
      </w:pPr>
      <w:r>
        <w:t xml:space="preserve">A glândula pineal é um pequeno órgão no cérebro que produz à noite o hormônio melatonina e assim ajuda a controlar o ritmo dia-noite. Com a idade, a produção de melatonina diminui. O grupo de São Petersburgo partia do princípio de que peptídeos curtos de órgãos poderiam, como</w:t>
      </w:r>
      <w:r>
        <w:t xml:space="preserve"> </w:t>
      </w:r>
      <w:r>
        <w:t xml:space="preserve">“</w:t>
      </w:r>
      <w:r>
        <w:t xml:space="preserve">biorreguladores</w:t>
      </w:r>
      <w:r>
        <w:t xml:space="preserve">”</w:t>
      </w:r>
      <w:r>
        <w:t xml:space="preserve">, restaurar a função justamente desses órgãos – da glândula pineal para a glândula pineal, do timo para o sistema imunológico (veja também o capítulo Timalina e timogênio na Parte II · B).</w:t>
      </w:r>
    </w:p>
    <w:p>
      <w:pPr>
        <w:pStyle w:val="BodyText"/>
      </w:pPr>
      <w:r>
        <w:t xml:space="preserve">Para o Epitalon descrevem-se vários mecanismos, quase todos de experimentos de laboratório e com animais do grupo desenvolvedor:</w:t>
      </w:r>
    </w:p>
    <w:p>
      <w:pPr>
        <w:numPr>
          <w:ilvl w:val="0"/>
          <w:numId w:val="1215"/>
        </w:numPr>
        <w:pStyle w:val="Compact"/>
      </w:pPr>
      <w:r>
        <w:rPr>
          <w:bCs/>
          <w:b/>
        </w:rPr>
        <w:t xml:space="preserve">Telomerase e telômeros:</w:t>
      </w:r>
      <w:r>
        <w:t xml:space="preserve"> </w:t>
      </w:r>
      <w:r>
        <w:t xml:space="preserve">os telômeros são extremidades protetoras dos cromossomos que ficam um pouco mais curtas a cada divisão celular. A enzima telomerase pode alongá-los novamente; na maioria das células do corpo, ela está desligada. Em culturas de fibroblastos humanos (células do tecido conjuntivo) de fetos, o Epitalon teria ligado a telomerase e alongado os telômeros</w:t>
      </w:r>
      <w:r>
        <w:rPr>
          <w:rStyle w:val="FootnoteReference"/>
        </w:rPr>
        <w:footnoteReference w:id="1768"/>
      </w:r>
      <w:r>
        <w:t xml:space="preserve">.</w:t>
      </w:r>
    </w:p>
    <w:p>
      <w:pPr>
        <w:numPr>
          <w:ilvl w:val="0"/>
          <w:numId w:val="1215"/>
        </w:numPr>
        <w:pStyle w:val="Compact"/>
      </w:pPr>
      <w:r>
        <w:rPr>
          <w:bCs/>
          <w:b/>
        </w:rPr>
        <w:t xml:space="preserve">Cromatina e genes:</w:t>
      </w:r>
      <w:r>
        <w:t xml:space="preserve"> </w:t>
      </w:r>
      <w:r>
        <w:t xml:space="preserve">em linfócitos de pessoas de 76 a 80 anos, o Epitalon teria, em tubo de ensaio, descompactado material genético</w:t>
      </w:r>
      <w:r>
        <w:t xml:space="preserve"> </w:t>
      </w:r>
      <w:r>
        <w:t xml:space="preserve">“</w:t>
      </w:r>
      <w:r>
        <w:t xml:space="preserve">condensado</w:t>
      </w:r>
      <w:r>
        <w:t xml:space="preserve">”</w:t>
      </w:r>
      <w:r>
        <w:t xml:space="preserve"> </w:t>
      </w:r>
      <w:r>
        <w:t xml:space="preserve">e ativado genes silenciados</w:t>
      </w:r>
      <w:r>
        <w:rPr>
          <w:rStyle w:val="FootnoteReference"/>
        </w:rPr>
        <w:footnoteReference w:id="1769"/>
      </w:r>
      <w:r>
        <w:t xml:space="preserve">. O grupo postula que peptídeos curtos se ligam diretamente ao DNA.</w:t>
      </w:r>
    </w:p>
    <w:p>
      <w:pPr>
        <w:numPr>
          <w:ilvl w:val="0"/>
          <w:numId w:val="1215"/>
        </w:numPr>
        <w:pStyle w:val="Compact"/>
      </w:pPr>
      <w:r>
        <w:rPr>
          <w:bCs/>
          <w:b/>
        </w:rPr>
        <w:t xml:space="preserve">Melatonina:</w:t>
      </w:r>
      <w:r>
        <w:t xml:space="preserve"> </w:t>
      </w:r>
      <w:r>
        <w:t xml:space="preserve">em culturas de células e em animais, o Epitalon influenciou a produção de melatonina.</w:t>
      </w:r>
    </w:p>
    <w:p>
      <w:pPr>
        <w:pStyle w:val="FirstParagraph"/>
      </w:pPr>
      <w:r>
        <w:t xml:space="preserve">Um artigo de revisão de 2025 resume que, apesar de 25 anos de pesquisa, continua incerto se esses mecanismos são os únicos, e que há poucos estudos fundamentais físico-químicos e estruturais do peptídeo</w:t>
      </w:r>
      <w:r>
        <w:rPr>
          <w:rStyle w:val="FootnoteReference"/>
        </w:rPr>
        <w:footnoteReference w:id="1770"/>
      </w:r>
      <w:r>
        <w:t xml:space="preserve">.</w:t>
      </w:r>
    </w:p>
    <w:bookmarkEnd w:id="1771"/>
    <w:bookmarkStart w:id="1782" w:name="estudos-em-humanos-39"/>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 resultou em apenas</w:t>
      </w:r>
      <w:r>
        <w:t xml:space="preserve"> </w:t>
      </w:r>
      <w:r>
        <w:rPr>
          <w:bCs/>
          <w:b/>
        </w:rPr>
        <w:t xml:space="preserve">uma</w:t>
      </w:r>
      <w:r>
        <w:t xml:space="preserve"> </w:t>
      </w:r>
      <w:r>
        <w:t xml:space="preserve">publicação classificada como estudo em humanos sobre o Epitalon; ao todo, o PubMed lista cerca de 120 trabalhos com os termos de busca, em sua grande maioria estudos em animais e células de São Petersburgo. No ClinicalTrials.gov há um estudo registrado (veja as perspectivas). Uma revisão independente atual chega ao mesmo resultado: os dados em humanos sobre o Epitalon sintético se limitam a pequenos estudos fisiológicos ou de biomarcadores e a um estudo controlado mais antigo em retinite pigmentosa; nenhum estudo randomizado suficientemente grande comprovou eficácia terapêutica</w:t>
      </w:r>
      <w:r>
        <w:rPr>
          <w:rStyle w:val="FootnoteReference"/>
        </w:rPr>
        <w:footnoteReference w:id="1772"/>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Substância estudada e desenho</w:t>
            </w:r>
          </w:p>
        </w:tc>
        <w:tc>
          <w:tcPr/>
          <w:p>
            <w:pPr>
              <w:pStyle w:val="Compact"/>
              <w:jc w:val="left"/>
            </w:pPr>
            <w:r>
              <w:t xml:space="preserve">Participantes</w:t>
            </w:r>
          </w:p>
        </w:tc>
        <w:tc>
          <w:tcPr/>
          <w:p>
            <w:pPr>
              <w:pStyle w:val="Compact"/>
              <w:jc w:val="left"/>
            </w:pPr>
            <w:r>
              <w:t xml:space="preserve">Resultado</w:t>
            </w:r>
          </w:p>
        </w:tc>
      </w:tr>
      <w:tr>
        <w:tc>
          <w:tcPr/>
          <w:p>
            <w:pPr>
              <w:pStyle w:val="Compact"/>
              <w:jc w:val="left"/>
            </w:pPr>
            <w:r>
              <w:t xml:space="preserve">Khavinson 2002, PMID 12195242</w:t>
            </w:r>
          </w:p>
        </w:tc>
        <w:tc>
          <w:tcPr/>
          <w:p>
            <w:pPr>
              <w:pStyle w:val="Compact"/>
              <w:jc w:val="left"/>
            </w:pPr>
            <w:r>
              <w:t xml:space="preserve">Epitalon, estudo controlado em degeneração hereditária da retina (retinite pigmentosa)</w:t>
            </w:r>
          </w:p>
        </w:tc>
        <w:tc>
          <w:tcPr/>
          <w:p>
            <w:pPr>
              <w:pStyle w:val="Compact"/>
              <w:jc w:val="left"/>
            </w:pPr>
            <w:r>
              <w:t xml:space="preserve">não informado no resumo</w:t>
            </w:r>
          </w:p>
        </w:tc>
        <w:tc>
          <w:tcPr/>
          <w:p>
            <w:pPr>
              <w:pStyle w:val="Compact"/>
              <w:jc w:val="left"/>
            </w:pPr>
            <w:r>
              <w:t xml:space="preserve">“</w:t>
            </w:r>
            <w:r>
              <w:t xml:space="preserve">efeito clínico positivo em 90% dos casos</w:t>
            </w:r>
            <w:r>
              <w:t xml:space="preserve">”</w:t>
            </w:r>
          </w:p>
        </w:tc>
      </w:tr>
      <w:tr>
        <w:tc>
          <w:tcPr/>
          <w:p>
            <w:pPr>
              <w:pStyle w:val="Compact"/>
              <w:jc w:val="left"/>
            </w:pPr>
            <w:r>
              <w:t xml:space="preserve">Khavinson 2003, PMID 14523363</w:t>
            </w:r>
          </w:p>
        </w:tc>
        <w:tc>
          <w:tcPr/>
          <w:p>
            <w:pPr>
              <w:pStyle w:val="Compact"/>
              <w:jc w:val="left"/>
            </w:pPr>
            <w:r>
              <w:t xml:space="preserve">epitalamina (extrato) e timalina em idosos, grupo controle</w:t>
            </w:r>
          </w:p>
        </w:tc>
        <w:tc>
          <w:tcPr/>
          <w:p>
            <w:pPr>
              <w:pStyle w:val="Compact"/>
              <w:jc w:val="left"/>
            </w:pPr>
            <w:r>
              <w:t xml:space="preserve">266 pessoas, 6–8 anos</w:t>
            </w:r>
          </w:p>
        </w:tc>
        <w:tc>
          <w:tcPr/>
          <w:p>
            <w:pPr>
              <w:pStyle w:val="Compact"/>
              <w:jc w:val="left"/>
            </w:pPr>
            <w:r>
              <w:t xml:space="preserve">segundo os autores, mortalidade 1,6 a 1,8 vez menor com epitalamina</w:t>
            </w:r>
          </w:p>
        </w:tc>
      </w:tr>
      <w:tr>
        <w:tc>
          <w:tcPr/>
          <w:p>
            <w:pPr>
              <w:pStyle w:val="Compact"/>
              <w:jc w:val="left"/>
            </w:pPr>
            <w:r>
              <w:t xml:space="preserve">Labunets 2004, PMID 15455130</w:t>
            </w:r>
          </w:p>
        </w:tc>
        <w:tc>
          <w:tcPr/>
          <w:p>
            <w:pPr>
              <w:pStyle w:val="Compact"/>
              <w:jc w:val="left"/>
            </w:pPr>
            <w:r>
              <w:t xml:space="preserve">epitalamina, ciclo em idosos</w:t>
            </w:r>
          </w:p>
        </w:tc>
        <w:tc>
          <w:tcPr/>
          <w:p>
            <w:pPr>
              <w:pStyle w:val="Compact"/>
              <w:jc w:val="left"/>
            </w:pPr>
            <w:r>
              <w:t xml:space="preserve">não informado no resumo</w:t>
            </w:r>
          </w:p>
        </w:tc>
        <w:tc>
          <w:tcPr/>
          <w:p>
            <w:pPr>
              <w:pStyle w:val="Compact"/>
              <w:jc w:val="left"/>
            </w:pPr>
            <w:r>
              <w:t xml:space="preserve">ritmo da melatonina e fator tímico</w:t>
            </w:r>
            <w:r>
              <w:t xml:space="preserve"> </w:t>
            </w:r>
            <w:r>
              <w:t xml:space="preserve">“</w:t>
            </w:r>
            <w:r>
              <w:t xml:space="preserve">mais jovens</w:t>
            </w:r>
            <w:r>
              <w:t xml:space="preserve">”</w:t>
            </w:r>
          </w:p>
        </w:tc>
      </w:tr>
      <w:tr>
        <w:tc>
          <w:tcPr/>
          <w:p>
            <w:pPr>
              <w:pStyle w:val="Compact"/>
              <w:jc w:val="left"/>
            </w:pPr>
            <w:r>
              <w:t xml:space="preserve">Khavinson 2019, PMID 31761987</w:t>
            </w:r>
          </w:p>
        </w:tc>
        <w:tc>
          <w:tcPr/>
          <w:p>
            <w:pPr>
              <w:pStyle w:val="Compact"/>
              <w:jc w:val="left"/>
            </w:pPr>
            <w:r>
              <w:t xml:space="preserve">AEDG em tubo de ensaio em células sanguíneas</w:t>
            </w:r>
          </w:p>
        </w:tc>
        <w:tc>
          <w:tcPr/>
          <w:p>
            <w:pPr>
              <w:pStyle w:val="Compact"/>
              <w:jc w:val="left"/>
            </w:pPr>
            <w:r>
              <w:t xml:space="preserve">11 homens (amostras de células)</w:t>
            </w:r>
          </w:p>
        </w:tc>
        <w:tc>
          <w:tcPr/>
          <w:p>
            <w:pPr>
              <w:pStyle w:val="Compact"/>
              <w:jc w:val="left"/>
            </w:pPr>
            <w:r>
              <w:t xml:space="preserve">comprimento dos telômeros maior em 5 casos, menor em 2 casos</w:t>
            </w:r>
          </w:p>
        </w:tc>
      </w:tr>
    </w:tbl>
    <w:bookmarkStart w:id="1774" w:name="o-único-estudo-com-epitalon"/>
    <w:p>
      <w:pPr>
        <w:pStyle w:val="Heading4"/>
      </w:pPr>
      <w:r>
        <w:t xml:space="preserve">O único estudo com Epitalon</w:t>
      </w:r>
    </w:p>
    <w:p>
      <w:pPr>
        <w:pStyle w:val="FirstParagraph"/>
      </w:pPr>
      <w:r>
        <w:t xml:space="preserve">No único estudo clínico com Epitalon sintético, foram tratadas pessoas com retinite pigmentosa, uma doença hereditária em que a retina morre progressivamente. O resumo relata um</w:t>
      </w:r>
      <w:r>
        <w:t xml:space="preserve"> </w:t>
      </w:r>
      <w:r>
        <w:t xml:space="preserve">“</w:t>
      </w:r>
      <w:r>
        <w:t xml:space="preserve">efeito clínico positivo em 90% dos casos</w:t>
      </w:r>
      <w:r>
        <w:t xml:space="preserve">”</w:t>
      </w:r>
      <w:r>
        <w:t xml:space="preserve">, mas não informa o número de participantes, nem o critério para</w:t>
      </w:r>
      <w:r>
        <w:t xml:space="preserve"> </w:t>
      </w:r>
      <w:r>
        <w:t xml:space="preserve">“</w:t>
      </w:r>
      <w:r>
        <w:t xml:space="preserve">positivo</w:t>
      </w:r>
      <w:r>
        <w:t xml:space="preserve">”</w:t>
      </w:r>
      <w:r>
        <w:t xml:space="preserve">, nem os resultados do grupo controle</w:t>
      </w:r>
      <w:r>
        <w:rPr>
          <w:rStyle w:val="FootnoteReference"/>
        </w:rPr>
        <w:footnoteReference w:id="1773"/>
      </w:r>
      <w:r>
        <w:t xml:space="preserve">. O achado não foi confirmado de forma independente; no tratamento da retinite pigmentosa, o Epitalon não tem papel algum.</w:t>
      </w:r>
    </w:p>
    <w:bookmarkEnd w:id="1774"/>
    <w:bookmarkStart w:id="1776" w:name="o-estudo-de-longevidade-com-epitalamina"/>
    <w:p>
      <w:pPr>
        <w:pStyle w:val="Heading4"/>
      </w:pPr>
      <w:r>
        <w:t xml:space="preserve">O estudo de longevidade com epitalamina</w:t>
      </w:r>
    </w:p>
    <w:p>
      <w:pPr>
        <w:pStyle w:val="FirstParagraph"/>
      </w:pPr>
      <w:r>
        <w:t xml:space="preserve">O estudo em humanos mais citado na internet –</w:t>
      </w:r>
      <w:r>
        <w:t xml:space="preserve"> </w:t>
      </w:r>
      <w:r>
        <w:t xml:space="preserve">“</w:t>
      </w:r>
      <w:r>
        <w:t xml:space="preserve">peptídeos da glândula pineal prolongam a vida humana</w:t>
      </w:r>
      <w:r>
        <w:t xml:space="preserve">”</w:t>
      </w:r>
      <w:r>
        <w:t xml:space="preserve"> </w:t>
      </w:r>
      <w:r>
        <w:t xml:space="preserve">– não se refere ao Epitalon, mas ao extrato animal epitalamina. Pesquisadores de São Petersburgo e Kiev acompanharam 266 idosos por seis a oito anos; nos primeiros dois a três anos, partes do grupo receberam timalina, epitalamina ou ambas. Segundo o resumo, a mortalidade caiu 1,6 a 1,8 vez com epitalamina, 2,5 vezes com a combinação e, com tratamento combinado anual ao longo de seis anos, até 4,1 vezes</w:t>
      </w:r>
      <w:r>
        <w:rPr>
          <w:rStyle w:val="FootnoteReference"/>
        </w:rPr>
        <w:footnoteReference w:id="1775"/>
      </w:r>
      <w:r>
        <w:t xml:space="preserve">.</w:t>
      </w:r>
    </w:p>
    <w:p>
      <w:pPr>
        <w:pStyle w:val="BodyText"/>
      </w:pPr>
      <w:r>
        <w:t xml:space="preserve">Tais efeitos seriam extraordinários – maiores do que os de quase qualquer medida da medicina moderna. Por isso, os limites são ainda mais importantes:</w:t>
      </w:r>
    </w:p>
    <w:p>
      <w:pPr>
        <w:numPr>
          <w:ilvl w:val="0"/>
          <w:numId w:val="1216"/>
        </w:numPr>
        <w:pStyle w:val="Compact"/>
      </w:pPr>
      <w:r>
        <w:t xml:space="preserve">O resumo não descreve randomização nem cegamento. Não se reconhece como o grupo controle foi selecionado.</w:t>
      </w:r>
    </w:p>
    <w:p>
      <w:pPr>
        <w:numPr>
          <w:ilvl w:val="0"/>
          <w:numId w:val="1216"/>
        </w:numPr>
        <w:pStyle w:val="Compact"/>
      </w:pPr>
      <w:r>
        <w:t xml:space="preserve">O tamanho dos grupos de cada braço e os números absolutos de mortes não são informados.</w:t>
      </w:r>
    </w:p>
    <w:p>
      <w:pPr>
        <w:numPr>
          <w:ilvl w:val="0"/>
          <w:numId w:val="1216"/>
        </w:numPr>
        <w:pStyle w:val="Compact"/>
      </w:pPr>
      <w:r>
        <w:t xml:space="preserve">O estudo nunca foi registrado, e não há repetição independente.</w:t>
      </w:r>
    </w:p>
    <w:p>
      <w:pPr>
        <w:numPr>
          <w:ilvl w:val="0"/>
          <w:numId w:val="1216"/>
        </w:numPr>
        <w:pStyle w:val="Compact"/>
      </w:pPr>
      <w:r>
        <w:t xml:space="preserve">Os resultados vêm dos desenvolvedores dos preparados.</w:t>
      </w:r>
    </w:p>
    <w:p>
      <w:pPr>
        <w:pStyle w:val="FirstParagraph"/>
      </w:pPr>
      <w:r>
        <w:t xml:space="preserve">Em observações não randomizadas, até pequenas diferenças entre os grupos – por exemplo, quem era mais saudável ou tinha melhor acompanhamento – podem gerar grandes efeitos aparentes sobre a mortalidade. Para o próprio Epitalon, de qualquer forma, nada se pode deduzir desse estudo, porque foi estudada outra substância.</w:t>
      </w:r>
    </w:p>
    <w:bookmarkEnd w:id="1776"/>
    <w:bookmarkStart w:id="1781" w:name="a-alegação-dos-telômeros-sob-verificação"/>
    <w:p>
      <w:pPr>
        <w:pStyle w:val="Heading4"/>
      </w:pPr>
      <w:r>
        <w:t xml:space="preserve">A alegação dos telômeros sob verificação</w:t>
      </w:r>
    </w:p>
    <w:p>
      <w:pPr>
        <w:pStyle w:val="FirstParagraph"/>
      </w:pPr>
      <w:r>
        <w:t xml:space="preserve">Na internet, o Epitalon é frequentemente anunciado como substância que</w:t>
      </w:r>
      <w:r>
        <w:t xml:space="preserve"> </w:t>
      </w:r>
      <w:r>
        <w:t xml:space="preserve">“</w:t>
      </w:r>
      <w:r>
        <w:t xml:space="preserve">alonga os telômeros</w:t>
      </w:r>
      <w:r>
        <w:t xml:space="preserve">”</w:t>
      </w:r>
      <w:r>
        <w:t xml:space="preserve"> </w:t>
      </w:r>
      <w:r>
        <w:t xml:space="preserve">e assim</w:t>
      </w:r>
      <w:r>
        <w:t xml:space="preserve"> </w:t>
      </w:r>
      <w:r>
        <w:t xml:space="preserve">“</w:t>
      </w:r>
      <w:r>
        <w:t xml:space="preserve">faz o relógio biológico andar para trás</w:t>
      </w:r>
      <w:r>
        <w:t xml:space="preserve">”</w:t>
      </w:r>
      <w:r>
        <w:t xml:space="preserve">. O que disso está comprovado?</w:t>
      </w:r>
    </w:p>
    <w:p>
      <w:pPr>
        <w:numPr>
          <w:ilvl w:val="0"/>
          <w:numId w:val="1217"/>
        </w:numPr>
        <w:pStyle w:val="Compact"/>
      </w:pPr>
      <w:r>
        <w:rPr>
          <w:bCs/>
          <w:b/>
        </w:rPr>
        <w:t xml:space="preserve">Cultura de células de São Petersburgo:</w:t>
      </w:r>
      <w:r>
        <w:t xml:space="preserve"> </w:t>
      </w:r>
      <w:r>
        <w:t xml:space="preserve">em fibroblastos fetais humanos, o Epitalon desencadeou atividade de telomerase e alongamento dos telômeros</w:t>
      </w:r>
      <w:r>
        <w:rPr>
          <w:rStyle w:val="FootnoteReference"/>
        </w:rPr>
        <w:footnoteReference w:id="1777"/>
      </w:r>
      <w:r>
        <w:t xml:space="preserve">; em um trabalho subsequente, as células tratadas fizeram dez divisões adicionais além do seu limite habitual</w:t>
      </w:r>
      <w:r>
        <w:rPr>
          <w:rStyle w:val="FootnoteReference"/>
        </w:rPr>
        <w:footnoteReference w:id="1778"/>
      </w:r>
      <w:r>
        <w:t xml:space="preserve">. Ambos os trabalhos foram publicados de forma muito sucinta, sem métodos detalhados no resumo.</w:t>
      </w:r>
    </w:p>
    <w:p>
      <w:pPr>
        <w:numPr>
          <w:ilvl w:val="0"/>
          <w:numId w:val="1217"/>
        </w:numPr>
        <w:pStyle w:val="Compact"/>
      </w:pPr>
      <w:r>
        <w:rPr>
          <w:bCs/>
          <w:b/>
        </w:rPr>
        <w:t xml:space="preserve">Estudo celular independente:</w:t>
      </w:r>
      <w:r>
        <w:t xml:space="preserve"> </w:t>
      </w:r>
      <w:r>
        <w:t xml:space="preserve">um grupo de trabalho fora da Rússia encontrou em 2025, também de forma dependente da dose, telômeros mais longos em células epiteliais e do tecido conjuntivo humanas normais. Em linhagens celulares de câncer de mama, os telômeros também se alongaram – ali por um mecanismo alternativo (ALT), típico de células cancerosas</w:t>
      </w:r>
      <w:r>
        <w:rPr>
          <w:rStyle w:val="FootnoteReference"/>
        </w:rPr>
        <w:footnoteReference w:id="1779"/>
      </w:r>
      <w:r>
        <w:t xml:space="preserve">.</w:t>
      </w:r>
    </w:p>
    <w:p>
      <w:pPr>
        <w:numPr>
          <w:ilvl w:val="0"/>
          <w:numId w:val="1217"/>
        </w:numPr>
        <w:pStyle w:val="Compact"/>
      </w:pPr>
      <w:r>
        <w:rPr>
          <w:bCs/>
          <w:b/>
        </w:rPr>
        <w:t xml:space="preserve">Células sanguíneas humanas em tubo de ensaio:</w:t>
      </w:r>
      <w:r>
        <w:t xml:space="preserve"> </w:t>
      </w:r>
      <w:r>
        <w:t xml:space="preserve">em células sanguíneas de onze homens, os telômeros se alongaram após contato com o peptídeo em cinco casos e ficaram mais curtos em dois casos; os autores interpretam isso como</w:t>
      </w:r>
      <w:r>
        <w:t xml:space="preserve"> </w:t>
      </w:r>
      <w:r>
        <w:t xml:space="preserve">“</w:t>
      </w:r>
      <w:r>
        <w:t xml:space="preserve">normalização</w:t>
      </w:r>
      <w:r>
        <w:t xml:space="preserve">”</w:t>
      </w:r>
      <w:r>
        <w:rPr>
          <w:rStyle w:val="FootnoteReference"/>
        </w:rPr>
        <w:footnoteReference w:id="1780"/>
      </w:r>
      <w:r>
        <w:t xml:space="preserve">.</w:t>
      </w:r>
    </w:p>
    <w:p>
      <w:pPr>
        <w:numPr>
          <w:ilvl w:val="0"/>
          <w:numId w:val="1217"/>
        </w:numPr>
        <w:pStyle w:val="Compact"/>
      </w:pPr>
      <w:r>
        <w:rPr>
          <w:bCs/>
          <w:b/>
        </w:rPr>
        <w:t xml:space="preserve">No ser humano vivo:</w:t>
      </w:r>
      <w:r>
        <w:t xml:space="preserve"> </w:t>
      </w:r>
      <w:r>
        <w:t xml:space="preserve">não há estudo controlado publicado que tenha mostrado que o Epitalon altera o comprimento dos telômeros no sangue ou nos tecidos de pessoas – e muito menos um que comprove um benefício para a saúde de tal alteração.</w:t>
      </w:r>
    </w:p>
    <w:p>
      <w:pPr>
        <w:pStyle w:val="FirstParagraph"/>
      </w:pPr>
      <w:r>
        <w:t xml:space="preserve">Além disso: o comprimento dos telômeros está de fato ligado à idade, mas não é uma medida confiável do</w:t>
      </w:r>
      <w:r>
        <w:t xml:space="preserve"> </w:t>
      </w:r>
      <w:r>
        <w:t xml:space="preserve">“</w:t>
      </w:r>
      <w:r>
        <w:t xml:space="preserve">relógio biológico</w:t>
      </w:r>
      <w:r>
        <w:t xml:space="preserve">”</w:t>
      </w:r>
      <w:r>
        <w:t xml:space="preserve"> </w:t>
      </w:r>
      <w:r>
        <w:t xml:space="preserve">de uma pessoa individual. E uma telomerase permanentemente ativada é uma característica da grande maioria dos tipos de câncer. A capacidade de alongar telômeros, portanto, não é automaticamente uma vantagem (veja os riscos).</w:t>
      </w:r>
    </w:p>
    <w:bookmarkEnd w:id="1781"/>
    <w:bookmarkEnd w:id="1782"/>
    <w:bookmarkStart w:id="1787" w:name="estudos-em-animais-e-em-laboratório-39"/>
    <w:p>
      <w:pPr>
        <w:pStyle w:val="Heading3"/>
      </w:pPr>
      <w:r>
        <w:t xml:space="preserve">Estudos em animais e em laboratório</w:t>
      </w:r>
    </w:p>
    <w:p>
      <w:pPr>
        <w:numPr>
          <w:ilvl w:val="0"/>
          <w:numId w:val="1218"/>
        </w:numPr>
        <w:pStyle w:val="Compact"/>
      </w:pPr>
      <w:r>
        <w:rPr>
          <w:bCs/>
          <w:b/>
        </w:rPr>
        <w:t xml:space="preserve">Expectativa de vida em camundongos:</w:t>
      </w:r>
      <w:r>
        <w:t xml:space="preserve"> </w:t>
      </w:r>
      <w:r>
        <w:t xml:space="preserve">no estudo animal mais importante, 54 camundongos fêmeas em cada grupo receberam por toda a vida, mensalmente, Epitalon ou solução salina. A</w:t>
      </w:r>
      <w:r>
        <w:t xml:space="preserve"> </w:t>
      </w:r>
      <w:r>
        <w:rPr>
          <w:bCs/>
          <w:b/>
        </w:rPr>
        <w:t xml:space="preserve">expectativa de vida média não</w:t>
      </w:r>
      <w:r>
        <w:t xml:space="preserve"> </w:t>
      </w:r>
      <w:r>
        <w:t xml:space="preserve">diferiu; apenas os últimos 10% dos sobreviventes viveram 13,3% mais, e a expectativa de vida máxima foi 12,3% maior. O número total de tumores espontâneos foi igual; leucemias ocorreram com menos frequência</w:t>
      </w:r>
      <w:r>
        <w:rPr>
          <w:rStyle w:val="FootnoteReference"/>
        </w:rPr>
        <w:footnoteReference w:id="1783"/>
      </w:r>
      <w:r>
        <w:t xml:space="preserve">.</w:t>
      </w:r>
    </w:p>
    <w:p>
      <w:pPr>
        <w:numPr>
          <w:ilvl w:val="0"/>
          <w:numId w:val="1218"/>
        </w:numPr>
        <w:pStyle w:val="Compact"/>
      </w:pPr>
      <w:r>
        <w:rPr>
          <w:bCs/>
          <w:b/>
        </w:rPr>
        <w:t xml:space="preserve">Moscas-das-frutas:</w:t>
      </w:r>
      <w:r>
        <w:t xml:space="preserve"> </w:t>
      </w:r>
      <w:r>
        <w:t xml:space="preserve">também em drosófilas foi relatada uma expectativa de vida maior</w:t>
      </w:r>
      <w:r>
        <w:rPr>
          <w:rStyle w:val="FootnoteReference"/>
        </w:rPr>
        <w:footnoteReference w:id="1784"/>
      </w:r>
      <w:r>
        <w:t xml:space="preserve">.</w:t>
      </w:r>
    </w:p>
    <w:p>
      <w:pPr>
        <w:numPr>
          <w:ilvl w:val="0"/>
          <w:numId w:val="1218"/>
        </w:numPr>
        <w:pStyle w:val="Compact"/>
      </w:pPr>
      <w:r>
        <w:rPr>
          <w:bCs/>
          <w:b/>
        </w:rPr>
        <w:t xml:space="preserve">Retina:</w:t>
      </w:r>
      <w:r>
        <w:t xml:space="preserve"> </w:t>
      </w:r>
      <w:r>
        <w:t xml:space="preserve">em ratos com degeneração hereditária da retina, a estrutura da retina foi mais bem preservada com Epitalon</w:t>
      </w:r>
      <w:r>
        <w:rPr>
          <w:rStyle w:val="FootnoteReference"/>
        </w:rPr>
        <w:footnoteReference w:id="1785"/>
      </w:r>
      <w:r>
        <w:t xml:space="preserve">.</w:t>
      </w:r>
    </w:p>
    <w:p>
      <w:pPr>
        <w:numPr>
          <w:ilvl w:val="0"/>
          <w:numId w:val="1218"/>
        </w:numPr>
        <w:pStyle w:val="Compact"/>
      </w:pPr>
      <w:r>
        <w:rPr>
          <w:bCs/>
          <w:b/>
        </w:rPr>
        <w:t xml:space="preserve">Óvulos:</w:t>
      </w:r>
      <w:r>
        <w:t xml:space="preserve"> </w:t>
      </w:r>
      <w:r>
        <w:t xml:space="preserve">em culturas de óvulos envelhecidos de camundongos, o Epitalon reduziu danos por estresse oxidativo</w:t>
      </w:r>
      <w:r>
        <w:rPr>
          <w:rStyle w:val="FootnoteReference"/>
        </w:rPr>
        <w:footnoteReference w:id="1786"/>
      </w:r>
      <w:r>
        <w:t xml:space="preserve">.</w:t>
      </w:r>
    </w:p>
    <w:p>
      <w:pPr>
        <w:pStyle w:val="FirstParagraph"/>
      </w:pPr>
      <w:r>
        <w:t xml:space="preserve">A grande maioria desses estudos vem do grupo de Khavinson e Anisimov, geralmente em revistas russas ou em revistas nas quais o próprio grupo publicava com frequência. Repetições independentes são raras.</w:t>
      </w:r>
    </w:p>
    <w:bookmarkEnd w:id="1787"/>
    <w:bookmarkStart w:id="1791" w:name="riscos-e-efeitos-colaterais-39"/>
    <w:p>
      <w:pPr>
        <w:pStyle w:val="Heading3"/>
      </w:pPr>
      <w:r>
        <w:t xml:space="preserve">Riscos e efeitos colaterais</w:t>
      </w:r>
    </w:p>
    <w:p>
      <w:pPr>
        <w:pStyle w:val="FirstParagraph"/>
      </w:pPr>
      <w:r>
        <w:rPr>
          <w:bCs/>
          <w:b/>
        </w:rPr>
        <w:t xml:space="preserve">Comprovado:</w:t>
      </w:r>
      <w:r>
        <w:t xml:space="preserve"> </w:t>
      </w:r>
      <w:r>
        <w:t xml:space="preserve">não há dados de segurança sistematicamente coletados sobre o Epitalon em humanos.</w:t>
      </w:r>
    </w:p>
    <w:p>
      <w:pPr>
        <w:pStyle w:val="BodyText"/>
      </w:pPr>
      <w:r>
        <w:rPr>
          <w:bCs/>
          <w:b/>
        </w:rPr>
        <w:t xml:space="preserve">Teórico:</w:t>
      </w:r>
    </w:p>
    <w:p>
      <w:pPr>
        <w:numPr>
          <w:ilvl w:val="0"/>
          <w:numId w:val="1219"/>
        </w:numPr>
        <w:pStyle w:val="Compact"/>
      </w:pPr>
      <w:r>
        <w:rPr>
          <w:bCs/>
          <w:b/>
        </w:rPr>
        <w:t xml:space="preserve">Câncer:</w:t>
      </w:r>
      <w:r>
        <w:t xml:space="preserve"> </w:t>
      </w:r>
      <w:r>
        <w:t xml:space="preserve">a ativação da telomerase é uma característica central das células cancerosas. Uma substância que deveria ligar a telomerase poderia, teoricamente, favorecer o crescimento de células cancerosas já existentes e não detectadas. No estudo celular independente, também os telômeros de células de câncer de mama se alongaram</w:t>
      </w:r>
      <w:r>
        <w:rPr>
          <w:rStyle w:val="FootnoteReference"/>
        </w:rPr>
        <w:footnoteReference w:id="1788"/>
      </w:r>
      <w:r>
        <w:t xml:space="preserve">. O estudo em camundongos não encontrou aumento de tumores espontâneos</w:t>
      </w:r>
      <w:r>
        <w:rPr>
          <w:rStyle w:val="FootnoteReference"/>
        </w:rPr>
        <w:footnoteReference w:id="1789"/>
      </w:r>
      <w:r>
        <w:t xml:space="preserve">, mas dados animais não se transferem para décadas de uso humano.</w:t>
      </w:r>
    </w:p>
    <w:p>
      <w:pPr>
        <w:numPr>
          <w:ilvl w:val="0"/>
          <w:numId w:val="1219"/>
        </w:numPr>
        <w:pStyle w:val="Compact"/>
      </w:pPr>
      <w:r>
        <w:rPr>
          <w:bCs/>
          <w:b/>
        </w:rPr>
        <w:t xml:space="preserve">Sistema hormonal:</w:t>
      </w:r>
      <w:r>
        <w:t xml:space="preserve"> </w:t>
      </w:r>
      <w:r>
        <w:t xml:space="preserve">uma influência sobre a melatonina e a glândula pineal pode alterar o sono e os ritmos hormonais; isso não foi estudado em humanos.</w:t>
      </w:r>
    </w:p>
    <w:p>
      <w:pPr>
        <w:pStyle w:val="FirstParagraph"/>
      </w:pPr>
      <w:r>
        <w:rPr>
          <w:bCs/>
          <w:b/>
        </w:rPr>
        <w:t xml:space="preserve">Mercado cinza:</w:t>
      </w:r>
      <w:r>
        <w:t xml:space="preserve"> </w:t>
      </w:r>
      <w:r>
        <w:t xml:space="preserve">o Epitalon está entre os</w:t>
      </w:r>
      <w:r>
        <w:t xml:space="preserve"> </w:t>
      </w:r>
      <w:r>
        <w:t xml:space="preserve">“</w:t>
      </w:r>
      <w:r>
        <w:t xml:space="preserve">peptídeos de longevidade</w:t>
      </w:r>
      <w:r>
        <w:t xml:space="preserve">”</w:t>
      </w:r>
      <w:r>
        <w:t xml:space="preserve"> </w:t>
      </w:r>
      <w:r>
        <w:t xml:space="preserve">mais vendidos e é oferecido como pó para injeção ou como spray nasal. Pureza, teor e esterilidade não são verificados. Uma revisão independente cita questões não resolvidas sobre qualidade do produto, reações imunológicas e risco de câncer</w:t>
      </w:r>
      <w:r>
        <w:rPr>
          <w:rStyle w:val="FootnoteReference"/>
        </w:rPr>
        <w:footnoteReference w:id="1790"/>
      </w:r>
      <w:r>
        <w:t xml:space="preserve">.</w:t>
      </w:r>
    </w:p>
    <w:bookmarkEnd w:id="1791"/>
    <w:bookmarkStart w:id="1792" w:name="situação-legal-39"/>
    <w:p>
      <w:pPr>
        <w:pStyle w:val="Heading3"/>
      </w:pPr>
      <w:r>
        <w:t xml:space="preserve">Situação legal</w:t>
      </w:r>
    </w:p>
    <w:p>
      <w:pPr>
        <w:numPr>
          <w:ilvl w:val="0"/>
          <w:numId w:val="1220"/>
        </w:numPr>
        <w:pStyle w:val="Compact"/>
      </w:pPr>
      <w:r>
        <w:rPr>
          <w:bCs/>
          <w:b/>
        </w:rPr>
        <w:t xml:space="preserve">UE / Áustria / Alemanha:</w:t>
      </w:r>
      <w:r>
        <w:t xml:space="preserve"> </w:t>
      </w:r>
      <w:r>
        <w:t xml:space="preserve">não aprovado; como substância com efeito farmacológico, o Epitalon é considerado medicamento, e a venda para uso em humanos não é permitida.</w:t>
      </w:r>
    </w:p>
    <w:p>
      <w:pPr>
        <w:numPr>
          <w:ilvl w:val="0"/>
          <w:numId w:val="1220"/>
        </w:numPr>
        <w:pStyle w:val="Compact"/>
      </w:pPr>
      <w:r>
        <w:rPr>
          <w:bCs/>
          <w:b/>
        </w:rPr>
        <w:t xml:space="preserve">EUA:</w:t>
      </w:r>
      <w:r>
        <w:t xml:space="preserve"> </w:t>
      </w:r>
      <w:r>
        <w:t xml:space="preserve">não aprovado. Após o voto do comitê consultivo PCAC em julho de 2026, o Epitalon poderá no futuro ser usado em preparações de farmácia, se a FDA seguir a recomendação; o procedimento não estava concluído no fechamento desta edição (situação em outubro de 2026, verificar atualização).</w:t>
      </w:r>
    </w:p>
    <w:p>
      <w:pPr>
        <w:numPr>
          <w:ilvl w:val="0"/>
          <w:numId w:val="1220"/>
        </w:numPr>
        <w:pStyle w:val="Compact"/>
      </w:pPr>
      <w:r>
        <w:rPr>
          <w:bCs/>
          <w:b/>
        </w:rPr>
        <w:t xml:space="preserve">Rússia:</w:t>
      </w:r>
      <w:r>
        <w:t xml:space="preserve"> </w:t>
      </w:r>
      <w:r>
        <w:t xml:space="preserve">na Rússia, biorreguladores peptídicos são em parte comercializados como suplementos alimentares; o próprio Epitalon, segundo nosso conhecimento, não está registrado ali como medicamento (verificar atualização).</w:t>
      </w:r>
    </w:p>
    <w:p>
      <w:pPr>
        <w:numPr>
          <w:ilvl w:val="0"/>
          <w:numId w:val="1220"/>
        </w:numPr>
        <w:pStyle w:val="Compact"/>
      </w:pPr>
      <w:r>
        <w:rPr>
          <w:bCs/>
          <w:b/>
        </w:rPr>
        <w:t xml:space="preserve">Esporte:</w:t>
      </w:r>
      <w:r>
        <w:t xml:space="preserve"> </w:t>
      </w:r>
      <w:r>
        <w:t xml:space="preserve">em nossa avaliação, categoria S0 da WADA (situação em 2026, verificar atualização).</w:t>
      </w:r>
    </w:p>
    <w:bookmarkEnd w:id="1792"/>
    <w:bookmarkStart w:id="1794" w:name="estudos-em-andamento-e-perspectivas-39"/>
    <w:p>
      <w:pPr>
        <w:pStyle w:val="Heading3"/>
      </w:pPr>
      <w:r>
        <w:t xml:space="preserve">Estudos em andamento e perspectivas</w:t>
      </w:r>
    </w:p>
    <w:p>
      <w:pPr>
        <w:pStyle w:val="FirstParagraph"/>
      </w:pPr>
      <w:r>
        <w:rPr>
          <w:bCs/>
          <w:b/>
        </w:rPr>
        <w:t xml:space="preserve">Comprovado:</w:t>
      </w:r>
      <w:r>
        <w:t xml:space="preserve"> </w:t>
      </w:r>
      <w:r>
        <w:t xml:space="preserve">no ClinicalTrials.gov está registrado um estudo inicial no qual medidas de rejuvenescimento</w:t>
      </w:r>
      <w:r>
        <w:t xml:space="preserve"> </w:t>
      </w:r>
      <w:r>
        <w:t xml:space="preserve">“</w:t>
      </w:r>
      <w:r>
        <w:t xml:space="preserve">sistêmicas e locais</w:t>
      </w:r>
      <w:r>
        <w:t xml:space="preserve">”</w:t>
      </w:r>
      <w:r>
        <w:t xml:space="preserve"> </w:t>
      </w:r>
      <w:r>
        <w:t xml:space="preserve">devem ser avaliadas com os chamados relógios de envelhecimento (métodos de medição epigenéticos); estão previstos 48 participantes, início em outubro de 2026</w:t>
      </w:r>
      <w:r>
        <w:rPr>
          <w:rStyle w:val="FootnoteReference"/>
        </w:rPr>
        <w:footnoteReference w:id="1793"/>
      </w:r>
      <w:r>
        <w:t xml:space="preserve">. Segundo o registro, o Epitalon é ali apenas um de cinco componentes de um sérum peptídico aplicado na pele; além disso, são tomados medicamentos e suplementos alimentares. O estudo tem apenas um grupo, sem cegamento e sem controle por placebo. Ele não pode, portanto, fornecer nenhuma conclusão sobre o efeito do próprio Epitalon.</w:t>
      </w:r>
    </w:p>
    <w:p>
      <w:pPr>
        <w:pStyle w:val="BodyText"/>
      </w:pPr>
      <w:r>
        <w:rPr>
          <w:bCs/>
          <w:b/>
        </w:rPr>
        <w:t xml:space="preserve">Avaliação:</w:t>
      </w:r>
      <w:r>
        <w:t xml:space="preserve"> </w:t>
      </w:r>
      <w:r>
        <w:t xml:space="preserve">a inclusão na lista americana de manipulação aumentaria a difusão sem melhorar a situação dos dados. Decisivo seria um estudo independente e randomizado que medisse em humanos, por um período mais longo, ao menos o comprimento dos telômeros, a melatonina e parâmetros de segurança.</w:t>
      </w:r>
    </w:p>
    <w:bookmarkEnd w:id="1794"/>
    <w:bookmarkStart w:id="1795" w:name="conclusão-39"/>
    <w:p>
      <w:pPr>
        <w:pStyle w:val="Heading3"/>
      </w:pPr>
      <w:r>
        <w:t xml:space="preserve">Conclusão</w:t>
      </w:r>
    </w:p>
    <w:p>
      <w:pPr>
        <w:pStyle w:val="FirstParagraph"/>
      </w:pPr>
      <w:r>
        <w:t xml:space="preserve">O Epitalon é um tetrapeptídeo sintético de São Petersburgo que ativou a telomerase em culturas de células e, em camundongos, prolongou a expectativa de vida máxima, mas não a média. O estudo frequentemente citado sobre vida mais longa se referia ao extrato bovino epitalamina, não era randomizado e nunca foi repetido de forma independente. Que o Epitalon alongue telômeros ou retarde o envelhecimento em humanos não está comprovado; a ativação da telomerase levanta, além disso, uma questão de câncer não esclarecida. Os dados não são suficientes para avaliar benefício ou segurança em humanos.</w:t>
      </w:r>
    </w:p>
    <w:bookmarkEnd w:id="1795"/>
    <w:bookmarkEnd w:id="1796"/>
    <w:bookmarkStart w:id="1813" w:name="pinealon"/>
    <w:p>
      <w:pPr>
        <w:pStyle w:val="Heading2"/>
      </w:pPr>
      <w:r>
        <w:t xml:space="preserve">Pinealon</w:t>
      </w:r>
    </w:p>
    <w:bookmarkStart w:id="1797" w:name="ficha-técnica-40"/>
    <w:p>
      <w:pPr>
        <w:pStyle w:val="Heading3"/>
      </w:pPr>
      <w:r>
        <w:t xml:space="preserve">Ficha técnica</w:t>
      </w:r>
    </w:p>
    <w:p>
      <w:pPr>
        <w:numPr>
          <w:ilvl w:val="0"/>
          <w:numId w:val="1221"/>
        </w:numPr>
        <w:pStyle w:val="Compact"/>
      </w:pPr>
      <w:r>
        <w:rPr>
          <w:bCs/>
          <w:b/>
        </w:rPr>
        <w:t xml:space="preserve">Tipo e estrutura:</w:t>
      </w:r>
      <w:r>
        <w:t xml:space="preserve"> </w:t>
      </w:r>
      <w:r>
        <w:t xml:space="preserve">tripeptídeo sintético de três aminoácidos: Glu-Asp-Arg (abreviado EDR).</w:t>
      </w:r>
    </w:p>
    <w:p>
      <w:pPr>
        <w:numPr>
          <w:ilvl w:val="0"/>
          <w:numId w:val="1221"/>
        </w:numPr>
        <w:pStyle w:val="Compact"/>
      </w:pPr>
      <w:r>
        <w:rPr>
          <w:bCs/>
          <w:b/>
        </w:rPr>
        <w:t xml:space="preserve">Origem:</w:t>
      </w:r>
      <w:r>
        <w:t xml:space="preserve"> </w:t>
      </w:r>
      <w:r>
        <w:t xml:space="preserve">desenvolvido no Instituto de Biorregulação e Gerontologia de São Petersburgo (grupo de Vladimir Khavinson, que também desenvolveu o Epitalon). O nome remete à glândula pineal (glandula pinealis), embora o peptídeo seja descrito sobretudo como substância protetora de neurônios.</w:t>
      </w:r>
    </w:p>
    <w:p>
      <w:pPr>
        <w:numPr>
          <w:ilvl w:val="0"/>
          <w:numId w:val="1221"/>
        </w:numPr>
        <w:pStyle w:val="Compact"/>
      </w:pPr>
      <w:r>
        <w:rPr>
          <w:bCs/>
          <w:b/>
        </w:rPr>
        <w:t xml:space="preserve">Princípio de ação:</w:t>
      </w:r>
      <w:r>
        <w:t xml:space="preserve"> </w:t>
      </w:r>
      <w:r>
        <w:t xml:space="preserve">como</w:t>
      </w:r>
      <w:r>
        <w:t xml:space="preserve"> </w:t>
      </w:r>
      <w:r>
        <w:t xml:space="preserve">“</w:t>
      </w:r>
      <w:r>
        <w:t xml:space="preserve">biorregulador peptídico curto</w:t>
      </w:r>
      <w:r>
        <w:t xml:space="preserve">”</w:t>
      </w:r>
      <w:r>
        <w:t xml:space="preserve">, penetraria em células e núcleos celulares, se ligaria ao DNA ou a histonas e assim influenciaria a atividade de genes que protegem neurônios contra estresse oxidativo e morte celular.</w:t>
      </w:r>
    </w:p>
    <w:p>
      <w:pPr>
        <w:numPr>
          <w:ilvl w:val="0"/>
          <w:numId w:val="1221"/>
        </w:numPr>
        <w:pStyle w:val="Compact"/>
      </w:pPr>
      <w:r>
        <w:rPr>
          <w:bCs/>
          <w:b/>
        </w:rPr>
        <w:t xml:space="preserve">Aprovação UE:</w:t>
      </w:r>
      <w:r>
        <w:t xml:space="preserve"> </w:t>
      </w:r>
      <w:r>
        <w:t xml:space="preserve">não.</w:t>
      </w:r>
    </w:p>
    <w:p>
      <w:pPr>
        <w:numPr>
          <w:ilvl w:val="0"/>
          <w:numId w:val="1221"/>
        </w:numPr>
        <w:pStyle w:val="Compact"/>
      </w:pPr>
      <w:r>
        <w:rPr>
          <w:bCs/>
          <w:b/>
        </w:rPr>
        <w:t xml:space="preserve">Aprovação EUA:</w:t>
      </w:r>
      <w:r>
        <w:t xml:space="preserve"> </w:t>
      </w:r>
      <w:r>
        <w:t xml:space="preserve">não.</w:t>
      </w:r>
    </w:p>
    <w:p>
      <w:pPr>
        <w:numPr>
          <w:ilvl w:val="0"/>
          <w:numId w:val="1221"/>
        </w:numPr>
        <w:pStyle w:val="Compact"/>
      </w:pPr>
      <w:r>
        <w:rPr>
          <w:bCs/>
          <w:b/>
        </w:rPr>
        <w:t xml:space="preserve">Rússia:</w:t>
      </w:r>
      <w:r>
        <w:t xml:space="preserve"> </w:t>
      </w:r>
      <w:r>
        <w:t xml:space="preserve">comercializado como componente dos chamados</w:t>
      </w:r>
      <w:r>
        <w:t xml:space="preserve"> </w:t>
      </w:r>
      <w:r>
        <w:t xml:space="preserve">“</w:t>
      </w:r>
      <w:r>
        <w:t xml:space="preserve">citogênios</w:t>
      </w:r>
      <w:r>
        <w:t xml:space="preserve">”</w:t>
      </w:r>
      <w:r>
        <w:t xml:space="preserve"> </w:t>
      </w:r>
      <w:r>
        <w:t xml:space="preserve">em forma de cápsula, ou seja, mais como suplemento alimentar do que como medicamento testado.</w:t>
      </w:r>
    </w:p>
    <w:p>
      <w:pPr>
        <w:numPr>
          <w:ilvl w:val="0"/>
          <w:numId w:val="1221"/>
        </w:numPr>
        <w:pStyle w:val="Compact"/>
      </w:pPr>
      <w:r>
        <w:rPr>
          <w:bCs/>
          <w:b/>
        </w:rPr>
        <w:t xml:space="preserve">WADA:</w:t>
      </w:r>
      <w:r>
        <w:t xml:space="preserve"> </w:t>
      </w:r>
      <w:r>
        <w:t xml:space="preserve">não listado nominalmente; uma substância não aprovada como medicamento pode se enquadrar na categoria geral S0.</w:t>
      </w:r>
    </w:p>
    <w:p>
      <w:pPr>
        <w:numPr>
          <w:ilvl w:val="0"/>
          <w:numId w:val="1221"/>
        </w:numPr>
        <w:pStyle w:val="Compact"/>
      </w:pPr>
      <w:r>
        <w:rPr>
          <w:bCs/>
          <w:b/>
        </w:rPr>
        <w:t xml:space="preserve">Nível de evidência:</w:t>
      </w:r>
      <w:r>
        <w:t xml:space="preserve"> </w:t>
      </w:r>
      <w:r>
        <w:rPr>
          <w:bCs/>
          <w:b/>
        </w:rPr>
        <w:t xml:space="preserve">C</w:t>
      </w:r>
      <w:r>
        <w:t xml:space="preserve"> </w:t>
      </w:r>
      <w:r>
        <w:t xml:space="preserve">– alguns pequenos estudos observacionais russos, não randomizados, com medidas substitutas como a</w:t>
      </w:r>
      <w:r>
        <w:t xml:space="preserve"> </w:t>
      </w:r>
      <w:r>
        <w:t xml:space="preserve">“</w:t>
      </w:r>
      <w:r>
        <w:t xml:space="preserve">idade biológica</w:t>
      </w:r>
      <w:r>
        <w:t xml:space="preserve">”</w:t>
      </w:r>
      <w:r>
        <w:t xml:space="preserve">.</w:t>
      </w:r>
    </w:p>
    <w:bookmarkEnd w:id="1797"/>
    <w:bookmarkStart w:id="1801" w:name="como-deveria-agir-40"/>
    <w:p>
      <w:pPr>
        <w:pStyle w:val="Heading3"/>
      </w:pPr>
      <w:r>
        <w:t xml:space="preserve">Como deveria agir</w:t>
      </w:r>
    </w:p>
    <w:p>
      <w:pPr>
        <w:pStyle w:val="FirstParagraph"/>
      </w:pPr>
      <w:r>
        <w:t xml:space="preserve">O Pinealon pertence a uma família de peptídeos muito curtos (dois a quatro aminoácidos) que o grupo de São Petersburgo chama de</w:t>
      </w:r>
      <w:r>
        <w:t xml:space="preserve"> </w:t>
      </w:r>
      <w:r>
        <w:t xml:space="preserve">“</w:t>
      </w:r>
      <w:r>
        <w:t xml:space="preserve">biorreguladores peptídicos</w:t>
      </w:r>
      <w:r>
        <w:t xml:space="preserve">”</w:t>
      </w:r>
      <w:r>
        <w:t xml:space="preserve">. A hipótese central é: esses minipeptídeos chegam até o núcleo celular, ligam-se ali a determinados segmentos de DNA e assim regulam genes – de modo semelhante a fatores de transcrição, ou seja, proteínas que ligam e desligam genes.</w:t>
      </w:r>
    </w:p>
    <w:p>
      <w:pPr>
        <w:pStyle w:val="BodyText"/>
      </w:pPr>
      <w:r>
        <w:t xml:space="preserve">As evidências para isso vêm do laboratório:</w:t>
      </w:r>
    </w:p>
    <w:p>
      <w:pPr>
        <w:numPr>
          <w:ilvl w:val="0"/>
          <w:numId w:val="1222"/>
        </w:numPr>
        <w:pStyle w:val="Compact"/>
      </w:pPr>
      <w:r>
        <w:t xml:space="preserve">Em células cancerosas (HeLa), peptídeos Pinealon, Epitalon e relacionados marcados com fluorescência penetraram no citoplasma, no núcleo celular e nos nucléolos; em tubo de ensaio, alteraram a fluorescência de fragmentos de DNA marcados conforme a sequência deles</w:t>
      </w:r>
      <w:r>
        <w:rPr>
          <w:rStyle w:val="FootnoteReference"/>
        </w:rPr>
        <w:footnoteReference w:id="1798"/>
      </w:r>
      <w:r>
        <w:t xml:space="preserve">.</w:t>
      </w:r>
    </w:p>
    <w:p>
      <w:pPr>
        <w:numPr>
          <w:ilvl w:val="0"/>
          <w:numId w:val="1222"/>
        </w:numPr>
        <w:pStyle w:val="Compact"/>
      </w:pPr>
      <w:r>
        <w:t xml:space="preserve">Em neurônios do cerebelo de ratos e em outras culturas de células, o Pinealon limitou o acúmulo de espécies reativas de oxigênio e reduziu a morte de células</w:t>
      </w:r>
      <w:r>
        <w:rPr>
          <w:rStyle w:val="FootnoteReference"/>
        </w:rPr>
        <w:footnoteReference w:id="1799"/>
      </w:r>
      <w:r>
        <w:t xml:space="preserve">.</w:t>
      </w:r>
    </w:p>
    <w:p>
      <w:pPr>
        <w:pStyle w:val="FirstParagraph"/>
      </w:pPr>
      <w:r>
        <w:t xml:space="preserve">Uma revisão dos desenvolvedores resume que o peptídeo EDR, em experimentos com células e animais, influenciaria genes e proteínas que têm papel na doença de Alzheimer, como enzimas da defesa antioxidante e sinais de morte celular</w:t>
      </w:r>
      <w:r>
        <w:rPr>
          <w:rStyle w:val="FootnoteReference"/>
        </w:rPr>
        <w:footnoteReference w:id="1800"/>
      </w:r>
      <w:r>
        <w:t xml:space="preserve">. Trata-se de uma hipótese que até agora mal foi verificada por outros grupos de pesquisa. Da farmacologia clássica sabe-se, além disso, que peptídeos tão curtos são rapidamente decompostos no trato digestivo e no sangue; quanto Pinealon inalterado chega aos neurônios após a ingestão de uma cápsula não foi estudado.</w:t>
      </w:r>
    </w:p>
    <w:bookmarkEnd w:id="1801"/>
    <w:bookmarkStart w:id="1803" w:name="estudos-em-humanos-40"/>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 resultou em</w:t>
      </w:r>
      <w:r>
        <w:t xml:space="preserve"> </w:t>
      </w:r>
      <w:r>
        <w:rPr>
          <w:bCs/>
          <w:b/>
        </w:rPr>
        <w:t xml:space="preserve">uma</w:t>
      </w:r>
      <w:r>
        <w:t xml:space="preserve"> </w:t>
      </w:r>
      <w:r>
        <w:t xml:space="preserve">publicação classificada como estudo em humanos; ao todo, o PubMed lista apenas 15 trabalhos com</w:t>
      </w:r>
      <w:r>
        <w:t xml:space="preserve"> </w:t>
      </w:r>
      <w:r>
        <w:t xml:space="preserve">“</w:t>
      </w:r>
      <w:r>
        <w:t xml:space="preserve">Pinealon</w:t>
      </w:r>
      <w:r>
        <w:t xml:space="preserve">”</w:t>
      </w:r>
      <w:r>
        <w:t xml:space="preserve"> </w:t>
      </w:r>
      <w:r>
        <w:t xml:space="preserve">no título ou resumo. No ClinicalTrials.gov não há estudo registrado. Em uma busca adicional, foram encontrados outros três pequenos trabalhos russos com pessoas, todos na revista</w:t>
      </w:r>
      <w:r>
        <w:t xml:space="preserve"> </w:t>
      </w:r>
      <w:r>
        <w:t xml:space="preserve">“</w:t>
      </w:r>
      <w:r>
        <w:t xml:space="preserve">Uspekhi Gerontologii</w:t>
      </w:r>
      <w:r>
        <w:t xml:space="preserve">”</w:t>
      </w:r>
      <w:r>
        <w:t xml:space="preserve"> </w:t>
      </w:r>
      <w:r>
        <w:t xml:space="preserve">(Avanços da Gerontologia).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Bashkireva 2012, PMID 23734521</w:t>
            </w:r>
          </w:p>
        </w:tc>
        <w:tc>
          <w:tcPr/>
          <w:p>
            <w:pPr>
              <w:pStyle w:val="Compact"/>
              <w:jc w:val="left"/>
            </w:pPr>
            <w:r>
              <w:t xml:space="preserve">150 caminhoneiros, 150 metalúrgicos como comparação; peptídeos em subgrupos</w:t>
            </w:r>
          </w:p>
        </w:tc>
        <w:tc>
          <w:tcPr/>
          <w:p>
            <w:pPr>
              <w:pStyle w:val="Compact"/>
              <w:jc w:val="left"/>
            </w:pPr>
            <w:r>
              <w:t xml:space="preserve">não informada</w:t>
            </w:r>
          </w:p>
        </w:tc>
        <w:tc>
          <w:tcPr/>
          <w:p>
            <w:pPr>
              <w:pStyle w:val="Compact"/>
              <w:jc w:val="left"/>
            </w:pPr>
            <w:r>
              <w:t xml:space="preserve">segundo os autores, melhores valores psicoemocionais, melhor efeito com a combinação de dois peptídeos</w:t>
            </w:r>
          </w:p>
        </w:tc>
      </w:tr>
      <w:tr>
        <w:tc>
          <w:tcPr/>
          <w:p>
            <w:pPr>
              <w:pStyle w:val="Compact"/>
              <w:jc w:val="left"/>
            </w:pPr>
            <w:r>
              <w:t xml:space="preserve">Nazimko 2012, PMID 22708445</w:t>
            </w:r>
          </w:p>
        </w:tc>
        <w:tc>
          <w:tcPr/>
          <w:p>
            <w:pPr>
              <w:pStyle w:val="Compact"/>
              <w:jc w:val="left"/>
            </w:pPr>
            <w:r>
              <w:t xml:space="preserve">equipes de maquinistas de trem, cápsulas de Pinealon</w:t>
            </w:r>
          </w:p>
        </w:tc>
        <w:tc>
          <w:tcPr/>
          <w:p>
            <w:pPr>
              <w:pStyle w:val="Compact"/>
              <w:jc w:val="left"/>
            </w:pPr>
            <w:r>
              <w:t xml:space="preserve">2 semanas</w:t>
            </w:r>
          </w:p>
        </w:tc>
        <w:tc>
          <w:tcPr/>
          <w:p>
            <w:pPr>
              <w:pStyle w:val="Compact"/>
              <w:jc w:val="left"/>
            </w:pPr>
            <w:r>
              <w:t xml:space="preserve">segundo os autores, melhor</w:t>
            </w:r>
            <w:r>
              <w:t xml:space="preserve"> </w:t>
            </w:r>
            <w:r>
              <w:t xml:space="preserve">“</w:t>
            </w:r>
            <w:r>
              <w:t xml:space="preserve">idade biológica</w:t>
            </w:r>
            <w:r>
              <w:t xml:space="preserve">”</w:t>
            </w:r>
            <w:r>
              <w:t xml:space="preserve"> </w:t>
            </w:r>
            <w:r>
              <w:t xml:space="preserve">e melhores reações de adaptação</w:t>
            </w:r>
          </w:p>
        </w:tc>
      </w:tr>
      <w:tr>
        <w:tc>
          <w:tcPr/>
          <w:p>
            <w:pPr>
              <w:pStyle w:val="Compact"/>
              <w:jc w:val="left"/>
            </w:pPr>
            <w:r>
              <w:t xml:space="preserve">Meshchaninov 2015, PMID 26390612</w:t>
            </w:r>
          </w:p>
        </w:tc>
        <w:tc>
          <w:tcPr/>
          <w:p>
            <w:pPr>
              <w:pStyle w:val="Compact"/>
              <w:jc w:val="left"/>
            </w:pPr>
            <w:r>
              <w:t xml:space="preserve">32 pessoas (41–83 anos) com multimorbidade e síndrome psico-orgânica</w:t>
            </w:r>
          </w:p>
        </w:tc>
        <w:tc>
          <w:tcPr/>
          <w:p>
            <w:pPr>
              <w:pStyle w:val="Compact"/>
              <w:jc w:val="left"/>
            </w:pPr>
            <w:r>
              <w:t xml:space="preserve">não informada</w:t>
            </w:r>
          </w:p>
        </w:tc>
        <w:tc>
          <w:tcPr/>
          <w:p>
            <w:pPr>
              <w:pStyle w:val="Compact"/>
              <w:jc w:val="left"/>
            </w:pPr>
            <w:r>
              <w:t xml:space="preserve">efeito</w:t>
            </w:r>
            <w:r>
              <w:t xml:space="preserve"> </w:t>
            </w:r>
            <w:r>
              <w:t xml:space="preserve">“</w:t>
            </w:r>
            <w:r>
              <w:t xml:space="preserve">anabólico</w:t>
            </w:r>
            <w:r>
              <w:t xml:space="preserve">”</w:t>
            </w:r>
            <w:r>
              <w:t xml:space="preserve">; indícios de efeito oxidante e inibição da hematopoese</w:t>
            </w:r>
          </w:p>
        </w:tc>
      </w:tr>
      <w:tr>
        <w:tc>
          <w:tcPr/>
          <w:p>
            <w:pPr>
              <w:pStyle w:val="Compact"/>
              <w:jc w:val="left"/>
            </w:pPr>
            <w:r>
              <w:t xml:space="preserve">Myakotnykh 2016, PMID 28539017</w:t>
            </w:r>
          </w:p>
        </w:tc>
        <w:tc>
          <w:tcPr/>
          <w:p>
            <w:pPr>
              <w:pStyle w:val="Compact"/>
              <w:jc w:val="left"/>
            </w:pPr>
            <w:r>
              <w:t xml:space="preserve">110 pessoas, comparação de diferentes métodos</w:t>
            </w:r>
            <w:r>
              <w:t xml:space="preserve"> </w:t>
            </w:r>
            <w:r>
              <w:t xml:space="preserve">“</w:t>
            </w:r>
            <w:r>
              <w:t xml:space="preserve">anti-aging</w:t>
            </w:r>
            <w:r>
              <w:t xml:space="preserve">”</w:t>
            </w:r>
          </w:p>
        </w:tc>
        <w:tc>
          <w:tcPr/>
          <w:p>
            <w:pPr>
              <w:pStyle w:val="Compact"/>
              <w:jc w:val="left"/>
            </w:pPr>
            <w:r>
              <w:t xml:space="preserve">não informada</w:t>
            </w:r>
          </w:p>
        </w:tc>
        <w:tc>
          <w:tcPr/>
          <w:p>
            <w:pPr>
              <w:pStyle w:val="Compact"/>
              <w:jc w:val="left"/>
            </w:pPr>
            <w:r>
              <w:t xml:space="preserve">efeito mais forte sobre a</w:t>
            </w:r>
            <w:r>
              <w:t xml:space="preserve"> </w:t>
            </w:r>
            <w:r>
              <w:t xml:space="preserve">“</w:t>
            </w:r>
            <w:r>
              <w:t xml:space="preserve">idade biológica</w:t>
            </w:r>
            <w:r>
              <w:t xml:space="preserve">”</w:t>
            </w:r>
            <w:r>
              <w:t xml:space="preserve"> </w:t>
            </w:r>
            <w:r>
              <w:t xml:space="preserve">com a combinação de dois peptídeos</w:t>
            </w:r>
          </w:p>
        </w:tc>
      </w:tr>
    </w:tbl>
    <w:p>
      <w:pPr>
        <w:pStyle w:val="BodyText"/>
      </w:pPr>
      <w:r>
        <w:t xml:space="preserve">Os quatro trabalhos têm fraquezas em comum:</w:t>
      </w:r>
    </w:p>
    <w:p>
      <w:pPr>
        <w:numPr>
          <w:ilvl w:val="0"/>
          <w:numId w:val="1223"/>
        </w:numPr>
        <w:pStyle w:val="Compact"/>
      </w:pPr>
      <w:r>
        <w:rPr>
          <w:bCs/>
          <w:b/>
        </w:rPr>
        <w:t xml:space="preserve">Sem placebo, sem cegamento, sem randomização</w:t>
      </w:r>
      <w:r>
        <w:t xml:space="preserve"> </w:t>
      </w:r>
      <w:r>
        <w:t xml:space="preserve">reconhecíveis. Em questionários sobre humor e carga de estresse, o efeito de expectativa é considerável.</w:t>
      </w:r>
    </w:p>
    <w:p>
      <w:pPr>
        <w:numPr>
          <w:ilvl w:val="0"/>
          <w:numId w:val="1223"/>
        </w:numPr>
        <w:pStyle w:val="Compact"/>
      </w:pPr>
      <w:r>
        <w:rPr>
          <w:bCs/>
          <w:b/>
        </w:rPr>
        <w:t xml:space="preserve">Medidas substitutas em vez de desfechos clínicos:</w:t>
      </w:r>
      <w:r>
        <w:t xml:space="preserve"> </w:t>
      </w:r>
      <w:r>
        <w:t xml:space="preserve">a</w:t>
      </w:r>
      <w:r>
        <w:t xml:space="preserve"> </w:t>
      </w:r>
      <w:r>
        <w:t xml:space="preserve">“</w:t>
      </w:r>
      <w:r>
        <w:t xml:space="preserve">idade biológica</w:t>
      </w:r>
      <w:r>
        <w:t xml:space="preserve">”</w:t>
      </w:r>
      <w:r>
        <w:t xml:space="preserve"> </w:t>
      </w:r>
      <w:r>
        <w:t xml:space="preserve">é calculada na gerontologia russa a partir de uma combinação de medições como pressão arterial, função pulmonar, tempo de reação e autoavaliação. Não é uma medida padronizada internacionalmente, e uma melhora não significa automaticamente mais saúde ou vida mais longa.</w:t>
      </w:r>
    </w:p>
    <w:p>
      <w:pPr>
        <w:numPr>
          <w:ilvl w:val="0"/>
          <w:numId w:val="1223"/>
        </w:numPr>
        <w:pStyle w:val="Compact"/>
      </w:pPr>
      <w:r>
        <w:rPr>
          <w:bCs/>
          <w:b/>
        </w:rPr>
        <w:t xml:space="preserve">Combinações:</w:t>
      </w:r>
      <w:r>
        <w:t xml:space="preserve"> </w:t>
      </w:r>
      <w:r>
        <w:t xml:space="preserve">em vários estudos, o Pinealon foi administrado junto com o peptídeo Vesugen (Lys-Glu-Asp), de modo que o efeito não pode ser atribuído a uma substância.</w:t>
      </w:r>
    </w:p>
    <w:p>
      <w:pPr>
        <w:numPr>
          <w:ilvl w:val="0"/>
          <w:numId w:val="1223"/>
        </w:numPr>
        <w:pStyle w:val="Compact"/>
      </w:pPr>
      <w:r>
        <w:rPr>
          <w:bCs/>
          <w:b/>
        </w:rPr>
        <w:t xml:space="preserve">Números pouco claros:</w:t>
      </w:r>
      <w:r>
        <w:t xml:space="preserve"> </w:t>
      </w:r>
      <w:r>
        <w:t xml:space="preserve">os resumos quase não informam tamanhos de efeito.</w:t>
      </w:r>
    </w:p>
    <w:p>
      <w:pPr>
        <w:pStyle w:val="FirstParagraph"/>
      </w:pPr>
      <w:r>
        <w:t xml:space="preserve">Notável é um achado que não aparece na publicidade: no estudo com 32 idosos, os autores observaram, com Pinealon e Vesugen, uma atividade</w:t>
      </w:r>
      <w:r>
        <w:t xml:space="preserve"> </w:t>
      </w:r>
      <w:r>
        <w:rPr>
          <w:bCs/>
          <w:b/>
        </w:rPr>
        <w:t xml:space="preserve">pró-oxidante</w:t>
      </w:r>
      <w:r>
        <w:t xml:space="preserve"> </w:t>
      </w:r>
      <w:r>
        <w:t xml:space="preserve">– ou seja, o contrário do alegado efeito antioxidante – e uma redução das células-tronco hematopoéticas (CD34+) no sangue, que descrevem como uma clara inibição da hematopoese. Mesmo assim, recomendam os peptídeos para a prática geriátrica</w:t>
      </w:r>
      <w:r>
        <w:rPr>
          <w:rStyle w:val="FootnoteReference"/>
        </w:rPr>
        <w:footnoteReference w:id="1802"/>
      </w:r>
      <w:r>
        <w:t xml:space="preserve">.</w:t>
      </w:r>
    </w:p>
    <w:bookmarkEnd w:id="1803"/>
    <w:bookmarkStart w:id="1807" w:name="estudos-em-animais-e-em-laboratório-40"/>
    <w:p>
      <w:pPr>
        <w:pStyle w:val="Heading3"/>
      </w:pPr>
      <w:r>
        <w:t xml:space="preserve">Estudos em animais e em laboratório</w:t>
      </w:r>
    </w:p>
    <w:p>
      <w:pPr>
        <w:numPr>
          <w:ilvl w:val="0"/>
          <w:numId w:val="1224"/>
        </w:numPr>
        <w:pStyle w:val="Compact"/>
      </w:pPr>
      <w:r>
        <w:t xml:space="preserve">Em ratos cujas mães tinham, na gestação, valores elevados de homocisteína devido a ração rica em metionina, o Pinealon (administrado às mães) melhorou a orientação e a capacidade de aprendizado dos filhotes; seus neurônios do cerebelo foram mais resistentes ao estresse oxidativo</w:t>
      </w:r>
      <w:r>
        <w:rPr>
          <w:rStyle w:val="FootnoteReference"/>
        </w:rPr>
        <w:footnoteReference w:id="1804"/>
      </w:r>
      <w:r>
        <w:t xml:space="preserve">.</w:t>
      </w:r>
    </w:p>
    <w:p>
      <w:pPr>
        <w:numPr>
          <w:ilvl w:val="0"/>
          <w:numId w:val="1224"/>
        </w:numPr>
        <w:pStyle w:val="Compact"/>
      </w:pPr>
      <w:r>
        <w:t xml:space="preserve">Em ratos de 18 meses, o Pinealon e o Cortexin (um preparado russo de extrato cerebral) influenciaram, sob falta de oxigênio e hipotermia, o comportamento e os mensageiros no cérebro; o Cortexin agiu com mais força sobre processos de radicais e enzimas de morte celular</w:t>
      </w:r>
      <w:r>
        <w:rPr>
          <w:rStyle w:val="FootnoteReference"/>
        </w:rPr>
        <w:footnoteReference w:id="1805"/>
      </w:r>
      <w:r>
        <w:t xml:space="preserve">.</w:t>
      </w:r>
    </w:p>
    <w:p>
      <w:pPr>
        <w:numPr>
          <w:ilvl w:val="0"/>
          <w:numId w:val="1224"/>
        </w:numPr>
        <w:pStyle w:val="Compact"/>
      </w:pPr>
      <w:r>
        <w:t xml:space="preserve">Em culturas de células, o Pinealon protegeu diversos tipos celulares contra estresse oxidativo</w:t>
      </w:r>
      <w:r>
        <w:rPr>
          <w:rStyle w:val="FootnoteReference"/>
        </w:rPr>
        <w:footnoteReference w:id="1806"/>
      </w:r>
      <w:r>
        <w:t xml:space="preserve">.</w:t>
      </w:r>
    </w:p>
    <w:p>
      <w:pPr>
        <w:pStyle w:val="FirstParagraph"/>
      </w:pPr>
      <w:r>
        <w:t xml:space="preserve">Quase todos os trabalhos vêm do grupo desenvolvedor ou de institutos russos cooperantes.</w:t>
      </w:r>
    </w:p>
    <w:bookmarkEnd w:id="1807"/>
    <w:bookmarkStart w:id="1809" w:name="riscos-e-efeitos-colaterais-40"/>
    <w:p>
      <w:pPr>
        <w:pStyle w:val="Heading3"/>
      </w:pPr>
      <w:r>
        <w:t xml:space="preserve">Riscos e efeitos colaterais</w:t>
      </w:r>
    </w:p>
    <w:p>
      <w:pPr>
        <w:pStyle w:val="FirstParagraph"/>
      </w:pPr>
      <w:r>
        <w:rPr>
          <w:bCs/>
          <w:b/>
        </w:rPr>
        <w:t xml:space="preserve">Comprovado:</w:t>
      </w:r>
      <w:r>
        <w:t xml:space="preserve"> </w:t>
      </w:r>
      <w:r>
        <w:t xml:space="preserve">não há dados sistemáticos de segurança. O único estudo que relata valores laboratoriais de forma mais detalhada descreve uma atividade pró-oxidante e uma redução das células-tronco hematopoéticas no sangue</w:t>
      </w:r>
      <w:r>
        <w:rPr>
          <w:rStyle w:val="FootnoteReference"/>
        </w:rPr>
        <w:footnoteReference w:id="1808"/>
      </w:r>
      <w:r>
        <w:t xml:space="preserve">. O que isso significa não está claro – mas é um sinal de alerta que não foi estudado mais a fundo.</w:t>
      </w:r>
    </w:p>
    <w:p>
      <w:pPr>
        <w:pStyle w:val="BodyText"/>
      </w:pPr>
      <w:r>
        <w:rPr>
          <w:bCs/>
          <w:b/>
        </w:rPr>
        <w:t xml:space="preserve">Teórico:</w:t>
      </w:r>
      <w:r>
        <w:t xml:space="preserve"> </w:t>
      </w:r>
      <w:r>
        <w:t xml:space="preserve">se a hipótese dos desenvolvedores estiver correta e o Pinealon de fato se ligar ao DNA e regular genes, também seriam concebíveis efeitos genéticos indesejados. Não há estudos sobre danos ao material genético, risco de câncer ou efeitos a longo prazo.</w:t>
      </w:r>
    </w:p>
    <w:p>
      <w:pPr>
        <w:pStyle w:val="BodyText"/>
      </w:pPr>
      <w:r>
        <w:rPr>
          <w:bCs/>
          <w:b/>
        </w:rPr>
        <w:t xml:space="preserve">Mercado cinza:</w:t>
      </w:r>
      <w:r>
        <w:t xml:space="preserve"> </w:t>
      </w:r>
      <w:r>
        <w:t xml:space="preserve">o Pinealon é oferecido online como cápsula, spray nasal ou pó para injeção, geralmente com promessas sobre memória, sono e</w:t>
      </w:r>
      <w:r>
        <w:t xml:space="preserve"> </w:t>
      </w:r>
      <w:r>
        <w:t xml:space="preserve">“</w:t>
      </w:r>
      <w:r>
        <w:t xml:space="preserve">rejuvenescimento cerebral</w:t>
      </w:r>
      <w:r>
        <w:t xml:space="preserve">”</w:t>
      </w:r>
      <w:r>
        <w:t xml:space="preserve">. Teor e pureza não são verificados.</w:t>
      </w:r>
    </w:p>
    <w:bookmarkEnd w:id="1809"/>
    <w:bookmarkStart w:id="1810" w:name="situação-legal-40"/>
    <w:p>
      <w:pPr>
        <w:pStyle w:val="Heading3"/>
      </w:pPr>
      <w:r>
        <w:t xml:space="preserve">Situação legal</w:t>
      </w:r>
    </w:p>
    <w:p>
      <w:pPr>
        <w:numPr>
          <w:ilvl w:val="0"/>
          <w:numId w:val="1225"/>
        </w:numPr>
        <w:pStyle w:val="Compact"/>
      </w:pPr>
      <w:r>
        <w:rPr>
          <w:bCs/>
          <w:b/>
        </w:rPr>
        <w:t xml:space="preserve">UE / Áustria / Alemanha:</w:t>
      </w:r>
      <w:r>
        <w:t xml:space="preserve"> </w:t>
      </w:r>
      <w:r>
        <w:t xml:space="preserve">não aprovado como medicamento. A venda como suplemento alimentar só seria admissível se a substância fosse permitida pela legislação de alimentos; como substância nova, sintética, com efeito farmacológico pretendido, em nossa avaliação esse não é o caso.</w:t>
      </w:r>
    </w:p>
    <w:p>
      <w:pPr>
        <w:numPr>
          <w:ilvl w:val="0"/>
          <w:numId w:val="1225"/>
        </w:numPr>
        <w:pStyle w:val="Compact"/>
      </w:pPr>
      <w:r>
        <w:rPr>
          <w:bCs/>
          <w:b/>
        </w:rPr>
        <w:t xml:space="preserve">EUA:</w:t>
      </w:r>
      <w:r>
        <w:t xml:space="preserve"> </w:t>
      </w:r>
      <w:r>
        <w:t xml:space="preserve">não aprovado.</w:t>
      </w:r>
    </w:p>
    <w:p>
      <w:pPr>
        <w:numPr>
          <w:ilvl w:val="0"/>
          <w:numId w:val="1225"/>
        </w:numPr>
        <w:pStyle w:val="Compact"/>
      </w:pPr>
      <w:r>
        <w:rPr>
          <w:bCs/>
          <w:b/>
        </w:rPr>
        <w:t xml:space="preserve">Rússia:</w:t>
      </w:r>
      <w:r>
        <w:t xml:space="preserve"> </w:t>
      </w:r>
      <w:r>
        <w:t xml:space="preserve">à venda como componente de preparados peptídicos que não passaram pelo procedimento de aprovação de medicamentos.</w:t>
      </w:r>
    </w:p>
    <w:p>
      <w:pPr>
        <w:numPr>
          <w:ilvl w:val="0"/>
          <w:numId w:val="1225"/>
        </w:numPr>
        <w:pStyle w:val="Compact"/>
      </w:pPr>
      <w:r>
        <w:rPr>
          <w:bCs/>
          <w:b/>
        </w:rPr>
        <w:t xml:space="preserve">Esporte:</w:t>
      </w:r>
      <w:r>
        <w:t xml:space="preserve"> </w:t>
      </w:r>
      <w:r>
        <w:t xml:space="preserve">não listado nominalmente; possível enquadramento na categoria S0 da WADA (situação em 2026, verificar atualização).</w:t>
      </w:r>
    </w:p>
    <w:bookmarkEnd w:id="1810"/>
    <w:bookmarkStart w:id="1811" w:name="estudos-em-andamento-e-perspectivas-40"/>
    <w:p>
      <w:pPr>
        <w:pStyle w:val="Heading3"/>
      </w:pPr>
      <w:r>
        <w:t xml:space="preserve">Estudos em andamento e perspectivas</w:t>
      </w:r>
    </w:p>
    <w:p>
      <w:pPr>
        <w:pStyle w:val="FirstParagraph"/>
      </w:pPr>
      <w:r>
        <w:rPr>
          <w:bCs/>
          <w:b/>
        </w:rPr>
        <w:t xml:space="preserve">Comprovado:</w:t>
      </w:r>
      <w:r>
        <w:t xml:space="preserve"> </w:t>
      </w:r>
      <w:r>
        <w:t xml:space="preserve">nenhum estudo registrado (consulta de outubro de 2026).</w:t>
      </w:r>
    </w:p>
    <w:p>
      <w:pPr>
        <w:pStyle w:val="BodyText"/>
      </w:pPr>
      <w:r>
        <w:rPr>
          <w:bCs/>
          <w:b/>
        </w:rPr>
        <w:t xml:space="preserve">Avaliação:</w:t>
      </w:r>
      <w:r>
        <w:t xml:space="preserve"> </w:t>
      </w:r>
      <w:r>
        <w:t xml:space="preserve">enquanto a pesquisa ficar restrita a um pequeno círculo de institutos russos e não forem realizados estudos randomizados e controlados por placebo com desfechos clínicos, o Pinealon continuará sendo um conceito de laboratório com uma superestrutura de marketing.</w:t>
      </w:r>
    </w:p>
    <w:bookmarkEnd w:id="1811"/>
    <w:bookmarkStart w:id="1812" w:name="conclusão-40"/>
    <w:p>
      <w:pPr>
        <w:pStyle w:val="Heading3"/>
      </w:pPr>
      <w:r>
        <w:t xml:space="preserve">Conclusão</w:t>
      </w:r>
    </w:p>
    <w:p>
      <w:pPr>
        <w:pStyle w:val="FirstParagraph"/>
      </w:pPr>
      <w:r>
        <w:t xml:space="preserve">O Pinealon é um tripeptídeo sintético de São Petersburgo que, em culturas de células e em ratos, protegeu neurônios contra estresse oxidativo; os desenvolvedores supõem um efeito direto sobre genes. Os poucos estudos em humanos são pequenos, não controlados e medem sobretudo uma</w:t>
      </w:r>
      <w:r>
        <w:t xml:space="preserve"> </w:t>
      </w:r>
      <w:r>
        <w:t xml:space="preserve">“</w:t>
      </w:r>
      <w:r>
        <w:t xml:space="preserve">idade biológica</w:t>
      </w:r>
      <w:r>
        <w:t xml:space="preserve">”</w:t>
      </w:r>
      <w:r>
        <w:t xml:space="preserve"> </w:t>
      </w:r>
      <w:r>
        <w:t xml:space="preserve">não padronizada. Um deles encontrou até indícios de efeito pró-oxidante e de inibição da hematopoese. Os dados não são suficientes para avaliar um benefício ou a segurança em humanos.</w:t>
      </w:r>
    </w:p>
    <w:bookmarkEnd w:id="1812"/>
    <w:bookmarkEnd w:id="1813"/>
    <w:bookmarkStart w:id="1842" w:name="mots-c"/>
    <w:p>
      <w:pPr>
        <w:pStyle w:val="Heading2"/>
      </w:pPr>
      <w:r>
        <w:t xml:space="preserve">MOTS-c</w:t>
      </w:r>
    </w:p>
    <w:bookmarkStart w:id="1814" w:name="ficha-técnica-41"/>
    <w:p>
      <w:pPr>
        <w:pStyle w:val="Heading3"/>
      </w:pPr>
      <w:r>
        <w:t xml:space="preserve">Ficha técnica</w:t>
      </w:r>
    </w:p>
    <w:p>
      <w:pPr>
        <w:numPr>
          <w:ilvl w:val="0"/>
          <w:numId w:val="1226"/>
        </w:numPr>
        <w:pStyle w:val="Compact"/>
      </w:pPr>
      <w:r>
        <w:rPr>
          <w:bCs/>
          <w:b/>
        </w:rPr>
        <w:t xml:space="preserve">Tipo e estrutura:</w:t>
      </w:r>
      <w:r>
        <w:t xml:space="preserve"> </w:t>
      </w:r>
      <w:r>
        <w:t xml:space="preserve">peptídeo de 16 aminoácidos. O nome significa</w:t>
      </w:r>
      <w:r>
        <w:t xml:space="preserve"> </w:t>
      </w:r>
      <w:r>
        <w:rPr>
          <w:iCs/>
          <w:i/>
        </w:rPr>
        <w:t xml:space="preserve">mitochondrial open reading frame of the 12S rRNA-c</w:t>
      </w:r>
      <w:r>
        <w:t xml:space="preserve"> </w:t>
      </w:r>
      <w:r>
        <w:t xml:space="preserve">– ele não está codificado no núcleo celular, mas no material genético das mitocôndrias, as</w:t>
      </w:r>
      <w:r>
        <w:t xml:space="preserve"> </w:t>
      </w:r>
      <w:r>
        <w:t xml:space="preserve">“</w:t>
      </w:r>
      <w:r>
        <w:t xml:space="preserve">usinas de energia</w:t>
      </w:r>
      <w:r>
        <w:t xml:space="preserve">”</w:t>
      </w:r>
      <w:r>
        <w:t xml:space="preserve"> </w:t>
      </w:r>
      <w:r>
        <w:t xml:space="preserve">da célula.</w:t>
      </w:r>
    </w:p>
    <w:p>
      <w:pPr>
        <w:numPr>
          <w:ilvl w:val="0"/>
          <w:numId w:val="1226"/>
        </w:numPr>
        <w:pStyle w:val="Compact"/>
      </w:pPr>
      <w:r>
        <w:rPr>
          <w:bCs/>
          <w:b/>
        </w:rPr>
        <w:t xml:space="preserve">Origem:</w:t>
      </w:r>
      <w:r>
        <w:t xml:space="preserve"> </w:t>
      </w:r>
      <w:r>
        <w:t xml:space="preserve">descrito em 2015 por um grupo de trabalho liderado por Pinchas Cohen na University of Southern California. O organismo o produz por conta própria, sobretudo no músculo esquelético.</w:t>
      </w:r>
    </w:p>
    <w:p>
      <w:pPr>
        <w:numPr>
          <w:ilvl w:val="0"/>
          <w:numId w:val="1226"/>
        </w:numPr>
        <w:pStyle w:val="Compact"/>
      </w:pPr>
      <w:r>
        <w:rPr>
          <w:bCs/>
          <w:b/>
        </w:rPr>
        <w:t xml:space="preserve">Princípio de ação:</w:t>
      </w:r>
      <w:r>
        <w:t xml:space="preserve"> </w:t>
      </w:r>
      <w:r>
        <w:t xml:space="preserve">é considerado uma</w:t>
      </w:r>
      <w:r>
        <w:t xml:space="preserve"> </w:t>
      </w:r>
      <w:r>
        <w:t xml:space="preserve">“</w:t>
      </w:r>
      <w:r>
        <w:t xml:space="preserve">mitocina</w:t>
      </w:r>
      <w:r>
        <w:t xml:space="preserve">”</w:t>
      </w:r>
      <w:r>
        <w:t xml:space="preserve"> </w:t>
      </w:r>
      <w:r>
        <w:t xml:space="preserve">– um sinalizador das mitocôndrias. Em camundongos, ativou o sensor de energia AMPK, melhorou a sensibilidade à insulina e a capacidade física; por isso é discutido como</w:t>
      </w:r>
      <w:r>
        <w:t xml:space="preserve"> </w:t>
      </w:r>
      <w:r>
        <w:t xml:space="preserve">“</w:t>
      </w:r>
      <w:r>
        <w:t xml:space="preserve">imitador do exercício</w:t>
      </w:r>
      <w:r>
        <w:t xml:space="preserve">”</w:t>
      </w:r>
      <w:r>
        <w:t xml:space="preserve"> </w:t>
      </w:r>
      <w:r>
        <w:t xml:space="preserve">(exercise mimetic).</w:t>
      </w:r>
    </w:p>
    <w:p>
      <w:pPr>
        <w:numPr>
          <w:ilvl w:val="0"/>
          <w:numId w:val="1226"/>
        </w:numPr>
        <w:pStyle w:val="Compact"/>
      </w:pPr>
      <w:r>
        <w:rPr>
          <w:bCs/>
          <w:b/>
        </w:rPr>
        <w:t xml:space="preserve">Aprovação UE:</w:t>
      </w:r>
      <w:r>
        <w:t xml:space="preserve"> </w:t>
      </w:r>
      <w:r>
        <w:t xml:space="preserve">não.</w:t>
      </w:r>
    </w:p>
    <w:p>
      <w:pPr>
        <w:numPr>
          <w:ilvl w:val="0"/>
          <w:numId w:val="1226"/>
        </w:numPr>
        <w:pStyle w:val="Compact"/>
      </w:pPr>
      <w:r>
        <w:rPr>
          <w:bCs/>
          <w:b/>
        </w:rPr>
        <w:t xml:space="preserve">Aprovação EUA:</w:t>
      </w:r>
      <w:r>
        <w:t xml:space="preserve"> </w:t>
      </w:r>
      <w:r>
        <w:t xml:space="preserve">não. Retirado da</w:t>
      </w:r>
      <w:r>
        <w:t xml:space="preserve"> </w:t>
      </w:r>
      <w:r>
        <w:t xml:space="preserve">“</w:t>
      </w:r>
      <w:r>
        <w:t xml:space="preserve">categoria 2</w:t>
      </w:r>
      <w:r>
        <w:t xml:space="preserve">”</w:t>
      </w:r>
      <w:r>
        <w:t xml:space="preserve"> </w:t>
      </w:r>
      <w:r>
        <w:t xml:space="preserve">da FDA em abril de 2026; o comitê consultivo PCAC votou em julho de 2026, por 7 a 5, a favor da inclusão na lista de substâncias permitidas para manipulação (situação em outubro de 2026, verificar atualização).</w:t>
      </w:r>
    </w:p>
    <w:p>
      <w:pPr>
        <w:numPr>
          <w:ilvl w:val="0"/>
          <w:numId w:val="1226"/>
        </w:numPr>
        <w:pStyle w:val="Compact"/>
      </w:pPr>
      <w:r>
        <w:rPr>
          <w:bCs/>
          <w:b/>
        </w:rPr>
        <w:t xml:space="preserve">WADA:</w:t>
      </w:r>
      <w:r>
        <w:t xml:space="preserve"> </w:t>
      </w:r>
      <w:r>
        <w:rPr>
          <w:bCs/>
          <w:b/>
        </w:rPr>
        <w:t xml:space="preserve">proibido</w:t>
      </w:r>
      <w:r>
        <w:t xml:space="preserve"> </w:t>
      </w:r>
      <w:r>
        <w:t xml:space="preserve">– citado expressamente na categoria S4 (moduladores hormonais e metabólicos) como exemplo de ativador da AMPK, em competição e fora dela.</w:t>
      </w:r>
    </w:p>
    <w:p>
      <w:pPr>
        <w:numPr>
          <w:ilvl w:val="0"/>
          <w:numId w:val="1226"/>
        </w:numPr>
        <w:pStyle w:val="Compact"/>
      </w:pPr>
      <w:r>
        <w:rPr>
          <w:bCs/>
          <w:b/>
        </w:rPr>
        <w:t xml:space="preserve">Nível de evidência:</w:t>
      </w:r>
      <w:r>
        <w:t xml:space="preserve"> </w:t>
      </w:r>
      <w:r>
        <w:rPr>
          <w:bCs/>
          <w:b/>
        </w:rPr>
        <w:t xml:space="preserve">D</w:t>
      </w:r>
      <w:r>
        <w:t xml:space="preserve"> </w:t>
      </w:r>
      <w:r>
        <w:t xml:space="preserve">para a administração como substância ativa – não há resultados publicados de estudos controlados em humanos; em humanos existem apenas estudos observacionais sobre os níveis do próprio organismo.</w:t>
      </w:r>
    </w:p>
    <w:bookmarkEnd w:id="1814"/>
    <w:bookmarkStart w:id="1818" w:name="como-deveria-agir-41"/>
    <w:p>
      <w:pPr>
        <w:pStyle w:val="Heading3"/>
      </w:pPr>
      <w:r>
        <w:t xml:space="preserve">Como deveria agir</w:t>
      </w:r>
    </w:p>
    <w:p>
      <w:pPr>
        <w:pStyle w:val="FirstParagraph"/>
      </w:pPr>
      <w:r>
        <w:t xml:space="preserve">As mitocôndrias possuem um pequeno material genético próprio. Por muito tempo, ele foi considerado a</w:t>
      </w:r>
      <w:r>
        <w:t xml:space="preserve"> </w:t>
      </w:r>
      <w:r>
        <w:t xml:space="preserve">“</w:t>
      </w:r>
      <w:r>
        <w:t xml:space="preserve">planta</w:t>
      </w:r>
      <w:r>
        <w:t xml:space="preserve">”</w:t>
      </w:r>
      <w:r>
        <w:t xml:space="preserve"> </w:t>
      </w:r>
      <w:r>
        <w:t xml:space="preserve">de apenas 13 proteínas da produção de energia. Desde o início dos anos 2000, foram descobertos nele adicionalmente segmentos de leitura curtos que codificam pequenos peptídeos sinalizadores – primeiro a humanina (veja o próximo capítulo), depois o MOTS-c.</w:t>
      </w:r>
    </w:p>
    <w:p>
      <w:pPr>
        <w:pStyle w:val="BodyText"/>
      </w:pPr>
      <w:r>
        <w:t xml:space="preserve">A primeira descrição mostrou em camundongos que o MOTS-c age sobretudo no músculo esquelético: ele inibe uma via metabólica (ciclo do folato e síntese de novo de purinas), com o que se acumula o mensageiro AICAR e a enzima AMPK é ativada – o mesmo sensor de energia sobre o qual agem o exercício e o medicamento para diabetes metformina. Camundongos que receberam injeções de MOTS-c desenvolveram, com dieta rica em gordura, menos excesso de peso e menos resistência à insulina</w:t>
      </w:r>
      <w:r>
        <w:rPr>
          <w:rStyle w:val="FootnoteReference"/>
        </w:rPr>
        <w:footnoteReference w:id="1815"/>
      </w:r>
      <w:r>
        <w:t xml:space="preserve">. Sob estresse metabólico, o MOTS-c migrou, em culturas de células, para o núcleo celular e influenciou ali genes</w:t>
      </w:r>
      <w:r>
        <w:rPr>
          <w:rStyle w:val="FootnoteReference"/>
        </w:rPr>
        <w:footnoteReference w:id="1816"/>
      </w:r>
      <w:r>
        <w:t xml:space="preserve">.</w:t>
      </w:r>
    </w:p>
    <w:p>
      <w:pPr>
        <w:pStyle w:val="BodyText"/>
      </w:pPr>
      <w:r>
        <w:t xml:space="preserve">Em um segundo grande trabalho, o MOTS-c aumentou a capacidade física de camundongos jovens, de meia-idade e idosos; um tratamento iniciado só na idade avançada melhorou a capacidade física e a</w:t>
      </w:r>
      <w:r>
        <w:t xml:space="preserve"> </w:t>
      </w:r>
      <w:r>
        <w:t xml:space="preserve">“</w:t>
      </w:r>
      <w:r>
        <w:t xml:space="preserve">expectativa de vida saudável</w:t>
      </w:r>
      <w:r>
        <w:t xml:space="preserve">”</w:t>
      </w:r>
      <w:r>
        <w:t xml:space="preserve">. Em humanos, os níveis de MOTS-c no músculo e no sangue subiram após esforço físico</w:t>
      </w:r>
      <w:r>
        <w:rPr>
          <w:rStyle w:val="FootnoteReference"/>
        </w:rPr>
        <w:footnoteReference w:id="1817"/>
      </w:r>
      <w:r>
        <w:t xml:space="preserve">.</w:t>
      </w:r>
    </w:p>
    <w:p>
      <w:pPr>
        <w:pStyle w:val="BodyText"/>
      </w:pPr>
      <w:r>
        <w:t xml:space="preserve">Daí surgiu a imagem do MOTS-c como</w:t>
      </w:r>
      <w:r>
        <w:t xml:space="preserve"> </w:t>
      </w:r>
      <w:r>
        <w:t xml:space="preserve">“</w:t>
      </w:r>
      <w:r>
        <w:t xml:space="preserve">exercício na seringa</w:t>
      </w:r>
      <w:r>
        <w:t xml:space="preserve">”</w:t>
      </w:r>
      <w:r>
        <w:t xml:space="preserve">. Importante, porém, é a ordem: o fato de o exercício aumentar o MOTS-c não significa que injeções de MOTS-c reproduzam os efeitos do exercício em humanos.</w:t>
      </w:r>
    </w:p>
    <w:bookmarkEnd w:id="1818"/>
    <w:bookmarkStart w:id="1828" w:name="estudos-em-humanos-41"/>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 resultou em 5 publicações classificadas como estudos em humanos; nenhuma delas administrou MOTS-c. Ao todo, o PubMed lista cerca de 260 trabalhos com</w:t>
      </w:r>
      <w:r>
        <w:t xml:space="preserve"> </w:t>
      </w:r>
      <w:r>
        <w:t xml:space="preserve">“</w:t>
      </w:r>
      <w:r>
        <w:t xml:space="preserve">MOTS-c</w:t>
      </w:r>
      <w:r>
        <w:t xml:space="preserve">”</w:t>
      </w:r>
      <w:r>
        <w:t xml:space="preserve">, predominantemente experimentos com animais e células, bem como estudos observacionais sobre os níveis sanguíneos do próprio organismo. No ClinicalTrials.gov, a busca resultou em 5 registros. Quatro deles apenas medem níveis ou tratam de outras questões. O quinto, um suposto estudo de fase 2 com MOTS-c em pré-diabetes, vem de um patrocinador em cujo nome constam no registro aparentemente registros fictícios de exemplo. Por isso não o consideramos um estudo real e não o contamos; um estudo registrado com o próprio MOTS-c como substância ativa não está, assim, comprovado. Soma-se a isso um estudo concluído com o derivado de MOTS-c CB4211</w:t>
      </w:r>
      <w:r>
        <w:rPr>
          <w:rStyle w:val="FootnoteReference"/>
        </w:rPr>
        <w:footnoteReference w:id="1819"/>
      </w:r>
      <w:r>
        <w:t xml:space="preserve">.</w:t>
      </w:r>
    </w:p>
    <w:p>
      <w:pPr>
        <w:pStyle w:val="BodyText"/>
      </w:pPr>
      <w:r>
        <w:t xml:space="preserve">Para a compreensão deste capítulo, uma distinção é central:</w:t>
      </w:r>
    </w:p>
    <w:p>
      <w:pPr>
        <w:numPr>
          <w:ilvl w:val="0"/>
          <w:numId w:val="1227"/>
        </w:numPr>
        <w:pStyle w:val="Compact"/>
      </w:pPr>
      <w:r>
        <w:rPr>
          <w:bCs/>
          <w:b/>
        </w:rPr>
        <w:t xml:space="preserve">Estudos observacionais sobre níveis do próprio organismo:</w:t>
      </w:r>
      <w:r>
        <w:t xml:space="preserve"> </w:t>
      </w:r>
      <w:r>
        <w:t xml:space="preserve">aqui se mede quanto MOTS-c as pessoas têm no sangue e relaciona-se isso com doenças ou comportamento.</w:t>
      </w:r>
    </w:p>
    <w:p>
      <w:pPr>
        <w:numPr>
          <w:ilvl w:val="0"/>
          <w:numId w:val="1227"/>
        </w:numPr>
        <w:pStyle w:val="Compact"/>
      </w:pPr>
      <w:r>
        <w:rPr>
          <w:bCs/>
          <w:b/>
        </w:rPr>
        <w:t xml:space="preserve">Estudos em que MOTS-c (ou um derivado) é administrado como substância ativa:</w:t>
      </w:r>
      <w:r>
        <w:t xml:space="preserve"> </w:t>
      </w:r>
      <w:r>
        <w:t xml:space="preserve">só eles podem mostrar se uma suplementação produz algum efeito.</w:t>
      </w:r>
    </w:p>
    <w:p>
      <w:pPr>
        <w:pStyle w:val="FirstParagraph"/>
      </w:pPr>
      <w:r>
        <w:t xml:space="preserve">Resultados do primeiro tipo são frequentemente apresentados na internet como se comprovassem o efeito do segundo tipo. Isso é um curto-circuito.</w:t>
      </w:r>
    </w:p>
    <w:bookmarkStart w:id="1825" w:name="níveis-do-próprio-organismo-observações"/>
    <w:p>
      <w:pPr>
        <w:pStyle w:val="Heading4"/>
      </w:pPr>
      <w:r>
        <w:t xml:space="preserve">1. Níveis do próprio organismo: observações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Du 2018, PMID 29691953</w:t>
            </w:r>
          </w:p>
        </w:tc>
        <w:tc>
          <w:tcPr/>
          <w:p>
            <w:pPr>
              <w:pStyle w:val="Compact"/>
              <w:jc w:val="left"/>
            </w:pPr>
            <w:r>
              <w:t xml:space="preserve">40 crianças e adolescentes com excesso de peso, 57 controles, estudo caso-controle</w:t>
            </w:r>
          </w:p>
        </w:tc>
        <w:tc>
          <w:tcPr/>
          <w:p>
            <w:pPr>
              <w:pStyle w:val="Compact"/>
              <w:jc w:val="left"/>
            </w:pPr>
            <w:r>
              <w:t xml:space="preserve">transversal</w:t>
            </w:r>
          </w:p>
        </w:tc>
        <w:tc>
          <w:tcPr/>
          <w:p>
            <w:pPr>
              <w:pStyle w:val="Compact"/>
              <w:jc w:val="left"/>
            </w:pPr>
            <w:r>
              <w:t xml:space="preserve">níveis mais baixos em meninos com excesso de peso, não em meninas</w:t>
            </w:r>
          </w:p>
        </w:tc>
      </w:tr>
      <w:tr>
        <w:tc>
          <w:tcPr/>
          <w:p>
            <w:pPr>
              <w:pStyle w:val="Compact"/>
              <w:jc w:val="left"/>
            </w:pPr>
            <w:r>
              <w:t xml:space="preserve">Kirik 2023, PMID 37750635</w:t>
            </w:r>
          </w:p>
        </w:tc>
        <w:tc>
          <w:tcPr/>
          <w:p>
            <w:pPr>
              <w:pStyle w:val="Compact"/>
              <w:jc w:val="left"/>
            </w:pPr>
            <w:r>
              <w:t xml:space="preserve">150 pessoas com fígado gorduroso, 84 saudáveis</w:t>
            </w:r>
          </w:p>
        </w:tc>
        <w:tc>
          <w:tcPr/>
          <w:p>
            <w:pPr>
              <w:pStyle w:val="Compact"/>
              <w:jc w:val="left"/>
            </w:pPr>
            <w:r>
              <w:t xml:space="preserve">transversal</w:t>
            </w:r>
          </w:p>
        </w:tc>
        <w:tc>
          <w:tcPr/>
          <w:p>
            <w:pPr>
              <w:pStyle w:val="Compact"/>
              <w:jc w:val="left"/>
            </w:pPr>
            <w:r>
              <w:t xml:space="preserve">níveis mais baixos em fígado gorduroso e síndrome metabólica</w:t>
            </w:r>
          </w:p>
        </w:tc>
      </w:tr>
      <w:tr>
        <w:tc>
          <w:tcPr/>
          <w:p>
            <w:pPr>
              <w:pStyle w:val="Compact"/>
              <w:jc w:val="left"/>
            </w:pPr>
            <w:r>
              <w:t xml:space="preserve">Ikonomidis 2020, PMID 32052315</w:t>
            </w:r>
          </w:p>
        </w:tc>
        <w:tc>
          <w:tcPr/>
          <w:p>
            <w:pPr>
              <w:pStyle w:val="Compact"/>
              <w:jc w:val="left"/>
            </w:pPr>
            <w:r>
              <w:t xml:space="preserve">121 pessoas com diabetes tipo 2 após intervenção vascular</w:t>
            </w:r>
          </w:p>
        </w:tc>
        <w:tc>
          <w:tcPr/>
          <w:p>
            <w:pPr>
              <w:pStyle w:val="Compact"/>
              <w:jc w:val="left"/>
            </w:pPr>
            <w:r>
              <w:t xml:space="preserve">2 anos</w:t>
            </w:r>
          </w:p>
        </w:tc>
        <w:tc>
          <w:tcPr/>
          <w:p>
            <w:pPr>
              <w:pStyle w:val="Compact"/>
              <w:jc w:val="left"/>
            </w:pPr>
            <w:r>
              <w:t xml:space="preserve">MOTS-c baixo (abaixo de 167 ng/ml) previu eventos cardiovasculares (risco relativo 3,8)</w:t>
            </w:r>
          </w:p>
        </w:tc>
      </w:tr>
      <w:tr>
        <w:tc>
          <w:tcPr/>
          <w:p>
            <w:pPr>
              <w:pStyle w:val="Compact"/>
              <w:jc w:val="left"/>
            </w:pPr>
            <w:r>
              <w:t xml:space="preserve">von Walden 2021, PMID 34351816</w:t>
            </w:r>
          </w:p>
        </w:tc>
        <w:tc>
          <w:tcPr/>
          <w:p>
            <w:pPr>
              <w:pStyle w:val="Compact"/>
              <w:jc w:val="left"/>
            </w:pPr>
            <w:r>
              <w:t xml:space="preserve">30 pessoas, treino de resistência aeróbica ou de força ou controle, randomizado</w:t>
            </w:r>
          </w:p>
        </w:tc>
        <w:tc>
          <w:tcPr/>
          <w:p>
            <w:pPr>
              <w:pStyle w:val="Compact"/>
              <w:jc w:val="left"/>
            </w:pPr>
            <w:r>
              <w:t xml:space="preserve">esforço único</w:t>
            </w:r>
          </w:p>
        </w:tc>
        <w:tc>
          <w:tcPr/>
          <w:p>
            <w:pPr>
              <w:pStyle w:val="Compact"/>
              <w:jc w:val="left"/>
            </w:pPr>
            <w:r>
              <w:t xml:space="preserve">a humanina subiu após esforço aeróbico, o MOTS-c mostrou apenas uma tendência</w:t>
            </w:r>
          </w:p>
        </w:tc>
      </w:tr>
      <w:tr>
        <w:tc>
          <w:tcPr/>
          <w:p>
            <w:pPr>
              <w:pStyle w:val="Compact"/>
              <w:jc w:val="left"/>
            </w:pPr>
            <w:r>
              <w:t xml:space="preserve">Dieli-Conwright 2021, PMID 34413391</w:t>
            </w:r>
          </w:p>
        </w:tc>
        <w:tc>
          <w:tcPr/>
          <w:p>
            <w:pPr>
              <w:pStyle w:val="Compact"/>
              <w:jc w:val="left"/>
            </w:pPr>
            <w:r>
              <w:t xml:space="preserve">49 mulheres após câncer de mama, treino ou cuidado padrão, randomizado</w:t>
            </w:r>
          </w:p>
        </w:tc>
        <w:tc>
          <w:tcPr/>
          <w:p>
            <w:pPr>
              <w:pStyle w:val="Compact"/>
              <w:jc w:val="left"/>
            </w:pPr>
            <w:r>
              <w:t xml:space="preserve">16 semanas</w:t>
            </w:r>
          </w:p>
        </w:tc>
        <w:tc>
          <w:tcPr/>
          <w:p>
            <w:pPr>
              <w:pStyle w:val="Compact"/>
              <w:jc w:val="left"/>
            </w:pPr>
            <w:r>
              <w:t xml:space="preserve">aumento do MOTS-c em mulheres brancas não hispânicas, não em mulheres hispânicas</w:t>
            </w:r>
          </w:p>
        </w:tc>
      </w:tr>
      <w:tr>
        <w:tc>
          <w:tcPr/>
          <w:p>
            <w:pPr>
              <w:pStyle w:val="Compact"/>
              <w:jc w:val="left"/>
            </w:pPr>
            <w:r>
              <w:t xml:space="preserve">Elhusseiny 2025, PMID 40674654</w:t>
            </w:r>
          </w:p>
        </w:tc>
        <w:tc>
          <w:tcPr/>
          <w:p>
            <w:pPr>
              <w:pStyle w:val="Compact"/>
              <w:jc w:val="left"/>
            </w:pPr>
            <w:r>
              <w:t xml:space="preserve">19 homens ativos com perna imobilizada, tratamento com calor ou simulado</w:t>
            </w:r>
          </w:p>
        </w:tc>
        <w:tc>
          <w:tcPr/>
          <w:p>
            <w:pPr>
              <w:pStyle w:val="Compact"/>
              <w:jc w:val="left"/>
            </w:pPr>
            <w:r>
              <w:t xml:space="preserve">2 semanas</w:t>
            </w:r>
          </w:p>
        </w:tc>
        <w:tc>
          <w:tcPr/>
          <w:p>
            <w:pPr>
              <w:pStyle w:val="Compact"/>
              <w:jc w:val="left"/>
            </w:pPr>
            <w:r>
              <w:t xml:space="preserve">o calor aumentou o MOTS-c no sangue</w:t>
            </w:r>
          </w:p>
        </w:tc>
      </w:tr>
    </w:tbl>
    <w:p>
      <w:pPr>
        <w:pStyle w:val="BodyText"/>
      </w:pPr>
      <w:r>
        <w:t xml:space="preserve">Esses estudos mostram que níveis baixos de MOTS-c frequentemente acompanham excesso de peso, resistência à insulina, fígado gorduroso ou problemas vasculares</w:t>
      </w:r>
      <w:r>
        <w:rPr>
          <w:rStyle w:val="FootnoteReference"/>
        </w:rPr>
        <w:footnoteReference w:id="1820"/>
      </w:r>
      <w:r>
        <w:t xml:space="preserve"> </w:t>
      </w:r>
      <w:r>
        <w:t xml:space="preserve">e que exercício ou calor podem aumentar os níveis. O que eles</w:t>
      </w:r>
      <w:r>
        <w:t xml:space="preserve"> </w:t>
      </w:r>
      <w:r>
        <w:rPr>
          <w:bCs/>
          <w:b/>
        </w:rPr>
        <w:t xml:space="preserve">não</w:t>
      </w:r>
      <w:r>
        <w:t xml:space="preserve"> </w:t>
      </w:r>
      <w:r>
        <w:t xml:space="preserve">mostram: que níveis baixos causam as doenças, ou que MOTS-c administrado as previne. Pode muito bem ser o contrário – a doença reduz o nível.</w:t>
      </w:r>
    </w:p>
    <w:p>
      <w:pPr>
        <w:pStyle w:val="BodyText"/>
      </w:pPr>
      <w:r>
        <w:t xml:space="preserve">Outra dificuldade é a própria medição. Os estudos usam diferentes métodos de teste (ELISA), cujos resultados diferem muito: em crianças, as médias ficaram em torno de 470 a 560 ng/ml</w:t>
      </w:r>
      <w:r>
        <w:rPr>
          <w:rStyle w:val="FootnoteReference"/>
        </w:rPr>
        <w:footnoteReference w:id="1821"/>
      </w:r>
      <w:r>
        <w:t xml:space="preserve">; no estudo de diabetes, um valor abaixo de 167 ng/ml foi considerado baixo</w:t>
      </w:r>
      <w:r>
        <w:rPr>
          <w:rStyle w:val="FootnoteReference"/>
        </w:rPr>
        <w:footnoteReference w:id="1822"/>
      </w:r>
      <w:r>
        <w:t xml:space="preserve">. Em um estudo com pacientes com câncer de mama, nem mesmo a metformina – que age sobre o mesmo sensor de energia – alterou os níveis medidos com um teste comercial</w:t>
      </w:r>
      <w:r>
        <w:rPr>
          <w:rStyle w:val="FootnoteReference"/>
        </w:rPr>
        <w:footnoteReference w:id="1823"/>
      </w:r>
      <w:r>
        <w:t xml:space="preserve">.</w:t>
      </w:r>
    </w:p>
    <w:p>
      <w:pPr>
        <w:pStyle w:val="BodyText"/>
      </w:pPr>
      <w:r>
        <w:rPr>
          <w:bCs/>
          <w:b/>
        </w:rPr>
        <w:t xml:space="preserve">Indícios genéticos:</w:t>
      </w:r>
      <w:r>
        <w:t xml:space="preserve"> </w:t>
      </w:r>
      <w:r>
        <w:t xml:space="preserve">uma variante do material genético mitocondrial que ocorre apenas na Ásia altera um componente do MOTS-c (K14Q). Em três coortes com um total de 27.527 pessoas, homens com essa variante tinham diabetes tipo 2 com mais frequência, sobretudo quando eram pouco ativos fisicamente. Em camundongos, a forma alterada de MOTS-c agiu mais fracamente</w:t>
      </w:r>
      <w:r>
        <w:rPr>
          <w:rStyle w:val="FootnoteReference"/>
        </w:rPr>
        <w:footnoteReference w:id="1824"/>
      </w:r>
      <w:r>
        <w:t xml:space="preserve">. É um indício interessante de que o MOTS-c poderia ter papel no metabolismo humano – mas não uma prova do benefício de uma suplementação.</w:t>
      </w:r>
    </w:p>
    <w:bookmarkEnd w:id="1825"/>
    <w:bookmarkStart w:id="1827" w:name="X0f913854f2ba85a4f2bf7573288d2be939a996d"/>
    <w:p>
      <w:pPr>
        <w:pStyle w:val="Heading4"/>
      </w:pPr>
      <w:r>
        <w:t xml:space="preserve">2. Administração como substância ativa: CB4211</w:t>
      </w:r>
    </w:p>
    <w:p>
      <w:pPr>
        <w:pStyle w:val="FirstParagraph"/>
      </w:pPr>
      <w:r>
        <w:t xml:space="preserve">O</w:t>
      </w:r>
      <w:r>
        <w:t xml:space="preserve"> </w:t>
      </w:r>
      <w:r>
        <w:rPr>
          <w:bCs/>
          <w:b/>
        </w:rPr>
        <w:t xml:space="preserve">CB4211</w:t>
      </w:r>
      <w:r>
        <w:t xml:space="preserve"> </w:t>
      </w:r>
      <w:r>
        <w:t xml:space="preserve">é um derivado de MOTS-c desenvolvido pela empresa CohBar. O estudo de fase 1a/1b</w:t>
      </w:r>
      <w:r>
        <w:rPr>
          <w:rStyle w:val="FootnoteReference"/>
        </w:rPr>
        <w:footnoteReference w:id="1826"/>
      </w:r>
      <w:r>
        <w:t xml:space="preserve"> </w:t>
      </w:r>
      <w:r>
        <w:t xml:space="preserve">foi randomizado, duplo-cego e controlado por placebo e incluiu 88 participantes: pessoas saudáveis receberam injeções subcutâneas únicas ou diárias por sete dias, e pessoas com obesidade e fígado gorduroso, por 28 dias. Os desfechos principais foram segurança e tolerabilidade; objetivos secundários foram, entre outros, gordura hepática e peso corporal. O estudo foi concluído em abril de 2021. No registro não há resultados depositados, e uma publicação em revista especializada não pôde ser encontrada em nossa pesquisa. A empresa comunicou em 2021, por comunicado à imprensa, alterações favoráveis de alguns valores hepáticos e glicêmicos com boa tolerabilidade; tais comunicados não são revisados de forma independente. Não se conhece continuidade do desenvolvimento em estudos maiores.</w:t>
      </w:r>
    </w:p>
    <w:p>
      <w:pPr>
        <w:pStyle w:val="BodyText"/>
      </w:pPr>
      <w:r>
        <w:t xml:space="preserve">O</w:t>
      </w:r>
      <w:r>
        <w:t xml:space="preserve"> </w:t>
      </w:r>
      <w:r>
        <w:rPr>
          <w:bCs/>
          <w:b/>
        </w:rPr>
        <w:t xml:space="preserve">próprio MOTS-c</w:t>
      </w:r>
      <w:r>
        <w:t xml:space="preserve">, segundo nossa pesquisa, ainda não foi administrado como substância ativa em nenhum estudo publicado ou registrado de forma confiável em humanos. Um registro que descreve um estudo de fase 2 desse tipo revelou-se duvidoso (veja acima).</w:t>
      </w:r>
    </w:p>
    <w:p>
      <w:pPr>
        <w:pStyle w:val="BodyText"/>
      </w:pPr>
      <w:r>
        <w:t xml:space="preserve">Até lá vale:</w:t>
      </w:r>
      <w:r>
        <w:t xml:space="preserve"> </w:t>
      </w:r>
      <w:r>
        <w:rPr>
          <w:bCs/>
          <w:b/>
        </w:rPr>
        <w:t xml:space="preserve">não há dados publicados</w:t>
      </w:r>
      <w:r>
        <w:t xml:space="preserve"> </w:t>
      </w:r>
      <w:r>
        <w:t xml:space="preserve">sobre se injeções de MOTS-c influenciam o metabolismo, o desempenho ou o envelhecimento em humanos.</w:t>
      </w:r>
    </w:p>
    <w:bookmarkEnd w:id="1827"/>
    <w:bookmarkEnd w:id="1828"/>
    <w:bookmarkStart w:id="1833" w:name="estudos-em-animais-e-em-laboratório-41"/>
    <w:p>
      <w:pPr>
        <w:pStyle w:val="Heading3"/>
      </w:pPr>
      <w:r>
        <w:t xml:space="preserve">Estudos em animais e em laboratório</w:t>
      </w:r>
    </w:p>
    <w:p>
      <w:pPr>
        <w:pStyle w:val="FirstParagraph"/>
      </w:pPr>
      <w:r>
        <w:t xml:space="preserve">A pesquisa pré-clínica é extensa e cresce rapidamente:</w:t>
      </w:r>
    </w:p>
    <w:p>
      <w:pPr>
        <w:numPr>
          <w:ilvl w:val="0"/>
          <w:numId w:val="1228"/>
        </w:numPr>
        <w:pStyle w:val="Compact"/>
      </w:pPr>
      <w:r>
        <w:rPr>
          <w:bCs/>
          <w:b/>
        </w:rPr>
        <w:t xml:space="preserve">Metabolismo:</w:t>
      </w:r>
      <w:r>
        <w:t xml:space="preserve"> </w:t>
      </w:r>
      <w:r>
        <w:t xml:space="preserve">em camundongos, o MOTS-c impediu o excesso de peso e a resistência à insulina induzidos pela dieta</w:t>
      </w:r>
      <w:r>
        <w:rPr>
          <w:rStyle w:val="FootnoteReference"/>
        </w:rPr>
        <w:footnoteReference w:id="1829"/>
      </w:r>
      <w:r>
        <w:t xml:space="preserve">.</w:t>
      </w:r>
    </w:p>
    <w:p>
      <w:pPr>
        <w:numPr>
          <w:ilvl w:val="0"/>
          <w:numId w:val="1228"/>
        </w:numPr>
        <w:pStyle w:val="Compact"/>
      </w:pPr>
      <w:r>
        <w:rPr>
          <w:bCs/>
          <w:b/>
        </w:rPr>
        <w:t xml:space="preserve">Músculo:</w:t>
      </w:r>
      <w:r>
        <w:t xml:space="preserve"> </w:t>
      </w:r>
      <w:r>
        <w:t xml:space="preserve">o MOTS-c reduziu, em camundongos com excesso de peso, o mensageiro de degradação muscular miostatina; em humanos, os níveis sanguíneos de MOTS-c e miostatina foram inversos</w:t>
      </w:r>
      <w:r>
        <w:rPr>
          <w:rStyle w:val="FootnoteReference"/>
        </w:rPr>
        <w:footnoteReference w:id="1830"/>
      </w:r>
      <w:r>
        <w:t xml:space="preserve">.</w:t>
      </w:r>
    </w:p>
    <w:p>
      <w:pPr>
        <w:numPr>
          <w:ilvl w:val="0"/>
          <w:numId w:val="1228"/>
        </w:numPr>
        <w:pStyle w:val="Compact"/>
      </w:pPr>
      <w:r>
        <w:rPr>
          <w:bCs/>
          <w:b/>
        </w:rPr>
        <w:t xml:space="preserve">Desempenho e idade:</w:t>
      </w:r>
      <w:r>
        <w:t xml:space="preserve"> </w:t>
      </w:r>
      <w:r>
        <w:t xml:space="preserve">o MOTS-c aumentou o desempenho físico de camundongos de diferentes idades</w:t>
      </w:r>
      <w:r>
        <w:rPr>
          <w:rStyle w:val="FootnoteReference"/>
        </w:rPr>
        <w:footnoteReference w:id="1831"/>
      </w:r>
      <w:r>
        <w:t xml:space="preserve">.</w:t>
      </w:r>
    </w:p>
    <w:p>
      <w:pPr>
        <w:numPr>
          <w:ilvl w:val="0"/>
          <w:numId w:val="1228"/>
        </w:numPr>
        <w:pStyle w:val="Compact"/>
      </w:pPr>
      <w:r>
        <w:rPr>
          <w:bCs/>
          <w:b/>
        </w:rPr>
        <w:t xml:space="preserve">Pâncreas:</w:t>
      </w:r>
      <w:r>
        <w:t xml:space="preserve"> </w:t>
      </w:r>
      <w:r>
        <w:t xml:space="preserve">em camundongos, o MOTS-c retardou o envelhecimento das células produtoras de insulina e o início de um diabetes</w:t>
      </w:r>
      <w:r>
        <w:rPr>
          <w:rStyle w:val="FootnoteReference"/>
        </w:rPr>
        <w:footnoteReference w:id="1832"/>
      </w:r>
      <w:r>
        <w:t xml:space="preserve">.</w:t>
      </w:r>
    </w:p>
    <w:p>
      <w:pPr>
        <w:numPr>
          <w:ilvl w:val="0"/>
          <w:numId w:val="1228"/>
        </w:numPr>
        <w:pStyle w:val="Compact"/>
      </w:pPr>
      <w:r>
        <w:t xml:space="preserve">Numerosos outros trabalhos, predominantemente da China, descrevem efeitos protetores em modelos de lesões pulmonares, cardíacas, hepáticas, ósseas e renais.</w:t>
      </w:r>
    </w:p>
    <w:p>
      <w:pPr>
        <w:pStyle w:val="FirstParagraph"/>
      </w:pPr>
      <w:r>
        <w:t xml:space="preserve">A abundância de estudos animais positivos chama a atenção. Ela mostra que o MOTS-c é biologicamente ativo; sobre efeito e segurança em humanos, diz pouco.</w:t>
      </w:r>
    </w:p>
    <w:bookmarkEnd w:id="1833"/>
    <w:bookmarkStart w:id="1836" w:name="riscos-e-efeitos-colaterais-41"/>
    <w:p>
      <w:pPr>
        <w:pStyle w:val="Heading3"/>
      </w:pPr>
      <w:r>
        <w:t xml:space="preserve">Riscos e efeitos colaterais</w:t>
      </w:r>
    </w:p>
    <w:p>
      <w:pPr>
        <w:pStyle w:val="FirstParagraph"/>
      </w:pPr>
      <w:r>
        <w:rPr>
          <w:bCs/>
          <w:b/>
        </w:rPr>
        <w:t xml:space="preserve">Comprovado:</w:t>
      </w:r>
      <w:r>
        <w:t xml:space="preserve"> </w:t>
      </w:r>
      <w:r>
        <w:t xml:space="preserve">não há dados de segurança publicados sobre a administração de MOTS-c em humanos.</w:t>
      </w:r>
    </w:p>
    <w:p>
      <w:pPr>
        <w:pStyle w:val="BodyText"/>
      </w:pPr>
      <w:r>
        <w:rPr>
          <w:bCs/>
          <w:b/>
        </w:rPr>
        <w:t xml:space="preserve">Teórico:</w:t>
      </w:r>
    </w:p>
    <w:p>
      <w:pPr>
        <w:numPr>
          <w:ilvl w:val="0"/>
          <w:numId w:val="1229"/>
        </w:numPr>
        <w:pStyle w:val="Compact"/>
      </w:pPr>
      <w:r>
        <w:rPr>
          <w:bCs/>
          <w:b/>
        </w:rPr>
        <w:t xml:space="preserve">Glicemia:</w:t>
      </w:r>
      <w:r>
        <w:t xml:space="preserve"> </w:t>
      </w:r>
      <w:r>
        <w:t xml:space="preserve">uma substância que aumenta a sensibilidade à insulina poderia, junto com medicamentos para diabetes, favorecer hipoglicemias.</w:t>
      </w:r>
    </w:p>
    <w:p>
      <w:pPr>
        <w:numPr>
          <w:ilvl w:val="0"/>
          <w:numId w:val="1229"/>
        </w:numPr>
        <w:pStyle w:val="Compact"/>
      </w:pPr>
      <w:r>
        <w:rPr>
          <w:bCs/>
          <w:b/>
        </w:rPr>
        <w:t xml:space="preserve">Câncer:</w:t>
      </w:r>
      <w:r>
        <w:t xml:space="preserve"> </w:t>
      </w:r>
      <w:r>
        <w:t xml:space="preserve">em estudos de laboratório, o MOTS-c tendeu a frear células cancerosas: inibiu o crescimento de células de câncer de ovário</w:t>
      </w:r>
      <w:r>
        <w:rPr>
          <w:rStyle w:val="FootnoteReference"/>
        </w:rPr>
        <w:footnoteReference w:id="1834"/>
      </w:r>
      <w:r>
        <w:t xml:space="preserve"> </w:t>
      </w:r>
      <w:r>
        <w:t xml:space="preserve">e tornou células de câncer de fígado, sob falta de oxigênio, mais sensíveis à morte celular programada</w:t>
      </w:r>
      <w:r>
        <w:rPr>
          <w:rStyle w:val="FootnoteReference"/>
        </w:rPr>
        <w:footnoteReference w:id="1835"/>
      </w:r>
      <w:r>
        <w:t xml:space="preserve">. Se isso vale para humanos e como a suplementação por anos de um sinalizador metabolicamente ativo se manifesta não foi estudado.</w:t>
      </w:r>
    </w:p>
    <w:p>
      <w:pPr>
        <w:numPr>
          <w:ilvl w:val="0"/>
          <w:numId w:val="1229"/>
        </w:numPr>
        <w:pStyle w:val="Compact"/>
      </w:pPr>
      <w:r>
        <w:rPr>
          <w:bCs/>
          <w:b/>
        </w:rPr>
        <w:t xml:space="preserve">Reações imunológicas:</w:t>
      </w:r>
      <w:r>
        <w:t xml:space="preserve"> </w:t>
      </w:r>
      <w:r>
        <w:t xml:space="preserve">com injeções repetidas de um peptídeo, podem surgir anticorpos; isso não foi estudado para o MOTS-c.</w:t>
      </w:r>
    </w:p>
    <w:p>
      <w:pPr>
        <w:pStyle w:val="FirstParagraph"/>
      </w:pPr>
      <w:r>
        <w:rPr>
          <w:bCs/>
          <w:b/>
        </w:rPr>
        <w:t xml:space="preserve">Mercado cinza e esporte:</w:t>
      </w:r>
      <w:r>
        <w:t xml:space="preserve"> </w:t>
      </w:r>
      <w:r>
        <w:t xml:space="preserve">o MOTS-c está entre os peptídeos de</w:t>
      </w:r>
      <w:r>
        <w:t xml:space="preserve"> </w:t>
      </w:r>
      <w:r>
        <w:t xml:space="preserve">“</w:t>
      </w:r>
      <w:r>
        <w:t xml:space="preserve">longevidade</w:t>
      </w:r>
      <w:r>
        <w:t xml:space="preserve">”</w:t>
      </w:r>
      <w:r>
        <w:t xml:space="preserve"> </w:t>
      </w:r>
      <w:r>
        <w:t xml:space="preserve">e fitness mais populares na internet e é vendido como pó para injeção. Pureza e teor não são verificados. Para atletas, o uso é expressamente proibido (WADA S4).</w:t>
      </w:r>
    </w:p>
    <w:bookmarkEnd w:id="1836"/>
    <w:bookmarkStart w:id="1837" w:name="situação-legal-41"/>
    <w:p>
      <w:pPr>
        <w:pStyle w:val="Heading3"/>
      </w:pPr>
      <w:r>
        <w:t xml:space="preserve">Situação legal</w:t>
      </w:r>
    </w:p>
    <w:p>
      <w:pPr>
        <w:numPr>
          <w:ilvl w:val="0"/>
          <w:numId w:val="1230"/>
        </w:numPr>
        <w:pStyle w:val="Compact"/>
      </w:pPr>
      <w:r>
        <w:rPr>
          <w:bCs/>
          <w:b/>
        </w:rPr>
        <w:t xml:space="preserve">UE / Áustria / Alemanha:</w:t>
      </w:r>
      <w:r>
        <w:t xml:space="preserve"> </w:t>
      </w:r>
      <w:r>
        <w:t xml:space="preserve">não aprovado; como substância com efeito farmacológico, o MOTS-c é considerado medicamento, e a venda para uso em humanos não é permitida.</w:t>
      </w:r>
    </w:p>
    <w:p>
      <w:pPr>
        <w:numPr>
          <w:ilvl w:val="0"/>
          <w:numId w:val="1230"/>
        </w:numPr>
        <w:pStyle w:val="Compact"/>
      </w:pPr>
      <w:r>
        <w:rPr>
          <w:bCs/>
          <w:b/>
        </w:rPr>
        <w:t xml:space="preserve">EUA:</w:t>
      </w:r>
      <w:r>
        <w:t xml:space="preserve"> </w:t>
      </w:r>
      <w:r>
        <w:t xml:space="preserve">não aprovado. Após o voto positivo do PCAC em julho de 2026, o MOTS-c poderá no futuro ser usado em preparações de farmácia, se a FDA seguir a recomendação; a decisão estava pendente no fechamento desta edição (situação em outubro de 2026, verificar atualização).</w:t>
      </w:r>
    </w:p>
    <w:p>
      <w:pPr>
        <w:numPr>
          <w:ilvl w:val="0"/>
          <w:numId w:val="1230"/>
        </w:numPr>
        <w:pStyle w:val="Compact"/>
      </w:pPr>
      <w:r>
        <w:rPr>
          <w:bCs/>
          <w:b/>
        </w:rPr>
        <w:t xml:space="preserve">Esporte:</w:t>
      </w:r>
      <w:r>
        <w:t xml:space="preserve"> </w:t>
      </w:r>
      <w:r>
        <w:t xml:space="preserve">proibido pela lista da WADA, categoria S4 (situação em 2026, verificar atualização).</w:t>
      </w:r>
    </w:p>
    <w:bookmarkEnd w:id="1837"/>
    <w:bookmarkStart w:id="1840" w:name="estudos-em-andamento-e-perspectivas-41"/>
    <w:p>
      <w:pPr>
        <w:pStyle w:val="Heading3"/>
      </w:pPr>
      <w:r>
        <w:t xml:space="preserve">Estudos em andamento e perspectivas</w:t>
      </w:r>
    </w:p>
    <w:p>
      <w:pPr>
        <w:pStyle w:val="FirstParagraph"/>
      </w:pPr>
      <w:r>
        <w:rPr>
          <w:bCs/>
          <w:b/>
        </w:rPr>
        <w:t xml:space="preserve">Comprovado (estudos registrados, situação em outubro de 2026):</w:t>
      </w:r>
    </w:p>
    <w:p>
      <w:pPr>
        <w:numPr>
          <w:ilvl w:val="0"/>
          <w:numId w:val="1231"/>
        </w:numPr>
        <w:pStyle w:val="Compact"/>
      </w:pPr>
      <w:r>
        <w:t xml:space="preserve">Não há estudo registrado de forma confiável em que o MOTS-c seja administrado como substância ativa.</w:t>
      </w:r>
    </w:p>
    <w:p>
      <w:pPr>
        <w:numPr>
          <w:ilvl w:val="0"/>
          <w:numId w:val="1231"/>
        </w:numPr>
        <w:pStyle w:val="Compact"/>
      </w:pPr>
      <w:r>
        <w:t xml:space="preserve">Vários estudos observacionais medem níveis de MOTS-c, por exemplo no transplante renal</w:t>
      </w:r>
      <w:r>
        <w:rPr>
          <w:rStyle w:val="FootnoteReference"/>
        </w:rPr>
        <w:footnoteReference w:id="1838"/>
      </w:r>
      <w:r>
        <w:t xml:space="preserve"> </w:t>
      </w:r>
      <w:r>
        <w:t xml:space="preserve">ou no diabetes sob diferentes medicamentos</w:t>
      </w:r>
      <w:r>
        <w:rPr>
          <w:rStyle w:val="FootnoteReference"/>
        </w:rPr>
        <w:footnoteReference w:id="1839"/>
      </w:r>
      <w:r>
        <w:t xml:space="preserve">.</w:t>
      </w:r>
    </w:p>
    <w:p>
      <w:pPr>
        <w:pStyle w:val="FirstParagraph"/>
      </w:pPr>
      <w:r>
        <w:rPr>
          <w:bCs/>
          <w:b/>
        </w:rPr>
        <w:t xml:space="preserve">Avaliação:</w:t>
      </w:r>
      <w:r>
        <w:t xml:space="preserve"> </w:t>
      </w:r>
      <w:r>
        <w:t xml:space="preserve">a questão central – o MOTS-c administrado melhora a sensibilidade à insulina em humanos? – não foi verificada por ninguém em um estudo publicado até agora. Para isso, seria necessário primeiro um estudo controlado de fase 1/2 com resultados publicados. Até lá, toda afirmação sobre um efeito em humanos se baseia em experimentos com animais e medições de níveis.</w:t>
      </w:r>
    </w:p>
    <w:bookmarkEnd w:id="1840"/>
    <w:bookmarkStart w:id="1841" w:name="conclusão-41"/>
    <w:p>
      <w:pPr>
        <w:pStyle w:val="Heading3"/>
      </w:pPr>
      <w:r>
        <w:t xml:space="preserve">Conclusão</w:t>
      </w:r>
    </w:p>
    <w:p>
      <w:pPr>
        <w:pStyle w:val="FirstParagraph"/>
      </w:pPr>
      <w:r>
        <w:t xml:space="preserve">O MOTS-c é um peptídeo do próprio organismo, codificado no material genético mitocondrial, que em camundongos melhorou o metabolismo e a capacidade física e que em humanos aumenta após o exercício. Estudos observacionais mostram níveis mais baixos em excesso de peso, fígado gorduroso e doenças vasculares, mas não comprovam causa nem benefício de uma suplementação. O único estudo concluído com um derivado de MOTS-c (CB4211) não foi publicado em revista especializada, e com o próprio MOTS-c não há estudo publicado em humanos. Os dados não são suficientes para avaliar benefício ou segurança em humanos; no esporte, o MOTS-c é proibido.</w:t>
      </w:r>
    </w:p>
    <w:bookmarkEnd w:id="1841"/>
    <w:bookmarkEnd w:id="1842"/>
    <w:bookmarkStart w:id="1865" w:name="humanina"/>
    <w:p>
      <w:pPr>
        <w:pStyle w:val="Heading2"/>
      </w:pPr>
      <w:r>
        <w:t xml:space="preserve">Humanina</w:t>
      </w:r>
    </w:p>
    <w:bookmarkStart w:id="1843" w:name="ficha-técnica-42"/>
    <w:p>
      <w:pPr>
        <w:pStyle w:val="Heading3"/>
      </w:pPr>
      <w:r>
        <w:t xml:space="preserve">Ficha técnica</w:t>
      </w:r>
    </w:p>
    <w:p>
      <w:pPr>
        <w:numPr>
          <w:ilvl w:val="0"/>
          <w:numId w:val="1232"/>
        </w:numPr>
        <w:pStyle w:val="Compact"/>
      </w:pPr>
      <w:r>
        <w:rPr>
          <w:bCs/>
          <w:b/>
        </w:rPr>
        <w:t xml:space="preserve">Tipo e estrutura:</w:t>
      </w:r>
      <w:r>
        <w:t xml:space="preserve"> </w:t>
      </w:r>
      <w:r>
        <w:t xml:space="preserve">peptídeo do próprio organismo com 24 aminoácidos. No mercado cinza e na pesquisa, usa-se em geral a forma modificada</w:t>
      </w:r>
      <w:r>
        <w:t xml:space="preserve"> </w:t>
      </w:r>
      <w:r>
        <w:rPr>
          <w:bCs/>
          <w:b/>
        </w:rPr>
        <w:t xml:space="preserve">HNG</w:t>
      </w:r>
      <w:r>
        <w:t xml:space="preserve"> </w:t>
      </w:r>
      <w:r>
        <w:t xml:space="preserve">(humanina-G, também S14G-humanina), na qual, na posição 14, a serina é substituída por glicina; em experimentos de laboratório, ela age com bem mais força.</w:t>
      </w:r>
    </w:p>
    <w:p>
      <w:pPr>
        <w:numPr>
          <w:ilvl w:val="0"/>
          <w:numId w:val="1232"/>
        </w:numPr>
        <w:pStyle w:val="Compact"/>
      </w:pPr>
      <w:r>
        <w:rPr>
          <w:bCs/>
          <w:b/>
        </w:rPr>
        <w:t xml:space="preserve">Origem:</w:t>
      </w:r>
      <w:r>
        <w:t xml:space="preserve"> </w:t>
      </w:r>
      <w:r>
        <w:t xml:space="preserve">descoberta em 2001 por pesquisadores japoneses quando buscavam, em tecido cerebral de uma pessoa com doença de Alzheimer, fatores que protegem neurônios da morte – daí o nome. Está codificada no material genético das mitocôndrias; segmentos semelhantes existem também no material genético do núcleo celular.</w:t>
      </w:r>
    </w:p>
    <w:p>
      <w:pPr>
        <w:numPr>
          <w:ilvl w:val="0"/>
          <w:numId w:val="1232"/>
        </w:numPr>
        <w:pStyle w:val="Compact"/>
      </w:pPr>
      <w:r>
        <w:rPr>
          <w:bCs/>
          <w:b/>
        </w:rPr>
        <w:t xml:space="preserve">Princípio de ação:</w:t>
      </w:r>
      <w:r>
        <w:t xml:space="preserve"> </w:t>
      </w:r>
      <w:r>
        <w:t xml:space="preserve">“</w:t>
      </w:r>
      <w:r>
        <w:t xml:space="preserve">mitocina</w:t>
      </w:r>
      <w:r>
        <w:t xml:space="preserve">”</w:t>
      </w:r>
      <w:r>
        <w:t xml:space="preserve"> </w:t>
      </w:r>
      <w:r>
        <w:t xml:space="preserve">(sinalizador das mitocôndrias) que protegeria as células da morte celular programada. Liga-se, entre outros, a um complexo receptor formado pelo receptor de CNTF, WSX-1 e gp130 na superfície celular.</w:t>
      </w:r>
    </w:p>
    <w:p>
      <w:pPr>
        <w:numPr>
          <w:ilvl w:val="0"/>
          <w:numId w:val="1232"/>
        </w:numPr>
        <w:pStyle w:val="Compact"/>
      </w:pPr>
      <w:r>
        <w:rPr>
          <w:bCs/>
          <w:b/>
        </w:rPr>
        <w:t xml:space="preserve">Aprovação UE:</w:t>
      </w:r>
      <w:r>
        <w:t xml:space="preserve"> </w:t>
      </w:r>
      <w:r>
        <w:t xml:space="preserve">não.</w:t>
      </w:r>
    </w:p>
    <w:p>
      <w:pPr>
        <w:numPr>
          <w:ilvl w:val="0"/>
          <w:numId w:val="1232"/>
        </w:numPr>
        <w:pStyle w:val="Compact"/>
      </w:pPr>
      <w:r>
        <w:rPr>
          <w:bCs/>
          <w:b/>
        </w:rPr>
        <w:t xml:space="preserve">Aprovação EUA:</w:t>
      </w:r>
      <w:r>
        <w:t xml:space="preserve"> </w:t>
      </w:r>
      <w:r>
        <w:t xml:space="preserve">não.</w:t>
      </w:r>
    </w:p>
    <w:p>
      <w:pPr>
        <w:numPr>
          <w:ilvl w:val="0"/>
          <w:numId w:val="1232"/>
        </w:numPr>
        <w:pStyle w:val="Compact"/>
      </w:pPr>
      <w:r>
        <w:rPr>
          <w:bCs/>
          <w:b/>
        </w:rPr>
        <w:t xml:space="preserve">WADA:</w:t>
      </w:r>
      <w:r>
        <w:t xml:space="preserve"> </w:t>
      </w:r>
      <w:r>
        <w:t xml:space="preserve">não listada nominalmente; como substância não aprovada em nenhum lugar, a humanina ou a HNG se enquadra, em nossa avaliação, na categoria geral S0.</w:t>
      </w:r>
    </w:p>
    <w:p>
      <w:pPr>
        <w:numPr>
          <w:ilvl w:val="0"/>
          <w:numId w:val="1232"/>
        </w:numPr>
        <w:pStyle w:val="Compact"/>
      </w:pPr>
      <w:r>
        <w:rPr>
          <w:bCs/>
          <w:b/>
        </w:rPr>
        <w:t xml:space="preserve">Nível de evidência:</w:t>
      </w:r>
      <w:r>
        <w:t xml:space="preserve"> </w:t>
      </w:r>
      <w:r>
        <w:rPr>
          <w:bCs/>
          <w:b/>
        </w:rPr>
        <w:t xml:space="preserve">D</w:t>
      </w:r>
      <w:r>
        <w:t xml:space="preserve"> </w:t>
      </w:r>
      <w:r>
        <w:t xml:space="preserve">para a administração como substância ativa – nenhum estudo em que pessoas tenham recebido humanina ou HNG; em humanos há apenas medições dos níveis do próprio organismo.</w:t>
      </w:r>
    </w:p>
    <w:bookmarkEnd w:id="1843"/>
    <w:bookmarkStart w:id="1847" w:name="como-deveria-agir-42"/>
    <w:p>
      <w:pPr>
        <w:pStyle w:val="Heading3"/>
      </w:pPr>
      <w:r>
        <w:t xml:space="preserve">Como deveria agir</w:t>
      </w:r>
    </w:p>
    <w:p>
      <w:pPr>
        <w:pStyle w:val="FirstParagraph"/>
      </w:pPr>
      <w:r>
        <w:t xml:space="preserve">Em 2001, os descobridores procuraram em uma biblioteca genética de tecido cerebral segmentos que protegessem neurônios dos efeitos tóxicos de genes do Alzheimer. Encontraram um peptídeo curto que, em culturas de células, preservou neurônios de numerosos danos típicos do Alzheimer – contra a beta-amiloide e contra o efeito de várias mutações hereditárias do Alzheimer, mas não contra outras substâncias tóxicas como glutamato ou fragmentos de príon</w:t>
      </w:r>
      <w:r>
        <w:rPr>
          <w:rStyle w:val="FootnoteReference"/>
        </w:rPr>
        <w:footnoteReference w:id="1844"/>
      </w:r>
      <w:r>
        <w:t xml:space="preserve">. A variante HNG foi, nisso, mais eficaz do que outros fatores de proteção testados.</w:t>
      </w:r>
    </w:p>
    <w:p>
      <w:pPr>
        <w:pStyle w:val="BodyText"/>
      </w:pPr>
      <w:r>
        <w:t xml:space="preserve">Mais tarde, o mesmo grupo mostrou que a humanina se liga a um complexo receptor pertencente à família dos receptores de citocinas (receptor de CNTF, WSX-1 e gp130) e age por meio da molécula sinalizadora STAT3</w:t>
      </w:r>
      <w:r>
        <w:rPr>
          <w:rStyle w:val="FootnoteReference"/>
        </w:rPr>
        <w:footnoteReference w:id="1845"/>
      </w:r>
      <w:r>
        <w:t xml:space="preserve">. Além disso, estudos de laboratório descrevem ligações a proteínas que controlam a morte celular e ao parceiro de ligação de fatores de crescimento IGFBP-3.</w:t>
      </w:r>
    </w:p>
    <w:p>
      <w:pPr>
        <w:pStyle w:val="BodyText"/>
      </w:pPr>
      <w:r>
        <w:t xml:space="preserve">Uma particularidade: a humanina, como o MOTS-c (veja o capítulo anterior), é codificada no material genético das mitocôndrias. Esses</w:t>
      </w:r>
      <w:r>
        <w:t xml:space="preserve"> </w:t>
      </w:r>
      <w:r>
        <w:t xml:space="preserve">“</w:t>
      </w:r>
      <w:r>
        <w:t xml:space="preserve">peptídeos mitocondriais</w:t>
      </w:r>
      <w:r>
        <w:t xml:space="preserve">”</w:t>
      </w:r>
      <w:r>
        <w:t xml:space="preserve"> </w:t>
      </w:r>
      <w:r>
        <w:t xml:space="preserve">são considerados um novo nível de sinalização pelo qual as mitocôndrias se comunicam com o restante do corpo</w:t>
      </w:r>
      <w:r>
        <w:rPr>
          <w:rStyle w:val="FootnoteReference"/>
        </w:rPr>
        <w:footnoteReference w:id="1846"/>
      </w:r>
      <w:r>
        <w:t xml:space="preserve">.</w:t>
      </w:r>
    </w:p>
    <w:bookmarkEnd w:id="1847"/>
    <w:bookmarkStart w:id="1851" w:name="estudos-em-humanos-42"/>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 resultou em 8 publicações classificadas como estudos em humanos; em nenhuma delas a humanina foi administrada. Elas examinam como os níveis do próprio organismo se alteram com treino, oxigenoterapia ou suplementação, ou se referem a células de pacientes no laboratório. Ao todo, o PubMed lista cerca de 550 trabalhos sobre humanina. No ClinicalTrials.gov estão registrados 3 estudos, todos estudos observacionais sobre níveis de humanina (em cirurgias cardíacas, insuficiência renal aguda e transplante renal).</w:t>
      </w:r>
    </w:p>
    <w:bookmarkStart w:id="1849" w:name="níveis-e-idade"/>
    <w:p>
      <w:pPr>
        <w:pStyle w:val="Heading4"/>
      </w:pPr>
      <w:r>
        <w:t xml:space="preserve">Níveis e idade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Lee 2014, PMID 25040290</w:t>
            </w:r>
          </w:p>
        </w:tc>
        <w:tc>
          <w:tcPr/>
          <w:p>
            <w:pPr>
              <w:pStyle w:val="Compact"/>
              <w:jc w:val="left"/>
            </w:pPr>
            <w:r>
              <w:t xml:space="preserve">camundongos e humanos, observação e administração hormonal</w:t>
            </w:r>
          </w:p>
        </w:tc>
        <w:tc>
          <w:tcPr/>
          <w:p>
            <w:pPr>
              <w:pStyle w:val="Compact"/>
              <w:jc w:val="left"/>
            </w:pPr>
            <w:r>
              <w:t xml:space="preserve">–</w:t>
            </w:r>
          </w:p>
        </w:tc>
        <w:tc>
          <w:tcPr/>
          <w:p>
            <w:pPr>
              <w:pStyle w:val="Compact"/>
              <w:jc w:val="left"/>
            </w:pPr>
            <w:r>
              <w:t xml:space="preserve">níveis de humanina caem com a idade; hormônio do crescimento e IGF-1 os reduziram em camundongos e humanos</w:t>
            </w:r>
          </w:p>
        </w:tc>
      </w:tr>
      <w:tr>
        <w:tc>
          <w:tcPr/>
          <w:p>
            <w:pPr>
              <w:pStyle w:val="Compact"/>
              <w:jc w:val="left"/>
            </w:pPr>
            <w:r>
              <w:t xml:space="preserve">Yen 2020, PMID 32575074</w:t>
            </w:r>
          </w:p>
        </w:tc>
        <w:tc>
          <w:tcPr/>
          <w:p>
            <w:pPr>
              <w:pStyle w:val="Compact"/>
              <w:jc w:val="left"/>
            </w:pPr>
            <w:r>
              <w:t xml:space="preserve">filhos de centenários e pessoas de comparação; modelos animais</w:t>
            </w:r>
          </w:p>
        </w:tc>
        <w:tc>
          <w:tcPr/>
          <w:p>
            <w:pPr>
              <w:pStyle w:val="Compact"/>
              <w:jc w:val="left"/>
            </w:pPr>
            <w:r>
              <w:t xml:space="preserve">transversal</w:t>
            </w:r>
          </w:p>
        </w:tc>
        <w:tc>
          <w:tcPr/>
          <w:p>
            <w:pPr>
              <w:pStyle w:val="Compact"/>
              <w:jc w:val="left"/>
            </w:pPr>
            <w:r>
              <w:t xml:space="preserve">níveis claramente mais altos em filhos de centenários; mais baixos em Alzheimer e MELAS</w:t>
            </w:r>
          </w:p>
        </w:tc>
      </w:tr>
      <w:tr>
        <w:tc>
          <w:tcPr/>
          <w:p>
            <w:pPr>
              <w:pStyle w:val="Compact"/>
              <w:jc w:val="left"/>
            </w:pPr>
            <w:r>
              <w:t xml:space="preserve">Miller 2024, PMID 38520065</w:t>
            </w:r>
          </w:p>
        </w:tc>
        <w:tc>
          <w:tcPr/>
          <w:p>
            <w:pPr>
              <w:pStyle w:val="Compact"/>
              <w:jc w:val="left"/>
            </w:pPr>
            <w:r>
              <w:t xml:space="preserve">centenários com o gene de risco para Alzheimer APOE4; modelo em camundongos</w:t>
            </w:r>
          </w:p>
        </w:tc>
        <w:tc>
          <w:tcPr/>
          <w:p>
            <w:pPr>
              <w:pStyle w:val="Compact"/>
              <w:jc w:val="left"/>
            </w:pPr>
            <w:r>
              <w:t xml:space="preserve">análise genética</w:t>
            </w:r>
          </w:p>
        </w:tc>
        <w:tc>
          <w:tcPr/>
          <w:p>
            <w:pPr>
              <w:pStyle w:val="Compact"/>
              <w:jc w:val="left"/>
            </w:pPr>
            <w:r>
              <w:t xml:space="preserve">variante rara de humanina P3S mais frequente em portadores longevos de APOE4</w:t>
            </w:r>
          </w:p>
        </w:tc>
      </w:tr>
      <w:tr>
        <w:tc>
          <w:tcPr/>
          <w:p>
            <w:pPr>
              <w:pStyle w:val="Compact"/>
              <w:jc w:val="left"/>
            </w:pPr>
            <w:r>
              <w:t xml:space="preserve">Gidlund 2016, PMID 27923980</w:t>
            </w:r>
          </w:p>
        </w:tc>
        <w:tc>
          <w:tcPr/>
          <w:p>
            <w:pPr>
              <w:pStyle w:val="Compact"/>
              <w:jc w:val="left"/>
            </w:pPr>
            <w:r>
              <w:t xml:space="preserve">55 homens com metabolismo da glicose alterado, treino de força, caminhada nórdica ou controle, randomizado</w:t>
            </w:r>
          </w:p>
        </w:tc>
        <w:tc>
          <w:tcPr/>
          <w:p>
            <w:pPr>
              <w:pStyle w:val="Compact"/>
              <w:jc w:val="left"/>
            </w:pPr>
            <w:r>
              <w:t xml:space="preserve">12 semanas</w:t>
            </w:r>
          </w:p>
        </w:tc>
        <w:tc>
          <w:tcPr/>
          <w:p>
            <w:pPr>
              <w:pStyle w:val="Compact"/>
              <w:jc w:val="left"/>
            </w:pPr>
            <w:r>
              <w:t xml:space="preserve">humanina no músculo 35% maior após treino de força, inalterada no sangue</w:t>
            </w:r>
          </w:p>
        </w:tc>
      </w:tr>
      <w:tr>
        <w:tc>
          <w:tcPr/>
          <w:p>
            <w:pPr>
              <w:pStyle w:val="Compact"/>
              <w:jc w:val="left"/>
            </w:pPr>
            <w:r>
              <w:t xml:space="preserve">von Walden 2021, PMID 34351816</w:t>
            </w:r>
          </w:p>
        </w:tc>
        <w:tc>
          <w:tcPr/>
          <w:p>
            <w:pPr>
              <w:pStyle w:val="Compact"/>
              <w:jc w:val="left"/>
            </w:pPr>
            <w:r>
              <w:t xml:space="preserve">30 pessoas, uma sessão aeróbica ou de força ou controle, randomizado</w:t>
            </w:r>
          </w:p>
        </w:tc>
        <w:tc>
          <w:tcPr/>
          <w:p>
            <w:pPr>
              <w:pStyle w:val="Compact"/>
              <w:jc w:val="left"/>
            </w:pPr>
            <w:r>
              <w:t xml:space="preserve">única</w:t>
            </w:r>
          </w:p>
        </w:tc>
        <w:tc>
          <w:tcPr/>
          <w:p>
            <w:pPr>
              <w:pStyle w:val="Compact"/>
              <w:jc w:val="left"/>
            </w:pPr>
            <w:r>
              <w:t xml:space="preserve">humanina no sangue elevada após esforço aeróbico</w:t>
            </w:r>
          </w:p>
        </w:tc>
      </w:tr>
      <w:tr>
        <w:tc>
          <w:tcPr/>
          <w:p>
            <w:pPr>
              <w:pStyle w:val="Compact"/>
              <w:jc w:val="left"/>
            </w:pPr>
            <w:r>
              <w:t xml:space="preserve">Xu 2019, PMID 31134827</w:t>
            </w:r>
          </w:p>
        </w:tc>
        <w:tc>
          <w:tcPr/>
          <w:p>
            <w:pPr>
              <w:pStyle w:val="Compact"/>
              <w:jc w:val="left"/>
            </w:pPr>
            <w:r>
              <w:t xml:space="preserve">158 pessoas com demência vascular, oxigenoterapia hiperbárica ou padrão</w:t>
            </w:r>
          </w:p>
        </w:tc>
        <w:tc>
          <w:tcPr/>
          <w:p>
            <w:pPr>
              <w:pStyle w:val="Compact"/>
              <w:jc w:val="left"/>
            </w:pPr>
            <w:r>
              <w:t xml:space="preserve">12 semanas</w:t>
            </w:r>
          </w:p>
        </w:tc>
        <w:tc>
          <w:tcPr/>
          <w:p>
            <w:pPr>
              <w:pStyle w:val="Compact"/>
              <w:jc w:val="left"/>
            </w:pPr>
            <w:r>
              <w:t xml:space="preserve">níveis mais altos de humanina e escores MEEM sob terapia hiperbárica</w:t>
            </w:r>
          </w:p>
        </w:tc>
      </w:tr>
    </w:tbl>
    <w:p>
      <w:pPr>
        <w:pStyle w:val="BodyText"/>
      </w:pPr>
      <w:r>
        <w:t xml:space="preserve">As observações formam um quadro coerente: os níveis de humanina caem com a idade, são mais altos em filhos de pessoas muito idosas, mais baixos em algumas doenças e sobem com o exercício. Interessante é a relação com o sistema do hormônio do crescimento: hormônio do crescimento e IGF-1 reduziram os níveis de humanina em camundongos e humanos, e camundongos longevos com deficiência de hormônio do crescimento tinham níveis elevados</w:t>
      </w:r>
      <w:r>
        <w:rPr>
          <w:rStyle w:val="FootnoteReference"/>
        </w:rPr>
        <w:footnoteReference w:id="1848"/>
      </w:r>
      <w:r>
        <w:t xml:space="preserve">. Isso é notável porque, no mesmo mercado cinza, frequentemente se oferecem liberadores de hormônio do crescimento (veja a Parte II · C).</w:t>
      </w:r>
    </w:p>
    <w:p>
      <w:pPr>
        <w:pStyle w:val="BodyText"/>
      </w:pPr>
      <w:r>
        <w:t xml:space="preserve">Mas também aqui vale: um nível que acompanha a saúde não é prova de que uma suplementação torne mais saudável. A humanina pode muito bem ser um sinal acompanhante de mitocôndrias saudáveis, sem ser ela própria a causa.</w:t>
      </w:r>
    </w:p>
    <w:bookmarkEnd w:id="1849"/>
    <w:bookmarkStart w:id="1850" w:name="administração-como-substância-ativa"/>
    <w:p>
      <w:pPr>
        <w:pStyle w:val="Heading4"/>
      </w:pPr>
      <w:r>
        <w:t xml:space="preserve">Administração como substância ativa</w:t>
      </w:r>
    </w:p>
    <w:p>
      <w:pPr>
        <w:pStyle w:val="FirstParagraph"/>
      </w:pPr>
      <w:r>
        <w:t xml:space="preserve">Não há estudo publicado nem registro em que pessoas tenham recebido humanina ou HNG (consulta de outubro de 2026). Também não foram encontrados relatos de caso sobre efeitos colaterais após autoaplicação.</w:t>
      </w:r>
    </w:p>
    <w:bookmarkEnd w:id="1850"/>
    <w:bookmarkEnd w:id="1851"/>
    <w:bookmarkStart w:id="1857" w:name="estudos-em-animais-e-em-laboratório-42"/>
    <w:p>
      <w:pPr>
        <w:pStyle w:val="Heading3"/>
      </w:pPr>
      <w:r>
        <w:t xml:space="preserve">Estudos em animais e em laboratório</w:t>
      </w:r>
    </w:p>
    <w:p>
      <w:pPr>
        <w:pStyle w:val="FirstParagraph"/>
      </w:pPr>
      <w:r>
        <w:t xml:space="preserve">A literatura pré-clínica é extensa:</w:t>
      </w:r>
    </w:p>
    <w:p>
      <w:pPr>
        <w:numPr>
          <w:ilvl w:val="0"/>
          <w:numId w:val="1233"/>
        </w:numPr>
        <w:pStyle w:val="Compact"/>
      </w:pPr>
      <w:r>
        <w:rPr>
          <w:bCs/>
          <w:b/>
        </w:rPr>
        <w:t xml:space="preserve">Expectativa de vida:</w:t>
      </w:r>
      <w:r>
        <w:t xml:space="preserve"> </w:t>
      </w:r>
      <w:r>
        <w:t xml:space="preserve">em nematódeos, uma produção aumentada de humanina prolongou a expectativa de vida; em camundongos de meia-idade, a HNG melhorou valores metabólicos e reduziu marcadores inflamatórios</w:t>
      </w:r>
      <w:r>
        <w:rPr>
          <w:rStyle w:val="FootnoteReference"/>
        </w:rPr>
        <w:footnoteReference w:id="1852"/>
      </w:r>
      <w:r>
        <w:t xml:space="preserve">.</w:t>
      </w:r>
    </w:p>
    <w:p>
      <w:pPr>
        <w:numPr>
          <w:ilvl w:val="0"/>
          <w:numId w:val="1233"/>
        </w:numPr>
        <w:pStyle w:val="Compact"/>
      </w:pPr>
      <w:r>
        <w:rPr>
          <w:bCs/>
          <w:b/>
        </w:rPr>
        <w:t xml:space="preserve">Coração:</w:t>
      </w:r>
      <w:r>
        <w:t xml:space="preserve"> </w:t>
      </w:r>
      <w:r>
        <w:t xml:space="preserve">em camundongos, a HNG reduziu o tamanho do infarto após um infarto do miocárdio induzido artificialmente</w:t>
      </w:r>
      <w:r>
        <w:rPr>
          <w:rStyle w:val="FootnoteReference"/>
        </w:rPr>
        <w:footnoteReference w:id="1853"/>
      </w:r>
      <w:r>
        <w:t xml:space="preserve">; um tratamento de 14 meses em camundongos idosos reduziu a cicatrização do músculo cardíaco relacionada à idade</w:t>
      </w:r>
      <w:r>
        <w:rPr>
          <w:rStyle w:val="FootnoteReference"/>
        </w:rPr>
        <w:footnoteReference w:id="1854"/>
      </w:r>
      <w:r>
        <w:t xml:space="preserve">.</w:t>
      </w:r>
    </w:p>
    <w:p>
      <w:pPr>
        <w:numPr>
          <w:ilvl w:val="0"/>
          <w:numId w:val="1233"/>
        </w:numPr>
        <w:pStyle w:val="Compact"/>
      </w:pPr>
      <w:r>
        <w:rPr>
          <w:bCs/>
          <w:b/>
        </w:rPr>
        <w:t xml:space="preserve">Modelos de Alzheimer:</w:t>
      </w:r>
      <w:r>
        <w:t xml:space="preserve"> </w:t>
      </w:r>
      <w:r>
        <w:t xml:space="preserve">a variante rara P3S reduziu, em camundongos com APOE4, os depósitos de amiloide mais do que a humanina normal</w:t>
      </w:r>
      <w:r>
        <w:rPr>
          <w:rStyle w:val="FootnoteReference"/>
        </w:rPr>
        <w:footnoteReference w:id="1855"/>
      </w:r>
      <w:r>
        <w:t xml:space="preserve">.</w:t>
      </w:r>
    </w:p>
    <w:p>
      <w:pPr>
        <w:numPr>
          <w:ilvl w:val="0"/>
          <w:numId w:val="1233"/>
        </w:numPr>
        <w:pStyle w:val="Compact"/>
      </w:pPr>
      <w:r>
        <w:rPr>
          <w:bCs/>
          <w:b/>
        </w:rPr>
        <w:t xml:space="preserve">Retina:</w:t>
      </w:r>
      <w:r>
        <w:t xml:space="preserve"> </w:t>
      </w:r>
      <w:r>
        <w:t xml:space="preserve">em modelos celulares com mitocôndrias de pessoas com degeneração macular relacionada à idade, a HNG protegeu contra danos celulares</w:t>
      </w:r>
      <w:r>
        <w:rPr>
          <w:rStyle w:val="FootnoteReference"/>
        </w:rPr>
        <w:footnoteReference w:id="1856"/>
      </w:r>
      <w:r>
        <w:t xml:space="preserve">.</w:t>
      </w:r>
    </w:p>
    <w:bookmarkEnd w:id="1857"/>
    <w:bookmarkStart w:id="1860" w:name="riscos-e-efeitos-colaterais-42"/>
    <w:p>
      <w:pPr>
        <w:pStyle w:val="Heading3"/>
      </w:pPr>
      <w:r>
        <w:t xml:space="preserve">Riscos e efeitos colaterais</w:t>
      </w:r>
    </w:p>
    <w:p>
      <w:pPr>
        <w:pStyle w:val="FirstParagraph"/>
      </w:pPr>
      <w:r>
        <w:rPr>
          <w:bCs/>
          <w:b/>
        </w:rPr>
        <w:t xml:space="preserve">Comprovado:</w:t>
      </w:r>
      <w:r>
        <w:t xml:space="preserve"> </w:t>
      </w:r>
      <w:r>
        <w:t xml:space="preserve">não há dados de segurança sobre a administração em humanos.</w:t>
      </w:r>
    </w:p>
    <w:p>
      <w:pPr>
        <w:pStyle w:val="BodyText"/>
      </w:pPr>
      <w:r>
        <w:rPr>
          <w:bCs/>
          <w:b/>
        </w:rPr>
        <w:t xml:space="preserve">Teórico – com sinais de alerta concretos do laboratório:</w:t>
      </w:r>
    </w:p>
    <w:p>
      <w:pPr>
        <w:numPr>
          <w:ilvl w:val="0"/>
          <w:numId w:val="1234"/>
        </w:numPr>
        <w:pStyle w:val="Compact"/>
      </w:pPr>
      <w:r>
        <w:rPr>
          <w:bCs/>
          <w:b/>
        </w:rPr>
        <w:t xml:space="preserve">Câncer:</w:t>
      </w:r>
      <w:r>
        <w:t xml:space="preserve"> </w:t>
      </w:r>
      <w:r>
        <w:t xml:space="preserve">a humanina protege as células da morte celular programada – e isso vale também para células cancerosas. Em camundongos com câncer de mama triplo-negativo, a humanina administrada reduziu a morte celular no tumor, enfraqueceu o efeito da quimioterapia e acelerou o crescimento tumoral e as metástases pulmonares. Em biópsias desse tipo de câncer de mama, a humanina foi detectada em maior quantidade. Os autores recomendam expressamente cautela no uso da humanina contra doenças degenerativas</w:t>
      </w:r>
      <w:r>
        <w:rPr>
          <w:rStyle w:val="FootnoteReference"/>
        </w:rPr>
        <w:footnoteReference w:id="1858"/>
      </w:r>
      <w:r>
        <w:t xml:space="preserve">.</w:t>
      </w:r>
    </w:p>
    <w:p>
      <w:pPr>
        <w:numPr>
          <w:ilvl w:val="0"/>
          <w:numId w:val="1234"/>
        </w:numPr>
        <w:pStyle w:val="Compact"/>
      </w:pPr>
      <w:r>
        <w:rPr>
          <w:bCs/>
          <w:b/>
        </w:rPr>
        <w:t xml:space="preserve">Inflamação em células envelhecidas:</w:t>
      </w:r>
      <w:r>
        <w:t xml:space="preserve"> </w:t>
      </w:r>
      <w:r>
        <w:t xml:space="preserve">em experimentos com células, a humanina e o MOTS-c intensificaram a liberação de mensageiros inflamatórios por células envelhecidas (</w:t>
      </w:r>
      <w:r>
        <w:t xml:space="preserve">“</w:t>
      </w:r>
      <w:r>
        <w:t xml:space="preserve">senescentes</w:t>
      </w:r>
      <w:r>
        <w:t xml:space="preserve">”</w:t>
      </w:r>
      <w:r>
        <w:t xml:space="preserve">)</w:t>
      </w:r>
      <w:r>
        <w:rPr>
          <w:rStyle w:val="FootnoteReference"/>
        </w:rPr>
        <w:footnoteReference w:id="1859"/>
      </w:r>
      <w:r>
        <w:t xml:space="preserve">.</w:t>
      </w:r>
    </w:p>
    <w:p>
      <w:pPr>
        <w:numPr>
          <w:ilvl w:val="0"/>
          <w:numId w:val="1234"/>
        </w:numPr>
        <w:pStyle w:val="Compact"/>
      </w:pPr>
      <w:r>
        <w:rPr>
          <w:bCs/>
          <w:b/>
        </w:rPr>
        <w:t xml:space="preserve">Reações imunológicas:</w:t>
      </w:r>
      <w:r>
        <w:t xml:space="preserve"> </w:t>
      </w:r>
      <w:r>
        <w:t xml:space="preserve">com injeção repetida de um peptídeo, podem surgir anticorpos; não estudado.</w:t>
      </w:r>
    </w:p>
    <w:p>
      <w:pPr>
        <w:pStyle w:val="FirstParagraph"/>
      </w:pPr>
      <w:r>
        <w:rPr>
          <w:bCs/>
          <w:b/>
        </w:rPr>
        <w:t xml:space="preserve">Mercado cinza:</w:t>
      </w:r>
      <w:r>
        <w:t xml:space="preserve"> </w:t>
      </w:r>
      <w:r>
        <w:t xml:space="preserve">humanina e HNG são oferecidas como</w:t>
      </w:r>
      <w:r>
        <w:t xml:space="preserve"> </w:t>
      </w:r>
      <w:r>
        <w:t xml:space="preserve">“</w:t>
      </w:r>
      <w:r>
        <w:t xml:space="preserve">peptídeos de longevidade</w:t>
      </w:r>
      <w:r>
        <w:t xml:space="preserve">”</w:t>
      </w:r>
      <w:r>
        <w:t xml:space="preserve"> </w:t>
      </w:r>
      <w:r>
        <w:t xml:space="preserve">para injeção. Teor, pureza e esterilidade não são verificados.</w:t>
      </w:r>
    </w:p>
    <w:bookmarkEnd w:id="1860"/>
    <w:bookmarkStart w:id="1861" w:name="situação-legal-42"/>
    <w:p>
      <w:pPr>
        <w:pStyle w:val="Heading3"/>
      </w:pPr>
      <w:r>
        <w:t xml:space="preserve">Situação legal</w:t>
      </w:r>
    </w:p>
    <w:p>
      <w:pPr>
        <w:numPr>
          <w:ilvl w:val="0"/>
          <w:numId w:val="1235"/>
        </w:numPr>
        <w:pStyle w:val="Compact"/>
      </w:pPr>
      <w:r>
        <w:rPr>
          <w:bCs/>
          <w:b/>
        </w:rPr>
        <w:t xml:space="preserve">UE / Áustria / Alemanha:</w:t>
      </w:r>
      <w:r>
        <w:t xml:space="preserve"> </w:t>
      </w:r>
      <w:r>
        <w:t xml:space="preserve">não aprovada; como substância com efeito farmacológico, a humanina é considerada medicamento, e a venda para uso em humanos não é permitida.</w:t>
      </w:r>
    </w:p>
    <w:p>
      <w:pPr>
        <w:numPr>
          <w:ilvl w:val="0"/>
          <w:numId w:val="1235"/>
        </w:numPr>
        <w:pStyle w:val="Compact"/>
      </w:pPr>
      <w:r>
        <w:rPr>
          <w:bCs/>
          <w:b/>
        </w:rPr>
        <w:t xml:space="preserve">EUA:</w:t>
      </w:r>
      <w:r>
        <w:t xml:space="preserve"> </w:t>
      </w:r>
      <w:r>
        <w:t xml:space="preserve">não aprovada.</w:t>
      </w:r>
    </w:p>
    <w:p>
      <w:pPr>
        <w:numPr>
          <w:ilvl w:val="0"/>
          <w:numId w:val="1235"/>
        </w:numPr>
        <w:pStyle w:val="Compact"/>
      </w:pPr>
      <w:r>
        <w:rPr>
          <w:bCs/>
          <w:b/>
        </w:rPr>
        <w:t xml:space="preserve">Esporte:</w:t>
      </w:r>
      <w:r>
        <w:t xml:space="preserve"> </w:t>
      </w:r>
      <w:r>
        <w:t xml:space="preserve">em nossa avaliação, categoria S0 da WADA (situação em 2026, verificar atualização).</w:t>
      </w:r>
    </w:p>
    <w:bookmarkEnd w:id="1861"/>
    <w:bookmarkStart w:id="1863" w:name="estudos-em-andamento-e-perspectivas-42"/>
    <w:p>
      <w:pPr>
        <w:pStyle w:val="Heading3"/>
      </w:pPr>
      <w:r>
        <w:t xml:space="preserve">Estudos em andamento e perspectivas</w:t>
      </w:r>
    </w:p>
    <w:p>
      <w:pPr>
        <w:pStyle w:val="FirstParagraph"/>
      </w:pPr>
      <w:r>
        <w:rPr>
          <w:bCs/>
          <w:b/>
        </w:rPr>
        <w:t xml:space="preserve">Comprovado:</w:t>
      </w:r>
      <w:r>
        <w:t xml:space="preserve"> </w:t>
      </w:r>
      <w:r>
        <w:t xml:space="preserve">estão registrados apenas estudos observacionais sobre níveis de humanina, por exemplo após cirurgias cardíacas (NCT03431844, 106 participantes, concluído) e no transplante renal</w:t>
      </w:r>
      <w:r>
        <w:rPr>
          <w:rStyle w:val="FootnoteReference"/>
        </w:rPr>
        <w:footnoteReference w:id="1862"/>
      </w:r>
      <w:r>
        <w:t xml:space="preserve">. Não há estudo sobre a administração de humanina.</w:t>
      </w:r>
    </w:p>
    <w:p>
      <w:pPr>
        <w:pStyle w:val="BodyText"/>
      </w:pPr>
      <w:r>
        <w:rPr>
          <w:bCs/>
          <w:b/>
        </w:rPr>
        <w:t xml:space="preserve">Avaliação:</w:t>
      </w:r>
      <w:r>
        <w:t xml:space="preserve"> </w:t>
      </w:r>
      <w:r>
        <w:t xml:space="preserve">a humanina é um peptídeo sinalizador cientificamente instigante e um possível biomarcador do envelhecimento. Se algum dia será testada como medicamento é incerto; os achados de câncer do modelo animal precisariam ser cuidadosamente esclarecidos antes de qualquer uso em humanos.</w:t>
      </w:r>
    </w:p>
    <w:bookmarkEnd w:id="1863"/>
    <w:bookmarkStart w:id="1864" w:name="conclusão-42"/>
    <w:p>
      <w:pPr>
        <w:pStyle w:val="Heading3"/>
      </w:pPr>
      <w:r>
        <w:t xml:space="preserve">Conclusão</w:t>
      </w:r>
    </w:p>
    <w:p>
      <w:pPr>
        <w:pStyle w:val="FirstParagraph"/>
      </w:pPr>
      <w:r>
        <w:t xml:space="preserve">A humanina é um peptídeo mitocondrial do próprio organismo, descoberto em 2001 como fator de proteção de neurônios. Seus níveis caem com a idade, são mais altos em filhos de centenários e sobem com o exercício; em experimentos com animais, a variante HNG protegeu coração, cérebro e metabolismo. Em humanos, a humanina nunca foi administrada como substância ativa, e em camundongos ela favoreceu o crescimento do câncer de mama. Os dados não são suficientes para avaliar benefício ou segurança de uma suplementação.</w:t>
      </w:r>
    </w:p>
    <w:bookmarkEnd w:id="1864"/>
    <w:bookmarkEnd w:id="1865"/>
    <w:bookmarkStart w:id="1905" w:name="ss-31-elamipretida"/>
    <w:p>
      <w:pPr>
        <w:pStyle w:val="Heading2"/>
      </w:pPr>
      <w:r>
        <w:t xml:space="preserve">SS-31 (elamipretida)</w:t>
      </w:r>
    </w:p>
    <w:bookmarkStart w:id="1866" w:name="ficha-técnica-43"/>
    <w:p>
      <w:pPr>
        <w:pStyle w:val="Heading3"/>
      </w:pPr>
      <w:r>
        <w:t xml:space="preserve">Ficha técnica</w:t>
      </w:r>
    </w:p>
    <w:p>
      <w:pPr>
        <w:numPr>
          <w:ilvl w:val="0"/>
          <w:numId w:val="1236"/>
        </w:numPr>
        <w:pStyle w:val="Compact"/>
      </w:pPr>
      <w:r>
        <w:rPr>
          <w:bCs/>
          <w:b/>
        </w:rPr>
        <w:t xml:space="preserve">Tipo e estrutura:</w:t>
      </w:r>
      <w:r>
        <w:t xml:space="preserve"> </w:t>
      </w:r>
      <w:r>
        <w:t xml:space="preserve">tetrapeptídeo sintético de quatro componentes (D-arginina, dimetiltirosina, lisina, fenilalanina) que, graças a uma sequência incomum de aminoácidos carregados positivamente e aromáticos, atravessa membranas celulares. Designações de pesquisa SS-31, MTP-131 e Bendavia; nome da substância elamipretida; nome comercial Forzinity.</w:t>
      </w:r>
    </w:p>
    <w:p>
      <w:pPr>
        <w:numPr>
          <w:ilvl w:val="0"/>
          <w:numId w:val="1236"/>
        </w:numPr>
        <w:pStyle w:val="Compact"/>
      </w:pPr>
      <w:r>
        <w:rPr>
          <w:bCs/>
          <w:b/>
        </w:rPr>
        <w:t xml:space="preserve">Origem:</w:t>
      </w:r>
      <w:r>
        <w:t xml:space="preserve"> </w:t>
      </w:r>
      <w:r>
        <w:t xml:space="preserve">desenvolvido por Hazel Szeto e Peter Schiller (daí os peptídeos</w:t>
      </w:r>
      <w:r>
        <w:t xml:space="preserve"> </w:t>
      </w:r>
      <w:r>
        <w:t xml:space="preserve">“</w:t>
      </w:r>
      <w:r>
        <w:t xml:space="preserve">SS</w:t>
      </w:r>
      <w:r>
        <w:t xml:space="preserve">”</w:t>
      </w:r>
      <w:r>
        <w:t xml:space="preserve">), com desenvolvimento clínico pela empresa americana Stealth BioTherapeutics.</w:t>
      </w:r>
    </w:p>
    <w:p>
      <w:pPr>
        <w:numPr>
          <w:ilvl w:val="0"/>
          <w:numId w:val="1236"/>
        </w:numPr>
        <w:pStyle w:val="Compact"/>
      </w:pPr>
      <w:r>
        <w:rPr>
          <w:bCs/>
          <w:b/>
        </w:rPr>
        <w:t xml:space="preserve">Princípio de ação:</w:t>
      </w:r>
      <w:r>
        <w:t xml:space="preserve"> </w:t>
      </w:r>
      <w:r>
        <w:t xml:space="preserve">acumula-se na membrana interna das mitocôndrias e liga-se ali à cardiolipina, uma gordura indispensável para a produção de energia. Estabilizaria a cadeia respiratória e limitaria a oxidação nociva.</w:t>
      </w:r>
    </w:p>
    <w:p>
      <w:pPr>
        <w:numPr>
          <w:ilvl w:val="0"/>
          <w:numId w:val="1236"/>
        </w:numPr>
        <w:pStyle w:val="Compact"/>
      </w:pPr>
      <w:r>
        <w:rPr>
          <w:bCs/>
          <w:b/>
        </w:rPr>
        <w:t xml:space="preserve">Aprovação UE:</w:t>
      </w:r>
      <w:r>
        <w:t xml:space="preserve"> </w:t>
      </w:r>
      <w:r>
        <w:t xml:space="preserve">não.</w:t>
      </w:r>
    </w:p>
    <w:p>
      <w:pPr>
        <w:numPr>
          <w:ilvl w:val="0"/>
          <w:numId w:val="1236"/>
        </w:numPr>
        <w:pStyle w:val="Compact"/>
      </w:pPr>
      <w:r>
        <w:rPr>
          <w:bCs/>
          <w:b/>
        </w:rPr>
        <w:t xml:space="preserve">Aprovação EUA:</w:t>
      </w:r>
      <w:r>
        <w:t xml:space="preserve"> </w:t>
      </w:r>
      <w:r>
        <w:t xml:space="preserve">sim – em setembro de 2025,</w:t>
      </w:r>
      <w:r>
        <w:t xml:space="preserve"> </w:t>
      </w:r>
      <w:r>
        <w:rPr>
          <w:bCs/>
          <w:b/>
        </w:rPr>
        <w:t xml:space="preserve">aprovação acelerada</w:t>
      </w:r>
      <w:r>
        <w:t xml:space="preserve"> </w:t>
      </w:r>
      <w:r>
        <w:t xml:space="preserve">(accelerated approval) como Forzinity para melhorar a força muscular na síndrome de Barth em adultos e crianças a partir de 30 kg de peso corporal. A aprovação está vinculada a um estudo de confirmação.</w:t>
      </w:r>
    </w:p>
    <w:p>
      <w:pPr>
        <w:numPr>
          <w:ilvl w:val="0"/>
          <w:numId w:val="1236"/>
        </w:numPr>
        <w:pStyle w:val="Compact"/>
      </w:pPr>
      <w:r>
        <w:rPr>
          <w:bCs/>
          <w:b/>
        </w:rPr>
        <w:t xml:space="preserve">WADA:</w:t>
      </w:r>
      <w:r>
        <w:t xml:space="preserve"> </w:t>
      </w:r>
      <w:r>
        <w:t xml:space="preserve">não listada nominalmente.</w:t>
      </w:r>
    </w:p>
    <w:p>
      <w:pPr>
        <w:numPr>
          <w:ilvl w:val="0"/>
          <w:numId w:val="1236"/>
        </w:numPr>
        <w:pStyle w:val="Compact"/>
      </w:pPr>
      <w:r>
        <w:rPr>
          <w:bCs/>
          <w:b/>
        </w:rPr>
        <w:t xml:space="preserve">Nível de evidência:</w:t>
      </w:r>
      <w:r>
        <w:t xml:space="preserve"> </w:t>
      </w:r>
      <w:r>
        <w:rPr>
          <w:bCs/>
          <w:b/>
        </w:rPr>
        <w:t xml:space="preserve">B</w:t>
      </w:r>
      <w:r>
        <w:t xml:space="preserve"> </w:t>
      </w:r>
      <w:r>
        <w:t xml:space="preserve">– numerosos estudos randomizados, entre eles um estudo de fase 3 com 218 participantes; a maioria dos grandes estudos, porém, não atingiu seu desfecho principal, e a aprovação se baseia em um estudo muito pequeno em uma doença extremamente rara.</w:t>
      </w:r>
    </w:p>
    <w:bookmarkEnd w:id="1866"/>
    <w:bookmarkStart w:id="1868" w:name="como-deveria-agir-43"/>
    <w:p>
      <w:pPr>
        <w:pStyle w:val="Heading3"/>
      </w:pPr>
      <w:r>
        <w:t xml:space="preserve">Como deveria agir</w:t>
      </w:r>
    </w:p>
    <w:p>
      <w:pPr>
        <w:pStyle w:val="FirstParagraph"/>
      </w:pPr>
      <w:r>
        <w:t xml:space="preserve">As mitocôndrias produzem energia por meio de uma cadeia de complexos proteicos em sua membrana interna. Para que esses complexos funcionem bem em conjunto, é necessária a cardiolipina – uma gordura especial que ocorre apenas nessa membrana. Quando a cardiolipina é danificada ou falta, a cadeia respiratória funciona pior, e a proteína citocromo c pode passar de transportador de elétrons a enzima nociva (uma peroxidase).</w:t>
      </w:r>
    </w:p>
    <w:p>
      <w:pPr>
        <w:pStyle w:val="BodyText"/>
      </w:pPr>
      <w:r>
        <w:t xml:space="preserve">O SS-31, segundo sua desenvolvedora, liga-se seletivamente à cardiolipina por forças elétricas e hidrofóbicas, impede essa transformação do citocromo c e assim protege a estrutura das mitocôndrias</w:t>
      </w:r>
      <w:r>
        <w:rPr>
          <w:rStyle w:val="FootnoteReference"/>
        </w:rPr>
        <w:footnoteReference w:id="1867"/>
      </w:r>
      <w:r>
        <w:t xml:space="preserve">. O princípio foi estudado em muitos modelos animais de doenças cardíacas, renais, musculares e oculares.</w:t>
      </w:r>
    </w:p>
    <w:p>
      <w:pPr>
        <w:pStyle w:val="BodyText"/>
      </w:pPr>
      <w:r>
        <w:t xml:space="preserve">A relação é mais clara na</w:t>
      </w:r>
      <w:r>
        <w:t xml:space="preserve"> </w:t>
      </w:r>
      <w:r>
        <w:rPr>
          <w:bCs/>
          <w:b/>
        </w:rPr>
        <w:t xml:space="preserve">síndrome de Barth</w:t>
      </w:r>
      <w:r>
        <w:t xml:space="preserve">: nessa doença muito rara, de herança ligada ao cromossomo X, que afeta quase só meninos e homens, o gene</w:t>
      </w:r>
      <w:r>
        <w:t xml:space="preserve"> </w:t>
      </w:r>
      <w:r>
        <w:rPr>
          <w:iCs/>
          <w:i/>
        </w:rPr>
        <w:t xml:space="preserve">TAZ</w:t>
      </w:r>
      <w:r>
        <w:t xml:space="preserve">, necessário para a remodelação da cardiolipina, é defeituoso. Os afetados têm fraqueza do músculo cardíaco, fraqueza muscular, forte fatigabilidade e número reduzido de determinados glóbulos brancos. Uma substância que atua especificamente na cardiolipina é, aqui, biologicamente muito plausível.</w:t>
      </w:r>
    </w:p>
    <w:bookmarkEnd w:id="1868"/>
    <w:bookmarkStart w:id="1887" w:name="estudos-em-humanos-43"/>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 resultou em 19 publicações classificadas como estudos em humanos; quatro delas, em exame mais detalhado, se referem a outras substâncias (a sigla</w:t>
      </w:r>
      <w:r>
        <w:t xml:space="preserve"> </w:t>
      </w:r>
      <w:r>
        <w:t xml:space="preserve">“</w:t>
      </w:r>
      <w:r>
        <w:t xml:space="preserve">SS-31</w:t>
      </w:r>
      <w:r>
        <w:t xml:space="preserve">”</w:t>
      </w:r>
      <w:r>
        <w:t xml:space="preserve"> </w:t>
      </w:r>
      <w:r>
        <w:t xml:space="preserve">também aparece em outros contextos). No ClinicalTrials.gov estavam registrados 21 estudos, quase todos do fabricante, sobre síndrome de Barth, miopatias mitocondriais, insuficiência cardíaca, infarto do miocárdio, estenose da artéria renal, degeneração macular seca e doenças oculares. A elamipretida é, assim, o peptídeo mais bem estudado desta parte.</w:t>
      </w:r>
    </w:p>
    <w:bookmarkStart w:id="1876" w:name="síndrome-de-barth-tazpower-e-a-aprovação"/>
    <w:p>
      <w:pPr>
        <w:pStyle w:val="Heading4"/>
      </w:pPr>
      <w:r>
        <w:t xml:space="preserve">Síndrome de Barth: TAZPOWER e a aprovação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TAZPOWER parte 1 (Reid Thompson 2021), PMID 33077895</w:t>
            </w:r>
          </w:p>
        </w:tc>
        <w:tc>
          <w:tcPr/>
          <w:p>
            <w:pPr>
              <w:pStyle w:val="Compact"/>
              <w:jc w:val="left"/>
            </w:pPr>
            <w:r>
              <w:t xml:space="preserve">12 pessoas, duplo-cego, cruzado contra placebo</w:t>
            </w:r>
          </w:p>
        </w:tc>
        <w:tc>
          <w:tcPr/>
          <w:p>
            <w:pPr>
              <w:pStyle w:val="Compact"/>
              <w:jc w:val="left"/>
            </w:pPr>
            <w:r>
              <w:t xml:space="preserve">12 semanas cada</w:t>
            </w:r>
          </w:p>
        </w:tc>
        <w:tc>
          <w:tcPr/>
          <w:p>
            <w:pPr>
              <w:pStyle w:val="Compact"/>
              <w:jc w:val="left"/>
            </w:pPr>
            <w:r>
              <w:t xml:space="preserve">os dois desfechos principais (teste de caminhada de 6 minutos, escala de sintomas) não atingidos</w:t>
            </w:r>
          </w:p>
        </w:tc>
      </w:tr>
      <w:tr>
        <w:tc>
          <w:tcPr/>
          <w:p>
            <w:pPr>
              <w:pStyle w:val="Compact"/>
              <w:jc w:val="left"/>
            </w:pPr>
            <w:r>
              <w:t xml:space="preserve">Extensão aberta do TAZPOWER, PMID 33077895</w:t>
            </w:r>
          </w:p>
        </w:tc>
        <w:tc>
          <w:tcPr/>
          <w:p>
            <w:pPr>
              <w:pStyle w:val="Compact"/>
              <w:jc w:val="left"/>
            </w:pPr>
            <w:r>
              <w:t xml:space="preserve">10 pessoas, todas com elamipretida</w:t>
            </w:r>
          </w:p>
        </w:tc>
        <w:tc>
          <w:tcPr/>
          <w:p>
            <w:pPr>
              <w:pStyle w:val="Compact"/>
              <w:jc w:val="left"/>
            </w:pPr>
            <w:r>
              <w:t xml:space="preserve">36 semanas</w:t>
            </w:r>
          </w:p>
        </w:tc>
        <w:tc>
          <w:tcPr/>
          <w:p>
            <w:pPr>
              <w:pStyle w:val="Compact"/>
              <w:jc w:val="left"/>
            </w:pPr>
            <w:r>
              <w:t xml:space="preserve">distância de caminhada +95,9 m, escala de sintomas −2,1 pontos</w:t>
            </w:r>
          </w:p>
        </w:tc>
      </w:tr>
      <w:tr>
        <w:tc>
          <w:tcPr/>
          <w:p>
            <w:pPr>
              <w:pStyle w:val="Compact"/>
              <w:jc w:val="left"/>
            </w:pPr>
            <w:r>
              <w:t xml:space="preserve">Extensão até 168 semanas (Thompson 2024), PMID 38602181</w:t>
            </w:r>
          </w:p>
        </w:tc>
        <w:tc>
          <w:tcPr/>
          <w:p>
            <w:pPr>
              <w:pStyle w:val="Compact"/>
              <w:jc w:val="left"/>
            </w:pPr>
            <w:r>
              <w:t xml:space="preserve">10 incluídos, 8 até a semana 168</w:t>
            </w:r>
          </w:p>
        </w:tc>
        <w:tc>
          <w:tcPr/>
          <w:p>
            <w:pPr>
              <w:pStyle w:val="Compact"/>
              <w:jc w:val="left"/>
            </w:pPr>
            <w:r>
              <w:t xml:space="preserve">168 semanas</w:t>
            </w:r>
          </w:p>
        </w:tc>
        <w:tc>
          <w:tcPr/>
          <w:p>
            <w:pPr>
              <w:pStyle w:val="Compact"/>
              <w:jc w:val="left"/>
            </w:pPr>
            <w:r>
              <w:t xml:space="preserve">distância de caminhada acumulada +96,1 m; volumes cardíacos melhorados</w:t>
            </w:r>
          </w:p>
        </w:tc>
      </w:tr>
      <w:tr>
        <w:tc>
          <w:tcPr/>
          <w:p>
            <w:pPr>
              <w:pStyle w:val="Compact"/>
              <w:jc w:val="left"/>
            </w:pPr>
            <w:r>
              <w:t xml:space="preserve">Comparação com evolução natural (Hornby 2022), PMID 36056411</w:t>
            </w:r>
          </w:p>
        </w:tc>
        <w:tc>
          <w:tcPr/>
          <w:p>
            <w:pPr>
              <w:pStyle w:val="Compact"/>
              <w:jc w:val="left"/>
            </w:pPr>
            <w:r>
              <w:t xml:space="preserve">8 tratados vs. 19 não tratados de registro da doença</w:t>
            </w:r>
          </w:p>
        </w:tc>
        <w:tc>
          <w:tcPr/>
          <w:p>
            <w:pPr>
              <w:pStyle w:val="Compact"/>
              <w:jc w:val="left"/>
            </w:pPr>
            <w:r>
              <w:t xml:space="preserve">64–76 semanas</w:t>
            </w:r>
          </w:p>
        </w:tc>
        <w:tc>
          <w:tcPr/>
          <w:p>
            <w:pPr>
              <w:pStyle w:val="Compact"/>
              <w:jc w:val="left"/>
            </w:pPr>
            <w:r>
              <w:t xml:space="preserve">diferença no teste de caminhada de 79,7 e 91,0 m a favor da elamipretida</w:t>
            </w:r>
          </w:p>
        </w:tc>
      </w:tr>
    </w:tbl>
    <w:p>
      <w:pPr>
        <w:pStyle w:val="BodyText"/>
      </w:pPr>
      <w:r>
        <w:t xml:space="preserve">A história da aprovação mostra de forma exemplar como se decide em doenças extremamente raras:</w:t>
      </w:r>
    </w:p>
    <w:p>
      <w:pPr>
        <w:pStyle w:val="BodyText"/>
      </w:pPr>
      <w:r>
        <w:rPr>
          <w:bCs/>
          <w:b/>
        </w:rPr>
        <w:t xml:space="preserve">A parte controlada fracassou.</w:t>
      </w:r>
      <w:r>
        <w:t xml:space="preserve"> </w:t>
      </w:r>
      <w:r>
        <w:t xml:space="preserve">No TAZPOWER</w:t>
      </w:r>
      <w:r>
        <w:rPr>
          <w:rStyle w:val="FootnoteReference"/>
        </w:rPr>
        <w:footnoteReference w:id="1869"/>
      </w:r>
      <w:r>
        <w:t xml:space="preserve">, doze pessoas com síndrome de Barth receberam por doze semanas elamipretida subcutânea diária ou placebo e depois, cada uma, o outro. Nessa parte cega, não se atingiu diferença significativa nem no teste de caminhada de 6 minutos nem na escala de sintomas</w:t>
      </w:r>
      <w:r>
        <w:rPr>
          <w:rStyle w:val="FootnoteReference"/>
        </w:rPr>
        <w:footnoteReference w:id="1870"/>
      </w:r>
      <w:r>
        <w:t xml:space="preserve">.</w:t>
      </w:r>
    </w:p>
    <w:p>
      <w:pPr>
        <w:pStyle w:val="BodyText"/>
      </w:pPr>
      <w:r>
        <w:rPr>
          <w:bCs/>
          <w:b/>
        </w:rPr>
        <w:t xml:space="preserve">A extensão aberta foi positiva.</w:t>
      </w:r>
      <w:r>
        <w:t xml:space="preserve"> </w:t>
      </w:r>
      <w:r>
        <w:t xml:space="preserve">Dez pessoas continuaram o tratamento de forma aberta. Após 36 semanas, caminharam em média 95,9 m a mais do que no início; também a força de extensão do joelho e alguns parâmetros cardíacos melhoraram</w:t>
      </w:r>
      <w:r>
        <w:rPr>
          <w:rStyle w:val="FootnoteReference"/>
        </w:rPr>
        <w:footnoteReference w:id="1871"/>
      </w:r>
      <w:r>
        <w:t xml:space="preserve">. A melhora persistiu até a semana 168; oito pessoas chegaram a esse momento</w:t>
      </w:r>
      <w:r>
        <w:rPr>
          <w:rStyle w:val="FootnoteReference"/>
        </w:rPr>
        <w:footnoteReference w:id="1872"/>
      </w:r>
      <w:r>
        <w:t xml:space="preserve">. Sem grupo controle, porém, não é possível separar que parcela se deve ao medicamento e que parcela à familiarização com o teste, à motivação ou ao acaso.</w:t>
      </w:r>
    </w:p>
    <w:p>
      <w:pPr>
        <w:pStyle w:val="BodyText"/>
      </w:pPr>
      <w:r>
        <w:rPr>
          <w:bCs/>
          <w:b/>
        </w:rPr>
        <w:t xml:space="preserve">Comparação com um controle de registro.</w:t>
      </w:r>
      <w:r>
        <w:t xml:space="preserve"> </w:t>
      </w:r>
      <w:r>
        <w:t xml:space="preserve">Para esclarecer isso, outro estudo comparou oito pessoas tratadas com 19 não tratadas de um acompanhamento da evolução. A vantagem no teste de caminhada foi de 79,7 m após 64 semanas</w:t>
      </w:r>
      <w:r>
        <w:rPr>
          <w:rStyle w:val="FootnoteReference"/>
        </w:rPr>
        <w:footnoteReference w:id="1873"/>
      </w:r>
      <w:r>
        <w:t xml:space="preserve">. Tais</w:t>
      </w:r>
      <w:r>
        <w:t xml:space="preserve"> </w:t>
      </w:r>
      <w:r>
        <w:t xml:space="preserve">“</w:t>
      </w:r>
      <w:r>
        <w:t xml:space="preserve">controles históricos</w:t>
      </w:r>
      <w:r>
        <w:t xml:space="preserve">”</w:t>
      </w:r>
      <w:r>
        <w:t xml:space="preserve"> </w:t>
      </w:r>
      <w:r>
        <w:t xml:space="preserve">são em doenças raras muitas vezes a única possibilidade, mas são considerados bem mais fracos do que uma randomização.</w:t>
      </w:r>
    </w:p>
    <w:p>
      <w:pPr>
        <w:pStyle w:val="BodyText"/>
      </w:pPr>
      <w:r>
        <w:rPr>
          <w:bCs/>
          <w:b/>
        </w:rPr>
        <w:t xml:space="preserve">A decisão da FDA em 2025.</w:t>
      </w:r>
      <w:r>
        <w:t xml:space="preserve"> </w:t>
      </w:r>
      <w:r>
        <w:t xml:space="preserve">A agência americana de medicamentos inicialmente recusou o pedido em maio de 2025 (Complete Response Letter). Em setembro de 2025, concedeu então uma</w:t>
      </w:r>
      <w:r>
        <w:t xml:space="preserve"> </w:t>
      </w:r>
      <w:r>
        <w:rPr>
          <w:bCs/>
          <w:b/>
        </w:rPr>
        <w:t xml:space="preserve">aprovação acelerada</w:t>
      </w:r>
      <w:r>
        <w:t xml:space="preserve"> </w:t>
      </w:r>
      <w:r>
        <w:t xml:space="preserve">para a elamipretida (Forzinity) para melhorar a força muscular na síndrome de Barth em pacientes a partir de 30 kg – como primeiro tratamento específico dessa doença</w:t>
      </w:r>
      <w:r>
        <w:rPr>
          <w:rStyle w:val="FootnoteReference"/>
        </w:rPr>
        <w:footnoteReference w:id="1874"/>
      </w:r>
      <w:r>
        <w:t xml:space="preserve">. A base foi a melhora da força de extensão do joelho, que a agência considera uma medida substituta que torna um benefício clínico</w:t>
      </w:r>
      <w:r>
        <w:t xml:space="preserve"> </w:t>
      </w:r>
      <w:r>
        <w:t xml:space="preserve">“</w:t>
      </w:r>
      <w:r>
        <w:t xml:space="preserve">razoavelmente provável</w:t>
      </w:r>
      <w:r>
        <w:t xml:space="preserve">”</w:t>
      </w:r>
      <w:r>
        <w:t xml:space="preserve">. Uma aprovação acelerada obriga o fabricante a um estudo de confirmação; se o benefício não se confirmar ali, a aprovação pode ser retirada. Um estudo correspondente com 48 participantes previstos está recrutando desde julho de 2026</w:t>
      </w:r>
      <w:r>
        <w:rPr>
          <w:rStyle w:val="FootnoteReference"/>
        </w:rPr>
        <w:footnoteReference w:id="1875"/>
      </w:r>
      <w:r>
        <w:t xml:space="preserve">.</w:t>
      </w:r>
    </w:p>
    <w:bookmarkEnd w:id="1876"/>
    <w:bookmarkStart w:id="1881" w:name="miopatia-mitocondrial-primária-mmpower-3"/>
    <w:p>
      <w:pPr>
        <w:pStyle w:val="Heading4"/>
      </w:pPr>
      <w:r>
        <w:t xml:space="preserve">Miopatia mitocondrial primária: MMPOWER-3</w:t>
      </w:r>
    </w:p>
    <w:p>
      <w:pPr>
        <w:pStyle w:val="FirstParagraph"/>
      </w:pPr>
      <w:r>
        <w:t xml:space="preserve">Miopatias mitocondriais são doenças hereditárias em que a produção de energia nos músculos está comprometida; os afetados sofrem de fraqueza muscular e forte fatigabilidade.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MMPOWER (Karaa 2018), PMID 29500292</w:t>
            </w:r>
          </w:p>
        </w:tc>
        <w:tc>
          <w:tcPr/>
          <w:p>
            <w:pPr>
              <w:pStyle w:val="Compact"/>
              <w:jc w:val="left"/>
            </w:pPr>
            <w:r>
              <w:t xml:space="preserve">36 pessoas, infusão em dose crescente contra placebo</w:t>
            </w:r>
          </w:p>
        </w:tc>
        <w:tc>
          <w:tcPr/>
          <w:p>
            <w:pPr>
              <w:pStyle w:val="Compact"/>
              <w:jc w:val="left"/>
            </w:pPr>
            <w:r>
              <w:t xml:space="preserve">5 dias</w:t>
            </w:r>
          </w:p>
        </w:tc>
        <w:tc>
          <w:tcPr/>
          <w:p>
            <w:pPr>
              <w:pStyle w:val="Compact"/>
              <w:jc w:val="left"/>
            </w:pPr>
            <w:r>
              <w:t xml:space="preserve">dose mais alta +64,5 m no teste de caminhada vs. +20,4 m (p = 0,053)</w:t>
            </w:r>
          </w:p>
        </w:tc>
      </w:tr>
      <w:tr>
        <w:tc>
          <w:tcPr/>
          <w:p>
            <w:pPr>
              <w:pStyle w:val="Compact"/>
              <w:jc w:val="left"/>
            </w:pPr>
            <w:r>
              <w:t xml:space="preserve">MMPOWER-2 (Karaa 2020), PMID 32096613</w:t>
            </w:r>
          </w:p>
        </w:tc>
        <w:tc>
          <w:tcPr/>
          <w:p>
            <w:pPr>
              <w:pStyle w:val="Compact"/>
              <w:jc w:val="left"/>
            </w:pPr>
            <w:r>
              <w:t xml:space="preserve">30 pessoas, cruzado contra placebo</w:t>
            </w:r>
          </w:p>
        </w:tc>
        <w:tc>
          <w:tcPr/>
          <w:p>
            <w:pPr>
              <w:pStyle w:val="Compact"/>
              <w:jc w:val="left"/>
            </w:pPr>
            <w:r>
              <w:t xml:space="preserve">4 semanas cada</w:t>
            </w:r>
          </w:p>
        </w:tc>
        <w:tc>
          <w:tcPr/>
          <w:p>
            <w:pPr>
              <w:pStyle w:val="Compact"/>
              <w:jc w:val="left"/>
            </w:pPr>
            <w:r>
              <w:t xml:space="preserve">teste de caminhada +19,8 m (não significativo); menos fadiga</w:t>
            </w:r>
          </w:p>
        </w:tc>
      </w:tr>
      <w:tr>
        <w:tc>
          <w:tcPr/>
          <w:p>
            <w:pPr>
              <w:pStyle w:val="Compact"/>
              <w:jc w:val="left"/>
            </w:pPr>
            <w:r>
              <w:t xml:space="preserve">MMPOWER-3 (Karaa 2023), PMID 37268435</w:t>
            </w:r>
          </w:p>
        </w:tc>
        <w:tc>
          <w:tcPr/>
          <w:p>
            <w:pPr>
              <w:pStyle w:val="Compact"/>
              <w:jc w:val="left"/>
            </w:pPr>
            <w:r>
              <w:t xml:space="preserve">218 pessoas, fase 3 contra placebo</w:t>
            </w:r>
          </w:p>
        </w:tc>
        <w:tc>
          <w:tcPr/>
          <w:p>
            <w:pPr>
              <w:pStyle w:val="Compact"/>
              <w:jc w:val="left"/>
            </w:pPr>
            <w:r>
              <w:t xml:space="preserve">24 semanas</w:t>
            </w:r>
          </w:p>
        </w:tc>
        <w:tc>
          <w:tcPr/>
          <w:p>
            <w:pPr>
              <w:pStyle w:val="Compact"/>
              <w:jc w:val="left"/>
            </w:pPr>
            <w:r>
              <w:t xml:space="preserve">os dois desfechos principais não atingidos; diferença no teste de caminhada de −3,2 m</w:t>
            </w:r>
          </w:p>
        </w:tc>
      </w:tr>
    </w:tbl>
    <w:p>
      <w:pPr>
        <w:pStyle w:val="BodyText"/>
      </w:pPr>
      <w:r>
        <w:t xml:space="preserve">Após pequenos estudos encorajadores, o</w:t>
      </w:r>
      <w:r>
        <w:t xml:space="preserve"> </w:t>
      </w:r>
      <w:r>
        <w:rPr>
          <w:bCs/>
          <w:b/>
        </w:rPr>
        <w:t xml:space="preserve">MMPOWER-3</w:t>
      </w:r>
      <w:r>
        <w:rPr>
          <w:rStyle w:val="FootnoteReference"/>
        </w:rPr>
        <w:footnoteReference w:id="1877"/>
      </w:r>
      <w:r>
        <w:t xml:space="preserve"> </w:t>
      </w:r>
      <w:r>
        <w:t xml:space="preserve">deveria comprovar a eficácia. 218 adultos com miopatia mitocondrial geneticamente confirmada receberam por 24 semanas elamipretida ou placebo. O estudo não atingiu nenhum dos dois desfechos principais: no teste de caminhada de 6 minutos, a diferença foi de −3,2 m (IC de 95% −18,7 a 12,3); na escala de fadiga também não houve diferença. A tolerabilidade foi boa</w:t>
      </w:r>
      <w:r>
        <w:rPr>
          <w:rStyle w:val="FootnoteReference"/>
        </w:rPr>
        <w:footnoteReference w:id="1878"/>
      </w:r>
      <w:r>
        <w:t xml:space="preserve">. Os autores classificam isso como evidência da mais alta classe de que a elamipretida não melhora a distância de caminhada nem a fadiga nesse grupo.</w:t>
      </w:r>
    </w:p>
    <w:p>
      <w:pPr>
        <w:pStyle w:val="BodyText"/>
      </w:pPr>
      <w:r>
        <w:t xml:space="preserve">Uma análise posterior encontrou indícios de benefício em um subgrupo: pessoas com defeitos em genes do núcleo celular necessários para a replicação do DNA mitocondrial (como</w:t>
      </w:r>
      <w:r>
        <w:t xml:space="preserve"> </w:t>
      </w:r>
      <w:r>
        <w:rPr>
          <w:iCs/>
          <w:i/>
        </w:rPr>
        <w:t xml:space="preserve">POLG</w:t>
      </w:r>
      <w:r>
        <w:t xml:space="preserve"> </w:t>
      </w:r>
      <w:r>
        <w:t xml:space="preserve">e</w:t>
      </w:r>
      <w:r>
        <w:t xml:space="preserve"> </w:t>
      </w:r>
      <w:r>
        <w:rPr>
          <w:iCs/>
          <w:i/>
        </w:rPr>
        <w:t xml:space="preserve">TWNK</w:t>
      </w:r>
      <w:r>
        <w:t xml:space="preserve">) caminharam com elamipretida 25,2 m a mais, frente a 2,0 m com placebo (p = 0,06)</w:t>
      </w:r>
      <w:r>
        <w:rPr>
          <w:rStyle w:val="FootnoteReference"/>
        </w:rPr>
        <w:footnoteReference w:id="1879"/>
      </w:r>
      <w:r>
        <w:t xml:space="preserve">. Análises de subgrupo posteriores geram hipóteses, não provas. Com essa base, foi realizado o estudo de fase 3 NuPOWER</w:t>
      </w:r>
      <w:r>
        <w:rPr>
          <w:rStyle w:val="FootnoteReference"/>
        </w:rPr>
        <w:footnoteReference w:id="1880"/>
      </w:r>
      <w:r>
        <w:t xml:space="preserve">, com 102 participantes; segundo o registro, está concluído desde dezembro de 2024, e os resultados não haviam sido publicados no momento da nossa pesquisa.</w:t>
      </w:r>
    </w:p>
    <w:bookmarkEnd w:id="1881"/>
    <w:bookmarkStart w:id="1886" w:name="coração-rim-olho-e-envelhecimento"/>
    <w:p>
      <w:pPr>
        <w:pStyle w:val="Heading4"/>
      </w:pPr>
      <w:r>
        <w:t xml:space="preserve">Coração, rim, olho e envelhecimento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EMBRACE STEMI (Gibson 2016), PMID 26586786</w:t>
            </w:r>
          </w:p>
        </w:tc>
        <w:tc>
          <w:tcPr/>
          <w:p>
            <w:pPr>
              <w:pStyle w:val="Compact"/>
              <w:jc w:val="left"/>
            </w:pPr>
            <w:r>
              <w:t xml:space="preserve">pessoas com primeiro infarto de parede anterior, infusão durante tratamento por cateter, duplo-cego</w:t>
            </w:r>
          </w:p>
        </w:tc>
        <w:tc>
          <w:tcPr/>
          <w:p>
            <w:pPr>
              <w:pStyle w:val="Compact"/>
              <w:jc w:val="left"/>
            </w:pPr>
            <w:r>
              <w:t xml:space="preserve">72 horas</w:t>
            </w:r>
          </w:p>
        </w:tc>
        <w:tc>
          <w:tcPr/>
          <w:p>
            <w:pPr>
              <w:pStyle w:val="Compact"/>
              <w:jc w:val="left"/>
            </w:pPr>
            <w:r>
              <w:t xml:space="preserve">tamanho do infarto não reduzido</w:t>
            </w:r>
          </w:p>
        </w:tc>
      </w:tr>
      <w:tr>
        <w:tc>
          <w:tcPr/>
          <w:p>
            <w:pPr>
              <w:pStyle w:val="Compact"/>
              <w:jc w:val="left"/>
            </w:pPr>
            <w:r>
              <w:t xml:space="preserve">PROGRESS-HF (Butler 2020), PMID 32068002</w:t>
            </w:r>
          </w:p>
        </w:tc>
        <w:tc>
          <w:tcPr/>
          <w:p>
            <w:pPr>
              <w:pStyle w:val="Compact"/>
              <w:jc w:val="left"/>
            </w:pPr>
            <w:r>
              <w:t xml:space="preserve">71 pessoas com insuficiência cardíaca (ICFEr), contra placebo</w:t>
            </w:r>
          </w:p>
        </w:tc>
        <w:tc>
          <w:tcPr/>
          <w:p>
            <w:pPr>
              <w:pStyle w:val="Compact"/>
              <w:jc w:val="left"/>
            </w:pPr>
            <w:r>
              <w:t xml:space="preserve">4 semanas</w:t>
            </w:r>
          </w:p>
        </w:tc>
        <w:tc>
          <w:tcPr/>
          <w:p>
            <w:pPr>
              <w:pStyle w:val="Compact"/>
              <w:jc w:val="left"/>
            </w:pPr>
            <w:r>
              <w:t xml:space="preserve">nenhuma melhora dos volumes cardíacos</w:t>
            </w:r>
          </w:p>
        </w:tc>
      </w:tr>
      <w:tr>
        <w:tc>
          <w:tcPr/>
          <w:p>
            <w:pPr>
              <w:pStyle w:val="Compact"/>
              <w:jc w:val="left"/>
            </w:pPr>
            <w:r>
              <w:t xml:space="preserve">Daubert 2017, PMID 29217757</w:t>
            </w:r>
          </w:p>
        </w:tc>
        <w:tc>
          <w:tcPr/>
          <w:p>
            <w:pPr>
              <w:pStyle w:val="Compact"/>
              <w:jc w:val="left"/>
            </w:pPr>
            <w:r>
              <w:t xml:space="preserve">36 pessoas com insuficiência cardíaca, infusão única</w:t>
            </w:r>
          </w:p>
        </w:tc>
        <w:tc>
          <w:tcPr/>
          <w:p>
            <w:pPr>
              <w:pStyle w:val="Compact"/>
              <w:jc w:val="left"/>
            </w:pPr>
            <w:r>
              <w:t xml:space="preserve">24 horas</w:t>
            </w:r>
          </w:p>
        </w:tc>
        <w:tc>
          <w:tcPr/>
          <w:p>
            <w:pPr>
              <w:pStyle w:val="Compact"/>
              <w:jc w:val="left"/>
            </w:pPr>
            <w:r>
              <w:t xml:space="preserve">volumes cardíacos menores a curto prazo com a dose mais alta</w:t>
            </w:r>
          </w:p>
        </w:tc>
      </w:tr>
      <w:tr>
        <w:tc>
          <w:tcPr/>
          <w:p>
            <w:pPr>
              <w:pStyle w:val="Compact"/>
              <w:jc w:val="left"/>
            </w:pPr>
            <w:r>
              <w:t xml:space="preserve">Saad 2017, PMID 28916603</w:t>
            </w:r>
          </w:p>
        </w:tc>
        <w:tc>
          <w:tcPr/>
          <w:p>
            <w:pPr>
              <w:pStyle w:val="Compact"/>
              <w:jc w:val="left"/>
            </w:pPr>
            <w:r>
              <w:t xml:space="preserve">14 pessoas com estenose da artéria renal em tratamento com stent</w:t>
            </w:r>
          </w:p>
        </w:tc>
        <w:tc>
          <w:tcPr/>
          <w:p>
            <w:pPr>
              <w:pStyle w:val="Compact"/>
              <w:jc w:val="left"/>
            </w:pPr>
            <w:r>
              <w:t xml:space="preserve">3 meses</w:t>
            </w:r>
          </w:p>
        </w:tc>
        <w:tc>
          <w:tcPr/>
          <w:p>
            <w:pPr>
              <w:pStyle w:val="Compact"/>
              <w:jc w:val="left"/>
            </w:pPr>
            <w:r>
              <w:t xml:space="preserve">menos falta de oxigênio, melhor perfusão renal (estudo piloto)</w:t>
            </w:r>
          </w:p>
        </w:tc>
      </w:tr>
      <w:tr>
        <w:tc>
          <w:tcPr/>
          <w:p>
            <w:pPr>
              <w:pStyle w:val="Compact"/>
              <w:jc w:val="left"/>
            </w:pPr>
            <w:r>
              <w:t xml:space="preserve">ReCLAIM-2 (Ehlers 2025), PMID 39605874</w:t>
            </w:r>
          </w:p>
        </w:tc>
        <w:tc>
          <w:tcPr/>
          <w:p>
            <w:pPr>
              <w:pStyle w:val="Compact"/>
              <w:jc w:val="left"/>
            </w:pPr>
            <w:r>
              <w:t xml:space="preserve">176 pessoas com degeneração macular seca, contra placebo</w:t>
            </w:r>
          </w:p>
        </w:tc>
        <w:tc>
          <w:tcPr/>
          <w:p>
            <w:pPr>
              <w:pStyle w:val="Compact"/>
              <w:jc w:val="left"/>
            </w:pPr>
            <w:r>
              <w:t xml:space="preserve">48 semanas</w:t>
            </w:r>
          </w:p>
        </w:tc>
        <w:tc>
          <w:tcPr/>
          <w:p>
            <w:pPr>
              <w:pStyle w:val="Compact"/>
              <w:jc w:val="left"/>
            </w:pPr>
            <w:r>
              <w:t xml:space="preserve">desfechos principais não atingidos; perda mais lenta de estruturas fotorreceptoras (desfecho secundário)</w:t>
            </w:r>
          </w:p>
        </w:tc>
      </w:tr>
      <w:tr>
        <w:tc>
          <w:tcPr/>
          <w:p>
            <w:pPr>
              <w:pStyle w:val="Compact"/>
              <w:jc w:val="left"/>
            </w:pPr>
            <w:r>
              <w:t xml:space="preserve">Roshanravan 2021, PMID 34264994</w:t>
            </w:r>
          </w:p>
        </w:tc>
        <w:tc>
          <w:tcPr/>
          <w:p>
            <w:pPr>
              <w:pStyle w:val="Compact"/>
              <w:jc w:val="left"/>
            </w:pPr>
            <w:r>
              <w:t xml:space="preserve">39 idosos saudáveis, infusão única contra placebo</w:t>
            </w:r>
          </w:p>
        </w:tc>
        <w:tc>
          <w:tcPr/>
          <w:p>
            <w:pPr>
              <w:pStyle w:val="Compact"/>
              <w:jc w:val="left"/>
            </w:pPr>
            <w:r>
              <w:t xml:space="preserve">7 dias</w:t>
            </w:r>
          </w:p>
        </w:tc>
        <w:tc>
          <w:tcPr/>
          <w:p>
            <w:pPr>
              <w:pStyle w:val="Compact"/>
              <w:jc w:val="left"/>
            </w:pPr>
            <w:r>
              <w:t xml:space="preserve">capacidade energética maior a curto prazo no músculo da mão, mas sem melhor resistência à fadiga</w:t>
            </w:r>
          </w:p>
        </w:tc>
      </w:tr>
    </w:tbl>
    <w:p>
      <w:pPr>
        <w:pStyle w:val="BodyText"/>
      </w:pPr>
      <w:r>
        <w:t xml:space="preserve">O padrão chama a atenção: no</w:t>
      </w:r>
      <w:r>
        <w:t xml:space="preserve"> </w:t>
      </w:r>
      <w:r>
        <w:rPr>
          <w:bCs/>
          <w:b/>
        </w:rPr>
        <w:t xml:space="preserve">infarto do miocárdio</w:t>
      </w:r>
      <w:r>
        <w:t xml:space="preserve"> </w:t>
      </w:r>
      <w:r>
        <w:t xml:space="preserve">e na</w:t>
      </w:r>
      <w:r>
        <w:t xml:space="preserve"> </w:t>
      </w:r>
      <w:r>
        <w:rPr>
          <w:bCs/>
          <w:b/>
        </w:rPr>
        <w:t xml:space="preserve">insuficiência cardíaca</w:t>
      </w:r>
      <w:r>
        <w:t xml:space="preserve">, os estudos controlados maiores não mostraram benefício</w:t>
      </w:r>
      <w:r>
        <w:rPr>
          <w:rStyle w:val="FootnoteReference"/>
        </w:rPr>
        <w:footnoteReference w:id="1882"/>
      </w:r>
      <w:r>
        <w:t xml:space="preserve">. Na</w:t>
      </w:r>
      <w:r>
        <w:t xml:space="preserve"> </w:t>
      </w:r>
      <w:r>
        <w:rPr>
          <w:bCs/>
          <w:b/>
        </w:rPr>
        <w:t xml:space="preserve">degeneração macular seca</w:t>
      </w:r>
      <w:r>
        <w:t xml:space="preserve">, uma causa frequente de perda de visão na velhice, o ReCLAIM-2 não atingiu nenhum dos dois desfechos principais (acuidade visual com pouca luz e crescimento da área lesada da retina); um desfecho secundário definido previamente – a perda da camada de fotorreceptores – progrediu mais lentamente com elamipretida</w:t>
      </w:r>
      <w:r>
        <w:rPr>
          <w:rStyle w:val="FootnoteReference"/>
        </w:rPr>
        <w:footnoteReference w:id="1883"/>
      </w:r>
      <w:r>
        <w:t xml:space="preserve">. Essa medida serve agora como desfecho principal do estudo de fase 3 em andamento ReNEW</w:t>
      </w:r>
      <w:r>
        <w:rPr>
          <w:rStyle w:val="FootnoteReference"/>
        </w:rPr>
        <w:footnoteReference w:id="1884"/>
      </w:r>
      <w:r>
        <w:t xml:space="preserve">.</w:t>
      </w:r>
    </w:p>
    <w:p>
      <w:pPr>
        <w:pStyle w:val="BodyText"/>
      </w:pPr>
      <w:r>
        <w:t xml:space="preserve">Para a cena da longevidade, é interessante o estudo com idosos: uma única infusão aumentou a capacidade energética de um músculo da mão logo em seguida; após sete dias, o efeito havia desaparecido, e a resistência muscular não melhorou</w:t>
      </w:r>
      <w:r>
        <w:rPr>
          <w:rStyle w:val="FootnoteReference"/>
        </w:rPr>
        <w:footnoteReference w:id="1885"/>
      </w:r>
      <w:r>
        <w:t xml:space="preserve">. Daí não se pode deduzir nenhum benefício</w:t>
      </w:r>
      <w:r>
        <w:t xml:space="preserve"> </w:t>
      </w:r>
      <w:r>
        <w:t xml:space="preserve">“</w:t>
      </w:r>
      <w:r>
        <w:t xml:space="preserve">anti-aging</w:t>
      </w:r>
      <w:r>
        <w:t xml:space="preserve">”</w:t>
      </w:r>
      <w:r>
        <w:t xml:space="preserve">.</w:t>
      </w:r>
    </w:p>
    <w:bookmarkEnd w:id="1886"/>
    <w:bookmarkEnd w:id="1887"/>
    <w:bookmarkStart w:id="1891" w:name="estudos-em-animais-e-em-laboratório-43"/>
    <w:p>
      <w:pPr>
        <w:pStyle w:val="Heading3"/>
      </w:pPr>
      <w:r>
        <w:t xml:space="preserve">Estudos em animais e em laboratório</w:t>
      </w:r>
    </w:p>
    <w:p>
      <w:pPr>
        <w:pStyle w:val="FirstParagraph"/>
      </w:pPr>
      <w:r>
        <w:t xml:space="preserve">Em modelos animais, foram descritos efeitos favoráveis em insuficiência cardíaca, lesões renais, fraqueza muscular, doenças oculares e neurológicas</w:t>
      </w:r>
      <w:r>
        <w:rPr>
          <w:rStyle w:val="FootnoteReference"/>
        </w:rPr>
        <w:footnoteReference w:id="1888"/>
      </w:r>
      <w:r>
        <w:t xml:space="preserve">. Em cães com insuficiência cardíaca avançada, um tratamento contínuo melhorou a função de bombeamento e a função mitocondrial</w:t>
      </w:r>
      <w:r>
        <w:rPr>
          <w:rStyle w:val="FootnoteReference"/>
        </w:rPr>
        <w:footnoteReference w:id="1889"/>
      </w:r>
      <w:r>
        <w:t xml:space="preserve">. Em um modelo de rato de insuficiência cardíaca com fração de ejeção preservada, a elamipretida melhorou o metabolismo energético do músculo cardíaco, mas não a função cardíaca</w:t>
      </w:r>
      <w:r>
        <w:rPr>
          <w:rStyle w:val="FootnoteReference"/>
        </w:rPr>
        <w:footnoteReference w:id="1890"/>
      </w:r>
      <w:r>
        <w:t xml:space="preserve">. Essa discrepância entre melhor metabolismo energético e ausência de benefício clínico se reflete nos estudos em humanos.</w:t>
      </w:r>
    </w:p>
    <w:bookmarkEnd w:id="1891"/>
    <w:bookmarkStart w:id="1896" w:name="riscos-e-efeitos-colaterais-43"/>
    <w:p>
      <w:pPr>
        <w:pStyle w:val="Heading3"/>
      </w:pPr>
      <w:r>
        <w:t xml:space="preserve">Riscos e efeitos colaterais</w:t>
      </w:r>
    </w:p>
    <w:p>
      <w:pPr>
        <w:pStyle w:val="FirstParagraph"/>
      </w:pPr>
      <w:r>
        <w:rPr>
          <w:bCs/>
          <w:b/>
        </w:rPr>
        <w:t xml:space="preserve">Comprovado:</w:t>
      </w:r>
    </w:p>
    <w:p>
      <w:pPr>
        <w:numPr>
          <w:ilvl w:val="0"/>
          <w:numId w:val="1237"/>
        </w:numPr>
        <w:pStyle w:val="Compact"/>
      </w:pPr>
      <w:r>
        <w:t xml:space="preserve">Os efeitos colaterais mais frequentes são</w:t>
      </w:r>
      <w:r>
        <w:t xml:space="preserve"> </w:t>
      </w:r>
      <w:r>
        <w:rPr>
          <w:bCs/>
          <w:b/>
        </w:rPr>
        <w:t xml:space="preserve">reações no local da injeção</w:t>
      </w:r>
      <w:r>
        <w:t xml:space="preserve"> </w:t>
      </w:r>
      <w:r>
        <w:t xml:space="preserve">(coceira, dor, hematomas, vermelhidão). No MMPOWER-2, ocorreram em 80% dos tratados, em geral leves</w:t>
      </w:r>
      <w:r>
        <w:rPr>
          <w:rStyle w:val="FootnoteReference"/>
        </w:rPr>
        <w:footnoteReference w:id="1892"/>
      </w:r>
      <w:r>
        <w:t xml:space="preserve">. No ReCLAIM-2, 86% com elamipretida e 71% com placebo relataram algum evento adverso</w:t>
      </w:r>
      <w:r>
        <w:rPr>
          <w:rStyle w:val="FootnoteReference"/>
        </w:rPr>
        <w:footnoteReference w:id="1893"/>
      </w:r>
      <w:r>
        <w:t xml:space="preserve">.</w:t>
      </w:r>
    </w:p>
    <w:p>
      <w:pPr>
        <w:numPr>
          <w:ilvl w:val="0"/>
          <w:numId w:val="1237"/>
        </w:numPr>
        <w:pStyle w:val="Compact"/>
      </w:pPr>
      <w:r>
        <w:t xml:space="preserve">Efeitos colaterais graves não foram mais frequentes nos estudos; no MMPOWER-3, os eventos foram predominantemente leves a moderados</w:t>
      </w:r>
      <w:r>
        <w:rPr>
          <w:rStyle w:val="FootnoteReference"/>
        </w:rPr>
        <w:footnoteReference w:id="1894"/>
      </w:r>
      <w:r>
        <w:t xml:space="preserve">.</w:t>
      </w:r>
    </w:p>
    <w:p>
      <w:pPr>
        <w:numPr>
          <w:ilvl w:val="0"/>
          <w:numId w:val="1237"/>
        </w:numPr>
        <w:pStyle w:val="Compact"/>
      </w:pPr>
      <w:r>
        <w:t xml:space="preserve">Dados de longo prazo existem apenas para poucas pessoas com síndrome de Barth ao longo de pouco mais de três anos</w:t>
      </w:r>
      <w:r>
        <w:rPr>
          <w:rStyle w:val="FootnoteReference"/>
        </w:rPr>
        <w:footnoteReference w:id="1895"/>
      </w:r>
      <w:r>
        <w:t xml:space="preserve">.</w:t>
      </w:r>
    </w:p>
    <w:p>
      <w:pPr>
        <w:pStyle w:val="FirstParagraph"/>
      </w:pPr>
      <w:r>
        <w:rPr>
          <w:bCs/>
          <w:b/>
        </w:rPr>
        <w:t xml:space="preserve">Teórico:</w:t>
      </w:r>
      <w:r>
        <w:t xml:space="preserve"> </w:t>
      </w:r>
      <w:r>
        <w:t xml:space="preserve">uma substância que intervém continuamente nas mitocôndrias de todas as células do corpo poderia ter efeitos desconhecidos com o uso por anos em pessoas saudáveis; não há dados sobre isso.</w:t>
      </w:r>
    </w:p>
    <w:p>
      <w:pPr>
        <w:pStyle w:val="BodyText"/>
      </w:pPr>
      <w:r>
        <w:rPr>
          <w:bCs/>
          <w:b/>
        </w:rPr>
        <w:t xml:space="preserve">Mercado cinza:</w:t>
      </w:r>
      <w:r>
        <w:t xml:space="preserve"> </w:t>
      </w:r>
      <w:r>
        <w:t xml:space="preserve">o</w:t>
      </w:r>
      <w:r>
        <w:t xml:space="preserve"> </w:t>
      </w:r>
      <w:r>
        <w:t xml:space="preserve">“</w:t>
      </w:r>
      <w:r>
        <w:t xml:space="preserve">SS-31</w:t>
      </w:r>
      <w:r>
        <w:t xml:space="preserve">”</w:t>
      </w:r>
      <w:r>
        <w:t xml:space="preserve"> </w:t>
      </w:r>
      <w:r>
        <w:t xml:space="preserve">é vendido online como pó para injeção para</w:t>
      </w:r>
      <w:r>
        <w:t xml:space="preserve"> </w:t>
      </w:r>
      <w:r>
        <w:t xml:space="preserve">“</w:t>
      </w:r>
      <w:r>
        <w:t xml:space="preserve">rejuvenescimento mitocondrial</w:t>
      </w:r>
      <w:r>
        <w:t xml:space="preserve">”</w:t>
      </w:r>
      <w:r>
        <w:t xml:space="preserve">. Esses produtos não são o medicamento aprovado; teor e pureza não são verificados. Para pessoas saudáveis, nenhum benefício está comprovado.</w:t>
      </w:r>
    </w:p>
    <w:bookmarkEnd w:id="1896"/>
    <w:bookmarkStart w:id="1898" w:name="situação-legal-43"/>
    <w:p>
      <w:pPr>
        <w:pStyle w:val="Heading3"/>
      </w:pPr>
      <w:r>
        <w:t xml:space="preserve">Situação legal</w:t>
      </w:r>
    </w:p>
    <w:p>
      <w:pPr>
        <w:numPr>
          <w:ilvl w:val="0"/>
          <w:numId w:val="1238"/>
        </w:numPr>
        <w:pStyle w:val="Compact"/>
      </w:pPr>
      <w:r>
        <w:rPr>
          <w:bCs/>
          <w:b/>
        </w:rPr>
        <w:t xml:space="preserve">UE / Áustria / Alemanha:</w:t>
      </w:r>
      <w:r>
        <w:t xml:space="preserve"> </w:t>
      </w:r>
      <w:r>
        <w:t xml:space="preserve">não aprovada. A elamipretida é um medicamento; o uso só é possível no âmbito de estudos ou de programas de uso compassivo.</w:t>
      </w:r>
    </w:p>
    <w:p>
      <w:pPr>
        <w:numPr>
          <w:ilvl w:val="0"/>
          <w:numId w:val="1238"/>
        </w:numPr>
        <w:pStyle w:val="Compact"/>
      </w:pPr>
      <w:r>
        <w:rPr>
          <w:bCs/>
          <w:b/>
        </w:rPr>
        <w:t xml:space="preserve">EUA:</w:t>
      </w:r>
      <w:r>
        <w:t xml:space="preserve"> </w:t>
      </w:r>
      <w:r>
        <w:t xml:space="preserve">aprovação acelerada (Forzinity, setembro de 2025) apenas para síndrome de Barth a partir de 30 kg de peso corporal; consultar a bula técnica e ter acompanhamento médico. Para outras doenças há um programa de uso compassivo</w:t>
      </w:r>
      <w:r>
        <w:rPr>
          <w:rStyle w:val="FootnoteReference"/>
        </w:rPr>
        <w:footnoteReference w:id="1897"/>
      </w:r>
      <w:r>
        <w:t xml:space="preserve">.</w:t>
      </w:r>
    </w:p>
    <w:p>
      <w:pPr>
        <w:numPr>
          <w:ilvl w:val="0"/>
          <w:numId w:val="1238"/>
        </w:numPr>
        <w:pStyle w:val="Compact"/>
      </w:pPr>
      <w:r>
        <w:rPr>
          <w:bCs/>
          <w:b/>
        </w:rPr>
        <w:t xml:space="preserve">Esporte:</w:t>
      </w:r>
      <w:r>
        <w:t xml:space="preserve"> </w:t>
      </w:r>
      <w:r>
        <w:t xml:space="preserve">não listada nominalmente na lista da WADA (situação em 2026, verificar atualização).</w:t>
      </w:r>
    </w:p>
    <w:bookmarkEnd w:id="1898"/>
    <w:bookmarkStart w:id="1903" w:name="estudos-em-andamento-e-perspectivas-43"/>
    <w:p>
      <w:pPr>
        <w:pStyle w:val="Heading3"/>
      </w:pPr>
      <w:r>
        <w:t xml:space="preserve">Estudos em andamento e perspectivas</w:t>
      </w:r>
    </w:p>
    <w:p>
      <w:pPr>
        <w:pStyle w:val="FirstParagraph"/>
      </w:pPr>
      <w:r>
        <w:rPr>
          <w:bCs/>
          <w:b/>
        </w:rPr>
        <w:t xml:space="preserve">Comprovado (estudos registrados, situação em outubro de 2026):</w:t>
      </w:r>
    </w:p>
    <w:p>
      <w:pPr>
        <w:numPr>
          <w:ilvl w:val="0"/>
          <w:numId w:val="1239"/>
        </w:numPr>
        <w:pStyle w:val="Compact"/>
      </w:pPr>
      <w:r>
        <w:rPr>
          <w:bCs/>
          <w:b/>
        </w:rPr>
        <w:t xml:space="preserve">ReNEW</w:t>
      </w:r>
      <w:r>
        <w:rPr>
          <w:rStyle w:val="FootnoteReference"/>
        </w:rPr>
        <w:footnoteReference w:id="1899"/>
      </w:r>
      <w:r>
        <w:t xml:space="preserve">: fase 3 em degeneração macular seca, 313 participantes, recrutamento concluído, término previsto para 2027.</w:t>
      </w:r>
    </w:p>
    <w:p>
      <w:pPr>
        <w:numPr>
          <w:ilvl w:val="0"/>
          <w:numId w:val="1239"/>
        </w:numPr>
        <w:pStyle w:val="Compact"/>
      </w:pPr>
      <w:r>
        <w:rPr>
          <w:bCs/>
          <w:b/>
        </w:rPr>
        <w:t xml:space="preserve">4TAZPower</w:t>
      </w:r>
      <w:r>
        <w:rPr>
          <w:rStyle w:val="FootnoteReference"/>
        </w:rPr>
        <w:footnoteReference w:id="1900"/>
      </w:r>
      <w:r>
        <w:t xml:space="preserve">: estudo de confirmação na síndrome de Barth com 48 participantes previstos, em recrutamento.</w:t>
      </w:r>
    </w:p>
    <w:p>
      <w:pPr>
        <w:numPr>
          <w:ilvl w:val="0"/>
          <w:numId w:val="1239"/>
        </w:numPr>
        <w:pStyle w:val="Compact"/>
      </w:pPr>
      <w:r>
        <w:rPr>
          <w:bCs/>
          <w:b/>
        </w:rPr>
        <w:t xml:space="preserve">NuPOWER</w:t>
      </w:r>
      <w:r>
        <w:rPr>
          <w:rStyle w:val="FootnoteReference"/>
        </w:rPr>
        <w:footnoteReference w:id="1901"/>
      </w:r>
      <w:r>
        <w:t xml:space="preserve">: fase 3 em doença mitocondrial por mutações do DNA nuclear, 102 participantes, concluído; resultados pendentes.</w:t>
      </w:r>
    </w:p>
    <w:p>
      <w:pPr>
        <w:numPr>
          <w:ilvl w:val="0"/>
          <w:numId w:val="1239"/>
        </w:numPr>
        <w:pStyle w:val="Compact"/>
      </w:pPr>
      <w:r>
        <w:t xml:space="preserve">Um pequeno estudo de fase 2 em idosos saudáveis examina a função física</w:t>
      </w:r>
      <w:r>
        <w:rPr>
          <w:rStyle w:val="FootnoteReference"/>
        </w:rPr>
        <w:footnoteReference w:id="1902"/>
      </w:r>
      <w:r>
        <w:t xml:space="preserve">.</w:t>
      </w:r>
    </w:p>
    <w:p>
      <w:pPr>
        <w:pStyle w:val="FirstParagraph"/>
      </w:pPr>
      <w:r>
        <w:rPr>
          <w:bCs/>
          <w:b/>
        </w:rPr>
        <w:t xml:space="preserve">Avaliação:</w:t>
      </w:r>
      <w:r>
        <w:t xml:space="preserve"> </w:t>
      </w:r>
      <w:r>
        <w:t xml:space="preserve">se a elamipretida encontrará um lugar além da síndrome de Barth será decidido pelo ReNEW e pelo NuPOWER. A experiência do MMPOWER-3, EMBRACE e PROGRESS-HF recomenda cautela: um mecanismo convincente não garante benefício clínico.</w:t>
      </w:r>
    </w:p>
    <w:bookmarkEnd w:id="1903"/>
    <w:bookmarkStart w:id="1904" w:name="conclusão-43"/>
    <w:p>
      <w:pPr>
        <w:pStyle w:val="Heading3"/>
      </w:pPr>
      <w:r>
        <w:t xml:space="preserve">Conclusão</w:t>
      </w:r>
    </w:p>
    <w:p>
      <w:pPr>
        <w:pStyle w:val="FirstParagraph"/>
      </w:pPr>
      <w:r>
        <w:t xml:space="preserve">A elamipretida (SS-31) é um tetrapeptídeo que se liga à cardiolipina nas mitocôndrias e que, como primeiro medicamento mitocondrial, recebeu em 2025 nos EUA uma aprovação acelerada para a muito rara síndrome de Barth – com base em um estudo com doze pessoas, cuja parte controlada não atingiu seus desfechos principais, e em dados abertos de longo prazo. Em estudos randomizados maiores em miopatia mitocondrial, infarto do miocárdio, insuficiência cardíaca e degeneração macular, os desfechos principais não foram alcançados. O medicamento é bem tolerado; sobretudo reações no local da injeção são frequentes. Para pessoas saudáveis ou como recurso</w:t>
      </w:r>
      <w:r>
        <w:t xml:space="preserve"> </w:t>
      </w:r>
      <w:r>
        <w:t xml:space="preserve">“</w:t>
      </w:r>
      <w:r>
        <w:t xml:space="preserve">anti-aging</w:t>
      </w:r>
      <w:r>
        <w:t xml:space="preserve">”</w:t>
      </w:r>
      <w:r>
        <w:t xml:space="preserve">, não há benefício comprovado.</w:t>
      </w:r>
    </w:p>
    <w:bookmarkEnd w:id="1904"/>
    <w:bookmarkEnd w:id="1905"/>
    <w:bookmarkStart w:id="1924" w:name="foxo4-dri"/>
    <w:p>
      <w:pPr>
        <w:pStyle w:val="Heading2"/>
      </w:pPr>
      <w:r>
        <w:t xml:space="preserve">FOXO4-DRI</w:t>
      </w:r>
    </w:p>
    <w:bookmarkStart w:id="1906" w:name="ficha-técnica-44"/>
    <w:p>
      <w:pPr>
        <w:pStyle w:val="Heading3"/>
      </w:pPr>
      <w:r>
        <w:t xml:space="preserve">Ficha técnica</w:t>
      </w:r>
    </w:p>
    <w:p>
      <w:pPr>
        <w:numPr>
          <w:ilvl w:val="0"/>
          <w:numId w:val="1240"/>
        </w:numPr>
        <w:pStyle w:val="Compact"/>
      </w:pPr>
      <w:r>
        <w:rPr>
          <w:bCs/>
          <w:b/>
        </w:rPr>
        <w:t xml:space="preserve">Tipo e estrutura:</w:t>
      </w:r>
      <w:r>
        <w:t xml:space="preserve"> </w:t>
      </w:r>
      <w:r>
        <w:t xml:space="preserve">peptídeo sintético comparativamente longo, derivado de um segmento da proteína FOXO4.</w:t>
      </w:r>
      <w:r>
        <w:t xml:space="preserve"> </w:t>
      </w:r>
      <w:r>
        <w:t xml:space="preserve">“</w:t>
      </w:r>
      <w:r>
        <w:t xml:space="preserve">DRI</w:t>
      </w:r>
      <w:r>
        <w:t xml:space="preserve">”</w:t>
      </w:r>
      <w:r>
        <w:t xml:space="preserve"> </w:t>
      </w:r>
      <w:r>
        <w:t xml:space="preserve">significa</w:t>
      </w:r>
      <w:r>
        <w:t xml:space="preserve"> </w:t>
      </w:r>
      <w:r>
        <w:rPr>
          <w:iCs/>
          <w:i/>
        </w:rPr>
        <w:t xml:space="preserve">D-retro-inverso</w:t>
      </w:r>
      <w:r>
        <w:t xml:space="preserve">: o peptídeo é formado por D-aminoácidos especulares em ordem invertida. Com isso, ele quase não é degradado pelas enzimas do organismo. Um segmento acrescentado, carregado positivamente (derivado de uma proteína viral), deveria introduzi-lo nas células.</w:t>
      </w:r>
    </w:p>
    <w:p>
      <w:pPr>
        <w:numPr>
          <w:ilvl w:val="0"/>
          <w:numId w:val="1240"/>
        </w:numPr>
        <w:pStyle w:val="Compact"/>
      </w:pPr>
      <w:r>
        <w:rPr>
          <w:bCs/>
          <w:b/>
        </w:rPr>
        <w:t xml:space="preserve">Origem:</w:t>
      </w:r>
      <w:r>
        <w:t xml:space="preserve"> </w:t>
      </w:r>
      <w:r>
        <w:t xml:space="preserve">apresentado em 2017 por um grupo de trabalho holandês liderado por Peter de Keizer (Erasmus MC Rotterdam).</w:t>
      </w:r>
    </w:p>
    <w:p>
      <w:pPr>
        <w:numPr>
          <w:ilvl w:val="0"/>
          <w:numId w:val="1240"/>
        </w:numPr>
        <w:pStyle w:val="Compact"/>
      </w:pPr>
      <w:r>
        <w:rPr>
          <w:bCs/>
          <w:b/>
        </w:rPr>
        <w:t xml:space="preserve">Princípio de ação:</w:t>
      </w:r>
      <w:r>
        <w:t xml:space="preserve"> </w:t>
      </w:r>
      <w:r>
        <w:rPr>
          <w:bCs/>
          <w:b/>
        </w:rPr>
        <w:t xml:space="preserve">senolítico</w:t>
      </w:r>
      <w:r>
        <w:t xml:space="preserve"> </w:t>
      </w:r>
      <w:r>
        <w:t xml:space="preserve">– uma substância que deveria levar especificamente células envelhecidas, as chamadas células senescentes, à morte celular programada, perturbando a ligação entre o FOXO4 e a proteína protetora p53.</w:t>
      </w:r>
    </w:p>
    <w:p>
      <w:pPr>
        <w:numPr>
          <w:ilvl w:val="0"/>
          <w:numId w:val="1240"/>
        </w:numPr>
        <w:pStyle w:val="Compact"/>
      </w:pPr>
      <w:r>
        <w:rPr>
          <w:bCs/>
          <w:b/>
        </w:rPr>
        <w:t xml:space="preserve">Aprovação UE:</w:t>
      </w:r>
      <w:r>
        <w:t xml:space="preserve"> </w:t>
      </w:r>
      <w:r>
        <w:t xml:space="preserve">não.</w:t>
      </w:r>
    </w:p>
    <w:p>
      <w:pPr>
        <w:numPr>
          <w:ilvl w:val="0"/>
          <w:numId w:val="1240"/>
        </w:numPr>
        <w:pStyle w:val="Compact"/>
      </w:pPr>
      <w:r>
        <w:rPr>
          <w:bCs/>
          <w:b/>
        </w:rPr>
        <w:t xml:space="preserve">Aprovação EUA:</w:t>
      </w:r>
      <w:r>
        <w:t xml:space="preserve"> </w:t>
      </w:r>
      <w:r>
        <w:t xml:space="preserve">não.</w:t>
      </w:r>
    </w:p>
    <w:p>
      <w:pPr>
        <w:numPr>
          <w:ilvl w:val="0"/>
          <w:numId w:val="1240"/>
        </w:numPr>
        <w:pStyle w:val="Compact"/>
      </w:pPr>
      <w:r>
        <w:rPr>
          <w:bCs/>
          <w:b/>
        </w:rPr>
        <w:t xml:space="preserve">WADA:</w:t>
      </w:r>
      <w:r>
        <w:t xml:space="preserve"> </w:t>
      </w:r>
      <w:r>
        <w:t xml:space="preserve">não listado nominalmente; como substância não aprovada em nenhum lugar, o FOXO4-DRI se enquadra, em nossa avaliação, na categoria geral S0.</w:t>
      </w:r>
    </w:p>
    <w:p>
      <w:pPr>
        <w:numPr>
          <w:ilvl w:val="0"/>
          <w:numId w:val="1240"/>
        </w:numPr>
        <w:pStyle w:val="Compact"/>
      </w:pPr>
      <w:r>
        <w:rPr>
          <w:bCs/>
          <w:b/>
        </w:rPr>
        <w:t xml:space="preserve">Nível de evidência:</w:t>
      </w:r>
      <w:r>
        <w:t xml:space="preserve"> </w:t>
      </w:r>
      <w:r>
        <w:rPr>
          <w:bCs/>
          <w:b/>
        </w:rPr>
        <w:t xml:space="preserve">D</w:t>
      </w:r>
      <w:r>
        <w:t xml:space="preserve"> </w:t>
      </w:r>
      <w:r>
        <w:t xml:space="preserve">– exclusivamente estudos em animais e em laboratório.</w:t>
      </w:r>
    </w:p>
    <w:bookmarkEnd w:id="1906"/>
    <w:bookmarkStart w:id="1912" w:name="como-deveria-agir-44"/>
    <w:p>
      <w:pPr>
        <w:pStyle w:val="Heading3"/>
      </w:pPr>
      <w:r>
        <w:t xml:space="preserve">Como deveria agir</w:t>
      </w:r>
    </w:p>
    <w:p>
      <w:pPr>
        <w:pStyle w:val="FirstParagraph"/>
      </w:pPr>
      <w:r>
        <w:rPr>
          <w:bCs/>
          <w:b/>
        </w:rPr>
        <w:t xml:space="preserve">Células senescentes</w:t>
      </w:r>
      <w:r>
        <w:t xml:space="preserve"> </w:t>
      </w:r>
      <w:r>
        <w:t xml:space="preserve">são células que, após danos – por exemplo por radiação, quimioterapia, estresse oxidativo ou simplesmente por muitas divisões –, não se dividem mais, mas também não morrem. Permanecem no tecido e liberam uma mistura de mensageiros inflamatórios e enzimas que degradam tecidos, chamada SASP (</w:t>
      </w:r>
      <w:r>
        <w:rPr>
          <w:iCs/>
          <w:i/>
        </w:rPr>
        <w:t xml:space="preserve">senescence-associated secretory phenotype</w:t>
      </w:r>
      <w:r>
        <w:t xml:space="preserve">). Com a idade, elas aumentam em muitos órgãos. Em camundongos nos quais essas células foram removidas geneticamente de forma direcionada, diversas manifestações do envelhecimento foram retardadas. Daí surgiu a ideia dos</w:t>
      </w:r>
      <w:r>
        <w:t xml:space="preserve"> </w:t>
      </w:r>
      <w:r>
        <w:rPr>
          <w:bCs/>
          <w:b/>
        </w:rPr>
        <w:t xml:space="preserve">senolíticos</w:t>
      </w:r>
      <w:r>
        <w:t xml:space="preserve">: medicamentos que eliminam células senescentes.</w:t>
      </w:r>
    </w:p>
    <w:p>
      <w:pPr>
        <w:pStyle w:val="BodyText"/>
      </w:pPr>
      <w:r>
        <w:t xml:space="preserve">As células senescentes sobrevivem, entre outros motivos, porque suprimem programas de suicídio celular. O grupo de Roterdã constatou que a proteína FOXO4 tem papel-chave nisso: ela retém no núcleo celular a proteína p53, que de outra forma desencadearia a morte celular. O peptídeo FOXO4-DRI perturba essa ligação; a p53 é deslocada do núcleo, e a célula senescente morre. Células saudáveis, que se dividem normalmente, seriam em grande parte poupadas</w:t>
      </w:r>
      <w:r>
        <w:rPr>
          <w:rStyle w:val="FootnoteReference"/>
        </w:rPr>
        <w:footnoteReference w:id="1907"/>
      </w:r>
      <w:r>
        <w:t xml:space="preserve">. Estudos estruturais de 2025 confirmaram que o FOXO4-DRI se liga a um segmento desordenado da p53 – sendo que também o segmento de introdução celular do peptídeo participa da ligação</w:t>
      </w:r>
      <w:r>
        <w:rPr>
          <w:rStyle w:val="FootnoteReference"/>
        </w:rPr>
        <w:footnoteReference w:id="1908"/>
      </w:r>
      <w:r>
        <w:t xml:space="preserve">.</w:t>
      </w:r>
    </w:p>
    <w:bookmarkStart w:id="1911" w:name="senolíticos-em-humanos-o-contexto"/>
    <w:p>
      <w:pPr>
        <w:pStyle w:val="Heading4"/>
      </w:pPr>
      <w:r>
        <w:t xml:space="preserve">Senolíticos em humanos: o contexto</w:t>
      </w:r>
    </w:p>
    <w:p>
      <w:pPr>
        <w:pStyle w:val="FirstParagraph"/>
      </w:pPr>
      <w:r>
        <w:t xml:space="preserve">O próprio FOXO4-DRI nunca foi testado em humanos. Para situá-lo, ajuda olhar para outros senolíticos que já foram estudados clinicamente – sobretudo a combinação do medicamento oncológico dasatinibe com a substância vegetal quercetina (abreviada D+Q):</w:t>
      </w:r>
    </w:p>
    <w:p>
      <w:pPr>
        <w:numPr>
          <w:ilvl w:val="0"/>
          <w:numId w:val="1241"/>
        </w:numPr>
        <w:pStyle w:val="Compact"/>
      </w:pPr>
      <w:r>
        <w:t xml:space="preserve">Em um primeiro estudo piloto aberto com 14 pessoas com fibrose pulmonar idiopática, distância e velocidade de caminhada melhoraram, mas a função pulmonar não; ocorreu um evento adverso grave</w:t>
      </w:r>
      <w:r>
        <w:rPr>
          <w:rStyle w:val="FootnoteReference"/>
        </w:rPr>
        <w:footnoteReference w:id="1909"/>
      </w:r>
      <w:r>
        <w:t xml:space="preserve">.</w:t>
      </w:r>
    </w:p>
    <w:p>
      <w:pPr>
        <w:numPr>
          <w:ilvl w:val="0"/>
          <w:numId w:val="1241"/>
        </w:numPr>
        <w:pStyle w:val="Compact"/>
      </w:pPr>
      <w:r>
        <w:t xml:space="preserve">Em um estudo randomizado de fase 2 com 60 mulheres após a menopausa, o D+Q não reduziu o marcador de reabsorção óssea (desfecho principal não atingido); apenas em um subgrupo considerado posteriormente, com muitas células senescentes, mostraram-se efeitos favoráveis</w:t>
      </w:r>
      <w:r>
        <w:rPr>
          <w:rStyle w:val="FootnoteReference"/>
        </w:rPr>
        <w:footnoteReference w:id="1910"/>
      </w:r>
      <w:r>
        <w:t xml:space="preserve">.</w:t>
      </w:r>
    </w:p>
    <w:p>
      <w:pPr>
        <w:pStyle w:val="FirstParagraph"/>
      </w:pPr>
      <w:r>
        <w:t xml:space="preserve">A pesquisa clínica com senolíticos está, portanto, ainda no início, e os primeiros resultados controlados são reservados. Esse é o pano de fundo diante do qual o FOXO4-DRI é vendido na internet como</w:t>
      </w:r>
      <w:r>
        <w:t xml:space="preserve"> </w:t>
      </w:r>
      <w:r>
        <w:t xml:space="preserve">“</w:t>
      </w:r>
      <w:r>
        <w:t xml:space="preserve">peptídeo de rejuvenescimento</w:t>
      </w:r>
      <w:r>
        <w:t xml:space="preserve">”</w:t>
      </w:r>
      <w:r>
        <w:t xml:space="preserve">.</w:t>
      </w:r>
    </w:p>
    <w:bookmarkEnd w:id="1911"/>
    <w:bookmarkEnd w:id="1912"/>
    <w:bookmarkStart w:id="1914" w:name="estudos-em-humanos-44"/>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w:t>
      </w:r>
      <w:r>
        <w:t xml:space="preserve"> </w:t>
      </w:r>
      <w:r>
        <w:rPr>
          <w:bCs/>
          <w:b/>
        </w:rPr>
        <w:t xml:space="preserve">não</w:t>
      </w:r>
      <w:r>
        <w:t xml:space="preserve"> </w:t>
      </w:r>
      <w:r>
        <w:t xml:space="preserve">resultou em nenhum estudo em humanos com FOXO4-DRI; ao todo, o PubMed lista cerca de 20 trabalhos com o termo. No ClinicalTrials.gov não há estudo registrado. Também não foram encontrados relatos de caso sobre o uso em humanos nem análises de produtos do mercado cinza.</w:t>
      </w:r>
    </w:p>
    <w:p>
      <w:pPr>
        <w:pStyle w:val="BodyText"/>
      </w:pPr>
      <w:r>
        <w:t xml:space="preserve">O mais próximo do ser humano é um estudo de laboratório com células de cartilagem humanas: em células multiplicadas em laboratório para um transplante de cartilagem, o FOXO4-DRI eliminou mais da metade das células muito multiplicadas (e, portanto, mais frequentemente senescentes), mas não melhorou a capacidade de formar nova cartilagem</w:t>
      </w:r>
      <w:r>
        <w:rPr>
          <w:rStyle w:val="FootnoteReference"/>
        </w:rPr>
        <w:footnoteReference w:id="1913"/>
      </w:r>
      <w:r>
        <w:t xml:space="preserve">.</w:t>
      </w:r>
    </w:p>
    <w:bookmarkEnd w:id="1914"/>
    <w:bookmarkStart w:id="1917" w:name="estudos-em-animais-e-em-laboratório-44"/>
    <w:p>
      <w:pPr>
        <w:pStyle w:val="Heading3"/>
      </w:pPr>
      <w:r>
        <w:t xml:space="preserve">Estudos em animais e em laboratório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Estudo</w:t>
            </w:r>
          </w:p>
        </w:tc>
        <w:tc>
          <w:tcPr/>
          <w:p>
            <w:pPr>
              <w:pStyle w:val="Compact"/>
              <w:jc w:val="left"/>
            </w:pPr>
            <w:r>
              <w:t xml:space="preserve">Modelo</w:t>
            </w:r>
          </w:p>
        </w:tc>
        <w:tc>
          <w:tcPr/>
          <w:p>
            <w:pPr>
              <w:pStyle w:val="Compact"/>
              <w:jc w:val="left"/>
            </w:pPr>
            <w:r>
              <w:t xml:space="preserve">Resultado</w:t>
            </w:r>
          </w:p>
        </w:tc>
      </w:tr>
      <w:tr>
        <w:tc>
          <w:tcPr/>
          <w:p>
            <w:pPr>
              <w:pStyle w:val="Compact"/>
              <w:jc w:val="left"/>
            </w:pPr>
            <w:r>
              <w:t xml:space="preserve">Baar 2017, PMID 28340339</w:t>
            </w:r>
          </w:p>
        </w:tc>
        <w:tc>
          <w:tcPr/>
          <w:p>
            <w:pPr>
              <w:pStyle w:val="Compact"/>
              <w:jc w:val="left"/>
            </w:pPr>
            <w:r>
              <w:t xml:space="preserve">camundongos de envelhecimento acelerado e naturalmente envelhecidos; danos de quimioterapia</w:t>
            </w:r>
          </w:p>
        </w:tc>
        <w:tc>
          <w:tcPr/>
          <w:p>
            <w:pPr>
              <w:pStyle w:val="Compact"/>
              <w:jc w:val="left"/>
            </w:pPr>
            <w:r>
              <w:t xml:space="preserve">melhor condição física, pelagem mais densa, melhor função renal; proteção contra danos de doxorrubicina</w:t>
            </w:r>
          </w:p>
        </w:tc>
      </w:tr>
      <w:tr>
        <w:tc>
          <w:tcPr/>
          <w:p>
            <w:pPr>
              <w:pStyle w:val="Compact"/>
              <w:jc w:val="left"/>
            </w:pPr>
            <w:r>
              <w:t xml:space="preserve">Zhang 2020, PMID 31959736</w:t>
            </w:r>
          </w:p>
        </w:tc>
        <w:tc>
          <w:tcPr/>
          <w:p>
            <w:pPr>
              <w:pStyle w:val="Compact"/>
              <w:jc w:val="left"/>
            </w:pPr>
            <w:r>
              <w:t xml:space="preserve">camundongos naturalmente envelhecidos</w:t>
            </w:r>
          </w:p>
        </w:tc>
        <w:tc>
          <w:tcPr/>
          <w:p>
            <w:pPr>
              <w:pStyle w:val="Compact"/>
              <w:jc w:val="left"/>
            </w:pPr>
            <w:r>
              <w:t xml:space="preserve">produção de testosterona nos testículos melhorada</w:t>
            </w:r>
          </w:p>
        </w:tc>
      </w:tr>
      <w:tr>
        <w:tc>
          <w:tcPr/>
          <w:p>
            <w:pPr>
              <w:pStyle w:val="Compact"/>
              <w:jc w:val="left"/>
            </w:pPr>
            <w:r>
              <w:t xml:space="preserve">Han 2022, PMID 35510614</w:t>
            </w:r>
          </w:p>
        </w:tc>
        <w:tc>
          <w:tcPr/>
          <w:p>
            <w:pPr>
              <w:pStyle w:val="Compact"/>
              <w:jc w:val="left"/>
            </w:pPr>
            <w:r>
              <w:t xml:space="preserve">fibrose pulmonar em camundongos</w:t>
            </w:r>
          </w:p>
        </w:tc>
        <w:tc>
          <w:tcPr/>
          <w:p>
            <w:pPr>
              <w:pStyle w:val="Compact"/>
              <w:jc w:val="left"/>
            </w:pPr>
            <w:r>
              <w:t xml:space="preserve">menos cicatrização</w:t>
            </w:r>
          </w:p>
        </w:tc>
      </w:tr>
      <w:tr>
        <w:tc>
          <w:tcPr/>
          <w:p>
            <w:pPr>
              <w:pStyle w:val="Compact"/>
              <w:jc w:val="left"/>
            </w:pPr>
            <w:r>
              <w:t xml:space="preserve">Kong 2025, PMID 39994346</w:t>
            </w:r>
          </w:p>
        </w:tc>
        <w:tc>
          <w:tcPr/>
          <w:p>
            <w:pPr>
              <w:pStyle w:val="Compact"/>
              <w:jc w:val="left"/>
            </w:pPr>
            <w:r>
              <w:t xml:space="preserve">tecido de queloide (cicatrizes exuberantes) em laboratório</w:t>
            </w:r>
          </w:p>
        </w:tc>
        <w:tc>
          <w:tcPr/>
          <w:p>
            <w:pPr>
              <w:pStyle w:val="Compact"/>
              <w:jc w:val="left"/>
            </w:pPr>
            <w:r>
              <w:t xml:space="preserve">mais morte celular de células senescentes do tecido conjuntivo</w:t>
            </w:r>
          </w:p>
        </w:tc>
      </w:tr>
      <w:tr>
        <w:tc>
          <w:tcPr/>
          <w:p>
            <w:pPr>
              <w:pStyle w:val="Compact"/>
              <w:jc w:val="left"/>
            </w:pPr>
            <w:r>
              <w:t xml:space="preserve">Born 2023, PMID 36515093</w:t>
            </w:r>
          </w:p>
        </w:tc>
        <w:tc>
          <w:tcPr/>
          <w:p>
            <w:pPr>
              <w:pStyle w:val="Compact"/>
              <w:jc w:val="left"/>
            </w:pPr>
            <w:r>
              <w:t xml:space="preserve">modelos de hipertensão pulmonar em camundongos e ratos</w:t>
            </w:r>
          </w:p>
        </w:tc>
        <w:tc>
          <w:tcPr/>
          <w:p>
            <w:pPr>
              <w:pStyle w:val="Compact"/>
              <w:jc w:val="left"/>
            </w:pPr>
            <w:r>
              <w:t xml:space="preserve">remoção de células senescentes, também com FOXO4-DRI,</w:t>
            </w:r>
            <w:r>
              <w:t xml:space="preserve"> </w:t>
            </w:r>
            <w:r>
              <w:rPr>
                <w:bCs/>
                <w:b/>
              </w:rPr>
              <w:t xml:space="preserve">piorou</w:t>
            </w:r>
            <w:r>
              <w:t xml:space="preserve"> </w:t>
            </w:r>
            <w:r>
              <w:t xml:space="preserve">a circulação pulmonar</w:t>
            </w:r>
          </w:p>
        </w:tc>
      </w:tr>
    </w:tbl>
    <w:p>
      <w:pPr>
        <w:pStyle w:val="BodyText"/>
      </w:pPr>
      <w:r>
        <w:t xml:space="preserve">A primeira descrição despertou grande atenção: em camundongos de envelhecimento acelerado e em animais naturalmente envelhecidos, a condição física, o aspecto da pelagem e a função renal melhoraram</w:t>
      </w:r>
      <w:r>
        <w:rPr>
          <w:rStyle w:val="FootnoteReference"/>
        </w:rPr>
        <w:footnoteReference w:id="1915"/>
      </w:r>
      <w:r>
        <w:t xml:space="preserve">. Trabalhos posteriores de outros grupos, predominantemente da China, descreveram efeitos sobre testículos, pulmões e pele.</w:t>
      </w:r>
    </w:p>
    <w:p>
      <w:pPr>
        <w:pStyle w:val="BodyText"/>
      </w:pPr>
      <w:r>
        <w:t xml:space="preserve">Um importante achado contrário vem da pesquisa cardiovascular: em modelos de hipertensão pulmonar, a eliminação de células senescentes – tanto genética quanto com os senolíticos ABT263 ou FOXO4-DRI – piorou a pressão na circulação pulmonar e levou à perda de células do revestimento interno dos vasos pulmonares. Os autores concluem que senolíticos poderiam prejudicar os vasos pulmonares</w:t>
      </w:r>
      <w:r>
        <w:rPr>
          <w:rStyle w:val="FootnoteReference"/>
        </w:rPr>
        <w:footnoteReference w:id="1916"/>
      </w:r>
      <w:r>
        <w:t xml:space="preserve">. Isso mostra: células senescentes não são apenas</w:t>
      </w:r>
      <w:r>
        <w:t xml:space="preserve"> </w:t>
      </w:r>
      <w:r>
        <w:t xml:space="preserve">“</w:t>
      </w:r>
      <w:r>
        <w:t xml:space="preserve">entulho</w:t>
      </w:r>
      <w:r>
        <w:t xml:space="preserve">”</w:t>
      </w:r>
      <w:r>
        <w:t xml:space="preserve">, mas podem ter também funções estabilizadoras em alguns tecidos.</w:t>
      </w:r>
    </w:p>
    <w:bookmarkEnd w:id="1917"/>
    <w:bookmarkStart w:id="1920" w:name="riscos-e-efeitos-colaterais-44"/>
    <w:p>
      <w:pPr>
        <w:pStyle w:val="Heading3"/>
      </w:pPr>
      <w:r>
        <w:t xml:space="preserve">Riscos e efeitos colaterais</w:t>
      </w:r>
    </w:p>
    <w:p>
      <w:pPr>
        <w:pStyle w:val="FirstParagraph"/>
      </w:pPr>
      <w:r>
        <w:rPr>
          <w:bCs/>
          <w:b/>
        </w:rPr>
        <w:t xml:space="preserve">Comprovado:</w:t>
      </w:r>
      <w:r>
        <w:t xml:space="preserve"> </w:t>
      </w:r>
      <w:r>
        <w:t xml:space="preserve">nenhum dado em humanos.</w:t>
      </w:r>
    </w:p>
    <w:p>
      <w:pPr>
        <w:pStyle w:val="BodyText"/>
      </w:pPr>
      <w:r>
        <w:rPr>
          <w:bCs/>
          <w:b/>
        </w:rPr>
        <w:t xml:space="preserve">Teórico – e em parte apoiado por dados animais:</w:t>
      </w:r>
    </w:p>
    <w:p>
      <w:pPr>
        <w:numPr>
          <w:ilvl w:val="0"/>
          <w:numId w:val="1242"/>
        </w:numPr>
        <w:pStyle w:val="Compact"/>
      </w:pPr>
      <w:r>
        <w:rPr>
          <w:bCs/>
          <w:b/>
        </w:rPr>
        <w:t xml:space="preserve">Vasos e pulmões:</w:t>
      </w:r>
      <w:r>
        <w:t xml:space="preserve"> </w:t>
      </w:r>
      <w:r>
        <w:t xml:space="preserve">no modelo animal, o FOXO4-DRI piorou uma hipertensão pulmonar existente</w:t>
      </w:r>
      <w:r>
        <w:rPr>
          <w:rStyle w:val="FootnoteReference"/>
        </w:rPr>
        <w:footnoteReference w:id="1918"/>
      </w:r>
      <w:r>
        <w:t xml:space="preserve">.</w:t>
      </w:r>
    </w:p>
    <w:p>
      <w:pPr>
        <w:numPr>
          <w:ilvl w:val="0"/>
          <w:numId w:val="1242"/>
        </w:numPr>
        <w:pStyle w:val="Compact"/>
      </w:pPr>
      <w:r>
        <w:rPr>
          <w:bCs/>
          <w:b/>
        </w:rPr>
        <w:t xml:space="preserve">p53 e câncer:</w:t>
      </w:r>
      <w:r>
        <w:t xml:space="preserve"> </w:t>
      </w:r>
      <w:r>
        <w:t xml:space="preserve">a p53 é um dos mais importantes supressores tumorais do organismo. O FOXO4-DRI altera especificamente onde a p53 se encontra na célula. Que consequências isso tem a longo prazo para a defesa contra o câncer não foi estudado. Os desenvolvedores veem o princípio, ao contrário, também como abordagem para terapia do câncer</w:t>
      </w:r>
      <w:r>
        <w:rPr>
          <w:rStyle w:val="FootnoteReference"/>
        </w:rPr>
        <w:footnoteReference w:id="1919"/>
      </w:r>
      <w:r>
        <w:t xml:space="preserve">.</w:t>
      </w:r>
    </w:p>
    <w:p>
      <w:pPr>
        <w:numPr>
          <w:ilvl w:val="0"/>
          <w:numId w:val="1242"/>
        </w:numPr>
        <w:pStyle w:val="Compact"/>
      </w:pPr>
      <w:r>
        <w:rPr>
          <w:bCs/>
          <w:b/>
        </w:rPr>
        <w:t xml:space="preserve">Cicatrização e reparo tecidual:</w:t>
      </w:r>
      <w:r>
        <w:t xml:space="preserve"> </w:t>
      </w:r>
      <w:r>
        <w:t xml:space="preserve">células senescentes também participam da cicatrização de feridas e da remodelação tecidual; sua eliminação pode perturbar esses processos.</w:t>
      </w:r>
    </w:p>
    <w:p>
      <w:pPr>
        <w:numPr>
          <w:ilvl w:val="0"/>
          <w:numId w:val="1242"/>
        </w:numPr>
        <w:pStyle w:val="Compact"/>
      </w:pPr>
      <w:r>
        <w:rPr>
          <w:bCs/>
          <w:b/>
        </w:rPr>
        <w:t xml:space="preserve">Reações imunológicas:</w:t>
      </w:r>
      <w:r>
        <w:t xml:space="preserve"> </w:t>
      </w:r>
      <w:r>
        <w:t xml:space="preserve">o peptídeo contém um segmento de uma proteína viral e é relativamente grande; reações imunológicas com administração repetida são concebíveis, mas não foram estudadas.</w:t>
      </w:r>
    </w:p>
    <w:p>
      <w:pPr>
        <w:pStyle w:val="FirstParagraph"/>
      </w:pPr>
      <w:r>
        <w:rPr>
          <w:bCs/>
          <w:b/>
        </w:rPr>
        <w:t xml:space="preserve">Mercado cinza:</w:t>
      </w:r>
      <w:r>
        <w:t xml:space="preserve"> </w:t>
      </w:r>
      <w:r>
        <w:t xml:space="preserve">o FOXO4-DRI é oferecido online como</w:t>
      </w:r>
      <w:r>
        <w:t xml:space="preserve"> </w:t>
      </w:r>
      <w:r>
        <w:t xml:space="preserve">“</w:t>
      </w:r>
      <w:r>
        <w:t xml:space="preserve">senolítico</w:t>
      </w:r>
      <w:r>
        <w:t xml:space="preserve">”</w:t>
      </w:r>
      <w:r>
        <w:t xml:space="preserve"> </w:t>
      </w:r>
      <w:r>
        <w:t xml:space="preserve">para injeção, muitas vezes a preços altos. A fabricação de um peptídeo longo de D-aminoácidos é exigente; se os produtos vendidos realmente têm a sequência e a pureza corretas não é verificado.</w:t>
      </w:r>
    </w:p>
    <w:bookmarkEnd w:id="1920"/>
    <w:bookmarkStart w:id="1921" w:name="situação-legal-44"/>
    <w:p>
      <w:pPr>
        <w:pStyle w:val="Heading3"/>
      </w:pPr>
      <w:r>
        <w:t xml:space="preserve">Situação legal</w:t>
      </w:r>
    </w:p>
    <w:p>
      <w:pPr>
        <w:numPr>
          <w:ilvl w:val="0"/>
          <w:numId w:val="1243"/>
        </w:numPr>
        <w:pStyle w:val="Compact"/>
      </w:pPr>
      <w:r>
        <w:rPr>
          <w:bCs/>
          <w:b/>
        </w:rPr>
        <w:t xml:space="preserve">UE / Áustria / Alemanha:</w:t>
      </w:r>
      <w:r>
        <w:t xml:space="preserve"> </w:t>
      </w:r>
      <w:r>
        <w:t xml:space="preserve">não aprovado; como substância com efeito farmacológico, o FOXO4-DRI é considerado medicamento, e a venda para uso em humanos não é permitida.</w:t>
      </w:r>
    </w:p>
    <w:p>
      <w:pPr>
        <w:numPr>
          <w:ilvl w:val="0"/>
          <w:numId w:val="1243"/>
        </w:numPr>
        <w:pStyle w:val="Compact"/>
      </w:pPr>
      <w:r>
        <w:rPr>
          <w:bCs/>
          <w:b/>
        </w:rPr>
        <w:t xml:space="preserve">EUA:</w:t>
      </w:r>
      <w:r>
        <w:t xml:space="preserve"> </w:t>
      </w:r>
      <w:r>
        <w:t xml:space="preserve">não aprovado.</w:t>
      </w:r>
    </w:p>
    <w:p>
      <w:pPr>
        <w:numPr>
          <w:ilvl w:val="0"/>
          <w:numId w:val="1243"/>
        </w:numPr>
        <w:pStyle w:val="Compact"/>
      </w:pPr>
      <w:r>
        <w:rPr>
          <w:bCs/>
          <w:b/>
        </w:rPr>
        <w:t xml:space="preserve">Esporte:</w:t>
      </w:r>
      <w:r>
        <w:t xml:space="preserve"> </w:t>
      </w:r>
      <w:r>
        <w:t xml:space="preserve">em nossa avaliação, categoria S0 da WADA (situação em 2026, verificar atualização).</w:t>
      </w:r>
    </w:p>
    <w:bookmarkEnd w:id="1921"/>
    <w:bookmarkStart w:id="1922" w:name="estudos-em-andamento-e-perspectivas-44"/>
    <w:p>
      <w:pPr>
        <w:pStyle w:val="Heading3"/>
      </w:pPr>
      <w:r>
        <w:t xml:space="preserve">Estudos em andamento e perspectivas</w:t>
      </w:r>
    </w:p>
    <w:p>
      <w:pPr>
        <w:pStyle w:val="FirstParagraph"/>
      </w:pPr>
      <w:r>
        <w:rPr>
          <w:bCs/>
          <w:b/>
        </w:rPr>
        <w:t xml:space="preserve">Comprovado:</w:t>
      </w:r>
      <w:r>
        <w:t xml:space="preserve"> </w:t>
      </w:r>
      <w:r>
        <w:t xml:space="preserve">nenhum estudo clínico registrado com FOXO4-DRI (consulta de outubro de 2026). O grupo desenvolvedor trabalha em aperfeiçoamentos do princípio; estudos clínicos com senolíticos estão em andamento sobretudo com outras substâncias.</w:t>
      </w:r>
    </w:p>
    <w:p>
      <w:pPr>
        <w:pStyle w:val="BodyText"/>
      </w:pPr>
      <w:r>
        <w:rPr>
          <w:bCs/>
          <w:b/>
        </w:rPr>
        <w:t xml:space="preserve">Avaliação:</w:t>
      </w:r>
      <w:r>
        <w:t xml:space="preserve"> </w:t>
      </w:r>
      <w:r>
        <w:t xml:space="preserve">a pesquisa sobre senolíticos é um dos campos mais instigantes da pesquisa sobre envelhecimento, mas os primeiros estudos controlados em humanos foram decepcionantes. Para o FOXO4-DRI seriam necessários primeiro estudos sistemáticos de toxicidade e um primeiro estudo cauteloso em humanos – idealmente em uma doença claramente definida, não como</w:t>
      </w:r>
      <w:r>
        <w:t xml:space="preserve"> </w:t>
      </w:r>
      <w:r>
        <w:t xml:space="preserve">“</w:t>
      </w:r>
      <w:r>
        <w:t xml:space="preserve">anti-aging</w:t>
      </w:r>
      <w:r>
        <w:t xml:space="preserve">”</w:t>
      </w:r>
      <w:r>
        <w:t xml:space="preserve"> </w:t>
      </w:r>
      <w:r>
        <w:t xml:space="preserve">genérico.</w:t>
      </w:r>
    </w:p>
    <w:bookmarkEnd w:id="1922"/>
    <w:bookmarkStart w:id="1923" w:name="conclusão-44"/>
    <w:p>
      <w:pPr>
        <w:pStyle w:val="Heading3"/>
      </w:pPr>
      <w:r>
        <w:t xml:space="preserve">Conclusão</w:t>
      </w:r>
    </w:p>
    <w:p>
      <w:pPr>
        <w:pStyle w:val="FirstParagraph"/>
      </w:pPr>
      <w:r>
        <w:t xml:space="preserve">O FOXO4-DRI é um peptídeo artificial que, em culturas de células e em camundongos, eliminou especificamente células senescentes e, em animais envelhecidos, melhorou condição física, pelagem e função renal. Nunca foi estudado em humanos. Em modelos animais de hipertensão pulmonar, a remoção de células senescentes com FOXO4-DRI piorou a evolução da doença, e a intervenção na proteína de proteção contra o câncer p53 levanta questões em aberto. Os dados não são suficientes para avaliar benefício ou segurança em humanos.</w:t>
      </w:r>
    </w:p>
    <w:bookmarkEnd w:id="1923"/>
    <w:bookmarkEnd w:id="1924"/>
    <w:bookmarkStart w:id="1956" w:name="glutationa"/>
    <w:p>
      <w:pPr>
        <w:pStyle w:val="Heading2"/>
      </w:pPr>
      <w:r>
        <w:t xml:space="preserve">Glutationa</w:t>
      </w:r>
    </w:p>
    <w:bookmarkStart w:id="1925" w:name="ficha-técnica-45"/>
    <w:p>
      <w:pPr>
        <w:pStyle w:val="Heading3"/>
      </w:pPr>
      <w:r>
        <w:t xml:space="preserve">Ficha técnica</w:t>
      </w:r>
    </w:p>
    <w:p>
      <w:pPr>
        <w:numPr>
          <w:ilvl w:val="0"/>
          <w:numId w:val="1244"/>
        </w:numPr>
        <w:pStyle w:val="Compact"/>
      </w:pPr>
      <w:r>
        <w:rPr>
          <w:bCs/>
          <w:b/>
        </w:rPr>
        <w:t xml:space="preserve">Tipo e estrutura:</w:t>
      </w:r>
      <w:r>
        <w:t xml:space="preserve"> </w:t>
      </w:r>
      <w:r>
        <w:t xml:space="preserve">tripeptídeo de três aminoácidos – ácido glutâmico, cisteína e glicina (γ-glutamil-cisteinil-glicina, abreviado GSH). A forma reduzida (GSH) é a ativa; na defesa contra a oxidação, duas moléculas se unem em glutationa oxidada (GSSG).</w:t>
      </w:r>
    </w:p>
    <w:p>
      <w:pPr>
        <w:numPr>
          <w:ilvl w:val="0"/>
          <w:numId w:val="1244"/>
        </w:numPr>
        <w:pStyle w:val="Compact"/>
      </w:pPr>
      <w:r>
        <w:rPr>
          <w:bCs/>
          <w:b/>
        </w:rPr>
        <w:t xml:space="preserve">Origem:</w:t>
      </w:r>
      <w:r>
        <w:t xml:space="preserve"> </w:t>
      </w:r>
      <w:r>
        <w:t xml:space="preserve">é produzida por praticamente todas as células do corpo, em quantidade especialmente grande no fígado. Como preparado, é em geral fabricada por fermentação com leveduras.</w:t>
      </w:r>
    </w:p>
    <w:p>
      <w:pPr>
        <w:numPr>
          <w:ilvl w:val="0"/>
          <w:numId w:val="1244"/>
        </w:numPr>
        <w:pStyle w:val="Compact"/>
      </w:pPr>
      <w:r>
        <w:rPr>
          <w:bCs/>
          <w:b/>
        </w:rPr>
        <w:t xml:space="preserve">Princípio de ação:</w:t>
      </w:r>
      <w:r>
        <w:t xml:space="preserve"> </w:t>
      </w:r>
      <w:r>
        <w:t xml:space="preserve">a mais importante substância protetora do próprio organismo contra a oxidação nas células; participa da desintoxicação de medicamentos e poluentes (por exemplo, na degradação do paracetamol) e da regulação de células imunológicas. Na pele, desloca a formação de pigmento da melanina escura para a mais clara.</w:t>
      </w:r>
    </w:p>
    <w:p>
      <w:pPr>
        <w:numPr>
          <w:ilvl w:val="0"/>
          <w:numId w:val="1244"/>
        </w:numPr>
        <w:pStyle w:val="Compact"/>
      </w:pPr>
      <w:r>
        <w:rPr>
          <w:bCs/>
          <w:b/>
        </w:rPr>
        <w:t xml:space="preserve">Aprovação UE:</w:t>
      </w:r>
      <w:r>
        <w:t xml:space="preserve"> </w:t>
      </w:r>
      <w:r>
        <w:t xml:space="preserve">amplamente comercializada como suplemento alimentar; como medicamento injetável, apenas em alguns países para indicações estritamente delimitadas, não para clareamento da pele.</w:t>
      </w:r>
    </w:p>
    <w:p>
      <w:pPr>
        <w:numPr>
          <w:ilvl w:val="0"/>
          <w:numId w:val="1244"/>
        </w:numPr>
        <w:pStyle w:val="Compact"/>
      </w:pPr>
      <w:r>
        <w:rPr>
          <w:bCs/>
          <w:b/>
        </w:rPr>
        <w:t xml:space="preserve">Aprovação EUA:</w:t>
      </w:r>
      <w:r>
        <w:t xml:space="preserve"> </w:t>
      </w:r>
      <w:r>
        <w:t xml:space="preserve">nenhum medicamento de glutationa aprovado pela FDA; disponível como suplemento alimentar e como preparação de farmácia de manipulação.</w:t>
      </w:r>
    </w:p>
    <w:p>
      <w:pPr>
        <w:numPr>
          <w:ilvl w:val="0"/>
          <w:numId w:val="1244"/>
        </w:numPr>
        <w:pStyle w:val="Compact"/>
      </w:pPr>
      <w:r>
        <w:rPr>
          <w:bCs/>
          <w:b/>
        </w:rPr>
        <w:t xml:space="preserve">WADA:</w:t>
      </w:r>
      <w:r>
        <w:t xml:space="preserve"> </w:t>
      </w:r>
      <w:r>
        <w:t xml:space="preserve">a glutationa em si não é proibida. Infusões ou injeções de mais de 100 ml em doze horas, no entanto, são abrangidas como método proibido (M2), exceto no âmbito de tratamento hospitalar ou exame.</w:t>
      </w:r>
    </w:p>
    <w:p>
      <w:pPr>
        <w:numPr>
          <w:ilvl w:val="0"/>
          <w:numId w:val="1244"/>
        </w:numPr>
        <w:pStyle w:val="Compact"/>
      </w:pPr>
      <w:r>
        <w:rPr>
          <w:bCs/>
          <w:b/>
        </w:rPr>
        <w:t xml:space="preserve">Nível de evidência:</w:t>
      </w:r>
      <w:r>
        <w:t xml:space="preserve"> </w:t>
      </w:r>
      <w:r>
        <w:rPr>
          <w:bCs/>
          <w:b/>
        </w:rPr>
        <w:t xml:space="preserve">B</w:t>
      </w:r>
      <w:r>
        <w:t xml:space="preserve"> </w:t>
      </w:r>
      <w:r>
        <w:t xml:space="preserve">– numerosos estudos randomizados, predominantemente pequenos, com resultados variáveis; nenhuma aprovação com base em grandes estudos de desfechos.</w:t>
      </w:r>
    </w:p>
    <w:bookmarkEnd w:id="1925"/>
    <w:bookmarkStart w:id="1926" w:name="como-deveria-agir-45"/>
    <w:p>
      <w:pPr>
        <w:pStyle w:val="Heading3"/>
      </w:pPr>
      <w:r>
        <w:t xml:space="preserve">Como deveria agir</w:t>
      </w:r>
    </w:p>
    <w:p>
      <w:pPr>
        <w:pStyle w:val="FirstParagraph"/>
      </w:pPr>
      <w:r>
        <w:t xml:space="preserve">A glutationa é um componente absolutamente comum de toda célula. Ela capta espécies reativas de oxigênio, ajuda enzimas na desintoxicação e mantém outras substâncias protetoras, como as vitaminas C e E, em sua forma ativa. Em muitas doenças – como diabetes, doenças hepáticas, HIV, Parkinson – e com o avanço da idade, os níveis de glutationa no sangue ou nos tecidos são mais baixos. Daí surgiu a ideia óbvia de fornecer glutationa de fora.</w:t>
      </w:r>
    </w:p>
    <w:p>
      <w:pPr>
        <w:pStyle w:val="BodyText"/>
      </w:pPr>
      <w:r>
        <w:t xml:space="preserve">Isso é mais difícil do que parece, por três motivos:</w:t>
      </w:r>
    </w:p>
    <w:p>
      <w:pPr>
        <w:numPr>
          <w:ilvl w:val="0"/>
          <w:numId w:val="1245"/>
        </w:numPr>
        <w:pStyle w:val="Compact"/>
      </w:pPr>
      <w:r>
        <w:rPr>
          <w:bCs/>
          <w:b/>
        </w:rPr>
        <w:t xml:space="preserve">Digestão:</w:t>
      </w:r>
      <w:r>
        <w:t xml:space="preserve"> </w:t>
      </w:r>
      <w:r>
        <w:t xml:space="preserve">como peptídeo, a glutationa é parcialmente decomposta no intestino; por muito tempo foi considerada, por isso, pouco eficaz quando engolida.</w:t>
      </w:r>
    </w:p>
    <w:p>
      <w:pPr>
        <w:numPr>
          <w:ilvl w:val="0"/>
          <w:numId w:val="1245"/>
        </w:numPr>
        <w:pStyle w:val="Compact"/>
      </w:pPr>
      <w:r>
        <w:rPr>
          <w:bCs/>
          <w:b/>
        </w:rPr>
        <w:t xml:space="preserve">Entrada nas células:</w:t>
      </w:r>
      <w:r>
        <w:t xml:space="preserve"> </w:t>
      </w:r>
      <w:r>
        <w:t xml:space="preserve">a glutationa é produzida predominantemente</w:t>
      </w:r>
      <w:r>
        <w:t xml:space="preserve"> </w:t>
      </w:r>
      <w:r>
        <w:rPr>
          <w:iCs/>
          <w:i/>
        </w:rPr>
        <w:t xml:space="preserve">dentro</w:t>
      </w:r>
      <w:r>
        <w:t xml:space="preserve"> </w:t>
      </w:r>
      <w:r>
        <w:t xml:space="preserve">das células; a partir do sangue, entra nelas apenas de forma limitada.</w:t>
      </w:r>
    </w:p>
    <w:p>
      <w:pPr>
        <w:numPr>
          <w:ilvl w:val="0"/>
          <w:numId w:val="1245"/>
        </w:numPr>
        <w:pStyle w:val="Compact"/>
      </w:pPr>
      <w:r>
        <w:rPr>
          <w:bCs/>
          <w:b/>
        </w:rPr>
        <w:t xml:space="preserve">Curta permanência:</w:t>
      </w:r>
      <w:r>
        <w:t xml:space="preserve"> </w:t>
      </w:r>
      <w:r>
        <w:t xml:space="preserve">a glutationa infundida é rapidamente degradada no sangue.</w:t>
      </w:r>
    </w:p>
    <w:p>
      <w:pPr>
        <w:pStyle w:val="FirstParagraph"/>
      </w:pPr>
      <w:r>
        <w:t xml:space="preserve">Por isso, oferecem-se diversas formas de administração: cápsulas e comprimidos, glutationa</w:t>
      </w:r>
      <w:r>
        <w:t xml:space="preserve"> </w:t>
      </w:r>
      <w:r>
        <w:rPr>
          <w:bCs/>
          <w:b/>
        </w:rPr>
        <w:t xml:space="preserve">lipossomal</w:t>
      </w:r>
      <w:r>
        <w:t xml:space="preserve"> </w:t>
      </w:r>
      <w:r>
        <w:t xml:space="preserve">(envolta em vesículas de gordura), pastilhas e filmes para a mucosa oral, spray nasal, cremes – e</w:t>
      </w:r>
      <w:r>
        <w:t xml:space="preserve"> </w:t>
      </w:r>
      <w:r>
        <w:rPr>
          <w:bCs/>
          <w:b/>
        </w:rPr>
        <w:t xml:space="preserve">infusões</w:t>
      </w:r>
      <w:r>
        <w:t xml:space="preserve"> </w:t>
      </w:r>
      <w:r>
        <w:t xml:space="preserve">na veia. Além disso, há precursores como a N-acetilcisteína (NAC) ou glicina mais NAC, que o organismo usa para a produção própria; eles não são tema deste capítulo.</w:t>
      </w:r>
    </w:p>
    <w:p>
      <w:pPr>
        <w:pStyle w:val="BodyText"/>
      </w:pPr>
      <w:r>
        <w:t xml:space="preserve">Para o clareamento da pele, supõe-se um mecanismo adicional: em experimentos de laboratório, a glutationa inibe a enzima tirosinase e desvia a formação de pigmento da eumelanina escura para a feomelanina mais clara.</w:t>
      </w:r>
    </w:p>
    <w:bookmarkEnd w:id="1926"/>
    <w:bookmarkStart w:id="1946" w:name="estudos-em-humanos-45"/>
    <w:p>
      <w:pPr>
        <w:pStyle w:val="Heading3"/>
      </w:pPr>
      <w:r>
        <w:t xml:space="preserve">Estudos em humanos</w:t>
      </w:r>
    </w:p>
    <w:p>
      <w:pPr>
        <w:pStyle w:val="FirstParagraph"/>
      </w:pPr>
      <w:r>
        <w:rPr>
          <w:bCs/>
          <w:b/>
        </w:rPr>
        <w:t xml:space="preserve">Dimensão do conjunto de estudos:</w:t>
      </w:r>
      <w:r>
        <w:t xml:space="preserve"> </w:t>
      </w:r>
      <w:r>
        <w:t xml:space="preserve">a consulta automatizada ao PubMed (outubro de 2026) resultou em 161 publicações classificadas como estudos em humanos, além de 15 revisões e metanálises. No ClinicalTrials.gov estavam registrados 273 estudos. Os dois números superestimam claramente a situação direta dos dados: muitas ocorrências apenas medem a glutationa como valor laboratorial (por exemplo, sob selênio, vitaminas, esporte ou NAC) ou se referem à enzima glutationa S-transferase. Estudos em que a própria glutationa foi administrada são minoria – mas, ainda assim, algumas dezenas.</w:t>
      </w:r>
    </w:p>
    <w:bookmarkStart w:id="1930" w:name="X07b923a74cfa521be03a15213eed7b58687bdc1"/>
    <w:p>
      <w:pPr>
        <w:pStyle w:val="Heading4"/>
      </w:pPr>
      <w:r>
        <w:t xml:space="preserve">A glutationa engolida chega mesmo ao destino?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Allen 2011, PMID 21875351</w:t>
            </w:r>
          </w:p>
        </w:tc>
        <w:tc>
          <w:tcPr/>
          <w:p>
            <w:pPr>
              <w:pStyle w:val="Compact"/>
              <w:jc w:val="left"/>
            </w:pPr>
            <w:r>
              <w:t xml:space="preserve">40 saudáveis, cápsulas contra placebo, duplo-cego</w:t>
            </w:r>
          </w:p>
        </w:tc>
        <w:tc>
          <w:tcPr/>
          <w:p>
            <w:pPr>
              <w:pStyle w:val="Compact"/>
              <w:jc w:val="left"/>
            </w:pPr>
            <w:r>
              <w:t xml:space="preserve">4 semanas</w:t>
            </w:r>
          </w:p>
        </w:tc>
        <w:tc>
          <w:tcPr/>
          <w:p>
            <w:pPr>
              <w:pStyle w:val="Compact"/>
              <w:jc w:val="left"/>
            </w:pPr>
            <w:r>
              <w:t xml:space="preserve">nenhuma alteração dos níveis de glutationa ou dos marcadores de oxidação</w:t>
            </w:r>
          </w:p>
        </w:tc>
      </w:tr>
      <w:tr>
        <w:tc>
          <w:tcPr/>
          <w:p>
            <w:pPr>
              <w:pStyle w:val="Compact"/>
              <w:jc w:val="left"/>
            </w:pPr>
            <w:r>
              <w:t xml:space="preserve">Richie 2015, PMID 24791752</w:t>
            </w:r>
          </w:p>
        </w:tc>
        <w:tc>
          <w:tcPr/>
          <w:p>
            <w:pPr>
              <w:pStyle w:val="Compact"/>
              <w:jc w:val="left"/>
            </w:pPr>
            <w:r>
              <w:t xml:space="preserve">54 saudáveis, duas doses contra placebo, duplo-cego</w:t>
            </w:r>
          </w:p>
        </w:tc>
        <w:tc>
          <w:tcPr/>
          <w:p>
            <w:pPr>
              <w:pStyle w:val="Compact"/>
              <w:jc w:val="left"/>
            </w:pPr>
            <w:r>
              <w:t xml:space="preserve">6 meses</w:t>
            </w:r>
          </w:p>
        </w:tc>
        <w:tc>
          <w:tcPr/>
          <w:p>
            <w:pPr>
              <w:pStyle w:val="Compact"/>
              <w:jc w:val="left"/>
            </w:pPr>
            <w:r>
              <w:t xml:space="preserve">níveis em células sanguíneas e plasma 30–35% maiores (dose alta); de volta ao normal após a suspensão</w:t>
            </w:r>
          </w:p>
        </w:tc>
      </w:tr>
      <w:tr>
        <w:tc>
          <w:tcPr/>
          <w:p>
            <w:pPr>
              <w:pStyle w:val="Compact"/>
              <w:jc w:val="left"/>
            </w:pPr>
            <w:r>
              <w:t xml:space="preserve">Sinha 2018, PMID 28853742</w:t>
            </w:r>
          </w:p>
        </w:tc>
        <w:tc>
          <w:tcPr/>
          <w:p>
            <w:pPr>
              <w:pStyle w:val="Compact"/>
              <w:jc w:val="left"/>
            </w:pPr>
            <w:r>
              <w:t xml:space="preserve">12 saudáveis, glutationa lipossomal, sem placebo</w:t>
            </w:r>
          </w:p>
        </w:tc>
        <w:tc>
          <w:tcPr/>
          <w:p>
            <w:pPr>
              <w:pStyle w:val="Compact"/>
              <w:jc w:val="left"/>
            </w:pPr>
            <w:r>
              <w:t xml:space="preserve">4 semanas</w:t>
            </w:r>
          </w:p>
        </w:tc>
        <w:tc>
          <w:tcPr/>
          <w:p>
            <w:pPr>
              <w:pStyle w:val="Compact"/>
              <w:jc w:val="left"/>
            </w:pPr>
            <w:r>
              <w:t xml:space="preserve">níveis no sangue total até 40% maiores, em células imunológicas até 100%</w:t>
            </w:r>
          </w:p>
        </w:tc>
      </w:tr>
      <w:tr>
        <w:tc>
          <w:tcPr/>
          <w:p>
            <w:pPr>
              <w:pStyle w:val="Compact"/>
              <w:jc w:val="left"/>
            </w:pPr>
            <w:r>
              <w:t xml:space="preserve">Schmitt 2015, PMID 26262996</w:t>
            </w:r>
          </w:p>
        </w:tc>
        <w:tc>
          <w:tcPr/>
          <w:p>
            <w:pPr>
              <w:pStyle w:val="Compact"/>
              <w:jc w:val="left"/>
            </w:pPr>
            <w:r>
              <w:t xml:space="preserve">20 pessoas com síndrome metabólica, cruzado: cápsula, forma sublingual, NAC</w:t>
            </w:r>
          </w:p>
        </w:tc>
        <w:tc>
          <w:tcPr/>
          <w:p>
            <w:pPr>
              <w:pStyle w:val="Compact"/>
              <w:jc w:val="left"/>
            </w:pPr>
            <w:r>
              <w:t xml:space="preserve">3 semanas cada</w:t>
            </w:r>
          </w:p>
        </w:tc>
        <w:tc>
          <w:tcPr/>
          <w:p>
            <w:pPr>
              <w:pStyle w:val="Compact"/>
              <w:jc w:val="left"/>
            </w:pPr>
            <w:r>
              <w:t xml:space="preserve">a forma sublingual aumentou os níveis plasmáticos mais do que as cápsulas</w:t>
            </w:r>
          </w:p>
        </w:tc>
      </w:tr>
      <w:tr>
        <w:tc>
          <w:tcPr/>
          <w:p>
            <w:pPr>
              <w:pStyle w:val="Compact"/>
              <w:jc w:val="left"/>
            </w:pPr>
            <w:r>
              <w:t xml:space="preserve">Jung 2026, PMID 42392376</w:t>
            </w:r>
          </w:p>
        </w:tc>
        <w:tc>
          <w:tcPr/>
          <w:p>
            <w:pPr>
              <w:pStyle w:val="Compact"/>
              <w:jc w:val="left"/>
            </w:pPr>
            <w:r>
              <w:t xml:space="preserve">saudáveis, filme para dissolver na boca contra comprimido</w:t>
            </w:r>
          </w:p>
        </w:tc>
        <w:tc>
          <w:tcPr/>
          <w:p>
            <w:pPr>
              <w:pStyle w:val="Compact"/>
              <w:jc w:val="left"/>
            </w:pPr>
            <w:r>
              <w:t xml:space="preserve">dose única e 4 semanas</w:t>
            </w:r>
          </w:p>
        </w:tc>
        <w:tc>
          <w:tcPr/>
          <w:p>
            <w:pPr>
              <w:pStyle w:val="Compact"/>
              <w:jc w:val="left"/>
            </w:pPr>
            <w:r>
              <w:t xml:space="preserve">as duas formas aumentaram os níveis sanguíneos; nenhuma alteração dos marcadores de oxidação</w:t>
            </w:r>
          </w:p>
        </w:tc>
      </w:tr>
    </w:tbl>
    <w:p>
      <w:pPr>
        <w:pStyle w:val="BodyText"/>
      </w:pPr>
      <w:r>
        <w:t xml:space="preserve">A questão foi por muito tempo controversa. Um estudo curto com 40 pessoas saudáveis não encontrou nenhuma alteração após quatro semanas</w:t>
      </w:r>
      <w:r>
        <w:rPr>
          <w:rStyle w:val="FootnoteReference"/>
        </w:rPr>
        <w:footnoteReference w:id="1927"/>
      </w:r>
      <w:r>
        <w:t xml:space="preserve">. Um estudo mais longo, também duplo-cego, com 54 pessoas saudáveis, encontrou por outro lado, após seis meses, níveis de glutationa mais altos, de forma dependente da dose, no sangue, nas células sanguíneas e na mucosa oral; um mês após a suspensão, os valores haviam voltado ao nível inicial</w:t>
      </w:r>
      <w:r>
        <w:rPr>
          <w:rStyle w:val="FootnoteReference"/>
        </w:rPr>
        <w:footnoteReference w:id="1928"/>
      </w:r>
      <w:r>
        <w:t xml:space="preserve">. Um pequeno estudo piloto sem grupo placebo relatou aumentos com glutationa lipossomal já após uma a duas semanas</w:t>
      </w:r>
      <w:r>
        <w:rPr>
          <w:rStyle w:val="FootnoteReference"/>
        </w:rPr>
        <w:footnoteReference w:id="1929"/>
      </w:r>
      <w:r>
        <w:t xml:space="preserve">.</w:t>
      </w:r>
    </w:p>
    <w:p>
      <w:pPr>
        <w:pStyle w:val="BodyText"/>
      </w:pPr>
      <w:r>
        <w:t xml:space="preserve">Em resumo: a glutationa engolida pode aumentar de forma mensurável os níveis no sangue, provavelmente dependendo da dose, da duração e da forma de administração. Se níveis mais altos no sangue levam também a um benefício para a saúde é outra questão.</w:t>
      </w:r>
    </w:p>
    <w:bookmarkEnd w:id="1930"/>
    <w:bookmarkStart w:id="1938" w:name="estudos-relacionados-a-doenças"/>
    <w:p>
      <w:pPr>
        <w:pStyle w:val="Heading4"/>
      </w:pPr>
      <w:r>
        <w:t xml:space="preserve">Estudos relacionados a doenças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Leal 2014, PMID 24619793</w:t>
            </w:r>
          </w:p>
        </w:tc>
        <w:tc>
          <w:tcPr/>
          <w:p>
            <w:pPr>
              <w:pStyle w:val="Compact"/>
              <w:jc w:val="left"/>
            </w:pPr>
            <w:r>
              <w:t xml:space="preserve">185 pacientes com câncer sob paclitaxel/carboplatina, infusão contra placebo, fase 3</w:t>
            </w:r>
          </w:p>
        </w:tc>
        <w:tc>
          <w:tcPr/>
          <w:p>
            <w:pPr>
              <w:pStyle w:val="Compact"/>
              <w:jc w:val="left"/>
            </w:pPr>
            <w:r>
              <w:t xml:space="preserve">duração da quimioterapia</w:t>
            </w:r>
          </w:p>
        </w:tc>
        <w:tc>
          <w:tcPr/>
          <w:p>
            <w:pPr>
              <w:pStyle w:val="Compact"/>
              <w:jc w:val="left"/>
            </w:pPr>
            <w:r>
              <w:rPr>
                <w:bCs/>
                <w:b/>
              </w:rPr>
              <w:t xml:space="preserve">nenhuma</w:t>
            </w:r>
            <w:r>
              <w:t xml:space="preserve"> </w:t>
            </w:r>
            <w:r>
              <w:t xml:space="preserve">redução das lesões nervosas causadas pela quimioterapia</w:t>
            </w:r>
          </w:p>
        </w:tc>
      </w:tr>
      <w:tr>
        <w:tc>
          <w:tcPr/>
          <w:p>
            <w:pPr>
              <w:pStyle w:val="Compact"/>
              <w:jc w:val="left"/>
            </w:pPr>
            <w:r>
              <w:t xml:space="preserve">Hauser 2009, PMID 19230029</w:t>
            </w:r>
          </w:p>
        </w:tc>
        <w:tc>
          <w:tcPr/>
          <w:p>
            <w:pPr>
              <w:pStyle w:val="Compact"/>
              <w:jc w:val="left"/>
            </w:pPr>
            <w:r>
              <w:t xml:space="preserve">21 pessoas com Parkinson, infusão contra placebo</w:t>
            </w:r>
          </w:p>
        </w:tc>
        <w:tc>
          <w:tcPr/>
          <w:p>
            <w:pPr>
              <w:pStyle w:val="Compact"/>
              <w:jc w:val="left"/>
            </w:pPr>
            <w:r>
              <w:t xml:space="preserve">4 semanas</w:t>
            </w:r>
          </w:p>
        </w:tc>
        <w:tc>
          <w:tcPr/>
          <w:p>
            <w:pPr>
              <w:pStyle w:val="Compact"/>
              <w:jc w:val="left"/>
            </w:pPr>
            <w:r>
              <w:t xml:space="preserve">nenhuma diferença significativa na escala de Parkinson</w:t>
            </w:r>
          </w:p>
        </w:tc>
      </w:tr>
      <w:tr>
        <w:tc>
          <w:tcPr/>
          <w:p>
            <w:pPr>
              <w:pStyle w:val="Compact"/>
              <w:jc w:val="left"/>
            </w:pPr>
            <w:r>
              <w:t xml:space="preserve">Mischley 2017, PMID 28436395</w:t>
            </w:r>
          </w:p>
        </w:tc>
        <w:tc>
          <w:tcPr/>
          <w:p>
            <w:pPr>
              <w:pStyle w:val="Compact"/>
              <w:jc w:val="left"/>
            </w:pPr>
            <w:r>
              <w:t xml:space="preserve">45 pessoas com Parkinson, spray nasal em duas doses contra placebo</w:t>
            </w:r>
          </w:p>
        </w:tc>
        <w:tc>
          <w:tcPr/>
          <w:p>
            <w:pPr>
              <w:pStyle w:val="Compact"/>
              <w:jc w:val="left"/>
            </w:pPr>
            <w:r>
              <w:t xml:space="preserve">3 meses</w:t>
            </w:r>
          </w:p>
        </w:tc>
        <w:tc>
          <w:tcPr/>
          <w:p>
            <w:pPr>
              <w:pStyle w:val="Compact"/>
              <w:jc w:val="left"/>
            </w:pPr>
            <w:r>
              <w:t xml:space="preserve">todos os grupos melhoraram, glutationa não melhor que placebo</w:t>
            </w:r>
          </w:p>
        </w:tc>
      </w:tr>
      <w:tr>
        <w:tc>
          <w:tcPr/>
          <w:p>
            <w:pPr>
              <w:pStyle w:val="Compact"/>
              <w:jc w:val="left"/>
            </w:pPr>
            <w:r>
              <w:t xml:space="preserve">Bozic 2020, PMID 32960827</w:t>
            </w:r>
          </w:p>
        </w:tc>
        <w:tc>
          <w:tcPr/>
          <w:p>
            <w:pPr>
              <w:pStyle w:val="Compact"/>
              <w:jc w:val="left"/>
            </w:pPr>
            <w:r>
              <w:t xml:space="preserve">58 crianças com fibrose cística, cápsulas contra placebo</w:t>
            </w:r>
          </w:p>
        </w:tc>
        <w:tc>
          <w:tcPr/>
          <w:p>
            <w:pPr>
              <w:pStyle w:val="Compact"/>
              <w:jc w:val="left"/>
            </w:pPr>
            <w:r>
              <w:t xml:space="preserve">24 semanas</w:t>
            </w:r>
          </w:p>
        </w:tc>
        <w:tc>
          <w:tcPr/>
          <w:p>
            <w:pPr>
              <w:pStyle w:val="Compact"/>
              <w:jc w:val="left"/>
            </w:pPr>
            <w:r>
              <w:t xml:space="preserve">nenhum efeito sobre crescimento e marcadores inflamatórios</w:t>
            </w:r>
          </w:p>
        </w:tc>
      </w:tr>
      <w:tr>
        <w:tc>
          <w:tcPr/>
          <w:p>
            <w:pPr>
              <w:pStyle w:val="Compact"/>
              <w:jc w:val="left"/>
            </w:pPr>
            <w:r>
              <w:t xml:space="preserve">Søndergård 2021, PMID 33740389</w:t>
            </w:r>
          </w:p>
        </w:tc>
        <w:tc>
          <w:tcPr/>
          <w:p>
            <w:pPr>
              <w:pStyle w:val="Compact"/>
              <w:jc w:val="left"/>
            </w:pPr>
            <w:r>
              <w:t xml:space="preserve">20 homens com excesso de peso, com e sem diabetes tipo 2, contra placebo</w:t>
            </w:r>
          </w:p>
        </w:tc>
        <w:tc>
          <w:tcPr/>
          <w:p>
            <w:pPr>
              <w:pStyle w:val="Compact"/>
              <w:jc w:val="left"/>
            </w:pPr>
            <w:r>
              <w:t xml:space="preserve">3 semanas</w:t>
            </w:r>
          </w:p>
        </w:tc>
        <w:tc>
          <w:tcPr/>
          <w:p>
            <w:pPr>
              <w:pStyle w:val="Compact"/>
              <w:jc w:val="left"/>
            </w:pPr>
            <w:r>
              <w:t xml:space="preserve">sensibilidade à insulina melhorada; marcadores de oxidação inalterados</w:t>
            </w:r>
          </w:p>
        </w:tc>
      </w:tr>
      <w:tr>
        <w:tc>
          <w:tcPr/>
          <w:p>
            <w:pPr>
              <w:pStyle w:val="Compact"/>
              <w:jc w:val="left"/>
            </w:pPr>
            <w:r>
              <w:t xml:space="preserve">Honda 2017, PMID 28789631</w:t>
            </w:r>
          </w:p>
        </w:tc>
        <w:tc>
          <w:tcPr/>
          <w:p>
            <w:pPr>
              <w:pStyle w:val="Compact"/>
              <w:jc w:val="left"/>
            </w:pPr>
            <w:r>
              <w:t xml:space="preserve">34 pessoas com fígado gorduroso, aberto, sem grupo controle</w:t>
            </w:r>
          </w:p>
        </w:tc>
        <w:tc>
          <w:tcPr/>
          <w:p>
            <w:pPr>
              <w:pStyle w:val="Compact"/>
              <w:jc w:val="left"/>
            </w:pPr>
            <w:r>
              <w:t xml:space="preserve">4 meses</w:t>
            </w:r>
          </w:p>
        </w:tc>
        <w:tc>
          <w:tcPr/>
          <w:p>
            <w:pPr>
              <w:pStyle w:val="Compact"/>
              <w:jc w:val="left"/>
            </w:pPr>
            <w:r>
              <w:t xml:space="preserve">valor hepático ALT diminuído</w:t>
            </w:r>
          </w:p>
        </w:tc>
      </w:tr>
      <w:tr>
        <w:tc>
          <w:tcPr/>
          <w:p>
            <w:pPr>
              <w:pStyle w:val="Compact"/>
              <w:jc w:val="left"/>
            </w:pPr>
            <w:r>
              <w:t xml:space="preserve">Arrivi 2023, PMID 36083043</w:t>
            </w:r>
          </w:p>
        </w:tc>
        <w:tc>
          <w:tcPr/>
          <w:p>
            <w:pPr>
              <w:pStyle w:val="Compact"/>
              <w:jc w:val="left"/>
            </w:pPr>
            <w:r>
              <w:t xml:space="preserve">100 pessoas com infarto do miocárdio, infusão contra placebo (análise posterior)</w:t>
            </w:r>
          </w:p>
        </w:tc>
        <w:tc>
          <w:tcPr/>
          <w:p>
            <w:pPr>
              <w:pStyle w:val="Compact"/>
              <w:jc w:val="left"/>
            </w:pPr>
            <w:r>
              <w:t xml:space="preserve">internação hospitalar</w:t>
            </w:r>
          </w:p>
        </w:tc>
        <w:tc>
          <w:tcPr/>
          <w:p>
            <w:pPr>
              <w:pStyle w:val="Compact"/>
              <w:jc w:val="left"/>
            </w:pPr>
            <w:r>
              <w:t xml:space="preserve">internação de 8,6 em vez de 10,8 dias</w:t>
            </w:r>
          </w:p>
        </w:tc>
      </w:tr>
    </w:tbl>
    <w:p>
      <w:pPr>
        <w:pStyle w:val="BodyText"/>
      </w:pPr>
      <w:r>
        <w:t xml:space="preserve">O quadro é decepcionante: o maior e metodologicamente mais forte estudo – um estudo de fase 3 com 185 pacientes com câncer – não encontrou proteção contra lesões nervosas causadas pela quimioterapia; em alguns objetivos secundários, o placebo teve até resultado melhor</w:t>
      </w:r>
      <w:r>
        <w:rPr>
          <w:rStyle w:val="FootnoteReference"/>
        </w:rPr>
        <w:footnoteReference w:id="1931"/>
      </w:r>
      <w:r>
        <w:t xml:space="preserve">. No Parkinson, a glutationa não foi melhor que o placebo nem como infusão</w:t>
      </w:r>
      <w:r>
        <w:rPr>
          <w:rStyle w:val="FootnoteReference"/>
        </w:rPr>
        <w:footnoteReference w:id="1932"/>
      </w:r>
      <w:r>
        <w:t xml:space="preserve"> </w:t>
      </w:r>
      <w:r>
        <w:t xml:space="preserve">nem como spray nasal; no estudo com spray nasal, uma pessoa desenvolveu, com a dose mais alta, uma doença do músculo cardíaco</w:t>
      </w:r>
      <w:r>
        <w:rPr>
          <w:rStyle w:val="FootnoteReference"/>
        </w:rPr>
        <w:footnoteReference w:id="1933"/>
      </w:r>
      <w:r>
        <w:t xml:space="preserve">. Em crianças com fibrose cística, o crescimento não foi influenciado</w:t>
      </w:r>
      <w:r>
        <w:rPr>
          <w:rStyle w:val="FootnoteReference"/>
        </w:rPr>
        <w:footnoteReference w:id="1934"/>
      </w:r>
      <w:r>
        <w:t xml:space="preserve">.</w:t>
      </w:r>
    </w:p>
    <w:p>
      <w:pPr>
        <w:pStyle w:val="BodyText"/>
      </w:pPr>
      <w:r>
        <w:t xml:space="preserve">Sinais positivos vêm de pequenos estudos: em 20 homens com excesso de peso, a sensibilidade à insulina melhorou após três semanas</w:t>
      </w:r>
      <w:r>
        <w:rPr>
          <w:rStyle w:val="FootnoteReference"/>
        </w:rPr>
        <w:footnoteReference w:id="1935"/>
      </w:r>
      <w:r>
        <w:t xml:space="preserve">; no fígado gorduroso, os valores hepáticos caíram em um estudo não controlado</w:t>
      </w:r>
      <w:r>
        <w:rPr>
          <w:rStyle w:val="FootnoteReference"/>
        </w:rPr>
        <w:footnoteReference w:id="1936"/>
      </w:r>
      <w:r>
        <w:t xml:space="preserve">; após infarto do miocárdio, a internação foi mais curta em uma análise posterior</w:t>
      </w:r>
      <w:r>
        <w:rPr>
          <w:rStyle w:val="FootnoteReference"/>
        </w:rPr>
        <w:footnoteReference w:id="1937"/>
      </w:r>
      <w:r>
        <w:t xml:space="preserve">. Nenhum desses achados foi confirmado até agora em um estudo maior.</w:t>
      </w:r>
    </w:p>
    <w:bookmarkEnd w:id="1938"/>
    <w:bookmarkStart w:id="1945" w:name="Xf660f3aaf136c90bf5c7c292784a5612daa41b5"/>
    <w:p>
      <w:pPr>
        <w:pStyle w:val="Heading4"/>
      </w:pPr>
      <w:r>
        <w:t xml:space="preserve">Clareamento da pele: oral, tópico, intravenoso</w:t>
      </w:r>
    </w:p>
    <w:p>
      <w:pPr>
        <w:pStyle w:val="FirstParagraph"/>
      </w:pPr>
      <w:r>
        <w:t xml:space="preserve">Em partes da Ásia, da África e, cada vez mais, também da Europa, a glutationa é comercializada sobretudo como</w:t>
      </w:r>
      <w:r>
        <w:t xml:space="preserve"> </w:t>
      </w:r>
      <w:r>
        <w:t xml:space="preserve">“</w:t>
      </w:r>
      <w:r>
        <w:t xml:space="preserve">clareador de pele</w:t>
      </w:r>
      <w:r>
        <w:t xml:space="preserve">”</w:t>
      </w:r>
      <w:r>
        <w:t xml:space="preserve"> </w:t>
      </w:r>
      <w:r>
        <w:t xml:space="preserve">– em cápsulas, cremes e na forma de infusões em clínicas de estética.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Arjinpathana 2012, PMID 20524875</w:t>
            </w:r>
          </w:p>
        </w:tc>
        <w:tc>
          <w:tcPr/>
          <w:p>
            <w:pPr>
              <w:pStyle w:val="Compact"/>
              <w:jc w:val="left"/>
            </w:pPr>
            <w:r>
              <w:t xml:space="preserve">60 estudantes de medicina na Tailândia, cápsulas contra placebo</w:t>
            </w:r>
          </w:p>
        </w:tc>
        <w:tc>
          <w:tcPr/>
          <w:p>
            <w:pPr>
              <w:pStyle w:val="Compact"/>
              <w:jc w:val="left"/>
            </w:pPr>
            <w:r>
              <w:t xml:space="preserve">4 semanas</w:t>
            </w:r>
          </w:p>
        </w:tc>
        <w:tc>
          <w:tcPr/>
          <w:p>
            <w:pPr>
              <w:pStyle w:val="Compact"/>
              <w:jc w:val="left"/>
            </w:pPr>
            <w:r>
              <w:t xml:space="preserve">índice de melanina mais reduzido em 2 de 6 pontos de medição</w:t>
            </w:r>
          </w:p>
        </w:tc>
      </w:tr>
      <w:tr>
        <w:tc>
          <w:tcPr/>
          <w:p>
            <w:pPr>
              <w:pStyle w:val="Compact"/>
              <w:jc w:val="left"/>
            </w:pPr>
            <w:r>
              <w:t xml:space="preserve">Weschawalit 2017, PMID 28490897</w:t>
            </w:r>
          </w:p>
        </w:tc>
        <w:tc>
          <w:tcPr/>
          <w:p>
            <w:pPr>
              <w:pStyle w:val="Compact"/>
              <w:jc w:val="left"/>
            </w:pPr>
            <w:r>
              <w:t xml:space="preserve">mulheres saudáveis, glutationa reduzida ou oxidada contra placebo</w:t>
            </w:r>
          </w:p>
        </w:tc>
        <w:tc>
          <w:tcPr/>
          <w:p>
            <w:pPr>
              <w:pStyle w:val="Compact"/>
              <w:jc w:val="left"/>
            </w:pPr>
            <w:r>
              <w:t xml:space="preserve">12 semanas</w:t>
            </w:r>
          </w:p>
        </w:tc>
        <w:tc>
          <w:tcPr/>
          <w:p>
            <w:pPr>
              <w:pStyle w:val="Compact"/>
              <w:jc w:val="left"/>
            </w:pPr>
            <w:r>
              <w:t xml:space="preserve">índice de melanina com tendência a ser menor; em parte menos rugas</w:t>
            </w:r>
          </w:p>
        </w:tc>
      </w:tr>
      <w:tr>
        <w:tc>
          <w:tcPr/>
          <w:p>
            <w:pPr>
              <w:pStyle w:val="Compact"/>
              <w:jc w:val="left"/>
            </w:pPr>
            <w:r>
              <w:t xml:space="preserve">Handog 2016, PMID 26148180</w:t>
            </w:r>
          </w:p>
        </w:tc>
        <w:tc>
          <w:tcPr/>
          <w:p>
            <w:pPr>
              <w:pStyle w:val="Compact"/>
              <w:jc w:val="left"/>
            </w:pPr>
            <w:r>
              <w:t xml:space="preserve">30 mulheres nas Filipinas, pastilha, sem grupo controle</w:t>
            </w:r>
          </w:p>
        </w:tc>
        <w:tc>
          <w:tcPr/>
          <w:p>
            <w:pPr>
              <w:pStyle w:val="Compact"/>
              <w:jc w:val="left"/>
            </w:pPr>
            <w:r>
              <w:t xml:space="preserve">8 semanas</w:t>
            </w:r>
          </w:p>
        </w:tc>
        <w:tc>
          <w:tcPr/>
          <w:p>
            <w:pPr>
              <w:pStyle w:val="Compact"/>
              <w:jc w:val="left"/>
            </w:pPr>
            <w:r>
              <w:t xml:space="preserve">índice de melanina diminuído</w:t>
            </w:r>
          </w:p>
        </w:tc>
      </w:tr>
      <w:tr>
        <w:tc>
          <w:tcPr/>
          <w:p>
            <w:pPr>
              <w:pStyle w:val="Compact"/>
              <w:jc w:val="left"/>
            </w:pPr>
            <w:r>
              <w:t xml:space="preserve">Wahab 2021, PMID 33871071</w:t>
            </w:r>
          </w:p>
        </w:tc>
        <w:tc>
          <w:tcPr/>
          <w:p>
            <w:pPr>
              <w:pStyle w:val="Compact"/>
              <w:jc w:val="left"/>
            </w:pPr>
            <w:r>
              <w:t xml:space="preserve">46 pessoas, combinação de creme e cápsula contra placebo</w:t>
            </w:r>
          </w:p>
        </w:tc>
        <w:tc>
          <w:tcPr/>
          <w:p>
            <w:pPr>
              <w:pStyle w:val="Compact"/>
              <w:jc w:val="left"/>
            </w:pPr>
            <w:r>
              <w:t xml:space="preserve">8 semanas</w:t>
            </w:r>
          </w:p>
        </w:tc>
        <w:tc>
          <w:tcPr/>
          <w:p>
            <w:pPr>
              <w:pStyle w:val="Compact"/>
              <w:jc w:val="left"/>
            </w:pPr>
            <w:r>
              <w:t xml:space="preserve">combinação possivelmente mais eficaz do que o uso isolado</w:t>
            </w:r>
          </w:p>
        </w:tc>
      </w:tr>
    </w:tbl>
    <w:p>
      <w:pPr>
        <w:pStyle w:val="BodyText"/>
      </w:pPr>
      <w:r>
        <w:rPr>
          <w:bCs/>
          <w:b/>
        </w:rPr>
        <w:t xml:space="preserve">Oral e tópico:</w:t>
      </w:r>
      <w:r>
        <w:t xml:space="preserve"> </w:t>
      </w:r>
      <w:r>
        <w:t xml:space="preserve">vários pequenos estudos randomizados mostram um leve clareamento, sobretudo em locais expostos ao sol. No primeiro estudo, o efeito foi estatisticamente significativo em apenas dois de seis pontos de medição</w:t>
      </w:r>
      <w:r>
        <w:rPr>
          <w:rStyle w:val="FootnoteReference"/>
        </w:rPr>
        <w:footnoteReference w:id="1939"/>
      </w:r>
      <w:r>
        <w:t xml:space="preserve">. Uma revisão sistemática concluiu em 2019 que as evidências, devido à qualidade dos estudos e a achados contraditórios,</w:t>
      </w:r>
      <w:r>
        <w:t xml:space="preserve"> </w:t>
      </w:r>
      <w:r>
        <w:t xml:space="preserve">“</w:t>
      </w:r>
      <w:r>
        <w:t xml:space="preserve">ainda não são inequívocas</w:t>
      </w:r>
      <w:r>
        <w:t xml:space="preserve">”</w:t>
      </w:r>
      <w:r>
        <w:rPr>
          <w:rStyle w:val="FootnoteReference"/>
        </w:rPr>
        <w:footnoteReference w:id="1940"/>
      </w:r>
      <w:r>
        <w:t xml:space="preserve">. Uma revisão mais recente avalia cremes e cápsulas como moderadamente eficazes, com efeitos que não persistem após a suspensão</w:t>
      </w:r>
      <w:r>
        <w:rPr>
          <w:rStyle w:val="FootnoteReference"/>
        </w:rPr>
        <w:footnoteReference w:id="1941"/>
      </w:r>
      <w:r>
        <w:t xml:space="preserve">.</w:t>
      </w:r>
    </w:p>
    <w:p>
      <w:pPr>
        <w:pStyle w:val="BodyText"/>
      </w:pPr>
      <w:r>
        <w:rPr>
          <w:bCs/>
          <w:b/>
        </w:rPr>
        <w:t xml:space="preserve">Intravenoso:</w:t>
      </w:r>
      <w:r>
        <w:t xml:space="preserve"> </w:t>
      </w:r>
      <w:r>
        <w:t xml:space="preserve">para infusões de clareamento da pele, segundo a mesma revisão, há apenas um estudo controlado por placebo, que não encontrou diferença significativa (37,5% frente a 18,7%, p = 0,054). Os autores consideram a glutationa intravenosa para clareamento da pele</w:t>
      </w:r>
      <w:r>
        <w:t xml:space="preserve"> </w:t>
      </w:r>
      <w:r>
        <w:rPr>
          <w:bCs/>
          <w:b/>
        </w:rPr>
        <w:t xml:space="preserve">contraindicada</w:t>
      </w:r>
      <w:r>
        <w:t xml:space="preserve">, ou seja, injustificável, por falta de eficácia e por efeitos colaterais</w:t>
      </w:r>
      <w:r>
        <w:rPr>
          <w:rStyle w:val="FootnoteReference"/>
        </w:rPr>
        <w:footnoteReference w:id="1942"/>
      </w:r>
      <w:r>
        <w:t xml:space="preserve">. Uma revisão sul-africana não encontrou um único estudo sobre a segurança de infusões repetidas em qualquer aplicação</w:t>
      </w:r>
      <w:r>
        <w:rPr>
          <w:rStyle w:val="FootnoteReference"/>
        </w:rPr>
        <w:footnoteReference w:id="1943"/>
      </w:r>
      <w:r>
        <w:t xml:space="preserve">. No British Medical Journal, a prática foi criticada como</w:t>
      </w:r>
      <w:r>
        <w:t xml:space="preserve"> </w:t>
      </w:r>
      <w:r>
        <w:t xml:space="preserve">“</w:t>
      </w:r>
      <w:r>
        <w:t xml:space="preserve">branqueamento antiético</w:t>
      </w:r>
      <w:r>
        <w:t xml:space="preserve">”</w:t>
      </w:r>
      <w:r>
        <w:rPr>
          <w:rStyle w:val="FootnoteReference"/>
        </w:rPr>
        <w:footnoteReference w:id="1944"/>
      </w:r>
      <w:r>
        <w:t xml:space="preserve">.</w:t>
      </w:r>
    </w:p>
    <w:bookmarkEnd w:id="1945"/>
    <w:bookmarkEnd w:id="1946"/>
    <w:bookmarkStart w:id="1947" w:name="estudos-em-animais-e-em-laboratório-45"/>
    <w:p>
      <w:pPr>
        <w:pStyle w:val="Heading3"/>
      </w:pPr>
      <w:r>
        <w:t xml:space="preserve">Estudos em animais e em laboratório</w:t>
      </w:r>
    </w:p>
    <w:p>
      <w:pPr>
        <w:pStyle w:val="FirstParagraph"/>
      </w:pPr>
      <w:r>
        <w:t xml:space="preserve">A pesquisa laboratorial sobre a glutationa é enormemente extensa e abrange quase todas as áreas da biologia celular. Relevante para este livro é sobretudo que, em experimentos com células e animais, a glutationa ou seus precursores puderam proteger contra danos oxidativos, toxicidade de medicamentos e reações inflamatórias – efeitos que, nos estudos clínicos em humanos, reaparecem apenas parcialmente e em geral de forma fraca.</w:t>
      </w:r>
    </w:p>
    <w:bookmarkEnd w:id="1947"/>
    <w:bookmarkStart w:id="1951" w:name="riscos-e-efeitos-colaterais-45"/>
    <w:p>
      <w:pPr>
        <w:pStyle w:val="Heading3"/>
      </w:pPr>
      <w:r>
        <w:t xml:space="preserve">Riscos e efeitos colaterais</w:t>
      </w:r>
    </w:p>
    <w:p>
      <w:pPr>
        <w:pStyle w:val="FirstParagraph"/>
      </w:pPr>
      <w:r>
        <w:rPr>
          <w:bCs/>
          <w:b/>
        </w:rPr>
        <w:t xml:space="preserve">Ingestão oral:</w:t>
      </w:r>
      <w:r>
        <w:t xml:space="preserve"> </w:t>
      </w:r>
      <w:r>
        <w:t xml:space="preserve">bem tolerada nos estudos; relatam-se ocasionalmente queixas gastrointestinais. Faltam em grande parte dados de longo prazo para mais de seis meses.</w:t>
      </w:r>
    </w:p>
    <w:p>
      <w:pPr>
        <w:pStyle w:val="BodyText"/>
      </w:pPr>
      <w:r>
        <w:rPr>
          <w:bCs/>
          <w:b/>
        </w:rPr>
        <w:t xml:space="preserve">Spray nasal:</w:t>
      </w:r>
      <w:r>
        <w:t xml:space="preserve"> </w:t>
      </w:r>
      <w:r>
        <w:t xml:space="preserve">em um estudo de Parkinson, ocorreu em uma pessoa, com a dose mais alta, uma doença do músculo cardíaco; uma relação não está comprovada</w:t>
      </w:r>
      <w:r>
        <w:rPr>
          <w:rStyle w:val="FootnoteReference"/>
        </w:rPr>
        <w:footnoteReference w:id="1948"/>
      </w:r>
      <w:r>
        <w:t xml:space="preserve">.</w:t>
      </w:r>
    </w:p>
    <w:p>
      <w:pPr>
        <w:pStyle w:val="BodyText"/>
      </w:pPr>
      <w:r>
        <w:rPr>
          <w:bCs/>
          <w:b/>
        </w:rPr>
        <w:t xml:space="preserve">Infusões – os verdadeiros riscos:</w:t>
      </w:r>
    </w:p>
    <w:p>
      <w:pPr>
        <w:numPr>
          <w:ilvl w:val="0"/>
          <w:numId w:val="1246"/>
        </w:numPr>
        <w:pStyle w:val="Compact"/>
      </w:pPr>
      <w:r>
        <w:rPr>
          <w:bCs/>
          <w:b/>
        </w:rPr>
        <w:t xml:space="preserve">Preparações contaminadas:</w:t>
      </w:r>
      <w:r>
        <w:t xml:space="preserve"> </w:t>
      </w:r>
      <w:r>
        <w:t xml:space="preserve">a agência americana de medicamentos FDA advertiu farmácias em 2019 a não usar glutationa de um determinado distribuidor para infusões, depois que pacientes desenvolveram náusea, vômitos e falta de ar após infusões e foram medidos valores elevados de endotoxina (componentes de bactérias que podem desencadear febre e choque). Em agosto de 2026, a FDA voltou a pedir às farmácias que não usassem glutationa de qualidade de suplemento alimentar para injeções; após infusões de um determinado lote, haviam ocorrido febre, calafrios, estados semelhantes a choque e internações hospitalares.</w:t>
      </w:r>
    </w:p>
    <w:p>
      <w:pPr>
        <w:numPr>
          <w:ilvl w:val="0"/>
          <w:numId w:val="1246"/>
        </w:numPr>
        <w:pStyle w:val="Compact"/>
      </w:pPr>
      <w:r>
        <w:rPr>
          <w:bCs/>
          <w:b/>
        </w:rPr>
        <w:t xml:space="preserve">Advertências de autoridades sobre clareamento da pele:</w:t>
      </w:r>
      <w:r>
        <w:t xml:space="preserve"> </w:t>
      </w:r>
      <w:r>
        <w:t xml:space="preserve">a agência filipina de medicamentos advertiu em 2011 e 2019 contra injeções de glutationa para clareamento da pele; citou efeitos colaterais desde erupções cutâneas até as reações cutâneas com risco de vida síndrome de Stevens-Johnson e necrólise epidérmica tóxica, bem como riscos de injeções inadequadas, como sepse e transmissão de infecções. Também a FDA americana advertiu os consumidores de que nenhum preparado injetável para clareamento da pele é aprovado e de que tais produtos podem conter componentes desconhecidos e nocivos.</w:t>
      </w:r>
    </w:p>
    <w:p>
      <w:pPr>
        <w:numPr>
          <w:ilvl w:val="0"/>
          <w:numId w:val="1246"/>
        </w:numPr>
        <w:pStyle w:val="Compact"/>
      </w:pPr>
      <w:r>
        <w:rPr>
          <w:bCs/>
          <w:b/>
        </w:rPr>
        <w:t xml:space="preserve">Câncer de pele (teórico):</w:t>
      </w:r>
      <w:r>
        <w:t xml:space="preserve"> </w:t>
      </w:r>
      <w:r>
        <w:t xml:space="preserve">o deslocamento da melanina escura para a clara poderia reduzir a proteção solar natural da pele</w:t>
      </w:r>
      <w:r>
        <w:rPr>
          <w:rStyle w:val="FootnoteReference"/>
        </w:rPr>
        <w:footnoteReference w:id="1949"/>
      </w:r>
      <w:r>
        <w:t xml:space="preserve">.</w:t>
      </w:r>
    </w:p>
    <w:p>
      <w:pPr>
        <w:pStyle w:val="FirstParagraph"/>
      </w:pPr>
      <w:r>
        <w:rPr>
          <w:bCs/>
          <w:b/>
        </w:rPr>
        <w:t xml:space="preserve">Interações:</w:t>
      </w:r>
      <w:r>
        <w:t xml:space="preserve"> </w:t>
      </w:r>
      <w:r>
        <w:t xml:space="preserve">em um estudo oncológico, a glutationa foi administrada antes da quimioterapia; o tempo até a progressão da doença ali não diferiu do placebo</w:t>
      </w:r>
      <w:r>
        <w:rPr>
          <w:rStyle w:val="FootnoteReference"/>
        </w:rPr>
        <w:footnoteReference w:id="1950"/>
      </w:r>
      <w:r>
        <w:t xml:space="preserve">. Em princípio, discute-se se antioxidantes poderiam atenuar o efeito de algumas terapias contra o câncer. Quem está em tratamento oncológico só deve tomar glutationa após consultar a equipe responsável pelo tratamento.</w:t>
      </w:r>
    </w:p>
    <w:bookmarkEnd w:id="1951"/>
    <w:bookmarkStart w:id="1952" w:name="situação-legal-45"/>
    <w:p>
      <w:pPr>
        <w:pStyle w:val="Heading3"/>
      </w:pPr>
      <w:r>
        <w:t xml:space="preserve">Situação legal</w:t>
      </w:r>
    </w:p>
    <w:p>
      <w:pPr>
        <w:numPr>
          <w:ilvl w:val="0"/>
          <w:numId w:val="1247"/>
        </w:numPr>
        <w:pStyle w:val="Compact"/>
      </w:pPr>
      <w:r>
        <w:rPr>
          <w:bCs/>
          <w:b/>
        </w:rPr>
        <w:t xml:space="preserve">UE / Áustria / Alemanha:</w:t>
      </w:r>
      <w:r>
        <w:t xml:space="preserve"> </w:t>
      </w:r>
      <w:r>
        <w:t xml:space="preserve">a glutationa é vendida como suplemento alimentar em cápsulas e pós; promessas de saúde na publicidade não são permitidas sem alegações de saúde (health claims) autorizadas. Infusões e injeções são medicamentos; preparados para clareamento da pele por infusão não são aprovados. Em alguns países (segundo nosso conhecimento, por exemplo a Itália) há injeções de glutationa aprovadas para aplicações médicas específicas; os detalhes devem ser consultados na respectiva bula técnica.</w:t>
      </w:r>
    </w:p>
    <w:p>
      <w:pPr>
        <w:numPr>
          <w:ilvl w:val="0"/>
          <w:numId w:val="1247"/>
        </w:numPr>
        <w:pStyle w:val="Compact"/>
      </w:pPr>
      <w:r>
        <w:rPr>
          <w:bCs/>
          <w:b/>
        </w:rPr>
        <w:t xml:space="preserve">EUA:</w:t>
      </w:r>
      <w:r>
        <w:t xml:space="preserve"> </w:t>
      </w:r>
      <w:r>
        <w:t xml:space="preserve">nenhum medicamento de glutationa aprovado; suplementos alimentares são permitidos, e infusões são produzidas como preparações de farmácia de manipulação, sujeitas às exigências da FDA para preparações estéreis.</w:t>
      </w:r>
    </w:p>
    <w:p>
      <w:pPr>
        <w:numPr>
          <w:ilvl w:val="0"/>
          <w:numId w:val="1247"/>
        </w:numPr>
        <w:pStyle w:val="Compact"/>
      </w:pPr>
      <w:r>
        <w:rPr>
          <w:bCs/>
          <w:b/>
        </w:rPr>
        <w:t xml:space="preserve">Esporte:</w:t>
      </w:r>
      <w:r>
        <w:t xml:space="preserve"> </w:t>
      </w:r>
      <w:r>
        <w:t xml:space="preserve">a glutationa não é proibida; infusões acima de 100 ml em doze horas se enquadram, fora de tratamentos hospitalares, no método M2 da WADA (situação em 2026, verificar atualização).</w:t>
      </w:r>
    </w:p>
    <w:bookmarkEnd w:id="1952"/>
    <w:bookmarkStart w:id="1954" w:name="estudos-em-andamento-e-perspectivas-45"/>
    <w:p>
      <w:pPr>
        <w:pStyle w:val="Heading3"/>
      </w:pPr>
      <w:r>
        <w:t xml:space="preserve">Estudos em andamento e perspectivas</w:t>
      </w:r>
    </w:p>
    <w:p>
      <w:pPr>
        <w:pStyle w:val="FirstParagraph"/>
      </w:pPr>
      <w:r>
        <w:rPr>
          <w:bCs/>
          <w:b/>
        </w:rPr>
        <w:t xml:space="preserve">Comprovado (estudos registrados, situação em outubro de 2026):</w:t>
      </w:r>
    </w:p>
    <w:p>
      <w:pPr>
        <w:numPr>
          <w:ilvl w:val="0"/>
          <w:numId w:val="1248"/>
        </w:numPr>
        <w:pStyle w:val="Compact"/>
      </w:pPr>
      <w:r>
        <w:t xml:space="preserve">Um estudo de fase 1 na China testa a glutationa adicionada à imunoterapia e à quimioterapia no câncer de pulmão avançado (NCT06896422, 80 participantes previstos).</w:t>
      </w:r>
    </w:p>
    <w:p>
      <w:pPr>
        <w:numPr>
          <w:ilvl w:val="0"/>
          <w:numId w:val="1248"/>
        </w:numPr>
        <w:pStyle w:val="Compact"/>
      </w:pPr>
      <w:r>
        <w:t xml:space="preserve">Um estudo sobre microagulhamento apoiado por glutationa no melasma (manchas pigmentares) está registrado</w:t>
      </w:r>
      <w:r>
        <w:rPr>
          <w:rStyle w:val="FootnoteReference"/>
        </w:rPr>
        <w:footnoteReference w:id="1953"/>
      </w:r>
      <w:r>
        <w:t xml:space="preserve">.</w:t>
      </w:r>
    </w:p>
    <w:p>
      <w:pPr>
        <w:numPr>
          <w:ilvl w:val="0"/>
          <w:numId w:val="1248"/>
        </w:numPr>
        <w:pStyle w:val="Compact"/>
      </w:pPr>
      <w:r>
        <w:t xml:space="preserve">Vários pequenos estudos examinam novas formas de administração (lipossomal, micelar) e recuperação esportiva, frequentemente financiados por fabricantes.</w:t>
      </w:r>
    </w:p>
    <w:p>
      <w:pPr>
        <w:pStyle w:val="FirstParagraph"/>
      </w:pPr>
      <w:r>
        <w:rPr>
          <w:bCs/>
          <w:b/>
        </w:rPr>
        <w:t xml:space="preserve">Avaliação:</w:t>
      </w:r>
      <w:r>
        <w:t xml:space="preserve"> </w:t>
      </w:r>
      <w:r>
        <w:t xml:space="preserve">a questão em aberto mais importante já não é se a glutationa é absorvida, mas se níveis mais altos trazem algum benefício clínico. Os grandes estudos até agora falam mais contra isso. Em infusões para clareamento da pele ou como</w:t>
      </w:r>
      <w:r>
        <w:t xml:space="preserve"> </w:t>
      </w:r>
      <w:r>
        <w:t xml:space="preserve">“</w:t>
      </w:r>
      <w:r>
        <w:t xml:space="preserve">soro de bem-estar</w:t>
      </w:r>
      <w:r>
        <w:t xml:space="preserve">”</w:t>
      </w:r>
      <w:r>
        <w:t xml:space="preserve">, os riscos superam um benefício não comprovado.</w:t>
      </w:r>
    </w:p>
    <w:bookmarkEnd w:id="1954"/>
    <w:bookmarkStart w:id="1955" w:name="conclusão-45"/>
    <w:p>
      <w:pPr>
        <w:pStyle w:val="Heading3"/>
      </w:pPr>
      <w:r>
        <w:t xml:space="preserve">Conclusão</w:t>
      </w:r>
    </w:p>
    <w:p>
      <w:pPr>
        <w:pStyle w:val="FirstParagraph"/>
      </w:pPr>
      <w:r>
        <w:t xml:space="preserve">A glutationa é o mais importante peptídeo protetor do próprio organismo contra a oxidação; tomada em cápsula, pode aumentar de forma mensurável os níveis sanguíneos com uso mais prolongado. Clinicamente, porém, os estudos maiores não mostraram benefício – nem contra lesões nervosas causadas pela quimioterapia, nem no Parkinson ou na fibrose cística; indícios positivos vêm de pequenos estudos. Cápsulas e cremes clarearam a pele de forma leve e temporária em pequenos estudos. Infusões para clareamento da pele não têm eficácia comprovada, não são aprovadas e foram objeto de advertências expressas de várias autoridades devido a efeitos colaterais graves e preparados contaminados.</w:t>
      </w:r>
    </w:p>
    <w:bookmarkEnd w:id="1955"/>
    <w:bookmarkEnd w:id="1956"/>
    <w:bookmarkEnd w:id="1957"/>
    <w:bookmarkStart w:id="2313" w:name="Xf48eae67d256d33a2681a1ff30e00055ec0bab9"/>
    <w:p>
      <w:pPr>
        <w:pStyle w:val="Heading1"/>
      </w:pPr>
      <w:r>
        <w:t xml:space="preserve">Parte II · E – Hormônios, sexualidade e pigmentação</w:t>
      </w:r>
    </w:p>
    <w:p>
      <w:pPr>
        <w:pStyle w:val="FirstParagraph"/>
      </w:pPr>
      <w:r>
        <w:t xml:space="preserve">Os seis peptídeos deste grupo atuam sobre coisas muito diferentes: cor da pele, desejo sexual, fertilidade e comportamento social. O que têm em comum é que imitam vias de sinalização próprias do cérebro e das glândulas hormonais, estreitamente entrelaçadas entre si. Três deles pertencem a uma única família, o sistema das melanocortinas; os outros três regulam o eixo hormonal da reprodução ou estão ligados a ele.</w:t>
      </w:r>
    </w:p>
    <w:bookmarkStart w:id="1960" w:name="o-sistema-das-melanocortinas"/>
    <w:p>
      <w:pPr>
        <w:pStyle w:val="Heading3"/>
      </w:pPr>
      <w:r>
        <w:t xml:space="preserve">O sistema das melanocortinas</w:t>
      </w:r>
    </w:p>
    <w:p>
      <w:pPr>
        <w:pStyle w:val="FirstParagraph"/>
      </w:pPr>
      <w:r>
        <w:t xml:space="preserve">No início está uma grande proteína precursora chamada pró-opiomelanocortina (POMC). Dela, enzimas recortam vários peptídeos menores, entre eles o hormônio do estresse ACTH e os hormônios estimulantes dos melanócitos (MSH), sobretudo o alfa-MSH. Esses mensageiros são chamados, em conjunto, de melanocortinas. Eles atuam por meio de cinco receptores, do MC1R ao MC5R, localizados em diferentes tecidos:</w:t>
      </w:r>
    </w:p>
    <w:p>
      <w:pPr>
        <w:numPr>
          <w:ilvl w:val="0"/>
          <w:numId w:val="1249"/>
        </w:numPr>
        <w:pStyle w:val="Compact"/>
      </w:pPr>
      <w:r>
        <w:rPr>
          <w:bCs/>
          <w:b/>
        </w:rPr>
        <w:t xml:space="preserve">MC1R</w:t>
      </w:r>
      <w:r>
        <w:t xml:space="preserve">, nas células pigmentares da pele, determina se elas produzem eumelanina, escura e protetora. Pessoas de cabelo ruivo e pele clara costumam ter variantes menos eficazes desse receptor.</w:t>
      </w:r>
    </w:p>
    <w:p>
      <w:pPr>
        <w:numPr>
          <w:ilvl w:val="0"/>
          <w:numId w:val="1249"/>
        </w:numPr>
        <w:pStyle w:val="Compact"/>
      </w:pPr>
      <w:r>
        <w:rPr>
          <w:bCs/>
          <w:b/>
        </w:rPr>
        <w:t xml:space="preserve">MC2R</w:t>
      </w:r>
      <w:r>
        <w:t xml:space="preserve">, na glândula suprarrenal, é o receptor do ACTH e regula a produção de cortisol.</w:t>
      </w:r>
    </w:p>
    <w:p>
      <w:pPr>
        <w:numPr>
          <w:ilvl w:val="0"/>
          <w:numId w:val="1249"/>
        </w:numPr>
        <w:pStyle w:val="Compact"/>
      </w:pPr>
      <w:r>
        <w:rPr>
          <w:bCs/>
          <w:b/>
        </w:rPr>
        <w:t xml:space="preserve">MC3R e MC4R</w:t>
      </w:r>
      <w:r>
        <w:t xml:space="preserve">, no cérebro, influenciam o apetite, o gasto de energia e – como se descobriu por acaso – a excitação sexual. Defeitos no MC4R são a causa genética mais frequente de obesidade grave.</w:t>
      </w:r>
    </w:p>
    <w:p>
      <w:pPr>
        <w:numPr>
          <w:ilvl w:val="0"/>
          <w:numId w:val="1249"/>
        </w:numPr>
        <w:pStyle w:val="Compact"/>
      </w:pPr>
      <w:r>
        <w:rPr>
          <w:bCs/>
          <w:b/>
        </w:rPr>
        <w:t xml:space="preserve">MC5R</w:t>
      </w:r>
      <w:r>
        <w:t xml:space="preserve"> </w:t>
      </w:r>
      <w:r>
        <w:t xml:space="preserve">atua, entre outras, sobre as glândulas sebáceas e outras glândulas.</w:t>
      </w:r>
    </w:p>
    <w:p>
      <w:pPr>
        <w:pStyle w:val="FirstParagraph"/>
      </w:pPr>
      <w:r>
        <w:t xml:space="preserve">A história dos três peptídeos de melanocortina desta parte começa na Universidade do Arizona. Lá, nas décadas de 1980 e 1990, pesquisadores desenvolveram duas variantes estabilizadas do alfa-MSH para provocar um bronzeamento sem sol: o melanotan I, linear, e o melanotan II, em forma de anel</w:t>
      </w:r>
      <w:r>
        <w:rPr>
          <w:rStyle w:val="FootnoteReference"/>
        </w:rPr>
        <w:footnoteReference w:id="1958"/>
      </w:r>
      <w:r>
        <w:t xml:space="preserve">. Em testes com melanotan II, homens relataram ereções espontâneas – a descoberta de que as melanocortinas no cérebro influenciam a função sexual</w:t>
      </w:r>
      <w:r>
        <w:rPr>
          <w:rStyle w:val="FootnoteReference"/>
        </w:rPr>
        <w:footnoteReference w:id="1959"/>
      </w:r>
      <w:r>
        <w:t xml:space="preserve">.</w:t>
      </w:r>
    </w:p>
    <w:p>
      <w:pPr>
        <w:pStyle w:val="BodyText"/>
      </w:pPr>
      <w:r>
        <w:t xml:space="preserve">Desses começos surgiram três caminhos:</w:t>
      </w:r>
    </w:p>
    <w:p>
      <w:pPr>
        <w:numPr>
          <w:ilvl w:val="0"/>
          <w:numId w:val="1250"/>
        </w:numPr>
        <w:pStyle w:val="Compact"/>
      </w:pPr>
      <w:r>
        <w:rPr>
          <w:bCs/>
          <w:b/>
        </w:rPr>
        <w:t xml:space="preserve">O melanotan I</w:t>
      </w:r>
      <w:r>
        <w:t xml:space="preserve"> </w:t>
      </w:r>
      <w:r>
        <w:t xml:space="preserve">foi desenvolvido, com o nome</w:t>
      </w:r>
      <w:r>
        <w:t xml:space="preserve"> </w:t>
      </w:r>
      <w:r>
        <w:rPr>
          <w:bCs/>
          <w:b/>
        </w:rPr>
        <w:t xml:space="preserve">afamelanotida</w:t>
      </w:r>
      <w:r>
        <w:t xml:space="preserve">, como implante contra uma rara e dolorosa sensibilidade à luz e está aprovado na UE e nos EUA.</w:t>
      </w:r>
    </w:p>
    <w:p>
      <w:pPr>
        <w:numPr>
          <w:ilvl w:val="0"/>
          <w:numId w:val="1250"/>
        </w:numPr>
        <w:pStyle w:val="Compact"/>
      </w:pPr>
      <w:r>
        <w:rPr>
          <w:bCs/>
          <w:b/>
        </w:rPr>
        <w:t xml:space="preserve">O melanotan II</w:t>
      </w:r>
      <w:r>
        <w:t xml:space="preserve"> </w:t>
      </w:r>
      <w:r>
        <w:t xml:space="preserve">nunca foi aprovado, mas é difundido no mercado cinza como</w:t>
      </w:r>
      <w:r>
        <w:t xml:space="preserve"> </w:t>
      </w:r>
      <w:r>
        <w:t xml:space="preserve">“</w:t>
      </w:r>
      <w:r>
        <w:t xml:space="preserve">injeção de bronzeamento</w:t>
      </w:r>
      <w:r>
        <w:t xml:space="preserve">”</w:t>
      </w:r>
      <w:r>
        <w:t xml:space="preserve">.</w:t>
      </w:r>
    </w:p>
    <w:p>
      <w:pPr>
        <w:numPr>
          <w:ilvl w:val="0"/>
          <w:numId w:val="1250"/>
        </w:numPr>
        <w:pStyle w:val="Compact"/>
      </w:pPr>
      <w:r>
        <w:rPr>
          <w:bCs/>
          <w:b/>
        </w:rPr>
        <w:t xml:space="preserve">A bremelanotida</w:t>
      </w:r>
      <w:r>
        <w:t xml:space="preserve">, uma variante do melanotan II, está aprovada nos EUA contra o baixo desejo sexual em mulheres.</w:t>
      </w:r>
    </w:p>
    <w:p>
      <w:pPr>
        <w:pStyle w:val="FirstParagraph"/>
      </w:pPr>
      <w:r>
        <w:t xml:space="preserve">Um quarto princípio ativo de melanocortina, a setmelanotida, tem como alvo específico o MC4R e é usado em formas genéticas raras de obesidade; ele é tratado na Parte II · A. Quanto mais seletivamente um princípio ativo se liga a um receptor, mais direcionada é sua ação. O melanotan II se liga a quase todos e, por isso, reúne bronzeamento, náusea, perda de apetite e ereções em uma única molécula.</w:t>
      </w:r>
    </w:p>
    <w:bookmarkEnd w:id="1960"/>
    <w:bookmarkStart w:id="1961" w:name="o-eixo-hormonal-da-reprodução"/>
    <w:p>
      <w:pPr>
        <w:pStyle w:val="Heading3"/>
      </w:pPr>
      <w:r>
        <w:t xml:space="preserve">O eixo hormonal da reprodução</w:t>
      </w:r>
    </w:p>
    <w:p>
      <w:pPr>
        <w:pStyle w:val="FirstParagraph"/>
      </w:pPr>
      <w:r>
        <w:t xml:space="preserve">Os outros três peptídeos desta parte atuam sobre o eixo que controla a puberdade, o ciclo menstrual e a fertilidade. A</w:t>
      </w:r>
      <w:r>
        <w:t xml:space="preserve"> </w:t>
      </w:r>
      <w:r>
        <w:rPr>
          <w:bCs/>
          <w:b/>
        </w:rPr>
        <w:t xml:space="preserve">kisspeptina</w:t>
      </w:r>
      <w:r>
        <w:t xml:space="preserve"> </w:t>
      </w:r>
      <w:r>
        <w:t xml:space="preserve">ativa os neurônios de GnRH no hipotálamo. A</w:t>
      </w:r>
      <w:r>
        <w:t xml:space="preserve"> </w:t>
      </w:r>
      <w:r>
        <w:rPr>
          <w:bCs/>
          <w:b/>
        </w:rPr>
        <w:t xml:space="preserve">gonadorelina</w:t>
      </w:r>
      <w:r>
        <w:t xml:space="preserve"> </w:t>
      </w:r>
      <w:r>
        <w:t xml:space="preserve">é a forma sintética do próprio GnRH, que, liberado em pulsos, estimula a hipófise a secretar LH e FSH. Ambas mostram um princípio comum: administradas no ritmo certo, ativam o eixo; como estímulo contínuo, o freiam. A</w:t>
      </w:r>
      <w:r>
        <w:t xml:space="preserve"> </w:t>
      </w:r>
      <w:r>
        <w:rPr>
          <w:bCs/>
          <w:b/>
        </w:rPr>
        <w:t xml:space="preserve">ocitocina</w:t>
      </w:r>
      <w:r>
        <w:t xml:space="preserve">, por fim, provém das mesmas regiões cerebrais, controla o parto e a amamentação e é estudada há duas décadas como spray nasal para o comportamento social – com resultados decepcionantes.</w:t>
      </w:r>
    </w:p>
    <w:bookmarkEnd w:id="1961"/>
    <w:bookmarkStart w:id="1962" w:name="visão-geral-3"/>
    <w:p>
      <w:pPr>
        <w:pStyle w:val="Heading3"/>
      </w:pPr>
      <w:r>
        <w:t xml:space="preserve">Visão geral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w:t>
            </w:r>
          </w:p>
        </w:tc>
        <w:tc>
          <w:tcPr/>
          <w:p>
            <w:pPr>
              <w:pStyle w:val="Compact"/>
              <w:jc w:val="left"/>
            </w:pPr>
            <w:r>
              <w:t xml:space="preserve">Em resumo</w:t>
            </w:r>
          </w:p>
        </w:tc>
      </w:tr>
      <w:tr>
        <w:tc>
          <w:tcPr/>
          <w:p>
            <w:pPr>
              <w:pStyle w:val="Compact"/>
              <w:jc w:val="left"/>
            </w:pPr>
            <w:r>
              <w:t xml:space="preserve">Bremelanotida (PT-141)</w:t>
            </w:r>
          </w:p>
        </w:tc>
        <w:tc>
          <w:tcPr/>
          <w:p>
            <w:pPr>
              <w:pStyle w:val="Compact"/>
              <w:jc w:val="left"/>
            </w:pPr>
            <w:r>
              <w:t xml:space="preserve">A</w:t>
            </w:r>
          </w:p>
        </w:tc>
        <w:tc>
          <w:tcPr/>
          <w:p>
            <w:pPr>
              <w:pStyle w:val="Compact"/>
              <w:jc w:val="left"/>
            </w:pPr>
            <w:r>
              <w:t xml:space="preserve">EUA (Vyleesi), não na UE</w:t>
            </w:r>
          </w:p>
        </w:tc>
        <w:tc>
          <w:tcPr/>
          <w:p>
            <w:pPr>
              <w:pStyle w:val="Compact"/>
              <w:jc w:val="left"/>
            </w:pPr>
            <w:r>
              <w:t xml:space="preserve">Desejo em mulheres com HSDD; efeito pequeno, muita náusea</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nenhuma</w:t>
            </w:r>
          </w:p>
        </w:tc>
        <w:tc>
          <w:tcPr/>
          <w:p>
            <w:pPr>
              <w:pStyle w:val="Compact"/>
              <w:jc w:val="left"/>
            </w:pPr>
            <w:r>
              <w:t xml:space="preserve">Bronzeamento do mercado cinza; relatos de caso sobre pintas e priapismo</w:t>
            </w:r>
          </w:p>
        </w:tc>
      </w:tr>
      <w:tr>
        <w:tc>
          <w:tcPr/>
          <w:p>
            <w:pPr>
              <w:pStyle w:val="Compact"/>
              <w:jc w:val="left"/>
            </w:pPr>
            <w:r>
              <w:t xml:space="preserve">Afamelanotida</w:t>
            </w:r>
          </w:p>
        </w:tc>
        <w:tc>
          <w:tcPr/>
          <w:p>
            <w:pPr>
              <w:pStyle w:val="Compact"/>
              <w:jc w:val="left"/>
            </w:pPr>
            <w:r>
              <w:t xml:space="preserve">A</w:t>
            </w:r>
          </w:p>
        </w:tc>
        <w:tc>
          <w:tcPr/>
          <w:p>
            <w:pPr>
              <w:pStyle w:val="Compact"/>
              <w:jc w:val="left"/>
            </w:pPr>
            <w:r>
              <w:t xml:space="preserve">UE e EUA (Scenesse)</w:t>
            </w:r>
          </w:p>
        </w:tc>
        <w:tc>
          <w:tcPr/>
          <w:p>
            <w:pPr>
              <w:pStyle w:val="Compact"/>
              <w:jc w:val="left"/>
            </w:pPr>
            <w:r>
              <w:t xml:space="preserve">Proteção contra a luz na EPP; vitiligo em estudo</w:t>
            </w:r>
          </w:p>
        </w:tc>
      </w:tr>
      <w:tr>
        <w:tc>
          <w:tcPr/>
          <w:p>
            <w:pPr>
              <w:pStyle w:val="Compact"/>
              <w:jc w:val="left"/>
            </w:pPr>
            <w:r>
              <w:t xml:space="preserve">Kisspeptina</w:t>
            </w:r>
          </w:p>
        </w:tc>
        <w:tc>
          <w:tcPr/>
          <w:p>
            <w:pPr>
              <w:pStyle w:val="Compact"/>
              <w:jc w:val="left"/>
            </w:pPr>
            <w:r>
              <w:t xml:space="preserve">B</w:t>
            </w:r>
          </w:p>
        </w:tc>
        <w:tc>
          <w:tcPr/>
          <w:p>
            <w:pPr>
              <w:pStyle w:val="Compact"/>
              <w:jc w:val="left"/>
            </w:pPr>
            <w:r>
              <w:t xml:space="preserve">nenhuma</w:t>
            </w:r>
          </w:p>
        </w:tc>
        <w:tc>
          <w:tcPr/>
          <w:p>
            <w:pPr>
              <w:pStyle w:val="Compact"/>
              <w:jc w:val="left"/>
            </w:pPr>
            <w:r>
              <w:t xml:space="preserve">Maturação de óvulos na FIV, testes hormonais; pesquisa</w:t>
            </w:r>
          </w:p>
        </w:tc>
      </w:tr>
      <w:tr>
        <w:tc>
          <w:tcPr/>
          <w:p>
            <w:pPr>
              <w:pStyle w:val="Compact"/>
              <w:jc w:val="left"/>
            </w:pPr>
            <w:r>
              <w:t xml:space="preserve">Ocitocina (spray nasal)</w:t>
            </w:r>
          </w:p>
        </w:tc>
        <w:tc>
          <w:tcPr/>
          <w:p>
            <w:pPr>
              <w:pStyle w:val="Compact"/>
              <w:jc w:val="left"/>
            </w:pPr>
            <w:r>
              <w:t xml:space="preserve">B</w:t>
            </w:r>
          </w:p>
        </w:tc>
        <w:tc>
          <w:tcPr/>
          <w:p>
            <w:pPr>
              <w:pStyle w:val="Compact"/>
              <w:jc w:val="left"/>
            </w:pPr>
            <w:r>
              <w:t xml:space="preserve">só como infusão (obstetrícia)</w:t>
            </w:r>
          </w:p>
        </w:tc>
        <w:tc>
          <w:tcPr/>
          <w:p>
            <w:pPr>
              <w:pStyle w:val="Compact"/>
              <w:jc w:val="left"/>
            </w:pPr>
            <w:r>
              <w:t xml:space="preserve">Autismo e confiança: grandes estudos negativos</w:t>
            </w:r>
          </w:p>
        </w:tc>
      </w:tr>
      <w:tr>
        <w:tc>
          <w:tcPr/>
          <w:p>
            <w:pPr>
              <w:pStyle w:val="Compact"/>
              <w:jc w:val="left"/>
            </w:pPr>
            <w:r>
              <w:t xml:space="preserve">Gonadorelina</w:t>
            </w:r>
          </w:p>
        </w:tc>
        <w:tc>
          <w:tcPr/>
          <w:p>
            <w:pPr>
              <w:pStyle w:val="Compact"/>
              <w:jc w:val="left"/>
            </w:pPr>
            <w:r>
              <w:t xml:space="preserve">B</w:t>
            </w:r>
          </w:p>
        </w:tc>
        <w:tc>
          <w:tcPr/>
          <w:p>
            <w:pPr>
              <w:pStyle w:val="Compact"/>
              <w:jc w:val="left"/>
            </w:pPr>
            <w:r>
              <w:t xml:space="preserve">nacional (UE), não mais nos EUA</w:t>
            </w:r>
          </w:p>
        </w:tc>
        <w:tc>
          <w:tcPr/>
          <w:p>
            <w:pPr>
              <w:pStyle w:val="Compact"/>
              <w:jc w:val="left"/>
            </w:pPr>
            <w:r>
              <w:t xml:space="preserve">Teste de GnRH e bomba para quem deseja ter filhos; proibida no esporte</w:t>
            </w:r>
          </w:p>
        </w:tc>
      </w:tr>
    </w:tbl>
    <w:p>
      <w:pPr>
        <w:pStyle w:val="BodyText"/>
      </w:pPr>
      <w:r>
        <w:t xml:space="preserve">As informações sobre aprovação correspondem à situação em 2026 e devem ser verificadas quanto à atualização.</w:t>
      </w:r>
    </w:p>
    <w:bookmarkEnd w:id="1962"/>
    <w:bookmarkStart w:id="1963" w:name="orientação-de-leitura-4"/>
    <w:p>
      <w:pPr>
        <w:pStyle w:val="Heading3"/>
      </w:pPr>
      <w:r>
        <w:t xml:space="preserve">Orientação de leitura</w:t>
      </w:r>
    </w:p>
    <w:p>
      <w:pPr>
        <w:pStyle w:val="FirstParagraph"/>
      </w:pPr>
      <w:r>
        <w:t xml:space="preserve">Quem se interessa por bronzeadores deve ler juntos os capítulos sobre melanotan II e afamelanotida: eles mostram como a mesma ideia básica pode ter resultados muito diferentes – uma vez como medicamento testado em um ambulatório especializado, outra vez como pó não testado vindo da internet. Para o tema sexualidade, vale a pena comparar bremelanotida, kisspeptina e ocitocina; as três mostram como os efeitos placebo são fortes nesse campo. Kisspeptina e gonadorelina explicam, juntas, o eixo hormonal da fertilidade. Informações gerais sobre produtos do mercado cinza estão na Parte I; os riscos em comparação, na Parte IV.</w:t>
      </w:r>
    </w:p>
    <w:bookmarkEnd w:id="1963"/>
    <w:bookmarkStart w:id="2020" w:name="bremelanotida-pt-141"/>
    <w:p>
      <w:pPr>
        <w:pStyle w:val="Heading2"/>
      </w:pPr>
      <w:r>
        <w:t xml:space="preserve">Bremelanotida (PT-141)</w:t>
      </w:r>
    </w:p>
    <w:bookmarkStart w:id="1966" w:name="ficha-técnica-46"/>
    <w:p>
      <w:pPr>
        <w:pStyle w:val="Heading3"/>
      </w:pPr>
      <w:r>
        <w:t xml:space="preserve">Ficha técnica</w:t>
      </w:r>
    </w:p>
    <w:p>
      <w:pPr>
        <w:numPr>
          <w:ilvl w:val="0"/>
          <w:numId w:val="1251"/>
        </w:numPr>
        <w:pStyle w:val="Compact"/>
      </w:pPr>
      <w:r>
        <w:rPr>
          <w:bCs/>
          <w:b/>
        </w:rPr>
        <w:t xml:space="preserve">Tipo/estrutura:</w:t>
      </w:r>
      <w:r>
        <w:t xml:space="preserve"> </w:t>
      </w:r>
      <w:r>
        <w:t xml:space="preserve">peptídeo em forma de anel (cíclico) de sete aminoácidos, produzido sinteticamente. Deriva do hormônio endógeno alfa-MSH (hormônio estimulante dos melanócitos alfa) e é um parente próximo do melanotan II (capítulo 2E02). Na literatura também é chamado de PT-141.</w:t>
      </w:r>
    </w:p>
    <w:p>
      <w:pPr>
        <w:numPr>
          <w:ilvl w:val="0"/>
          <w:numId w:val="1251"/>
        </w:numPr>
        <w:pStyle w:val="Compact"/>
      </w:pPr>
      <w:r>
        <w:rPr>
          <w:bCs/>
          <w:b/>
        </w:rPr>
        <w:t xml:space="preserve">Origem:</w:t>
      </w:r>
      <w:r>
        <w:t xml:space="preserve"> </w:t>
      </w:r>
      <w:r>
        <w:t xml:space="preserve">surgiu do desenvolvimento do melanotan II na Universidade do Arizona; desenvolvido posteriormente pela empresa Palatin Technologies</w:t>
      </w:r>
      <w:r>
        <w:rPr>
          <w:rStyle w:val="FootnoteReference"/>
        </w:rPr>
        <w:footnoteReference w:id="1964"/>
      </w:r>
      <w:r>
        <w:t xml:space="preserve">.</w:t>
      </w:r>
    </w:p>
    <w:p>
      <w:pPr>
        <w:numPr>
          <w:ilvl w:val="0"/>
          <w:numId w:val="1251"/>
        </w:numPr>
        <w:pStyle w:val="Compact"/>
      </w:pPr>
      <w:r>
        <w:rPr>
          <w:bCs/>
          <w:b/>
        </w:rPr>
        <w:t xml:space="preserve">Mecanismo de ação:</w:t>
      </w:r>
      <w:r>
        <w:t xml:space="preserve"> </w:t>
      </w:r>
      <w:r>
        <w:t xml:space="preserve">agonista dos receptores de melanocortina, sobretudo do MC4R no cérebro. Não atua sobre os vasos sanguíneos dos órgãos genitais, como a sildenafila, mas sobre regiões cerebrais envolvidas no desejo sexual.</w:t>
      </w:r>
    </w:p>
    <w:p>
      <w:pPr>
        <w:numPr>
          <w:ilvl w:val="0"/>
          <w:numId w:val="1251"/>
        </w:numPr>
        <w:pStyle w:val="Compact"/>
      </w:pPr>
      <w:r>
        <w:rPr>
          <w:bCs/>
          <w:b/>
        </w:rPr>
        <w:t xml:space="preserve">Forma farmacêutica:</w:t>
      </w:r>
      <w:r>
        <w:t xml:space="preserve"> </w:t>
      </w:r>
      <w:r>
        <w:t xml:space="preserve">seringa preenchida (autoinjetor) para aplicação subcutânea conforme a necessidade, cerca de 45 minutos antes da atividade sexual. Os primeiros estudos usaram um spray nasal.</w:t>
      </w:r>
    </w:p>
    <w:p>
      <w:pPr>
        <w:numPr>
          <w:ilvl w:val="0"/>
          <w:numId w:val="1251"/>
        </w:numPr>
        <w:pStyle w:val="Compact"/>
      </w:pPr>
      <w:r>
        <w:rPr>
          <w:bCs/>
          <w:b/>
        </w:rPr>
        <w:t xml:space="preserve">Aprovação na UE:</w:t>
      </w:r>
      <w:r>
        <w:t xml:space="preserve"> </w:t>
      </w:r>
      <w:r>
        <w:t xml:space="preserve">não.</w:t>
      </w:r>
    </w:p>
    <w:p>
      <w:pPr>
        <w:numPr>
          <w:ilvl w:val="0"/>
          <w:numId w:val="1251"/>
        </w:numPr>
        <w:pStyle w:val="Compact"/>
      </w:pPr>
      <w:r>
        <w:rPr>
          <w:bCs/>
          <w:b/>
        </w:rPr>
        <w:t xml:space="preserve">Aprovação nos EUA:</w:t>
      </w:r>
      <w:r>
        <w:t xml:space="preserve"> </w:t>
      </w:r>
      <w:r>
        <w:t xml:space="preserve">sim, desde 2019 como Vyleesi para mulheres na pré-menopausa com transtorno adquirido e generalizado do desejo sexual (transtorno do desejo sexual hipoativo, HSDD)</w:t>
      </w:r>
      <w:r>
        <w:rPr>
          <w:rStyle w:val="FootnoteReference"/>
        </w:rPr>
        <w:footnoteReference w:id="1965"/>
      </w:r>
      <w:r>
        <w:t xml:space="preserve">. Uso apenas com prescrição médica e conforme a bula.</w:t>
      </w:r>
    </w:p>
    <w:p>
      <w:pPr>
        <w:numPr>
          <w:ilvl w:val="0"/>
          <w:numId w:val="1251"/>
        </w:numPr>
        <w:pStyle w:val="Compact"/>
      </w:pPr>
      <w:r>
        <w:rPr>
          <w:bCs/>
          <w:b/>
        </w:rPr>
        <w:t xml:space="preserve">WADA:</w:t>
      </w:r>
      <w:r>
        <w:t xml:space="preserve"> </w:t>
      </w:r>
      <w:r>
        <w:t xml:space="preserve">não listada nominalmente.</w:t>
      </w:r>
    </w:p>
    <w:p>
      <w:pPr>
        <w:numPr>
          <w:ilvl w:val="0"/>
          <w:numId w:val="1251"/>
        </w:numPr>
        <w:pStyle w:val="Compact"/>
      </w:pPr>
      <w:r>
        <w:rPr>
          <w:bCs/>
          <w:b/>
        </w:rPr>
        <w:t xml:space="preserve">Nível de evidência:</w:t>
      </w:r>
      <w:r>
        <w:t xml:space="preserve"> </w:t>
      </w:r>
      <w:r>
        <w:rPr>
          <w:bCs/>
          <w:b/>
        </w:rPr>
        <w:t xml:space="preserve">A</w:t>
      </w:r>
      <w:r>
        <w:t xml:space="preserve"> </w:t>
      </w:r>
      <w:r>
        <w:t xml:space="preserve">– dois grandes estudos randomizados de fase 3 com mais de 1.200 participantes no total, aprovação nos EUA. O benefício clínico, porém, é pequeno e controverso (veja abaixo).</w:t>
      </w:r>
    </w:p>
    <w:bookmarkEnd w:id="1966"/>
    <w:bookmarkStart w:id="1971" w:name="como-deveria-agir-46"/>
    <w:p>
      <w:pPr>
        <w:pStyle w:val="Heading3"/>
      </w:pPr>
      <w:r>
        <w:t xml:space="preserve">Como deveria agir</w:t>
      </w:r>
    </w:p>
    <w:p>
      <w:pPr>
        <w:pStyle w:val="FirstParagraph"/>
      </w:pPr>
      <w:r>
        <w:t xml:space="preserve">O sistema das melanocortinas é uma rede de mensageiros e cinco receptores (do MC1R ao MC5R), descrita com mais detalhes na introdução desta parte. Para a bremelanotida, o receptor mais importante é o MC4R. Ele se localiza, entre outros lugares, no hipotálamo, uma central de controle no diencéfalo, e ali influencia o apetite, o gasto de energia e – como se descobriu por acaso – a excitação sexual.</w:t>
      </w:r>
    </w:p>
    <w:p>
      <w:pPr>
        <w:pStyle w:val="BodyText"/>
      </w:pPr>
      <w:r>
        <w:t xml:space="preserve">A descoberta foi um subproduto da pesquisa sobre bronzeamento: homens que, na década de 1990, receberam melanotan II para bronzear a pele relataram ereções espontâneas</w:t>
      </w:r>
      <w:r>
        <w:rPr>
          <w:rStyle w:val="FootnoteReference"/>
        </w:rPr>
        <w:footnoteReference w:id="1967"/>
      </w:r>
      <w:r>
        <w:t xml:space="preserve">. A bremelanotida é uma forma ligeiramente modificada dessa molécula. Ela ativa vários receptores de melanocortina, mas, nas doses utilizadas, o MC4R é o mais importante</w:t>
      </w:r>
      <w:r>
        <w:rPr>
          <w:rStyle w:val="FootnoteReference"/>
        </w:rPr>
        <w:footnoteReference w:id="1968"/>
      </w:r>
      <w:r>
        <w:t xml:space="preserve">. Ainda assim, não está totalmente livre de efeito sobre a pele – o que explica as manchas pigmentares observadas.</w:t>
      </w:r>
    </w:p>
    <w:p>
      <w:pPr>
        <w:pStyle w:val="BodyText"/>
      </w:pPr>
      <w:r>
        <w:t xml:space="preserve">Como exatamente a ativação do MC4R influencia o desejo sexual é entendido apenas em parte. Experimentos em animais indicam que a bremelanotida estimula, em uma determinada região do hipotálamo (a área pré-óptica medial), a liberação do mensageiro dopamina, que favorece o desejo sexual</w:t>
      </w:r>
      <w:r>
        <w:rPr>
          <w:rStyle w:val="FootnoteReference"/>
        </w:rPr>
        <w:footnoteReference w:id="1969"/>
      </w:r>
      <w:r>
        <w:t xml:space="preserve">. Um estudo britânico com ressonância magnética funcional (RMf) em 31 mulheres com HSDD encontrou, sob um agonista de MC4R, atividade alterada em regiões cerebrais que processam estímulos eróticos</w:t>
      </w:r>
      <w:r>
        <w:rPr>
          <w:rStyle w:val="FootnoteReference"/>
        </w:rPr>
        <w:footnoteReference w:id="1970"/>
      </w:r>
      <w:r>
        <w:t xml:space="preserve">. As autoras e os autores interpretam isso como menor auto-observação e maior receptividade a estímulos eróticos – uma interpretação, não uma explicação comprovada.</w:t>
      </w:r>
    </w:p>
    <w:p>
      <w:pPr>
        <w:pStyle w:val="BodyText"/>
      </w:pPr>
      <w:r>
        <w:t xml:space="preserve">Importante para a compreensão: a aprovação não visa a</w:t>
      </w:r>
      <w:r>
        <w:t xml:space="preserve"> </w:t>
      </w:r>
      <w:r>
        <w:t xml:space="preserve">“</w:t>
      </w:r>
      <w:r>
        <w:t xml:space="preserve">mais desejo</w:t>
      </w:r>
      <w:r>
        <w:t xml:space="preserve">”</w:t>
      </w:r>
      <w:r>
        <w:t xml:space="preserve"> </w:t>
      </w:r>
      <w:r>
        <w:t xml:space="preserve">em pessoas saudáveis, mas a um diagnóstico definido. HSDD significa desejo sexual persistentemente baixo, que causa sofrimento e não é explicado por outra doença, medicamentos ou problemas de relacionamento.</w:t>
      </w:r>
    </w:p>
    <w:bookmarkEnd w:id="1971"/>
    <w:bookmarkStart w:id="1997" w:name="estudos-em-humanos-46"/>
    <w:p>
      <w:pPr>
        <w:pStyle w:val="Heading3"/>
      </w:pPr>
      <w:r>
        <w:t xml:space="preserve">Estudos em humanos</w:t>
      </w:r>
    </w:p>
    <w:p>
      <w:pPr>
        <w:pStyle w:val="FirstParagraph"/>
      </w:pPr>
      <w:r>
        <w:rPr>
          <w:bCs/>
          <w:b/>
        </w:rPr>
        <w:t xml:space="preserve">Dimensão do conjunto de estudos (consulta em outubro de 2026):</w:t>
      </w:r>
      <w:r>
        <w:t xml:space="preserve"> </w:t>
      </w:r>
      <w:r>
        <w:t xml:space="preserve">a busca automatizada deste livro encontrou</w:t>
      </w:r>
      <w:r>
        <w:t xml:space="preserve"> </w:t>
      </w:r>
      <w:r>
        <w:rPr>
          <w:bCs/>
          <w:b/>
        </w:rPr>
        <w:t xml:space="preserve">16</w:t>
      </w:r>
      <w:r>
        <w:t xml:space="preserve"> </w:t>
      </w:r>
      <w:r>
        <w:t xml:space="preserve">estudos em humanos no PubMed (</w:t>
      </w:r>
      <w:r>
        <w:rPr>
          <w:rStyle w:val="VerbatimChar"/>
        </w:rPr>
        <w:t xml:space="preserve">humanstudien_alle</w:t>
      </w:r>
      <w:r>
        <w:t xml:space="preserve">) e</w:t>
      </w:r>
      <w:r>
        <w:t xml:space="preserve"> </w:t>
      </w:r>
      <w:r>
        <w:rPr>
          <w:bCs/>
          <w:b/>
        </w:rPr>
        <w:t xml:space="preserve">10</w:t>
      </w:r>
      <w:r>
        <w:t xml:space="preserve"> </w:t>
      </w:r>
      <w:r>
        <w:t xml:space="preserve">registros no ClinicalTrials.gov. Somam-se a isso várias revisões e metanálises. Para a avaliação, pesam sobretudo os dois estudos de aprovação RECONNECT, sua extensão e a análise de segurança de todo o programa de desenvolvimento.</w:t>
      </w:r>
    </w:p>
    <w:bookmarkStart w:id="1977" w:name="primeiros-estudos-em-homens"/>
    <w:p>
      <w:pPr>
        <w:pStyle w:val="Heading4"/>
      </w:pPr>
      <w:r>
        <w:t xml:space="preserve">Primeiros estudos em homens</w:t>
      </w:r>
    </w:p>
    <w:p>
      <w:pPr>
        <w:pStyle w:val="FirstParagraph"/>
      </w:pPr>
      <w:r>
        <w:t xml:space="preserve">A bremelanotida foi desenvolvida inicialmente como medicamento contra a disfunção erétil. Em estudos de fase 1 com spray nasal</w:t>
      </w:r>
      <w:r>
        <w:rPr>
          <w:rStyle w:val="FootnoteReference"/>
        </w:rPr>
        <w:footnoteReference w:id="1972"/>
      </w:r>
      <w:r>
        <w:t xml:space="preserve"> </w:t>
      </w:r>
      <w:r>
        <w:t xml:space="preserve">e injeção</w:t>
      </w:r>
      <w:r>
        <w:rPr>
          <w:rStyle w:val="FootnoteReference"/>
        </w:rPr>
        <w:footnoteReference w:id="1973"/>
      </w:r>
      <w:r>
        <w:t xml:space="preserve">, ela provocou ereções mensuráveis em homens saudáveis e em homens com disfunção erétil, inclusive naqueles que respondiam de forma insuficiente ao Viagra. Em um pequeno estudo com 19 pacientes, uma dose baixa de bremelanotida potencializou o efeito de uma dose baixa de sildenafila</w:t>
      </w:r>
      <w:r>
        <w:rPr>
          <w:rStyle w:val="FootnoteReference"/>
        </w:rPr>
        <w:footnoteReference w:id="1974"/>
      </w:r>
      <w:r>
        <w:t xml:space="preserve">.</w:t>
      </w:r>
    </w:p>
    <w:p>
      <w:pPr>
        <w:pStyle w:val="BodyText"/>
      </w:pPr>
      <w:r>
        <w:t xml:space="preserve">Um estudo com 342 homens nos quais a sildenafila não havia funcionado relatou resultado positivo em 33,5% com o spray nasal de bremelanotida, contra 8,5% com placebo</w:t>
      </w:r>
      <w:r>
        <w:rPr>
          <w:rStyle w:val="FootnoteReference"/>
        </w:rPr>
        <w:footnoteReference w:id="1975"/>
      </w:r>
      <w:r>
        <w:t xml:space="preserve">. Esse trabalho deve ser lido com cautela: um segundo estudo do mesmo primeiro autor sobre bremelanotida em mulheres foi retratado pela revista científica, porque os métodos e os resultados não eram verificáveis</w:t>
      </w:r>
      <w:r>
        <w:rPr>
          <w:rStyle w:val="FootnoteReference"/>
        </w:rPr>
        <w:footnoteReference w:id="1976"/>
      </w:r>
      <w:r>
        <w:t xml:space="preserve">; outros trabalhos do autor também foram retratados.</w:t>
      </w:r>
    </w:p>
    <w:p>
      <w:pPr>
        <w:pStyle w:val="BodyText"/>
      </w:pPr>
      <w:r>
        <w:t xml:space="preserve">O desenvolvimento do spray nasal foi interrompido depois que aumentos da pressão arterial chamaram a atenção nos estudos. A empresa passou para a injeção e para o público-alvo feminino.</w:t>
      </w:r>
    </w:p>
    <w:bookmarkEnd w:id="1977"/>
    <w:bookmarkStart w:id="1981" w:name="busca-de-dose-em-mulheres"/>
    <w:p>
      <w:pPr>
        <w:pStyle w:val="Heading4"/>
      </w:pPr>
      <w:r>
        <w:t xml:space="preserve">Busca de dose em mulheres</w:t>
      </w:r>
    </w:p>
    <w:p>
      <w:pPr>
        <w:pStyle w:val="FirstParagraph"/>
      </w:pPr>
      <w:r>
        <w:t xml:space="preserve">Um primeiro pequeno estudo de laboratório com 18 mulheres com transtorno da excitação mostrou, após uma única administração, desejo moderado a alto com mais frequência do que após placebo, mas nenhuma alteração mensurável da irrigação sanguínea da vagina ao assistir a filmes eróticos</w:t>
      </w:r>
      <w:r>
        <w:rPr>
          <w:rStyle w:val="FootnoteReference"/>
        </w:rPr>
        <w:footnoteReference w:id="1978"/>
      </w:r>
      <w:r>
        <w:t xml:space="preserve">.</w:t>
      </w:r>
    </w:p>
    <w:p>
      <w:pPr>
        <w:pStyle w:val="BodyText"/>
      </w:pPr>
      <w:r>
        <w:t xml:space="preserve">O estudo decisivo de fase 2b</w:t>
      </w:r>
      <w:r>
        <w:rPr>
          <w:rStyle w:val="FootnoteReference"/>
        </w:rPr>
        <w:footnoteReference w:id="1979"/>
      </w:r>
      <w:r>
        <w:t xml:space="preserve"> </w:t>
      </w:r>
      <w:r>
        <w:t xml:space="preserve">testou três doses contra placebo durante doze semanas em mulheres na pré-menopausa. Foram avaliadas 327 participantes. Somando as duas doses mais altas, o número de</w:t>
      </w:r>
      <w:r>
        <w:t xml:space="preserve"> </w:t>
      </w:r>
      <w:r>
        <w:t xml:space="preserve">“</w:t>
      </w:r>
      <w:r>
        <w:t xml:space="preserve">eventos sexuais satisfatórios</w:t>
      </w:r>
      <w:r>
        <w:t xml:space="preserve">”</w:t>
      </w:r>
      <w:r>
        <w:t xml:space="preserve"> </w:t>
      </w:r>
      <w:r>
        <w:t xml:space="preserve">aumentou 0,7 por mês, contra 0,2 com placebo. No questionário FSFI (Female Sexual Function Index, uma pontuação da função sexual), o aumento foi de 3,6 contra 1,9 pontos. Uma análise posterior definiu a partir de qual mudança um efeito é considerado clinicamente relevante; esses limiares foram então adotados nos estudos de fase 3</w:t>
      </w:r>
      <w:r>
        <w:rPr>
          <w:rStyle w:val="FootnoteReference"/>
        </w:rPr>
        <w:footnoteReference w:id="1980"/>
      </w:r>
      <w:r>
        <w:t xml:space="preserve">.</w:t>
      </w:r>
    </w:p>
    <w:bookmarkEnd w:id="1981"/>
    <w:bookmarkStart w:id="1985" w:name="os-estudos-de-aprovação-reconnect"/>
    <w:p>
      <w:pPr>
        <w:pStyle w:val="Heading4"/>
      </w:pPr>
      <w:r>
        <w:t xml:space="preserve">Os estudos de aprovação RECONNECT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RECONNECT 301 e 302 (Kingsberg 2019), PMID 31599840</w:t>
            </w:r>
          </w:p>
        </w:tc>
        <w:tc>
          <w:tcPr/>
          <w:p>
            <w:pPr>
              <w:pStyle w:val="Compact"/>
              <w:jc w:val="left"/>
            </w:pPr>
            <w:r>
              <w:t xml:space="preserve">1.267 mulheres na pré-menopausa com HSDD, dois ECRs contra placebo, uso conforme a necessidade</w:t>
            </w:r>
          </w:p>
        </w:tc>
        <w:tc>
          <w:tcPr/>
          <w:p>
            <w:pPr>
              <w:pStyle w:val="Compact"/>
              <w:jc w:val="left"/>
            </w:pPr>
            <w:r>
              <w:t xml:space="preserve">24 semanas</w:t>
            </w:r>
          </w:p>
        </w:tc>
        <w:tc>
          <w:tcPr/>
          <w:p>
            <w:pPr>
              <w:pStyle w:val="Compact"/>
              <w:jc w:val="left"/>
            </w:pPr>
            <w:r>
              <w:t xml:space="preserve">Desejo (FSFI-Desire) +0,35 ponto a mais que placebo; sofrimento −0,33 ponto mais reduzido</w:t>
            </w:r>
          </w:p>
        </w:tc>
      </w:tr>
      <w:tr>
        <w:tc>
          <w:tcPr/>
          <w:p>
            <w:pPr>
              <w:pStyle w:val="Compact"/>
              <w:jc w:val="left"/>
            </w:pPr>
            <w:r>
              <w:t xml:space="preserve">Extensão aberta (Simon 2019), PMID 31599847</w:t>
            </w:r>
          </w:p>
        </w:tc>
        <w:tc>
          <w:tcPr/>
          <w:p>
            <w:pPr>
              <w:pStyle w:val="Compact"/>
              <w:jc w:val="left"/>
            </w:pPr>
            <w:r>
              <w:t xml:space="preserve">684 mulheres de ambos os estudos, todas com bremelanotida</w:t>
            </w:r>
          </w:p>
        </w:tc>
        <w:tc>
          <w:tcPr/>
          <w:p>
            <w:pPr>
              <w:pStyle w:val="Compact"/>
              <w:jc w:val="left"/>
            </w:pPr>
            <w:r>
              <w:t xml:space="preserve">52 semanas</w:t>
            </w:r>
          </w:p>
        </w:tc>
        <w:tc>
          <w:tcPr/>
          <w:p>
            <w:pPr>
              <w:pStyle w:val="Compact"/>
              <w:jc w:val="left"/>
            </w:pPr>
            <w:r>
              <w:t xml:space="preserve">272 concluíram a extensão; nenhum novo sinal de segurança</w:t>
            </w:r>
          </w:p>
        </w:tc>
      </w:tr>
      <w:tr>
        <w:tc>
          <w:tcPr/>
          <w:p>
            <w:pPr>
              <w:pStyle w:val="Compact"/>
              <w:jc w:val="left"/>
            </w:pPr>
            <w:r>
              <w:t xml:space="preserve">Análise de subgrupos (Simon 2022), PMID 35230162</w:t>
            </w:r>
          </w:p>
        </w:tc>
        <w:tc>
          <w:tcPr/>
          <w:p>
            <w:pPr>
              <w:pStyle w:val="Compact"/>
              <w:jc w:val="left"/>
            </w:pPr>
            <w:r>
              <w:t xml:space="preserve">1.202 mulheres de ambos os estudos</w:t>
            </w:r>
          </w:p>
        </w:tc>
        <w:tc>
          <w:tcPr/>
          <w:p>
            <w:pPr>
              <w:pStyle w:val="Compact"/>
              <w:jc w:val="left"/>
            </w:pPr>
            <w:r>
              <w:t xml:space="preserve">24 semanas</w:t>
            </w:r>
          </w:p>
        </w:tc>
        <w:tc>
          <w:tcPr/>
          <w:p>
            <w:pPr>
              <w:pStyle w:val="Compact"/>
              <w:jc w:val="left"/>
            </w:pPr>
            <w:r>
              <w:t xml:space="preserve">Efeito semelhante em quase todos os subgrupos de idade, peso e hormônios</w:t>
            </w:r>
          </w:p>
        </w:tc>
      </w:tr>
      <w:tr>
        <w:tc>
          <w:tcPr/>
          <w:p>
            <w:pPr>
              <w:pStyle w:val="Compact"/>
              <w:jc w:val="left"/>
            </w:pPr>
            <w:r>
              <w:t xml:space="preserve">Análise de segurança (Clayton 2022), PMID 35147466</w:t>
            </w:r>
          </w:p>
        </w:tc>
        <w:tc>
          <w:tcPr/>
          <w:p>
            <w:pPr>
              <w:pStyle w:val="Compact"/>
              <w:jc w:val="left"/>
            </w:pPr>
            <w:r>
              <w:t xml:space="preserve">cerca de 3.500 pessoas em 43 estudos</w:t>
            </w:r>
          </w:p>
        </w:tc>
        <w:tc>
          <w:tcPr/>
          <w:p>
            <w:pPr>
              <w:pStyle w:val="Compact"/>
              <w:jc w:val="left"/>
            </w:pPr>
            <w:r>
              <w:t xml:space="preserve">até 18 meses</w:t>
            </w:r>
          </w:p>
        </w:tc>
        <w:tc>
          <w:tcPr/>
          <w:p>
            <w:pPr>
              <w:pStyle w:val="Compact"/>
              <w:jc w:val="left"/>
            </w:pPr>
            <w:r>
              <w:t xml:space="preserve">Náusea 40,0% vs. 1,3%, rubor 20,3% vs. 1,3%</w:t>
            </w:r>
          </w:p>
        </w:tc>
      </w:tr>
    </w:tbl>
    <w:p>
      <w:pPr>
        <w:pStyle w:val="BodyText"/>
      </w:pPr>
      <w:r>
        <w:t xml:space="preserve">Os dois estudos idênticos 301 e 302</w:t>
      </w:r>
      <w:r>
        <w:rPr>
          <w:rStyle w:val="FootnoteReference"/>
        </w:rPr>
        <w:footnoteReference w:id="1982"/>
      </w:r>
      <w:r>
        <w:t xml:space="preserve"> </w:t>
      </w:r>
      <w:r>
        <w:t xml:space="preserve">ocorreram em 2015 e 2016, principalmente nos EUA. As participantes aplicavam em si mesmas, conforme a necessidade antes da atividade sexual, 1,75 mg de bremelanotida ou placebo com um autoinjetor. Foram medidos dois desfechos principais: o desejo sexual (domínio Desire do FSFI, escala de 1,2 a 6) e o sofrimento devido ao baixo desejo (uma pergunta isolada do questionário FSDS-DAO, escala de 0 a 4).</w:t>
      </w:r>
    </w:p>
    <w:p>
      <w:pPr>
        <w:pStyle w:val="BodyText"/>
      </w:pPr>
      <w:r>
        <w:t xml:space="preserve">Ambos os estudos atingiram seus objetivos principais. Na análise conjunta, o desejo aumentou 0,35 ponto a mais do que com placebo, e o sofrimento diminuiu 0,33 ponto a mais</w:t>
      </w:r>
      <w:r>
        <w:rPr>
          <w:rStyle w:val="FootnoteReference"/>
        </w:rPr>
        <w:footnoteReference w:id="1983"/>
      </w:r>
      <w:r>
        <w:t xml:space="preserve">. Esses números são estatisticamente inequívocos, mas pequenos: em uma escala até 6, um terço de ponto significa uma diferença modesta. Também com placebo os valores melhoraram claramente – um padrão conhecido na medicina sexual.</w:t>
      </w:r>
    </w:p>
    <w:p>
      <w:pPr>
        <w:pStyle w:val="BodyText"/>
      </w:pPr>
      <w:r>
        <w:t xml:space="preserve">Em entrevistas de saída com 242 participantes que ainda não sabiam o que haviam recebido, as mulheres sob bremelanotida descreveram com mais frequência excitação física e mais desejo; sob placebo, mencionaram mais uma melhor comunicação no relacionamento</w:t>
      </w:r>
      <w:r>
        <w:rPr>
          <w:rStyle w:val="FootnoteReference"/>
        </w:rPr>
        <w:footnoteReference w:id="1984"/>
      </w:r>
      <w:r>
        <w:t xml:space="preserve">.</w:t>
      </w:r>
    </w:p>
    <w:bookmarkEnd w:id="1985"/>
    <w:bookmarkStart w:id="1988" w:name="as-críticas-aos-estudos-de-aprovação"/>
    <w:p>
      <w:pPr>
        <w:pStyle w:val="Heading4"/>
      </w:pPr>
      <w:r>
        <w:t xml:space="preserve">As críticas aos estudos de aprovação</w:t>
      </w:r>
    </w:p>
    <w:p>
      <w:pPr>
        <w:pStyle w:val="FirstParagraph"/>
      </w:pPr>
      <w:r>
        <w:t xml:space="preserve">Uma reanálise independente, baseada nos documentos apresentados à agência reguladora de medicamentos dos EUA, a FDA, chegou a um julgamento geral diferente</w:t>
      </w:r>
      <w:r>
        <w:rPr>
          <w:rStyle w:val="FootnoteReference"/>
        </w:rPr>
        <w:footnoteReference w:id="1986"/>
      </w:r>
      <w:r>
        <w:t xml:space="preserve">. O autor confirma os efeitos pequenos, mas critica o fato de cerca de 73% dos resultados previstos no protocolo do estudo não terem sido publicados. Dois achados faltavam na publicação principal:</w:t>
      </w:r>
    </w:p>
    <w:p>
      <w:pPr>
        <w:numPr>
          <w:ilvl w:val="0"/>
          <w:numId w:val="1252"/>
        </w:numPr>
        <w:pStyle w:val="Compact"/>
      </w:pPr>
      <w:r>
        <w:t xml:space="preserve">As interrupções por efeitos colaterais foram muito mais frequentes com bremelanotida (odds ratio 11,98). Pelos cálculos, cerca de uma em cada seis mulheres tratadas interrompeu o tratamento por efeitos colaterais, o que não teria acontecido com placebo.</w:t>
      </w:r>
    </w:p>
    <w:p>
      <w:pPr>
        <w:numPr>
          <w:ilvl w:val="0"/>
          <w:numId w:val="1252"/>
        </w:numPr>
        <w:pStyle w:val="Compact"/>
      </w:pPr>
      <w:r>
        <w:t xml:space="preserve">Quem concluiu o estudo e depois passou para a extensão aberta vinha com mais frequência do grupo placebo. A análise de segurança do fabricante também cita esses números: 70% do grupo bremelanotida, contra 87% do grupo placebo, passaram para a extensão</w:t>
      </w:r>
      <w:r>
        <w:rPr>
          <w:rStyle w:val="FootnoteReference"/>
        </w:rPr>
        <w:footnoteReference w:id="1987"/>
      </w:r>
      <w:r>
        <w:t xml:space="preserve">.</w:t>
      </w:r>
    </w:p>
    <w:p>
      <w:pPr>
        <w:pStyle w:val="FirstParagraph"/>
      </w:pPr>
      <w:r>
        <w:t xml:space="preserve">Spielmans conclui que o medicamento não é útil para a maioria das mulheres. Trata-se de uma opinião individual incisiva, mas baseada em dados que o próprio fabricante também publicou.</w:t>
      </w:r>
    </w:p>
    <w:bookmarkEnd w:id="1988"/>
    <w:bookmarkStart w:id="1992" w:name="metanálises-1"/>
    <w:p>
      <w:pPr>
        <w:pStyle w:val="Heading4"/>
      </w:pPr>
      <w:r>
        <w:t xml:space="preserve">Metanálises</w:t>
      </w:r>
    </w:p>
    <w:p>
      <w:pPr>
        <w:pStyle w:val="FirstParagraph"/>
      </w:pPr>
      <w:r>
        <w:t xml:space="preserve">Uma metanálise sobre medicamentos contra disfunções sexuais femininas (entre eles bremelanotida, flibanserina e ocitocina intranasal) constatou que cerca de 67,7% da melhora nos grupos de tratamento também ocorria com placebo</w:t>
      </w:r>
      <w:r>
        <w:rPr>
          <w:rStyle w:val="FootnoteReference"/>
        </w:rPr>
        <w:footnoteReference w:id="1989"/>
      </w:r>
      <w:r>
        <w:t xml:space="preserve">. Uma metanálise mais recente confirma, para a bremelanotida, pequenas melhoras no desejo e na excitação e uma redução do sofrimento, sem comparação com psicoterapia</w:t>
      </w:r>
      <w:r>
        <w:rPr>
          <w:rStyle w:val="FootnoteReference"/>
        </w:rPr>
        <w:footnoteReference w:id="1990"/>
      </w:r>
      <w:r>
        <w:t xml:space="preserve">. Uma revisão dos estudos concluídos registrados no ClinicalTrials.gov critica desfechos heterogêneos e relatos incompletos</w:t>
      </w:r>
      <w:r>
        <w:rPr>
          <w:rStyle w:val="FootnoteReference"/>
        </w:rPr>
        <w:footnoteReference w:id="1991"/>
      </w:r>
      <w:r>
        <w:t xml:space="preserve">.</w:t>
      </w:r>
    </w:p>
    <w:bookmarkEnd w:id="1992"/>
    <w:bookmarkStart w:id="1996" w:name="outras-questões"/>
    <w:p>
      <w:pPr>
        <w:pStyle w:val="Heading4"/>
      </w:pPr>
      <w:r>
        <w:t xml:space="preserve">Outras questões</w:t>
      </w:r>
    </w:p>
    <w:p>
      <w:pPr>
        <w:numPr>
          <w:ilvl w:val="0"/>
          <w:numId w:val="1253"/>
        </w:numPr>
        <w:pStyle w:val="Compact"/>
      </w:pPr>
      <w:r>
        <w:rPr>
          <w:bCs/>
          <w:b/>
        </w:rPr>
        <w:t xml:space="preserve">Álcool:</w:t>
      </w:r>
      <w:r>
        <w:t xml:space="preserve"> </w:t>
      </w:r>
      <w:r>
        <w:t xml:space="preserve">em um estudo de fase 1 com 24 pessoas saudáveis, não ocorreram interações relevantes com o consumo simultâneo de álcool</w:t>
      </w:r>
      <w:r>
        <w:rPr>
          <w:rStyle w:val="FootnoteReference"/>
        </w:rPr>
        <w:footnoteReference w:id="1993"/>
      </w:r>
      <w:r>
        <w:t xml:space="preserve">.</w:t>
      </w:r>
    </w:p>
    <w:p>
      <w:pPr>
        <w:numPr>
          <w:ilvl w:val="0"/>
          <w:numId w:val="1253"/>
        </w:numPr>
        <w:pStyle w:val="Compact"/>
      </w:pPr>
      <w:r>
        <w:rPr>
          <w:bCs/>
          <w:b/>
        </w:rPr>
        <w:t xml:space="preserve">Peso:</w:t>
      </w:r>
      <w:r>
        <w:t xml:space="preserve"> </w:t>
      </w:r>
      <w:r>
        <w:t xml:space="preserve">como o MC4R também controla o apetite, a bremelanotida foi testada em mulheres com obesidade. Em dois pequenos estudos de fase 1, a ingestão calórica caiu cerca de 400 kcal por dia; após 16 dias, o peso estava 1,3 kg abaixo do grupo placebo</w:t>
      </w:r>
      <w:r>
        <w:rPr>
          <w:rStyle w:val="FootnoteReference"/>
        </w:rPr>
        <w:footnoteReference w:id="1994"/>
      </w:r>
      <w:r>
        <w:t xml:space="preserve">. São dados de curto prazo, sem conclusão sobre um tratamento contínuo.</w:t>
      </w:r>
    </w:p>
    <w:p>
      <w:pPr>
        <w:numPr>
          <w:ilvl w:val="0"/>
          <w:numId w:val="1253"/>
        </w:numPr>
        <w:pStyle w:val="Compact"/>
      </w:pPr>
      <w:r>
        <w:rPr>
          <w:bCs/>
          <w:b/>
        </w:rPr>
        <w:t xml:space="preserve">Cérebro:</w:t>
      </w:r>
      <w:r>
        <w:t xml:space="preserve"> </w:t>
      </w:r>
      <w:r>
        <w:t xml:space="preserve">o estudo de RMf já mencionado</w:t>
      </w:r>
      <w:r>
        <w:rPr>
          <w:rStyle w:val="FootnoteReference"/>
        </w:rPr>
        <w:footnoteReference w:id="1995"/>
      </w:r>
      <w:r>
        <w:t xml:space="preserve"> </w:t>
      </w:r>
      <w:r>
        <w:t xml:space="preserve">é um dos poucos trabalhos não conduzidos pelo fabricante.</w:t>
      </w:r>
    </w:p>
    <w:bookmarkEnd w:id="1996"/>
    <w:bookmarkEnd w:id="1997"/>
    <w:bookmarkStart w:id="2001" w:name="estudos-em-animais-e-em-laboratório-46"/>
    <w:p>
      <w:pPr>
        <w:pStyle w:val="Heading3"/>
      </w:pPr>
      <w:r>
        <w:t xml:space="preserve">Estudos em animais e em laboratório</w:t>
      </w:r>
    </w:p>
    <w:p>
      <w:pPr>
        <w:pStyle w:val="FirstParagraph"/>
      </w:pPr>
      <w:r>
        <w:t xml:space="preserve">A pesquisa em animais sobre a bremelanotida provém principalmente de ratos. Uma revisão a resume assim: a bremelanotida ativa o MC4R em neurônios do hipotálamo, que então liberam mais dopamina; em ratas, aumentou o comportamento com o qual as fêmeas demonstram interesse sexual</w:t>
      </w:r>
      <w:r>
        <w:rPr>
          <w:rStyle w:val="FootnoteReference"/>
        </w:rPr>
        <w:footnoteReference w:id="1998"/>
      </w:r>
      <w:r>
        <w:t xml:space="preserve">. A revisão é de pesquisadores ligados ao desenvolvimento do medicamento.</w:t>
      </w:r>
    </w:p>
    <w:p>
      <w:pPr>
        <w:pStyle w:val="BodyText"/>
      </w:pPr>
      <w:r>
        <w:t xml:space="preserve">Um estudo independente em hamsters fêmeas chegou a um resultado decepcionante: a bremelanotida não alterou os receptores do sistema de recompensa nem reforçou o</w:t>
      </w:r>
      <w:r>
        <w:t xml:space="preserve"> </w:t>
      </w:r>
      <w:r>
        <w:t xml:space="preserve">“</w:t>
      </w:r>
      <w:r>
        <w:t xml:space="preserve">valor de recompensa</w:t>
      </w:r>
      <w:r>
        <w:t xml:space="preserve">”</w:t>
      </w:r>
      <w:r>
        <w:t xml:space="preserve"> </w:t>
      </w:r>
      <w:r>
        <w:t xml:space="preserve">de encontros sexuais em um teste comportamental</w:t>
      </w:r>
      <w:r>
        <w:rPr>
          <w:rStyle w:val="FootnoteReference"/>
        </w:rPr>
        <w:footnoteReference w:id="1999"/>
      </w:r>
      <w:r>
        <w:t xml:space="preserve">. As autoras e os autores concluem que o medicamento não atua pelo circuito clássico de recompensa. Como exatamente ele age continua, portanto, em aberto.</w:t>
      </w:r>
    </w:p>
    <w:p>
      <w:pPr>
        <w:pStyle w:val="BodyText"/>
      </w:pPr>
      <w:r>
        <w:t xml:space="preserve">Em culturas de células, a bremelanotida inibiu o crescimento de células de glioblastoma, um tipo de tumor cerebral</w:t>
      </w:r>
      <w:r>
        <w:rPr>
          <w:rStyle w:val="FootnoteReference"/>
        </w:rPr>
        <w:footnoteReference w:id="2000"/>
      </w:r>
      <w:r>
        <w:t xml:space="preserve">. Trata-se de um achado puramente laboratorial, sem significado clínico.</w:t>
      </w:r>
    </w:p>
    <w:bookmarkEnd w:id="2001"/>
    <w:bookmarkStart w:id="2012" w:name="riscos-e-efeitos-colaterais-46"/>
    <w:p>
      <w:pPr>
        <w:pStyle w:val="Heading3"/>
      </w:pPr>
      <w:r>
        <w:t xml:space="preserve">Riscos e efeitos colaterais</w:t>
      </w:r>
    </w:p>
    <w:bookmarkStart w:id="2007" w:name="comprovados-7"/>
    <w:p>
      <w:pPr>
        <w:pStyle w:val="Heading4"/>
      </w:pPr>
      <w:r>
        <w:t xml:space="preserve">Comprovados</w:t>
      </w:r>
    </w:p>
    <w:p>
      <w:pPr>
        <w:numPr>
          <w:ilvl w:val="0"/>
          <w:numId w:val="1254"/>
        </w:numPr>
        <w:pStyle w:val="Compact"/>
      </w:pPr>
      <w:r>
        <w:rPr>
          <w:bCs/>
          <w:b/>
        </w:rPr>
        <w:t xml:space="preserve">Náusea:</w:t>
      </w:r>
      <w:r>
        <w:t xml:space="preserve"> </w:t>
      </w:r>
      <w:r>
        <w:t xml:space="preserve">o efeito colateral mais frequente. Nos estudos de fase 3, afetou 40,0%, contra 1,3% com placebo, e foi o motivo de interrupção mais frequente</w:t>
      </w:r>
      <w:r>
        <w:rPr>
          <w:rStyle w:val="FootnoteReference"/>
        </w:rPr>
        <w:footnoteReference w:id="2002"/>
      </w:r>
      <w:r>
        <w:t xml:space="preserve">. Um estudo próprio com 228 mulheres saudáveis testou se o antiemético ondansetrona ajuda de forma preventiva</w:t>
      </w:r>
      <w:r>
        <w:rPr>
          <w:rStyle w:val="FootnoteReference"/>
        </w:rPr>
        <w:footnoteReference w:id="2003"/>
      </w:r>
      <w:r>
        <w:t xml:space="preserve">.</w:t>
      </w:r>
    </w:p>
    <w:p>
      <w:pPr>
        <w:numPr>
          <w:ilvl w:val="0"/>
          <w:numId w:val="1254"/>
        </w:numPr>
        <w:pStyle w:val="Compact"/>
      </w:pPr>
      <w:r>
        <w:rPr>
          <w:bCs/>
          <w:b/>
        </w:rPr>
        <w:t xml:space="preserve">Rubor (flushing)</w:t>
      </w:r>
      <w:r>
        <w:t xml:space="preserve"> </w:t>
      </w:r>
      <w:r>
        <w:t xml:space="preserve">em 20,3%,</w:t>
      </w:r>
      <w:r>
        <w:t xml:space="preserve"> </w:t>
      </w:r>
      <w:r>
        <w:rPr>
          <w:bCs/>
          <w:b/>
        </w:rPr>
        <w:t xml:space="preserve">dor de cabeça</w:t>
      </w:r>
      <w:r>
        <w:t xml:space="preserve"> </w:t>
      </w:r>
      <w:r>
        <w:t xml:space="preserve">em 11,3%,</w:t>
      </w:r>
      <w:r>
        <w:t xml:space="preserve"> </w:t>
      </w:r>
      <w:r>
        <w:rPr>
          <w:bCs/>
          <w:b/>
        </w:rPr>
        <w:t xml:space="preserve">reações no local da injeção</w:t>
      </w:r>
      <w:r>
        <w:t xml:space="preserve"> </w:t>
      </w:r>
      <w:r>
        <w:t xml:space="preserve">em 5,4% (contra 1,3%, 1,9% e 0,5% com placebo).</w:t>
      </w:r>
    </w:p>
    <w:p>
      <w:pPr>
        <w:numPr>
          <w:ilvl w:val="0"/>
          <w:numId w:val="1254"/>
        </w:numPr>
        <w:pStyle w:val="Compact"/>
      </w:pPr>
      <w:r>
        <w:rPr>
          <w:bCs/>
          <w:b/>
        </w:rPr>
        <w:t xml:space="preserve">Pressão arterial:</w:t>
      </w:r>
      <w:r>
        <w:t xml:space="preserve"> </w:t>
      </w:r>
      <w:r>
        <w:t xml:space="preserve">em um estudo com medição de 24 horas em 397 mulheres, a pressão sistólica subiu temporariamente 2,4 a 3,2 mmHg após a administração; os picos duraram geralmente menos de 15 minutos. Ao mesmo tempo, a frequência cardíaca caiu cerca de 4,6 batimentos por minuto</w:t>
      </w:r>
      <w:r>
        <w:rPr>
          <w:rStyle w:val="FootnoteReference"/>
        </w:rPr>
        <w:footnoteReference w:id="2004"/>
      </w:r>
      <w:r>
        <w:t xml:space="preserve">. Por isso, a bula desaconselha o uso em caso de hipertensão não controlada ou doença cardiovascular conhecida.</w:t>
      </w:r>
    </w:p>
    <w:p>
      <w:pPr>
        <w:numPr>
          <w:ilvl w:val="0"/>
          <w:numId w:val="1254"/>
        </w:numPr>
        <w:pStyle w:val="Compact"/>
      </w:pPr>
      <w:r>
        <w:rPr>
          <w:bCs/>
          <w:b/>
        </w:rPr>
        <w:t xml:space="preserve">Manchas pigmentares:</w:t>
      </w:r>
      <w:r>
        <w:t xml:space="preserve"> </w:t>
      </w:r>
      <w:r>
        <w:t xml:space="preserve">raras quando usada conforme a bula. Porém, quando a bremelanotida foi administrada em até 16 dias consecutivos, mais de um terço dos participantes desenvolveu manchas escuras circunscritas</w:t>
      </w:r>
      <w:r>
        <w:rPr>
          <w:rStyle w:val="FootnoteReference"/>
        </w:rPr>
        <w:footnoteReference w:id="2005"/>
      </w:r>
      <w:r>
        <w:t xml:space="preserve"> </w:t>
      </w:r>
      <w:r>
        <w:t xml:space="preserve">– um indício do efeito residual no receptor de pigmento.</w:t>
      </w:r>
    </w:p>
    <w:p>
      <w:pPr>
        <w:numPr>
          <w:ilvl w:val="0"/>
          <w:numId w:val="1254"/>
        </w:numPr>
        <w:pStyle w:val="Compact"/>
      </w:pPr>
      <w:r>
        <w:rPr>
          <w:bCs/>
          <w:b/>
        </w:rPr>
        <w:t xml:space="preserve">Interações:</w:t>
      </w:r>
      <w:r>
        <w:t xml:space="preserve"> </w:t>
      </w:r>
      <w:r>
        <w:t xml:space="preserve">a bremelanotida retarda brevemente o esvaziamento gástrico e, em estudos, reduziu os níveis sanguíneos de indometacina e naltrexona</w:t>
      </w:r>
      <w:r>
        <w:rPr>
          <w:rStyle w:val="FootnoteReference"/>
        </w:rPr>
        <w:footnoteReference w:id="2006"/>
      </w:r>
      <w:r>
        <w:t xml:space="preserve">.</w:t>
      </w:r>
    </w:p>
    <w:bookmarkEnd w:id="2007"/>
    <w:bookmarkStart w:id="2009" w:name="em-aberto"/>
    <w:p>
      <w:pPr>
        <w:pStyle w:val="Heading4"/>
      </w:pPr>
      <w:r>
        <w:t xml:space="preserve">Em aberto</w:t>
      </w:r>
    </w:p>
    <w:p>
      <w:pPr>
        <w:pStyle w:val="FirstParagraph"/>
      </w:pPr>
      <w:r>
        <w:t xml:space="preserve">Para a gravidez, não há dados suficientes. Um pequeno estudo mede atualmente a passagem para o leite materno</w:t>
      </w:r>
      <w:r>
        <w:rPr>
          <w:rStyle w:val="FootnoteReference"/>
        </w:rPr>
        <w:footnoteReference w:id="2008"/>
      </w:r>
      <w:r>
        <w:t xml:space="preserve">. Faltam dados de longo prazo além de 18 meses.</w:t>
      </w:r>
    </w:p>
    <w:bookmarkEnd w:id="2009"/>
    <w:bookmarkStart w:id="2011" w:name="mercado-cinza-1"/>
    <w:p>
      <w:pPr>
        <w:pStyle w:val="Heading4"/>
      </w:pPr>
      <w:r>
        <w:t xml:space="preserve">Mercado cinza</w:t>
      </w:r>
    </w:p>
    <w:p>
      <w:pPr>
        <w:pStyle w:val="FirstParagraph"/>
      </w:pPr>
      <w:r>
        <w:t xml:space="preserve">Com o nome</w:t>
      </w:r>
      <w:r>
        <w:t xml:space="preserve"> </w:t>
      </w:r>
      <w:r>
        <w:t xml:space="preserve">“</w:t>
      </w:r>
      <w:r>
        <w:t xml:space="preserve">PT-141</w:t>
      </w:r>
      <w:r>
        <w:t xml:space="preserve">”</w:t>
      </w:r>
      <w:r>
        <w:t xml:space="preserve">, a bremelanotida é oferecida na internet como pó para autoinjeção, frequentemente ao lado do melanotan II. Laboratórios forenses identificaram ambas as substâncias em amostras apreendidas pela polícia no meio do fisiculturismo</w:t>
      </w:r>
      <w:r>
        <w:rPr>
          <w:rStyle w:val="FootnoteReference"/>
        </w:rPr>
        <w:footnoteReference w:id="2010"/>
      </w:r>
      <w:r>
        <w:t xml:space="preserve">. Para esses produtos valem os mesmos riscos de outros peptídeos do mercado cinza (Parte I, capítulo</w:t>
      </w:r>
      <w:r>
        <w:t xml:space="preserve"> </w:t>
      </w:r>
      <w:r>
        <w:t xml:space="preserve">“</w:t>
      </w:r>
      <w:r>
        <w:t xml:space="preserve">O mercado cinza</w:t>
      </w:r>
      <w:r>
        <w:t xml:space="preserve">”</w:t>
      </w:r>
      <w:r>
        <w:t xml:space="preserve">): pureza desconhecida, quantidades erradas, contaminações, fabricação não estéril. Sabe-se do spray nasal de bremelanotida que ele agia mais fortemente sobre a pressão arterial; sprays do mercado cinza não são testados.</w:t>
      </w:r>
    </w:p>
    <w:bookmarkEnd w:id="2011"/>
    <w:bookmarkEnd w:id="2012"/>
    <w:bookmarkStart w:id="2014" w:name="situação-legal-46"/>
    <w:p>
      <w:pPr>
        <w:pStyle w:val="Heading3"/>
      </w:pPr>
      <w:r>
        <w:t xml:space="preserve">Situação legal</w:t>
      </w:r>
    </w:p>
    <w:p>
      <w:pPr>
        <w:pStyle w:val="FirstParagraph"/>
      </w:pPr>
      <w:r>
        <w:rPr>
          <w:iCs/>
          <w:i/>
        </w:rPr>
        <w:t xml:space="preserve">Situação em 2026, verificar atualização.</w:t>
      </w:r>
    </w:p>
    <w:p>
      <w:pPr>
        <w:numPr>
          <w:ilvl w:val="0"/>
          <w:numId w:val="1255"/>
        </w:numPr>
        <w:pStyle w:val="Compact"/>
      </w:pPr>
      <w:r>
        <w:rPr>
          <w:bCs/>
          <w:b/>
        </w:rPr>
        <w:t xml:space="preserve">UE:</w:t>
      </w:r>
      <w:r>
        <w:t xml:space="preserve"> </w:t>
      </w:r>
      <w:r>
        <w:t xml:space="preserve">nenhuma aprovação, e não se conhece nenhum processo de aprovação em andamento. A venda para uso em humanos não é permitida na UE.</w:t>
      </w:r>
    </w:p>
    <w:p>
      <w:pPr>
        <w:numPr>
          <w:ilvl w:val="0"/>
          <w:numId w:val="1255"/>
        </w:numPr>
        <w:pStyle w:val="Compact"/>
      </w:pPr>
      <w:r>
        <w:rPr>
          <w:bCs/>
          <w:b/>
        </w:rPr>
        <w:t xml:space="preserve">Alemanha e Áustria:</w:t>
      </w:r>
      <w:r>
        <w:t xml:space="preserve"> </w:t>
      </w:r>
      <w:r>
        <w:t xml:space="preserve">nenhuma aprovação. A importação individual de um medicamento aprovado nos EUA mediante prescrição médica é juridicamente possível de forma muito restrita; produtos do mercado cinza não se enquadram nisso.</w:t>
      </w:r>
    </w:p>
    <w:p>
      <w:pPr>
        <w:numPr>
          <w:ilvl w:val="0"/>
          <w:numId w:val="1255"/>
        </w:numPr>
        <w:pStyle w:val="Compact"/>
      </w:pPr>
      <w:r>
        <w:rPr>
          <w:bCs/>
          <w:b/>
        </w:rPr>
        <w:t xml:space="preserve">EUA:</w:t>
      </w:r>
      <w:r>
        <w:t xml:space="preserve"> </w:t>
      </w:r>
      <w:r>
        <w:t xml:space="preserve">aprovada desde junho de 2019 (Vyleesi) para mulheres na pré-menopausa com HSDD adquirido e generalizado. Não aprovada para homens, para mulheres na pós-menopausa nem para aumentar o desejo em pessoas saudáveis. Os direitos de comercialização mudaram várias vezes; segundo os registros, a responsável hoje é a empresa Cosette Pharmaceuticals.</w:t>
      </w:r>
    </w:p>
    <w:p>
      <w:pPr>
        <w:numPr>
          <w:ilvl w:val="0"/>
          <w:numId w:val="1255"/>
        </w:numPr>
        <w:pStyle w:val="Compact"/>
      </w:pPr>
      <w:r>
        <w:rPr>
          <w:bCs/>
          <w:b/>
        </w:rPr>
        <w:t xml:space="preserve">Outros países:</w:t>
      </w:r>
      <w:r>
        <w:t xml:space="preserve"> </w:t>
      </w:r>
      <w:r>
        <w:t xml:space="preserve">na Coreia do Sul, foi realizado um estudo-ponte com 193 mulheres para uma aprovação no país</w:t>
      </w:r>
      <w:r>
        <w:rPr>
          <w:rStyle w:val="FootnoteReference"/>
        </w:rPr>
        <w:footnoteReference w:id="2013"/>
      </w:r>
      <w:r>
        <w:t xml:space="preserve">.</w:t>
      </w:r>
    </w:p>
    <w:p>
      <w:pPr>
        <w:numPr>
          <w:ilvl w:val="0"/>
          <w:numId w:val="1255"/>
        </w:numPr>
        <w:pStyle w:val="Compact"/>
      </w:pPr>
      <w:r>
        <w:rPr>
          <w:bCs/>
          <w:b/>
        </w:rPr>
        <w:t xml:space="preserve">WADA:</w:t>
      </w:r>
      <w:r>
        <w:t xml:space="preserve"> </w:t>
      </w:r>
      <w:r>
        <w:t xml:space="preserve">não listada nominalmente. Verifique a lista de proibições atual.</w:t>
      </w:r>
    </w:p>
    <w:bookmarkEnd w:id="2014"/>
    <w:bookmarkStart w:id="2018" w:name="estudos-em-andamento-e-perspectivas-46"/>
    <w:p>
      <w:pPr>
        <w:pStyle w:val="Heading3"/>
      </w:pPr>
      <w:r>
        <w:t xml:space="preserve">Estudos em andamento e perspectivas</w:t>
      </w:r>
    </w:p>
    <w:p>
      <w:pPr>
        <w:pStyle w:val="FirstParagraph"/>
      </w:pPr>
      <w:r>
        <w:rPr>
          <w:bCs/>
          <w:b/>
        </w:rPr>
        <w:t xml:space="preserve">Confirmado (estudos registrados):</w:t>
      </w:r>
    </w:p>
    <w:p>
      <w:pPr>
        <w:numPr>
          <w:ilvl w:val="0"/>
          <w:numId w:val="1256"/>
        </w:numPr>
        <w:pStyle w:val="Compact"/>
      </w:pPr>
      <w:r>
        <w:t xml:space="preserve">Um estudo de fase 2 com 108 pessoas testa a bremelanotida em associação com a tirzepatida na obesidade</w:t>
      </w:r>
      <w:r>
        <w:rPr>
          <w:rStyle w:val="FootnoteReference"/>
        </w:rPr>
        <w:footnoteReference w:id="2015"/>
      </w:r>
      <w:r>
        <w:t xml:space="preserve">. O pano de fundo é o efeito redutor do apetite via MC4R. Resultados publicados e revisados por pares não estavam disponíveis no PubMed no fechamento desta edição.</w:t>
      </w:r>
    </w:p>
    <w:p>
      <w:pPr>
        <w:numPr>
          <w:ilvl w:val="0"/>
          <w:numId w:val="1256"/>
        </w:numPr>
        <w:pStyle w:val="Compact"/>
      </w:pPr>
      <w:r>
        <w:t xml:space="preserve">Um pequeno estudo aberto de fase 2 com 16 pessoas com doença renal diabética foi concluído</w:t>
      </w:r>
      <w:r>
        <w:rPr>
          <w:rStyle w:val="FootnoteReference"/>
        </w:rPr>
        <w:footnoteReference w:id="2016"/>
      </w:r>
      <w:r>
        <w:t xml:space="preserve">, também sem resultado publicado no PubMed.</w:t>
      </w:r>
    </w:p>
    <w:p>
      <w:pPr>
        <w:numPr>
          <w:ilvl w:val="0"/>
          <w:numId w:val="1256"/>
        </w:numPr>
        <w:pStyle w:val="Compact"/>
      </w:pPr>
      <w:r>
        <w:t xml:space="preserve">O estudo de amamentação</w:t>
      </w:r>
      <w:r>
        <w:rPr>
          <w:rStyle w:val="FootnoteReference"/>
        </w:rPr>
        <w:footnoteReference w:id="2017"/>
      </w:r>
      <w:r>
        <w:t xml:space="preserve">, com 10 mulheres, foi concluído em 2025.</w:t>
      </w:r>
    </w:p>
    <w:p>
      <w:pPr>
        <w:pStyle w:val="FirstParagraph"/>
      </w:pPr>
      <w:r>
        <w:rPr>
          <w:bCs/>
          <w:b/>
        </w:rPr>
        <w:t xml:space="preserve">Avaliação do autor:</w:t>
      </w:r>
      <w:r>
        <w:t xml:space="preserve"> </w:t>
      </w:r>
      <w:r>
        <w:t xml:space="preserve">para a aprovação na Europa, falta, segundo o conhecimento atual, interesse econômico; não se conhece nenhum pedido. Mais interessante é o papel do MC4R na pesquisa sobre obesidade, onde, com a setmelanotida (capítulo na Parte II · A), já existe um agonista de MC4R aprovado para formas genéticas raras. Se a bremelanotida encontrará um nicho aqui depende dos resultados de estudos ainda pendentes.</w:t>
      </w:r>
    </w:p>
    <w:bookmarkEnd w:id="2018"/>
    <w:bookmarkStart w:id="2019" w:name="conclusão-46"/>
    <w:p>
      <w:pPr>
        <w:pStyle w:val="Heading3"/>
      </w:pPr>
      <w:r>
        <w:t xml:space="preserve">Conclusão</w:t>
      </w:r>
    </w:p>
    <w:p>
      <w:pPr>
        <w:pStyle w:val="FirstParagraph"/>
      </w:pPr>
      <w:r>
        <w:t xml:space="preserve">A bremelanotida é o único medicamento aprovado que visa ao desejo sexual por meio do sistema das melanocortinas no cérebro – porém apenas nos EUA e apenas para um grupo restrito de mulheres. Em dois grandes estudos de fase 3, o desejo e o sofrimento melhoraram de forma estatisticamente inequívoca, mas em pequena medida e com grande efeito placebo. A náusea atinge quase metade das usuárias e leva frequentemente à interrupção; aumentos breves da pressão arterial exigem cautela em caso de risco cardiovascular. Produtos do mercado cinza com o nome</w:t>
      </w:r>
      <w:r>
        <w:t xml:space="preserve"> </w:t>
      </w:r>
      <w:r>
        <w:t xml:space="preserve">“</w:t>
      </w:r>
      <w:r>
        <w:t xml:space="preserve">PT-141</w:t>
      </w:r>
      <w:r>
        <w:t xml:space="preserve">”</w:t>
      </w:r>
      <w:r>
        <w:t xml:space="preserve"> </w:t>
      </w:r>
      <w:r>
        <w:t xml:space="preserve">não são testados, e para homens ou pessoas sem diagnóstico falta qualquer evidência suficiente para aprovação.</w:t>
      </w:r>
    </w:p>
    <w:bookmarkEnd w:id="2019"/>
    <w:bookmarkEnd w:id="2020"/>
    <w:bookmarkStart w:id="2075" w:name="melanotan-ii"/>
    <w:p>
      <w:pPr>
        <w:pStyle w:val="Heading2"/>
      </w:pPr>
      <w:r>
        <w:t xml:space="preserve">Melanotan II</w:t>
      </w:r>
    </w:p>
    <w:bookmarkStart w:id="2023" w:name="ficha-técnica-47"/>
    <w:p>
      <w:pPr>
        <w:pStyle w:val="Heading3"/>
      </w:pPr>
      <w:r>
        <w:t xml:space="preserve">Ficha técnica</w:t>
      </w:r>
    </w:p>
    <w:p>
      <w:pPr>
        <w:numPr>
          <w:ilvl w:val="0"/>
          <w:numId w:val="1257"/>
        </w:numPr>
        <w:pStyle w:val="Compact"/>
      </w:pPr>
      <w:r>
        <w:rPr>
          <w:bCs/>
          <w:b/>
        </w:rPr>
        <w:t xml:space="preserve">Tipo/estrutura:</w:t>
      </w:r>
      <w:r>
        <w:t xml:space="preserve"> </w:t>
      </w:r>
      <w:r>
        <w:t xml:space="preserve">peptídeo em forma de anel (cíclico) de sete aminoácidos, uma variante encurtada e quimicamente estabilizada do hormônio endógeno alfa-MSH. A estrutura em anel protege contra a degradação rápida e torna a molécula muito mais potente que o modelo natural</w:t>
      </w:r>
      <w:r>
        <w:rPr>
          <w:rStyle w:val="FootnoteReference"/>
        </w:rPr>
        <w:footnoteReference w:id="2021"/>
      </w:r>
      <w:r>
        <w:t xml:space="preserve">.</w:t>
      </w:r>
    </w:p>
    <w:p>
      <w:pPr>
        <w:numPr>
          <w:ilvl w:val="0"/>
          <w:numId w:val="1257"/>
        </w:numPr>
        <w:pStyle w:val="Compact"/>
      </w:pPr>
      <w:r>
        <w:rPr>
          <w:bCs/>
          <w:b/>
        </w:rPr>
        <w:t xml:space="preserve">Origem:</w:t>
      </w:r>
      <w:r>
        <w:t xml:space="preserve"> </w:t>
      </w:r>
      <w:r>
        <w:t xml:space="preserve">desenvolvido no fim da década de 1980 e no início da de 1990 na Universidade do Arizona, em Tucson, originalmente com o objetivo de produzir um bronzeamento sem sol e assim prevenir o câncer de pele</w:t>
      </w:r>
      <w:r>
        <w:rPr>
          <w:rStyle w:val="FootnoteReference"/>
        </w:rPr>
        <w:footnoteReference w:id="2022"/>
      </w:r>
      <w:r>
        <w:t xml:space="preserve">.</w:t>
      </w:r>
    </w:p>
    <w:p>
      <w:pPr>
        <w:numPr>
          <w:ilvl w:val="0"/>
          <w:numId w:val="1257"/>
        </w:numPr>
        <w:pStyle w:val="Compact"/>
      </w:pPr>
      <w:r>
        <w:rPr>
          <w:bCs/>
          <w:b/>
        </w:rPr>
        <w:t xml:space="preserve">Mecanismo de ação:</w:t>
      </w:r>
      <w:r>
        <w:t xml:space="preserve"> </w:t>
      </w:r>
      <w:r>
        <w:t xml:space="preserve">agonista não seletivo dos receptores de melanocortina: MC1R (formação de pigmento na pele), MC3R e MC4R (apetite, função sexual) e outros.</w:t>
      </w:r>
    </w:p>
    <w:p>
      <w:pPr>
        <w:numPr>
          <w:ilvl w:val="0"/>
          <w:numId w:val="1257"/>
        </w:numPr>
        <w:pStyle w:val="Compact"/>
      </w:pPr>
      <w:r>
        <w:rPr>
          <w:bCs/>
          <w:b/>
        </w:rPr>
        <w:t xml:space="preserve">Aprovação na UE:</w:t>
      </w:r>
      <w:r>
        <w:t xml:space="preserve"> </w:t>
      </w:r>
      <w:r>
        <w:t xml:space="preserve">não.</w:t>
      </w:r>
    </w:p>
    <w:p>
      <w:pPr>
        <w:numPr>
          <w:ilvl w:val="0"/>
          <w:numId w:val="1257"/>
        </w:numPr>
        <w:pStyle w:val="Compact"/>
      </w:pPr>
      <w:r>
        <w:rPr>
          <w:bCs/>
          <w:b/>
        </w:rPr>
        <w:t xml:space="preserve">Aprovação nos EUA:</w:t>
      </w:r>
      <w:r>
        <w:t xml:space="preserve"> </w:t>
      </w:r>
      <w:r>
        <w:t xml:space="preserve">não.</w:t>
      </w:r>
    </w:p>
    <w:p>
      <w:pPr>
        <w:numPr>
          <w:ilvl w:val="0"/>
          <w:numId w:val="1257"/>
        </w:numPr>
        <w:pStyle w:val="Compact"/>
      </w:pPr>
      <w:r>
        <w:rPr>
          <w:bCs/>
          <w:b/>
        </w:rPr>
        <w:t xml:space="preserve">WADA:</w:t>
      </w:r>
      <w:r>
        <w:t xml:space="preserve"> </w:t>
      </w:r>
      <w:r>
        <w:t xml:space="preserve">não citado nominalmente; como princípio ativo não aprovado em lugar nenhum, enquadra-se no grupo S0 (substâncias não aprovadas) e, portanto, é proibido em qualquer momento.</w:t>
      </w:r>
    </w:p>
    <w:p>
      <w:pPr>
        <w:numPr>
          <w:ilvl w:val="0"/>
          <w:numId w:val="1257"/>
        </w:numPr>
        <w:pStyle w:val="Compact"/>
      </w:pPr>
      <w:r>
        <w:rPr>
          <w:bCs/>
          <w:b/>
        </w:rPr>
        <w:t xml:space="preserve">Nível de evidência:</w:t>
      </w:r>
      <w:r>
        <w:t xml:space="preserve"> </w:t>
      </w:r>
      <w:r>
        <w:rPr>
          <w:bCs/>
          <w:b/>
        </w:rPr>
        <w:t xml:space="preserve">C</w:t>
      </w:r>
      <w:r>
        <w:t xml:space="preserve"> </w:t>
      </w:r>
      <w:r>
        <w:t xml:space="preserve">– apenas estudos-piloto muito pequenos da década de 1990, com cerca de duas dúzias de participantes no total, complementados por numerosos relatos de caso sobre efeitos colaterais em autoaplicação sem controle.</w:t>
      </w:r>
    </w:p>
    <w:bookmarkEnd w:id="2023"/>
    <w:bookmarkStart w:id="2025" w:name="como-deveria-agir-47"/>
    <w:p>
      <w:pPr>
        <w:pStyle w:val="Heading3"/>
      </w:pPr>
      <w:r>
        <w:t xml:space="preserve">Como deveria agir</w:t>
      </w:r>
    </w:p>
    <w:p>
      <w:pPr>
        <w:pStyle w:val="FirstParagraph"/>
      </w:pPr>
      <w:r>
        <w:t xml:space="preserve">A pele se bronzeia quando as células pigmentares (melanócitos) produzem mais melanina. O sinal para isso é fornecido, entre outros, pelo hormônio alfa-MSH, que se liga ao receptor MC1R nas células pigmentares. Depois de um banho de sol, a produção de alfa-MSH na pele aumenta, e as células pigmentares passam a produzir a eumelanina, escura e protetora.</w:t>
      </w:r>
    </w:p>
    <w:p>
      <w:pPr>
        <w:pStyle w:val="BodyText"/>
      </w:pPr>
      <w:r>
        <w:t xml:space="preserve">O melanotan II imita esse sinal – sem que a radiação UV precise antes danificar a pele. Essa era a ideia original: um</w:t>
      </w:r>
      <w:r>
        <w:t xml:space="preserve"> </w:t>
      </w:r>
      <w:r>
        <w:t xml:space="preserve">“</w:t>
      </w:r>
      <w:r>
        <w:t xml:space="preserve">bronzeado de seringa</w:t>
      </w:r>
      <w:r>
        <w:t xml:space="preserve">”</w:t>
      </w:r>
      <w:r>
        <w:t xml:space="preserve"> </w:t>
      </w:r>
      <w:r>
        <w:t xml:space="preserve">que protegesse contra queimaduras solares. O problema: o melanotan II não se liga apenas ao MC1R, mas também aos receptores MC3R e MC4R no cérebro. Estes controlam o apetite, o gasto de energia e a excitação sexual. Daí vêm os efeitos concomitantes típicos: náusea, bocejos e espreguiçamento, apetite reduzido e ereções espontâneas.</w:t>
      </w:r>
    </w:p>
    <w:p>
      <w:pPr>
        <w:pStyle w:val="BodyText"/>
      </w:pPr>
      <w:r>
        <w:t xml:space="preserve">Da pesquisa sobre esse</w:t>
      </w:r>
      <w:r>
        <w:t xml:space="preserve"> </w:t>
      </w:r>
      <w:r>
        <w:t xml:space="preserve">“</w:t>
      </w:r>
      <w:r>
        <w:t xml:space="preserve">efeito colateral</w:t>
      </w:r>
      <w:r>
        <w:t xml:space="preserve">”</w:t>
      </w:r>
      <w:r>
        <w:t xml:space="preserve"> </w:t>
      </w:r>
      <w:r>
        <w:t xml:space="preserve">surgiram dois outros princípios ativos que, ao contrário do melanotan II, tiveram desenvolvimento clínico:</w:t>
      </w:r>
    </w:p>
    <w:p>
      <w:pPr>
        <w:numPr>
          <w:ilvl w:val="0"/>
          <w:numId w:val="1258"/>
        </w:numPr>
        <w:pStyle w:val="Compact"/>
      </w:pPr>
      <w:r>
        <w:rPr>
          <w:bCs/>
          <w:b/>
        </w:rPr>
        <w:t xml:space="preserve">A afamelanotida</w:t>
      </w:r>
      <w:r>
        <w:t xml:space="preserve">, antes chamada de melanotan I, é uma molécula linear e mais longa, que age preferencialmente sobre a pele e está aprovada como implante para uma rara doença de sensibilidade à luz (capítulo 2E03).</w:t>
      </w:r>
    </w:p>
    <w:p>
      <w:pPr>
        <w:numPr>
          <w:ilvl w:val="0"/>
          <w:numId w:val="1258"/>
        </w:numPr>
        <w:pStyle w:val="Compact"/>
      </w:pPr>
      <w:r>
        <w:rPr>
          <w:bCs/>
          <w:b/>
        </w:rPr>
        <w:t xml:space="preserve">A bremelanotida</w:t>
      </w:r>
      <w:r>
        <w:t xml:space="preserve"> </w:t>
      </w:r>
      <w:r>
        <w:t xml:space="preserve">(PT-141) é uma forma ligeiramente modificada do melanotan II, aprovada nos EUA para o tratamento do baixo desejo sexual em mulheres (capítulo 2E01).</w:t>
      </w:r>
    </w:p>
    <w:p>
      <w:pPr>
        <w:pStyle w:val="FirstParagraph"/>
      </w:pPr>
      <w:r>
        <w:t xml:space="preserve">Na internet, esses nomes são frequentemente confundidos.</w:t>
      </w:r>
      <w:r>
        <w:t xml:space="preserve"> </w:t>
      </w:r>
      <w:r>
        <w:t xml:space="preserve">“</w:t>
      </w:r>
      <w:r>
        <w:t xml:space="preserve">Melanotan</w:t>
      </w:r>
      <w:r>
        <w:t xml:space="preserve">”</w:t>
      </w:r>
      <w:r>
        <w:t xml:space="preserve"> </w:t>
      </w:r>
      <w:r>
        <w:t xml:space="preserve">sem complemento pode designar, conforme o vendedor, um ou outro – ou algo totalmente diferente</w:t>
      </w:r>
      <w:r>
        <w:rPr>
          <w:rStyle w:val="FootnoteReference"/>
        </w:rPr>
        <w:footnoteReference w:id="2024"/>
      </w:r>
      <w:r>
        <w:t xml:space="preserve">.</w:t>
      </w:r>
    </w:p>
    <w:bookmarkEnd w:id="2025"/>
    <w:bookmarkStart w:id="2039" w:name="estudos-em-humanos-47"/>
    <w:p>
      <w:pPr>
        <w:pStyle w:val="Heading3"/>
      </w:pPr>
      <w:r>
        <w:t xml:space="preserve">Estudos em humanos</w:t>
      </w:r>
    </w:p>
    <w:p>
      <w:pPr>
        <w:pStyle w:val="FirstParagraph"/>
      </w:pPr>
      <w:r>
        <w:rPr>
          <w:bCs/>
          <w:b/>
        </w:rPr>
        <w:t xml:space="preserve">Dimensão do conjunto de estudos (consulta em outubro de 2026):</w:t>
      </w:r>
      <w:r>
        <w:t xml:space="preserve"> </w:t>
      </w:r>
      <w:r>
        <w:t xml:space="preserve">a busca automatizada deste livro encontrou</w:t>
      </w:r>
      <w:r>
        <w:t xml:space="preserve"> </w:t>
      </w:r>
      <w:r>
        <w:rPr>
          <w:bCs/>
          <w:b/>
        </w:rPr>
        <w:t xml:space="preserve">8</w:t>
      </w:r>
      <w:r>
        <w:t xml:space="preserve"> </w:t>
      </w:r>
      <w:r>
        <w:t xml:space="preserve">estudos em humanos no PubMed (</w:t>
      </w:r>
      <w:r>
        <w:rPr>
          <w:rStyle w:val="VerbatimChar"/>
        </w:rPr>
        <w:t xml:space="preserve">humanstudien_alle</w:t>
      </w:r>
      <w:r>
        <w:t xml:space="preserve">) e um único registro no ClinicalTrials.gov, que, ao ser verificado, se revelou não confiável (veja Perspectivas) – não há, portanto,</w:t>
      </w:r>
      <w:r>
        <w:t xml:space="preserve"> </w:t>
      </w:r>
      <w:r>
        <w:rPr>
          <w:bCs/>
          <w:b/>
        </w:rPr>
        <w:t xml:space="preserve">nenhum</w:t>
      </w:r>
      <w:r>
        <w:t xml:space="preserve"> </w:t>
      </w:r>
      <w:r>
        <w:t xml:space="preserve">(0) estudo registrado sólido. Também o número do PubMed engana: quatro dos oito estudos investigaram o melanotan I, isto é, a futura afamelanotida, e não o melanotan II. Sobre o próprio melanotan II, há apenas três pequenos estudos originais e um resumo do mesmo grupo de pesquisa. Muito mais extensa é a literatura sobre efeitos colaterais: relatos de caso, séries de casos, análises de fóruns da internet e exames laboratoriais de produtos do mercado cinza.</w:t>
      </w:r>
    </w:p>
    <w:bookmarkStart w:id="2029" w:name="os-estudos-clínicos-da-década-de-1990"/>
    <w:p>
      <w:pPr>
        <w:pStyle w:val="Heading4"/>
      </w:pPr>
      <w:r>
        <w:t xml:space="preserve">Os estudos clínicos da década de 1990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Dorr 1996, PMID 8637402</w:t>
            </w:r>
          </w:p>
        </w:tc>
        <w:tc>
          <w:tcPr/>
          <w:p>
            <w:pPr>
              <w:pStyle w:val="Compact"/>
              <w:jc w:val="left"/>
            </w:pPr>
            <w:r>
              <w:t xml:space="preserve">3 homens saudáveis, simples-cego, alternando princípio ativo e soro fisiológico</w:t>
            </w:r>
          </w:p>
        </w:tc>
        <w:tc>
          <w:tcPr/>
          <w:p>
            <w:pPr>
              <w:pStyle w:val="Compact"/>
              <w:jc w:val="left"/>
            </w:pPr>
            <w:r>
              <w:t xml:space="preserve">2 semanas</w:t>
            </w:r>
          </w:p>
        </w:tc>
        <w:tc>
          <w:tcPr/>
          <w:p>
            <w:pPr>
              <w:pStyle w:val="Compact"/>
              <w:jc w:val="left"/>
            </w:pPr>
            <w:r>
              <w:t xml:space="preserve">Bronzeamento no rosto, tronco e nádegas em 2 de 3; ereções espontâneas; náusea, cansaço</w:t>
            </w:r>
          </w:p>
        </w:tc>
      </w:tr>
      <w:tr>
        <w:tc>
          <w:tcPr/>
          <w:p>
            <w:pPr>
              <w:pStyle w:val="Compact"/>
              <w:jc w:val="left"/>
            </w:pPr>
            <w:r>
              <w:t xml:space="preserve">Wessells 1998, PMID 9679884</w:t>
            </w:r>
          </w:p>
        </w:tc>
        <w:tc>
          <w:tcPr/>
          <w:p>
            <w:pPr>
              <w:pStyle w:val="Compact"/>
              <w:jc w:val="left"/>
            </w:pPr>
            <w:r>
              <w:t xml:space="preserve">10 homens com disfunção erétil de origem psicológica, estudo cruzado duplo-cego contra placebo</w:t>
            </w:r>
          </w:p>
        </w:tc>
        <w:tc>
          <w:tcPr/>
          <w:p>
            <w:pPr>
              <w:pStyle w:val="Compact"/>
              <w:jc w:val="left"/>
            </w:pPr>
            <w:r>
              <w:t xml:space="preserve">Doses únicas</w:t>
            </w:r>
          </w:p>
        </w:tc>
        <w:tc>
          <w:tcPr/>
          <w:p>
            <w:pPr>
              <w:pStyle w:val="Compact"/>
              <w:jc w:val="left"/>
            </w:pPr>
            <w:r>
              <w:t xml:space="preserve">Ereções em 8 de 10; duração de rigidez elevada 38,0 vs. 3,0 minutos</w:t>
            </w:r>
          </w:p>
        </w:tc>
      </w:tr>
      <w:tr>
        <w:tc>
          <w:tcPr/>
          <w:p>
            <w:pPr>
              <w:pStyle w:val="Compact"/>
              <w:jc w:val="left"/>
            </w:pPr>
            <w:r>
              <w:t xml:space="preserve">Wessells 2000, PMID 11018622</w:t>
            </w:r>
          </w:p>
        </w:tc>
        <w:tc>
          <w:tcPr/>
          <w:p>
            <w:pPr>
              <w:pStyle w:val="Compact"/>
              <w:jc w:val="left"/>
            </w:pPr>
            <w:r>
              <w:t xml:space="preserve">10 homens com disfunção erétil de origem orgânica, estudo cruzado duplo-cego</w:t>
            </w:r>
          </w:p>
        </w:tc>
        <w:tc>
          <w:tcPr/>
          <w:p>
            <w:pPr>
              <w:pStyle w:val="Compact"/>
              <w:jc w:val="left"/>
            </w:pPr>
            <w:r>
              <w:t xml:space="preserve">Doses únicas</w:t>
            </w:r>
          </w:p>
        </w:tc>
        <w:tc>
          <w:tcPr/>
          <w:p>
            <w:pPr>
              <w:pStyle w:val="Compact"/>
              <w:jc w:val="left"/>
            </w:pPr>
            <w:r>
              <w:t xml:space="preserve">Ereções após 12 de 19 injeções vs. 1 de 21 doses de placebo; 4 de 19 injeções com náusea forte</w:t>
            </w:r>
          </w:p>
        </w:tc>
      </w:tr>
      <w:tr>
        <w:tc>
          <w:tcPr/>
          <w:p>
            <w:pPr>
              <w:pStyle w:val="Compact"/>
              <w:jc w:val="left"/>
            </w:pPr>
            <w:r>
              <w:t xml:space="preserve">Wessells 2000 (resumo), PMID 11035391</w:t>
            </w:r>
          </w:p>
        </w:tc>
        <w:tc>
          <w:tcPr/>
          <w:p>
            <w:pPr>
              <w:pStyle w:val="Compact"/>
              <w:jc w:val="left"/>
            </w:pPr>
            <w:r>
              <w:t xml:space="preserve">ambos os estudos juntos, 20 homens</w:t>
            </w:r>
          </w:p>
        </w:tc>
        <w:tc>
          <w:tcPr/>
          <w:p>
            <w:pPr>
              <w:pStyle w:val="Compact"/>
              <w:jc w:val="left"/>
            </w:pPr>
            <w:r>
              <w:t xml:space="preserve">Doses únicas</w:t>
            </w:r>
          </w:p>
        </w:tc>
        <w:tc>
          <w:tcPr/>
          <w:p>
            <w:pPr>
              <w:pStyle w:val="Compact"/>
              <w:jc w:val="left"/>
            </w:pPr>
            <w:r>
              <w:t xml:space="preserve">Ereções sem estímulos sexuais em 17 de 20; mais desejo após 68% vs. 19% das doses</w:t>
            </w:r>
          </w:p>
        </w:tc>
      </w:tr>
    </w:tbl>
    <w:p>
      <w:pPr>
        <w:pStyle w:val="BodyText"/>
      </w:pPr>
      <w:r>
        <w:t xml:space="preserve">O primeiro estudo em humanos</w:t>
      </w:r>
      <w:r>
        <w:rPr>
          <w:rStyle w:val="FootnoteReference"/>
        </w:rPr>
        <w:footnoteReference w:id="2026"/>
      </w:r>
      <w:r>
        <w:t xml:space="preserve"> </w:t>
      </w:r>
      <w:r>
        <w:t xml:space="preserve">foi um estudo-piloto com apenas três homens. Já aqui apareceram todos os efeitos que mais tarde os usuários descrevem na internet: dois dos três homens bronzearam-se visivelmente, náusea leve ocorreu na maioria dos níveis de dose, um deles teve cansaço mais forte. Um</w:t>
      </w:r>
      <w:r>
        <w:t xml:space="preserve"> </w:t>
      </w:r>
      <w:r>
        <w:t xml:space="preserve">“</w:t>
      </w:r>
      <w:r>
        <w:t xml:space="preserve">complexo de espreguiçamento e bocejo</w:t>
      </w:r>
      <w:r>
        <w:t xml:space="preserve">”</w:t>
      </w:r>
      <w:r>
        <w:t xml:space="preserve"> </w:t>
      </w:r>
      <w:r>
        <w:t xml:space="preserve">veio acompanhado de ereções espontâneas, que, conforme a dose, voltavam a ocorrer repetidamente durante uma a cinco horas.</w:t>
      </w:r>
    </w:p>
    <w:p>
      <w:pPr>
        <w:pStyle w:val="BodyText"/>
      </w:pPr>
      <w:r>
        <w:t xml:space="preserve">O grupo de trabalho do urologista Hunter Wessells passou então a investigar o efeito erétil. Em dois pequenos estudos cruzados (cada participante recebeu, em ordem aleatória, princípio ativo e placebo), o melanotan II provocou ereções na maioria dos homens com disfunção erétil, mesmo sem estímulos sexuais</w:t>
      </w:r>
      <w:r>
        <w:rPr>
          <w:rStyle w:val="FootnoteReference"/>
        </w:rPr>
        <w:footnoteReference w:id="2027"/>
      </w:r>
      <w:r>
        <w:t xml:space="preserve">. No resumo dos dois estudos, os homens relataram aumento do desejo após 68% das doses de melanotan e após 19% das de placebo. Náusea forte ocorreu em 12,9%</w:t>
      </w:r>
      <w:r>
        <w:rPr>
          <w:rStyle w:val="FootnoteReference"/>
        </w:rPr>
        <w:footnoteReference w:id="2028"/>
      </w:r>
      <w:r>
        <w:t xml:space="preserve">.</w:t>
      </w:r>
    </w:p>
    <w:p>
      <w:pPr>
        <w:pStyle w:val="BodyText"/>
      </w:pPr>
      <w:r>
        <w:t xml:space="preserve">Depois disso, a pesquisa clínica com melanotan II terminou. O desenvolvimento passou para a bremelanotida, testada como spray nasal e, mais tarde, como injeção. Para o bronzeamento da pele em pessoas saudáveis, não existe um único estudo controlado com melanotan II.</w:t>
      </w:r>
    </w:p>
    <w:bookmarkEnd w:id="2029"/>
    <w:bookmarkStart w:id="2032" w:name="os-estudos-sobre-melanotan-i"/>
    <w:p>
      <w:pPr>
        <w:pStyle w:val="Heading4"/>
      </w:pPr>
      <w:r>
        <w:t xml:space="preserve">Os estudos sobre melanotan I</w:t>
      </w:r>
    </w:p>
    <w:p>
      <w:pPr>
        <w:pStyle w:val="FirstParagraph"/>
      </w:pPr>
      <w:r>
        <w:t xml:space="preserve">Para contextualizar: os demais estudos da consulta ao banco de dados referem-se ao melanotan I. Neles, voluntários formaram mais eumelanina após as injeções, quase o dobro de antes na pele do antebraço</w:t>
      </w:r>
      <w:r>
        <w:rPr>
          <w:rStyle w:val="FootnoteReference"/>
        </w:rPr>
        <w:footnoteReference w:id="2030"/>
      </w:r>
      <w:r>
        <w:t xml:space="preserve">. Em combinação com a luz solar, o bronzeado se intensificou e se prolongou</w:t>
      </w:r>
      <w:r>
        <w:rPr>
          <w:rStyle w:val="FootnoteReference"/>
        </w:rPr>
        <w:footnoteReference w:id="2031"/>
      </w:r>
      <w:r>
        <w:t xml:space="preserve">. Esses resultados pertencem à história da afamelanotida e não podem ser transferidos para o melanotan II, que age mais intensamente no cérebro.</w:t>
      </w:r>
    </w:p>
    <w:bookmarkEnd w:id="2032"/>
    <w:bookmarkStart w:id="2038" w:name="quem-usa-melanotan-ii"/>
    <w:p>
      <w:pPr>
        <w:pStyle w:val="Heading4"/>
      </w:pPr>
      <w:r>
        <w:t xml:space="preserve">Quem usa melanotan II</w:t>
      </w:r>
    </w:p>
    <w:p>
      <w:pPr>
        <w:pStyle w:val="FirstParagraph"/>
      </w:pPr>
      <w:r>
        <w:t xml:space="preserve">Como o melanotan II nunca foi aprovado, quase todo o conhecimento sobre o uso atual vem de observações fora de estudos. Já em 2009, especialistas britânicos descreveram no British Medical Journal a disseminação do melanotan I e II na população geral</w:t>
      </w:r>
      <w:r>
        <w:rPr>
          <w:rStyle w:val="FootnoteReference"/>
        </w:rPr>
        <w:footnoteReference w:id="2033"/>
      </w:r>
      <w:r>
        <w:t xml:space="preserve">. Uma revisão sistemática incluiu o melanotan entre os produtos frequentemente injetados para otimização corporal e de desempenho, ao lado de esteroides anabolizantes e hormônio do crescimento</w:t>
      </w:r>
      <w:r>
        <w:rPr>
          <w:rStyle w:val="FootnoteReference"/>
        </w:rPr>
        <w:footnoteReference w:id="2034"/>
      </w:r>
      <w:r>
        <w:t xml:space="preserve">.</w:t>
      </w:r>
    </w:p>
    <w:p>
      <w:pPr>
        <w:pStyle w:val="BodyText"/>
      </w:pPr>
      <w:r>
        <w:t xml:space="preserve">Uma análise de fóruns da internet britânicos e irlandeses dos anos de 2016 e 2017 avaliou 623 postagens de 205 pessoas</w:t>
      </w:r>
      <w:r>
        <w:rPr>
          <w:rStyle w:val="FootnoteReference"/>
        </w:rPr>
        <w:footnoteReference w:id="2035"/>
      </w:r>
      <w:r>
        <w:t xml:space="preserve">. Como motivos, as usuárias e os usuários citaram sobretudo uma pele bronzeada antes de férias e antes de competições de fisiculturismo. Os fóruns mostravam desinformação, esquemas de dosagem criados pelos próprios usuários, a combinação com câmaras de bronzeamento e outras práticas arriscadas. Uma pesquisa online entre usuários descreve como era fácil obter a substância</w:t>
      </w:r>
      <w:r>
        <w:rPr>
          <w:rStyle w:val="FootnoteReference"/>
        </w:rPr>
        <w:footnoteReference w:id="2036"/>
      </w:r>
      <w:r>
        <w:t xml:space="preserve">.</w:t>
      </w:r>
    </w:p>
    <w:p>
      <w:pPr>
        <w:pStyle w:val="BodyText"/>
      </w:pPr>
      <w:r>
        <w:t xml:space="preserve">Nos últimos anos, a publicidade se deslocou cada vez mais para redes sociais como o TikTok, onde o melanotan é promovido como</w:t>
      </w:r>
      <w:r>
        <w:t xml:space="preserve"> </w:t>
      </w:r>
      <w:r>
        <w:t xml:space="preserve">“</w:t>
      </w:r>
      <w:r>
        <w:t xml:space="preserve">Barbie Drug</w:t>
      </w:r>
      <w:r>
        <w:t xml:space="preserve">”</w:t>
      </w:r>
      <w:r>
        <w:t xml:space="preserve">. Várias revistas de dermatologia analisaram esses conteúdos e alertam contra a banalização</w:t>
      </w:r>
      <w:r>
        <w:rPr>
          <w:rStyle w:val="FootnoteReference"/>
        </w:rPr>
        <w:footnoteReference w:id="2037"/>
      </w:r>
      <w:r>
        <w:t xml:space="preserve">.</w:t>
      </w:r>
    </w:p>
    <w:bookmarkEnd w:id="2038"/>
    <w:bookmarkEnd w:id="2039"/>
    <w:bookmarkStart w:id="2043" w:name="estudos-em-animais-e-em-laboratório-47"/>
    <w:p>
      <w:pPr>
        <w:pStyle w:val="Heading3"/>
      </w:pPr>
      <w:r>
        <w:t xml:space="preserve">Estudos em animais e em laboratório</w:t>
      </w:r>
    </w:p>
    <w:p>
      <w:pPr>
        <w:pStyle w:val="FirstParagraph"/>
      </w:pPr>
      <w:r>
        <w:t xml:space="preserve">O melanotan II é uma ferramenta padrão na pesquisa básica para ativar receptores de melanocortina. Por isso, os experimentos em animais são numerosos, mas geralmente respondem a perguntas da neurociência e não dizem respeito à segurança em humanos:</w:t>
      </w:r>
    </w:p>
    <w:p>
      <w:pPr>
        <w:numPr>
          <w:ilvl w:val="0"/>
          <w:numId w:val="1259"/>
        </w:numPr>
        <w:pStyle w:val="Compact"/>
      </w:pPr>
      <w:r>
        <w:rPr>
          <w:bCs/>
          <w:b/>
        </w:rPr>
        <w:t xml:space="preserve">Peso e gordura:</w:t>
      </w:r>
      <w:r>
        <w:t xml:space="preserve"> </w:t>
      </w:r>
      <w:r>
        <w:t xml:space="preserve">em camundongos e ratos com sobrepeso sob dieta rica em gordura, o melanotan II reduziu o peso e a massa gorda, sobretudo por meio de menor ingestão de alimentos</w:t>
      </w:r>
      <w:r>
        <w:rPr>
          <w:rStyle w:val="FootnoteReference"/>
        </w:rPr>
        <w:footnoteReference w:id="2040"/>
      </w:r>
      <w:r>
        <w:t xml:space="preserve">.</w:t>
      </w:r>
    </w:p>
    <w:p>
      <w:pPr>
        <w:numPr>
          <w:ilvl w:val="0"/>
          <w:numId w:val="1259"/>
        </w:numPr>
        <w:pStyle w:val="Compact"/>
      </w:pPr>
      <w:r>
        <w:rPr>
          <w:bCs/>
          <w:b/>
        </w:rPr>
        <w:t xml:space="preserve">Temperatura corporal:</w:t>
      </w:r>
      <w:r>
        <w:t xml:space="preserve"> </w:t>
      </w:r>
      <w:r>
        <w:t xml:space="preserve">em camundongos, provocou uma forte hipotermia passageira, mediada por mastócitos e histamina</w:t>
      </w:r>
      <w:r>
        <w:rPr>
          <w:rStyle w:val="FootnoteReference"/>
        </w:rPr>
        <w:footnoteReference w:id="2041"/>
      </w:r>
      <w:r>
        <w:t xml:space="preserve">.</w:t>
      </w:r>
    </w:p>
    <w:p>
      <w:pPr>
        <w:numPr>
          <w:ilvl w:val="0"/>
          <w:numId w:val="1259"/>
        </w:numPr>
        <w:pStyle w:val="Compact"/>
      </w:pPr>
      <w:r>
        <w:rPr>
          <w:bCs/>
          <w:b/>
        </w:rPr>
        <w:t xml:space="preserve">Comportamento social:</w:t>
      </w:r>
      <w:r>
        <w:t xml:space="preserve"> </w:t>
      </w:r>
      <w:r>
        <w:t xml:space="preserve">em um modelo de autismo em camundongos, uma administração de uma semana melhorou medidas de comportamento social</w:t>
      </w:r>
      <w:r>
        <w:rPr>
          <w:rStyle w:val="FootnoteReference"/>
        </w:rPr>
        <w:footnoteReference w:id="2042"/>
      </w:r>
      <w:r>
        <w:t xml:space="preserve">. O caminho suposto passa por uma ativação do sistema da ocitocina (capítulo 2E05).</w:t>
      </w:r>
    </w:p>
    <w:p>
      <w:pPr>
        <w:pStyle w:val="FirstParagraph"/>
      </w:pPr>
      <w:r>
        <w:t xml:space="preserve">Nenhum desses resultados foi confirmado em humanos.</w:t>
      </w:r>
    </w:p>
    <w:bookmarkEnd w:id="2043"/>
    <w:bookmarkStart w:id="2069" w:name="riscos-e-efeitos-colaterais-47"/>
    <w:p>
      <w:pPr>
        <w:pStyle w:val="Heading3"/>
      </w:pPr>
      <w:r>
        <w:t xml:space="preserve">Riscos e efeitos colaterais</w:t>
      </w:r>
    </w:p>
    <w:p>
      <w:pPr>
        <w:pStyle w:val="FirstParagraph"/>
      </w:pPr>
      <w:r>
        <w:t xml:space="preserve">Os riscos do melanotan II podem ser organizados em três grupos: os efeitos esperados via receptores de melanocortina, as alterações cutâneas com a questão em aberto do câncer de pele e casos isolados graves.</w:t>
      </w:r>
    </w:p>
    <w:bookmarkStart w:id="2048" w:name="efeitos-esperados"/>
    <w:p>
      <w:pPr>
        <w:pStyle w:val="Heading4"/>
      </w:pPr>
      <w:r>
        <w:t xml:space="preserve">Efeitos esperados</w:t>
      </w:r>
    </w:p>
    <w:p>
      <w:pPr>
        <w:pStyle w:val="FirstParagraph"/>
      </w:pPr>
      <w:r>
        <w:t xml:space="preserve">Náusea, vermelhidão facial, bocejos e espreguiçamento, perda de apetite, cansaço e ereções espontâneas já ocorriam nos estudos</w:t>
      </w:r>
      <w:r>
        <w:rPr>
          <w:rStyle w:val="FootnoteReference"/>
        </w:rPr>
        <w:footnoteReference w:id="2044"/>
      </w:r>
      <w:r>
        <w:t xml:space="preserve">. A pigmentação não afeta apenas a pele: relatos de caso descrevem faixas escuras transversais nas unhas das mãos</w:t>
      </w:r>
      <w:r>
        <w:rPr>
          <w:rStyle w:val="FootnoteReference"/>
        </w:rPr>
        <w:footnoteReference w:id="2045"/>
      </w:r>
      <w:r>
        <w:t xml:space="preserve"> </w:t>
      </w:r>
      <w:r>
        <w:t xml:space="preserve">e alterações pigmentares da mucosa oral</w:t>
      </w:r>
      <w:r>
        <w:rPr>
          <w:rStyle w:val="FootnoteReference"/>
        </w:rPr>
        <w:footnoteReference w:id="2046"/>
      </w:r>
      <w:r>
        <w:t xml:space="preserve">. Paradoxalmente, também foram descritas manchas claras, despigmentadas</w:t>
      </w:r>
      <w:r>
        <w:rPr>
          <w:rStyle w:val="FootnoteReference"/>
        </w:rPr>
        <w:footnoteReference w:id="2047"/>
      </w:r>
      <w:r>
        <w:t xml:space="preserve">.</w:t>
      </w:r>
    </w:p>
    <w:bookmarkEnd w:id="2048"/>
    <w:bookmarkStart w:id="2056" w:name="pintas-e-melanoma"/>
    <w:p>
      <w:pPr>
        <w:pStyle w:val="Heading4"/>
      </w:pPr>
      <w:r>
        <w:t xml:space="preserve">Pintas e melanoma</w:t>
      </w:r>
    </w:p>
    <w:p>
      <w:pPr>
        <w:pStyle w:val="FirstParagraph"/>
      </w:pPr>
      <w:r>
        <w:t xml:space="preserve">Esta é a preocupação que mais ocupa dermatologistas. O melanotan II estimula todas as células pigmentares, inclusive as de pintas já existentes (nevos). Vários relatos de caso descrevem:</w:t>
      </w:r>
    </w:p>
    <w:p>
      <w:pPr>
        <w:numPr>
          <w:ilvl w:val="0"/>
          <w:numId w:val="1260"/>
        </w:numPr>
        <w:pStyle w:val="Compact"/>
      </w:pPr>
      <w:r>
        <w:rPr>
          <w:bCs/>
          <w:b/>
        </w:rPr>
        <w:t xml:space="preserve">pintas novas em grande número</w:t>
      </w:r>
      <w:r>
        <w:t xml:space="preserve"> </w:t>
      </w:r>
      <w:r>
        <w:t xml:space="preserve">(nevos eruptivos) após injeções de melanotan</w:t>
      </w:r>
      <w:r>
        <w:rPr>
          <w:rStyle w:val="FootnoteReference"/>
        </w:rPr>
        <w:footnoteReference w:id="2049"/>
      </w:r>
      <w:r>
        <w:t xml:space="preserve">, algumas com aspecto chamativo, atípico</w:t>
      </w:r>
      <w:r>
        <w:rPr>
          <w:rStyle w:val="FootnoteReference"/>
        </w:rPr>
        <w:footnoteReference w:id="2050"/>
      </w:r>
      <w:r>
        <w:t xml:space="preserve">;</w:t>
      </w:r>
    </w:p>
    <w:p>
      <w:pPr>
        <w:numPr>
          <w:ilvl w:val="0"/>
          <w:numId w:val="1260"/>
        </w:numPr>
        <w:pStyle w:val="Compact"/>
      </w:pPr>
      <w:r>
        <w:rPr>
          <w:bCs/>
          <w:b/>
        </w:rPr>
        <w:t xml:space="preserve">pintas existentes que escurecem e se modificam</w:t>
      </w:r>
      <w:r>
        <w:t xml:space="preserve">;</w:t>
      </w:r>
    </w:p>
    <w:p>
      <w:pPr>
        <w:numPr>
          <w:ilvl w:val="0"/>
          <w:numId w:val="1260"/>
        </w:numPr>
        <w:pStyle w:val="Compact"/>
      </w:pPr>
      <w:r>
        <w:rPr>
          <w:bCs/>
          <w:b/>
        </w:rPr>
        <w:t xml:space="preserve">melanomas</w:t>
      </w:r>
      <w:r>
        <w:t xml:space="preserve">, ou seja, câncer de pele negro, durante ou pouco depois do uso</w:t>
      </w:r>
      <w:r>
        <w:rPr>
          <w:rStyle w:val="FootnoteReference"/>
        </w:rPr>
        <w:footnoteReference w:id="2051"/>
      </w:r>
      <w:r>
        <w:t xml:space="preserve">. Uma mulher de 20 anos de pele clara desenvolveu um melanoma nas nádegas três meses após uma autoaplicação de três a quatro semanas, combinada com sessões de bronzeamento artificial</w:t>
      </w:r>
      <w:r>
        <w:rPr>
          <w:rStyle w:val="FootnoteReference"/>
        </w:rPr>
        <w:footnoteReference w:id="2052"/>
      </w:r>
      <w:r>
        <w:t xml:space="preserve">. Um caso publicado em 2025 descreve um melanoma da mucosa oral em uma jovem de 22 anos que havia usado spray nasal de melanotan II</w:t>
      </w:r>
      <w:r>
        <w:rPr>
          <w:rStyle w:val="FootnoteReference"/>
        </w:rPr>
        <w:footnoteReference w:id="2053"/>
      </w:r>
      <w:r>
        <w:t xml:space="preserve">.</w:t>
      </w:r>
    </w:p>
    <w:p>
      <w:pPr>
        <w:pStyle w:val="FirstParagraph"/>
      </w:pPr>
      <w:r>
        <w:t xml:space="preserve">Uma revisão de todos os casos publicados de pintas de aparecimento súbito (179 pessoas) encontrou, entre os desencadeantes, além de imunossupressão e quimioterapia, também o melanotan; 16% dos casos tinham pelo menos uma pinta displásica, isto é, com alterações chamativas</w:t>
      </w:r>
      <w:r>
        <w:rPr>
          <w:rStyle w:val="FootnoteReference"/>
        </w:rPr>
        <w:footnoteReference w:id="2054"/>
      </w:r>
      <w:r>
        <w:t xml:space="preserve">.</w:t>
      </w:r>
    </w:p>
    <w:p>
      <w:pPr>
        <w:pStyle w:val="BodyText"/>
      </w:pPr>
      <w:r>
        <w:rPr>
          <w:bCs/>
          <w:b/>
        </w:rPr>
        <w:t xml:space="preserve">O que esses dados significam:</w:t>
      </w:r>
      <w:r>
        <w:t xml:space="preserve"> </w:t>
      </w:r>
      <w:r>
        <w:t xml:space="preserve">relatos de caso não comprovam uma relação causal. Muitos dos afetados usavam ao mesmo tempo câmaras de bronzeamento ou tomavam sol intensamente, o que aumenta o risco de melanoma de forma independente. Uma revisão conclui que uma relação não está comprovada de forma conclusiva, mas que o acúmulo de casos justifica cautela</w:t>
      </w:r>
      <w:r>
        <w:rPr>
          <w:rStyle w:val="FootnoteReference"/>
        </w:rPr>
        <w:footnoteReference w:id="2055"/>
      </w:r>
      <w:r>
        <w:t xml:space="preserve">. Como o melanotan II nunca foi estudado sistematicamente, ninguém pode dizer qual é a dimensão de um possível risco. Para comparação: para a afamelanotida, aparentada e aprovada, um exame com dermatoscopia mostrou apenas alterações passageiras das pintas, sem indícios de transformação maligna (capítulo 2E03) – esses dados, porém, não valem para o melanotan II.</w:t>
      </w:r>
    </w:p>
    <w:bookmarkEnd w:id="2056"/>
    <w:bookmarkStart w:id="2064" w:name="casos-isolados-graves"/>
    <w:p>
      <w:pPr>
        <w:pStyle w:val="Heading4"/>
      </w:pPr>
      <w:r>
        <w:t xml:space="preserve">Casos isolados graves</w:t>
      </w:r>
    </w:p>
    <w:p>
      <w:pPr>
        <w:numPr>
          <w:ilvl w:val="0"/>
          <w:numId w:val="1261"/>
        </w:numPr>
        <w:pStyle w:val="Compact"/>
      </w:pPr>
      <w:r>
        <w:rPr>
          <w:bCs/>
          <w:b/>
        </w:rPr>
        <w:t xml:space="preserve">Priapismo:</w:t>
      </w:r>
      <w:r>
        <w:t xml:space="preserve"> </w:t>
      </w:r>
      <w:r>
        <w:t xml:space="preserve">ereção prolongada e dolorosa, uma emergência urológica. Vários relatos de caso o descrevem após injeções de melanotan</w:t>
      </w:r>
      <w:r>
        <w:rPr>
          <w:rStyle w:val="FootnoteReference"/>
        </w:rPr>
        <w:footnoteReference w:id="2057"/>
      </w:r>
      <w:r>
        <w:t xml:space="preserve">. Em um caso, foi necessária descompressão cirúrgica</w:t>
      </w:r>
      <w:r>
        <w:rPr>
          <w:rStyle w:val="FootnoteReference"/>
        </w:rPr>
        <w:footnoteReference w:id="2058"/>
      </w:r>
      <w:r>
        <w:t xml:space="preserve">; em outro, a capacidade de ereção ainda não havia sido restabelecida quatro semanas depois</w:t>
      </w:r>
      <w:r>
        <w:rPr>
          <w:rStyle w:val="FootnoteReference"/>
        </w:rPr>
        <w:footnoteReference w:id="2059"/>
      </w:r>
      <w:r>
        <w:t xml:space="preserve">.</w:t>
      </w:r>
    </w:p>
    <w:p>
      <w:pPr>
        <w:numPr>
          <w:ilvl w:val="0"/>
          <w:numId w:val="1261"/>
        </w:numPr>
        <w:pStyle w:val="Compact"/>
      </w:pPr>
      <w:r>
        <w:rPr>
          <w:bCs/>
          <w:b/>
        </w:rPr>
        <w:t xml:space="preserve">Destruição muscular e lesão renal:</w:t>
      </w:r>
      <w:r>
        <w:t xml:space="preserve"> </w:t>
      </w:r>
      <w:r>
        <w:t xml:space="preserve">um homem de 39 anos injetou em si mesmo, segundo seu próprio relato, seis vezes a quantidade inicial recomendada. Ele desenvolveu taquicardia, agitação e uma grave destruição muscular (rabdomiólise), com aumento da enzima muscular CK para 17.773 IU/L e lesão renal transitória; a substância foi confirmada em laboratório como melanotan II</w:t>
      </w:r>
      <w:r>
        <w:rPr>
          <w:rStyle w:val="FootnoteReference"/>
        </w:rPr>
        <w:footnoteReference w:id="2060"/>
      </w:r>
      <w:r>
        <w:t xml:space="preserve">.</w:t>
      </w:r>
    </w:p>
    <w:p>
      <w:pPr>
        <w:numPr>
          <w:ilvl w:val="0"/>
          <w:numId w:val="1261"/>
        </w:numPr>
        <w:pStyle w:val="Compact"/>
      </w:pPr>
      <w:r>
        <w:rPr>
          <w:bCs/>
          <w:b/>
        </w:rPr>
        <w:t xml:space="preserve">Infarto renal:</w:t>
      </w:r>
      <w:r>
        <w:t xml:space="preserve"> </w:t>
      </w:r>
      <w:r>
        <w:t xml:space="preserve">um relato de caso com revisão da literatura aponta o melanotan II como possível causa de uma oclusão de vasos renais</w:t>
      </w:r>
      <w:r>
        <w:rPr>
          <w:rStyle w:val="FootnoteReference"/>
        </w:rPr>
        <w:footnoteReference w:id="2061"/>
      </w:r>
      <w:r>
        <w:t xml:space="preserve">.</w:t>
      </w:r>
    </w:p>
    <w:p>
      <w:pPr>
        <w:numPr>
          <w:ilvl w:val="0"/>
          <w:numId w:val="1261"/>
        </w:numPr>
        <w:pStyle w:val="Compact"/>
      </w:pPr>
      <w:r>
        <w:rPr>
          <w:bCs/>
          <w:b/>
        </w:rPr>
        <w:t xml:space="preserve">Edema cerebral:</w:t>
      </w:r>
      <w:r>
        <w:t xml:space="preserve"> </w:t>
      </w:r>
      <w:r>
        <w:t xml:space="preserve">um relato de caso descreve uma síndrome de encefalopatia posterior reversível (PRES), um edema na região occipital do cérebro, em associação com o melanotan</w:t>
      </w:r>
      <w:r>
        <w:rPr>
          <w:rStyle w:val="FootnoteReference"/>
        </w:rPr>
        <w:footnoteReference w:id="2062"/>
      </w:r>
      <w:r>
        <w:t xml:space="preserve">.</w:t>
      </w:r>
    </w:p>
    <w:p>
      <w:pPr>
        <w:numPr>
          <w:ilvl w:val="0"/>
          <w:numId w:val="1261"/>
        </w:numPr>
        <w:pStyle w:val="Compact"/>
      </w:pPr>
      <w:r>
        <w:rPr>
          <w:bCs/>
          <w:b/>
        </w:rPr>
        <w:t xml:space="preserve">Inflamação cutânea:</w:t>
      </w:r>
      <w:r>
        <w:t xml:space="preserve"> </w:t>
      </w:r>
      <w:r>
        <w:t xml:space="preserve">também foi descrito um pioderma gangrenoso, uma doença de pele ulcerativa grave</w:t>
      </w:r>
      <w:r>
        <w:rPr>
          <w:rStyle w:val="FootnoteReference"/>
        </w:rPr>
        <w:footnoteReference w:id="2063"/>
      </w:r>
      <w:r>
        <w:t xml:space="preserve">.</w:t>
      </w:r>
    </w:p>
    <w:bookmarkEnd w:id="2064"/>
    <w:bookmarkStart w:id="2068" w:name="riscos-do-mercado-cinza-1"/>
    <w:p>
      <w:pPr>
        <w:pStyle w:val="Heading4"/>
      </w:pPr>
      <w:r>
        <w:t xml:space="preserve">Riscos do mercado cinza</w:t>
      </w:r>
    </w:p>
    <w:p>
      <w:pPr>
        <w:pStyle w:val="FirstParagraph"/>
      </w:pPr>
      <w:r>
        <w:t xml:space="preserve">Um laboratório comprou frascos de melanotan II em três lojas online. Todos prometiam 10 mg por frasco; na realidade, continham entre 4,32 e 8,84 mg. Nos produtos de duas lojas, havia 4,1 a 5,9% de impurezas desconhecidas</w:t>
      </w:r>
      <w:r>
        <w:rPr>
          <w:rStyle w:val="FootnoteReference"/>
        </w:rPr>
        <w:footnoteReference w:id="2065"/>
      </w:r>
      <w:r>
        <w:t xml:space="preserve">. Um laboratório forense determinou, em uma amostra apreendida, uma pureza de 30%</w:t>
      </w:r>
      <w:r>
        <w:rPr>
          <w:rStyle w:val="FootnoteReference"/>
        </w:rPr>
        <w:footnoteReference w:id="2066"/>
      </w:r>
      <w:r>
        <w:t xml:space="preserve">. Somam-se a isso os riscos do preparo não estéril e de agulhas compartilhadas, para os quais especialistas chamam expressamente a atenção</w:t>
      </w:r>
      <w:r>
        <w:rPr>
          <w:rStyle w:val="FootnoteReference"/>
        </w:rPr>
        <w:footnoteReference w:id="2067"/>
      </w:r>
      <w:r>
        <w:t xml:space="preserve">. Mais informações sobre pureza e falsificações no mercado cinza estão na Parte I e na Parte IV.</w:t>
      </w:r>
    </w:p>
    <w:bookmarkEnd w:id="2068"/>
    <w:bookmarkEnd w:id="2069"/>
    <w:bookmarkStart w:id="2072" w:name="situação-legal-47"/>
    <w:p>
      <w:pPr>
        <w:pStyle w:val="Heading3"/>
      </w:pPr>
      <w:r>
        <w:t xml:space="preserve">Situação legal</w:t>
      </w:r>
    </w:p>
    <w:p>
      <w:pPr>
        <w:pStyle w:val="FirstParagraph"/>
      </w:pPr>
      <w:r>
        <w:rPr>
          <w:iCs/>
          <w:i/>
        </w:rPr>
        <w:t xml:space="preserve">Situação em 2026, verificar atualização.</w:t>
      </w:r>
    </w:p>
    <w:p>
      <w:pPr>
        <w:numPr>
          <w:ilvl w:val="0"/>
          <w:numId w:val="1262"/>
        </w:numPr>
        <w:pStyle w:val="Compact"/>
      </w:pPr>
      <w:r>
        <w:rPr>
          <w:bCs/>
          <w:b/>
        </w:rPr>
        <w:t xml:space="preserve">UE:</w:t>
      </w:r>
      <w:r>
        <w:t xml:space="preserve"> </w:t>
      </w:r>
      <w:r>
        <w:t xml:space="preserve">o melanotan II não está aprovado em nenhum Estado-membro. Como é oferecido para uso em humanos com efeito sobre funções corporais, é considerado juridicamente um medicamento; fabricação, importação e venda sem aprovação são proibidas. A inscrição</w:t>
      </w:r>
      <w:r>
        <w:t xml:space="preserve"> </w:t>
      </w:r>
      <w:r>
        <w:t xml:space="preserve">“</w:t>
      </w:r>
      <w:r>
        <w:t xml:space="preserve">apenas para fins de pesquisa</w:t>
      </w:r>
      <w:r>
        <w:t xml:space="preserve">”</w:t>
      </w:r>
      <w:r>
        <w:t xml:space="preserve"> </w:t>
      </w:r>
      <w:r>
        <w:t xml:space="preserve">não muda nada nisso.</w:t>
      </w:r>
    </w:p>
    <w:p>
      <w:pPr>
        <w:numPr>
          <w:ilvl w:val="0"/>
          <w:numId w:val="1262"/>
        </w:numPr>
        <w:pStyle w:val="Compact"/>
      </w:pPr>
      <w:r>
        <w:rPr>
          <w:bCs/>
          <w:b/>
        </w:rPr>
        <w:t xml:space="preserve">Alemanha e Áustria:</w:t>
      </w:r>
      <w:r>
        <w:t xml:space="preserve"> </w:t>
      </w:r>
      <w:r>
        <w:t xml:space="preserve">não aprovado. A entrega para uso em humanos viola a respectiva lei de medicamentos. Autoridades e alfândega apreendem remessas.</w:t>
      </w:r>
    </w:p>
    <w:p>
      <w:pPr>
        <w:numPr>
          <w:ilvl w:val="0"/>
          <w:numId w:val="1262"/>
        </w:numPr>
        <w:pStyle w:val="Compact"/>
      </w:pPr>
      <w:r>
        <w:rPr>
          <w:bCs/>
          <w:b/>
        </w:rPr>
        <w:t xml:space="preserve">Alertas das autoridades:</w:t>
      </w:r>
      <w:r>
        <w:t xml:space="preserve"> </w:t>
      </w:r>
      <w:r>
        <w:t xml:space="preserve">várias autoridades nacionais de medicamentos e de saúde emitiram alertas sobre o melanotan I e II</w:t>
      </w:r>
      <w:r>
        <w:rPr>
          <w:rStyle w:val="FootnoteReference"/>
        </w:rPr>
        <w:footnoteReference w:id="2070"/>
      </w:r>
      <w:r>
        <w:t xml:space="preserve">. Segundo o conhecimento do autor, as autoridades do Reino Unido e da Irlanda estiveram entre as primeiras, a partir de 2008; mais tarde seguiram-se outros países europeus e a Austrália. No Reino Unido, a venda é expressamente ilegal</w:t>
      </w:r>
      <w:r>
        <w:rPr>
          <w:rStyle w:val="FootnoteReference"/>
        </w:rPr>
        <w:footnoteReference w:id="2071"/>
      </w:r>
      <w:r>
        <w:t xml:space="preserve">.</w:t>
      </w:r>
    </w:p>
    <w:p>
      <w:pPr>
        <w:numPr>
          <w:ilvl w:val="0"/>
          <w:numId w:val="1262"/>
        </w:numPr>
        <w:pStyle w:val="Compact"/>
      </w:pPr>
      <w:r>
        <w:rPr>
          <w:bCs/>
          <w:b/>
        </w:rPr>
        <w:t xml:space="preserve">EUA:</w:t>
      </w:r>
      <w:r>
        <w:t xml:space="preserve"> </w:t>
      </w:r>
      <w:r>
        <w:t xml:space="preserve">nenhuma aprovação da FDA; a distribuição como medicamento para uso em humanos não é permitida.</w:t>
      </w:r>
    </w:p>
    <w:p>
      <w:pPr>
        <w:numPr>
          <w:ilvl w:val="0"/>
          <w:numId w:val="1262"/>
        </w:numPr>
        <w:pStyle w:val="Compact"/>
      </w:pPr>
      <w:r>
        <w:rPr>
          <w:bCs/>
          <w:b/>
        </w:rPr>
        <w:t xml:space="preserve">WADA:</w:t>
      </w:r>
      <w:r>
        <w:t xml:space="preserve"> </w:t>
      </w:r>
      <w:r>
        <w:t xml:space="preserve">proibido como substância não aprovada (S0).</w:t>
      </w:r>
    </w:p>
    <w:bookmarkEnd w:id="2072"/>
    <w:bookmarkStart w:id="2073" w:name="estudos-em-andamento-e-perspectivas-47"/>
    <w:p>
      <w:pPr>
        <w:pStyle w:val="Heading3"/>
      </w:pPr>
      <w:r>
        <w:t xml:space="preserve">Estudos em andamento e perspectivas</w:t>
      </w:r>
    </w:p>
    <w:p>
      <w:pPr>
        <w:pStyle w:val="FirstParagraph"/>
      </w:pPr>
      <w:r>
        <w:rPr>
          <w:bCs/>
          <w:b/>
        </w:rPr>
        <w:t xml:space="preserve">Confirmado (estudos registrados):</w:t>
      </w:r>
      <w:r>
        <w:t xml:space="preserve"> </w:t>
      </w:r>
      <w:r>
        <w:t xml:space="preserve">nenhum. No ClinicalTrials.gov havia, é verdade, um registro sobre melanotan II no vitiligo; o patrocinador desse registro, porém, também registrou entradas que se autodenominam fictícias. Por isso, o registro não é considerado aqui um estudo real. Isso mostra, de passagem: nem mesmo um registro é prova de que um estudo realmente esteja acontecendo.</w:t>
      </w:r>
    </w:p>
    <w:p>
      <w:pPr>
        <w:pStyle w:val="BodyText"/>
      </w:pPr>
      <w:r>
        <w:rPr>
          <w:bCs/>
          <w:b/>
        </w:rPr>
        <w:t xml:space="preserve">Avaliação do autor:</w:t>
      </w:r>
      <w:r>
        <w:t xml:space="preserve"> </w:t>
      </w:r>
      <w:r>
        <w:t xml:space="preserve">para uma aprovação como bronzeador em pessoas saudáveis, não há caminho realista: o benefício é cosmético, os efeitos colaterais via cérebro são acentuados, e a questão das pintas e do melanoma teria de ser esclarecida em estudos grandes e longos. Aplicações medicamente sensatas de agonistas de melanocortina são buscadas com moléculas mais seletivas – afamelanotida para a pele, bremelanotida e setmelanotida para o cérebro. A popularidade nas redes sociais deve fazer crescer ainda mais o número de relatos de caso.</w:t>
      </w:r>
    </w:p>
    <w:bookmarkEnd w:id="2073"/>
    <w:bookmarkStart w:id="2074" w:name="conclusão-47"/>
    <w:p>
      <w:pPr>
        <w:pStyle w:val="Heading3"/>
      </w:pPr>
      <w:r>
        <w:t xml:space="preserve">Conclusão</w:t>
      </w:r>
    </w:p>
    <w:p>
      <w:pPr>
        <w:pStyle w:val="FirstParagraph"/>
      </w:pPr>
      <w:r>
        <w:t xml:space="preserve">O melanotan II é um peptídeo de pesquisa da década de 1990, testado em apenas cerca de duas dúzias de pessoas em pequenos estudos e que nunca recebeu aprovação. Ele bronzeia a pele, mas, por meio de receptores no cérebro, provoca regularmente náusea e ereções espontâneas. Relatos de caso descrevem pintas novas e alteradas, melanomas, priapismo e destruição muscular; uma relação causal com o câncer de pele não está comprovada, mas também não está excluída. Em análises laboratoriais, produtos do mercado cinza continham menos princípio ativo do que o declarado e impurezas desconhecidas. Os dados não são suficientes para considerar o melanotan II seguro.</w:t>
      </w:r>
    </w:p>
    <w:bookmarkEnd w:id="2074"/>
    <w:bookmarkEnd w:id="2075"/>
    <w:bookmarkStart w:id="2135" w:name="afamelanotida"/>
    <w:p>
      <w:pPr>
        <w:pStyle w:val="Heading2"/>
      </w:pPr>
      <w:r>
        <w:t xml:space="preserve">Afamelanotida</w:t>
      </w:r>
    </w:p>
    <w:bookmarkStart w:id="2078" w:name="ficha-técnica-48"/>
    <w:p>
      <w:pPr>
        <w:pStyle w:val="Heading3"/>
      </w:pPr>
      <w:r>
        <w:t xml:space="preserve">Ficha técnica</w:t>
      </w:r>
    </w:p>
    <w:p>
      <w:pPr>
        <w:numPr>
          <w:ilvl w:val="0"/>
          <w:numId w:val="1263"/>
        </w:numPr>
        <w:pStyle w:val="Compact"/>
      </w:pPr>
      <w:r>
        <w:rPr>
          <w:bCs/>
          <w:b/>
        </w:rPr>
        <w:t xml:space="preserve">Tipo/estrutura:</w:t>
      </w:r>
      <w:r>
        <w:t xml:space="preserve"> </w:t>
      </w:r>
      <w:r>
        <w:t xml:space="preserve">peptídeo linear de 13 aminoácidos. Corresponde ao hormônio endógeno alfa-MSH, no qual dois componentes foram substituídos (na posição 4, norleucina; na posição 7, a forma D, especular, da fenilalanina). Essas alterações o tornam mais estável e mais potente. Nomes anteriores: melanotan I, MT-I, NDP-MSH, CUV1647.</w:t>
      </w:r>
    </w:p>
    <w:p>
      <w:pPr>
        <w:numPr>
          <w:ilvl w:val="0"/>
          <w:numId w:val="1263"/>
        </w:numPr>
        <w:pStyle w:val="Compact"/>
      </w:pPr>
      <w:r>
        <w:rPr>
          <w:bCs/>
          <w:b/>
        </w:rPr>
        <w:t xml:space="preserve">Origem:</w:t>
      </w:r>
      <w:r>
        <w:t xml:space="preserve"> </w:t>
      </w:r>
      <w:r>
        <w:t xml:space="preserve">desenvolvida na Universidade do Arizona junto com o melanotan II</w:t>
      </w:r>
      <w:r>
        <w:rPr>
          <w:rStyle w:val="FootnoteReference"/>
        </w:rPr>
        <w:footnoteReference w:id="2076"/>
      </w:r>
      <w:r>
        <w:t xml:space="preserve">; mais tarde transformada em medicamento pela empresa australiana Clinuvel.</w:t>
      </w:r>
    </w:p>
    <w:p>
      <w:pPr>
        <w:numPr>
          <w:ilvl w:val="0"/>
          <w:numId w:val="1263"/>
        </w:numPr>
        <w:pStyle w:val="Compact"/>
      </w:pPr>
      <w:r>
        <w:rPr>
          <w:bCs/>
          <w:b/>
        </w:rPr>
        <w:t xml:space="preserve">Mecanismo de ação:</w:t>
      </w:r>
      <w:r>
        <w:t xml:space="preserve"> </w:t>
      </w:r>
      <w:r>
        <w:t xml:space="preserve">agonista do receptor de melanocortina 1 (MC1R) das células pigmentares. Estimula a formação do pigmento escuro e fotoprotetor eumelanina – sem radiação UV prévia.</w:t>
      </w:r>
    </w:p>
    <w:p>
      <w:pPr>
        <w:numPr>
          <w:ilvl w:val="0"/>
          <w:numId w:val="1263"/>
        </w:numPr>
        <w:pStyle w:val="Compact"/>
      </w:pPr>
      <w:r>
        <w:rPr>
          <w:bCs/>
          <w:b/>
        </w:rPr>
        <w:t xml:space="preserve">Forma farmacêutica:</w:t>
      </w:r>
      <w:r>
        <w:t xml:space="preserve"> </w:t>
      </w:r>
      <w:r>
        <w:t xml:space="preserve">pequeno implante autoabsorvível (16 mg), inserido sob a pele, que libera o princípio ativo ao longo de semanas. É aplicado em centros especializados.</w:t>
      </w:r>
    </w:p>
    <w:p>
      <w:pPr>
        <w:numPr>
          <w:ilvl w:val="0"/>
          <w:numId w:val="1263"/>
        </w:numPr>
        <w:pStyle w:val="Compact"/>
      </w:pPr>
      <w:r>
        <w:rPr>
          <w:bCs/>
          <w:b/>
        </w:rPr>
        <w:t xml:space="preserve">Aprovação na UE:</w:t>
      </w:r>
      <w:r>
        <w:t xml:space="preserve"> </w:t>
      </w:r>
      <w:r>
        <w:t xml:space="preserve">sim, desde 2014 (Scenesse), para a prevenção de lesões causadas pela luz em adultos com protoporfiria eritropoética (EPP). A aprovação foi vinculada a condições, entre elas um estudo de segurança pós-aprovação e um registro de pacientes</w:t>
      </w:r>
      <w:r>
        <w:rPr>
          <w:rStyle w:val="FootnoteReference"/>
        </w:rPr>
        <w:footnoteReference w:id="2077"/>
      </w:r>
      <w:r>
        <w:t xml:space="preserve">.</w:t>
      </w:r>
    </w:p>
    <w:p>
      <w:pPr>
        <w:numPr>
          <w:ilvl w:val="0"/>
          <w:numId w:val="1263"/>
        </w:numPr>
        <w:pStyle w:val="Compact"/>
      </w:pPr>
      <w:r>
        <w:rPr>
          <w:bCs/>
          <w:b/>
        </w:rPr>
        <w:t xml:space="preserve">Aprovação nos EUA:</w:t>
      </w:r>
      <w:r>
        <w:t xml:space="preserve"> </w:t>
      </w:r>
      <w:r>
        <w:t xml:space="preserve">sim, desde 2019, para adultos com EPP.</w:t>
      </w:r>
    </w:p>
    <w:p>
      <w:pPr>
        <w:numPr>
          <w:ilvl w:val="0"/>
          <w:numId w:val="1263"/>
        </w:numPr>
        <w:pStyle w:val="Compact"/>
      </w:pPr>
      <w:r>
        <w:rPr>
          <w:bCs/>
          <w:b/>
        </w:rPr>
        <w:t xml:space="preserve">WADA:</w:t>
      </w:r>
      <w:r>
        <w:t xml:space="preserve"> </w:t>
      </w:r>
      <w:r>
        <w:t xml:space="preserve">não listada.</w:t>
      </w:r>
    </w:p>
    <w:p>
      <w:pPr>
        <w:numPr>
          <w:ilvl w:val="0"/>
          <w:numId w:val="1263"/>
        </w:numPr>
        <w:pStyle w:val="Compact"/>
      </w:pPr>
      <w:r>
        <w:rPr>
          <w:bCs/>
          <w:b/>
        </w:rPr>
        <w:t xml:space="preserve">Nível de evidência:</w:t>
      </w:r>
      <w:r>
        <w:t xml:space="preserve"> </w:t>
      </w:r>
      <w:r>
        <w:rPr>
          <w:bCs/>
          <w:b/>
        </w:rPr>
        <w:t xml:space="preserve">A</w:t>
      </w:r>
      <w:r>
        <w:t xml:space="preserve"> </w:t>
      </w:r>
      <w:r>
        <w:t xml:space="preserve">– aprovação na UE e nos EUA com base em dois estudos randomizados controlados por placebo, complementados por várias coortes de longo prazo. Devido à raridade da doença, os estudos são menores do que nas doenças comuns.</w:t>
      </w:r>
    </w:p>
    <w:bookmarkEnd w:id="2078"/>
    <w:bookmarkStart w:id="2081" w:name="como-deveria-agir-48"/>
    <w:p>
      <w:pPr>
        <w:pStyle w:val="Heading3"/>
      </w:pPr>
      <w:r>
        <w:t xml:space="preserve">Como deveria agir</w:t>
      </w:r>
    </w:p>
    <w:p>
      <w:pPr>
        <w:pStyle w:val="FirstParagraph"/>
      </w:pPr>
      <w:r>
        <w:t xml:space="preserve">A protoporfiria eritropoética (EPP) é uma doença hereditária rara. Na Europa, pelo menos uma em cada 140.000 pessoas é afetada</w:t>
      </w:r>
      <w:r>
        <w:rPr>
          <w:rStyle w:val="FootnoteReference"/>
        </w:rPr>
        <w:footnoteReference w:id="2079"/>
      </w:r>
      <w:r>
        <w:t xml:space="preserve">. Devido a um defeito enzimático na formação do pigmento vermelho do sangue, um precursor, a protoporfirina IX, acumula-se no sangue e na pele. Essa substância é ativada pela luz visível e então danifica tecidos e pequenos vasos sanguíneos da pele.</w:t>
      </w:r>
    </w:p>
    <w:p>
      <w:pPr>
        <w:pStyle w:val="BodyText"/>
      </w:pPr>
      <w:r>
        <w:t xml:space="preserve">As consequências são dores em queimação, muitas vezes por dias, após poucos minutos sob a luz do sol – frequentemente sem alterações visíveis na pele. As pessoas afetadas evitam a luz do dia desde a infância. O protetor solar convencional ajuda pouco, porque é sobretudo a luz visível, e não a radiação UV, que desencadeia a reação. Além disso, parte das pessoas afetadas desenvolve lesões hepáticas, porque a protoporfirina em excesso é eliminada pela bile</w:t>
      </w:r>
      <w:r>
        <w:rPr>
          <w:rStyle w:val="FootnoteReference"/>
        </w:rPr>
        <w:footnoteReference w:id="2080"/>
      </w:r>
      <w:r>
        <w:t xml:space="preserve">.</w:t>
      </w:r>
    </w:p>
    <w:p>
      <w:pPr>
        <w:pStyle w:val="BodyText"/>
      </w:pPr>
      <w:r>
        <w:t xml:space="preserve">A afamelanotida não atua na causa, mas na pele: ela a bronzeia, e a eumelanina adicional absorve parte da luz antes que ela alcance a protoporfirina. Experimentos de laboratório sugerem, além disso, efeitos anti-inflamatórios e antioxidantes. Quanto disso desempenha um papel em humanos não está claro.</w:t>
      </w:r>
    </w:p>
    <w:p>
      <w:pPr>
        <w:pStyle w:val="BodyText"/>
      </w:pPr>
      <w:r>
        <w:t xml:space="preserve">Ao contrário do melanotan II (capítulo 2E02), a afamelanotida age predominantemente sobre o receptor de pigmento MC1R e pouco sobre os receptores no cérebro. Por isso, náusea e efeitos concomitantes sexuais são bem mais raros.</w:t>
      </w:r>
    </w:p>
    <w:bookmarkEnd w:id="2081"/>
    <w:bookmarkStart w:id="2109" w:name="estudos-em-humanos-48"/>
    <w:p>
      <w:pPr>
        <w:pStyle w:val="Heading3"/>
      </w:pPr>
      <w:r>
        <w:t xml:space="preserve">Estudos em humanos</w:t>
      </w:r>
    </w:p>
    <w:p>
      <w:pPr>
        <w:pStyle w:val="FirstParagraph"/>
      </w:pPr>
      <w:r>
        <w:rPr>
          <w:bCs/>
          <w:b/>
        </w:rPr>
        <w:t xml:space="preserve">Dimensão do conjunto de estudos (consulta em outubro de 2026):</w:t>
      </w:r>
      <w:r>
        <w:t xml:space="preserve"> </w:t>
      </w:r>
      <w:r>
        <w:t xml:space="preserve">a busca automatizada deste livro encontrou</w:t>
      </w:r>
      <w:r>
        <w:t xml:space="preserve"> </w:t>
      </w:r>
      <w:r>
        <w:rPr>
          <w:bCs/>
          <w:b/>
        </w:rPr>
        <w:t xml:space="preserve">10</w:t>
      </w:r>
      <w:r>
        <w:t xml:space="preserve"> </w:t>
      </w:r>
      <w:r>
        <w:t xml:space="preserve">estudos em humanos no PubMed (</w:t>
      </w:r>
      <w:r>
        <w:rPr>
          <w:rStyle w:val="VerbatimChar"/>
        </w:rPr>
        <w:t xml:space="preserve">humanstudien_alle</w:t>
      </w:r>
      <w:r>
        <w:t xml:space="preserve">) e</w:t>
      </w:r>
      <w:r>
        <w:t xml:space="preserve"> </w:t>
      </w:r>
      <w:r>
        <w:rPr>
          <w:bCs/>
          <w:b/>
        </w:rPr>
        <w:t xml:space="preserve">23</w:t>
      </w:r>
      <w:r>
        <w:t xml:space="preserve"> </w:t>
      </w:r>
      <w:r>
        <w:t xml:space="preserve">registros no ClinicalTrials.gov. A busca, porém, abrange apenas o nome</w:t>
      </w:r>
      <w:r>
        <w:t xml:space="preserve"> </w:t>
      </w:r>
      <w:r>
        <w:t xml:space="preserve">“</w:t>
      </w:r>
      <w:r>
        <w:t xml:space="preserve">afamelanotide</w:t>
      </w:r>
      <w:r>
        <w:t xml:space="preserve">”</w:t>
      </w:r>
      <w:r>
        <w:t xml:space="preserve">; estudos mais antigos sob o nome melanotan I ou NDP-MSH, assim como vários estudos de coorte, não estão incluídos e são discutidos aqui complementarmente.</w:t>
      </w:r>
    </w:p>
    <w:bookmarkStart w:id="2085" w:name="Xca2d8788b0f699a407d42d9f6a1dff266e4cf79"/>
    <w:p>
      <w:pPr>
        <w:pStyle w:val="Heading4"/>
      </w:pPr>
      <w:r>
        <w:t xml:space="preserve">Antecedentes: melanotan I em pessoas saudáveis</w:t>
      </w:r>
    </w:p>
    <w:p>
      <w:pPr>
        <w:pStyle w:val="FirstParagraph"/>
      </w:pPr>
      <w:r>
        <w:t xml:space="preserve">Nas décadas de 1990 e no início dos anos 2000, voluntários saudáveis no Arizona receberam injeções diárias. Sua pele escureceu no rosto, no pescoço e nos antebraços; o teor de eumelanina da pele do antebraço aumentou em média 98%</w:t>
      </w:r>
      <w:r>
        <w:rPr>
          <w:rStyle w:val="FootnoteReference"/>
        </w:rPr>
        <w:footnoteReference w:id="2082"/>
      </w:r>
      <w:r>
        <w:t xml:space="preserve">. Combinada com a luz solar, a pele bronzeou-se mais intensamente e por mais tempo, e os participantes sem o princípio ativo precisaram de 50% mais tempo ao sol para o mesmo bronzeado</w:t>
      </w:r>
      <w:r>
        <w:rPr>
          <w:rStyle w:val="FootnoteReference"/>
        </w:rPr>
        <w:footnoteReference w:id="2083"/>
      </w:r>
      <w:r>
        <w:t xml:space="preserve">. Em um estudo com 77 pessoas de pele clara, o efeito foi até mais forte em portadores de determinadas variantes genéticas do MC1R – ou seja, em pessoas com pele especialmente sensível ao sol</w:t>
      </w:r>
      <w:r>
        <w:rPr>
          <w:rStyle w:val="FootnoteReference"/>
        </w:rPr>
        <w:footnoteReference w:id="2084"/>
      </w:r>
      <w:r>
        <w:t xml:space="preserve">. O plano de transformar isso em proteção contra o câncer de pele para a população geral não foi levado adiante.</w:t>
      </w:r>
    </w:p>
    <w:bookmarkEnd w:id="2085"/>
    <w:bookmarkStart w:id="2089" w:name="os-estudos-de-aprovação-na-epp"/>
    <w:p>
      <w:pPr>
        <w:pStyle w:val="Heading4"/>
      </w:pPr>
      <w:r>
        <w:t xml:space="preserve">Os estudos de aprovação na EPP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Harms 2009, PMID 19656325</w:t>
            </w:r>
          </w:p>
        </w:tc>
        <w:tc>
          <w:tcPr/>
          <w:p>
            <w:pPr>
              <w:pStyle w:val="Compact"/>
              <w:jc w:val="left"/>
            </w:pPr>
            <w:r>
              <w:t xml:space="preserve">5 pessoas com EPP, estudo-piloto aberto</w:t>
            </w:r>
          </w:p>
        </w:tc>
        <w:tc>
          <w:tcPr/>
          <w:p>
            <w:pPr>
              <w:pStyle w:val="Compact"/>
              <w:jc w:val="left"/>
            </w:pPr>
            <w:r>
              <w:t xml:space="preserve">120 dias</w:t>
            </w:r>
          </w:p>
        </w:tc>
        <w:tc>
          <w:tcPr/>
          <w:p>
            <w:pPr>
              <w:pStyle w:val="Compact"/>
              <w:jc w:val="left"/>
            </w:pPr>
            <w:r>
              <w:t xml:space="preserve">Tolerância à luz claramente aumentada</w:t>
            </w:r>
          </w:p>
        </w:tc>
      </w:tr>
      <w:tr>
        <w:tc>
          <w:tcPr/>
          <w:p>
            <w:pPr>
              <w:pStyle w:val="Compact"/>
              <w:jc w:val="left"/>
            </w:pPr>
            <w:r>
              <w:t xml:space="preserve">Estudo da UE (Langendonk 2015), PMID 26132941</w:t>
            </w:r>
          </w:p>
        </w:tc>
        <w:tc>
          <w:tcPr/>
          <w:p>
            <w:pPr>
              <w:pStyle w:val="Compact"/>
              <w:jc w:val="left"/>
            </w:pPr>
            <w:r>
              <w:t xml:space="preserve">74 pessoas, ECR contra implante placebo</w:t>
            </w:r>
          </w:p>
        </w:tc>
        <w:tc>
          <w:tcPr/>
          <w:p>
            <w:pPr>
              <w:pStyle w:val="Compact"/>
              <w:jc w:val="left"/>
            </w:pPr>
            <w:r>
              <w:t xml:space="preserve">9 meses</w:t>
            </w:r>
          </w:p>
        </w:tc>
        <w:tc>
          <w:tcPr/>
          <w:p>
            <w:pPr>
              <w:pStyle w:val="Compact"/>
              <w:jc w:val="left"/>
            </w:pPr>
            <w:r>
              <w:t xml:space="preserve">tempo sem dor sob sol direto, mediana 6,0 vs. 0,8 horas; 77 vs. 146 reações à luz</w:t>
            </w:r>
          </w:p>
        </w:tc>
      </w:tr>
      <w:tr>
        <w:tc>
          <w:tcPr/>
          <w:p>
            <w:pPr>
              <w:pStyle w:val="Compact"/>
              <w:jc w:val="left"/>
            </w:pPr>
            <w:r>
              <w:t xml:space="preserve">Estudo dos EUA (Langendonk 2015), PMID 26132941</w:t>
            </w:r>
          </w:p>
        </w:tc>
        <w:tc>
          <w:tcPr/>
          <w:p>
            <w:pPr>
              <w:pStyle w:val="Compact"/>
              <w:jc w:val="left"/>
            </w:pPr>
            <w:r>
              <w:t xml:space="preserve">94 pessoas, ECR contra implante placebo</w:t>
            </w:r>
          </w:p>
        </w:tc>
        <w:tc>
          <w:tcPr/>
          <w:p>
            <w:pPr>
              <w:pStyle w:val="Compact"/>
              <w:jc w:val="left"/>
            </w:pPr>
            <w:r>
              <w:t xml:space="preserve">6 meses</w:t>
            </w:r>
          </w:p>
        </w:tc>
        <w:tc>
          <w:tcPr/>
          <w:p>
            <w:pPr>
              <w:pStyle w:val="Compact"/>
              <w:jc w:val="left"/>
            </w:pPr>
            <w:r>
              <w:t xml:space="preserve">tempo sem dor sob sol direto, mediana 69,4 vs. 40,8 horas</w:t>
            </w:r>
          </w:p>
        </w:tc>
      </w:tr>
      <w:tr>
        <w:tc>
          <w:tcPr/>
          <w:p>
            <w:pPr>
              <w:pStyle w:val="Compact"/>
              <w:jc w:val="left"/>
            </w:pPr>
            <w:r>
              <w:t xml:space="preserve">Revisão sistemática (Heerfordt 2023), PMID 36525819</w:t>
            </w:r>
          </w:p>
        </w:tc>
        <w:tc>
          <w:tcPr/>
          <w:p>
            <w:pPr>
              <w:pStyle w:val="Compact"/>
              <w:jc w:val="left"/>
            </w:pPr>
            <w:r>
              <w:t xml:space="preserve">40 estudos sobre 18 tratamentos na EPP</w:t>
            </w:r>
          </w:p>
        </w:tc>
        <w:tc>
          <w:tcPr/>
          <w:p>
            <w:pPr>
              <w:pStyle w:val="Compact"/>
              <w:jc w:val="left"/>
            </w:pPr>
            <w:r>
              <w:t xml:space="preserve">–</w:t>
            </w:r>
          </w:p>
        </w:tc>
        <w:tc>
          <w:tcPr/>
          <w:p>
            <w:pPr>
              <w:pStyle w:val="Compact"/>
              <w:jc w:val="left"/>
            </w:pPr>
            <w:r>
              <w:t xml:space="preserve">efeito positivo moderado para afamelanotida e protetor solar mineral; nenhum efeito para betacaroteno, entre outros</w:t>
            </w:r>
          </w:p>
        </w:tc>
      </w:tr>
    </w:tbl>
    <w:p>
      <w:pPr>
        <w:pStyle w:val="BodyText"/>
      </w:pPr>
      <w:r>
        <w:t xml:space="preserve">No primeiro estudo-piloto, cinco pessoas afetadas receberam dois implantes com intervalo de 60 dias. Depois disso, toleraram muito mais luz em um teste de luz padronizado, e a densidade de melanina da pele aumentou</w:t>
      </w:r>
      <w:r>
        <w:rPr>
          <w:rStyle w:val="FootnoteReference"/>
        </w:rPr>
        <w:footnoteReference w:id="2086"/>
      </w:r>
      <w:r>
        <w:t xml:space="preserve">.</w:t>
      </w:r>
    </w:p>
    <w:p>
      <w:pPr>
        <w:pStyle w:val="BodyText"/>
      </w:pPr>
      <w:r>
        <w:t xml:space="preserve">A aprovação se baseia em dois estudos duplo-cegos, publicados em conjunto no New England Journal of Medicine</w:t>
      </w:r>
      <w:r>
        <w:rPr>
          <w:rStyle w:val="FootnoteReference"/>
        </w:rPr>
        <w:footnoteReference w:id="2087"/>
      </w:r>
      <w:r>
        <w:t xml:space="preserve">. A cada 60 dias, os participantes recebiam um implante com afamelanotida ou um implante simulado. O desfecho principal foi o número de horas sob sol direto sem dor, que os participantes registravam em um diário.</w:t>
      </w:r>
    </w:p>
    <w:p>
      <w:pPr>
        <w:pStyle w:val="BodyText"/>
      </w:pPr>
      <w:r>
        <w:t xml:space="preserve">Ambos os estudos mostraram vantagem para a afamelanotida, e em ambos a qualidade de vida melhorou. Os números absolutos, porém, são decepcionantes: no estudo europeu, os participantes passaram, ao longo de nove meses, em mediana seis horas sem dor sob sol direto; com placebo, pouco menos de uma hora. Que os valores sejam tão baixos se deve também à própria doença: quem viveu anos de dor continua evitando o sol, mesmo tolerando-o melhor. Uma medição por diário como essa depende, além disso, fortemente do clima e da estação do ano, o que torna os estudos difíceis de comparar</w:t>
      </w:r>
      <w:r>
        <w:rPr>
          <w:rStyle w:val="FootnoteReference"/>
        </w:rPr>
        <w:footnoteReference w:id="2088"/>
      </w:r>
      <w:r>
        <w:t xml:space="preserve">.</w:t>
      </w:r>
    </w:p>
    <w:bookmarkEnd w:id="2089"/>
    <w:bookmarkStart w:id="2093" w:name="dados-de-longo-prazo-da-prática"/>
    <w:p>
      <w:pPr>
        <w:pStyle w:val="Heading4"/>
      </w:pPr>
      <w:r>
        <w:t xml:space="preserve">Dados de longo prazo da prática</w:t>
      </w:r>
    </w:p>
    <w:p>
      <w:pPr>
        <w:pStyle w:val="FirstParagraph"/>
      </w:pPr>
      <w:r>
        <w:t xml:space="preserve">Como os estudos de aprovação foram curtos e pequenos, as observações do atendimento de rotina são especialmente importantes.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Biolcati 2015, PMID 25494545</w:t>
            </w:r>
          </w:p>
        </w:tc>
        <w:tc>
          <w:tcPr/>
          <w:p>
            <w:pPr>
              <w:pStyle w:val="Compact"/>
              <w:jc w:val="left"/>
            </w:pPr>
            <w:r>
              <w:t xml:space="preserve">115 pessoas em Roma e Zurique, 1.023 implantes, estudo observacional</w:t>
            </w:r>
          </w:p>
        </w:tc>
        <w:tc>
          <w:tcPr/>
          <w:p>
            <w:pPr>
              <w:pStyle w:val="Compact"/>
              <w:jc w:val="left"/>
            </w:pPr>
            <w:r>
              <w:t xml:space="preserve">até 8 anos</w:t>
            </w:r>
          </w:p>
        </w:tc>
        <w:tc>
          <w:tcPr/>
          <w:p>
            <w:pPr>
              <w:pStyle w:val="Compact"/>
              <w:jc w:val="left"/>
            </w:pPr>
            <w:r>
              <w:t xml:space="preserve">Qualidade de vida de 31% para 74% do valor máximo</w:t>
            </w:r>
          </w:p>
        </w:tc>
      </w:tr>
      <w:tr>
        <w:tc>
          <w:tcPr/>
          <w:p>
            <w:pPr>
              <w:pStyle w:val="Compact"/>
              <w:jc w:val="left"/>
            </w:pPr>
            <w:r>
              <w:t xml:space="preserve">Wensink 2020, PMID 32186677</w:t>
            </w:r>
          </w:p>
        </w:tc>
        <w:tc>
          <w:tcPr/>
          <w:p>
            <w:pPr>
              <w:pStyle w:val="Compact"/>
              <w:jc w:val="left"/>
            </w:pPr>
            <w:r>
              <w:t xml:space="preserve">117 pessoas em Roterdã, coorte prospectiva</w:t>
            </w:r>
          </w:p>
        </w:tc>
        <w:tc>
          <w:tcPr/>
          <w:p>
            <w:pPr>
              <w:pStyle w:val="Compact"/>
              <w:jc w:val="left"/>
            </w:pPr>
            <w:r>
              <w:t xml:space="preserve">Mediana de 2 anos</w:t>
            </w:r>
          </w:p>
        </w:tc>
        <w:tc>
          <w:tcPr/>
          <w:p>
            <w:pPr>
              <w:pStyle w:val="Compact"/>
              <w:jc w:val="left"/>
            </w:pPr>
            <w:r>
              <w:t xml:space="preserve">6,1 horas a mais por semana ao ar livre; 98% continuaram</w:t>
            </w:r>
          </w:p>
        </w:tc>
      </w:tr>
      <w:tr>
        <w:tc>
          <w:tcPr/>
          <w:p>
            <w:pPr>
              <w:pStyle w:val="Compact"/>
              <w:jc w:val="left"/>
            </w:pPr>
            <w:r>
              <w:t xml:space="preserve">Homey 2025, PMID 40082741</w:t>
            </w:r>
          </w:p>
        </w:tc>
        <w:tc>
          <w:tcPr/>
          <w:p>
            <w:pPr>
              <w:pStyle w:val="Compact"/>
              <w:jc w:val="left"/>
            </w:pPr>
            <w:r>
              <w:t xml:space="preserve">200 pessoas na Alemanha, estudo de segurança pós-aprovação</w:t>
            </w:r>
          </w:p>
        </w:tc>
        <w:tc>
          <w:tcPr/>
          <w:p>
            <w:pPr>
              <w:pStyle w:val="Compact"/>
              <w:jc w:val="left"/>
            </w:pPr>
            <w:r>
              <w:t xml:space="preserve">em andamento</w:t>
            </w:r>
          </w:p>
        </w:tc>
        <w:tc>
          <w:tcPr/>
          <w:p>
            <w:pPr>
              <w:pStyle w:val="Compact"/>
              <w:jc w:val="left"/>
            </w:pPr>
            <w:r>
              <w:t xml:space="preserve">Qualidade de vida significativamente melhor; 91,0% continuaram</w:t>
            </w:r>
          </w:p>
        </w:tc>
      </w:tr>
      <w:tr>
        <w:tc>
          <w:tcPr/>
          <w:p>
            <w:pPr>
              <w:pStyle w:val="Compact"/>
              <w:jc w:val="left"/>
            </w:pPr>
            <w:r>
              <w:t xml:space="preserve">Seidl-Philipp 2026, PMID 41793078</w:t>
            </w:r>
          </w:p>
        </w:tc>
        <w:tc>
          <w:tcPr/>
          <w:p>
            <w:pPr>
              <w:pStyle w:val="Compact"/>
              <w:jc w:val="left"/>
            </w:pPr>
            <w:r>
              <w:t xml:space="preserve">20 pessoas na Áustria</w:t>
            </w:r>
          </w:p>
        </w:tc>
        <w:tc>
          <w:tcPr/>
          <w:p>
            <w:pPr>
              <w:pStyle w:val="Compact"/>
              <w:jc w:val="left"/>
            </w:pPr>
            <w:r>
              <w:t xml:space="preserve">2023</w:t>
            </w:r>
          </w:p>
        </w:tc>
        <w:tc>
          <w:tcPr/>
          <w:p>
            <w:pPr>
              <w:pStyle w:val="Compact"/>
              <w:jc w:val="left"/>
            </w:pPr>
            <w:r>
              <w:t xml:space="preserve">Tolerância à luz, mediana de 15 para 250 minutos; reações à luz em 88% vs. 33%</w:t>
            </w:r>
          </w:p>
        </w:tc>
      </w:tr>
    </w:tbl>
    <w:p>
      <w:pPr>
        <w:pStyle w:val="BodyText"/>
      </w:pPr>
      <w:r>
        <w:t xml:space="preserve">O estudo observacional ítalo-suíço abrangeu tratamentos desde 2006. Apenas três pessoas declararam que o efeito não correspondeu às suas expectativas; 23% interromperam por outros motivos, como gravidez ou custos</w:t>
      </w:r>
      <w:r>
        <w:rPr>
          <w:rStyle w:val="FootnoteReference"/>
        </w:rPr>
        <w:footnoteReference w:id="2090"/>
      </w:r>
      <w:r>
        <w:t xml:space="preserve">. Na coorte holandesa, as reações à luz tornaram-se menos dolorosas, mas seu número e duração não se alteraram significativamente</w:t>
      </w:r>
      <w:r>
        <w:rPr>
          <w:rStyle w:val="FootnoteReference"/>
        </w:rPr>
        <w:footnoteReference w:id="2091"/>
      </w:r>
      <w:r>
        <w:t xml:space="preserve">. A análise austríaca de todas as 20 pessoas tratadas em 2023 mostra melhoras especialmente nítidas da qualidade de vida</w:t>
      </w:r>
      <w:r>
        <w:rPr>
          <w:rStyle w:val="FootnoteReference"/>
        </w:rPr>
        <w:footnoteReference w:id="2092"/>
      </w:r>
      <w:r>
        <w:t xml:space="preserve">.</w:t>
      </w:r>
    </w:p>
    <w:p>
      <w:pPr>
        <w:pStyle w:val="BodyText"/>
      </w:pPr>
      <w:r>
        <w:t xml:space="preserve">Essas coortes não têm grupo de controle. Quem responde bem tende a permanecer em tratamento, e a expectativa em relação a um medicamento caro influencia a autoavaliação. As taxas de continuidade, altas em todos os estudos, de um tratamento que exige uma consulta médica a cada dois meses são, ainda assim, um sinal notável.</w:t>
      </w:r>
    </w:p>
    <w:bookmarkEnd w:id="2093"/>
    <w:bookmarkStart w:id="2097" w:name="outras-observações-na-epp"/>
    <w:p>
      <w:pPr>
        <w:pStyle w:val="Heading4"/>
      </w:pPr>
      <w:r>
        <w:t xml:space="preserve">Outras observações na EPP</w:t>
      </w:r>
    </w:p>
    <w:p>
      <w:pPr>
        <w:numPr>
          <w:ilvl w:val="0"/>
          <w:numId w:val="1264"/>
        </w:numPr>
        <w:pStyle w:val="Compact"/>
      </w:pPr>
      <w:r>
        <w:rPr>
          <w:bCs/>
          <w:b/>
        </w:rPr>
        <w:t xml:space="preserve">Fígado:</w:t>
      </w:r>
      <w:r>
        <w:t xml:space="preserve"> </w:t>
      </w:r>
      <w:r>
        <w:t xml:space="preserve">em uma análise suíça de 70 pessoas tratadas, com quase 3.000 valores hepáticos, a enzima hepática ALT e a bilirrubina diminuíam quanto mais implantes haviam sido aplicados no ano anterior</w:t>
      </w:r>
      <w:r>
        <w:rPr>
          <w:rStyle w:val="FootnoteReference"/>
        </w:rPr>
        <w:footnoteReference w:id="2094"/>
      </w:r>
      <w:r>
        <w:t xml:space="preserve">. Trata-se de uma associação em dados observacionais, não de prova de proteção hepática.</w:t>
      </w:r>
    </w:p>
    <w:p>
      <w:pPr>
        <w:numPr>
          <w:ilvl w:val="0"/>
          <w:numId w:val="1264"/>
        </w:numPr>
        <w:pStyle w:val="Compact"/>
      </w:pPr>
      <w:r>
        <w:rPr>
          <w:bCs/>
          <w:b/>
        </w:rPr>
        <w:t xml:space="preserve">Vitamina D:</w:t>
      </w:r>
      <w:r>
        <w:t xml:space="preserve"> </w:t>
      </w:r>
      <w:r>
        <w:t xml:space="preserve">a afamelanotida não alterou o nível de vitamina D. Em um estudo com 230 pessoas, a deficiência persistiu em 71,8%; apenas a administração de vitamina D3 elevou os valores</w:t>
      </w:r>
      <w:r>
        <w:rPr>
          <w:rStyle w:val="FootnoteReference"/>
        </w:rPr>
        <w:footnoteReference w:id="2095"/>
      </w:r>
      <w:r>
        <w:t xml:space="preserve">.</w:t>
      </w:r>
    </w:p>
    <w:p>
      <w:pPr>
        <w:numPr>
          <w:ilvl w:val="0"/>
          <w:numId w:val="1264"/>
        </w:numPr>
        <w:pStyle w:val="Compact"/>
      </w:pPr>
      <w:r>
        <w:rPr>
          <w:bCs/>
          <w:b/>
        </w:rPr>
        <w:t xml:space="preserve">Anticorpos:</w:t>
      </w:r>
      <w:r>
        <w:t xml:space="preserve"> </w:t>
      </w:r>
      <w:r>
        <w:t xml:space="preserve">em 23 de 26 pessoas não se formaram anticorpos contra o princípio ativo ao longo de até seis anos; três já tinham anticorpos mensuráveis antes do tratamento, que não se alteraram</w:t>
      </w:r>
      <w:r>
        <w:rPr>
          <w:rStyle w:val="FootnoteReference"/>
        </w:rPr>
        <w:footnoteReference w:id="2096"/>
      </w:r>
      <w:r>
        <w:t xml:space="preserve">.</w:t>
      </w:r>
    </w:p>
    <w:bookmarkEnd w:id="2097"/>
    <w:bookmarkStart w:id="2102" w:name="vitiligo"/>
    <w:p>
      <w:pPr>
        <w:pStyle w:val="Heading4"/>
      </w:pPr>
      <w:r>
        <w:t xml:space="preserve">Vitiligo</w:t>
      </w:r>
    </w:p>
    <w:p>
      <w:pPr>
        <w:pStyle w:val="FirstParagraph"/>
      </w:pPr>
      <w:r>
        <w:t xml:space="preserve">No vitiligo, o sistema imunológico destrói células pigmentares; surgem manchas claras. O tratamento padrão é a fototerapia com UVB de banda estreita. A afamelanotida deve estimular adicionalmente as células pigmentares remanescentes.</w:t>
      </w:r>
    </w:p>
    <w:p>
      <w:pPr>
        <w:pStyle w:val="BodyText"/>
      </w:pPr>
      <w:r>
        <w:t xml:space="preserve">Após uma série de casos com quatro pessoas</w:t>
      </w:r>
      <w:r>
        <w:rPr>
          <w:rStyle w:val="FootnoteReference"/>
        </w:rPr>
        <w:footnoteReference w:id="2098"/>
      </w:r>
      <w:r>
        <w:t xml:space="preserve">, seguiu-se um estudo randomizado com 55 participantes</w:t>
      </w:r>
      <w:r>
        <w:rPr>
          <w:rStyle w:val="FootnoteReference"/>
        </w:rPr>
        <w:footnoteReference w:id="2099"/>
      </w:r>
      <w:r>
        <w:t xml:space="preserve">. A combinação de fototerapia e implantes mensais levou mais rapidamente a uma nova pigmentação do que a fototerapia isolada. Após 168 dias, 48,64% da área estava repigmentada no braço de combinação, e 33,26% com fototerapia isolada. A vantagem apareceu sobretudo nos fototipos mais escuros (IV a VI). Uma desvantagem apontada por especialistas: também a pele saudável escurece, de modo que o contraste com as manchas claras pode inicialmente aumentar</w:t>
      </w:r>
      <w:r>
        <w:rPr>
          <w:rStyle w:val="FootnoteReference"/>
        </w:rPr>
        <w:footnoteReference w:id="2100"/>
      </w:r>
      <w:r>
        <w:t xml:space="preserve">. Um estudo em pacientes asiáticas e asiáticos também foi publicado</w:t>
      </w:r>
      <w:r>
        <w:rPr>
          <w:rStyle w:val="FootnoteReference"/>
        </w:rPr>
        <w:footnoteReference w:id="2101"/>
      </w:r>
      <w:r>
        <w:t xml:space="preserve">.</w:t>
      </w:r>
    </w:p>
    <w:bookmarkEnd w:id="2102"/>
    <w:bookmarkStart w:id="2108" w:name="outras-aplicações-em-estudos-piloto"/>
    <w:p>
      <w:pPr>
        <w:pStyle w:val="Heading4"/>
      </w:pPr>
      <w:r>
        <w:t xml:space="preserve">Outras aplicações em estudos-piloto</w:t>
      </w:r>
    </w:p>
    <w:p>
      <w:pPr>
        <w:pStyle w:val="FirstParagraph"/>
      </w:pPr>
      <w:r>
        <w:t xml:space="preserve">Os resultados a seguir vêm de estudos muito pequenos, geralmente abertos, e devem ser entendidos como hipóteses:</w:t>
      </w:r>
    </w:p>
    <w:p>
      <w:pPr>
        <w:numPr>
          <w:ilvl w:val="0"/>
          <w:numId w:val="1265"/>
        </w:numPr>
        <w:pStyle w:val="Compact"/>
      </w:pPr>
      <w:r>
        <w:rPr>
          <w:bCs/>
          <w:b/>
        </w:rPr>
        <w:t xml:space="preserve">Urticária solar</w:t>
      </w:r>
      <w:r>
        <w:t xml:space="preserve"> </w:t>
      </w:r>
      <w:r>
        <w:t xml:space="preserve">(urticária provocada pela luz): em 5 pessoas, menor formação de pápulas após um implante</w:t>
      </w:r>
      <w:r>
        <w:rPr>
          <w:rStyle w:val="FootnoteReference"/>
        </w:rPr>
        <w:footnoteReference w:id="2103"/>
      </w:r>
      <w:r>
        <w:t xml:space="preserve">.</w:t>
      </w:r>
    </w:p>
    <w:p>
      <w:pPr>
        <w:numPr>
          <w:ilvl w:val="0"/>
          <w:numId w:val="1265"/>
        </w:numPr>
        <w:pStyle w:val="Compact"/>
      </w:pPr>
      <w:r>
        <w:rPr>
          <w:bCs/>
          <w:b/>
        </w:rPr>
        <w:t xml:space="preserve">Acne:</w:t>
      </w:r>
      <w:r>
        <w:t xml:space="preserve"> </w:t>
      </w:r>
      <w:r>
        <w:t xml:space="preserve">em 3 pessoas, menos lesões inflamatórias</w:t>
      </w:r>
      <w:r>
        <w:rPr>
          <w:rStyle w:val="FootnoteReference"/>
        </w:rPr>
        <w:footnoteReference w:id="2104"/>
      </w:r>
      <w:r>
        <w:t xml:space="preserve">.</w:t>
      </w:r>
    </w:p>
    <w:p>
      <w:pPr>
        <w:numPr>
          <w:ilvl w:val="0"/>
          <w:numId w:val="1265"/>
        </w:numPr>
        <w:pStyle w:val="Compact"/>
      </w:pPr>
      <w:r>
        <w:rPr>
          <w:bCs/>
          <w:b/>
        </w:rPr>
        <w:t xml:space="preserve">Doença de Hailey-Hailey</w:t>
      </w:r>
      <w:r>
        <w:t xml:space="preserve"> </w:t>
      </w:r>
      <w:r>
        <w:t xml:space="preserve">(doença bolhosa hereditária): cicatrização das lesões cutâneas em 2 pessoas</w:t>
      </w:r>
      <w:r>
        <w:rPr>
          <w:rStyle w:val="FootnoteReference"/>
        </w:rPr>
        <w:footnoteReference w:id="2105"/>
      </w:r>
      <w:r>
        <w:t xml:space="preserve">.</w:t>
      </w:r>
    </w:p>
    <w:p>
      <w:pPr>
        <w:numPr>
          <w:ilvl w:val="0"/>
          <w:numId w:val="1265"/>
        </w:numPr>
        <w:pStyle w:val="Compact"/>
      </w:pPr>
      <w:r>
        <w:rPr>
          <w:bCs/>
          <w:b/>
        </w:rPr>
        <w:t xml:space="preserve">AVC:</w:t>
      </w:r>
      <w:r>
        <w:t xml:space="preserve"> </w:t>
      </w:r>
      <w:r>
        <w:t xml:space="preserve">em um estudo de viabilidade aberto com 6 pessoas, a administração foi viável; uma pessoa morreu de um novo AVC, que os pesquisadores não atribuíram ao medicamento</w:t>
      </w:r>
      <w:r>
        <w:rPr>
          <w:rStyle w:val="FootnoteReference"/>
        </w:rPr>
        <w:footnoteReference w:id="2106"/>
      </w:r>
      <w:r>
        <w:t xml:space="preserve">.</w:t>
      </w:r>
    </w:p>
    <w:p>
      <w:pPr>
        <w:numPr>
          <w:ilvl w:val="0"/>
          <w:numId w:val="1265"/>
        </w:numPr>
        <w:pStyle w:val="Compact"/>
      </w:pPr>
      <w:r>
        <w:rPr>
          <w:bCs/>
          <w:b/>
        </w:rPr>
        <w:t xml:space="preserve">Pele saudável:</w:t>
      </w:r>
      <w:r>
        <w:t xml:space="preserve"> </w:t>
      </w:r>
      <w:r>
        <w:t xml:space="preserve">em 9 voluntários saudáveis, a vermelhidão da pele após irradiação UV foi menor seis dias após o implante</w:t>
      </w:r>
      <w:r>
        <w:rPr>
          <w:rStyle w:val="FootnoteReference"/>
        </w:rPr>
        <w:footnoteReference w:id="2107"/>
      </w:r>
      <w:r>
        <w:t xml:space="preserve">.</w:t>
      </w:r>
    </w:p>
    <w:bookmarkEnd w:id="2108"/>
    <w:bookmarkEnd w:id="2109"/>
    <w:bookmarkStart w:id="2112" w:name="estudos-em-animais-e-em-laboratório-48"/>
    <w:p>
      <w:pPr>
        <w:pStyle w:val="Heading3"/>
      </w:pPr>
      <w:r>
        <w:t xml:space="preserve">Estudos em animais e em laboratório</w:t>
      </w:r>
    </w:p>
    <w:p>
      <w:pPr>
        <w:pStyle w:val="FirstParagraph"/>
      </w:pPr>
      <w:r>
        <w:t xml:space="preserve">Em culturas de células, a afamelanotida tem efeitos antioxidantes. Em células da pele de pessoas com doença de Hailey-Hailey, ativou o fator de proteção Nrf2 e restabeleceu parcialmente a divisão celular perturbada</w:t>
      </w:r>
      <w:r>
        <w:rPr>
          <w:rStyle w:val="FootnoteReference"/>
        </w:rPr>
        <w:footnoteReference w:id="2110"/>
      </w:r>
      <w:r>
        <w:t xml:space="preserve">. Investigações sobre estabilidade e produtos de degradação do princípio ativo dizem respeito à qualidade do medicamento</w:t>
      </w:r>
      <w:r>
        <w:rPr>
          <w:rStyle w:val="FootnoteReference"/>
        </w:rPr>
        <w:footnoteReference w:id="2111"/>
      </w:r>
      <w:r>
        <w:t xml:space="preserve">. Para a avaliação em humanos, os dados em animais têm hoje papel secundário, porque os dados clínicos são mais conclusivos.</w:t>
      </w:r>
    </w:p>
    <w:bookmarkEnd w:id="2112"/>
    <w:bookmarkStart w:id="2123" w:name="riscos-e-efeitos-colaterais-48"/>
    <w:p>
      <w:pPr>
        <w:pStyle w:val="Heading3"/>
      </w:pPr>
      <w:r>
        <w:t xml:space="preserve">Riscos e efeitos colaterais</w:t>
      </w:r>
    </w:p>
    <w:bookmarkStart w:id="2117" w:name="comprovados-8"/>
    <w:p>
      <w:pPr>
        <w:pStyle w:val="Heading4"/>
      </w:pPr>
      <w:r>
        <w:t xml:space="preserve">Comprovados</w:t>
      </w:r>
    </w:p>
    <w:p>
      <w:pPr>
        <w:numPr>
          <w:ilvl w:val="0"/>
          <w:numId w:val="1266"/>
        </w:numPr>
        <w:pStyle w:val="Compact"/>
      </w:pPr>
      <w:r>
        <w:rPr>
          <w:bCs/>
          <w:b/>
        </w:rPr>
        <w:t xml:space="preserve">Efeitos colaterais frequentes, geralmente leves:</w:t>
      </w:r>
      <w:r>
        <w:t xml:space="preserve"> </w:t>
      </w:r>
      <w:r>
        <w:t xml:space="preserve">náusea, dor de cabeça, cansaço e reações no local de inserção do implante</w:t>
      </w:r>
      <w:r>
        <w:rPr>
          <w:rStyle w:val="FootnoteReference"/>
        </w:rPr>
        <w:footnoteReference w:id="2113"/>
      </w:r>
      <w:r>
        <w:t xml:space="preserve">. Nos estudos de aprovação, eventos adversos graves não foram atribuídos ao princípio ativo.</w:t>
      </w:r>
    </w:p>
    <w:p>
      <w:pPr>
        <w:numPr>
          <w:ilvl w:val="0"/>
          <w:numId w:val="1266"/>
        </w:numPr>
        <w:pStyle w:val="Compact"/>
      </w:pPr>
      <w:r>
        <w:rPr>
          <w:bCs/>
          <w:b/>
        </w:rPr>
        <w:t xml:space="preserve">Pele e pintas mais escuras:</w:t>
      </w:r>
      <w:r>
        <w:t xml:space="preserve"> </w:t>
      </w:r>
      <w:r>
        <w:t xml:space="preserve">o bronzeamento é o efeito desejado. Pintas e sardas também escurecem. Em um estudo com 15 pessoas e 103 pintas, a dermatoscopia mostrou alterações passageiras, que haviam regredido após um ano; não surgiram pintas novas nem indícios de malignidade</w:t>
      </w:r>
      <w:r>
        <w:rPr>
          <w:rStyle w:val="FootnoteReference"/>
        </w:rPr>
        <w:footnoteReference w:id="2114"/>
      </w:r>
      <w:r>
        <w:t xml:space="preserve">. A bula prevê exames regulares da pele.</w:t>
      </w:r>
    </w:p>
    <w:p>
      <w:pPr>
        <w:numPr>
          <w:ilvl w:val="0"/>
          <w:numId w:val="1266"/>
        </w:numPr>
        <w:pStyle w:val="Compact"/>
      </w:pPr>
      <w:r>
        <w:rPr>
          <w:bCs/>
          <w:b/>
        </w:rPr>
        <w:t xml:space="preserve">Alterações pigmentares da mucosa oral</w:t>
      </w:r>
      <w:r>
        <w:t xml:space="preserve"> </w:t>
      </w:r>
      <w:r>
        <w:t xml:space="preserve">foram descritas (de Baat 2020, PMID 32459219; a revisão, porém, mistura achados do implante aprovado com achados de melanotan do mercado cinza), assim como um caso de aparente despigmentação com dermatite atópica simultânea</w:t>
      </w:r>
      <w:r>
        <w:rPr>
          <w:rStyle w:val="FootnoteReference"/>
        </w:rPr>
        <w:footnoteReference w:id="2115"/>
      </w:r>
      <w:r>
        <w:t xml:space="preserve">.</w:t>
      </w:r>
    </w:p>
    <w:p>
      <w:pPr>
        <w:numPr>
          <w:ilvl w:val="0"/>
          <w:numId w:val="1266"/>
        </w:numPr>
        <w:pStyle w:val="Compact"/>
      </w:pPr>
      <w:r>
        <w:rPr>
          <w:bCs/>
          <w:b/>
        </w:rPr>
        <w:t xml:space="preserve">Nenhum efeito sobre a vitamina D:</w:t>
      </w:r>
      <w:r>
        <w:t xml:space="preserve"> </w:t>
      </w:r>
      <w:r>
        <w:t xml:space="preserve">veja acima</w:t>
      </w:r>
      <w:r>
        <w:rPr>
          <w:rStyle w:val="FootnoteReference"/>
        </w:rPr>
        <w:footnoteReference w:id="2116"/>
      </w:r>
      <w:r>
        <w:t xml:space="preserve">.</w:t>
      </w:r>
    </w:p>
    <w:bookmarkEnd w:id="2117"/>
    <w:bookmarkStart w:id="2120" w:name="em-aberto-1"/>
    <w:p>
      <w:pPr>
        <w:pStyle w:val="Heading4"/>
      </w:pPr>
      <w:r>
        <w:t xml:space="preserve">Em aberto</w:t>
      </w:r>
    </w:p>
    <w:p>
      <w:pPr>
        <w:pStyle w:val="FirstParagraph"/>
      </w:pPr>
      <w:r>
        <w:t xml:space="preserve">Faltam em grande parte dados sobre gravidez; na prática, o tratamento é pausado. A afamelanotida não está aprovada para crianças e adolescentes</w:t>
      </w:r>
      <w:r>
        <w:rPr>
          <w:rStyle w:val="FootnoteReference"/>
        </w:rPr>
        <w:footnoteReference w:id="2118"/>
      </w:r>
      <w:r>
        <w:t xml:space="preserve">, embora a EPP geralmente comece na primeira infância. Alguns tratamentos de crianças fora da indicação aprovada foram publicados como relatos de caso</w:t>
      </w:r>
      <w:r>
        <w:rPr>
          <w:rStyle w:val="FootnoteReference"/>
        </w:rPr>
        <w:footnoteReference w:id="2119"/>
      </w:r>
      <w:r>
        <w:t xml:space="preserve">. Se a estimulação das células pigmentares ao longo de décadas influencia o risco de câncer de pele não pode ser dito de forma conclusiva com os períodos de observação disponíveis até agora.</w:t>
      </w:r>
    </w:p>
    <w:bookmarkEnd w:id="2120"/>
    <w:bookmarkStart w:id="2122" w:name="diferença-em-relação-ao-mercado-cinza"/>
    <w:p>
      <w:pPr>
        <w:pStyle w:val="Heading4"/>
      </w:pPr>
      <w:r>
        <w:t xml:space="preserve">Diferença em relação ao mercado cinza</w:t>
      </w:r>
    </w:p>
    <w:p>
      <w:pPr>
        <w:pStyle w:val="FirstParagraph"/>
      </w:pPr>
      <w:r>
        <w:t xml:space="preserve">Na internet, o</w:t>
      </w:r>
      <w:r>
        <w:t xml:space="preserve"> </w:t>
      </w:r>
      <w:r>
        <w:t xml:space="preserve">“</w:t>
      </w:r>
      <w:r>
        <w:t xml:space="preserve">melanotan I</w:t>
      </w:r>
      <w:r>
        <w:t xml:space="preserve">”</w:t>
      </w:r>
      <w:r>
        <w:t xml:space="preserve"> </w:t>
      </w:r>
      <w:r>
        <w:t xml:space="preserve">é oferecido como bronzeador. Esses produtos têm em comum com o implante aprovado apenas o nome do princípio ativo: são vendidos como pó para autoinjeção, pureza e teor não são testados, e não há controle médico da pele. Os dados de segurança do tratamento da EPP não podem ser transferidos para eles</w:t>
      </w:r>
      <w:r>
        <w:rPr>
          <w:rStyle w:val="FootnoteReference"/>
        </w:rPr>
        <w:footnoteReference w:id="2121"/>
      </w:r>
      <w:r>
        <w:t xml:space="preserve">.</w:t>
      </w:r>
    </w:p>
    <w:bookmarkEnd w:id="2122"/>
    <w:bookmarkEnd w:id="2123"/>
    <w:bookmarkStart w:id="2127" w:name="situação-legal-48"/>
    <w:p>
      <w:pPr>
        <w:pStyle w:val="Heading3"/>
      </w:pPr>
      <w:r>
        <w:t xml:space="preserve">Situação legal</w:t>
      </w:r>
    </w:p>
    <w:p>
      <w:pPr>
        <w:pStyle w:val="FirstParagraph"/>
      </w:pPr>
      <w:r>
        <w:rPr>
          <w:iCs/>
          <w:i/>
        </w:rPr>
        <w:t xml:space="preserve">Situação em 2026, verificar atualização.</w:t>
      </w:r>
    </w:p>
    <w:p>
      <w:pPr>
        <w:numPr>
          <w:ilvl w:val="0"/>
          <w:numId w:val="1267"/>
        </w:numPr>
        <w:pStyle w:val="Compact"/>
      </w:pPr>
      <w:r>
        <w:rPr>
          <w:bCs/>
          <w:b/>
        </w:rPr>
        <w:t xml:space="preserve">UE:</w:t>
      </w:r>
      <w:r>
        <w:t xml:space="preserve"> </w:t>
      </w:r>
      <w:r>
        <w:t xml:space="preserve">aprovada centralmente desde 2014 como medicamento órfão (Scenesse) para adultos com EPP. O tratamento é feito em centros especializados; um estudo de segurança e um registro europeu fazem parte das condições</w:t>
      </w:r>
      <w:r>
        <w:rPr>
          <w:rStyle w:val="FootnoteReference"/>
        </w:rPr>
        <w:footnoteReference w:id="2124"/>
      </w:r>
      <w:r>
        <w:t xml:space="preserve">.</w:t>
      </w:r>
    </w:p>
    <w:p>
      <w:pPr>
        <w:numPr>
          <w:ilvl w:val="0"/>
          <w:numId w:val="1267"/>
        </w:numPr>
        <w:pStyle w:val="Compact"/>
      </w:pPr>
      <w:r>
        <w:rPr>
          <w:bCs/>
          <w:b/>
        </w:rPr>
        <w:t xml:space="preserve">Alemanha e Áustria:</w:t>
      </w:r>
      <w:r>
        <w:t xml:space="preserve"> </w:t>
      </w:r>
      <w:r>
        <w:t xml:space="preserve">disponível em clínicas especializadas em porfiria e dermatologia; a cobertura dos custos deve ser esclarecida caso a caso. Há coortes de tratamento publicadas de ambos os países</w:t>
      </w:r>
      <w:r>
        <w:rPr>
          <w:rStyle w:val="FootnoteReference"/>
        </w:rPr>
        <w:footnoteReference w:id="2125"/>
      </w:r>
      <w:r>
        <w:t xml:space="preserve">.</w:t>
      </w:r>
    </w:p>
    <w:p>
      <w:pPr>
        <w:numPr>
          <w:ilvl w:val="0"/>
          <w:numId w:val="1267"/>
        </w:numPr>
        <w:pStyle w:val="Compact"/>
      </w:pPr>
      <w:r>
        <w:rPr>
          <w:bCs/>
          <w:b/>
        </w:rPr>
        <w:t xml:space="preserve">EUA:</w:t>
      </w:r>
      <w:r>
        <w:t xml:space="preserve"> </w:t>
      </w:r>
      <w:r>
        <w:t xml:space="preserve">aprovada desde 2019 para adultos com EPP e reações à luz.</w:t>
      </w:r>
    </w:p>
    <w:p>
      <w:pPr>
        <w:numPr>
          <w:ilvl w:val="0"/>
          <w:numId w:val="1267"/>
        </w:numPr>
        <w:pStyle w:val="Compact"/>
      </w:pPr>
      <w:r>
        <w:rPr>
          <w:bCs/>
          <w:b/>
        </w:rPr>
        <w:t xml:space="preserve">Custos:</w:t>
      </w:r>
      <w:r>
        <w:t xml:space="preserve"> </w:t>
      </w:r>
      <w:r>
        <w:t xml:space="preserve">a afamelanotida está entre os medicamentos caros para doenças raras. Na Inglaterra, a agência de avaliação NICE recusou o financiamento – até agora a única terapia em seu programa para doenças muito raras. Representantes de pacientes criticam o cálculo utilizado nessa decisão</w:t>
      </w:r>
      <w:r>
        <w:rPr>
          <w:rStyle w:val="FootnoteReference"/>
        </w:rPr>
        <w:footnoteReference w:id="2126"/>
      </w:r>
      <w:r>
        <w:t xml:space="preserve">.</w:t>
      </w:r>
    </w:p>
    <w:p>
      <w:pPr>
        <w:numPr>
          <w:ilvl w:val="0"/>
          <w:numId w:val="1267"/>
        </w:numPr>
        <w:pStyle w:val="Compact"/>
      </w:pPr>
      <w:r>
        <w:rPr>
          <w:bCs/>
          <w:b/>
        </w:rPr>
        <w:t xml:space="preserve">WADA:</w:t>
      </w:r>
      <w:r>
        <w:t xml:space="preserve"> </w:t>
      </w:r>
      <w:r>
        <w:t xml:space="preserve">não listada.</w:t>
      </w:r>
    </w:p>
    <w:bookmarkEnd w:id="2127"/>
    <w:bookmarkStart w:id="2133" w:name="estudos-em-andamento-e-perspectivas-48"/>
    <w:p>
      <w:pPr>
        <w:pStyle w:val="Heading3"/>
      </w:pPr>
      <w:r>
        <w:t xml:space="preserve">Estudos em andamento e perspectivas</w:t>
      </w:r>
    </w:p>
    <w:p>
      <w:pPr>
        <w:pStyle w:val="FirstParagraph"/>
      </w:pPr>
      <w:r>
        <w:rPr>
          <w:bCs/>
          <w:b/>
        </w:rPr>
        <w:t xml:space="preserve">Confirmado (estudos registrados):</w:t>
      </w:r>
    </w:p>
    <w:p>
      <w:pPr>
        <w:numPr>
          <w:ilvl w:val="0"/>
          <w:numId w:val="1268"/>
        </w:numPr>
        <w:pStyle w:val="Compact"/>
      </w:pPr>
      <w:r>
        <w:rPr>
          <w:bCs/>
          <w:b/>
        </w:rPr>
        <w:t xml:space="preserve">Vitiligo, fase 3:</w:t>
      </w:r>
      <w:r>
        <w:t xml:space="preserve"> </w:t>
      </w:r>
      <w:r>
        <w:t xml:space="preserve">um estudo com 200 pessoas compara afamelanotida mais UVB de banda estreita com fototerapia isolada</w:t>
      </w:r>
      <w:r>
        <w:rPr>
          <w:rStyle w:val="FootnoteReference"/>
        </w:rPr>
        <w:footnoteReference w:id="2128"/>
      </w:r>
      <w:r>
        <w:t xml:space="preserve">. O término previsto era junho de 2026; resultados revisados por pares não estavam publicados no PubMed no fechamento desta edição. Um pequeno estudo sobre vitiligo no rosto</w:t>
      </w:r>
      <w:r>
        <w:rPr>
          <w:rStyle w:val="FootnoteReference"/>
        </w:rPr>
        <w:footnoteReference w:id="2129"/>
      </w:r>
      <w:r>
        <w:t xml:space="preserve"> </w:t>
      </w:r>
      <w:r>
        <w:t xml:space="preserve">está registrado.</w:t>
      </w:r>
    </w:p>
    <w:p>
      <w:pPr>
        <w:numPr>
          <w:ilvl w:val="0"/>
          <w:numId w:val="1268"/>
        </w:numPr>
        <w:pStyle w:val="Compact"/>
      </w:pPr>
      <w:r>
        <w:rPr>
          <w:bCs/>
          <w:b/>
        </w:rPr>
        <w:t xml:space="preserve">Outras doenças raras de sensibilidade à luz:</w:t>
      </w:r>
      <w:r>
        <w:t xml:space="preserve"> </w:t>
      </w:r>
      <w:r>
        <w:t xml:space="preserve">pequenos estudos de fase 2 sobre porfiria variegata (NCT05854784, concluído) e sobre xeroderma pigmentoso, uma doença hereditária com reparo deficiente de danos UV</w:t>
      </w:r>
      <w:r>
        <w:rPr>
          <w:rStyle w:val="FootnoteReference"/>
        </w:rPr>
        <w:footnoteReference w:id="2130"/>
      </w:r>
      <w:r>
        <w:t xml:space="preserve">.</w:t>
      </w:r>
    </w:p>
    <w:p>
      <w:pPr>
        <w:numPr>
          <w:ilvl w:val="0"/>
          <w:numId w:val="1268"/>
        </w:numPr>
        <w:pStyle w:val="Compact"/>
      </w:pPr>
      <w:r>
        <w:rPr>
          <w:bCs/>
          <w:b/>
        </w:rPr>
        <w:t xml:space="preserve">Farmacologia:</w:t>
      </w:r>
      <w:r>
        <w:t xml:space="preserve"> </w:t>
      </w:r>
      <w:r>
        <w:t xml:space="preserve">um estudo de farmacocinética na EPP com 28 pessoas foi concluído</w:t>
      </w:r>
      <w:r>
        <w:rPr>
          <w:rStyle w:val="FootnoteReference"/>
        </w:rPr>
        <w:footnoteReference w:id="2131"/>
      </w:r>
      <w:r>
        <w:t xml:space="preserve">.</w:t>
      </w:r>
    </w:p>
    <w:p>
      <w:pPr>
        <w:pStyle w:val="FirstParagraph"/>
      </w:pPr>
      <w:r>
        <w:rPr>
          <w:bCs/>
          <w:b/>
        </w:rPr>
        <w:t xml:space="preserve">Nova concorrência:</w:t>
      </w:r>
      <w:r>
        <w:t xml:space="preserve"> </w:t>
      </w:r>
      <w:r>
        <w:t xml:space="preserve">para a EPP estão sendo desenvolvidos dois comprimidos: dersimelagona, um agonista de MC1R não peptídico, e bitopertina, que atua na formação do pigmento vermelho do sangue. Ambos mostraram efeitos em estudos contra placebo; ainda faltam comparações com a afamelanotida</w:t>
      </w:r>
      <w:r>
        <w:rPr>
          <w:rStyle w:val="FootnoteReference"/>
        </w:rPr>
        <w:footnoteReference w:id="2132"/>
      </w:r>
      <w:r>
        <w:t xml:space="preserve">.</w:t>
      </w:r>
    </w:p>
    <w:p>
      <w:pPr>
        <w:pStyle w:val="BodyText"/>
      </w:pPr>
      <w:r>
        <w:rPr>
          <w:bCs/>
          <w:b/>
        </w:rPr>
        <w:t xml:space="preserve">Avaliação do autor:</w:t>
      </w:r>
      <w:r>
        <w:t xml:space="preserve"> </w:t>
      </w:r>
      <w:r>
        <w:t xml:space="preserve">a afamelanotida continuará sendo, por enquanto, a referência para a EPP. Se ela terá papel no vitiligo depende do resultado do estudo de fase 3; a combinação com fototerapia é trabalhosa, e com os cremes de inibidores de JAK já existem outras opções. Uma aprovação para adolescentes seria especialmente importante na EPP, porque a doença começa na infância.</w:t>
      </w:r>
    </w:p>
    <w:bookmarkEnd w:id="2133"/>
    <w:bookmarkStart w:id="2134" w:name="conclusão-48"/>
    <w:p>
      <w:pPr>
        <w:pStyle w:val="Heading3"/>
      </w:pPr>
      <w:r>
        <w:t xml:space="preserve">Conclusão</w:t>
      </w:r>
    </w:p>
    <w:p>
      <w:pPr>
        <w:pStyle w:val="FirstParagraph"/>
      </w:pPr>
      <w:r>
        <w:t xml:space="preserve">A afamelanotida é o peptídeo mais bem estudado e o único aprovado na UE que estimula o bronzeamento da pele pelo sistema das melanocortinas. Em adultos com protoporfiria eritropoética, prolongou em dois estudos randomizados o tempo sem dor sob a luz do sol e melhorou a qualidade de vida; coortes de longo prazo de vários países mostram altas taxas de continuidade, com efeitos colaterais predominantemente leves. No vitiligo, acelerou em um estudo randomizado a repigmentação sob fototerapia; os resultados de fase 3 ainda estão pendentes. O implante controlado em ambulatório especializado não tem praticamente nada em comum com o</w:t>
      </w:r>
      <w:r>
        <w:t xml:space="preserve"> </w:t>
      </w:r>
      <w:r>
        <w:t xml:space="preserve">“</w:t>
      </w:r>
      <w:r>
        <w:t xml:space="preserve">melanotan I</w:t>
      </w:r>
      <w:r>
        <w:t xml:space="preserve">”</w:t>
      </w:r>
      <w:r>
        <w:t xml:space="preserve"> </w:t>
      </w:r>
      <w:r>
        <w:t xml:space="preserve">do mercado cinza para bronzeamento cosmético.</w:t>
      </w:r>
    </w:p>
    <w:bookmarkEnd w:id="2134"/>
    <w:bookmarkEnd w:id="2135"/>
    <w:bookmarkStart w:id="2194" w:name="kisspeptina"/>
    <w:p>
      <w:pPr>
        <w:pStyle w:val="Heading2"/>
      </w:pPr>
      <w:r>
        <w:t xml:space="preserve">Kisspeptina</w:t>
      </w:r>
    </w:p>
    <w:bookmarkStart w:id="2138" w:name="ficha-técnica-49"/>
    <w:p>
      <w:pPr>
        <w:pStyle w:val="Heading3"/>
      </w:pPr>
      <w:r>
        <w:t xml:space="preserve">Ficha técnica</w:t>
      </w:r>
    </w:p>
    <w:p>
      <w:pPr>
        <w:numPr>
          <w:ilvl w:val="0"/>
          <w:numId w:val="1269"/>
        </w:numPr>
        <w:pStyle w:val="Compact"/>
      </w:pPr>
      <w:r>
        <w:rPr>
          <w:bCs/>
          <w:b/>
        </w:rPr>
        <w:t xml:space="preserve">Tipo/estrutura:</w:t>
      </w:r>
      <w:r>
        <w:t xml:space="preserve"> </w:t>
      </w:r>
      <w:r>
        <w:t xml:space="preserve">família de peptídeos endógenos. O gene KISS1 fornece uma proteína precursora da qual surgem fragmentos de diferentes comprimentos: kisspeptina-54 (54 aminoácidos, a forma predominante no sangue), kisspeptina-14, -13 e -10. A forma mais curta, a kisspeptina-10, já contém a parte totalmente ativa. Em estudos, são usadas as formas naturais e variantes sintéticas mais estáveis (como MVT-602 e TAK-448).</w:t>
      </w:r>
    </w:p>
    <w:p>
      <w:pPr>
        <w:numPr>
          <w:ilvl w:val="0"/>
          <w:numId w:val="1269"/>
        </w:numPr>
        <w:pStyle w:val="Compact"/>
      </w:pPr>
      <w:r>
        <w:rPr>
          <w:bCs/>
          <w:b/>
        </w:rPr>
        <w:t xml:space="preserve">Origem:</w:t>
      </w:r>
      <w:r>
        <w:t xml:space="preserve"> </w:t>
      </w:r>
      <w:r>
        <w:t xml:space="preserve">descoberta em 1996, inicialmente como gene que freia a formação de metástases de células de melanoma</w:t>
      </w:r>
      <w:r>
        <w:rPr>
          <w:rStyle w:val="FootnoteReference"/>
        </w:rPr>
        <w:footnoteReference w:id="2136"/>
      </w:r>
      <w:r>
        <w:t xml:space="preserve">. O nome remete à cidade de Hershey, na Pensilvânia, terra do chocolate</w:t>
      </w:r>
      <w:r>
        <w:t xml:space="preserve"> </w:t>
      </w:r>
      <w:r>
        <w:t xml:space="preserve">“</w:t>
      </w:r>
      <w:r>
        <w:t xml:space="preserve">Kisses</w:t>
      </w:r>
      <w:r>
        <w:t xml:space="preserve">”</w:t>
      </w:r>
      <w:r>
        <w:t xml:space="preserve">. Em 2001, o peptídeo foi identificado como mensageiro de um receptor até então</w:t>
      </w:r>
      <w:r>
        <w:t xml:space="preserve"> </w:t>
      </w:r>
      <w:r>
        <w:t xml:space="preserve">“</w:t>
      </w:r>
      <w:r>
        <w:t xml:space="preserve">órfão</w:t>
      </w:r>
      <w:r>
        <w:t xml:space="preserve">”</w:t>
      </w:r>
      <w:r>
        <w:t xml:space="preserve"> </w:t>
      </w:r>
      <w:r>
        <w:t xml:space="preserve">e chamado inicialmente de metastina</w:t>
      </w:r>
      <w:r>
        <w:rPr>
          <w:rStyle w:val="FootnoteReference"/>
        </w:rPr>
        <w:footnoteReference w:id="2137"/>
      </w:r>
      <w:r>
        <w:t xml:space="preserve">.</w:t>
      </w:r>
    </w:p>
    <w:p>
      <w:pPr>
        <w:numPr>
          <w:ilvl w:val="0"/>
          <w:numId w:val="1269"/>
        </w:numPr>
        <w:pStyle w:val="Compact"/>
      </w:pPr>
      <w:r>
        <w:rPr>
          <w:bCs/>
          <w:b/>
        </w:rPr>
        <w:t xml:space="preserve">Mecanismo de ação:</w:t>
      </w:r>
      <w:r>
        <w:t xml:space="preserve"> </w:t>
      </w:r>
      <w:r>
        <w:t xml:space="preserve">agonista do receptor de kisspeptina (KISS1R, antes GPR54) nos neurônios de GnRH do hipotálamo. A kisspeptina é o mais importante desencadeador conhecido da liberação de GnRH e, com isso, de todo o eixo hormonal da reprodução.</w:t>
      </w:r>
    </w:p>
    <w:p>
      <w:pPr>
        <w:numPr>
          <w:ilvl w:val="0"/>
          <w:numId w:val="1269"/>
        </w:numPr>
        <w:pStyle w:val="Compact"/>
      </w:pPr>
      <w:r>
        <w:rPr>
          <w:bCs/>
          <w:b/>
        </w:rPr>
        <w:t xml:space="preserve">Aprovação na UE:</w:t>
      </w:r>
      <w:r>
        <w:t xml:space="preserve"> </w:t>
      </w:r>
      <w:r>
        <w:t xml:space="preserve">não.</w:t>
      </w:r>
    </w:p>
    <w:p>
      <w:pPr>
        <w:numPr>
          <w:ilvl w:val="0"/>
          <w:numId w:val="1269"/>
        </w:numPr>
        <w:pStyle w:val="Compact"/>
      </w:pPr>
      <w:r>
        <w:rPr>
          <w:bCs/>
          <w:b/>
        </w:rPr>
        <w:t xml:space="preserve">Aprovação nos EUA:</w:t>
      </w:r>
      <w:r>
        <w:t xml:space="preserve"> </w:t>
      </w:r>
      <w:r>
        <w:t xml:space="preserve">não.</w:t>
      </w:r>
    </w:p>
    <w:p>
      <w:pPr>
        <w:numPr>
          <w:ilvl w:val="0"/>
          <w:numId w:val="1269"/>
        </w:numPr>
        <w:pStyle w:val="Compact"/>
      </w:pPr>
      <w:r>
        <w:rPr>
          <w:bCs/>
          <w:b/>
        </w:rPr>
        <w:t xml:space="preserve">WADA:</w:t>
      </w:r>
      <w:r>
        <w:t xml:space="preserve"> </w:t>
      </w:r>
      <w:r>
        <w:t xml:space="preserve">não citada nominalmente. Como princípio ativo não aprovado, a kisspeptina enquadra-se no S0; em homens, o grupo S2 abrange, além disso, os fatores liberadores do hormônio luteinizante.</w:t>
      </w:r>
    </w:p>
    <w:p>
      <w:pPr>
        <w:numPr>
          <w:ilvl w:val="0"/>
          <w:numId w:val="1269"/>
        </w:numPr>
        <w:pStyle w:val="Compact"/>
      </w:pPr>
      <w:r>
        <w:rPr>
          <w:bCs/>
          <w:b/>
        </w:rPr>
        <w:t xml:space="preserve">Nível de evidência:</w:t>
      </w:r>
      <w:r>
        <w:t xml:space="preserve"> </w:t>
      </w:r>
      <w:r>
        <w:rPr>
          <w:bCs/>
          <w:b/>
        </w:rPr>
        <w:t xml:space="preserve">B</w:t>
      </w:r>
      <w:r>
        <w:t xml:space="preserve"> </w:t>
      </w:r>
      <w:r>
        <w:t xml:space="preserve">– numerosos estudos pequenos, em parte randomizados, e vários estudos randomizados de fase 2, sobretudo de Londres e Boston. Nenhum estudo de fase 3, nenhuma aprovação.</w:t>
      </w:r>
    </w:p>
    <w:bookmarkEnd w:id="2138"/>
    <w:bookmarkStart w:id="2140" w:name="como-deveria-agir-49"/>
    <w:p>
      <w:pPr>
        <w:pStyle w:val="Heading3"/>
      </w:pPr>
      <w:r>
        <w:t xml:space="preserve">Como deveria agir</w:t>
      </w:r>
    </w:p>
    <w:p>
      <w:pPr>
        <w:pStyle w:val="FirstParagraph"/>
      </w:pPr>
      <w:r>
        <w:t xml:space="preserve">A reprodução humana é controlada por uma cadeia de hormônios. No topo está o hormônio GnRH (hormônio liberador de gonadotrofinas), do hipotálamo, secretado em pulsos. Ele induz a hipófise a liberar os hormônios LH (hormônio luteinizante) e FSH (hormônio folículo-estimulante). Estes, por sua vez, controlam ovários e testículos: maturação dos óvulos e ovulação, formação de espermatozoides, produção de estrogênio e testosterona. O capítulo sobre a gonadorelina (2E06) descreve esse eixo com mais detalhes.</w:t>
      </w:r>
    </w:p>
    <w:p>
      <w:pPr>
        <w:pStyle w:val="BodyText"/>
      </w:pPr>
      <w:r>
        <w:t xml:space="preserve">A kisspeptina fica um nível acima do GnRH. Neurônios especiais do hipotálamo a secretam e, com isso,</w:t>
      </w:r>
      <w:r>
        <w:t xml:space="preserve"> </w:t>
      </w:r>
      <w:r>
        <w:t xml:space="preserve">“</w:t>
      </w:r>
      <w:r>
        <w:t xml:space="preserve">ligam</w:t>
      </w:r>
      <w:r>
        <w:t xml:space="preserve">”</w:t>
      </w:r>
      <w:r>
        <w:t xml:space="preserve"> </w:t>
      </w:r>
      <w:r>
        <w:t xml:space="preserve">as células de GnRH. O quão central é essa função ficou claro em 2003: pessoas com receptor de kisspeptina defeituoso não entram na puberdade e permanecem inférteis</w:t>
      </w:r>
      <w:r>
        <w:rPr>
          <w:rStyle w:val="FootnoteReference"/>
        </w:rPr>
        <w:footnoteReference w:id="2139"/>
      </w:r>
      <w:r>
        <w:t xml:space="preserve">.</w:t>
      </w:r>
    </w:p>
    <w:p>
      <w:pPr>
        <w:pStyle w:val="BodyText"/>
      </w:pPr>
      <w:r>
        <w:t xml:space="preserve">Para a medicina, a kisspeptina é interessante por dois motivos:</w:t>
      </w:r>
    </w:p>
    <w:p>
      <w:pPr>
        <w:numPr>
          <w:ilvl w:val="0"/>
          <w:numId w:val="1270"/>
        </w:numPr>
        <w:pStyle w:val="Compact"/>
      </w:pPr>
      <w:r>
        <w:rPr>
          <w:bCs/>
          <w:b/>
        </w:rPr>
        <w:t xml:space="preserve">Ela age</w:t>
      </w:r>
      <w:r>
        <w:rPr>
          <w:bCs/>
          <w:b/>
        </w:rPr>
        <w:t xml:space="preserve"> </w:t>
      </w:r>
      <w:r>
        <w:rPr>
          <w:bCs/>
          <w:b/>
        </w:rPr>
        <w:t xml:space="preserve">“</w:t>
      </w:r>
      <w:r>
        <w:rPr>
          <w:bCs/>
          <w:b/>
        </w:rPr>
        <w:t xml:space="preserve">de cima</w:t>
      </w:r>
      <w:r>
        <w:rPr>
          <w:bCs/>
          <w:b/>
        </w:rPr>
        <w:t xml:space="preserve">”</w:t>
      </w:r>
      <w:r>
        <w:rPr>
          <w:bCs/>
          <w:b/>
        </w:rPr>
        <w:t xml:space="preserve">.</w:t>
      </w:r>
      <w:r>
        <w:t xml:space="preserve"> </w:t>
      </w:r>
      <w:r>
        <w:t xml:space="preserve">Diferentemente de medicamentos que substituem diretamente o LH ou o FSH, a kisspeptina estimula a secreção de GnRH do próprio corpo. A liberação hormonal subsequente continua sujeita aos mecanismos naturais de retroalimentação. Isso torna menos provável uma hiperestimulação dos ovários.</w:t>
      </w:r>
    </w:p>
    <w:p>
      <w:pPr>
        <w:numPr>
          <w:ilvl w:val="0"/>
          <w:numId w:val="1270"/>
        </w:numPr>
        <w:pStyle w:val="Compact"/>
      </w:pPr>
      <w:r>
        <w:rPr>
          <w:bCs/>
          <w:b/>
        </w:rPr>
        <w:t xml:space="preserve">Por pouco tempo, estimula; de forma contínua, freia.</w:t>
      </w:r>
      <w:r>
        <w:t xml:space="preserve"> </w:t>
      </w:r>
      <w:r>
        <w:t xml:space="preserve">Com administração ininterrupta, os receptores se habituam ao sinal (taquifilaxia), e o eixo hormonal desacelera. Isso é um problema quando se quer favorecer a fertilidade – e uma oportunidade quando se quer reduzir hormônios, como no câncer de próstata.</w:t>
      </w:r>
    </w:p>
    <w:p>
      <w:pPr>
        <w:pStyle w:val="FirstParagraph"/>
      </w:pPr>
      <w:r>
        <w:t xml:space="preserve">Receptores de kisspeptina também se encontram em regiões cerebrais que processam emoções e estímulos sexuais. Daí surgiu a ideia de que a kisspeptina poderia influenciar o desejo sexual.</w:t>
      </w:r>
    </w:p>
    <w:bookmarkEnd w:id="2140"/>
    <w:bookmarkStart w:id="2175" w:name="estudos-em-humanos-49"/>
    <w:p>
      <w:pPr>
        <w:pStyle w:val="Heading3"/>
      </w:pPr>
      <w:r>
        <w:t xml:space="preserve">Estudos em humanos</w:t>
      </w:r>
    </w:p>
    <w:p>
      <w:pPr>
        <w:pStyle w:val="FirstParagraph"/>
      </w:pPr>
      <w:r>
        <w:rPr>
          <w:bCs/>
          <w:b/>
        </w:rPr>
        <w:t xml:space="preserve">Dimensão do conjunto de estudos (consulta em outubro de 2026):</w:t>
      </w:r>
      <w:r>
        <w:t xml:space="preserve"> </w:t>
      </w:r>
      <w:r>
        <w:t xml:space="preserve">a busca automatizada deste livro encontrou</w:t>
      </w:r>
      <w:r>
        <w:t xml:space="preserve"> </w:t>
      </w:r>
      <w:r>
        <w:rPr>
          <w:bCs/>
          <w:b/>
        </w:rPr>
        <w:t xml:space="preserve">37</w:t>
      </w:r>
      <w:r>
        <w:t xml:space="preserve"> </w:t>
      </w:r>
      <w:r>
        <w:t xml:space="preserve">estudos em humanos no PubMed (</w:t>
      </w:r>
      <w:r>
        <w:rPr>
          <w:rStyle w:val="VerbatimChar"/>
        </w:rPr>
        <w:t xml:space="preserve">humanstudien_alle</w:t>
      </w:r>
      <w:r>
        <w:t xml:space="preserve">) e</w:t>
      </w:r>
      <w:r>
        <w:t xml:space="preserve"> </w:t>
      </w:r>
      <w:r>
        <w:rPr>
          <w:bCs/>
          <w:b/>
        </w:rPr>
        <w:t xml:space="preserve">36</w:t>
      </w:r>
      <w:r>
        <w:t xml:space="preserve"> </w:t>
      </w:r>
      <w:r>
        <w:t xml:space="preserve">registros no ClinicalTrials.gov. Nem todos administram kisspeptina como princípio ativo: alguns estudos apenas medem os níveis de kisspeptina no sangue, por exemplo na gravidez. A administração de kisspeptina em humanos foi impulsionada por poucos grupos de trabalho, sobretudo no Imperial College London e no Massachusetts General Hospital, em Boston. A maioria dos estudos tem menos de 50 participantes.</w:t>
      </w:r>
    </w:p>
    <w:bookmarkStart w:id="2145" w:name="primeiras-administrações-e-fundamentos"/>
    <w:p>
      <w:pPr>
        <w:pStyle w:val="Heading4"/>
      </w:pPr>
      <w:r>
        <w:t xml:space="preserve">Primeiras administrações e fundamentos</w:t>
      </w:r>
    </w:p>
    <w:p>
      <w:pPr>
        <w:pStyle w:val="FirstParagraph"/>
      </w:pPr>
      <w:r>
        <w:t xml:space="preserve">O primeiro estudo em humanos incluiu, em 2005, seis homens saudáveis. Uma infusão de 90 minutos de kisspeptina-54 aumentou significativamente LH, FSH e testosterona em comparação com soro fisiológico</w:t>
      </w:r>
      <w:r>
        <w:rPr>
          <w:rStyle w:val="FootnoteReference"/>
        </w:rPr>
        <w:footnoteReference w:id="2141"/>
      </w:r>
      <w:r>
        <w:t xml:space="preserve">. A meia-vida no sangue foi de quase 28 minutos. Nas mulheres, o efeito depende fortemente da fase do ciclo e é mais forte pouco antes da ovulação</w:t>
      </w:r>
      <w:r>
        <w:rPr>
          <w:rStyle w:val="FootnoteReference"/>
        </w:rPr>
        <w:footnoteReference w:id="2142"/>
      </w:r>
      <w:r>
        <w:t xml:space="preserve">.</w:t>
      </w:r>
    </w:p>
    <w:p>
      <w:pPr>
        <w:pStyle w:val="BodyText"/>
      </w:pPr>
      <w:r>
        <w:t xml:space="preserve">A kisspeptina-10 provocou em homens saudáveis um rápido aumento de LH dependente da dose e, em infusão contínua, aumentou a frequência dos pulsos de LH</w:t>
      </w:r>
      <w:r>
        <w:rPr>
          <w:rStyle w:val="FootnoteReference"/>
        </w:rPr>
        <w:footnoteReference w:id="2143"/>
      </w:r>
      <w:r>
        <w:t xml:space="preserve">. Crianças com puberdade atrasada reagiram de forma muito diferente: algumas tiveram resposta nítida, outras nenhuma</w:t>
      </w:r>
      <w:r>
        <w:rPr>
          <w:rStyle w:val="FootnoteReference"/>
        </w:rPr>
        <w:footnoteReference w:id="2144"/>
      </w:r>
      <w:r>
        <w:t xml:space="preserve">. No futuro, isso poderia ajudar a distinguir uma puberdade apenas tardia de uma deficiência hormonal permanente.</w:t>
      </w:r>
    </w:p>
    <w:bookmarkEnd w:id="2145"/>
    <w:bookmarkStart w:id="2152" w:name="Xa017ca82010760b14151101b3df3a74cfcc880b"/>
    <w:p>
      <w:pPr>
        <w:pStyle w:val="Heading4"/>
      </w:pPr>
      <w:r>
        <w:t xml:space="preserve">Tratamento de fertilidade: maturação dos óvulos</w:t>
      </w:r>
    </w:p>
    <w:p>
      <w:pPr>
        <w:pStyle w:val="FirstParagraph"/>
      </w:pPr>
      <w:r>
        <w:t xml:space="preserve">A aplicação mais desenvolvida até agora é o desencadeamento da maturação dos óvulos na fertilização in vitro (FIV). Normalmente, injeta-se para isso o hormônio hCG. O hCG age por muito tempo e pode provocar, em mulheres sensíveis, uma síndrome de hiperestimulação ovariana (SHO) – um deslocamento de líquidos que, em casos extremos, é potencialmente fatal. A kisspeptina, em vez disso, desencadeia uma onda de LH do próprio corpo, mais curta.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Jayasena 2014, PMID 25036713</w:t>
            </w:r>
          </w:p>
        </w:tc>
        <w:tc>
          <w:tcPr/>
          <w:p>
            <w:pPr>
              <w:pStyle w:val="Compact"/>
              <w:jc w:val="left"/>
            </w:pPr>
            <w:r>
              <w:t xml:space="preserve">53 mulheres em tratamento de FIV, estudo de dose sem grupo de controle</w:t>
            </w:r>
          </w:p>
        </w:tc>
        <w:tc>
          <w:tcPr/>
          <w:p>
            <w:pPr>
              <w:pStyle w:val="Compact"/>
              <w:jc w:val="left"/>
            </w:pPr>
            <w:r>
              <w:t xml:space="preserve">um ciclo</w:t>
            </w:r>
          </w:p>
        </w:tc>
        <w:tc>
          <w:tcPr/>
          <w:p>
            <w:pPr>
              <w:pStyle w:val="Compact"/>
              <w:jc w:val="left"/>
            </w:pPr>
            <w:r>
              <w:t xml:space="preserve">Maturação dos óvulos em todas as doses; gravidez clínica 23%</w:t>
            </w:r>
          </w:p>
        </w:tc>
      </w:tr>
      <w:tr>
        <w:tc>
          <w:tcPr/>
          <w:p>
            <w:pPr>
              <w:pStyle w:val="Compact"/>
              <w:jc w:val="left"/>
            </w:pPr>
            <w:r>
              <w:t xml:space="preserve">Abbara 2015, PMID 26192876</w:t>
            </w:r>
          </w:p>
        </w:tc>
        <w:tc>
          <w:tcPr/>
          <w:p>
            <w:pPr>
              <w:pStyle w:val="Compact"/>
              <w:jc w:val="left"/>
            </w:pPr>
            <w:r>
              <w:t xml:space="preserve">60 mulheres com alto risco de SHO, estudo de dose randomizado</w:t>
            </w:r>
          </w:p>
        </w:tc>
        <w:tc>
          <w:tcPr/>
          <w:p>
            <w:pPr>
              <w:pStyle w:val="Compact"/>
              <w:jc w:val="left"/>
            </w:pPr>
            <w:r>
              <w:t xml:space="preserve">um ciclo</w:t>
            </w:r>
          </w:p>
        </w:tc>
        <w:tc>
          <w:tcPr/>
          <w:p>
            <w:pPr>
              <w:pStyle w:val="Compact"/>
              <w:jc w:val="left"/>
            </w:pPr>
            <w:r>
              <w:t xml:space="preserve">Maturação dos óvulos em 95%; nascido vivo 45% por transferência; nenhuma SHO moderada ou grave</w:t>
            </w:r>
          </w:p>
        </w:tc>
      </w:tr>
      <w:tr>
        <w:tc>
          <w:tcPr/>
          <w:p>
            <w:pPr>
              <w:pStyle w:val="Compact"/>
              <w:jc w:val="left"/>
            </w:pPr>
            <w:r>
              <w:t xml:space="preserve">Abbara 2017, PMID 28854728</w:t>
            </w:r>
          </w:p>
        </w:tc>
        <w:tc>
          <w:tcPr/>
          <w:p>
            <w:pPr>
              <w:pStyle w:val="Compact"/>
              <w:jc w:val="left"/>
            </w:pPr>
            <w:r>
              <w:t xml:space="preserve">62 mulheres com alto risco de SHO, ECR: segunda dose vs. soro fisiológico</w:t>
            </w:r>
          </w:p>
        </w:tc>
        <w:tc>
          <w:tcPr/>
          <w:p>
            <w:pPr>
              <w:pStyle w:val="Compact"/>
              <w:jc w:val="left"/>
            </w:pPr>
            <w:r>
              <w:t xml:space="preserve">um ciclo</w:t>
            </w:r>
          </w:p>
        </w:tc>
        <w:tc>
          <w:tcPr/>
          <w:p>
            <w:pPr>
              <w:pStyle w:val="Compact"/>
              <w:jc w:val="left"/>
            </w:pPr>
            <w:r>
              <w:t xml:space="preserve">rendimento suficiente de óvulos em 71% vs. 45%</w:t>
            </w:r>
          </w:p>
        </w:tc>
      </w:tr>
      <w:tr>
        <w:tc>
          <w:tcPr/>
          <w:p>
            <w:pPr>
              <w:pStyle w:val="Compact"/>
              <w:jc w:val="left"/>
            </w:pPr>
            <w:r>
              <w:t xml:space="preserve">Abbara 2024, PMID 37925096</w:t>
            </w:r>
          </w:p>
        </w:tc>
        <w:tc>
          <w:tcPr/>
          <w:p>
            <w:pPr>
              <w:pStyle w:val="Compact"/>
              <w:jc w:val="left"/>
            </w:pPr>
            <w:r>
              <w:t xml:space="preserve">24 e 75 mulheres saudáveis, dois ECRs com o análogo MVT-602</w:t>
            </w:r>
          </w:p>
        </w:tc>
        <w:tc>
          <w:tcPr/>
          <w:p>
            <w:pPr>
              <w:pStyle w:val="Compact"/>
              <w:jc w:val="left"/>
            </w:pPr>
            <w:r>
              <w:t xml:space="preserve">Dose única</w:t>
            </w:r>
          </w:p>
        </w:tc>
        <w:tc>
          <w:tcPr/>
          <w:p>
            <w:pPr>
              <w:pStyle w:val="Compact"/>
              <w:jc w:val="left"/>
            </w:pPr>
            <w:r>
              <w:t xml:space="preserve">Aumento de LH semelhante ao do meio do ciclo natural; ovulação em até 5 dias em até 100%</w:t>
            </w:r>
          </w:p>
        </w:tc>
      </w:tr>
    </w:tbl>
    <w:p>
      <w:pPr>
        <w:pStyle w:val="BodyText"/>
      </w:pPr>
      <w:r>
        <w:t xml:space="preserve">No primeiro estudo</w:t>
      </w:r>
      <w:r>
        <w:rPr>
          <w:rStyle w:val="FootnoteReference"/>
        </w:rPr>
        <w:footnoteReference w:id="2146"/>
      </w:r>
      <w:r>
        <w:t xml:space="preserve">, 53 mulheres receberam uma única injeção de kisspeptina. Em todas as doses testadas, os óvulos amadureceram; em 49 mulheres, embriões foram transferidos, e doze engravidaram clinicamente. Com isso, demonstrou-se pela primeira vez que uma gravidez é possível após uma maturação de óvulos controlada por kisspeptina.</w:t>
      </w:r>
    </w:p>
    <w:p>
      <w:pPr>
        <w:pStyle w:val="BodyText"/>
      </w:pPr>
      <w:r>
        <w:t xml:space="preserve">O estudo seguinte concentrou-se em mulheres com alto risco de hiperestimulação</w:t>
      </w:r>
      <w:r>
        <w:rPr>
          <w:rStyle w:val="FootnoteReference"/>
        </w:rPr>
        <w:footnoteReference w:id="2147"/>
      </w:r>
      <w:r>
        <w:t xml:space="preserve">. Nenhuma das 60 mulheres desenvolveu SHO moderada ou grave; a taxa de nascidos vivos por transferência de embrião foi de 45%. Uma segunda dose de kisspeptina dez horas após a primeira melhorou o rendimento de óvulos maduros</w:t>
      </w:r>
      <w:r>
        <w:rPr>
          <w:rStyle w:val="FootnoteReference"/>
        </w:rPr>
        <w:footnoteReference w:id="2148"/>
      </w:r>
      <w:r>
        <w:t xml:space="preserve">.</w:t>
      </w:r>
    </w:p>
    <w:p>
      <w:pPr>
        <w:pStyle w:val="BodyText"/>
      </w:pPr>
      <w:r>
        <w:rPr>
          <w:bCs/>
          <w:b/>
        </w:rPr>
        <w:t xml:space="preserve">Contextualização:</w:t>
      </w:r>
      <w:r>
        <w:t xml:space="preserve"> </w:t>
      </w:r>
      <w:r>
        <w:t xml:space="preserve">esses estudos mostram que o princípio funciona. Mas não foram desenhados para comparar diretamente a kisspeptina com as alternativas estabelecidas – além do hCG, já existe para pacientes de alto risco o desencadeamento com um agonista de GnRH. As próprias autoras e autores pedem esses estudos comparativos</w:t>
      </w:r>
      <w:r>
        <w:rPr>
          <w:rStyle w:val="FootnoteReference"/>
        </w:rPr>
        <w:footnoteReference w:id="2149"/>
      </w:r>
      <w:r>
        <w:t xml:space="preserve">.</w:t>
      </w:r>
    </w:p>
    <w:p>
      <w:pPr>
        <w:pStyle w:val="BodyText"/>
      </w:pPr>
      <w:r>
        <w:t xml:space="preserve">O análogo sintético MVT-602 age por muito mais tempo que a kisspeptina natural: o pico de LH em mulheres saudáveis ocorreu após cerca de 21 horas em vez de 5, e a quantidade total de LH secretado foi cerca de quatro vezes maior</w:t>
      </w:r>
      <w:r>
        <w:rPr>
          <w:rStyle w:val="FootnoteReference"/>
        </w:rPr>
        <w:footnoteReference w:id="2150"/>
      </w:r>
      <w:r>
        <w:t xml:space="preserve">. Em dois estudos randomizados com 99 mulheres no total, o MVT-602 foi bem tolerado e, no segundo estudo, provocou ovulação em até cinco dias, conforme a dose, em 75 a 100% das mulheres – porém também em 60% com placebo, porque as participantes eram saudáveis</w:t>
      </w:r>
      <w:r>
        <w:rPr>
          <w:rStyle w:val="FootnoteReference"/>
        </w:rPr>
        <w:footnoteReference w:id="2151"/>
      </w:r>
      <w:r>
        <w:t xml:space="preserve">.</w:t>
      </w:r>
    </w:p>
    <w:bookmarkEnd w:id="2152"/>
    <w:bookmarkStart w:id="2158" w:name="ausência-de-menstruação-e-sop"/>
    <w:p>
      <w:pPr>
        <w:pStyle w:val="Heading4"/>
      </w:pPr>
      <w:r>
        <w:t xml:space="preserve">Ausência de menstruação e SOP</w:t>
      </w:r>
    </w:p>
    <w:p>
      <w:pPr>
        <w:pStyle w:val="FirstParagraph"/>
      </w:pPr>
      <w:r>
        <w:t xml:space="preserve">Na amenorreia hipotalâmica, a menstruação não ocorre porque o cérebro – muitas vezes por baixo peso, esporte intenso ou estresse – secreta pouco GnRH. Uma única injeção de kisspeptina aumentou fortemente o LH e o FSH em mulheres afetadas. Com administração duas vezes ao dia durante duas semanas, porém, o efeito quase desapareceu</w:t>
      </w:r>
      <w:r>
        <w:rPr>
          <w:rStyle w:val="FootnoteReference"/>
        </w:rPr>
        <w:footnoteReference w:id="2153"/>
      </w:r>
      <w:r>
        <w:t xml:space="preserve">. Administrações duas vezes por semana levaram apenas a uma habituação parcial</w:t>
      </w:r>
      <w:r>
        <w:rPr>
          <w:rStyle w:val="FootnoteReference"/>
        </w:rPr>
        <w:footnoteReference w:id="2154"/>
      </w:r>
      <w:r>
        <w:t xml:space="preserve">, e uma infusão contínua triplicou temporariamente o número de pulsos de LH</w:t>
      </w:r>
      <w:r>
        <w:rPr>
          <w:rStyle w:val="FootnoteReference"/>
        </w:rPr>
        <w:footnoteReference w:id="2155"/>
      </w:r>
      <w:r>
        <w:t xml:space="preserve">. Em pessoas com defeito genético no sistema da neurocinina B, uma infusão de kisspeptina restabeleceu a secreção hormonal pulsátil</w:t>
      </w:r>
      <w:r>
        <w:rPr>
          <w:rStyle w:val="FootnoteReference"/>
        </w:rPr>
        <w:footnoteReference w:id="2156"/>
      </w:r>
      <w:r>
        <w:t xml:space="preserve">.</w:t>
      </w:r>
    </w:p>
    <w:p>
      <w:pPr>
        <w:pStyle w:val="BodyText"/>
      </w:pPr>
      <w:r>
        <w:t xml:space="preserve">Na síndrome dos ovários policísticos (SOP), a situação é mais complicada. Em um estudo-piloto com 12 mulheres, a kisspeptina aumentou o nível de LH apenas ligeiramente; duas mulheres ovularam, na maioria nada aconteceu</w:t>
      </w:r>
      <w:r>
        <w:rPr>
          <w:rStyle w:val="FootnoteReference"/>
        </w:rPr>
        <w:footnoteReference w:id="2157"/>
      </w:r>
      <w:r>
        <w:t xml:space="preserve">.</w:t>
      </w:r>
    </w:p>
    <w:bookmarkEnd w:id="2158"/>
    <w:bookmarkStart w:id="2161" w:name="homens-testosterona-e-diabetes"/>
    <w:p>
      <w:pPr>
        <w:pStyle w:val="Heading4"/>
      </w:pPr>
      <w:r>
        <w:t xml:space="preserve">Homens: testosterona e diabetes</w:t>
      </w:r>
    </w:p>
    <w:p>
      <w:pPr>
        <w:pStyle w:val="FirstParagraph"/>
      </w:pPr>
      <w:r>
        <w:t xml:space="preserve">Em cinco homens com diabetes tipo 2 e testosterona baixa, uma infusão de kisspeptina-10 aumentou o LH, a frequência dos pulsos de LH e a testosterona</w:t>
      </w:r>
      <w:r>
        <w:rPr>
          <w:rStyle w:val="FootnoteReference"/>
        </w:rPr>
        <w:footnoteReference w:id="2159"/>
      </w:r>
      <w:r>
        <w:t xml:space="preserve">. Um novo estudo com 15 homens saudáveis mostrou que infusões subcutâneas diárias de oito horas mantiveram a secreção hormonal por doze dias, enquanto uma infusão contínua deixou de ter efeito sobre LH e FSH após cinco dias</w:t>
      </w:r>
      <w:r>
        <w:rPr>
          <w:rStyle w:val="FootnoteReference"/>
        </w:rPr>
        <w:footnoteReference w:id="2160"/>
      </w:r>
      <w:r>
        <w:t xml:space="preserve">. Esse é um passo importante para um possível tratamento de longo prazo.</w:t>
      </w:r>
    </w:p>
    <w:bookmarkEnd w:id="2161"/>
    <w:bookmarkStart w:id="2165" w:name="desejo-sexual-e-cérebro"/>
    <w:p>
      <w:pPr>
        <w:pStyle w:val="Heading4"/>
      </w:pPr>
      <w:r>
        <w:t xml:space="preserve">Desejo sexual e cérebro</w:t>
      </w:r>
    </w:p>
    <w:p>
      <w:pPr>
        <w:pStyle w:val="FirstParagraph"/>
      </w:pPr>
      <w:r>
        <w:t xml:space="preserve">O grupo de Londres investigou, com ressonância magnética funcional (RMf), como a kisspeptina altera o processamento de imagens eróticas.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Comninos 2017, PMID 28112678</w:t>
            </w:r>
          </w:p>
        </w:tc>
        <w:tc>
          <w:tcPr/>
          <w:p>
            <w:pPr>
              <w:pStyle w:val="Compact"/>
              <w:jc w:val="left"/>
            </w:pPr>
            <w:r>
              <w:t xml:space="preserve">29 homens jovens saudáveis, estudo cruzado contra placebo</w:t>
            </w:r>
          </w:p>
        </w:tc>
        <w:tc>
          <w:tcPr/>
          <w:p>
            <w:pPr>
              <w:pStyle w:val="Compact"/>
              <w:jc w:val="left"/>
            </w:pPr>
            <w:r>
              <w:t xml:space="preserve">Infusão única</w:t>
            </w:r>
          </w:p>
        </w:tc>
        <w:tc>
          <w:tcPr/>
          <w:p>
            <w:pPr>
              <w:pStyle w:val="Compact"/>
              <w:jc w:val="left"/>
            </w:pPr>
            <w:r>
              <w:t xml:space="preserve">mais atividade em regiões cerebrais límbicas diante de estímulos sexuais; menos humor negativo</w:t>
            </w:r>
          </w:p>
        </w:tc>
      </w:tr>
      <w:tr>
        <w:tc>
          <w:tcPr/>
          <w:p>
            <w:pPr>
              <w:pStyle w:val="Compact"/>
              <w:jc w:val="left"/>
            </w:pPr>
            <w:r>
              <w:t xml:space="preserve">Thurston 2022, PMID 36287566</w:t>
            </w:r>
          </w:p>
        </w:tc>
        <w:tc>
          <w:tcPr/>
          <w:p>
            <w:pPr>
              <w:pStyle w:val="Compact"/>
              <w:jc w:val="left"/>
            </w:pPr>
            <w:r>
              <w:t xml:space="preserve">32 mulheres com HSDD, estudo cruzado duplo-cego</w:t>
            </w:r>
          </w:p>
        </w:tc>
        <w:tc>
          <w:tcPr/>
          <w:p>
            <w:pPr>
              <w:pStyle w:val="Compact"/>
              <w:jc w:val="left"/>
            </w:pPr>
            <w:r>
              <w:t xml:space="preserve">75 minutos</w:t>
            </w:r>
          </w:p>
        </w:tc>
        <w:tc>
          <w:tcPr/>
          <w:p>
            <w:pPr>
              <w:pStyle w:val="Compact"/>
              <w:jc w:val="left"/>
            </w:pPr>
            <w:r>
              <w:t xml:space="preserve">atividade alterada em regiões cerebrais ligadas a estímulos sexuais e atratividade; nenhum efeito colateral</w:t>
            </w:r>
          </w:p>
        </w:tc>
      </w:tr>
      <w:tr>
        <w:tc>
          <w:tcPr/>
          <w:p>
            <w:pPr>
              <w:pStyle w:val="Compact"/>
              <w:jc w:val="left"/>
            </w:pPr>
            <w:r>
              <w:t xml:space="preserve">Mills 2023, PMID 36735255</w:t>
            </w:r>
          </w:p>
        </w:tc>
        <w:tc>
          <w:tcPr/>
          <w:p>
            <w:pPr>
              <w:pStyle w:val="Compact"/>
              <w:jc w:val="left"/>
            </w:pPr>
            <w:r>
              <w:t xml:space="preserve">32 homens com HSDD, estudo cruzado duplo-cego</w:t>
            </w:r>
          </w:p>
        </w:tc>
        <w:tc>
          <w:tcPr/>
          <w:p>
            <w:pPr>
              <w:pStyle w:val="Compact"/>
              <w:jc w:val="left"/>
            </w:pPr>
            <w:r>
              <w:t xml:space="preserve">75 minutos</w:t>
            </w:r>
          </w:p>
        </w:tc>
        <w:tc>
          <w:tcPr/>
          <w:p>
            <w:pPr>
              <w:pStyle w:val="Compact"/>
              <w:jc w:val="left"/>
            </w:pPr>
            <w:r>
              <w:t xml:space="preserve">atividade cerebral alterada; intumescimento peniano diante de vídeos eróticos até 56% maior que com placebo</w:t>
            </w:r>
          </w:p>
        </w:tc>
      </w:tr>
    </w:tbl>
    <w:p>
      <w:pPr>
        <w:pStyle w:val="BodyText"/>
      </w:pPr>
      <w:r>
        <w:t xml:space="preserve">HSDD (transtorno do desejo sexual hipoativo) significa desejo sexual persistentemente baixo com sofrimento. Em homens com HSDD, uma única infusão de kisspeptina intensificou não apenas a atividade de regiões cerebrais sexuais, mas também a excitação física mensurável e alguns itens sobre o desejo, como a</w:t>
      </w:r>
      <w:r>
        <w:t xml:space="preserve"> </w:t>
      </w:r>
      <w:r>
        <w:t xml:space="preserve">“</w:t>
      </w:r>
      <w:r>
        <w:t xml:space="preserve">expectativa prazerosa pelo sexo</w:t>
      </w:r>
      <w:r>
        <w:t xml:space="preserve">”</w:t>
      </w:r>
      <w:r>
        <w:rPr>
          <w:rStyle w:val="FootnoteReference"/>
        </w:rPr>
        <w:footnoteReference w:id="2162"/>
      </w:r>
      <w:r>
        <w:t xml:space="preserve">. Em mulheres com HSDD, as alterações da atividade cerebral correlacionaram-se com o sofrimento e com a aversão sexual</w:t>
      </w:r>
      <w:r>
        <w:rPr>
          <w:rStyle w:val="FootnoteReference"/>
        </w:rPr>
        <w:footnoteReference w:id="2163"/>
      </w:r>
      <w:r>
        <w:t xml:space="preserve">.</w:t>
      </w:r>
    </w:p>
    <w:p>
      <w:pPr>
        <w:pStyle w:val="BodyText"/>
      </w:pPr>
      <w:r>
        <w:rPr>
          <w:bCs/>
          <w:b/>
        </w:rPr>
        <w:t xml:space="preserve">Contextualização:</w:t>
      </w:r>
      <w:r>
        <w:t xml:space="preserve"> </w:t>
      </w:r>
      <w:r>
        <w:t xml:space="preserve">esses estudos testam uma única infusão em laboratório, com a atividade cerebral como desfecho principal. Não dizem nada sobre se a kisspeptina melhora a vivência sexual no dia a dia ao longo de semanas. A administração por infusão é inadequada para um tratamento cotidiano. Um estudo com 95 pessoas não encontrou efeito sobre ansiedade, cortisol, pressão arterial ou frequência cardíaca</w:t>
      </w:r>
      <w:r>
        <w:rPr>
          <w:rStyle w:val="FootnoteReference"/>
        </w:rPr>
        <w:footnoteReference w:id="2164"/>
      </w:r>
      <w:r>
        <w:t xml:space="preserve"> </w:t>
      </w:r>
      <w:r>
        <w:t xml:space="preserve">– um sinal tranquilizador quanto à tolerabilidade, não uma prova de eficácia.</w:t>
      </w:r>
    </w:p>
    <w:bookmarkEnd w:id="2165"/>
    <w:bookmarkStart w:id="2167" w:name="spray-nasal"/>
    <w:p>
      <w:pPr>
        <w:pStyle w:val="Heading4"/>
      </w:pPr>
      <w:r>
        <w:t xml:space="preserve">Spray nasal</w:t>
      </w:r>
    </w:p>
    <w:p>
      <w:pPr>
        <w:pStyle w:val="FirstParagraph"/>
      </w:pPr>
      <w:r>
        <w:t xml:space="preserve">Um spray nasal com kisspeptina-54 aumentou o LH em homens e mulheres saudáveis e em mulheres com amenorreia hipotalâmica, sem efeitos colaterais</w:t>
      </w:r>
      <w:r>
        <w:rPr>
          <w:rStyle w:val="FootnoteReference"/>
        </w:rPr>
        <w:footnoteReference w:id="2166"/>
      </w:r>
      <w:r>
        <w:t xml:space="preserve">. Isso mostra um caminho possível para um tratamento sem agulha. Em camundongos, a kisspeptina foi detectada na mucosa olfatória, o que sugere uma via pelo sistema olfatório.</w:t>
      </w:r>
    </w:p>
    <w:bookmarkEnd w:id="2167"/>
    <w:bookmarkStart w:id="2171" w:name="outros-achados"/>
    <w:p>
      <w:pPr>
        <w:pStyle w:val="Heading4"/>
      </w:pPr>
      <w:r>
        <w:t xml:space="preserve">Outros achados</w:t>
      </w:r>
    </w:p>
    <w:p>
      <w:pPr>
        <w:numPr>
          <w:ilvl w:val="0"/>
          <w:numId w:val="1271"/>
        </w:numPr>
        <w:pStyle w:val="Compact"/>
      </w:pPr>
      <w:r>
        <w:rPr>
          <w:bCs/>
          <w:b/>
        </w:rPr>
        <w:t xml:space="preserve">Ossos:</w:t>
      </w:r>
      <w:r>
        <w:t xml:space="preserve"> </w:t>
      </w:r>
      <w:r>
        <w:t xml:space="preserve">em 26 homens saudáveis, após uma administração de kisspeptina, o marcador de formação óssea osteocalcina aumentou até 20,3%</w:t>
      </w:r>
      <w:r>
        <w:rPr>
          <w:rStyle w:val="FootnoteReference"/>
        </w:rPr>
        <w:footnoteReference w:id="2168"/>
      </w:r>
      <w:r>
        <w:t xml:space="preserve">.</w:t>
      </w:r>
    </w:p>
    <w:p>
      <w:pPr>
        <w:numPr>
          <w:ilvl w:val="0"/>
          <w:numId w:val="1271"/>
        </w:numPr>
        <w:pStyle w:val="Compact"/>
      </w:pPr>
      <w:r>
        <w:rPr>
          <w:bCs/>
          <w:b/>
        </w:rPr>
        <w:t xml:space="preserve">Metabolismo:</w:t>
      </w:r>
      <w:r>
        <w:t xml:space="preserve"> </w:t>
      </w:r>
      <w:r>
        <w:t xml:space="preserve">em 15 homens saudáveis, a kisspeptina aumentou a secreção de insulina após administração de glicose, sem alterar o apetite ou a quantidade ingerida</w:t>
      </w:r>
      <w:r>
        <w:rPr>
          <w:rStyle w:val="FootnoteReference"/>
        </w:rPr>
        <w:footnoteReference w:id="2169"/>
      </w:r>
      <w:r>
        <w:t xml:space="preserve">.</w:t>
      </w:r>
    </w:p>
    <w:p>
      <w:pPr>
        <w:numPr>
          <w:ilvl w:val="0"/>
          <w:numId w:val="1271"/>
        </w:numPr>
        <w:pStyle w:val="Compact"/>
      </w:pPr>
      <w:r>
        <w:rPr>
          <w:bCs/>
          <w:b/>
        </w:rPr>
        <w:t xml:space="preserve">Ocitocina:</w:t>
      </w:r>
      <w:r>
        <w:t xml:space="preserve"> </w:t>
      </w:r>
      <w:r>
        <w:t xml:space="preserve">após uma injeção de kisspeptina, o nível de ocitocina no sangue aumentou, mais nos homens do que nas mulheres</w:t>
      </w:r>
      <w:r>
        <w:rPr>
          <w:rStyle w:val="FootnoteReference"/>
        </w:rPr>
        <w:footnoteReference w:id="2170"/>
      </w:r>
      <w:r>
        <w:t xml:space="preserve">. Isso está sendo estudado como possível teste para deficiência de ocitocina (capítulo 2E05).</w:t>
      </w:r>
    </w:p>
    <w:bookmarkEnd w:id="2171"/>
    <w:bookmarkStart w:id="2174" w:name="o-contrário-reduzir-hormônios"/>
    <w:p>
      <w:pPr>
        <w:pStyle w:val="Heading4"/>
      </w:pPr>
      <w:r>
        <w:t xml:space="preserve">O contrário: reduzir hormônios</w:t>
      </w:r>
    </w:p>
    <w:p>
      <w:pPr>
        <w:pStyle w:val="FirstParagraph"/>
      </w:pPr>
      <w:r>
        <w:t xml:space="preserve">O análogo sintético TAK-448 tornou-se, em administração contínua, um bloqueador hormonal. Em homens saudáveis acima de 50 anos, a testosterona caiu após uma semana de infusão contínua para a faixa de uma castração; em homens com câncer de próstata, uma injeção de depósito reduziu a testosterona e o marcador tumoral PSA</w:t>
      </w:r>
      <w:r>
        <w:rPr>
          <w:rStyle w:val="FootnoteReference"/>
        </w:rPr>
        <w:footnoteReference w:id="2172"/>
      </w:r>
      <w:r>
        <w:t xml:space="preserve">. Outros dois estudos de fase 2 do fabricante foram encerrados antecipadamente</w:t>
      </w:r>
      <w:r>
        <w:rPr>
          <w:rStyle w:val="FootnoteReference"/>
        </w:rPr>
        <w:footnoteReference w:id="2173"/>
      </w:r>
      <w:r>
        <w:t xml:space="preserve">.</w:t>
      </w:r>
    </w:p>
    <w:bookmarkEnd w:id="2174"/>
    <w:bookmarkEnd w:id="2175"/>
    <w:bookmarkStart w:id="2180" w:name="estudos-em-animais-e-em-laboratório-49"/>
    <w:p>
      <w:pPr>
        <w:pStyle w:val="Heading3"/>
      </w:pPr>
      <w:r>
        <w:t xml:space="preserve">Estudos em animais e em laboratório</w:t>
      </w:r>
    </w:p>
    <w:p>
      <w:pPr>
        <w:pStyle w:val="FirstParagraph"/>
      </w:pPr>
      <w:r>
        <w:t xml:space="preserve">O papel da kisspeptina na puberdade e na reprodução foi demonstrado primeiro em camundongos com o gene do receptor desativado; os animais permanecem sexualmente imaturos</w:t>
      </w:r>
      <w:r>
        <w:rPr>
          <w:rStyle w:val="FootnoteReference"/>
        </w:rPr>
        <w:footnoteReference w:id="2176"/>
      </w:r>
      <w:r>
        <w:t xml:space="preserve">. Originalmente, o peptídeo foi descrito como freio da metastização: em cultura de células e em camundongos, inibiu a disseminação de células de melanoma</w:t>
      </w:r>
      <w:r>
        <w:rPr>
          <w:rStyle w:val="FootnoteReference"/>
        </w:rPr>
        <w:footnoteReference w:id="2177"/>
      </w:r>
      <w:r>
        <w:t xml:space="preserve">. Se isso é aproveitável terapeuticamente está em aberto.</w:t>
      </w:r>
    </w:p>
    <w:p>
      <w:pPr>
        <w:pStyle w:val="BodyText"/>
      </w:pPr>
      <w:r>
        <w:t xml:space="preserve">Em modelos de SOP em ratas, a kisspeptina restabeleceu a ovulação em parte dos animais, em outros não</w:t>
      </w:r>
      <w:r>
        <w:rPr>
          <w:rStyle w:val="FootnoteReference"/>
        </w:rPr>
        <w:footnoteReference w:id="2178"/>
      </w:r>
      <w:r>
        <w:t xml:space="preserve">. A pesquisa básica sobre kisspeptina e neurocinina B está resumida em uma revisão</w:t>
      </w:r>
      <w:r>
        <w:rPr>
          <w:rStyle w:val="FootnoteReference"/>
        </w:rPr>
        <w:footnoteReference w:id="2179"/>
      </w:r>
      <w:r>
        <w:t xml:space="preserve">.</w:t>
      </w:r>
    </w:p>
    <w:bookmarkEnd w:id="2180"/>
    <w:bookmarkStart w:id="2188" w:name="riscos-e-efeitos-colaterais-49"/>
    <w:p>
      <w:pPr>
        <w:pStyle w:val="Heading3"/>
      </w:pPr>
      <w:r>
        <w:t xml:space="preserve">Riscos e efeitos colaterais</w:t>
      </w:r>
    </w:p>
    <w:bookmarkStart w:id="2185" w:name="comprovados-9"/>
    <w:p>
      <w:pPr>
        <w:pStyle w:val="Heading4"/>
      </w:pPr>
      <w:r>
        <w:t xml:space="preserve">Comprovados</w:t>
      </w:r>
    </w:p>
    <w:p>
      <w:pPr>
        <w:pStyle w:val="FirstParagraph"/>
      </w:pPr>
      <w:r>
        <w:t xml:space="preserve">Em todos os estudos publicados, a kisspeptina foi bem tolerada. Vários estudos relatam expressamente ausência de efeitos colaterais</w:t>
      </w:r>
      <w:r>
        <w:rPr>
          <w:rStyle w:val="FootnoteReference"/>
        </w:rPr>
        <w:footnoteReference w:id="2181"/>
      </w:r>
      <w:r>
        <w:t xml:space="preserve">. A kisspeptina não alterou o hormônio do crescimento, a prolactina nem o TSH, que controla a tireoide</w:t>
      </w:r>
      <w:r>
        <w:rPr>
          <w:rStyle w:val="FootnoteReference"/>
        </w:rPr>
        <w:footnoteReference w:id="2182"/>
      </w:r>
      <w:r>
        <w:t xml:space="preserve">, e não teve influência sobre ansiedade, pressão arterial ou frequência cardíaca</w:t>
      </w:r>
      <w:r>
        <w:rPr>
          <w:rStyle w:val="FootnoteReference"/>
        </w:rPr>
        <w:footnoteReference w:id="2183"/>
      </w:r>
      <w:r>
        <w:t xml:space="preserve">. Com o análogo TAK-448, efeitos colaterais leves a moderados ocorreram em 26% dos tratados</w:t>
      </w:r>
      <w:r>
        <w:rPr>
          <w:rStyle w:val="FootnoteReference"/>
        </w:rPr>
        <w:footnoteReference w:id="2184"/>
      </w:r>
      <w:r>
        <w:t xml:space="preserve">.</w:t>
      </w:r>
    </w:p>
    <w:bookmarkEnd w:id="2185"/>
    <w:bookmarkStart w:id="2186" w:name="teóricos-e-em-aberto"/>
    <w:p>
      <w:pPr>
        <w:pStyle w:val="Heading4"/>
      </w:pPr>
      <w:r>
        <w:t xml:space="preserve">Teóricos e em aberto</w:t>
      </w:r>
    </w:p>
    <w:p>
      <w:pPr>
        <w:numPr>
          <w:ilvl w:val="0"/>
          <w:numId w:val="1272"/>
        </w:numPr>
        <w:pStyle w:val="Compact"/>
      </w:pPr>
      <w:r>
        <w:rPr>
          <w:bCs/>
          <w:b/>
        </w:rPr>
        <w:t xml:space="preserve">Habituação e queda hormonal:</w:t>
      </w:r>
      <w:r>
        <w:t xml:space="preserve"> </w:t>
      </w:r>
      <w:r>
        <w:t xml:space="preserve">com administração contínua, pode ocorrer o contrário do efeito desejado, como mostram os estudos com TAK-448. Quem usa kisspeptina sem controle médico arrisca, portanto, uma supressão do próprio eixo hormonal.</w:t>
      </w:r>
    </w:p>
    <w:p>
      <w:pPr>
        <w:numPr>
          <w:ilvl w:val="0"/>
          <w:numId w:val="1272"/>
        </w:numPr>
        <w:pStyle w:val="Compact"/>
      </w:pPr>
      <w:r>
        <w:rPr>
          <w:bCs/>
          <w:b/>
        </w:rPr>
        <w:t xml:space="preserve">Dados de longo prazo</w:t>
      </w:r>
      <w:r>
        <w:t xml:space="preserve"> </w:t>
      </w:r>
      <w:r>
        <w:t xml:space="preserve">faltam. Os estudos mais longos duraram oito semanas.</w:t>
      </w:r>
    </w:p>
    <w:p>
      <w:pPr>
        <w:numPr>
          <w:ilvl w:val="0"/>
          <w:numId w:val="1272"/>
        </w:numPr>
        <w:pStyle w:val="Compact"/>
      </w:pPr>
      <w:r>
        <w:rPr>
          <w:bCs/>
          <w:b/>
        </w:rPr>
        <w:t xml:space="preserve">Gravidez:</w:t>
      </w:r>
      <w:r>
        <w:t xml:space="preserve"> </w:t>
      </w:r>
      <w:r>
        <w:t xml:space="preserve">no uso em FIV, nasceram crianças; dados sistemáticos sobre a saúde dessas crianças não foram publicados.</w:t>
      </w:r>
    </w:p>
    <w:bookmarkEnd w:id="2186"/>
    <w:bookmarkStart w:id="2187" w:name="mercado-cinza-2"/>
    <w:p>
      <w:pPr>
        <w:pStyle w:val="Heading4"/>
      </w:pPr>
      <w:r>
        <w:t xml:space="preserve">Mercado cinza</w:t>
      </w:r>
    </w:p>
    <w:p>
      <w:pPr>
        <w:pStyle w:val="FirstParagraph"/>
      </w:pPr>
      <w:r>
        <w:t xml:space="preserve">A kisspeptina-10 é oferecida na internet como</w:t>
      </w:r>
      <w:r>
        <w:t xml:space="preserve"> </w:t>
      </w:r>
      <w:r>
        <w:t xml:space="preserve">“</w:t>
      </w:r>
      <w:r>
        <w:t xml:space="preserve">research peptide</w:t>
      </w:r>
      <w:r>
        <w:t xml:space="preserve">”</w:t>
      </w:r>
      <w:r>
        <w:t xml:space="preserve"> </w:t>
      </w:r>
      <w:r>
        <w:t xml:space="preserve">e promovida em fóruns para aumentar a testosterona ou a libido. Não existem estudos sobre esses produtos. Devido à meia-vida curta e à habituação com administração frequente, um efeito duradouro na autoaplicação não está comprovado; pureza e teor não são testados (veja a Parte I e a Parte IV).</w:t>
      </w:r>
    </w:p>
    <w:bookmarkEnd w:id="2187"/>
    <w:bookmarkEnd w:id="2188"/>
    <w:bookmarkStart w:id="2189" w:name="situação-legal-49"/>
    <w:p>
      <w:pPr>
        <w:pStyle w:val="Heading3"/>
      </w:pPr>
      <w:r>
        <w:t xml:space="preserve">Situação legal</w:t>
      </w:r>
    </w:p>
    <w:p>
      <w:pPr>
        <w:pStyle w:val="FirstParagraph"/>
      </w:pPr>
      <w:r>
        <w:rPr>
          <w:iCs/>
          <w:i/>
        </w:rPr>
        <w:t xml:space="preserve">Situação em 2026, verificar atualização.</w:t>
      </w:r>
    </w:p>
    <w:p>
      <w:pPr>
        <w:numPr>
          <w:ilvl w:val="0"/>
          <w:numId w:val="1273"/>
        </w:numPr>
        <w:pStyle w:val="Compact"/>
      </w:pPr>
      <w:r>
        <w:rPr>
          <w:bCs/>
          <w:b/>
        </w:rPr>
        <w:t xml:space="preserve">UE, Alemanha, Áustria:</w:t>
      </w:r>
      <w:r>
        <w:t xml:space="preserve"> </w:t>
      </w:r>
      <w:r>
        <w:t xml:space="preserve">nenhuma aprovação. A kisspeptina só pode ser usada em humanos no âmbito de estudos clínicos autorizados. A venda para uso em humanos não é permitida.</w:t>
      </w:r>
    </w:p>
    <w:p>
      <w:pPr>
        <w:numPr>
          <w:ilvl w:val="0"/>
          <w:numId w:val="1273"/>
        </w:numPr>
        <w:pStyle w:val="Compact"/>
      </w:pPr>
      <w:r>
        <w:rPr>
          <w:bCs/>
          <w:b/>
        </w:rPr>
        <w:t xml:space="preserve">EUA:</w:t>
      </w:r>
      <w:r>
        <w:t xml:space="preserve"> </w:t>
      </w:r>
      <w:r>
        <w:t xml:space="preserve">nenhuma aprovação; uso apenas em estudos autorizados pela FDA.</w:t>
      </w:r>
    </w:p>
    <w:p>
      <w:pPr>
        <w:numPr>
          <w:ilvl w:val="0"/>
          <w:numId w:val="1273"/>
        </w:numPr>
        <w:pStyle w:val="Compact"/>
      </w:pPr>
      <w:r>
        <w:rPr>
          <w:bCs/>
          <w:b/>
        </w:rPr>
        <w:t xml:space="preserve">WADA:</w:t>
      </w:r>
      <w:r>
        <w:t xml:space="preserve"> </w:t>
      </w:r>
      <w:r>
        <w:t xml:space="preserve">em homens, os fatores liberadores de LH são proibidos pelo S2, e princípios ativos não aprovados em geral pelo S0. A kisspeptina não é citada nominalmente, mas, na avaliação do autor, enquadra-se nesses grupos.</w:t>
      </w:r>
    </w:p>
    <w:bookmarkEnd w:id="2189"/>
    <w:bookmarkStart w:id="2192" w:name="estudos-em-andamento-e-perspectivas-49"/>
    <w:p>
      <w:pPr>
        <w:pStyle w:val="Heading3"/>
      </w:pPr>
      <w:r>
        <w:t xml:space="preserve">Estudos em andamento e perspectivas</w:t>
      </w:r>
    </w:p>
    <w:p>
      <w:pPr>
        <w:pStyle w:val="FirstParagraph"/>
      </w:pPr>
      <w:r>
        <w:rPr>
          <w:bCs/>
          <w:b/>
        </w:rPr>
        <w:t xml:space="preserve">Confirmado (estudos registrados):</w:t>
      </w:r>
    </w:p>
    <w:p>
      <w:pPr>
        <w:numPr>
          <w:ilvl w:val="0"/>
          <w:numId w:val="1274"/>
        </w:numPr>
        <w:pStyle w:val="Compact"/>
      </w:pPr>
      <w:r>
        <w:rPr>
          <w:bCs/>
          <w:b/>
        </w:rPr>
        <w:t xml:space="preserve">Massachusetts General Hospital, Boston:</w:t>
      </w:r>
      <w:r>
        <w:t xml:space="preserve"> </w:t>
      </w:r>
      <w:r>
        <w:t xml:space="preserve">vários estudos de fase 1 e fase 2 com administração subcutânea repetida de kisspeptina na deficiência hormonal congênita (hipogonadismo hipogonadotrófico idiopático, NCT05896293, 36 pessoas, até 2028) e na amenorreia hipotalâmica (NCT07224438, 20 pessoas, até 2030). Outro estudo usa a kisspeptina como teste da função dos neurônios de GnRH</w:t>
      </w:r>
      <w:r>
        <w:rPr>
          <w:rStyle w:val="FootnoteReference"/>
        </w:rPr>
        <w:footnoteReference w:id="2190"/>
      </w:r>
      <w:r>
        <w:t xml:space="preserve">.</w:t>
      </w:r>
    </w:p>
    <w:p>
      <w:pPr>
        <w:numPr>
          <w:ilvl w:val="0"/>
          <w:numId w:val="1274"/>
        </w:numPr>
        <w:pStyle w:val="Compact"/>
      </w:pPr>
      <w:r>
        <w:rPr>
          <w:bCs/>
          <w:b/>
        </w:rPr>
        <w:t xml:space="preserve">Imperial College London:</w:t>
      </w:r>
      <w:r>
        <w:t xml:space="preserve"> </w:t>
      </w:r>
      <w:r>
        <w:t xml:space="preserve">um estudo em andamento desde 2014 sobre a secreção hormonal com administração prolongada de kisspeptina (NCT02081924, 76 pessoas).</w:t>
      </w:r>
    </w:p>
    <w:p>
      <w:pPr>
        <w:numPr>
          <w:ilvl w:val="0"/>
          <w:numId w:val="1274"/>
        </w:numPr>
        <w:pStyle w:val="Compact"/>
      </w:pPr>
      <w:r>
        <w:t xml:space="preserve">Um estudo de fase 2 com administração pulsátil de kisspeptina no hipogonadismo foi concluído</w:t>
      </w:r>
      <w:r>
        <w:rPr>
          <w:rStyle w:val="FootnoteReference"/>
        </w:rPr>
        <w:footnoteReference w:id="2191"/>
      </w:r>
      <w:r>
        <w:t xml:space="preserve">; os resultados não estavam publicados no PubMed no fechamento desta edição.</w:t>
      </w:r>
    </w:p>
    <w:p>
      <w:pPr>
        <w:pStyle w:val="FirstParagraph"/>
      </w:pPr>
      <w:r>
        <w:rPr>
          <w:bCs/>
          <w:b/>
        </w:rPr>
        <w:t xml:space="preserve">Avaliação do autor:</w:t>
      </w:r>
      <w:r>
        <w:t xml:space="preserve"> </w:t>
      </w:r>
      <w:r>
        <w:t xml:space="preserve">a kisspeptina é, no que diz respeito aos fundamentos, um dos peptídeos cientificamente mais sólidos deste livro – seu papel na puberdade está comprovado geneticamente. O desenvolvimento clínico, porém, é lento, porque é conduzido principalmente por universidades. Uma aprovação para a maturação de óvulos em mulheres com risco de SHO, ou como teste diagnóstico para distúrbios da puberdade, parece a mais realista; para isso, no entanto, seriam necessários estudos comparativos maiores. Para o tratamento da falta de desejo sexual, falta até agora qualquer prova de benefício no dia a dia.</w:t>
      </w:r>
    </w:p>
    <w:bookmarkEnd w:id="2192"/>
    <w:bookmarkStart w:id="2193" w:name="conclusão-49"/>
    <w:p>
      <w:pPr>
        <w:pStyle w:val="Heading3"/>
      </w:pPr>
      <w:r>
        <w:t xml:space="preserve">Conclusão</w:t>
      </w:r>
    </w:p>
    <w:p>
      <w:pPr>
        <w:pStyle w:val="FirstParagraph"/>
      </w:pPr>
      <w:r>
        <w:t xml:space="preserve">A kisspeptina é o interruptor principal endógeno dos hormônios da reprodução, como mostram de forma impressionante as pessoas com defeito no receptor. Em pequenos estudos, provocou de forma confiável a secreção de LH e possibilitou, em mulheres com alto risco de hiperestimulação, uma maturação dos óvulos sem SHO grave. Estudos de laboratório com neuroimagem indicam efeitos no processamento de estímulos sexuais, mas não são prova de benefício no dia a dia. O maior obstáculo prático é a habituação com administração frequente, que pode chegar à supressão do eixo hormonal. A kisspeptina não está aprovada em lugar nenhum; fora de estudos, não há uso testado.</w:t>
      </w:r>
    </w:p>
    <w:bookmarkEnd w:id="2193"/>
    <w:bookmarkEnd w:id="2194"/>
    <w:bookmarkStart w:id="2274" w:name="ocitocina-spray-nasal"/>
    <w:p>
      <w:pPr>
        <w:pStyle w:val="Heading2"/>
      </w:pPr>
      <w:r>
        <w:t xml:space="preserve">Ocitocina (spray nasal)</w:t>
      </w:r>
    </w:p>
    <w:bookmarkStart w:id="2195" w:name="ficha-técnica-50"/>
    <w:p>
      <w:pPr>
        <w:pStyle w:val="Heading3"/>
      </w:pPr>
      <w:r>
        <w:t xml:space="preserve">Ficha técnica</w:t>
      </w:r>
    </w:p>
    <w:p>
      <w:pPr>
        <w:numPr>
          <w:ilvl w:val="0"/>
          <w:numId w:val="1275"/>
        </w:numPr>
        <w:pStyle w:val="Compact"/>
      </w:pPr>
      <w:r>
        <w:rPr>
          <w:bCs/>
          <w:b/>
        </w:rPr>
        <w:t xml:space="preserve">Tipo/estrutura:</w:t>
      </w:r>
      <w:r>
        <w:t xml:space="preserve"> </w:t>
      </w:r>
      <w:r>
        <w:t xml:space="preserve">hormônio peptídico endógeno de nove aminoácidos. Duas pontes de enxofre fecham seis deles em um anel. A ocitocina é estreitamente aparentada com o hormônio vasopressina (hormônio antidiurético), do qual difere em apenas dois componentes.</w:t>
      </w:r>
    </w:p>
    <w:p>
      <w:pPr>
        <w:numPr>
          <w:ilvl w:val="0"/>
          <w:numId w:val="1275"/>
        </w:numPr>
        <w:pStyle w:val="Compact"/>
      </w:pPr>
      <w:r>
        <w:rPr>
          <w:bCs/>
          <w:b/>
        </w:rPr>
        <w:t xml:space="preserve">Origem:</w:t>
      </w:r>
      <w:r>
        <w:t xml:space="preserve"> </w:t>
      </w:r>
      <w:r>
        <w:t xml:space="preserve">produzida em neurônios do hipotálamo e liberada no sangue pela hipófise posterior; ao mesmo tempo, é mensageiro dentro do cérebro. Em 1953, a ocitocina foi o primeiro hormônio peptídico reproduzido em laboratório; Vincent du Vigneaud recebeu por isso o Prêmio Nobel de Química de 1955.</w:t>
      </w:r>
    </w:p>
    <w:p>
      <w:pPr>
        <w:numPr>
          <w:ilvl w:val="0"/>
          <w:numId w:val="1275"/>
        </w:numPr>
        <w:pStyle w:val="Compact"/>
      </w:pPr>
      <w:r>
        <w:rPr>
          <w:bCs/>
          <w:b/>
        </w:rPr>
        <w:t xml:space="preserve">Mecanismo de ação:</w:t>
      </w:r>
      <w:r>
        <w:t xml:space="preserve"> </w:t>
      </w:r>
      <w:r>
        <w:t xml:space="preserve">agonista do receptor de ocitocina. No corpo, desencadeia as contrações do parto e o reflexo de ejeção do leite; no cérebro, participa do vínculo, do comportamento social e da regulação do estresse.</w:t>
      </w:r>
    </w:p>
    <w:p>
      <w:pPr>
        <w:numPr>
          <w:ilvl w:val="0"/>
          <w:numId w:val="1275"/>
        </w:numPr>
        <w:pStyle w:val="Compact"/>
      </w:pPr>
      <w:r>
        <w:rPr>
          <w:bCs/>
          <w:b/>
        </w:rPr>
        <w:t xml:space="preserve">Aprovação na UE e nos EUA (injeção/infusão):</w:t>
      </w:r>
      <w:r>
        <w:t xml:space="preserve"> </w:t>
      </w:r>
      <w:r>
        <w:t xml:space="preserve">sim, há décadas na obstetrícia, para induzir e reforçar as contrações do parto e prevenir sangramentos fortes após o parto.</w:t>
      </w:r>
    </w:p>
    <w:p>
      <w:pPr>
        <w:numPr>
          <w:ilvl w:val="0"/>
          <w:numId w:val="1275"/>
        </w:numPr>
        <w:pStyle w:val="Compact"/>
      </w:pPr>
      <w:r>
        <w:rPr>
          <w:bCs/>
          <w:b/>
        </w:rPr>
        <w:t xml:space="preserve">Aprovação como spray nasal:</w:t>
      </w:r>
      <w:r>
        <w:t xml:space="preserve"> </w:t>
      </w:r>
      <w:r>
        <w:t xml:space="preserve">um spray nasal de ocitocina era aprovado no passado em vários países europeus para favorecer o fluxo de leite na amamentação, mas em muitos lugares não está mais à venda. Para usos psíquicos, sociais ou sexuais, a ocitocina não está aprovada em lugar nenhum.</w:t>
      </w:r>
    </w:p>
    <w:p>
      <w:pPr>
        <w:numPr>
          <w:ilvl w:val="0"/>
          <w:numId w:val="1275"/>
        </w:numPr>
        <w:pStyle w:val="Compact"/>
      </w:pPr>
      <w:r>
        <w:rPr>
          <w:bCs/>
          <w:b/>
        </w:rPr>
        <w:t xml:space="preserve">WADA:</w:t>
      </w:r>
      <w:r>
        <w:t xml:space="preserve"> </w:t>
      </w:r>
      <w:r>
        <w:t xml:space="preserve">não listada.</w:t>
      </w:r>
    </w:p>
    <w:p>
      <w:pPr>
        <w:numPr>
          <w:ilvl w:val="0"/>
          <w:numId w:val="1275"/>
        </w:numPr>
        <w:pStyle w:val="Compact"/>
      </w:pPr>
      <w:r>
        <w:rPr>
          <w:bCs/>
          <w:b/>
        </w:rPr>
        <w:t xml:space="preserve">Nível de evidência:</w:t>
      </w:r>
      <w:r>
        <w:t xml:space="preserve"> </w:t>
      </w:r>
      <w:r>
        <w:rPr>
          <w:bCs/>
          <w:b/>
        </w:rPr>
        <w:t xml:space="preserve">B</w:t>
      </w:r>
      <w:r>
        <w:t xml:space="preserve"> </w:t>
      </w:r>
      <w:r>
        <w:t xml:space="preserve">para o uso como spray nasal – centenas de estudos randomizados, mas predominantemente pequenos e com doses únicas; os poucos grandes estudos de tratamento foram negativos. Para a obstetrícia (infusão, injeção), vale o nível A; ela não é o foco deste capítulo.</w:t>
      </w:r>
    </w:p>
    <w:bookmarkEnd w:id="2195"/>
    <w:bookmarkStart w:id="2207" w:name="como-deveria-agir-50"/>
    <w:p>
      <w:pPr>
        <w:pStyle w:val="Heading3"/>
      </w:pPr>
      <w:r>
        <w:t xml:space="preserve">Como deveria agir</w:t>
      </w:r>
    </w:p>
    <w:bookmarkStart w:id="2196" w:name="Xa878b827adb8c888c955607d4ab742d7185187e"/>
    <w:p>
      <w:pPr>
        <w:pStyle w:val="Heading4"/>
      </w:pPr>
      <w:r>
        <w:t xml:space="preserve">Do hormônio do parto ao</w:t>
      </w:r>
      <w:r>
        <w:t xml:space="preserve"> </w:t>
      </w:r>
      <w:r>
        <w:t xml:space="preserve">“</w:t>
      </w:r>
      <w:r>
        <w:t xml:space="preserve">hormônio do carinho</w:t>
      </w:r>
      <w:r>
        <w:t xml:space="preserve">”</w:t>
      </w:r>
    </w:p>
    <w:p>
      <w:pPr>
        <w:pStyle w:val="FirstParagraph"/>
      </w:pPr>
      <w:r>
        <w:t xml:space="preserve">A ocitocina recebe seu nome da expressão grega para</w:t>
      </w:r>
      <w:r>
        <w:t xml:space="preserve"> </w:t>
      </w:r>
      <w:r>
        <w:t xml:space="preserve">“</w:t>
      </w:r>
      <w:r>
        <w:t xml:space="preserve">parto rápido</w:t>
      </w:r>
      <w:r>
        <w:t xml:space="preserve">”</w:t>
      </w:r>
      <w:r>
        <w:t xml:space="preserve">. Suas funções clássicas são físicas: faz o útero se contrair e expulsa o leite das glândulas mamárias. A partir da década de 1990, um segundo papel entrou em foco. Em arganazes-do-campo, que formam casais para toda a vida, o vínculo com o parceiro depende do sistema da ocitocina no cérebro (experimentos em animais). Em ovelhas e roedores, ela controla o comportamento de cuidado das mães com seus filhotes.</w:t>
      </w:r>
    </w:p>
    <w:p>
      <w:pPr>
        <w:pStyle w:val="BodyText"/>
      </w:pPr>
      <w:r>
        <w:t xml:space="preserve">A partir desses achados em animais, surgiu desde 2005 uma onda de estudos em humanos que administravam ocitocina como spray nasal e mediam o comportamento social. A mídia cunhou rótulos como</w:t>
      </w:r>
      <w:r>
        <w:t xml:space="preserve"> </w:t>
      </w:r>
      <w:r>
        <w:t xml:space="preserve">“</w:t>
      </w:r>
      <w:r>
        <w:t xml:space="preserve">hormônio do carinho</w:t>
      </w:r>
      <w:r>
        <w:t xml:space="preserve">”</w:t>
      </w:r>
      <w:r>
        <w:t xml:space="preserve">,</w:t>
      </w:r>
      <w:r>
        <w:t xml:space="preserve"> </w:t>
      </w:r>
      <w:r>
        <w:t xml:space="preserve">“</w:t>
      </w:r>
      <w:r>
        <w:t xml:space="preserve">hormônio da confiança</w:t>
      </w:r>
      <w:r>
        <w:t xml:space="preserve">”</w:t>
      </w:r>
      <w:r>
        <w:t xml:space="preserve"> </w:t>
      </w:r>
      <w:r>
        <w:t xml:space="preserve">ou</w:t>
      </w:r>
      <w:r>
        <w:t xml:space="preserve"> </w:t>
      </w:r>
      <w:r>
        <w:t xml:space="preserve">“</w:t>
      </w:r>
      <w:r>
        <w:t xml:space="preserve">hormônio do amor</w:t>
      </w:r>
      <w:r>
        <w:t xml:space="preserve">”</w:t>
      </w:r>
      <w:r>
        <w:t xml:space="preserve">. Como mostra este capítulo, o conjunto de estudos hoje é bem mais decepcionante do que esses chavões.</w:t>
      </w:r>
    </w:p>
    <w:bookmarkEnd w:id="2196"/>
    <w:bookmarkStart w:id="2204" w:name="o-problema-do-nariz"/>
    <w:p>
      <w:pPr>
        <w:pStyle w:val="Heading4"/>
      </w:pPr>
      <w:r>
        <w:t xml:space="preserve">O problema do nariz</w:t>
      </w:r>
    </w:p>
    <w:p>
      <w:pPr>
        <w:pStyle w:val="FirstParagraph"/>
      </w:pPr>
      <w:r>
        <w:t xml:space="preserve">Como peptídeo, a ocitocina é grande demais e hidrossolúvel demais para atravessar a barreira hematoencefálica em quantidade relevante. O spray nasal deveria encontrar um caminho direto ao cérebro pelos nervos olfatórios e trigeminais da mucosa nasal. Se isso funciona, e em que medida, é uma das questões centrais em aberto da área:</w:t>
      </w:r>
    </w:p>
    <w:p>
      <w:pPr>
        <w:numPr>
          <w:ilvl w:val="0"/>
          <w:numId w:val="1276"/>
        </w:numPr>
        <w:pStyle w:val="Compact"/>
      </w:pPr>
      <w:r>
        <w:rPr>
          <w:bCs/>
          <w:b/>
        </w:rPr>
        <w:t xml:space="preserve">Visão cética:</w:t>
      </w:r>
      <w:r>
        <w:t xml:space="preserve"> </w:t>
      </w:r>
      <w:r>
        <w:t xml:space="preserve">apenas uma fração mínima da quantidade borrifada chega ao líquido cefalorraquidiano, enquanto o nível no sangue sobe muito acima dos valores naturais. Muitos efeitos observados poderiam, portanto, decorrer de ações no corpo, por exemplo sobre o coração ou o intestino, que então influenciam o cérebro indiretamente</w:t>
      </w:r>
      <w:r>
        <w:rPr>
          <w:rStyle w:val="FootnoteReference"/>
        </w:rPr>
        <w:footnoteReference w:id="2197"/>
      </w:r>
      <w:r>
        <w:t xml:space="preserve">.</w:t>
      </w:r>
    </w:p>
    <w:p>
      <w:pPr>
        <w:numPr>
          <w:ilvl w:val="0"/>
          <w:numId w:val="1276"/>
        </w:numPr>
        <w:pStyle w:val="Compact"/>
      </w:pPr>
      <w:r>
        <w:rPr>
          <w:bCs/>
          <w:b/>
        </w:rPr>
        <w:t xml:space="preserve">Achados em macacos:</w:t>
      </w:r>
      <w:r>
        <w:t xml:space="preserve"> </w:t>
      </w:r>
      <w:r>
        <w:t xml:space="preserve">em macacos-rhesus, a ocitocina marcada chegou ao líquido cefalorraquidiano após administração nasal e intravenosa; o nariz não foi superior</w:t>
      </w:r>
      <w:r>
        <w:rPr>
          <w:rStyle w:val="FootnoteReference"/>
        </w:rPr>
        <w:footnoteReference w:id="2198"/>
      </w:r>
      <w:r>
        <w:t xml:space="preserve">. Em um segundo estudo, a ocitocina marcada foi encontrada após administração nasal – não após a intravenosa – em regiões cerebrais ao longo das vias olfatórias e trigeminais</w:t>
      </w:r>
      <w:r>
        <w:rPr>
          <w:rStyle w:val="FootnoteReference"/>
        </w:rPr>
        <w:footnoteReference w:id="2199"/>
      </w:r>
      <w:r>
        <w:t xml:space="preserve">.</w:t>
      </w:r>
    </w:p>
    <w:p>
      <w:pPr>
        <w:numPr>
          <w:ilvl w:val="0"/>
          <w:numId w:val="1276"/>
        </w:numPr>
        <w:pStyle w:val="Compact"/>
      </w:pPr>
      <w:r>
        <w:rPr>
          <w:bCs/>
          <w:b/>
        </w:rPr>
        <w:t xml:space="preserve">Achados em humanos:</w:t>
      </w:r>
      <w:r>
        <w:t xml:space="preserve"> </w:t>
      </w:r>
      <w:r>
        <w:t xml:space="preserve">um estudo comparou spray nasal, nebulizador e infusão. A redução do fluxo sanguíneo na amígdala pôde ser explicada inteiramente pelo aumento no sangue; ao mesmo tempo, houve indícios de efeitos diretos pelo nariz em outras regiões</w:t>
      </w:r>
      <w:r>
        <w:rPr>
          <w:rStyle w:val="FootnoteReference"/>
        </w:rPr>
        <w:footnoteReference w:id="2200"/>
      </w:r>
      <w:r>
        <w:t xml:space="preserve">.</w:t>
      </w:r>
    </w:p>
    <w:p>
      <w:pPr>
        <w:numPr>
          <w:ilvl w:val="0"/>
          <w:numId w:val="1276"/>
        </w:numPr>
        <w:pStyle w:val="Compact"/>
      </w:pPr>
      <w:r>
        <w:rPr>
          <w:bCs/>
          <w:b/>
        </w:rPr>
        <w:t xml:space="preserve">Problemas de medição:</w:t>
      </w:r>
      <w:r>
        <w:t xml:space="preserve"> </w:t>
      </w:r>
      <w:r>
        <w:t xml:space="preserve">os níveis de ocitocina no sangue não refletem os valores no cérebro em condições de repouso</w:t>
      </w:r>
      <w:r>
        <w:rPr>
          <w:rStyle w:val="FootnoteReference"/>
        </w:rPr>
        <w:footnoteReference w:id="2201"/>
      </w:r>
      <w:r>
        <w:t xml:space="preserve">. Além disso, muitos estudos mais antigos usaram métodos de medição hoje considerados não confiáveis</w:t>
      </w:r>
      <w:r>
        <w:rPr>
          <w:rStyle w:val="FootnoteReference"/>
        </w:rPr>
        <w:footnoteReference w:id="2202"/>
      </w:r>
      <w:r>
        <w:t xml:space="preserve">.</w:t>
      </w:r>
    </w:p>
    <w:p>
      <w:pPr>
        <w:pStyle w:val="FirstParagraph"/>
      </w:pPr>
      <w:r>
        <w:t xml:space="preserve">Especialistas que veem a área de forma geral positiva consideram hoje comprovado um caminho direto do nariz ao cérebro, mas ressaltam que a dose, a técnica de aplicação do spray e o sexo dos participantes influenciam fortemente os resultados</w:t>
      </w:r>
      <w:r>
        <w:rPr>
          <w:rStyle w:val="FootnoteReference"/>
        </w:rPr>
        <w:footnoteReference w:id="2203"/>
      </w:r>
      <w:r>
        <w:t xml:space="preserve">. Para você, leitor ou leitora, isso significa: se um spray nasal de ocitocina chega ao cérebro depende de muitos detalhes, e mesmo especialistas discordam quanto à magnitude.</w:t>
      </w:r>
    </w:p>
    <w:bookmarkEnd w:id="2204"/>
    <w:bookmarkStart w:id="2206" w:name="em-breve-a-ocitocina-na-obstetrícia"/>
    <w:p>
      <w:pPr>
        <w:pStyle w:val="Heading4"/>
      </w:pPr>
      <w:r>
        <w:t xml:space="preserve">Em breve: a ocitocina na obstetrícia</w:t>
      </w:r>
    </w:p>
    <w:p>
      <w:pPr>
        <w:pStyle w:val="FirstParagraph"/>
      </w:pPr>
      <w:r>
        <w:t xml:space="preserve">Como infusão ou injeção, a ocitocina é um dos medicamentos mais importantes do mundo; a Organização Mundial da Saúde a inclui em sua lista de medicamentos essenciais. Ela é usada para induzir ou reforçar as contrações do parto e para prevenir sangramentos fortes após o parto. Uma revisão Cochrane com 24 estudos concluiu que a ocitocina administrada preventivamente reduz aproximadamente à metade o risco de uma perda de sangue de 500 ml ou mais (risco relativo 0,51), com qualidade em parte baixa dos estudos individuais</w:t>
      </w:r>
      <w:r>
        <w:rPr>
          <w:rStyle w:val="FootnoteReference"/>
        </w:rPr>
        <w:footnoteReference w:id="2205"/>
      </w:r>
      <w:r>
        <w:t xml:space="preserve">. Esse uso pertence exclusivamente às mãos de parteiras e médicas; dose e monitoramento são regulados pela bula. Para a avaliação do spray nasal em questões psíquicas, ele não tem papel.</w:t>
      </w:r>
    </w:p>
    <w:bookmarkEnd w:id="2206"/>
    <w:bookmarkEnd w:id="2207"/>
    <w:bookmarkStart w:id="2252" w:name="estudos-em-humanos-50"/>
    <w:p>
      <w:pPr>
        <w:pStyle w:val="Heading3"/>
      </w:pPr>
      <w:r>
        <w:t xml:space="preserve">Estudos em humanos</w:t>
      </w:r>
    </w:p>
    <w:p>
      <w:pPr>
        <w:pStyle w:val="FirstParagraph"/>
      </w:pPr>
      <w:r>
        <w:rPr>
          <w:bCs/>
          <w:b/>
        </w:rPr>
        <w:t xml:space="preserve">Dimensão do conjunto de estudos (consulta em outubro de 2026):</w:t>
      </w:r>
      <w:r>
        <w:t xml:space="preserve"> </w:t>
      </w:r>
      <w:r>
        <w:t xml:space="preserve">a busca automatizada deste livro (termo</w:t>
      </w:r>
      <w:r>
        <w:t xml:space="preserve"> </w:t>
      </w:r>
      <w:r>
        <w:t xml:space="preserve">“</w:t>
      </w:r>
      <w:r>
        <w:t xml:space="preserve">intranasal oxytocin</w:t>
      </w:r>
      <w:r>
        <w:t xml:space="preserve">”</w:t>
      </w:r>
      <w:r>
        <w:t xml:space="preserve"> </w:t>
      </w:r>
      <w:r>
        <w:t xml:space="preserve">no título ou no resumo) encontrou</w:t>
      </w:r>
      <w:r>
        <w:t xml:space="preserve"> </w:t>
      </w:r>
      <w:r>
        <w:rPr>
          <w:bCs/>
          <w:b/>
        </w:rPr>
        <w:t xml:space="preserve">349</w:t>
      </w:r>
      <w:r>
        <w:t xml:space="preserve"> </w:t>
      </w:r>
      <w:r>
        <w:t xml:space="preserve">estudos em humanos no PubMed (</w:t>
      </w:r>
      <w:r>
        <w:rPr>
          <w:rStyle w:val="VerbatimChar"/>
        </w:rPr>
        <w:t xml:space="preserve">humanstudien_alle</w:t>
      </w:r>
      <w:r>
        <w:t xml:space="preserve">) e</w:t>
      </w:r>
      <w:r>
        <w:t xml:space="preserve"> </w:t>
      </w:r>
      <w:r>
        <w:rPr>
          <w:bCs/>
          <w:b/>
        </w:rPr>
        <w:t xml:space="preserve">263</w:t>
      </w:r>
      <w:r>
        <w:t xml:space="preserve"> </w:t>
      </w:r>
      <w:r>
        <w:t xml:space="preserve">registros no ClinicalTrials.gov, dos quais cerca de 20 ainda em recrutamento. Somam-se a isso pelo menos 15 metanálises e revisões sistemáticas. Com isso, a ocitocina é o peptídeo mais estudado em humanos nesta parte do livro. A grande maioria dos estudos, porém, administrou apenas uma única dose a, em geral, 20 a 60 homens jovens e saudáveis e mediu alterações de curto prazo em testes de laboratório ou no aparelho de neuroimagem.</w:t>
      </w:r>
    </w:p>
    <w:p>
      <w:pPr>
        <w:pStyle w:val="BodyText"/>
      </w:pPr>
      <w:r>
        <w:t xml:space="preserve">Este capítulo organiza os estudos em quatro grupos: estudos básicos em pessoas saudáveis, com a subsequente crise de replicação; o autismo, como campo de tratamento mais importante; outras doenças psiquiátricas; e, por fim, metabolismo, dor e sexualidade.</w:t>
      </w:r>
    </w:p>
    <w:bookmarkStart w:id="2211" w:name="X63e6a4e18f34ab9649dc32b6a0641e8a3118bf2"/>
    <w:p>
      <w:pPr>
        <w:pStyle w:val="Heading4"/>
      </w:pPr>
      <w:r>
        <w:t xml:space="preserve">Comportamento social em pessoas saudáveis: confiança, estresse, emoções</w:t>
      </w:r>
    </w:p>
    <w:p>
      <w:pPr>
        <w:pStyle w:val="FirstParagraph"/>
      </w:pPr>
      <w:r>
        <w:rPr>
          <w:bCs/>
          <w:b/>
        </w:rPr>
        <w:t xml:space="preserve">Confiança.</w:t>
      </w:r>
      <w:r>
        <w:t xml:space="preserve"> </w:t>
      </w:r>
      <w:r>
        <w:t xml:space="preserve">O estudo que fundou a área foi publicado em 2005 na Nature: homens que haviam inalado ocitocina confiaram mais dinheiro a um estranho em um jogo econômico</w:t>
      </w:r>
      <w:r>
        <w:rPr>
          <w:rStyle w:val="FootnoteReference"/>
        </w:rPr>
        <w:footnoteReference w:id="2208"/>
      </w:r>
      <w:r>
        <w:t xml:space="preserve">. Nesse</w:t>
      </w:r>
      <w:r>
        <w:t xml:space="preserve"> </w:t>
      </w:r>
      <w:r>
        <w:t xml:space="preserve">“</w:t>
      </w:r>
      <w:r>
        <w:t xml:space="preserve">jogo da confiança</w:t>
      </w:r>
      <w:r>
        <w:t xml:space="preserve">”</w:t>
      </w:r>
      <w:r>
        <w:t xml:space="preserve">, um investidor decide quanto dinheiro entrega a um depositário; o valor é multiplicado, e o depositário decide quanto devolve. A ocitocina não aumentou a disposição ao risco em geral, mas especificamente a disposição a assumir riscos sociais.</w:t>
      </w:r>
    </w:p>
    <w:p>
      <w:pPr>
        <w:pStyle w:val="BodyText"/>
      </w:pPr>
      <w:r>
        <w:rPr>
          <w:bCs/>
          <w:b/>
        </w:rPr>
        <w:t xml:space="preserve">Estresse.</w:t>
      </w:r>
      <w:r>
        <w:t xml:space="preserve"> </w:t>
      </w:r>
      <w:r>
        <w:t xml:space="preserve">Em um estudo com 37 homens saudáveis, a ocitocina atenuou a ansiedade em um teste de estresse padronizado (discurso público e cálculo mental diante de plateia). Os valores mais baixos do hormônio do estresse cortisol foram observados em homens que receberam ocitocina e, além disso, tiveram o apoio de seu melhor amigo</w:t>
      </w:r>
      <w:r>
        <w:rPr>
          <w:rStyle w:val="FootnoteReference"/>
        </w:rPr>
        <w:footnoteReference w:id="2209"/>
      </w:r>
      <w:r>
        <w:t xml:space="preserve">.</w:t>
      </w:r>
    </w:p>
    <w:p>
      <w:pPr>
        <w:pStyle w:val="BodyText"/>
      </w:pPr>
      <w:r>
        <w:rPr>
          <w:bCs/>
          <w:b/>
        </w:rPr>
        <w:t xml:space="preserve">Reconhecer emoções.</w:t>
      </w:r>
      <w:r>
        <w:t xml:space="preserve"> </w:t>
      </w:r>
      <w:r>
        <w:t xml:space="preserve">Uma metanálise de 33 estudos constatou que uma dose única melhorou ligeiramente, em pessoas saudáveis, o reconhecimento de emoções básicas, sobretudo do medo. Em pessoas com doenças psíquicas, por outro lado, não houve efeito</w:t>
      </w:r>
      <w:r>
        <w:rPr>
          <w:rStyle w:val="FootnoteReference"/>
        </w:rPr>
        <w:footnoteReference w:id="2210"/>
      </w:r>
      <w:r>
        <w:t xml:space="preserve">.</w:t>
      </w:r>
    </w:p>
    <w:p>
      <w:pPr>
        <w:pStyle w:val="BodyText"/>
      </w:pPr>
      <w:r>
        <w:t xml:space="preserve">Centenas de outros estudos relataram efeitos sobre o comportamento do olhar, a empatia, a memória para rostos, o pertencimento a grupos, a mentira, a generosidade, o ciúme e muito mais. Muitos desses achados apareceram apenas em subgrupos, por exemplo só em homens, só em pessoas ansiosas ou só com determinadas variantes genéticas do receptor de ocitocina.</w:t>
      </w:r>
    </w:p>
    <w:bookmarkEnd w:id="2211"/>
    <w:bookmarkStart w:id="2217" w:name="a-crise-de-replicação"/>
    <w:p>
      <w:pPr>
        <w:pStyle w:val="Heading4"/>
      </w:pPr>
      <w:r>
        <w:t xml:space="preserve">A crise de replicação</w:t>
      </w:r>
    </w:p>
    <w:p>
      <w:pPr>
        <w:pStyle w:val="FirstParagraph"/>
      </w:pPr>
      <w:r>
        <w:t xml:space="preserve">A partir de cerca de 2015, as dúvidas se acumularam. O termo crise de replicação descreve o problema de que muitos achados publicados da psicologia e da medicina não se confirmam quando outros pesquisadores os repetem. A ocitocina tornou-se um exemplo emblemático.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Estudo</w:t>
            </w:r>
          </w:p>
        </w:tc>
        <w:tc>
          <w:tcPr/>
          <w:p>
            <w:pPr>
              <w:pStyle w:val="Compact"/>
              <w:jc w:val="left"/>
            </w:pPr>
            <w:r>
              <w:t xml:space="preserve">Tipo</w:t>
            </w:r>
          </w:p>
        </w:tc>
        <w:tc>
          <w:tcPr/>
          <w:p>
            <w:pPr>
              <w:pStyle w:val="Compact"/>
              <w:jc w:val="left"/>
            </w:pPr>
            <w:r>
              <w:t xml:space="preserve">Mensagem principal</w:t>
            </w:r>
          </w:p>
        </w:tc>
      </w:tr>
      <w:tr>
        <w:tc>
          <w:tcPr/>
          <w:p>
            <w:pPr>
              <w:pStyle w:val="Compact"/>
              <w:jc w:val="left"/>
            </w:pPr>
            <w:r>
              <w:t xml:space="preserve">Kosfeld 2005, PMID 15931222</w:t>
            </w:r>
          </w:p>
        </w:tc>
        <w:tc>
          <w:tcPr/>
          <w:p>
            <w:pPr>
              <w:pStyle w:val="Compact"/>
              <w:jc w:val="left"/>
            </w:pPr>
            <w:r>
              <w:t xml:space="preserve">Estudo original, jogo da confiança</w:t>
            </w:r>
          </w:p>
        </w:tc>
        <w:tc>
          <w:tcPr/>
          <w:p>
            <w:pPr>
              <w:pStyle w:val="Compact"/>
              <w:jc w:val="left"/>
            </w:pPr>
            <w:r>
              <w:t xml:space="preserve">A ocitocina aumenta a confiança</w:t>
            </w:r>
          </w:p>
        </w:tc>
      </w:tr>
      <w:tr>
        <w:tc>
          <w:tcPr/>
          <w:p>
            <w:pPr>
              <w:pStyle w:val="Compact"/>
              <w:jc w:val="left"/>
            </w:pPr>
            <w:r>
              <w:t xml:space="preserve">Nave 2015, PMID 26581735</w:t>
            </w:r>
          </w:p>
        </w:tc>
        <w:tc>
          <w:tcPr/>
          <w:p>
            <w:pPr>
              <w:pStyle w:val="Compact"/>
              <w:jc w:val="left"/>
            </w:pPr>
            <w:r>
              <w:t xml:space="preserve">Revisão crítica</w:t>
            </w:r>
          </w:p>
        </w:tc>
        <w:tc>
          <w:tcPr/>
          <w:p>
            <w:pPr>
              <w:pStyle w:val="Compact"/>
              <w:jc w:val="left"/>
            </w:pPr>
            <w:r>
              <w:t xml:space="preserve">O efeito sobre a confiança não pôde ser repetido de forma confiável</w:t>
            </w:r>
          </w:p>
        </w:tc>
      </w:tr>
      <w:tr>
        <w:tc>
          <w:tcPr/>
          <w:p>
            <w:pPr>
              <w:pStyle w:val="Compact"/>
              <w:jc w:val="left"/>
            </w:pPr>
            <w:r>
              <w:t xml:space="preserve">Lane 2015, PMID 26368396</w:t>
            </w:r>
          </w:p>
        </w:tc>
        <w:tc>
          <w:tcPr/>
          <w:p>
            <w:pPr>
              <w:pStyle w:val="Compact"/>
              <w:jc w:val="left"/>
            </w:pPr>
            <w:r>
              <w:t xml:space="preserve">Dois estudos de replicação (95 e 61 pessoas)</w:t>
            </w:r>
          </w:p>
        </w:tc>
        <w:tc>
          <w:tcPr/>
          <w:p>
            <w:pPr>
              <w:pStyle w:val="Compact"/>
              <w:jc w:val="left"/>
            </w:pPr>
            <w:r>
              <w:t xml:space="preserve">Grande efeito em outro teste de confiança não confirmado</w:t>
            </w:r>
          </w:p>
        </w:tc>
      </w:tr>
      <w:tr>
        <w:tc>
          <w:tcPr/>
          <w:p>
            <w:pPr>
              <w:pStyle w:val="Compact"/>
              <w:jc w:val="left"/>
            </w:pPr>
            <w:r>
              <w:t xml:space="preserve">Walum 2016, PMID 26210057</w:t>
            </w:r>
          </w:p>
        </w:tc>
        <w:tc>
          <w:tcPr/>
          <w:p>
            <w:pPr>
              <w:pStyle w:val="Compact"/>
              <w:jc w:val="left"/>
            </w:pPr>
            <w:r>
              <w:t xml:space="preserve">Análise estatística da área</w:t>
            </w:r>
          </w:p>
        </w:tc>
        <w:tc>
          <w:tcPr/>
          <w:p>
            <w:pPr>
              <w:pStyle w:val="Compact"/>
              <w:jc w:val="left"/>
            </w:pPr>
            <w:r>
              <w:t xml:space="preserve">Estudos geralmente pequenos demais; a maioria dos achados publicados provavelmente não são efeitos reais</w:t>
            </w:r>
          </w:p>
        </w:tc>
      </w:tr>
      <w:tr>
        <w:tc>
          <w:tcPr/>
          <w:p>
            <w:pPr>
              <w:pStyle w:val="Compact"/>
              <w:jc w:val="left"/>
            </w:pPr>
            <w:r>
              <w:t xml:space="preserve">Mierop 2020, PMID 32633663</w:t>
            </w:r>
          </w:p>
        </w:tc>
        <w:tc>
          <w:tcPr/>
          <w:p>
            <w:pPr>
              <w:pStyle w:val="Compact"/>
              <w:jc w:val="left"/>
            </w:pPr>
            <w:r>
              <w:t xml:space="preserve">Revisão sistemática</w:t>
            </w:r>
          </w:p>
        </w:tc>
        <w:tc>
          <w:tcPr/>
          <w:p>
            <w:pPr>
              <w:pStyle w:val="Compact"/>
              <w:jc w:val="left"/>
            </w:pPr>
            <w:r>
              <w:t xml:space="preserve">Tentativas de replicação de interações geralmente sem sucesso; poder estatístico criticamente baixo</w:t>
            </w:r>
          </w:p>
        </w:tc>
      </w:tr>
      <w:tr>
        <w:tc>
          <w:tcPr/>
          <w:p>
            <w:pPr>
              <w:pStyle w:val="Compact"/>
              <w:jc w:val="left"/>
            </w:pPr>
            <w:r>
              <w:t xml:space="preserve">Declerck 2020, PMID 32514040</w:t>
            </w:r>
          </w:p>
        </w:tc>
        <w:tc>
          <w:tcPr/>
          <w:p>
            <w:pPr>
              <w:pStyle w:val="Compact"/>
              <w:jc w:val="left"/>
            </w:pPr>
            <w:r>
              <w:t xml:space="preserve">Estudo de replicação pré-registrado</w:t>
            </w:r>
          </w:p>
        </w:tc>
        <w:tc>
          <w:tcPr/>
          <w:p>
            <w:pPr>
              <w:pStyle w:val="Compact"/>
              <w:jc w:val="left"/>
            </w:pPr>
            <w:r>
              <w:t xml:space="preserve">Nenhum efeito sobre a confiança na condição original</w:t>
            </w:r>
          </w:p>
        </w:tc>
      </w:tr>
      <w:tr>
        <w:tc>
          <w:tcPr/>
          <w:p>
            <w:pPr>
              <w:pStyle w:val="Compact"/>
              <w:jc w:val="left"/>
            </w:pPr>
            <w:r>
              <w:t xml:space="preserve">Vogt 2026, PMID 42561025</w:t>
            </w:r>
          </w:p>
        </w:tc>
        <w:tc>
          <w:tcPr/>
          <w:p>
            <w:pPr>
              <w:pStyle w:val="Compact"/>
              <w:jc w:val="left"/>
            </w:pPr>
            <w:r>
              <w:t xml:space="preserve">Estudo pré-registrado, 359 homens com baixa confiança de base</w:t>
            </w:r>
          </w:p>
        </w:tc>
        <w:tc>
          <w:tcPr/>
          <w:p>
            <w:pPr>
              <w:pStyle w:val="Compact"/>
              <w:jc w:val="left"/>
            </w:pPr>
            <w:r>
              <w:t xml:space="preserve">Confiança aumentada em cerca de 15%</w:t>
            </w:r>
          </w:p>
        </w:tc>
      </w:tr>
    </w:tbl>
    <w:p>
      <w:pPr>
        <w:pStyle w:val="BodyText"/>
      </w:pPr>
      <w:r>
        <w:t xml:space="preserve">Uma revisão de 2015 concluiu que o conjunto dos dados não demonstra que a confiança humana esteja relacionada de forma confiável à ocitocina ou seja causada por ela</w:t>
      </w:r>
      <w:r>
        <w:rPr>
          <w:rStyle w:val="FootnoteReference"/>
        </w:rPr>
        <w:footnoteReference w:id="2212"/>
      </w:r>
      <w:r>
        <w:t xml:space="preserve">. Uma análise estatística de todos os estudos com o spray nasal foi além: os estudos seriam, em regra, pequenos demais para encontrar efeitos realistas, e, com alta probabilidade, a maioria dos achados publicados não representaria efeitos reais</w:t>
      </w:r>
      <w:r>
        <w:rPr>
          <w:rStyle w:val="FootnoteReference"/>
        </w:rPr>
        <w:footnoteReference w:id="2213"/>
      </w:r>
      <w:r>
        <w:t xml:space="preserve">.</w:t>
      </w:r>
    </w:p>
    <w:p>
      <w:pPr>
        <w:pStyle w:val="BodyText"/>
      </w:pPr>
      <w:r>
        <w:t xml:space="preserve">A prova mais importante foi uma grande replicação pré-registrada do estudo da confiança, com poder estatístico acima de 95%. Na condição correspondente ao estudo original, a ocitocina não teve efeito. Uma análise posterior sugeriu um efeito apenas em pessoas com baixa confiança de base</w:t>
      </w:r>
      <w:r>
        <w:rPr>
          <w:rStyle w:val="FootnoteReference"/>
        </w:rPr>
        <w:footnoteReference w:id="2214"/>
      </w:r>
      <w:r>
        <w:t xml:space="preserve">. Exatamente essa hipótese foi testada em 2026 por outro estudo pré-registrado com 359 homens com baixa confiança de base, que encontrou um aumento da confiança de cerca de 15%</w:t>
      </w:r>
      <w:r>
        <w:rPr>
          <w:rStyle w:val="FootnoteReference"/>
        </w:rPr>
        <w:footnoteReference w:id="2215"/>
      </w:r>
      <w:r>
        <w:t xml:space="preserve">.</w:t>
      </w:r>
    </w:p>
    <w:p>
      <w:pPr>
        <w:pStyle w:val="BodyText"/>
      </w:pPr>
      <w:r>
        <w:rPr>
          <w:bCs/>
          <w:b/>
        </w:rPr>
        <w:t xml:space="preserve">O que isso significa:</w:t>
      </w:r>
      <w:r>
        <w:t xml:space="preserve"> </w:t>
      </w:r>
      <w:r>
        <w:t xml:space="preserve">o efeito original, amplo,</w:t>
      </w:r>
      <w:r>
        <w:t xml:space="preserve"> </w:t>
      </w:r>
      <w:r>
        <w:t xml:space="preserve">“</w:t>
      </w:r>
      <w:r>
        <w:t xml:space="preserve">a ocitocina torna as pessoas mais confiantes</w:t>
      </w:r>
      <w:r>
        <w:t xml:space="preserve">”</w:t>
      </w:r>
      <w:r>
        <w:t xml:space="preserve"> </w:t>
      </w:r>
      <w:r>
        <w:t xml:space="preserve">não se confirmou. Possivelmente existe um efeito menor em um determinado subgrupo e sob determinadas condições. Isso é cientificamente interessante, mas está longe de um benefício prático. As experiências mudaram a área: hoje os estudos são mais frequentemente pré-registrados, são maiores e também relatam resultados negativos. Uma plataforma online apresentada em 2026 deverá avaliar continuamente o conjunto de estudos</w:t>
      </w:r>
      <w:r>
        <w:rPr>
          <w:rStyle w:val="FootnoteReference"/>
        </w:rPr>
        <w:footnoteReference w:id="2216"/>
      </w:r>
      <w:r>
        <w:t xml:space="preserve">.</w:t>
      </w:r>
    </w:p>
    <w:bookmarkEnd w:id="2217"/>
    <w:bookmarkStart w:id="2230" w:name="autismo"/>
    <w:p>
      <w:pPr>
        <w:pStyle w:val="Heading4"/>
      </w:pPr>
      <w:r>
        <w:t xml:space="preserve">Autismo</w:t>
      </w:r>
    </w:p>
    <w:p>
      <w:pPr>
        <w:pStyle w:val="FirstParagraph"/>
      </w:pPr>
      <w:r>
        <w:t xml:space="preserve">Os transtornos do espectro autista caracterizam-se por dificuldades na comunicação social e por comportamentos restritos e repetitivos. Não há medicamentos que alterem essas características centrais. A ocitocina foi, por isso, durante muito tempo uma grande esperança, e em alguns países já era prescrita a crianças com autismo fora de estudos</w:t>
      </w:r>
      <w:r>
        <w:rPr>
          <w:rStyle w:val="FootnoteReference"/>
        </w:rPr>
        <w:footnoteReference w:id="2218"/>
      </w:r>
      <w:r>
        <w:t xml:space="preserve">.</w:t>
      </w:r>
    </w:p>
    <w:p>
      <w:pPr>
        <w:pStyle w:val="BodyText"/>
      </w:pPr>
      <w:r>
        <w:rPr>
          <w:bCs/>
          <w:b/>
        </w:rPr>
        <w:t xml:space="preserve">Primeiros estudos.</w:t>
      </w:r>
      <w:r>
        <w:t xml:space="preserve"> </w:t>
      </w:r>
      <w:r>
        <w:t xml:space="preserve">Uma revisão sistemática de 2014 encontrou sete estudos randomizados com um total de 101 pessoas com autismo, quase todas do sexo masculino. Os estudos eram pequenos (mediana de 15 participantes) e tinham risco de viés médio a alto. Quase todos relataram pelo menos um resultado positivo, geralmente no comportamento do olhar ou no reconhecimento de emoções</w:t>
      </w:r>
      <w:r>
        <w:rPr>
          <w:rStyle w:val="FootnoteReference"/>
        </w:rPr>
        <w:footnoteReference w:id="2219"/>
      </w:r>
      <w:r>
        <w:t xml:space="preserve">.</w:t>
      </w:r>
    </w:p>
    <w:p>
      <w:pPr>
        <w:pStyle w:val="BodyText"/>
      </w:pPr>
      <w:r>
        <w:rPr>
          <w:bCs/>
          <w:b/>
        </w:rPr>
        <w:t xml:space="preserve">Estudos de tratamento ao longo de semanas.</w:t>
      </w:r>
      <w:r>
        <w:t xml:space="preserve"> </w:t>
      </w:r>
      <w:r>
        <w:t xml:space="preserve">Seguiram-se estudos em que crianças e adultos receberam ocitocina durante várias semanas: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Anagnostou 2012, PMID 23216716</w:t>
            </w:r>
          </w:p>
        </w:tc>
        <w:tc>
          <w:tcPr/>
          <w:p>
            <w:pPr>
              <w:pStyle w:val="Compact"/>
              <w:jc w:val="left"/>
            </w:pPr>
            <w:r>
              <w:t xml:space="preserve">19 adultos, ECR</w:t>
            </w:r>
          </w:p>
        </w:tc>
        <w:tc>
          <w:tcPr/>
          <w:p>
            <w:pPr>
              <w:pStyle w:val="Compact"/>
              <w:jc w:val="left"/>
            </w:pPr>
            <w:r>
              <w:t xml:space="preserve">6 semanas</w:t>
            </w:r>
          </w:p>
        </w:tc>
        <w:tc>
          <w:tcPr/>
          <w:p>
            <w:pPr>
              <w:pStyle w:val="Compact"/>
              <w:jc w:val="left"/>
            </w:pPr>
            <w:r>
              <w:t xml:space="preserve">Objetivos principais não atingidos; melhora em objetivos secundários</w:t>
            </w:r>
          </w:p>
        </w:tc>
      </w:tr>
      <w:tr>
        <w:tc>
          <w:tcPr/>
          <w:p>
            <w:pPr>
              <w:pStyle w:val="Compact"/>
              <w:jc w:val="left"/>
            </w:pPr>
            <w:r>
              <w:t xml:space="preserve">Guastella 2015, PMID 25087908</w:t>
            </w:r>
          </w:p>
        </w:tc>
        <w:tc>
          <w:tcPr/>
          <w:p>
            <w:pPr>
              <w:pStyle w:val="Compact"/>
              <w:jc w:val="left"/>
            </w:pPr>
            <w:r>
              <w:t xml:space="preserve">50 adolescentes do sexo masculino (12–18 anos), ECR</w:t>
            </w:r>
          </w:p>
        </w:tc>
        <w:tc>
          <w:tcPr/>
          <w:p>
            <w:pPr>
              <w:pStyle w:val="Compact"/>
              <w:jc w:val="left"/>
            </w:pPr>
            <w:r>
              <w:t xml:space="preserve">8 semanas</w:t>
            </w:r>
          </w:p>
        </w:tc>
        <w:tc>
          <w:tcPr/>
          <w:p>
            <w:pPr>
              <w:pStyle w:val="Compact"/>
              <w:jc w:val="left"/>
            </w:pPr>
            <w:r>
              <w:t xml:space="preserve">nenhum benefício nos objetivos principais ou secundários</w:t>
            </w:r>
          </w:p>
        </w:tc>
      </w:tr>
      <w:tr>
        <w:tc>
          <w:tcPr/>
          <w:p>
            <w:pPr>
              <w:pStyle w:val="Compact"/>
              <w:jc w:val="left"/>
            </w:pPr>
            <w:r>
              <w:t xml:space="preserve">Yatawara 2016, PMID 26503762</w:t>
            </w:r>
          </w:p>
        </w:tc>
        <w:tc>
          <w:tcPr/>
          <w:p>
            <w:pPr>
              <w:pStyle w:val="Compact"/>
              <w:jc w:val="left"/>
            </w:pPr>
            <w:r>
              <w:t xml:space="preserve">31 crianças pequenas, estudo cruzado contra placebo</w:t>
            </w:r>
          </w:p>
        </w:tc>
        <w:tc>
          <w:tcPr/>
          <w:p>
            <w:pPr>
              <w:pStyle w:val="Compact"/>
              <w:jc w:val="left"/>
            </w:pPr>
            <w:r>
              <w:t xml:space="preserve">5 semanas cada</w:t>
            </w:r>
          </w:p>
        </w:tc>
        <w:tc>
          <w:tcPr/>
          <w:p>
            <w:pPr>
              <w:pStyle w:val="Compact"/>
              <w:jc w:val="left"/>
            </w:pPr>
            <w:r>
              <w:t xml:space="preserve">responsividade social melhorada segundo os pais</w:t>
            </w:r>
          </w:p>
        </w:tc>
      </w:tr>
      <w:tr>
        <w:tc>
          <w:tcPr/>
          <w:p>
            <w:pPr>
              <w:pStyle w:val="Compact"/>
              <w:jc w:val="left"/>
            </w:pPr>
            <w:r>
              <w:t xml:space="preserve">Parker 2017, PMID 28696286</w:t>
            </w:r>
          </w:p>
        </w:tc>
        <w:tc>
          <w:tcPr/>
          <w:p>
            <w:pPr>
              <w:pStyle w:val="Compact"/>
              <w:jc w:val="left"/>
            </w:pPr>
            <w:r>
              <w:t xml:space="preserve">32 crianças (6–12 anos), ECR</w:t>
            </w:r>
          </w:p>
        </w:tc>
        <w:tc>
          <w:tcPr/>
          <w:p>
            <w:pPr>
              <w:pStyle w:val="Compact"/>
              <w:jc w:val="left"/>
            </w:pPr>
            <w:r>
              <w:t xml:space="preserve">4 semanas</w:t>
            </w:r>
          </w:p>
        </w:tc>
        <w:tc>
          <w:tcPr/>
          <w:p>
            <w:pPr>
              <w:pStyle w:val="Compact"/>
              <w:jc w:val="left"/>
            </w:pPr>
            <w:r>
              <w:t xml:space="preserve">habilidades sociais melhoradas quando considerados os valores iniciais no sangue; nível inicial baixo previu resposta</w:t>
            </w:r>
          </w:p>
        </w:tc>
      </w:tr>
      <w:tr>
        <w:tc>
          <w:tcPr/>
          <w:p>
            <w:pPr>
              <w:pStyle w:val="Compact"/>
              <w:jc w:val="left"/>
            </w:pPr>
            <w:r>
              <w:t xml:space="preserve">SOARS-B (Sikich 2021), PMID 34644471</w:t>
            </w:r>
          </w:p>
        </w:tc>
        <w:tc>
          <w:tcPr/>
          <w:p>
            <w:pPr>
              <w:pStyle w:val="Compact"/>
              <w:jc w:val="left"/>
            </w:pPr>
            <w:r>
              <w:t xml:space="preserve">290 crianças e adolescentes (3–17 anos), ECR</w:t>
            </w:r>
          </w:p>
        </w:tc>
        <w:tc>
          <w:tcPr/>
          <w:p>
            <w:pPr>
              <w:pStyle w:val="Compact"/>
              <w:jc w:val="left"/>
            </w:pPr>
            <w:r>
              <w:t xml:space="preserve">24 semanas</w:t>
            </w:r>
          </w:p>
        </w:tc>
        <w:tc>
          <w:tcPr/>
          <w:p>
            <w:pPr>
              <w:pStyle w:val="Compact"/>
              <w:jc w:val="left"/>
            </w:pPr>
            <w:r>
              <w:t xml:space="preserve">nenhuma diferença: −3,7 vs. −3,5 pontos no retraimento social</w:t>
            </w:r>
          </w:p>
        </w:tc>
      </w:tr>
      <w:tr>
        <w:tc>
          <w:tcPr/>
          <w:p>
            <w:pPr>
              <w:pStyle w:val="Compact"/>
              <w:jc w:val="left"/>
            </w:pPr>
            <w:r>
              <w:t xml:space="preserve">Guastella 2023, PMID 36302965</w:t>
            </w:r>
          </w:p>
        </w:tc>
        <w:tc>
          <w:tcPr/>
          <w:p>
            <w:pPr>
              <w:pStyle w:val="Compact"/>
              <w:jc w:val="left"/>
            </w:pPr>
            <w:r>
              <w:t xml:space="preserve">87 crianças (3–12 anos), ECR após fase prévia com placebo</w:t>
            </w:r>
          </w:p>
        </w:tc>
        <w:tc>
          <w:tcPr/>
          <w:p>
            <w:pPr>
              <w:pStyle w:val="Compact"/>
              <w:jc w:val="left"/>
            </w:pPr>
            <w:r>
              <w:t xml:space="preserve">12 semanas</w:t>
            </w:r>
          </w:p>
        </w:tc>
        <w:tc>
          <w:tcPr/>
          <w:p>
            <w:pPr>
              <w:pStyle w:val="Compact"/>
              <w:jc w:val="left"/>
            </w:pPr>
            <w:r>
              <w:t xml:space="preserve">nenhum efeito no total; indício de efeito em crianças de 3 a 5 anos</w:t>
            </w:r>
          </w:p>
        </w:tc>
      </w:tr>
    </w:tbl>
    <w:p>
      <w:pPr>
        <w:pStyle w:val="BodyText"/>
      </w:pPr>
      <w:r>
        <w:rPr>
          <w:bCs/>
          <w:b/>
        </w:rPr>
        <w:t xml:space="preserve">O estudo SOARS-B.</w:t>
      </w:r>
      <w:r>
        <w:t xml:space="preserve"> </w:t>
      </w:r>
      <w:r>
        <w:t xml:space="preserve">O estudo de longe maior e mais conclusivo é o SOARS-B (Study of Oxytocin in Autism to Improve Reciprocal Social Behaviors), financiado pelas autoridades de saúde dos EUA e publicado em 2021 no New England Journal of Medicine</w:t>
      </w:r>
      <w:r>
        <w:rPr>
          <w:rStyle w:val="FootnoteReference"/>
        </w:rPr>
        <w:footnoteReference w:id="2220"/>
      </w:r>
      <w:r>
        <w:t xml:space="preserve">. 290 crianças e adolescentes entre 3 e 17 anos receberam diariamente, durante 24 semanas, ocitocina ou um spray nasal placebo. O desfecho principal foi uma escala de retraimento social (ABC-mSW, 0 a 39 pontos).</w:t>
      </w:r>
    </w:p>
    <w:p>
      <w:pPr>
        <w:pStyle w:val="BodyText"/>
      </w:pPr>
      <w:r>
        <w:t xml:space="preserve">O resultado foi claramente negativo: o valor caiu 3,7 pontos com ocitocina e 3,5 pontos com placebo. A diferença de 0,2 ponto não foi estatística nem clinicamente relevante. Também os objetivos secundários – duas outras medidas de função social e um teste de inteligência – não diferiram. Os efeitos colaterais foram igualmente frequentes nos dois grupos.</w:t>
      </w:r>
    </w:p>
    <w:p>
      <w:pPr>
        <w:pStyle w:val="BodyText"/>
      </w:pPr>
      <w:r>
        <w:rPr>
          <w:bCs/>
          <w:b/>
        </w:rPr>
        <w:t xml:space="preserve">O estudo australiano em crianças pequenas.</w:t>
      </w:r>
      <w:r>
        <w:t xml:space="preserve"> </w:t>
      </w:r>
      <w:r>
        <w:t xml:space="preserve">O grupo de Adam Guastella havia encontrado anteriormente um resultado positivo em crianças pequenas</w:t>
      </w:r>
      <w:r>
        <w:rPr>
          <w:rStyle w:val="FootnoteReference"/>
        </w:rPr>
        <w:footnoteReference w:id="2221"/>
      </w:r>
      <w:r>
        <w:t xml:space="preserve">. Um estudo seguinte maior, com 87 crianças, incluiu uma fase prévia de três semanas com placebo para filtrar o forte efeito placebo. No total, a ocitocina não mostrou efeito sobre a responsividade social. Apenas no subgrupo de 3 a 5 anos houve indício de melhora segundo a avaliação dos pais; a avaliação médica e todas as outras medidas não mostraram benefício</w:t>
      </w:r>
      <w:r>
        <w:rPr>
          <w:rStyle w:val="FootnoteReference"/>
        </w:rPr>
        <w:footnoteReference w:id="2222"/>
      </w:r>
      <w:r>
        <w:t xml:space="preserve">. Chama a atenção: no estudo com adolescentes de 2015, os pais que acreditavam que seu filho recebia ocitocina relataram melhoras maiores – independentemente do que o filho de fato recebia</w:t>
      </w:r>
      <w:r>
        <w:rPr>
          <w:rStyle w:val="FootnoteReference"/>
        </w:rPr>
        <w:footnoteReference w:id="2223"/>
      </w:r>
      <w:r>
        <w:t xml:space="preserve">.</w:t>
      </w:r>
    </w:p>
    <w:p>
      <w:pPr>
        <w:pStyle w:val="BodyText"/>
      </w:pPr>
      <w:r>
        <w:rPr>
          <w:bCs/>
          <w:b/>
        </w:rPr>
        <w:t xml:space="preserve">Efeitos biológicos sem benefício clínico.</w:t>
      </w:r>
      <w:r>
        <w:t xml:space="preserve"> </w:t>
      </w:r>
      <w:r>
        <w:t xml:space="preserve">Um estudo com 79 crianças encontrou, após quatro semanas de ocitocina, níveis mais altos de ocitocina na saliva e alterações na marcação epigenética do gene do receptor</w:t>
      </w:r>
      <w:r>
        <w:rPr>
          <w:rStyle w:val="FootnoteReference"/>
        </w:rPr>
        <w:footnoteReference w:id="2224"/>
      </w:r>
      <w:r>
        <w:t xml:space="preserve">. Na neuroimagem do mesmo grupo, por outro lado, não houve efeitos significativos do tratamento sobre o processamento de rostos</w:t>
      </w:r>
      <w:r>
        <w:rPr>
          <w:rStyle w:val="FootnoteReference"/>
        </w:rPr>
        <w:footnoteReference w:id="2225"/>
      </w:r>
      <w:r>
        <w:t xml:space="preserve">. Esses sinais biológicos são cientificamente interessantes, mas não comprovam melhora no dia a dia.</w:t>
      </w:r>
    </w:p>
    <w:p>
      <w:pPr>
        <w:pStyle w:val="BodyText"/>
      </w:pPr>
      <w:r>
        <w:rPr>
          <w:bCs/>
          <w:b/>
        </w:rPr>
        <w:t xml:space="preserve">Metanálises.</w:t>
      </w:r>
      <w:r>
        <w:t xml:space="preserve"> </w:t>
      </w:r>
      <w:r>
        <w:t xml:space="preserve">As sínteses chegam a resultados diferentes, conforme os estudos que incluem:</w:t>
      </w:r>
    </w:p>
    <w:p>
      <w:pPr>
        <w:numPr>
          <w:ilvl w:val="0"/>
          <w:numId w:val="1277"/>
        </w:numPr>
        <w:pStyle w:val="Compact"/>
      </w:pPr>
      <w:r>
        <w:t xml:space="preserve">Uma metanálise de 17 estudos randomizados com 466 pessoas com transtornos do desenvolvimento não encontrou efeito sobre o reconhecimento de emoções e encontrou um pequeno efeito sobre a compreensão dos pensamentos alheios</w:t>
      </w:r>
      <w:r>
        <w:rPr>
          <w:rStyle w:val="FootnoteReference"/>
        </w:rPr>
        <w:footnoteReference w:id="2226"/>
      </w:r>
      <w:r>
        <w:t xml:space="preserve">.</w:t>
      </w:r>
    </w:p>
    <w:p>
      <w:pPr>
        <w:numPr>
          <w:ilvl w:val="0"/>
          <w:numId w:val="1277"/>
        </w:numPr>
        <w:pStyle w:val="Compact"/>
      </w:pPr>
      <w:r>
        <w:t xml:space="preserve">Uma metanálise de 28 estudos com 726 pessoas com autismo, incluindo também estudos não controlados, chegou a um julgamento mais positivo sobre a função social</w:t>
      </w:r>
      <w:r>
        <w:rPr>
          <w:rStyle w:val="FootnoteReference"/>
        </w:rPr>
        <w:footnoteReference w:id="2227"/>
      </w:r>
      <w:r>
        <w:t xml:space="preserve">. A inclusão de estudos não controlados torna esse resultado suscetível a vieses.</w:t>
      </w:r>
    </w:p>
    <w:p>
      <w:pPr>
        <w:numPr>
          <w:ilvl w:val="0"/>
          <w:numId w:val="1277"/>
        </w:numPr>
        <w:pStyle w:val="Compact"/>
      </w:pPr>
      <w:r>
        <w:t xml:space="preserve">A maior metanálise até agora sobre todas as doenças psíquicas (42 estudos duplo-cegos, 1.922 pessoas) não encontrou, no total, efeito significativo. Após a exclusão de dois valores discrepantes, o tamanho do efeito ficou próximo de zero</w:t>
      </w:r>
      <w:r>
        <w:rPr>
          <w:rStyle w:val="FootnoteReference"/>
        </w:rPr>
        <w:footnoteReference w:id="2228"/>
      </w:r>
      <w:r>
        <w:t xml:space="preserve">.</w:t>
      </w:r>
    </w:p>
    <w:p>
      <w:pPr>
        <w:pStyle w:val="FirstParagraph"/>
      </w:pPr>
      <w:r>
        <w:rPr>
          <w:bCs/>
          <w:b/>
        </w:rPr>
        <w:t xml:space="preserve">Balanço parcial sobre autismo:</w:t>
      </w:r>
      <w:r>
        <w:t xml:space="preserve"> </w:t>
      </w:r>
      <w:r>
        <w:t xml:space="preserve">depois do grande estudo SOARS-B e do estudo australiano seguinte, não há prova sólida de que o spray nasal de ocitocina melhore o comportamento social de crianças e adolescentes com autismo no dia a dia. Pesquisadores discutem se determinados subgrupos – crianças muito pequenas, crianças com nível baixo de ocitocina – poderiam se beneficiar e propõem uma abordagem personalizada</w:t>
      </w:r>
      <w:r>
        <w:rPr>
          <w:rStyle w:val="FootnoteReference"/>
        </w:rPr>
        <w:footnoteReference w:id="2229"/>
      </w:r>
      <w:r>
        <w:t xml:space="preserve">. Até que isso seja confirmado em estudos próprios, permanece uma hipótese.</w:t>
      </w:r>
    </w:p>
    <w:bookmarkEnd w:id="2230"/>
    <w:bookmarkStart w:id="2238" w:name="outras-doenças-psíquicas"/>
    <w:p>
      <w:pPr>
        <w:pStyle w:val="Heading4"/>
      </w:pPr>
      <w:r>
        <w:t xml:space="preserve">Outras doenças psíquicas</w:t>
      </w:r>
    </w:p>
    <w:p>
      <w:pPr>
        <w:pStyle w:val="FirstParagraph"/>
      </w:pPr>
      <w:r>
        <w:rPr>
          <w:bCs/>
          <w:b/>
        </w:rPr>
        <w:t xml:space="preserve">Esquizofrenia.</w:t>
      </w:r>
      <w:r>
        <w:t xml:space="preserve"> </w:t>
      </w:r>
      <w:r>
        <w:t xml:space="preserve">Em um estudo de doze semanas com 68 pessoas, a ocitocina não melhorou a percepção social</w:t>
      </w:r>
      <w:r>
        <w:rPr>
          <w:rStyle w:val="FootnoteReference"/>
        </w:rPr>
        <w:footnoteReference w:id="2231"/>
      </w:r>
      <w:r>
        <w:t xml:space="preserve">. Uma metanálise de nove estudos não encontrou efeito consistente sobre os chamados sintomas negativos, como falta de motivação e retraimento social</w:t>
      </w:r>
      <w:r>
        <w:rPr>
          <w:rStyle w:val="FootnoteReference"/>
        </w:rPr>
        <w:footnoteReference w:id="2232"/>
      </w:r>
      <w:r>
        <w:t xml:space="preserve">. A grande metanálise de 2026 viu nesse grupo um efeito pequeno, apenas significativo (tamanho de efeito 0,12), e constatou que estudos com mais mulheres tendiam a mostrar efeitos maiores</w:t>
      </w:r>
      <w:r>
        <w:rPr>
          <w:rStyle w:val="FootnoteReference"/>
        </w:rPr>
        <w:footnoteReference w:id="2233"/>
      </w:r>
      <w:r>
        <w:t xml:space="preserve">.</w:t>
      </w:r>
    </w:p>
    <w:p>
      <w:pPr>
        <w:pStyle w:val="BodyText"/>
      </w:pPr>
      <w:r>
        <w:rPr>
          <w:bCs/>
          <w:b/>
        </w:rPr>
        <w:t xml:space="preserve">Álcool.</w:t>
      </w:r>
      <w:r>
        <w:t xml:space="preserve"> </w:t>
      </w:r>
      <w:r>
        <w:t xml:space="preserve">Em um estudo norueguês com 40 pessoas em abstinência alcoólica, a ocitocina não reduziu significativamente a necessidade de sedativos</w:t>
      </w:r>
      <w:r>
        <w:rPr>
          <w:rStyle w:val="FootnoteReference"/>
        </w:rPr>
        <w:footnoteReference w:id="2234"/>
      </w:r>
      <w:r>
        <w:t xml:space="preserve">. Uma metanálise de seis estudos randomizados sobre dependência de álcool não encontrou efeito; uma análise bayesiana chegou a apontar moderadamente para a ausência de efeito</w:t>
      </w:r>
      <w:r>
        <w:rPr>
          <w:rStyle w:val="FootnoteReference"/>
        </w:rPr>
        <w:footnoteReference w:id="2235"/>
      </w:r>
      <w:r>
        <w:t xml:space="preserve">.</w:t>
      </w:r>
    </w:p>
    <w:p>
      <w:pPr>
        <w:pStyle w:val="BodyText"/>
      </w:pPr>
      <w:r>
        <w:rPr>
          <w:bCs/>
          <w:b/>
        </w:rPr>
        <w:t xml:space="preserve">Combinação com psicoterapia.</w:t>
      </w:r>
      <w:r>
        <w:t xml:space="preserve"> </w:t>
      </w:r>
      <w:r>
        <w:t xml:space="preserve">Uma ideia mais recente é administrar a ocitocina não isoladamente, mas como reforço de uma psicoterapia. Uma revisão de 13 estudos com 518 participantes encontrou indícios de menos sintomas depressivos e de uma melhor relação terapêutica, mas nenhum efeito sobre os sintomas psiquiátricos em geral ou sobre a função social; apenas quatro estudos puderam ser agrupados</w:t>
      </w:r>
      <w:r>
        <w:rPr>
          <w:rStyle w:val="FootnoteReference"/>
        </w:rPr>
        <w:footnoteReference w:id="2236"/>
      </w:r>
      <w:r>
        <w:t xml:space="preserve">.</w:t>
      </w:r>
    </w:p>
    <w:p>
      <w:pPr>
        <w:pStyle w:val="BodyText"/>
      </w:pPr>
      <w:r>
        <w:rPr>
          <w:bCs/>
          <w:b/>
        </w:rPr>
        <w:t xml:space="preserve">Após o parto.</w:t>
      </w:r>
      <w:r>
        <w:t xml:space="preserve"> </w:t>
      </w:r>
      <w:r>
        <w:t xml:space="preserve">Em 45 mães com depressão pós-parto (em parte subclínica), uma dose única aumentou o humor positivo e a atenção positiva ao bebê, mas não a sensibilidade no trato com ele</w:t>
      </w:r>
      <w:r>
        <w:rPr>
          <w:rStyle w:val="FootnoteReference"/>
        </w:rPr>
        <w:footnoteReference w:id="2237"/>
      </w:r>
      <w:r>
        <w:t xml:space="preserve">.</w:t>
      </w:r>
    </w:p>
    <w:bookmarkEnd w:id="2238"/>
    <w:bookmarkStart w:id="2245" w:name="metabolismo-peso-e-dor"/>
    <w:p>
      <w:pPr>
        <w:pStyle w:val="Heading4"/>
      </w:pPr>
      <w:r>
        <w:t xml:space="preserve">Metabolismo, peso e dor</w:t>
      </w:r>
    </w:p>
    <w:p>
      <w:pPr>
        <w:pStyle w:val="FirstParagraph"/>
      </w:pPr>
      <w:r>
        <w:rPr>
          <w:bCs/>
          <w:b/>
        </w:rPr>
        <w:t xml:space="preserve">Obesidade.</w:t>
      </w:r>
      <w:r>
        <w:t xml:space="preserve"> </w:t>
      </w:r>
      <w:r>
        <w:t xml:space="preserve">Como a ocitocina reduz a ingestão de alimentos e aumenta o gasto de energia em animais, ela foi testada como medicamento para emagrecer. Uma metanálise constatou que uma dose única, em pessoas sem doença psíquica, reduziu a quantidade ingerida em uma refeição-teste</w:t>
      </w:r>
      <w:r>
        <w:rPr>
          <w:rStyle w:val="FootnoteReference"/>
        </w:rPr>
        <w:footnoteReference w:id="2239"/>
      </w:r>
      <w:r>
        <w:t xml:space="preserve">. O teste decisivo foi um estudo com 61 adultos com obesidade, que aplicaram ocitocina ou placebo quatro vezes ao dia durante oito semanas. O peso não mudou: +0,20 kg com ocitocina, +0,26 kg com placebo. Também a gordura corporal, a gordura hepática e o gasto de energia permaneceram inalterados; apenas em uma refeição-teste os participantes comeram menos</w:t>
      </w:r>
      <w:r>
        <w:rPr>
          <w:rStyle w:val="FootnoteReference"/>
        </w:rPr>
        <w:footnoteReference w:id="2240"/>
      </w:r>
      <w:r>
        <w:t xml:space="preserve">. Um pequeno estudo-piloto com 21 idosos com sobrepeso e perda muscular encontrou um ganho de massa muscular de 2,25 kg</w:t>
      </w:r>
      <w:r>
        <w:rPr>
          <w:rStyle w:val="FootnoteReference"/>
        </w:rPr>
        <w:footnoteReference w:id="2241"/>
      </w:r>
      <w:r>
        <w:t xml:space="preserve">; isso precisa ser confirmado em estudos maiores.</w:t>
      </w:r>
    </w:p>
    <w:p>
      <w:pPr>
        <w:pStyle w:val="BodyText"/>
      </w:pPr>
      <w:r>
        <w:rPr>
          <w:bCs/>
          <w:b/>
        </w:rPr>
        <w:t xml:space="preserve">Síndrome de Prader-Willi.</w:t>
      </w:r>
      <w:r>
        <w:t xml:space="preserve"> </w:t>
      </w:r>
      <w:r>
        <w:t xml:space="preserve">Nessa doença genética rara, com fome insaciável e ocitocina reduzida no hipotálamo, as expectativas eram especialmente grandes. Uma metanálise não encontrou efeito sobre a compulsão alimentar ou o peso</w:t>
      </w:r>
      <w:r>
        <w:rPr>
          <w:rStyle w:val="FootnoteReference"/>
        </w:rPr>
        <w:footnoteReference w:id="2242"/>
      </w:r>
      <w:r>
        <w:t xml:space="preserve">. Em um estudo com 23 crianças, a compulsão alimentar e o comportamento repetitivo melhoraram até mais com placebo</w:t>
      </w:r>
      <w:r>
        <w:rPr>
          <w:rStyle w:val="FootnoteReference"/>
        </w:rPr>
        <w:footnoteReference w:id="2243"/>
      </w:r>
      <w:r>
        <w:t xml:space="preserve">.</w:t>
      </w:r>
    </w:p>
    <w:p>
      <w:pPr>
        <w:pStyle w:val="BodyText"/>
      </w:pPr>
      <w:r>
        <w:rPr>
          <w:bCs/>
          <w:b/>
        </w:rPr>
        <w:t xml:space="preserve">Dor.</w:t>
      </w:r>
      <w:r>
        <w:t xml:space="preserve"> </w:t>
      </w:r>
      <w:r>
        <w:t xml:space="preserve">Uma metanálise de 15 estudos não encontrou efeito significativo sobre a intensidade da dor ou o desconforto causado pela dor</w:t>
      </w:r>
      <w:r>
        <w:rPr>
          <w:rStyle w:val="FootnoteReference"/>
        </w:rPr>
        <w:footnoteReference w:id="2244"/>
      </w:r>
      <w:r>
        <w:t xml:space="preserve">.</w:t>
      </w:r>
    </w:p>
    <w:bookmarkEnd w:id="2245"/>
    <w:bookmarkStart w:id="2248" w:name="sexualidade"/>
    <w:p>
      <w:pPr>
        <w:pStyle w:val="Heading4"/>
      </w:pPr>
      <w:r>
        <w:t xml:space="preserve">Sexualidade</w:t>
      </w:r>
    </w:p>
    <w:p>
      <w:pPr>
        <w:pStyle w:val="FirstParagraph"/>
      </w:pPr>
      <w:r>
        <w:t xml:space="preserve">A ocitocina é liberada no orgasmo e promovida na internet como meio para uma vida amorosa mais intensa. Em um estudo de laboratório com dez homens, um spray nasal aumentou claramente o nível de ocitocina no sangue, mas não alterou, segundo os questionários, desejo, excitação, orgasmo e fase de recuperação</w:t>
      </w:r>
      <w:r>
        <w:rPr>
          <w:rStyle w:val="FootnoteReference"/>
        </w:rPr>
        <w:footnoteReference w:id="2246"/>
      </w:r>
      <w:r>
        <w:t xml:space="preserve">. Uma metanálise sobre medicamentos contra disfunções sexuais femininas, que incluiu também estudos com ocitocina, constatou que cerca de dois terços da melhora também ocorriam com placebo</w:t>
      </w:r>
      <w:r>
        <w:rPr>
          <w:rStyle w:val="FootnoteReference"/>
        </w:rPr>
        <w:footnoteReference w:id="2247"/>
      </w:r>
      <w:r>
        <w:t xml:space="preserve">. Não há provas sólidas de um efeito sobre a sexualidade.</w:t>
      </w:r>
    </w:p>
    <w:bookmarkEnd w:id="2248"/>
    <w:bookmarkStart w:id="2251" w:name="deficiência-de-ocitocina-como-doença"/>
    <w:p>
      <w:pPr>
        <w:pStyle w:val="Heading4"/>
      </w:pPr>
      <w:r>
        <w:t xml:space="preserve">Deficiência de ocitocina como doença</w:t>
      </w:r>
    </w:p>
    <w:p>
      <w:pPr>
        <w:pStyle w:val="FirstParagraph"/>
      </w:pPr>
      <w:r>
        <w:t xml:space="preserve">Um campo novo e medicamente plausível é a verdadeira deficiência de ocitocina. Pessoas cujo hipotálamo ou hipófise foram danificados, por exemplo por um tumor ou uma cirurgia, frequentemente têm deficiência de vasopressina (antes chamada diabetes insípido central). Um estudo suíço usou a droga MDMA, que em pessoas saudáveis libera ocitocina intensamente, como teste de provocação. Em 15 pessoas saudáveis, a ocitocina subiu fortemente; em 15 pessoas afetadas, quase nada; a área sob a curva foi 82% maior nas saudáveis, e as afetadas quase não sentiram os efeitos sociais e ansiolíticos típicos</w:t>
      </w:r>
      <w:r>
        <w:rPr>
          <w:rStyle w:val="FootnoteReference"/>
        </w:rPr>
        <w:footnoteReference w:id="2249"/>
      </w:r>
      <w:r>
        <w:t xml:space="preserve">. Isso indica que muitas dessas pessoas também têm deficiência de ocitocina. Se uma reposição por spray nasal alivia seus sintomas psíquicos é testado por um estudo em andamento</w:t>
      </w:r>
      <w:r>
        <w:rPr>
          <w:rStyle w:val="FootnoteReference"/>
        </w:rPr>
        <w:footnoteReference w:id="2250"/>
      </w:r>
      <w:r>
        <w:t xml:space="preserve">. A kisspeptina também está sendo estudada como possível teste para deficiência de ocitocina (Galbiati 2025, PMID 39965102; capítulo 2E04).</w:t>
      </w:r>
    </w:p>
    <w:bookmarkEnd w:id="2251"/>
    <w:bookmarkEnd w:id="2252"/>
    <w:bookmarkStart w:id="2255" w:name="estudos-em-animais-e-em-laboratório-50"/>
    <w:p>
      <w:pPr>
        <w:pStyle w:val="Heading3"/>
      </w:pPr>
      <w:r>
        <w:t xml:space="preserve">Estudos em animais e em laboratório</w:t>
      </w:r>
    </w:p>
    <w:p>
      <w:pPr>
        <w:pStyle w:val="FirstParagraph"/>
      </w:pPr>
      <w:r>
        <w:t xml:space="preserve">O entusiasmo pela ocitocina baseia-se em achados convincentes em animais: em arganazes-do-campo, o sistema da ocitocina é necessário para o vínculo de casal; em roedores e ovelhas, para o comportamento materno. Em camundongos de um modelo de autismo, um agente que estimula o sistema da ocitocina melhorou medidas de comportamento social</w:t>
      </w:r>
      <w:r>
        <w:rPr>
          <w:rStyle w:val="FootnoteReference"/>
        </w:rPr>
        <w:footnoteReference w:id="2253"/>
      </w:r>
      <w:r>
        <w:t xml:space="preserve">. Em macacos-rhesus, a ocitocina marcada chegou pelo nariz a determinadas regiões cerebrais</w:t>
      </w:r>
      <w:r>
        <w:rPr>
          <w:rStyle w:val="FootnoteReference"/>
        </w:rPr>
        <w:footnoteReference w:id="2254"/>
      </w:r>
      <w:r>
        <w:t xml:space="preserve">.</w:t>
      </w:r>
    </w:p>
    <w:p>
      <w:pPr>
        <w:pStyle w:val="BodyText"/>
      </w:pPr>
      <w:r>
        <w:t xml:space="preserve">Esses achados, porém, só podem ser transferidos de forma limitada: a distribuição dos receptores de ocitocina no cérebro difere muito entre espécies, mesmo entre espécies de arganazes estreitamente aparentadas. Muitos experimentos em animais administraram a ocitocina diretamente no cérebro, o que não é possível em humanos.</w:t>
      </w:r>
    </w:p>
    <w:bookmarkEnd w:id="2255"/>
    <w:bookmarkStart w:id="2265" w:name="riscos-e-efeitos-colaterais-50"/>
    <w:p>
      <w:pPr>
        <w:pStyle w:val="Heading3"/>
      </w:pPr>
      <w:r>
        <w:t xml:space="preserve">Riscos e efeitos colaterais</w:t>
      </w:r>
    </w:p>
    <w:bookmarkStart w:id="2260" w:name="comprovados-spray-nasal-em-estudos"/>
    <w:p>
      <w:pPr>
        <w:pStyle w:val="Heading4"/>
      </w:pPr>
      <w:r>
        <w:t xml:space="preserve">Comprovados: spray nasal em estudos</w:t>
      </w:r>
    </w:p>
    <w:p>
      <w:pPr>
        <w:pStyle w:val="FirstParagraph"/>
      </w:pPr>
      <w:r>
        <w:t xml:space="preserve">Em estudos controlados, o spray nasal de ocitocina é considerado bem tolerado. Uma revisão sistemática de 38 estudos randomizados com 1.529 participantes não encontrou, no uso de curto prazo, efeitos colaterais mais frequentes do que com placebo. Os participantes também não conseguiam reconhecer se haviam recebido ocitocina ou placebo</w:t>
      </w:r>
      <w:r>
        <w:rPr>
          <w:rStyle w:val="FootnoteReference"/>
        </w:rPr>
        <w:footnoteReference w:id="2256"/>
      </w:r>
      <w:r>
        <w:t xml:space="preserve">. No SOARS-B, os efeitos colaterais ao longo de 24 semanas foram igualmente frequentes nos dois grupos</w:t>
      </w:r>
      <w:r>
        <w:rPr>
          <w:rStyle w:val="FootnoteReference"/>
        </w:rPr>
        <w:footnoteReference w:id="2257"/>
      </w:r>
      <w:r>
        <w:t xml:space="preserve">. Em 95 homens idosos, não houve alterações da pressão arterial nem de valores de urina ou sangue ao longo de quatro semanas</w:t>
      </w:r>
      <w:r>
        <w:rPr>
          <w:rStyle w:val="FootnoteReference"/>
        </w:rPr>
        <w:footnoteReference w:id="2258"/>
      </w:r>
      <w:r>
        <w:t xml:space="preserve">. Em estudos com crianças, foram relatados sede, aumento da micção e prisão de ventre</w:t>
      </w:r>
      <w:r>
        <w:rPr>
          <w:rStyle w:val="FootnoteReference"/>
        </w:rPr>
        <w:footnoteReference w:id="2259"/>
      </w:r>
      <w:r>
        <w:t xml:space="preserve">.</w:t>
      </w:r>
    </w:p>
    <w:bookmarkEnd w:id="2260"/>
    <w:bookmarkStart w:id="2263" w:name="possíveis-e-a-considerar"/>
    <w:p>
      <w:pPr>
        <w:pStyle w:val="Heading4"/>
      </w:pPr>
      <w:r>
        <w:t xml:space="preserve">Possíveis e a considerar</w:t>
      </w:r>
    </w:p>
    <w:p>
      <w:pPr>
        <w:numPr>
          <w:ilvl w:val="0"/>
          <w:numId w:val="1278"/>
        </w:numPr>
        <w:pStyle w:val="Compact"/>
      </w:pPr>
      <w:r>
        <w:rPr>
          <w:bCs/>
          <w:b/>
        </w:rPr>
        <w:t xml:space="preserve">Equilíbrio hídrico:</w:t>
      </w:r>
      <w:r>
        <w:t xml:space="preserve"> </w:t>
      </w:r>
      <w:r>
        <w:t xml:space="preserve">a ocitocina se assemelha à vasopressina e, em doses altas, pode reter água no corpo. Na obstetrícia, uma intoxicação hídrica com falta de sódio é uma complicação conhecida e rara de infusões em doses altas. Com o spray nasal, foi descrito um caso de aumento da pressão intracraniana com ingestão simultânea muito alta de líquidos</w:t>
      </w:r>
      <w:r>
        <w:rPr>
          <w:rStyle w:val="FootnoteReference"/>
        </w:rPr>
        <w:footnoteReference w:id="2261"/>
      </w:r>
      <w:r>
        <w:t xml:space="preserve">.</w:t>
      </w:r>
    </w:p>
    <w:p>
      <w:pPr>
        <w:numPr>
          <w:ilvl w:val="0"/>
          <w:numId w:val="1278"/>
        </w:numPr>
        <w:pStyle w:val="Compact"/>
      </w:pPr>
      <w:r>
        <w:rPr>
          <w:bCs/>
          <w:b/>
        </w:rPr>
        <w:t xml:space="preserve">Circulação:</w:t>
      </w:r>
      <w:r>
        <w:t xml:space="preserve"> </w:t>
      </w:r>
      <w:r>
        <w:t xml:space="preserve">em doze homens saudáveis, um spray nasal aumentou a atividade dos nervos que contraem os vasos sanguíneos e elevou ligeiramente a pressão diastólica</w:t>
      </w:r>
      <w:r>
        <w:rPr>
          <w:rStyle w:val="FootnoteReference"/>
        </w:rPr>
        <w:footnoteReference w:id="2262"/>
      </w:r>
      <w:r>
        <w:t xml:space="preserve">.</w:t>
      </w:r>
    </w:p>
    <w:p>
      <w:pPr>
        <w:numPr>
          <w:ilvl w:val="0"/>
          <w:numId w:val="1278"/>
        </w:numPr>
        <w:pStyle w:val="Compact"/>
      </w:pPr>
      <w:r>
        <w:rPr>
          <w:bCs/>
          <w:b/>
        </w:rPr>
        <w:t xml:space="preserve">Gravidez:</w:t>
      </w:r>
      <w:r>
        <w:t xml:space="preserve"> </w:t>
      </w:r>
      <w:r>
        <w:t xml:space="preserve">como a ocitocina desencadeia contrações, o uso sem controle médico na gravidez é perigoso.</w:t>
      </w:r>
    </w:p>
    <w:p>
      <w:pPr>
        <w:numPr>
          <w:ilvl w:val="0"/>
          <w:numId w:val="1278"/>
        </w:numPr>
        <w:pStyle w:val="Compact"/>
      </w:pPr>
      <w:r>
        <w:rPr>
          <w:bCs/>
          <w:b/>
        </w:rPr>
        <w:t xml:space="preserve">Uso de longo prazo:</w:t>
      </w:r>
      <w:r>
        <w:t xml:space="preserve"> </w:t>
      </w:r>
      <w:r>
        <w:t xml:space="preserve">faltam dados de mais de seis meses, especialmente em crianças.</w:t>
      </w:r>
    </w:p>
    <w:p>
      <w:pPr>
        <w:numPr>
          <w:ilvl w:val="0"/>
          <w:numId w:val="1278"/>
        </w:numPr>
        <w:pStyle w:val="Compact"/>
      </w:pPr>
      <w:r>
        <w:rPr>
          <w:bCs/>
          <w:b/>
        </w:rPr>
        <w:t xml:space="preserve">Efeitos sociais:</w:t>
      </w:r>
      <w:r>
        <w:t xml:space="preserve"> </w:t>
      </w:r>
      <w:r>
        <w:t xml:space="preserve">alguns estudos de laboratório relataram que, sob determinadas condições, a ocitocina também pode intensificar a inveja, a desconfiança em relação a estranhos ou o favorecimento do próprio grupo. Esses achados são tão incertos quanto os positivos.</w:t>
      </w:r>
    </w:p>
    <w:bookmarkEnd w:id="2263"/>
    <w:bookmarkStart w:id="2264" w:name="mercado-cinza-3"/>
    <w:p>
      <w:pPr>
        <w:pStyle w:val="Heading4"/>
      </w:pPr>
      <w:r>
        <w:t xml:space="preserve">Mercado cinza</w:t>
      </w:r>
    </w:p>
    <w:p>
      <w:pPr>
        <w:pStyle w:val="FirstParagraph"/>
      </w:pPr>
      <w:r>
        <w:t xml:space="preserve">Sprays nasais de ocitocina são vendidos na internet como</w:t>
      </w:r>
      <w:r>
        <w:t xml:space="preserve"> </w:t>
      </w:r>
      <w:r>
        <w:t xml:space="preserve">“</w:t>
      </w:r>
      <w:r>
        <w:t xml:space="preserve">spray do amor</w:t>
      </w:r>
      <w:r>
        <w:t xml:space="preserve">”</w:t>
      </w:r>
      <w:r>
        <w:t xml:space="preserve"> </w:t>
      </w:r>
      <w:r>
        <w:t xml:space="preserve">ou</w:t>
      </w:r>
      <w:r>
        <w:t xml:space="preserve"> </w:t>
      </w:r>
      <w:r>
        <w:t xml:space="preserve">“</w:t>
      </w:r>
      <w:r>
        <w:t xml:space="preserve">spray da confiança</w:t>
      </w:r>
      <w:r>
        <w:t xml:space="preserve">”</w:t>
      </w:r>
      <w:r>
        <w:t xml:space="preserve">. Conteúdo e teor desses produtos não são verificados de forma independente. Para nenhum desses produtos há provas de efeito.</w:t>
      </w:r>
    </w:p>
    <w:bookmarkEnd w:id="2264"/>
    <w:bookmarkEnd w:id="2265"/>
    <w:bookmarkStart w:id="2266" w:name="situação-legal-50"/>
    <w:p>
      <w:pPr>
        <w:pStyle w:val="Heading3"/>
      </w:pPr>
      <w:r>
        <w:t xml:space="preserve">Situação legal</w:t>
      </w:r>
    </w:p>
    <w:p>
      <w:pPr>
        <w:pStyle w:val="FirstParagraph"/>
      </w:pPr>
      <w:r>
        <w:rPr>
          <w:iCs/>
          <w:i/>
        </w:rPr>
        <w:t xml:space="preserve">Situação em 2026, verificar atualização.</w:t>
      </w:r>
    </w:p>
    <w:p>
      <w:pPr>
        <w:numPr>
          <w:ilvl w:val="0"/>
          <w:numId w:val="1279"/>
        </w:numPr>
        <w:pStyle w:val="Compact"/>
      </w:pPr>
      <w:r>
        <w:rPr>
          <w:bCs/>
          <w:b/>
        </w:rPr>
        <w:t xml:space="preserve">UE, Alemanha, Áustria:</w:t>
      </w:r>
      <w:r>
        <w:t xml:space="preserve"> </w:t>
      </w:r>
      <w:r>
        <w:t xml:space="preserve">a ocitocina para infusão e injeção está aprovada como medicamento de venda sob prescrição para a obstetrícia. Não existe spray nasal aprovado para usos psíquicos ou sociais; sprays aprovados antigamente para favorecer o fluxo de leite não estão mais disponíveis em muitos lugares. Uma prescrição para tratar autismo ou outras doenças seria uma tentativa terapêutica individual fora da indicação aprovada (off-label), com os correspondentes deveres de esclarecimento e responsabilidade.</w:t>
      </w:r>
    </w:p>
    <w:p>
      <w:pPr>
        <w:numPr>
          <w:ilvl w:val="0"/>
          <w:numId w:val="1279"/>
        </w:numPr>
        <w:pStyle w:val="Compact"/>
      </w:pPr>
      <w:r>
        <w:rPr>
          <w:bCs/>
          <w:b/>
        </w:rPr>
        <w:t xml:space="preserve">EUA:</w:t>
      </w:r>
      <w:r>
        <w:t xml:space="preserve"> </w:t>
      </w:r>
      <w:r>
        <w:t xml:space="preserve">injeção de ocitocina (Pitocin e genéricos) aprovada para a obstetrícia; nenhum spray nasal aprovado. Farmácias de manipulação preparam sprays nasais mediante prescrição médica; sua qualidade não é verificada como a dos medicamentos industrializados.</w:t>
      </w:r>
    </w:p>
    <w:p>
      <w:pPr>
        <w:numPr>
          <w:ilvl w:val="0"/>
          <w:numId w:val="1279"/>
        </w:numPr>
        <w:pStyle w:val="Compact"/>
      </w:pPr>
      <w:r>
        <w:rPr>
          <w:bCs/>
          <w:b/>
        </w:rPr>
        <w:t xml:space="preserve">WADA:</w:t>
      </w:r>
      <w:r>
        <w:t xml:space="preserve"> </w:t>
      </w:r>
      <w:r>
        <w:t xml:space="preserve">não listada.</w:t>
      </w:r>
    </w:p>
    <w:bookmarkEnd w:id="2266"/>
    <w:bookmarkStart w:id="2272" w:name="estudos-em-andamento-e-perspectivas-50"/>
    <w:p>
      <w:pPr>
        <w:pStyle w:val="Heading3"/>
      </w:pPr>
      <w:r>
        <w:t xml:space="preserve">Estudos em andamento e perspectivas</w:t>
      </w:r>
    </w:p>
    <w:p>
      <w:pPr>
        <w:pStyle w:val="FirstParagraph"/>
      </w:pPr>
      <w:r>
        <w:rPr>
          <w:bCs/>
          <w:b/>
        </w:rPr>
        <w:t xml:space="preserve">Confirmado (estudos registrados):</w:t>
      </w:r>
      <w:r>
        <w:t xml:space="preserve"> </w:t>
      </w:r>
      <w:r>
        <w:t xml:space="preserve">entre os estudos em andamento, há alguns maiores que poderiam responder a questões específicas em aberto:</w:t>
      </w:r>
    </w:p>
    <w:p>
      <w:pPr>
        <w:numPr>
          <w:ilvl w:val="0"/>
          <w:numId w:val="1280"/>
        </w:numPr>
        <w:pStyle w:val="Compact"/>
      </w:pPr>
      <w:r>
        <w:rPr>
          <w:bCs/>
          <w:b/>
        </w:rPr>
        <w:t xml:space="preserve">Dor crônica:</w:t>
      </w:r>
      <w:r>
        <w:t xml:space="preserve"> </w:t>
      </w:r>
      <w:r>
        <w:t xml:space="preserve">um estudo canadense de fase 2/3 com 336 participantes</w:t>
      </w:r>
      <w:r>
        <w:rPr>
          <w:rStyle w:val="FootnoteReference"/>
        </w:rPr>
        <w:footnoteReference w:id="2267"/>
      </w:r>
      <w:r>
        <w:t xml:space="preserve"> </w:t>
      </w:r>
      <w:r>
        <w:t xml:space="preserve">foi concluído; os resultados estão pendentes.</w:t>
      </w:r>
    </w:p>
    <w:p>
      <w:pPr>
        <w:numPr>
          <w:ilvl w:val="0"/>
          <w:numId w:val="1280"/>
        </w:numPr>
        <w:pStyle w:val="Compact"/>
      </w:pPr>
      <w:r>
        <w:rPr>
          <w:bCs/>
          <w:b/>
        </w:rPr>
        <w:t xml:space="preserve">Psicoterapia mais ocitocina:</w:t>
      </w:r>
      <w:r>
        <w:t xml:space="preserve"> </w:t>
      </w:r>
      <w:r>
        <w:t xml:space="preserve">um estudo do Departamento de Assuntos de Veteranos dos EUA com 240 pessoas testa a ocitocina como complemento de uma terapia de casal no transtorno de estresse pós-traumático (NCT06194851, até 2028). Na Alemanha, estudos testam a ocitocina como complemento do tratamento psicossocial na esquizofrenia (NCT06881810, com 98 pessoas; NCT07265180, na Charité, com 120 pessoas e comparação de doses).</w:t>
      </w:r>
    </w:p>
    <w:p>
      <w:pPr>
        <w:numPr>
          <w:ilvl w:val="0"/>
          <w:numId w:val="1280"/>
        </w:numPr>
        <w:pStyle w:val="Compact"/>
      </w:pPr>
      <w:r>
        <w:rPr>
          <w:bCs/>
          <w:b/>
        </w:rPr>
        <w:t xml:space="preserve">Deficiência de ocitocina:</w:t>
      </w:r>
      <w:r>
        <w:t xml:space="preserve"> </w:t>
      </w:r>
      <w:r>
        <w:t xml:space="preserve">um estudo suíço com 112 pessoas testa uma reposição de ocitocina na deficiência de vasopressina</w:t>
      </w:r>
      <w:r>
        <w:rPr>
          <w:rStyle w:val="FootnoteReference"/>
        </w:rPr>
        <w:footnoteReference w:id="2268"/>
      </w:r>
      <w:r>
        <w:t xml:space="preserve">.</w:t>
      </w:r>
    </w:p>
    <w:p>
      <w:pPr>
        <w:numPr>
          <w:ilvl w:val="0"/>
          <w:numId w:val="1280"/>
        </w:numPr>
        <w:pStyle w:val="Compact"/>
      </w:pPr>
      <w:r>
        <w:rPr>
          <w:bCs/>
          <w:b/>
        </w:rPr>
        <w:t xml:space="preserve">Autismo e ossos:</w:t>
      </w:r>
      <w:r>
        <w:t xml:space="preserve"> </w:t>
      </w:r>
      <w:r>
        <w:t xml:space="preserve">um estudo com 96 crianças investiga efeitos sobre a saúde óssea</w:t>
      </w:r>
      <w:r>
        <w:rPr>
          <w:rStyle w:val="FootnoteReference"/>
        </w:rPr>
        <w:footnoteReference w:id="2269"/>
      </w:r>
      <w:r>
        <w:t xml:space="preserve">.</w:t>
      </w:r>
    </w:p>
    <w:p>
      <w:pPr>
        <w:numPr>
          <w:ilvl w:val="0"/>
          <w:numId w:val="1280"/>
        </w:numPr>
        <w:pStyle w:val="Compact"/>
      </w:pPr>
      <w:r>
        <w:rPr>
          <w:bCs/>
          <w:b/>
        </w:rPr>
        <w:t xml:space="preserve">Transtornos alimentares:</w:t>
      </w:r>
      <w:r>
        <w:t xml:space="preserve"> </w:t>
      </w:r>
      <w:r>
        <w:t xml:space="preserve">um estudo de fase 2 sobre compulsão alimentar (binge eating)</w:t>
      </w:r>
      <w:r>
        <w:rPr>
          <w:rStyle w:val="FootnoteReference"/>
        </w:rPr>
        <w:footnoteReference w:id="2270"/>
      </w:r>
      <w:r>
        <w:t xml:space="preserve">.</w:t>
      </w:r>
    </w:p>
    <w:p>
      <w:pPr>
        <w:numPr>
          <w:ilvl w:val="0"/>
          <w:numId w:val="1280"/>
        </w:numPr>
        <w:pStyle w:val="Compact"/>
      </w:pPr>
      <w:r>
        <w:rPr>
          <w:bCs/>
          <w:b/>
        </w:rPr>
        <w:t xml:space="preserve">Desenvolvimento empresarial:</w:t>
      </w:r>
      <w:r>
        <w:t xml:space="preserve"> </w:t>
      </w:r>
      <w:r>
        <w:t xml:space="preserve">uma empresa testou um spray nasal de ocitocina em dose alta (TNX-1900) na enxaqueca crônica (NCT05679908, 88 pessoas, concluído) e planeja um estudo sobre o tratamento da dor após cirurgias da hipófise</w:t>
      </w:r>
      <w:r>
        <w:rPr>
          <w:rStyle w:val="FootnoteReference"/>
        </w:rPr>
        <w:footnoteReference w:id="2271"/>
      </w:r>
      <w:r>
        <w:t xml:space="preserve">.</w:t>
      </w:r>
    </w:p>
    <w:p>
      <w:pPr>
        <w:pStyle w:val="FirstParagraph"/>
      </w:pPr>
      <w:r>
        <w:rPr>
          <w:bCs/>
          <w:b/>
        </w:rPr>
        <w:t xml:space="preserve">Avaliação do autor:</w:t>
      </w:r>
      <w:r>
        <w:t xml:space="preserve"> </w:t>
      </w:r>
      <w:r>
        <w:t xml:space="preserve">a história do spray nasal de ocitocina é uma lição sobre os limites dos estudos pequenos. Após duas décadas de pesquisa, não há uma única aplicação em que um benefício tenha sido confirmado em estudos grandes e bem feitos. As direções mais promissoras hoje são mais restritas: ocitocina como complemento de uma psicoterapia, e não como medicamento isolado; como reposição em deficiência comprovada; e de forma direcionada em subgrupos definidos previamente. Uma aprovação para autismo ou ansiedade social parece improvável nos próximos anos.</w:t>
      </w:r>
    </w:p>
    <w:bookmarkEnd w:id="2272"/>
    <w:bookmarkStart w:id="2273" w:name="conclusão-50"/>
    <w:p>
      <w:pPr>
        <w:pStyle w:val="Heading3"/>
      </w:pPr>
      <w:r>
        <w:t xml:space="preserve">Conclusão</w:t>
      </w:r>
    </w:p>
    <w:p>
      <w:pPr>
        <w:pStyle w:val="FirstParagraph"/>
      </w:pPr>
      <w:r>
        <w:t xml:space="preserve">Como infusão, a ocitocina é um medicamento indispensável da obstetrícia; como spray nasal, por outro lado, é uma ferramenta de pesquisa sem benefício terapêutico comprovado. O famoso achado de que a ocitocina aumenta a confiança não resistiu a estudos de replicação; no máximo, insinua-se um pequeno efeito em pessoas com baixa confiança de base. O maior estudo sobre autismo, o SOARS-B, com 290 crianças e adolescentes, não encontrou após 24 semanas diferença em relação ao placebo, e também na obesidade, na dependência de álcool, na síndrome de Prader-Willi e na dor os resultados foram negativos. Nos estudos, o spray foi bem tolerado. Quem hoje compra um</w:t>
      </w:r>
      <w:r>
        <w:t xml:space="preserve"> </w:t>
      </w:r>
      <w:r>
        <w:t xml:space="preserve">“</w:t>
      </w:r>
      <w:r>
        <w:t xml:space="preserve">spray do amor</w:t>
      </w:r>
      <w:r>
        <w:t xml:space="preserve">”</w:t>
      </w:r>
      <w:r>
        <w:t xml:space="preserve"> </w:t>
      </w:r>
      <w:r>
        <w:t xml:space="preserve">ou</w:t>
      </w:r>
      <w:r>
        <w:t xml:space="preserve"> </w:t>
      </w:r>
      <w:r>
        <w:t xml:space="preserve">“</w:t>
      </w:r>
      <w:r>
        <w:t xml:space="preserve">spray da confiança</w:t>
      </w:r>
      <w:r>
        <w:t xml:space="preserve">”</w:t>
      </w:r>
      <w:r>
        <w:t xml:space="preserve"> </w:t>
      </w:r>
      <w:r>
        <w:t xml:space="preserve">adquire uma promessa que a pesquisa não cumpre.</w:t>
      </w:r>
    </w:p>
    <w:bookmarkEnd w:id="2273"/>
    <w:bookmarkEnd w:id="2274"/>
    <w:bookmarkStart w:id="2312" w:name="gonadorelina"/>
    <w:p>
      <w:pPr>
        <w:pStyle w:val="Heading2"/>
      </w:pPr>
      <w:r>
        <w:t xml:space="preserve">Gonadorelina</w:t>
      </w:r>
    </w:p>
    <w:bookmarkStart w:id="2275" w:name="ficha-técnica-51"/>
    <w:p>
      <w:pPr>
        <w:pStyle w:val="Heading3"/>
      </w:pPr>
      <w:r>
        <w:t xml:space="preserve">Ficha técnica</w:t>
      </w:r>
    </w:p>
    <w:p>
      <w:pPr>
        <w:numPr>
          <w:ilvl w:val="0"/>
          <w:numId w:val="1281"/>
        </w:numPr>
        <w:pStyle w:val="Compact"/>
      </w:pPr>
      <w:r>
        <w:rPr>
          <w:bCs/>
          <w:b/>
        </w:rPr>
        <w:t xml:space="preserve">Tipo/estrutura:</w:t>
      </w:r>
      <w:r>
        <w:t xml:space="preserve"> </w:t>
      </w:r>
      <w:r>
        <w:t xml:space="preserve">peptídeo de dez aminoácidos, produzido sinteticamente e idêntico na sequência ao hormônio humano GnRH (hormônio liberador de gonadotrofinas, também chamado LHRH ou gonadoliberina).</w:t>
      </w:r>
    </w:p>
    <w:p>
      <w:pPr>
        <w:numPr>
          <w:ilvl w:val="0"/>
          <w:numId w:val="1281"/>
        </w:numPr>
        <w:pStyle w:val="Compact"/>
      </w:pPr>
      <w:r>
        <w:rPr>
          <w:bCs/>
          <w:b/>
        </w:rPr>
        <w:t xml:space="preserve">Origem:</w:t>
      </w:r>
      <w:r>
        <w:t xml:space="preserve"> </w:t>
      </w:r>
      <w:r>
        <w:t xml:space="preserve">o GnRH foi isolado e decifrado no início da década de 1970 a partir de cérebros de porcos e ovelhas; os pesquisadores envolvidos, Andrew Schally e Roger Guillemin, receberam por isso o Prêmio Nobel em 1977. Gonadorelina é a denominação internacional do princípio ativo do hormônio sintético.</w:t>
      </w:r>
    </w:p>
    <w:p>
      <w:pPr>
        <w:numPr>
          <w:ilvl w:val="0"/>
          <w:numId w:val="1281"/>
        </w:numPr>
        <w:pStyle w:val="Compact"/>
      </w:pPr>
      <w:r>
        <w:rPr>
          <w:bCs/>
          <w:b/>
        </w:rPr>
        <w:t xml:space="preserve">Mecanismo de ação:</w:t>
      </w:r>
      <w:r>
        <w:t xml:space="preserve"> </w:t>
      </w:r>
      <w:r>
        <w:t xml:space="preserve">agonista do receptor de GnRH da hipófise. Administrada em pulsos, estimula a secreção de LH e FSH; em administração contínua, a freia.</w:t>
      </w:r>
    </w:p>
    <w:p>
      <w:pPr>
        <w:numPr>
          <w:ilvl w:val="0"/>
          <w:numId w:val="1281"/>
        </w:numPr>
        <w:pStyle w:val="Compact"/>
      </w:pPr>
      <w:r>
        <w:rPr>
          <w:bCs/>
          <w:b/>
        </w:rPr>
        <w:t xml:space="preserve">Formas farmacêuticas:</w:t>
      </w:r>
      <w:r>
        <w:t xml:space="preserve"> </w:t>
      </w:r>
      <w:r>
        <w:t xml:space="preserve">injeção intravenosa para testes funcionais; bomba portátil que libera a cada 60 a 120 minutos uma pequena quantidade sob a pele ou na veia (terapia pulsátil); em alguns países, um spray nasal para bebês com criptorquidia (testículo não descido).</w:t>
      </w:r>
    </w:p>
    <w:p>
      <w:pPr>
        <w:numPr>
          <w:ilvl w:val="0"/>
          <w:numId w:val="1281"/>
        </w:numPr>
        <w:pStyle w:val="Compact"/>
      </w:pPr>
      <w:r>
        <w:rPr>
          <w:bCs/>
          <w:b/>
        </w:rPr>
        <w:t xml:space="preserve">Aprovação na UE:</w:t>
      </w:r>
      <w:r>
        <w:t xml:space="preserve"> </w:t>
      </w:r>
      <w:r>
        <w:t xml:space="preserve">aprovada nacionalmente em alguns Estados-membros, por exemplo como agente diagnóstico e para a terapia com bomba; preparações e disponibilidade variam de país para país.</w:t>
      </w:r>
    </w:p>
    <w:p>
      <w:pPr>
        <w:numPr>
          <w:ilvl w:val="0"/>
          <w:numId w:val="1281"/>
        </w:numPr>
        <w:pStyle w:val="Compact"/>
      </w:pPr>
      <w:r>
        <w:rPr>
          <w:bCs/>
          <w:b/>
        </w:rPr>
        <w:t xml:space="preserve">Aprovação nos EUA:</w:t>
      </w:r>
      <w:r>
        <w:t xml:space="preserve"> </w:t>
      </w:r>
      <w:r>
        <w:t xml:space="preserve">preparações anteriores (Factrel para diagnóstico, Lutrepulse para a bomba) não estão mais no mercado. Segundo o conhecimento do autor, não há atualmente nenhum medicamento humano aprovado comercializado (verificar atualização).</w:t>
      </w:r>
    </w:p>
    <w:p>
      <w:pPr>
        <w:numPr>
          <w:ilvl w:val="0"/>
          <w:numId w:val="1281"/>
        </w:numPr>
        <w:pStyle w:val="Compact"/>
      </w:pPr>
      <w:r>
        <w:rPr>
          <w:bCs/>
          <w:b/>
        </w:rPr>
        <w:t xml:space="preserve">WADA:</w:t>
      </w:r>
      <w:r>
        <w:t xml:space="preserve"> </w:t>
      </w:r>
      <w:r>
        <w:t xml:space="preserve">proibida para homens (grupo S2, onde a gonadorelina é citada nominalmente), em competição e fora dela.</w:t>
      </w:r>
    </w:p>
    <w:p>
      <w:pPr>
        <w:numPr>
          <w:ilvl w:val="0"/>
          <w:numId w:val="1281"/>
        </w:numPr>
        <w:pStyle w:val="Compact"/>
      </w:pPr>
      <w:r>
        <w:rPr>
          <w:bCs/>
          <w:b/>
        </w:rPr>
        <w:t xml:space="preserve">Nível de evidência:</w:t>
      </w:r>
      <w:r>
        <w:t xml:space="preserve"> </w:t>
      </w:r>
      <w:r>
        <w:rPr>
          <w:bCs/>
          <w:b/>
        </w:rPr>
        <w:t xml:space="preserve">B</w:t>
      </w:r>
      <w:r>
        <w:t xml:space="preserve"> </w:t>
      </w:r>
      <w:r>
        <w:t xml:space="preserve">– medicamento aprovado, com décadas de uso; os dados de eficácia, porém, provêm predominantemente de grandes séries de casos, coortes e poucos estudos randomizados pequenos.</w:t>
      </w:r>
    </w:p>
    <w:bookmarkEnd w:id="2275"/>
    <w:bookmarkStart w:id="2276" w:name="como-deveria-agir-51"/>
    <w:p>
      <w:pPr>
        <w:pStyle w:val="Heading3"/>
      </w:pPr>
      <w:r>
        <w:t xml:space="preserve">Como deveria agir</w:t>
      </w:r>
    </w:p>
    <w:p>
      <w:pPr>
        <w:pStyle w:val="FirstParagraph"/>
      </w:pPr>
      <w:r>
        <w:t xml:space="preserve">O eixo hormonal da reprodução começa no hipotálamo. Ali, neurônios especializados secretam GnRH – não de forma constante, mas em pulsos, aproximadamente a cada uma a duas horas. Cada pulso induz a hipófise a liberar os hormônios LH e FSH. Estes atuam sobre ovários e testículos: controlam a maturação dos óvulos e a ovulação, a formação de espermatozoides e a produção de estrogênio e testosterona. O mensageiro kisspeptina (capítulo 2E04) fica um nível acima e liga os neurônios de GnRH.</w:t>
      </w:r>
    </w:p>
    <w:p>
      <w:pPr>
        <w:pStyle w:val="BodyText"/>
      </w:pPr>
      <w:r>
        <w:t xml:space="preserve">O ritmo dos pulsos é decisivo. Isso se mostra em uma contradição aparente:</w:t>
      </w:r>
    </w:p>
    <w:p>
      <w:pPr>
        <w:numPr>
          <w:ilvl w:val="0"/>
          <w:numId w:val="1282"/>
        </w:numPr>
        <w:pStyle w:val="Compact"/>
      </w:pPr>
      <w:r>
        <w:rPr>
          <w:bCs/>
          <w:b/>
        </w:rPr>
        <w:t xml:space="preserve">A administração pulsátil</w:t>
      </w:r>
      <w:r>
        <w:t xml:space="preserve"> </w:t>
      </w:r>
      <w:r>
        <w:t xml:space="preserve">– uma pequena quantidade a cada 60 a 120 minutos – imita o ritmo natural e</w:t>
      </w:r>
      <w:r>
        <w:t xml:space="preserve"> </w:t>
      </w:r>
      <w:r>
        <w:rPr>
          <w:bCs/>
          <w:b/>
        </w:rPr>
        <w:t xml:space="preserve">ativa</w:t>
      </w:r>
      <w:r>
        <w:t xml:space="preserve"> </w:t>
      </w:r>
      <w:r>
        <w:t xml:space="preserve">o eixo. Nisso se baseia a terapia com bomba em pessoas cujo hipotálamo produz pouco GnRH.</w:t>
      </w:r>
    </w:p>
    <w:p>
      <w:pPr>
        <w:numPr>
          <w:ilvl w:val="0"/>
          <w:numId w:val="1282"/>
        </w:numPr>
        <w:pStyle w:val="Compact"/>
      </w:pPr>
      <w:r>
        <w:rPr>
          <w:bCs/>
          <w:b/>
        </w:rPr>
        <w:t xml:space="preserve">A estimulação contínua</w:t>
      </w:r>
      <w:r>
        <w:t xml:space="preserve"> </w:t>
      </w:r>
      <w:r>
        <w:t xml:space="preserve">faz, após um breve aumento, com que os receptores da hipófise se desliguem. O eixo hormonal é</w:t>
      </w:r>
      <w:r>
        <w:t xml:space="preserve"> </w:t>
      </w:r>
      <w:r>
        <w:rPr>
          <w:bCs/>
          <w:b/>
        </w:rPr>
        <w:t xml:space="preserve">freado</w:t>
      </w:r>
      <w:r>
        <w:t xml:space="preserve">, chegando a valores de testosterona como após uma castração.</w:t>
      </w:r>
    </w:p>
    <w:p>
      <w:pPr>
        <w:pStyle w:val="FirstParagraph"/>
      </w:pPr>
      <w:r>
        <w:t xml:space="preserve">No segundo princípio baseiam-se os análogos de GnRH, como leuprorrelina, triptorrelina ou gosserrelina. Eles são quimicamente modificados, agem por muito mais tempo que a gonadorelina e são usados como injeção de depósito contra câncer de próstata, endometriose, miomas ou puberdade precoce. Não são objeto deste capítulo, mas distorcem consideravelmente o conjunto de dados (veja abaixo).</w:t>
      </w:r>
    </w:p>
    <w:p>
      <w:pPr>
        <w:pStyle w:val="BodyText"/>
      </w:pPr>
      <w:r>
        <w:t xml:space="preserve">A própria gonadorelina é inadequada para um bloqueio contínuo: ela é degradada no sangue em poucos minutos.</w:t>
      </w:r>
    </w:p>
    <w:bookmarkEnd w:id="2276"/>
    <w:bookmarkStart w:id="2296" w:name="estudos-em-humanos-51"/>
    <w:p>
      <w:pPr>
        <w:pStyle w:val="Heading3"/>
      </w:pPr>
      <w:r>
        <w:t xml:space="preserve">Estudos em humanos</w:t>
      </w:r>
    </w:p>
    <w:p>
      <w:pPr>
        <w:pStyle w:val="FirstParagraph"/>
      </w:pPr>
      <w:r>
        <w:rPr>
          <w:bCs/>
          <w:b/>
        </w:rPr>
        <w:t xml:space="preserve">Dimensão do conjunto de estudos (consulta em outubro de 2026) – e por que os números enganam:</w:t>
      </w:r>
      <w:r>
        <w:t xml:space="preserve"> </w:t>
      </w:r>
      <w:r>
        <w:t xml:space="preserve">a busca automatizada deste livro encontrou</w:t>
      </w:r>
      <w:r>
        <w:t xml:space="preserve"> </w:t>
      </w:r>
      <w:r>
        <w:rPr>
          <w:bCs/>
          <w:b/>
        </w:rPr>
        <w:t xml:space="preserve">9</w:t>
      </w:r>
      <w:r>
        <w:t xml:space="preserve"> </w:t>
      </w:r>
      <w:r>
        <w:t xml:space="preserve">estudos em humanos no PubMed (</w:t>
      </w:r>
      <w:r>
        <w:rPr>
          <w:rStyle w:val="VerbatimChar"/>
        </w:rPr>
        <w:t xml:space="preserve">humanstudien_alle</w:t>
      </w:r>
      <w:r>
        <w:t xml:space="preserve">) e, no ClinicalTrials.gov, o número máximo de</w:t>
      </w:r>
      <w:r>
        <w:t xml:space="preserve"> </w:t>
      </w:r>
      <w:r>
        <w:rPr>
          <w:bCs/>
          <w:b/>
        </w:rPr>
        <w:t xml:space="preserve">1.000</w:t>
      </w:r>
      <w:r>
        <w:t xml:space="preserve"> </w:t>
      </w:r>
      <w:r>
        <w:t xml:space="preserve">registros, no qual a consulta é interrompida. Ambos os números são inúteis para avaliar a gonadorelina, e em direções opostas:</w:t>
      </w:r>
    </w:p>
    <w:p>
      <w:pPr>
        <w:numPr>
          <w:ilvl w:val="0"/>
          <w:numId w:val="1283"/>
        </w:numPr>
        <w:pStyle w:val="Compact"/>
      </w:pPr>
      <w:r>
        <w:rPr>
          <w:bCs/>
          <w:b/>
        </w:rPr>
        <w:t xml:space="preserve">O número de registros está muito superestimado.</w:t>
      </w:r>
      <w:r>
        <w:t xml:space="preserve"> </w:t>
      </w:r>
      <w:r>
        <w:t xml:space="preserve">O ClinicalTrials.gov associa o termo de busca</w:t>
      </w:r>
      <w:r>
        <w:t xml:space="preserve"> </w:t>
      </w:r>
      <w:r>
        <w:t xml:space="preserve">“</w:t>
      </w:r>
      <w:r>
        <w:t xml:space="preserve">gonadorelin</w:t>
      </w:r>
      <w:r>
        <w:t xml:space="preserve">”</w:t>
      </w:r>
      <w:r>
        <w:t xml:space="preserve"> </w:t>
      </w:r>
      <w:r>
        <w:t xml:space="preserve">ao termo genérico</w:t>
      </w:r>
      <w:r>
        <w:t xml:space="preserve"> </w:t>
      </w:r>
      <w:r>
        <w:t xml:space="preserve">“</w:t>
      </w:r>
      <w:r>
        <w:t xml:space="preserve">Gonadotropin-Releasing Hormone</w:t>
      </w:r>
      <w:r>
        <w:t xml:space="preserve">”</w:t>
      </w:r>
      <w:r>
        <w:t xml:space="preserve">. Com isso, aparecem todos os estudos com análogos e antagonistas de GnRH. Nos títulos dos 1.000 resultados, a palavra</w:t>
      </w:r>
      <w:r>
        <w:t xml:space="preserve"> </w:t>
      </w:r>
      <w:r>
        <w:t xml:space="preserve">“</w:t>
      </w:r>
      <w:r>
        <w:t xml:space="preserve">prostate</w:t>
      </w:r>
      <w:r>
        <w:t xml:space="preserve">”</w:t>
      </w:r>
      <w:r>
        <w:t xml:space="preserve"> </w:t>
      </w:r>
      <w:r>
        <w:t xml:space="preserve">aparece 340 vezes,</w:t>
      </w:r>
      <w:r>
        <w:t xml:space="preserve"> </w:t>
      </w:r>
      <w:r>
        <w:t xml:space="preserve">“</w:t>
      </w:r>
      <w:r>
        <w:t xml:space="preserve">androgen deprivation</w:t>
      </w:r>
      <w:r>
        <w:t xml:space="preserve">”</w:t>
      </w:r>
      <w:r>
        <w:t xml:space="preserve"> </w:t>
      </w:r>
      <w:r>
        <w:t xml:space="preserve">57 vezes, e leuprorrelina, gosserrelina e triptorrelina juntas bem mais de cem vezes. Uma revisão dos títulos revelou apenas cerca de dez registros que de fato investigam o GnRH nativo ou a gonadorelina – por exemplo como bomba, adesivo ou teste funcional.</w:t>
      </w:r>
    </w:p>
    <w:p>
      <w:pPr>
        <w:numPr>
          <w:ilvl w:val="0"/>
          <w:numId w:val="1283"/>
        </w:numPr>
        <w:pStyle w:val="Compact"/>
      </w:pPr>
      <w:r>
        <w:rPr>
          <w:bCs/>
          <w:b/>
        </w:rPr>
        <w:t xml:space="preserve">O número do PubMed está subestimado.</w:t>
      </w:r>
      <w:r>
        <w:t xml:space="preserve"> </w:t>
      </w:r>
      <w:r>
        <w:t xml:space="preserve">A maioria dos estudos sobre o hormônio idêntico ao endógeno usa os termos</w:t>
      </w:r>
      <w:r>
        <w:t xml:space="preserve"> </w:t>
      </w:r>
      <w:r>
        <w:t xml:space="preserve">“</w:t>
      </w:r>
      <w:r>
        <w:t xml:space="preserve">GnRH</w:t>
      </w:r>
      <w:r>
        <w:t xml:space="preserve">”</w:t>
      </w:r>
      <w:r>
        <w:t xml:space="preserve"> </w:t>
      </w:r>
      <w:r>
        <w:t xml:space="preserve">ou</w:t>
      </w:r>
      <w:r>
        <w:t xml:space="preserve"> </w:t>
      </w:r>
      <w:r>
        <w:t xml:space="preserve">“</w:t>
      </w:r>
      <w:r>
        <w:t xml:space="preserve">LHRH</w:t>
      </w:r>
      <w:r>
        <w:t xml:space="preserve">”</w:t>
      </w:r>
      <w:r>
        <w:t xml:space="preserve">, e não o nome do princípio ativo. Inversamente, vários dos nove resultados nem sequer tratam da gonadorelina como tratamento: um trabalho investigou um análogo de GnRH no câncer de próstata</w:t>
      </w:r>
      <w:r>
        <w:rPr>
          <w:rStyle w:val="FootnoteReference"/>
        </w:rPr>
        <w:footnoteReference w:id="2277"/>
      </w:r>
      <w:r>
        <w:t xml:space="preserve">; outros usaram a gonadorelina apenas como substância de teste, por exemplo para verificar o efeito de um redutor de colesterol ou da luz UV sobre o eixo hormonal</w:t>
      </w:r>
      <w:r>
        <w:rPr>
          <w:rStyle w:val="FootnoteReference"/>
        </w:rPr>
        <w:footnoteReference w:id="2278"/>
      </w:r>
      <w:r>
        <w:t xml:space="preserve">.</w:t>
      </w:r>
    </w:p>
    <w:p>
      <w:pPr>
        <w:pStyle w:val="FirstParagraph"/>
      </w:pPr>
      <w:r>
        <w:t xml:space="preserve">Por isso, este capítulo se baseia em uma busca complementar e direcionada por estudos sobre a terapia pulsátil com GnRH e sobre o teste de GnRH.</w:t>
      </w:r>
    </w:p>
    <w:bookmarkStart w:id="2282" w:name="diagnóstico-o-teste-de-gnrh"/>
    <w:p>
      <w:pPr>
        <w:pStyle w:val="Heading4"/>
      </w:pPr>
      <w:r>
        <w:t xml:space="preserve">Diagnóstico: o teste de GnRH</w:t>
      </w:r>
    </w:p>
    <w:p>
      <w:pPr>
        <w:pStyle w:val="FirstParagraph"/>
      </w:pPr>
      <w:r>
        <w:t xml:space="preserve">No teste de GnRH (também teste de LHRH), a gonadorelina é injetada na veia; em seguida, mede-se ao longo de uma a duas horas quanto LH e FSH aumentam. O teste ajuda sobretudo em crianças com puberdade cedo demais: um aumento nítido de LH indica que o eixo hormonal no cérebro já está ativo (puberdade precoce central).</w:t>
      </w:r>
    </w:p>
    <w:p>
      <w:pPr>
        <w:pStyle w:val="BodyText"/>
      </w:pPr>
      <w:r>
        <w:t xml:space="preserve">Em uma análise de 584 testes (dos quais 314 para diagnóstico), uma única amostra de sangue 40 minutos após a injeção bastou para o diagnóstico: com um limiar de LH de 5 IU/L, a sensibilidade foi de 98% e a especificidade de 100%</w:t>
      </w:r>
      <w:r>
        <w:rPr>
          <w:rStyle w:val="FootnoteReference"/>
        </w:rPr>
        <w:footnoteReference w:id="2279"/>
      </w:r>
      <w:r>
        <w:t xml:space="preserve">. Uma revisão aponta limitações, por exemplo em estágios muito iniciais da puberdade e em crianças com sobrepeso, e valores de corte divergentes entre os estudos</w:t>
      </w:r>
      <w:r>
        <w:rPr>
          <w:rStyle w:val="FootnoteReference"/>
        </w:rPr>
        <w:footnoteReference w:id="2280"/>
      </w:r>
      <w:r>
        <w:t xml:space="preserve">.</w:t>
      </w:r>
    </w:p>
    <w:p>
      <w:pPr>
        <w:pStyle w:val="BodyText"/>
      </w:pPr>
      <w:r>
        <w:t xml:space="preserve">Como o GnRH nativo é caro e indisponível em muitos lugares, usa-se cada vez mais um análogo de ação curta como substituto. Em um estudo com 341 meninas, um teste com triptorrelina foi tão preciso quanto o teste com gonadorelina</w:t>
      </w:r>
      <w:r>
        <w:rPr>
          <w:rStyle w:val="FootnoteReference"/>
        </w:rPr>
        <w:footnoteReference w:id="2281"/>
      </w:r>
      <w:r>
        <w:t xml:space="preserve">.</w:t>
      </w:r>
    </w:p>
    <w:bookmarkEnd w:id="2282"/>
    <w:bookmarkStart w:id="2288" w:name="X1a07e85ed2dcb5c9485d2dd977d6b9be830d590"/>
    <w:p>
      <w:pPr>
        <w:pStyle w:val="Heading4"/>
      </w:pPr>
      <w:r>
        <w:t xml:space="preserve">Desejo de ter filhos: a bomba de GnRH em mulheres</w:t>
      </w:r>
    </w:p>
    <w:p>
      <w:pPr>
        <w:pStyle w:val="FirstParagraph"/>
      </w:pPr>
      <w:r>
        <w:t xml:space="preserve">Na amenorreia hipotalâmica, a menstruação não ocorre porque o cérebro produz pouco GnRH – frequentemente após forte perda de peso, esporte intenso ou estresse, mais raramente por causas congênitas. Uma pequena bomba portátil pode substituir o ritmo ausente.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Santoro 1990, PMID 2122733</w:t>
            </w:r>
          </w:p>
        </w:tc>
        <w:tc>
          <w:tcPr/>
          <w:p>
            <w:pPr>
              <w:pStyle w:val="Compact"/>
              <w:jc w:val="left"/>
            </w:pPr>
            <w:r>
              <w:t xml:space="preserve">109 mulheres com amenorreia hipotalâmica, estudo multicêntrico com bomba intravenosa</w:t>
            </w:r>
          </w:p>
        </w:tc>
        <w:tc>
          <w:tcPr/>
          <w:p>
            <w:pPr>
              <w:pStyle w:val="Compact"/>
              <w:jc w:val="left"/>
            </w:pPr>
            <w:r>
              <w:t xml:space="preserve">vários ciclos</w:t>
            </w:r>
          </w:p>
        </w:tc>
        <w:tc>
          <w:tcPr/>
          <w:p>
            <w:pPr>
              <w:pStyle w:val="Compact"/>
              <w:jc w:val="left"/>
            </w:pPr>
            <w:r>
              <w:t xml:space="preserve">Ovulação em 91% e 96%; gestações múltiplas 12%</w:t>
            </w:r>
          </w:p>
        </w:tc>
      </w:tr>
      <w:tr>
        <w:tc>
          <w:tcPr/>
          <w:p>
            <w:pPr>
              <w:pStyle w:val="Compact"/>
              <w:jc w:val="left"/>
            </w:pPr>
            <w:r>
              <w:t xml:space="preserve">Filicori 1994, PMID 7962297</w:t>
            </w:r>
          </w:p>
        </w:tc>
        <w:tc>
          <w:tcPr/>
          <w:p>
            <w:pPr>
              <w:pStyle w:val="Compact"/>
              <w:jc w:val="left"/>
            </w:pPr>
            <w:r>
              <w:t xml:space="preserve">292 mulheres, 600 ciclos, causas diversas</w:t>
            </w:r>
          </w:p>
        </w:tc>
        <w:tc>
          <w:tcPr/>
          <w:p>
            <w:pPr>
              <w:pStyle w:val="Compact"/>
              <w:jc w:val="left"/>
            </w:pPr>
            <w:r>
              <w:t xml:space="preserve">1984–1993</w:t>
            </w:r>
          </w:p>
        </w:tc>
        <w:tc>
          <w:tcPr/>
          <w:p>
            <w:pPr>
              <w:pStyle w:val="Compact"/>
              <w:jc w:val="left"/>
            </w:pPr>
            <w:r>
              <w:t xml:space="preserve">Ovulação em 75% dos ciclos; gravidez 18% por ciclo; gestações múltiplas 3,8%; abortos espontâneos 30%</w:t>
            </w:r>
          </w:p>
        </w:tc>
      </w:tr>
      <w:tr>
        <w:tc>
          <w:tcPr/>
          <w:p>
            <w:pPr>
              <w:pStyle w:val="Compact"/>
              <w:jc w:val="left"/>
            </w:pPr>
            <w:r>
              <w:t xml:space="preserve">Christin-Maitre 2007, PMID 17293247</w:t>
            </w:r>
          </w:p>
        </w:tc>
        <w:tc>
          <w:tcPr/>
          <w:p>
            <w:pPr>
              <w:pStyle w:val="Compact"/>
              <w:jc w:val="left"/>
            </w:pPr>
            <w:r>
              <w:t xml:space="preserve">248 mulheres, 829 ciclos, 24 centros franceses, retrospectivo</w:t>
            </w:r>
          </w:p>
        </w:tc>
        <w:tc>
          <w:tcPr/>
          <w:p>
            <w:pPr>
              <w:pStyle w:val="Compact"/>
              <w:jc w:val="left"/>
            </w:pPr>
            <w:r>
              <w:t xml:space="preserve">3 anos</w:t>
            </w:r>
          </w:p>
        </w:tc>
        <w:tc>
          <w:tcPr/>
          <w:p>
            <w:pPr>
              <w:pStyle w:val="Compact"/>
              <w:jc w:val="left"/>
            </w:pPr>
            <w:r>
              <w:t xml:space="preserve">Gravidez 25% por ciclo; gestações múltiplas 8,8%; nenhuma hiperestimulação grave</w:t>
            </w:r>
          </w:p>
        </w:tc>
      </w:tr>
      <w:tr>
        <w:tc>
          <w:tcPr/>
          <w:p>
            <w:pPr>
              <w:pStyle w:val="Compact"/>
              <w:jc w:val="left"/>
            </w:pPr>
            <w:r>
              <w:t xml:space="preserve">Dubourdieu 2013, PMID 23298894</w:t>
            </w:r>
          </w:p>
        </w:tc>
        <w:tc>
          <w:tcPr/>
          <w:p>
            <w:pPr>
              <w:pStyle w:val="Compact"/>
              <w:jc w:val="left"/>
            </w:pPr>
            <w:r>
              <w:t xml:space="preserve">30 mulheres com amenorreia e SOP, ECR: bomba vs. gonadotrofinas</w:t>
            </w:r>
          </w:p>
        </w:tc>
        <w:tc>
          <w:tcPr/>
          <w:p>
            <w:pPr>
              <w:pStyle w:val="Compact"/>
              <w:jc w:val="left"/>
            </w:pPr>
            <w:r>
              <w:t xml:space="preserve">um ciclo</w:t>
            </w:r>
          </w:p>
        </w:tc>
        <w:tc>
          <w:tcPr/>
          <w:p>
            <w:pPr>
              <w:pStyle w:val="Compact"/>
              <w:jc w:val="left"/>
            </w:pPr>
            <w:r>
              <w:t xml:space="preserve">gravidez clínica 46% vs. 0%</w:t>
            </w:r>
          </w:p>
        </w:tc>
      </w:tr>
      <w:tr>
        <w:tc>
          <w:tcPr/>
          <w:p>
            <w:pPr>
              <w:pStyle w:val="Compact"/>
              <w:jc w:val="left"/>
            </w:pPr>
            <w:r>
              <w:t xml:space="preserve">Quaas 2022, PMID 36378460</w:t>
            </w:r>
          </w:p>
        </w:tc>
        <w:tc>
          <w:tcPr/>
          <w:p>
            <w:pPr>
              <w:pStyle w:val="Compact"/>
              <w:jc w:val="left"/>
            </w:pPr>
            <w:r>
              <w:t xml:space="preserve">66 mulheres, 212 ciclos, centro suíço, retrospectivo</w:t>
            </w:r>
          </w:p>
        </w:tc>
        <w:tc>
          <w:tcPr/>
          <w:p>
            <w:pPr>
              <w:pStyle w:val="Compact"/>
              <w:jc w:val="left"/>
            </w:pPr>
            <w:r>
              <w:t xml:space="preserve">1996–2020</w:t>
            </w:r>
          </w:p>
        </w:tc>
        <w:tc>
          <w:tcPr/>
          <w:p>
            <w:pPr>
              <w:pStyle w:val="Compact"/>
              <w:jc w:val="left"/>
            </w:pPr>
            <w:r>
              <w:t xml:space="preserve">Nascido vivo por tratamento 65,9%; um folículo em 75% dos ciclos; uma gravidez gemelar</w:t>
            </w:r>
          </w:p>
        </w:tc>
      </w:tr>
    </w:tbl>
    <w:p>
      <w:pPr>
        <w:pStyle w:val="BodyText"/>
      </w:pPr>
      <w:r>
        <w:t xml:space="preserve">Os números mostram um quadro coerente: em mulheres cujo problema está de fato no hipotálamo, a bomba leva à ovulação na grande maioria dos ciclos, muitas vezes com apenas um óvulo amadurecendo. Como a hipófise mantém sua própria retroalimentação, hiperestimulação e gestações múltiplas são mais raras do que com gonadotrofinas injetadas diretamente</w:t>
      </w:r>
      <w:r>
        <w:rPr>
          <w:rStyle w:val="FootnoteReference"/>
        </w:rPr>
        <w:footnoteReference w:id="2283"/>
      </w:r>
      <w:r>
        <w:t xml:space="preserve">. Em mulheres com síndrome dos ovários policísticos ou sobrepeso, a bomba funciona pior, e os abortos espontâneos foram frequentes na maior série individual</w:t>
      </w:r>
      <w:r>
        <w:rPr>
          <w:rStyle w:val="FootnoteReference"/>
        </w:rPr>
        <w:footnoteReference w:id="2284"/>
      </w:r>
      <w:r>
        <w:t xml:space="preserve">.</w:t>
      </w:r>
    </w:p>
    <w:p>
      <w:pPr>
        <w:pStyle w:val="BodyText"/>
      </w:pPr>
      <w:r>
        <w:t xml:space="preserve">As desvantagens são de natureza prática: a bomba precisa ser usada por semanas. Com a administração intravenosa, houve complicações no acesso, em média em 7%</w:t>
      </w:r>
      <w:r>
        <w:rPr>
          <w:rStyle w:val="FootnoteReference"/>
        </w:rPr>
        <w:footnoteReference w:id="2285"/>
      </w:r>
      <w:r>
        <w:t xml:space="preserve">. Hoje, a infusão é geralmente subcutânea; reações alérgicas locais ocorreram no estudo francês em 1,7% dos ciclos</w:t>
      </w:r>
      <w:r>
        <w:rPr>
          <w:rStyle w:val="FootnoteReference"/>
        </w:rPr>
        <w:footnoteReference w:id="2286"/>
      </w:r>
      <w:r>
        <w:t xml:space="preserve">.</w:t>
      </w:r>
    </w:p>
    <w:p>
      <w:pPr>
        <w:pStyle w:val="BodyText"/>
      </w:pPr>
      <w:r>
        <w:t xml:space="preserve">O conjunto de dados é antigo e predominantemente não randomizado. Faltam grandes estudos comparativos com protocolos modernos de gonadotrofinas. Ainda assim, especialistas consideram a bomba um método especialmente fisiológico e seguro na amenorreia hipotalâmica com desejo de ter filhos</w:t>
      </w:r>
      <w:r>
        <w:rPr>
          <w:rStyle w:val="FootnoteReference"/>
        </w:rPr>
        <w:footnoteReference w:id="2287"/>
      </w:r>
      <w:r>
        <w:t xml:space="preserve"> </w:t>
      </w:r>
      <w:r>
        <w:t xml:space="preserve">– desde que esteja disponível.</w:t>
      </w:r>
    </w:p>
    <w:bookmarkEnd w:id="2288"/>
    <w:bookmarkStart w:id="2292" w:name="homens-com-deficiência-hormonal"/>
    <w:p>
      <w:pPr>
        <w:pStyle w:val="Heading4"/>
      </w:pPr>
      <w:r>
        <w:t xml:space="preserve">Homens com deficiência hormonal</w:t>
      </w:r>
    </w:p>
    <w:p>
      <w:pPr>
        <w:pStyle w:val="FirstParagraph"/>
      </w:pPr>
      <w:r>
        <w:t xml:space="preserve">Também homens com deficiência congênita de GnRH – por exemplo na síndrome de Kallmann, em que além disso falta o olfato – podem ser tratados com a bomba para estimular o crescimento testicular e a formação de espermatozoides.</w:t>
      </w:r>
    </w:p>
    <w:p>
      <w:pPr>
        <w:pStyle w:val="BodyText"/>
      </w:pPr>
      <w:r>
        <w:t xml:space="preserve">Em uma análise de 26 homens em um centro universitário alemão, apareceram espermatozoides no ejaculado em 30 de 33 ciclos de tratamento; em 15 de 18 casos com desejo de ter filhos, a parceira engravidou. Bomba e gonadotrofinas injetadas foram igualmente eficazes</w:t>
      </w:r>
      <w:r>
        <w:rPr>
          <w:rStyle w:val="FootnoteReference"/>
        </w:rPr>
        <w:footnoteReference w:id="2289"/>
      </w:r>
      <w:r>
        <w:t xml:space="preserve">. Em meninos chineses em idade puberal, os testículos cresceram mais com a bomba do que com injeções de hCG</w:t>
      </w:r>
      <w:r>
        <w:rPr>
          <w:rStyle w:val="FootnoteReference"/>
        </w:rPr>
        <w:footnoteReference w:id="2290"/>
      </w:r>
      <w:r>
        <w:t xml:space="preserve">. Um pequeno estudo randomizado encontrou indícios de que um pré-tratamento com FSH antes da bomba poderia melhorar a formação de espermatozoides: todos os sete homens pré-tratados tiveram depois espermatozoides, contra quatro de seis sem pré-tratamento</w:t>
      </w:r>
      <w:r>
        <w:rPr>
          <w:rStyle w:val="FootnoteReference"/>
        </w:rPr>
        <w:footnoteReference w:id="2291"/>
      </w:r>
      <w:r>
        <w:t xml:space="preserve">.</w:t>
      </w:r>
    </w:p>
    <w:bookmarkEnd w:id="2292"/>
    <w:bookmarkStart w:id="2295" w:name="bebês-com-criptorquidia"/>
    <w:p>
      <w:pPr>
        <w:pStyle w:val="Heading4"/>
      </w:pPr>
      <w:r>
        <w:t xml:space="preserve">Bebês com criptorquidia</w:t>
      </w:r>
    </w:p>
    <w:p>
      <w:pPr>
        <w:pStyle w:val="FirstParagraph"/>
      </w:pPr>
      <w:r>
        <w:t xml:space="preserve">Em alguns países europeus, um spray nasal de gonadorelina é administrado antes ou depois da cirurgia de criptorquidia, para favorecer a maturação das células germinativas. Um estudo randomizado com 62 bebês relatou achados ultrassonográficos mais favoráveis após o tratamento combinado</w:t>
      </w:r>
      <w:r>
        <w:rPr>
          <w:rStyle w:val="FootnoteReference"/>
        </w:rPr>
        <w:footnoteReference w:id="2293"/>
      </w:r>
      <w:r>
        <w:t xml:space="preserve">. Outro estudo randomizado, com 36 meninos, não encontrou, por outro lado, diferença no tamanho do pênis, no volume testicular ou nos valores hormonais no momento da cirurgia; o tratamento, porém, mostrou-se seguro</w:t>
      </w:r>
      <w:r>
        <w:rPr>
          <w:rStyle w:val="FootnoteReference"/>
        </w:rPr>
        <w:footnoteReference w:id="2294"/>
      </w:r>
      <w:r>
        <w:t xml:space="preserve">. O benefício é controverso; o foco está na cirurgia precoce.</w:t>
      </w:r>
    </w:p>
    <w:bookmarkEnd w:id="2295"/>
    <w:bookmarkEnd w:id="2296"/>
    <w:bookmarkStart w:id="2297" w:name="estudos-em-animais-e-em-laboratório-51"/>
    <w:p>
      <w:pPr>
        <w:pStyle w:val="Heading3"/>
      </w:pPr>
      <w:r>
        <w:t xml:space="preserve">Estudos em animais e em laboratório</w:t>
      </w:r>
    </w:p>
    <w:p>
      <w:pPr>
        <w:pStyle w:val="FirstParagraph"/>
      </w:pPr>
      <w:r>
        <w:t xml:space="preserve">A gonadorelina é um dos hormônios mais bem compreendidos que existem; seus fundamentos vêm de experimentos em animais da década de 1970. Hoje, a pesquisa em animais quase não tem papel na avaliação em humanos. Na medicina veterinária, a gonadorelina é amplamente usada, sobretudo em bovinos, para controlar a ovulação. Essas preparações são aprovadas para animais e não para humanos.</w:t>
      </w:r>
    </w:p>
    <w:bookmarkEnd w:id="2297"/>
    <w:bookmarkStart w:id="2301" w:name="riscos-e-efeitos-colaterais-51"/>
    <w:p>
      <w:pPr>
        <w:pStyle w:val="Heading3"/>
      </w:pPr>
      <w:r>
        <w:t xml:space="preserve">Riscos e efeitos colaterais</w:t>
      </w:r>
    </w:p>
    <w:bookmarkStart w:id="2299" w:name="comprovados-10"/>
    <w:p>
      <w:pPr>
        <w:pStyle w:val="Heading4"/>
      </w:pPr>
      <w:r>
        <w:t xml:space="preserve">Comprovados</w:t>
      </w:r>
    </w:p>
    <w:p>
      <w:pPr>
        <w:pStyle w:val="FirstParagraph"/>
      </w:pPr>
      <w:r>
        <w:t xml:space="preserve">A gonadorelina é considerada bem tolerada. Nos estudos sobre a terapia com bomba, predominaram problemas com o acesso (inflamação, irritação venosa na administração intravenosa) e reações cutâneas locais</w:t>
      </w:r>
      <w:r>
        <w:rPr>
          <w:rStyle w:val="FootnoteReference"/>
        </w:rPr>
        <w:footnoteReference w:id="2298"/>
      </w:r>
      <w:r>
        <w:t xml:space="preserve">. Gestações múltiplas ocorrem, embora mais raramente que com gonadotrofinas; hiperestimulações graves são exceção. No teste, podem ocorrer temporariamente dor de cabeça, náusea ou rubor. Reações alérgicas foram raramente descritas. Os detalhes estão na bula; o uso deve ficar nas mãos de médicos.</w:t>
      </w:r>
    </w:p>
    <w:bookmarkEnd w:id="2299"/>
    <w:bookmarkStart w:id="2300" w:name="com-uso-incorreto"/>
    <w:p>
      <w:pPr>
        <w:pStyle w:val="Heading4"/>
      </w:pPr>
      <w:r>
        <w:t xml:space="preserve">Com uso incorreto</w:t>
      </w:r>
    </w:p>
    <w:p>
      <w:pPr>
        <w:pStyle w:val="FirstParagraph"/>
      </w:pPr>
      <w:r>
        <w:t xml:space="preserve">Se a gonadorelina não for administrada no ritmo certo, mas com frequência excessiva ou de forma contínua, ela pode suprimir o próprio eixo hormonal em vez de estimulá-lo. Isso não é um risco teórico, mas o princípio de ação dos análogos de GnRH.</w:t>
      </w:r>
    </w:p>
    <w:bookmarkEnd w:id="2300"/>
    <w:bookmarkEnd w:id="2301"/>
    <w:bookmarkStart w:id="2305" w:name="Xd0e155af0dcf791f41751402ad00e9847c2fe68"/>
    <w:p>
      <w:pPr>
        <w:pStyle w:val="Heading3"/>
      </w:pPr>
      <w:r>
        <w:t xml:space="preserve">Contextualização: gonadorelina no fisiculturismo</w:t>
      </w:r>
    </w:p>
    <w:p>
      <w:pPr>
        <w:pStyle w:val="FirstParagraph"/>
      </w:pPr>
      <w:r>
        <w:t xml:space="preserve">Em fóruns da internet e em alguns fornecedores de</w:t>
      </w:r>
      <w:r>
        <w:t xml:space="preserve"> </w:t>
      </w:r>
      <w:r>
        <w:t xml:space="preserve">“</w:t>
      </w:r>
      <w:r>
        <w:t xml:space="preserve">otimização hormonal</w:t>
      </w:r>
      <w:r>
        <w:t xml:space="preserve">”</w:t>
      </w:r>
      <w:r>
        <w:t xml:space="preserve">, a gonadorelina é promovida como parte de uma chamada post-cycle therapy (PCT). Trata-se da fase após um ciclo de esteroides anabolizantes: os hormônios administrados artificialmente suprimiram a produção própria de testosterona, e a gonadorelina deveria</w:t>
      </w:r>
      <w:r>
        <w:t xml:space="preserve"> </w:t>
      </w:r>
      <w:r>
        <w:t xml:space="preserve">“</w:t>
      </w:r>
      <w:r>
        <w:t xml:space="preserve">dar a partida de novo</w:t>
      </w:r>
      <w:r>
        <w:t xml:space="preserve">”</w:t>
      </w:r>
      <w:r>
        <w:t xml:space="preserve"> </w:t>
      </w:r>
      <w:r>
        <w:t xml:space="preserve">no eixo hormonal. Nos EUA, segundo relatos, ela também é oferecida como substituto do hCG.</w:t>
      </w:r>
    </w:p>
    <w:p>
      <w:pPr>
        <w:pStyle w:val="BodyText"/>
      </w:pPr>
      <w:r>
        <w:t xml:space="preserve">O que se sabe a respeito:</w:t>
      </w:r>
    </w:p>
    <w:p>
      <w:pPr>
        <w:numPr>
          <w:ilvl w:val="0"/>
          <w:numId w:val="1284"/>
        </w:numPr>
        <w:pStyle w:val="Compact"/>
      </w:pPr>
      <w:r>
        <w:rPr>
          <w:bCs/>
          <w:b/>
        </w:rPr>
        <w:t xml:space="preserve">Não há estudos</w:t>
      </w:r>
      <w:r>
        <w:t xml:space="preserve"> </w:t>
      </w:r>
      <w:r>
        <w:t xml:space="preserve">sobre gonadorelina nessa situação. O conjunto de dados sobre PCT em geral é escasso; foram estudados quase apenas antiestrogênios, hCG e inibidores da aromatase, e também para eles há predominantemente dados observacionais. Do ponto de vista científico, uma PCT em geral não é recomendada</w:t>
      </w:r>
      <w:r>
        <w:rPr>
          <w:rStyle w:val="FootnoteReference"/>
        </w:rPr>
        <w:footnoteReference w:id="2302"/>
      </w:r>
      <w:r>
        <w:t xml:space="preserve">.</w:t>
      </w:r>
    </w:p>
    <w:p>
      <w:pPr>
        <w:numPr>
          <w:ilvl w:val="0"/>
          <w:numId w:val="1284"/>
        </w:numPr>
        <w:pStyle w:val="Compact"/>
      </w:pPr>
      <w:r>
        <w:rPr>
          <w:bCs/>
          <w:b/>
        </w:rPr>
        <w:t xml:space="preserve">A recuperação geralmente ocorre por si só.</w:t>
      </w:r>
      <w:r>
        <w:t xml:space="preserve"> </w:t>
      </w:r>
      <w:r>
        <w:t xml:space="preserve">No estudo holandês HAARLEM, com 100 praticantes de musculação, a testosterona havia se normalizado na maioria três meses após o fim do ciclo de esteroides; após um ano, estava ainda abaixo da faixa normal em 11%, e a contagem de espermatozoides ainda estava reduzida em 34%</w:t>
      </w:r>
      <w:r>
        <w:rPr>
          <w:rStyle w:val="FootnoteReference"/>
        </w:rPr>
        <w:footnoteReference w:id="2303"/>
      </w:r>
      <w:r>
        <w:t xml:space="preserve">.</w:t>
      </w:r>
    </w:p>
    <w:p>
      <w:pPr>
        <w:numPr>
          <w:ilvl w:val="0"/>
          <w:numId w:val="1284"/>
        </w:numPr>
        <w:pStyle w:val="Compact"/>
      </w:pPr>
      <w:r>
        <w:rPr>
          <w:bCs/>
          <w:b/>
        </w:rPr>
        <w:t xml:space="preserve">O princípio de ação contradiz o uso ingênuo.</w:t>
      </w:r>
      <w:r>
        <w:t xml:space="preserve"> </w:t>
      </w:r>
      <w:r>
        <w:t xml:space="preserve">Injeções isoladas produzem apenas picos curtos de LH; administrações frequentes podem, antes, dessensibilizar a hipófise. Sem bomba e controle laboratorial, não se deve esperar benefício, e um atraso da recuperação não pode ser excluído.</w:t>
      </w:r>
    </w:p>
    <w:p>
      <w:pPr>
        <w:numPr>
          <w:ilvl w:val="0"/>
          <w:numId w:val="1284"/>
        </w:numPr>
        <w:pStyle w:val="Compact"/>
      </w:pPr>
      <w:r>
        <w:rPr>
          <w:bCs/>
          <w:b/>
        </w:rPr>
        <w:t xml:space="preserve">Quem tem queixas após o uso de esteroides</w:t>
      </w:r>
      <w:r>
        <w:t xml:space="preserve">, como falta de energia, perda de libido ou desejo de ter filhos não realizado, deve buscar avaliação médica, idealmente em um ambulatório de andrologia ou endocrinologia.</w:t>
      </w:r>
    </w:p>
    <w:p>
      <w:pPr>
        <w:pStyle w:val="FirstParagraph"/>
      </w:pPr>
      <w:r>
        <w:t xml:space="preserve">No esporte, a gonadorelina é proibida para homens. Laboratórios antidoping desenvolveram métodos próprios de detecção; uma revisão descreve a gonadorelina como exemplo de peptídeo usado de forma abusiva no esporte de competição nos últimos anos</w:t>
      </w:r>
      <w:r>
        <w:rPr>
          <w:rStyle w:val="FootnoteReference"/>
        </w:rPr>
        <w:footnoteReference w:id="2304"/>
      </w:r>
      <w:r>
        <w:t xml:space="preserve">.</w:t>
      </w:r>
    </w:p>
    <w:bookmarkEnd w:id="2305"/>
    <w:bookmarkStart w:id="2306" w:name="situação-legal-51"/>
    <w:p>
      <w:pPr>
        <w:pStyle w:val="Heading3"/>
      </w:pPr>
      <w:r>
        <w:t xml:space="preserve">Situação legal</w:t>
      </w:r>
    </w:p>
    <w:p>
      <w:pPr>
        <w:pStyle w:val="FirstParagraph"/>
      </w:pPr>
      <w:r>
        <w:rPr>
          <w:iCs/>
          <w:i/>
        </w:rPr>
        <w:t xml:space="preserve">Situação em 2026, verificar atualização.</w:t>
      </w:r>
    </w:p>
    <w:p>
      <w:pPr>
        <w:numPr>
          <w:ilvl w:val="0"/>
          <w:numId w:val="1285"/>
        </w:numPr>
        <w:pStyle w:val="Compact"/>
      </w:pPr>
      <w:r>
        <w:rPr>
          <w:bCs/>
          <w:b/>
        </w:rPr>
        <w:t xml:space="preserve">UE:</w:t>
      </w:r>
      <w:r>
        <w:t xml:space="preserve"> </w:t>
      </w:r>
      <w:r>
        <w:t xml:space="preserve">nenhuma aprovação centralizada na UE; aprovações nacionais em vários Estados-membros, entre outras como agente diagnóstico, para a terapia pulsátil com bomba e como spray nasal na criptorquidia. As preparações são de venda sob prescrição.</w:t>
      </w:r>
    </w:p>
    <w:p>
      <w:pPr>
        <w:numPr>
          <w:ilvl w:val="0"/>
          <w:numId w:val="1285"/>
        </w:numPr>
        <w:pStyle w:val="Compact"/>
      </w:pPr>
      <w:r>
        <w:rPr>
          <w:bCs/>
          <w:b/>
        </w:rPr>
        <w:t xml:space="preserve">Alemanha:</w:t>
      </w:r>
      <w:r>
        <w:t xml:space="preserve"> </w:t>
      </w:r>
      <w:r>
        <w:t xml:space="preserve">preparações para o teste de GnRH e para a terapia com bomba estiveram ou estão no mercado; a disponibilidade atual oscila. O tratamento é feito em centros especializados.</w:t>
      </w:r>
    </w:p>
    <w:p>
      <w:pPr>
        <w:numPr>
          <w:ilvl w:val="0"/>
          <w:numId w:val="1285"/>
        </w:numPr>
        <w:pStyle w:val="Compact"/>
      </w:pPr>
      <w:r>
        <w:rPr>
          <w:bCs/>
          <w:b/>
        </w:rPr>
        <w:t xml:space="preserve">Áustria:</w:t>
      </w:r>
      <w:r>
        <w:t xml:space="preserve"> </w:t>
      </w:r>
      <w:r>
        <w:t xml:space="preserve">venda sob prescrição; verificar a disponibilidade atual de preparações específicas na lista de especialidades farmacêuticas.</w:t>
      </w:r>
    </w:p>
    <w:p>
      <w:pPr>
        <w:numPr>
          <w:ilvl w:val="0"/>
          <w:numId w:val="1285"/>
        </w:numPr>
        <w:pStyle w:val="Compact"/>
      </w:pPr>
      <w:r>
        <w:rPr>
          <w:bCs/>
          <w:b/>
        </w:rPr>
        <w:t xml:space="preserve">EUA:</w:t>
      </w:r>
      <w:r>
        <w:t xml:space="preserve"> </w:t>
      </w:r>
      <w:r>
        <w:t xml:space="preserve">as preparações humanas antes aprovadas saíram do mercado. Segundo relatos, a gonadorelina é oferecida por farmácias de manipulação; a avaliação regulatória dessas preparações está em evolução. Medicamentos veterinários com gonadorelina não se destinam a humanos.</w:t>
      </w:r>
    </w:p>
    <w:p>
      <w:pPr>
        <w:numPr>
          <w:ilvl w:val="0"/>
          <w:numId w:val="1285"/>
        </w:numPr>
        <w:pStyle w:val="Compact"/>
      </w:pPr>
      <w:r>
        <w:rPr>
          <w:bCs/>
          <w:b/>
        </w:rPr>
        <w:t xml:space="preserve">WADA:</w:t>
      </w:r>
      <w:r>
        <w:t xml:space="preserve"> </w:t>
      </w:r>
      <w:r>
        <w:t xml:space="preserve">S2 – proibida para homens em competição e fora dela.</w:t>
      </w:r>
    </w:p>
    <w:bookmarkEnd w:id="2306"/>
    <w:bookmarkStart w:id="2310" w:name="estudos-em-andamento-e-perspectivas-51"/>
    <w:p>
      <w:pPr>
        <w:pStyle w:val="Heading3"/>
      </w:pPr>
      <w:r>
        <w:t xml:space="preserve">Estudos em andamento e perspectivas</w:t>
      </w:r>
    </w:p>
    <w:p>
      <w:pPr>
        <w:pStyle w:val="FirstParagraph"/>
      </w:pPr>
      <w:r>
        <w:rPr>
          <w:bCs/>
          <w:b/>
        </w:rPr>
        <w:t xml:space="preserve">Confirmado (estudos registrados):</w:t>
      </w:r>
      <w:r>
        <w:t xml:space="preserve"> </w:t>
      </w:r>
      <w:r>
        <w:t xml:space="preserve">entre os poucos registros que de fato se referem ao GnRH nativo, encontram-se:</w:t>
      </w:r>
    </w:p>
    <w:p>
      <w:pPr>
        <w:numPr>
          <w:ilvl w:val="0"/>
          <w:numId w:val="1286"/>
        </w:numPr>
        <w:pStyle w:val="Compact"/>
      </w:pPr>
      <w:r>
        <w:t xml:space="preserve">estudos concluídos do fabricante Ferring sobre um adesivo cutâneo que libera GnRH de forma pulsátil através da pele por meio de uma corrente fraca (NCT00296465, com 132, e NCT00796289, com 350 participantes). Segundo o conhecimento do autor, os resultados desses estudos não foram publicados no PubMed, e o adesivo não chegou ao mercado;</w:t>
      </w:r>
    </w:p>
    <w:p>
      <w:pPr>
        <w:numPr>
          <w:ilvl w:val="0"/>
          <w:numId w:val="1286"/>
        </w:numPr>
        <w:pStyle w:val="Compact"/>
      </w:pPr>
      <w:r>
        <w:t xml:space="preserve">um estudo retirado em 2025 sobre a administração de GnRH com uma bomba de insulina moderna sem tubo</w:t>
      </w:r>
      <w:r>
        <w:rPr>
          <w:rStyle w:val="FootnoteReference"/>
        </w:rPr>
        <w:footnoteReference w:id="2307"/>
      </w:r>
      <w:r>
        <w:t xml:space="preserve">;</w:t>
      </w:r>
    </w:p>
    <w:p>
      <w:pPr>
        <w:numPr>
          <w:ilvl w:val="0"/>
          <w:numId w:val="1286"/>
        </w:numPr>
        <w:pStyle w:val="Compact"/>
      </w:pPr>
      <w:r>
        <w:t xml:space="preserve">estudos chineses sobre a bomba na deficiência hormonal congênita</w:t>
      </w:r>
      <w:r>
        <w:rPr>
          <w:rStyle w:val="FootnoteReference"/>
        </w:rPr>
        <w:footnoteReference w:id="2308"/>
      </w:r>
      <w:r>
        <w:t xml:space="preserve"> </w:t>
      </w:r>
      <w:r>
        <w:t xml:space="preserve">e na SOP</w:t>
      </w:r>
      <w:r>
        <w:rPr>
          <w:rStyle w:val="FootnoteReference"/>
        </w:rPr>
        <w:footnoteReference w:id="2309"/>
      </w:r>
      <w:r>
        <w:t xml:space="preserve">, ambos com status desconhecido.</w:t>
      </w:r>
    </w:p>
    <w:p>
      <w:pPr>
        <w:pStyle w:val="FirstParagraph"/>
      </w:pPr>
      <w:r>
        <w:rPr>
          <w:bCs/>
          <w:b/>
        </w:rPr>
        <w:t xml:space="preserve">Avaliação do autor:</w:t>
      </w:r>
      <w:r>
        <w:t xml:space="preserve"> </w:t>
      </w:r>
      <w:r>
        <w:t xml:space="preserve">a gonadorelina é um princípio ativo antigo e bem compreendido, cuja importância no diagnóstico diminui porque análogos de ação curta são mais baratos e mais disponíveis. Para a terapia com bomba na amenorreia hipotalâmica e na deficiência hormonal congênita, continua sendo uma opção fisiológica, cujo futuro depende menos de novas pesquisas do que da questão de os fabricantes continuarem abastecendo os pequenos mercados. Bombas modernas sem tubo poderiam tornar o tratamento mais confortável. Para um benefício no contexto do fisiculturismo, não há provas.</w:t>
      </w:r>
    </w:p>
    <w:bookmarkEnd w:id="2310"/>
    <w:bookmarkStart w:id="2311" w:name="conclusão-51"/>
    <w:p>
      <w:pPr>
        <w:pStyle w:val="Heading3"/>
      </w:pPr>
      <w:r>
        <w:t xml:space="preserve">Conclusão</w:t>
      </w:r>
    </w:p>
    <w:p>
      <w:pPr>
        <w:pStyle w:val="FirstParagraph"/>
      </w:pPr>
      <w:r>
        <w:t xml:space="preserve">A gonadorelina é a cópia sintética do GnRH endógeno e é usada há décadas em testes funcionais e na terapia com bomba. Administrada no ritmo de pulsos correto, levou, em grandes séries de casos de mulheres com amenorreia hipotalâmica, à ovulação na maioria dos ciclos, com menos gestações múltiplas do que com gonadotrofinas, e, em homens com deficiência hormonal congênita, à formação de espermatozoides. O conjunto de estudos é antigo e predominantemente não randomizado; os números de registros são maciçamente distorcidos pelos análogos de GnRH. O uso no meio do fisiculturismo após ciclos de esteroides não foi estudado, contradiz o princípio de ação e é proibido no esporte.</w:t>
      </w:r>
    </w:p>
    <w:bookmarkEnd w:id="2311"/>
    <w:bookmarkEnd w:id="2312"/>
    <w:bookmarkEnd w:id="2313"/>
    <w:bookmarkStart w:id="2522" w:name="parte-ii-f-colágeno-nutrição-e-cosmética"/>
    <w:p>
      <w:pPr>
        <w:pStyle w:val="Heading1"/>
      </w:pPr>
      <w:r>
        <w:t xml:space="preserve">Parte II · F – Colágeno, nutrição e cosmética</w:t>
      </w:r>
    </w:p>
    <w:p>
      <w:pPr>
        <w:pStyle w:val="FirstParagraph"/>
      </w:pPr>
      <w:r>
        <w:t xml:space="preserve">A maioria das pessoas não encontra os peptídeos deste grupo no consultório médico, mas no supermercado, na drogaria e na publicidade: como bebida de colágeno, como iogurte para a pressão arterial, como cápsula esportiva ou como</w:t>
      </w:r>
      <w:r>
        <w:t xml:space="preserve"> </w:t>
      </w:r>
      <w:r>
        <w:t xml:space="preserve">“</w:t>
      </w:r>
      <w:r>
        <w:t xml:space="preserve">peptídeo antienvelhecimento</w:t>
      </w:r>
      <w:r>
        <w:t xml:space="preserve">”</w:t>
      </w:r>
      <w:r>
        <w:t xml:space="preserve"> </w:t>
      </w:r>
      <w:r>
        <w:t xml:space="preserve">em um creme facial. Eles são de venda livre, considerados inofensivos e promovidos com estudos. Justamente por isso vale a pena olhar com atenção o que esses estudos mostram.</w:t>
      </w:r>
    </w:p>
    <w:bookmarkStart w:id="2315" w:name="o-que-une-o-grupo"/>
    <w:p>
      <w:pPr>
        <w:pStyle w:val="Heading3"/>
      </w:pPr>
      <w:r>
        <w:t xml:space="preserve">O que une o grupo</w:t>
      </w:r>
    </w:p>
    <w:p>
      <w:pPr>
        <w:pStyle w:val="FirstParagraph"/>
      </w:pPr>
      <w:r>
        <w:t xml:space="preserve">Todas as seis substâncias são ou fragmentos de proteínas endógenas ou presentes nos alimentos (peptídeos de colágeno, lactotripeptídeos do leite, carnosina, GHK-Cu), ou imitações direcionadas delas (Matrixyl, Argireline). Nenhuma delas está aprovada como medicamento. Por isso, não são avaliadas segundo os critérios rigorosos aplicados a medicamentos, mas segundo as regras para alimentos ou cosméticos.</w:t>
      </w:r>
    </w:p>
    <w:p>
      <w:pPr>
        <w:pStyle w:val="BodyText"/>
      </w:pPr>
      <w:r>
        <w:t xml:space="preserve">Disso resultam padrões comuns que se repetem em todos os capítulos:</w:t>
      </w:r>
    </w:p>
    <w:p>
      <w:pPr>
        <w:numPr>
          <w:ilvl w:val="0"/>
          <w:numId w:val="1287"/>
        </w:numPr>
        <w:pStyle w:val="Compact"/>
      </w:pPr>
      <w:r>
        <w:rPr>
          <w:bCs/>
          <w:b/>
        </w:rPr>
        <w:t xml:space="preserve">Muitos estudos pequenos, poucos grandes.</w:t>
      </w:r>
      <w:r>
        <w:t xml:space="preserve"> </w:t>
      </w:r>
      <w:r>
        <w:t xml:space="preserve">O típico são 20 a 150 participantes durante 4 a 24 semanas. Desfechos duros, como fraturas ósseas, infartos ou prótese articular, nunca foram estudados.</w:t>
      </w:r>
    </w:p>
    <w:p>
      <w:pPr>
        <w:numPr>
          <w:ilvl w:val="0"/>
          <w:numId w:val="1287"/>
        </w:numPr>
        <w:pStyle w:val="Compact"/>
      </w:pPr>
      <w:r>
        <w:rPr>
          <w:bCs/>
          <w:b/>
        </w:rPr>
        <w:t xml:space="preserve">Financiamento pelo fabricante.</w:t>
      </w:r>
      <w:r>
        <w:t xml:space="preserve"> </w:t>
      </w:r>
      <w:r>
        <w:t xml:space="preserve">Grande parte dos estudos foi paga por fabricantes de matérias-primas ou de produtos. No caso do colágeno, uma metanálise mostra que o benefício para a pele desaparece quando se consideram apenas estudos com financiamento independente</w:t>
      </w:r>
      <w:r>
        <w:rPr>
          <w:rStyle w:val="FootnoteReference"/>
        </w:rPr>
        <w:footnoteReference w:id="2314"/>
      </w:r>
      <w:r>
        <w:t xml:space="preserve">.</w:t>
      </w:r>
    </w:p>
    <w:p>
      <w:pPr>
        <w:numPr>
          <w:ilvl w:val="0"/>
          <w:numId w:val="1287"/>
        </w:numPr>
        <w:pStyle w:val="Compact"/>
      </w:pPr>
      <w:r>
        <w:rPr>
          <w:bCs/>
          <w:b/>
        </w:rPr>
        <w:t xml:space="preserve">O problema do local de ação.</w:t>
      </w:r>
      <w:r>
        <w:t xml:space="preserve"> </w:t>
      </w:r>
      <w:r>
        <w:t xml:space="preserve">Um peptídeo precisa chegar aonde deve agir. Peptídeos ingeridos são em grande parte digeridos; peptídeos em cremes atravessam a barreira cutânea apenas em pequena medida. Por isso, em cada capítulo, a questão central é se o mecanismo demonstrado em laboratório chega de fato a operar no corpo.</w:t>
      </w:r>
    </w:p>
    <w:p>
      <w:pPr>
        <w:numPr>
          <w:ilvl w:val="0"/>
          <w:numId w:val="1287"/>
        </w:numPr>
        <w:pStyle w:val="Compact"/>
      </w:pPr>
      <w:r>
        <w:rPr>
          <w:bCs/>
          <w:b/>
        </w:rPr>
        <w:t xml:space="preserve">Produtos combinados.</w:t>
      </w:r>
      <w:r>
        <w:t xml:space="preserve"> </w:t>
      </w:r>
      <w:r>
        <w:t xml:space="preserve">Muitos produtos contêm vários princípios ativos. Um resultado positivo de estudo não pode, então, ser atribuído ao peptídeo isolado.</w:t>
      </w:r>
    </w:p>
    <w:bookmarkEnd w:id="2315"/>
    <w:bookmarkStart w:id="2316" w:name="X7c1cc8fbf19bd690d23c3efa5ab260394e4735b"/>
    <w:p>
      <w:pPr>
        <w:pStyle w:val="Heading3"/>
      </w:pPr>
      <w:r>
        <w:t xml:space="preserve">Alimentos, cosméticos, medicamentos – três mundos jurídicos</w:t>
      </w:r>
    </w:p>
    <w:p>
      <w:pPr>
        <w:pStyle w:val="FirstParagraph"/>
      </w:pPr>
      <w:r>
        <w:t xml:space="preserve">Se uma substância é considerada alimento, cosmético ou medicamento não é decidido por sua química, mas por sua finalidade e apresentação. A Parte I explica o enquadramento jurídico em detalhes; para este grupo, três pontos são importantes:</w:t>
      </w:r>
    </w:p>
    <w:p>
      <w:pPr>
        <w:numPr>
          <w:ilvl w:val="0"/>
          <w:numId w:val="1288"/>
        </w:numPr>
        <w:pStyle w:val="Compact"/>
      </w:pPr>
      <w:r>
        <w:rPr>
          <w:bCs/>
          <w:b/>
        </w:rPr>
        <w:t xml:space="preserve">Alimentos e suplementos alimentares</w:t>
      </w:r>
      <w:r>
        <w:t xml:space="preserve"> </w:t>
      </w:r>
      <w:r>
        <w:t xml:space="preserve">(peptídeos de colágeno, lactotripeptídeos, carnosina) não precisam, na UE, de aprovação nem de prova de eficácia. Em contrapartida, está rigorosamente regulado o que podem alegar na publicidade. Segundo o Regulamento de Alegações de Saúde (Regulamento (CE) nº 1924/2006), alegações relacionadas à saúde só são permitidas se tiverem sido avaliadas pela Autoridade Europeia para a Segurança dos Alimentos (EFSA) e autorizadas pela Comissão Europeia.</w:t>
      </w:r>
      <w:r>
        <w:t xml:space="preserve"> </w:t>
      </w:r>
      <w:r>
        <w:rPr>
          <w:bCs/>
          <w:b/>
        </w:rPr>
        <w:t xml:space="preserve">Para colágeno, peptídeos de colágeno, lactotripeptídeos e carnosina não existe uma única alegação de saúde autorizada.</w:t>
      </w:r>
      <w:r>
        <w:t xml:space="preserve"> </w:t>
      </w:r>
      <w:r>
        <w:t xml:space="preserve">A EFSA avaliou negativamente as alegações solicitadas – por exemplo sobre articulações no caso do colágeno ou sobre pressão arterial no caso dos lactotripeptídeos. Se uma embalagem de colágeno ainda assim faz publicidade sobre pele ou ossos, a afirmação juridicamente admissível refere-se em regra à vitamina C adicionada, para a qual está autorizada a alegação</w:t>
      </w:r>
      <w:r>
        <w:t xml:space="preserve"> </w:t>
      </w:r>
      <w:r>
        <w:t xml:space="preserve">“</w:t>
      </w:r>
      <w:r>
        <w:t xml:space="preserve">contribui para a formação normal de colágeno</w:t>
      </w:r>
      <w:r>
        <w:t xml:space="preserve">”</w:t>
      </w:r>
      <w:r>
        <w:t xml:space="preserve">.</w:t>
      </w:r>
    </w:p>
    <w:p>
      <w:pPr>
        <w:numPr>
          <w:ilvl w:val="0"/>
          <w:numId w:val="1288"/>
        </w:numPr>
        <w:pStyle w:val="Compact"/>
      </w:pPr>
      <w:r>
        <w:rPr>
          <w:bCs/>
          <w:b/>
        </w:rPr>
        <w:t xml:space="preserve">Cosméticos</w:t>
      </w:r>
      <w:r>
        <w:t xml:space="preserve"> </w:t>
      </w:r>
      <w:r>
        <w:t xml:space="preserve">(GHK-Cu, Matrixyl, Argireline) estão sujeitos ao Regulamento Europeu de Cosméticos (Regulamento (CE) nº 1223/2009). Só podem ser aplicados externamente, devem ser seguros e não podem reivindicar efeito medicamentoso. As alegações publicitárias devem ser comprováveis, mas não há avaliação oficial de eficácia antes da venda.</w:t>
      </w:r>
    </w:p>
    <w:p>
      <w:pPr>
        <w:numPr>
          <w:ilvl w:val="0"/>
          <w:numId w:val="1288"/>
        </w:numPr>
        <w:pStyle w:val="Compact"/>
      </w:pPr>
      <w:r>
        <w:rPr>
          <w:bCs/>
          <w:b/>
        </w:rPr>
        <w:t xml:space="preserve">Medicamentos</w:t>
      </w:r>
      <w:r>
        <w:t xml:space="preserve"> </w:t>
      </w:r>
      <w:r>
        <w:t xml:space="preserve">precisam comprovar sua eficácia e segurança em estudos e ser aprovados. Se um peptídeo cosmético é injetado – como acontece com GHK-Cu e Argireline no mercado cinza –, ele deixa o mundo dos cosméticos: torna-se um medicamento não aprovado, sem que existam estudos ou controles de qualidade para isso.</w:t>
      </w:r>
    </w:p>
    <w:p>
      <w:pPr>
        <w:pStyle w:val="FirstParagraph"/>
      </w:pPr>
      <w:r>
        <w:t xml:space="preserve">Nos EUA valem princípios semelhantes; lá, porém, os suplementos alimentares podem fazer publicidade com</w:t>
      </w:r>
      <w:r>
        <w:t xml:space="preserve"> </w:t>
      </w:r>
      <w:r>
        <w:t xml:space="preserve">“</w:t>
      </w:r>
      <w:r>
        <w:t xml:space="preserve">alegações de estrutura-função</w:t>
      </w:r>
      <w:r>
        <w:t xml:space="preserve">”</w:t>
      </w:r>
      <w:r>
        <w:t xml:space="preserve"> </w:t>
      </w:r>
      <w:r>
        <w:t xml:space="preserve">gerais, desde que tragam um aviso de que a FDA não as avaliou.</w:t>
      </w:r>
    </w:p>
    <w:bookmarkEnd w:id="2316"/>
    <w:bookmarkStart w:id="2317" w:name="visão-geral-4"/>
    <w:p>
      <w:pPr>
        <w:pStyle w:val="Heading3"/>
      </w:pPr>
      <w:r>
        <w:t xml:space="preserve">Visão geral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w:t>
            </w:r>
          </w:p>
        </w:tc>
        <w:tc>
          <w:tcPr/>
          <w:p>
            <w:pPr>
              <w:pStyle w:val="Compact"/>
              <w:jc w:val="left"/>
            </w:pPr>
            <w:r>
              <w:t xml:space="preserve">Em resumo</w:t>
            </w:r>
          </w:p>
        </w:tc>
      </w:tr>
      <w:tr>
        <w:tc>
          <w:tcPr/>
          <w:p>
            <w:pPr>
              <w:pStyle w:val="Compact"/>
              <w:jc w:val="left"/>
            </w:pPr>
            <w:r>
              <w:t xml:space="preserve">Peptídeos de colágeno</w:t>
            </w:r>
          </w:p>
        </w:tc>
        <w:tc>
          <w:tcPr/>
          <w:p>
            <w:pPr>
              <w:pStyle w:val="Compact"/>
              <w:jc w:val="left"/>
            </w:pPr>
            <w:r>
              <w:t xml:space="preserve">B</w:t>
            </w:r>
          </w:p>
        </w:tc>
        <w:tc>
          <w:tcPr/>
          <w:p>
            <w:pPr>
              <w:pStyle w:val="Compact"/>
              <w:jc w:val="left"/>
            </w:pPr>
            <w:r>
              <w:t xml:space="preserve">Alimento, sem alegação de saúde</w:t>
            </w:r>
          </w:p>
        </w:tc>
        <w:tc>
          <w:tcPr/>
          <w:p>
            <w:pPr>
              <w:pStyle w:val="Compact"/>
              <w:jc w:val="left"/>
            </w:pPr>
            <w:r>
              <w:t xml:space="preserve">Pequenos efeitos sobre a dor articular; benefício para a pele não comprovado em estudos independentes</w:t>
            </w:r>
          </w:p>
        </w:tc>
      </w:tr>
      <w:tr>
        <w:tc>
          <w:tcPr/>
          <w:p>
            <w:pPr>
              <w:pStyle w:val="Compact"/>
              <w:jc w:val="left"/>
            </w:pPr>
            <w:r>
              <w:t xml:space="preserve">Lactotripeptídeos (VPP/IPP)</w:t>
            </w:r>
          </w:p>
        </w:tc>
        <w:tc>
          <w:tcPr/>
          <w:p>
            <w:pPr>
              <w:pStyle w:val="Compact"/>
              <w:jc w:val="left"/>
            </w:pPr>
            <w:r>
              <w:t xml:space="preserve">B</w:t>
            </w:r>
          </w:p>
        </w:tc>
        <w:tc>
          <w:tcPr/>
          <w:p>
            <w:pPr>
              <w:pStyle w:val="Compact"/>
              <w:jc w:val="left"/>
            </w:pPr>
            <w:r>
              <w:t xml:space="preserve">Alimento, alegação sobre pressão arterial rejeitada</w:t>
            </w:r>
          </w:p>
        </w:tc>
        <w:tc>
          <w:tcPr/>
          <w:p>
            <w:pPr>
              <w:pStyle w:val="Compact"/>
              <w:jc w:val="left"/>
            </w:pPr>
            <w:r>
              <w:t xml:space="preserve">Redução da pressão arterial de cerca de 1–4 mmHg, quase não detectável na Europa</w:t>
            </w:r>
          </w:p>
        </w:tc>
      </w:tr>
      <w:tr>
        <w:tc>
          <w:tcPr/>
          <w:p>
            <w:pPr>
              <w:pStyle w:val="Compact"/>
              <w:jc w:val="left"/>
            </w:pPr>
            <w:r>
              <w:t xml:space="preserve">Carnosina</w:t>
            </w:r>
          </w:p>
        </w:tc>
        <w:tc>
          <w:tcPr/>
          <w:p>
            <w:pPr>
              <w:pStyle w:val="Compact"/>
              <w:jc w:val="left"/>
            </w:pPr>
            <w:r>
              <w:t xml:space="preserve">B</w:t>
            </w:r>
          </w:p>
        </w:tc>
        <w:tc>
          <w:tcPr/>
          <w:p>
            <w:pPr>
              <w:pStyle w:val="Compact"/>
              <w:jc w:val="left"/>
            </w:pPr>
            <w:r>
              <w:t xml:space="preserve">Suplemento alimentar, sem alegação de saúde</w:t>
            </w:r>
          </w:p>
        </w:tc>
        <w:tc>
          <w:tcPr/>
          <w:p>
            <w:pPr>
              <w:pStyle w:val="Compact"/>
              <w:jc w:val="left"/>
            </w:pPr>
            <w:r>
              <w:t xml:space="preserve">Indícios sobre glicemia; no esporte, o precursor beta-alanina é mais bem comprovado</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Cosmético; injeção não aprovada</w:t>
            </w:r>
          </w:p>
        </w:tc>
        <w:tc>
          <w:tcPr/>
          <w:p>
            <w:pPr>
              <w:pStyle w:val="Compact"/>
              <w:jc w:val="left"/>
            </w:pPr>
            <w:r>
              <w:t xml:space="preserve">Um estudo antigo sobre feridas; quase nenhum dado sobre a pele; injeção não testada</w:t>
            </w:r>
          </w:p>
        </w:tc>
      </w:tr>
      <w:tr>
        <w:tc>
          <w:tcPr/>
          <w:p>
            <w:pPr>
              <w:pStyle w:val="Compact"/>
              <w:jc w:val="left"/>
            </w:pPr>
            <w:r>
              <w:t xml:space="preserve">Palmitoil pentapeptídeo-4 (Matrixyl)</w:t>
            </w:r>
          </w:p>
        </w:tc>
        <w:tc>
          <w:tcPr/>
          <w:p>
            <w:pPr>
              <w:pStyle w:val="Compact"/>
              <w:jc w:val="left"/>
            </w:pPr>
            <w:r>
              <w:t xml:space="preserve">B</w:t>
            </w:r>
          </w:p>
        </w:tc>
        <w:tc>
          <w:tcPr/>
          <w:p>
            <w:pPr>
              <w:pStyle w:val="Compact"/>
              <w:jc w:val="left"/>
            </w:pPr>
            <w:r>
              <w:t xml:space="preserve">Cosmético</w:t>
            </w:r>
          </w:p>
        </w:tc>
        <w:tc>
          <w:tcPr/>
          <w:p>
            <w:pPr>
              <w:pStyle w:val="Compact"/>
              <w:jc w:val="left"/>
            </w:pPr>
            <w:r>
              <w:t xml:space="preserve">Um estudo de hemiface de 2005; permeabilidade cutânea incerta</w:t>
            </w:r>
          </w:p>
        </w:tc>
      </w:tr>
      <w:tr>
        <w:tc>
          <w:tcPr/>
          <w:p>
            <w:pPr>
              <w:pStyle w:val="Compact"/>
              <w:jc w:val="left"/>
            </w:pPr>
            <w:r>
              <w:t xml:space="preserve">Acetil hexapeptídeo-8 (Argireline)</w:t>
            </w:r>
          </w:p>
        </w:tc>
        <w:tc>
          <w:tcPr/>
          <w:p>
            <w:pPr>
              <w:pStyle w:val="Compact"/>
              <w:jc w:val="left"/>
            </w:pPr>
            <w:r>
              <w:t xml:space="preserve">B</w:t>
            </w:r>
          </w:p>
        </w:tc>
        <w:tc>
          <w:tcPr/>
          <w:p>
            <w:pPr>
              <w:pStyle w:val="Compact"/>
              <w:jc w:val="left"/>
            </w:pPr>
            <w:r>
              <w:t xml:space="preserve">Cosmético</w:t>
            </w:r>
          </w:p>
        </w:tc>
        <w:tc>
          <w:tcPr/>
          <w:p>
            <w:pPr>
              <w:pStyle w:val="Compact"/>
              <w:jc w:val="left"/>
            </w:pPr>
            <w:r>
              <w:t xml:space="preserve">“</w:t>
            </w:r>
            <w:r>
              <w:t xml:space="preserve">Botox em tubo</w:t>
            </w:r>
            <w:r>
              <w:t xml:space="preserve">”</w:t>
            </w:r>
            <w:r>
              <w:t xml:space="preserve"> </w:t>
            </w:r>
            <w:r>
              <w:t xml:space="preserve">não comprovado; quase não penetra na pele</w:t>
            </w:r>
          </w:p>
        </w:tc>
      </w:tr>
    </w:tbl>
    <w:p>
      <w:pPr>
        <w:pStyle w:val="BodyText"/>
      </w:pPr>
      <w:r>
        <w:t xml:space="preserve">A classificação B, neste grupo, expressamente não significa que um efeito esteja assegurado, mas apenas que existem estudos randomizados.</w:t>
      </w:r>
    </w:p>
    <w:bookmarkEnd w:id="2317"/>
    <w:bookmarkStart w:id="2318" w:name="orientação-de-leitura-5"/>
    <w:p>
      <w:pPr>
        <w:pStyle w:val="Heading3"/>
      </w:pPr>
      <w:r>
        <w:t xml:space="preserve">Orientação de leitura</w:t>
      </w:r>
    </w:p>
    <w:p>
      <w:pPr>
        <w:pStyle w:val="FirstParagraph"/>
      </w:pPr>
      <w:r>
        <w:t xml:space="preserve">O capítulo sobre os</w:t>
      </w:r>
      <w:r>
        <w:t xml:space="preserve"> </w:t>
      </w:r>
      <w:r>
        <w:rPr>
          <w:bCs/>
          <w:b/>
        </w:rPr>
        <w:t xml:space="preserve">peptídeos de colágeno</w:t>
      </w:r>
      <w:r>
        <w:t xml:space="preserve"> </w:t>
      </w:r>
      <w:r>
        <w:t xml:space="preserve">é o mais detalhado, porque é sobre eles que existem mais estudos e porque eles mostram bem como metanálises, financiamento pelo fabricante e efeito placebo interagem. Quem ler apenas um capítulo deste grupo deve escolher esse. O capítulo sobre os</w:t>
      </w:r>
      <w:r>
        <w:t xml:space="preserve"> </w:t>
      </w:r>
      <w:r>
        <w:rPr>
          <w:bCs/>
          <w:b/>
        </w:rPr>
        <w:t xml:space="preserve">lactotripeptídeos</w:t>
      </w:r>
      <w:r>
        <w:t xml:space="preserve"> </w:t>
      </w:r>
      <w:r>
        <w:t xml:space="preserve">é uma lição sobre como um mecanismo laboratorial convincente pode encolher em estudos maiores. Os três</w:t>
      </w:r>
      <w:r>
        <w:t xml:space="preserve"> </w:t>
      </w:r>
      <w:r>
        <w:rPr>
          <w:bCs/>
          <w:b/>
        </w:rPr>
        <w:t xml:space="preserve">peptídeos cosméticos</w:t>
      </w:r>
      <w:r>
        <w:t xml:space="preserve"> </w:t>
      </w:r>
      <w:r>
        <w:t xml:space="preserve">são mais curtos; eles compartilham a mesma questão central – se um princípio ativo do creme chega de fato aonde deve agir. Os riscos das injeções do mercado cinza são tratados em detalhes na Parte IV.</w:t>
      </w:r>
    </w:p>
    <w:bookmarkEnd w:id="2318"/>
    <w:bookmarkStart w:id="2370" w:name="Xc9f80ef5b1cb0c55773dadb1830d2b0348bbecc"/>
    <w:p>
      <w:pPr>
        <w:pStyle w:val="Heading2"/>
      </w:pPr>
      <w:r>
        <w:t xml:space="preserve">Peptídeos de colágeno (colágeno hidrolisado)</w:t>
      </w:r>
    </w:p>
    <w:bookmarkStart w:id="2319" w:name="ficha-técnica-52"/>
    <w:p>
      <w:pPr>
        <w:pStyle w:val="Heading3"/>
      </w:pPr>
      <w:r>
        <w:t xml:space="preserve">Ficha técnica</w:t>
      </w:r>
    </w:p>
    <w:p>
      <w:pPr>
        <w:numPr>
          <w:ilvl w:val="0"/>
          <w:numId w:val="1289"/>
        </w:numPr>
        <w:pStyle w:val="Compact"/>
      </w:pPr>
      <w:r>
        <w:rPr>
          <w:bCs/>
          <w:b/>
        </w:rPr>
        <w:t xml:space="preserve">Tipo/estrutura:</w:t>
      </w:r>
      <w:r>
        <w:t xml:space="preserve"> </w:t>
      </w:r>
      <w:r>
        <w:t xml:space="preserve">mistura de peptídeos de diferentes comprimentos, obtida por clivagem enzimática (hidrólise) de colágeno ou gelatina. Produtos típicos contêm fragmentos com massa molecular média de cerca de 2.000 a 5.000 dáltons. São característicos os aminoácidos glicina, prolina e hidroxiprolina; falta o aminoácido essencial triptofano.</w:t>
      </w:r>
    </w:p>
    <w:p>
      <w:pPr>
        <w:numPr>
          <w:ilvl w:val="0"/>
          <w:numId w:val="1289"/>
        </w:numPr>
        <w:pStyle w:val="Compact"/>
      </w:pPr>
      <w:r>
        <w:rPr>
          <w:bCs/>
          <w:b/>
        </w:rPr>
        <w:t xml:space="preserve">Origem:</w:t>
      </w:r>
      <w:r>
        <w:t xml:space="preserve"> </w:t>
      </w:r>
      <w:r>
        <w:t xml:space="preserve">pele, ossos ou escamas de bovinos, suínos, frango e peixe – subprodutos do processamento de carne e peixe. Muitos estudos usam matérias-primas de marca registrada (por exemplo, Verisol, Fortigel, Bodybalance, Tendoforte), provenientes de poucos fabricantes.</w:t>
      </w:r>
    </w:p>
    <w:p>
      <w:pPr>
        <w:numPr>
          <w:ilvl w:val="0"/>
          <w:numId w:val="1289"/>
        </w:numPr>
        <w:pStyle w:val="Compact"/>
      </w:pPr>
      <w:r>
        <w:rPr>
          <w:bCs/>
          <w:b/>
        </w:rPr>
        <w:t xml:space="preserve">Mecanismo de ação:</w:t>
      </w:r>
      <w:r>
        <w:t xml:space="preserve"> </w:t>
      </w:r>
      <w:r>
        <w:t xml:space="preserve">fornecimento de componentes para o tecido conjuntivo do próprio corpo; além disso, discute-se que determinados peptídeos pequenos (sobretudo prolil-hidroxiprolina) atuem como sinalizadores sobre as células do tecido conjuntivo.</w:t>
      </w:r>
    </w:p>
    <w:p>
      <w:pPr>
        <w:numPr>
          <w:ilvl w:val="0"/>
          <w:numId w:val="1289"/>
        </w:numPr>
        <w:pStyle w:val="Compact"/>
      </w:pPr>
      <w:r>
        <w:rPr>
          <w:bCs/>
          <w:b/>
        </w:rPr>
        <w:t xml:space="preserve">Delimitação:</w:t>
      </w:r>
      <w:r>
        <w:t xml:space="preserve"> </w:t>
      </w:r>
      <w:r>
        <w:t xml:space="preserve">o colágeno tipo II</w:t>
      </w:r>
      <w:r>
        <w:t xml:space="preserve"> </w:t>
      </w:r>
      <w:r>
        <w:rPr>
          <w:iCs/>
          <w:i/>
        </w:rPr>
        <w:t xml:space="preserve">não desnaturado</w:t>
      </w:r>
      <w:r>
        <w:t xml:space="preserve"> </w:t>
      </w:r>
      <w:r>
        <w:t xml:space="preserve">(por exemplo, UC-II) é outro produto, com outro mecanismo de ação, e é discutido separadamente abaixo.</w:t>
      </w:r>
    </w:p>
    <w:p>
      <w:pPr>
        <w:numPr>
          <w:ilvl w:val="0"/>
          <w:numId w:val="1289"/>
        </w:numPr>
        <w:pStyle w:val="Compact"/>
      </w:pPr>
      <w:r>
        <w:rPr>
          <w:bCs/>
          <w:b/>
        </w:rPr>
        <w:t xml:space="preserve">Aprovação na UE:</w:t>
      </w:r>
      <w:r>
        <w:t xml:space="preserve"> </w:t>
      </w:r>
      <w:r>
        <w:t xml:space="preserve">nenhuma aprovação como medicamento; comercializável como alimento ou suplemento alimentar. Para o próprio colágeno,</w:t>
      </w:r>
      <w:r>
        <w:t xml:space="preserve"> </w:t>
      </w:r>
      <w:r>
        <w:rPr>
          <w:bCs/>
          <w:b/>
        </w:rPr>
        <w:t xml:space="preserve">não</w:t>
      </w:r>
      <w:r>
        <w:t xml:space="preserve"> </w:t>
      </w:r>
      <w:r>
        <w:t xml:space="preserve">existe nenhuma alegação de saúde (health claim) autorizada.</w:t>
      </w:r>
    </w:p>
    <w:p>
      <w:pPr>
        <w:numPr>
          <w:ilvl w:val="0"/>
          <w:numId w:val="1289"/>
        </w:numPr>
        <w:pStyle w:val="Compact"/>
      </w:pPr>
      <w:r>
        <w:rPr>
          <w:bCs/>
          <w:b/>
        </w:rPr>
        <w:t xml:space="preserve">Aprovação nos EUA:</w:t>
      </w:r>
      <w:r>
        <w:t xml:space="preserve"> </w:t>
      </w:r>
      <w:r>
        <w:t xml:space="preserve">nenhuma aprovação como medicamento; à venda como suplemento alimentar (dietary supplement).</w:t>
      </w:r>
    </w:p>
    <w:p>
      <w:pPr>
        <w:numPr>
          <w:ilvl w:val="0"/>
          <w:numId w:val="1289"/>
        </w:numPr>
        <w:pStyle w:val="Compact"/>
      </w:pPr>
      <w:r>
        <w:rPr>
          <w:bCs/>
          <w:b/>
        </w:rPr>
        <w:t xml:space="preserve">WADA:</w:t>
      </w:r>
      <w:r>
        <w:t xml:space="preserve"> </w:t>
      </w:r>
      <w:r>
        <w:t xml:space="preserve">não listado.</w:t>
      </w:r>
    </w:p>
    <w:p>
      <w:pPr>
        <w:numPr>
          <w:ilvl w:val="0"/>
          <w:numId w:val="1289"/>
        </w:numPr>
        <w:pStyle w:val="Compact"/>
      </w:pPr>
      <w:r>
        <w:rPr>
          <w:bCs/>
          <w:b/>
        </w:rPr>
        <w:t xml:space="preserve">Nível de evidência:</w:t>
      </w:r>
      <w:r>
        <w:t xml:space="preserve"> </w:t>
      </w:r>
      <w:r>
        <w:rPr>
          <w:bCs/>
          <w:b/>
        </w:rPr>
        <w:t xml:space="preserve">B</w:t>
      </w:r>
      <w:r>
        <w:t xml:space="preserve"> </w:t>
      </w:r>
      <w:r>
        <w:t xml:space="preserve">– numerosos estudos randomizados controlados por placebo, mas predominantemente pequenos, curtos e financiados pelos fabricantes.</w:t>
      </w:r>
    </w:p>
    <w:bookmarkEnd w:id="2319"/>
    <w:bookmarkStart w:id="2324" w:name="como-deveria-agir-52"/>
    <w:p>
      <w:pPr>
        <w:pStyle w:val="Heading3"/>
      </w:pPr>
      <w:r>
        <w:t xml:space="preserve">Como deveria agir</w:t>
      </w:r>
    </w:p>
    <w:p>
      <w:pPr>
        <w:pStyle w:val="FirstParagraph"/>
      </w:pPr>
      <w:r>
        <w:t xml:space="preserve">O colágeno é a proteína mais abundante do corpo humano. Ele forma a estrutura da pele, dos tendões, dos ligamentos, da cartilagem e dos ossos. Sua unidade básica é uma tripla hélice de três cadeias proteicas, nas quais um padrão se repete constantemente: glicina, depois um aminoácido qualquer, depois frequentemente prolina ou hidroxiprolina. Com a idade, a produção de colágeno na pele diminui, e a rede de colágeno se torna mais frágil – visível como rugas e perda de firmeza.</w:t>
      </w:r>
    </w:p>
    <w:p>
      <w:pPr>
        <w:pStyle w:val="BodyText"/>
      </w:pPr>
      <w:r>
        <w:t xml:space="preserve">A publicidade sugere muitas vezes uma lógica simples: quem come colágeno produz colágeno. A digestão não funciona assim. As proteínas são em grande parte decompostas no estômago e no intestino delgado em aminoácidos isolados e peptídeos mínimos; a partir deles, o corpo remonta suas proteínas conforme sua própria necessidade. O colágeno da alimentação, portanto, não é</w:t>
      </w:r>
      <w:r>
        <w:t xml:space="preserve"> </w:t>
      </w:r>
      <w:r>
        <w:t xml:space="preserve">“</w:t>
      </w:r>
      <w:r>
        <w:t xml:space="preserve">incorporado</w:t>
      </w:r>
      <w:r>
        <w:t xml:space="preserve">”</w:t>
      </w:r>
      <w:r>
        <w:t xml:space="preserve"> </w:t>
      </w:r>
      <w:r>
        <w:t xml:space="preserve">à pele como colágeno.</w:t>
      </w:r>
    </w:p>
    <w:p>
      <w:pPr>
        <w:pStyle w:val="BodyText"/>
      </w:pPr>
      <w:r>
        <w:t xml:space="preserve">Há, porém, duas hipóteses a serem levadas a sério sobre por que os peptídeos de colágeno ainda assim poderiam ter algum efeito:</w:t>
      </w:r>
    </w:p>
    <w:p>
      <w:pPr>
        <w:numPr>
          <w:ilvl w:val="0"/>
          <w:numId w:val="1290"/>
        </w:numPr>
        <w:pStyle w:val="Compact"/>
      </w:pPr>
      <w:r>
        <w:rPr>
          <w:bCs/>
          <w:b/>
        </w:rPr>
        <w:t xml:space="preserve">Peptídeos sinalizadores.</w:t>
      </w:r>
      <w:r>
        <w:t xml:space="preserve"> </w:t>
      </w:r>
      <w:r>
        <w:t xml:space="preserve">Dipeptídeos e tripeptídeos contendo hidroxiprolina são excepcionalmente estáveis diante das enzimas digestivas. Após a ingestão de gelatina hidrolisada, a concentração de hidroxiprolina ligada a peptídeos no sangue de voluntários aumentou claramente e atingiu o máximo após uma a duas horas; o componente principal foi o dipeptídeo prolil-hidroxiprolina</w:t>
      </w:r>
      <w:r>
        <w:rPr>
          <w:rStyle w:val="FootnoteReference"/>
        </w:rPr>
        <w:footnoteReference w:id="2320"/>
      </w:r>
      <w:r>
        <w:t xml:space="preserve">. Algo semelhante foi observado para uma preparação com alta proporção de tripeptídeos</w:t>
      </w:r>
      <w:r>
        <w:rPr>
          <w:rStyle w:val="FootnoteReference"/>
        </w:rPr>
        <w:footnoteReference w:id="2321"/>
      </w:r>
      <w:r>
        <w:t xml:space="preserve">. Em experimentos com culturas de células e em animais, esses peptídeos estimulam as células do tecido conjuntivo (fibroblastos) a crescer e a formar componentes da matriz. Se as quantidades alcançadas no sangue humano bastam para provocar um efeito mensurável na pele ou na cartilagem não está comprovado com segurança.</w:t>
      </w:r>
    </w:p>
    <w:p>
      <w:pPr>
        <w:numPr>
          <w:ilvl w:val="0"/>
          <w:numId w:val="1290"/>
        </w:numPr>
        <w:pStyle w:val="Compact"/>
      </w:pPr>
      <w:r>
        <w:rPr>
          <w:bCs/>
          <w:b/>
        </w:rPr>
        <w:t xml:space="preserve">Fornecimento de matéria-prima.</w:t>
      </w:r>
      <w:r>
        <w:t xml:space="preserve"> </w:t>
      </w:r>
      <w:r>
        <w:t xml:space="preserve">Os peptídeos de colágeno fornecem grandes quantidades de glicina, prolina e hidroxiprolina. Em um pequeno estudo com oito homens, o marcador sanguíneo de formação de colágeno dobrou quando eles haviam ingerido 15 g de gelatina enriquecida com vitamina C uma hora antes de um breve esforço com saltos</w:t>
      </w:r>
      <w:r>
        <w:rPr>
          <w:rStyle w:val="FootnoteReference"/>
        </w:rPr>
        <w:footnoteReference w:id="2322"/>
      </w:r>
      <w:r>
        <w:t xml:space="preserve">. Isso apoia a ideia de combinar temporalmente os peptídeos de colágeno com o esforço, mas é um valor medido no sangue, não uma prova de tendões mais fortes.</w:t>
      </w:r>
    </w:p>
    <w:p>
      <w:pPr>
        <w:pStyle w:val="FirstParagraph"/>
      </w:pPr>
      <w:r>
        <w:t xml:space="preserve">Importante para a contextualização: o colágeno é uma fonte de proteína incompleta. Como lhe falta triptofano, uma mistura de peptídeos à base de gelatina é usada na pesquisa até mesmo de forma deliberada para reduzir temporariamente o nível de triptofano no sangue</w:t>
      </w:r>
      <w:r>
        <w:rPr>
          <w:rStyle w:val="FootnoteReference"/>
        </w:rPr>
        <w:footnoteReference w:id="2323"/>
      </w:r>
      <w:r>
        <w:t xml:space="preserve">. Para o ganho muscular, o colágeno é, por isso, inferior a outras proteínas – mais sobre isso abaixo.</w:t>
      </w:r>
    </w:p>
    <w:bookmarkEnd w:id="2324"/>
    <w:bookmarkStart w:id="2352" w:name="estudos-em-humanos-52"/>
    <w:p>
      <w:pPr>
        <w:pStyle w:val="Heading3"/>
      </w:pPr>
      <w:r>
        <w:t xml:space="preserve">Estudos em humanos</w:t>
      </w:r>
    </w:p>
    <w:p>
      <w:pPr>
        <w:pStyle w:val="FirstParagraph"/>
      </w:pPr>
      <w:r>
        <w:t xml:space="preserve">O conjunto de estudos é extenso, mas heterogêneo. A consulta ao PubMed avaliada para este livro (colágeno hidrolisado ou peptídeos de colágeno em combinação com ingestão ou suplementação, data da consulta outubro de 2026) resultou em 101 estudos em humanos. No ClinicalTrials.gov, a busca</w:t>
      </w:r>
      <w:r>
        <w:t xml:space="preserve"> </w:t>
      </w:r>
      <w:r>
        <w:t xml:space="preserve">“</w:t>
      </w:r>
      <w:r>
        <w:t xml:space="preserve">collagen peptides</w:t>
      </w:r>
      <w:r>
        <w:t xml:space="preserve">”</w:t>
      </w:r>
      <w:r>
        <w:t xml:space="preserve"> </w:t>
      </w:r>
      <w:r>
        <w:t xml:space="preserve">encontrou 237 registros; uma parte considerável deles, porém, refere-se a outros temas (como implantes de colágeno na odontologia ou o medicamento contra o câncer endostatina, um fragmento de colágeno). Somam-se a isso pelo menos uma dúzia de metanálises.</w:t>
      </w:r>
    </w:p>
    <w:p>
      <w:pPr>
        <w:pStyle w:val="BodyText"/>
      </w:pPr>
      <w:r>
        <w:t xml:space="preserve">Três características marcam quase todos os estudos e devem ser levadas em conta na leitura:</w:t>
      </w:r>
    </w:p>
    <w:p>
      <w:pPr>
        <w:numPr>
          <w:ilvl w:val="0"/>
          <w:numId w:val="1291"/>
        </w:numPr>
        <w:pStyle w:val="Compact"/>
      </w:pPr>
      <w:r>
        <w:rPr>
          <w:bCs/>
          <w:b/>
        </w:rPr>
        <w:t xml:space="preserve">Amostras pequenas e curta duração:</w:t>
      </w:r>
      <w:r>
        <w:t xml:space="preserve"> </w:t>
      </w:r>
      <w:r>
        <w:t xml:space="preserve">geralmente 40 a 150 participantes durante 8 a 24 semanas.</w:t>
      </w:r>
    </w:p>
    <w:p>
      <w:pPr>
        <w:numPr>
          <w:ilvl w:val="0"/>
          <w:numId w:val="1291"/>
        </w:numPr>
        <w:pStyle w:val="Compact"/>
      </w:pPr>
      <w:r>
        <w:rPr>
          <w:bCs/>
          <w:b/>
        </w:rPr>
        <w:t xml:space="preserve">Financiamento pelo fabricante:</w:t>
      </w:r>
      <w:r>
        <w:t xml:space="preserve"> </w:t>
      </w:r>
      <w:r>
        <w:t xml:space="preserve">grande parte dos estudos foi paga pelos fabricantes da matéria-prima ou do produto ou teve coautoria de seus funcionários. Frequentemente são testadas misturas de peptídeos de marca registrada.</w:t>
      </w:r>
    </w:p>
    <w:p>
      <w:pPr>
        <w:numPr>
          <w:ilvl w:val="0"/>
          <w:numId w:val="1291"/>
        </w:numPr>
        <w:pStyle w:val="Compact"/>
      </w:pPr>
      <w:r>
        <w:rPr>
          <w:bCs/>
          <w:b/>
        </w:rPr>
        <w:t xml:space="preserve">Produtos combinados:</w:t>
      </w:r>
      <w:r>
        <w:t xml:space="preserve"> </w:t>
      </w:r>
      <w:r>
        <w:t xml:space="preserve">muitas</w:t>
      </w:r>
      <w:r>
        <w:t xml:space="preserve"> </w:t>
      </w:r>
      <w:r>
        <w:t xml:space="preserve">“</w:t>
      </w:r>
      <w:r>
        <w:t xml:space="preserve">bebidas de colágeno</w:t>
      </w:r>
      <w:r>
        <w:t xml:space="preserve">”</w:t>
      </w:r>
      <w:r>
        <w:t xml:space="preserve"> </w:t>
      </w:r>
      <w:r>
        <w:t xml:space="preserve">contêm também vitamina C, zinco, biotina, ácido hialurônico ou extratos vegetais. Um resultado positivo não pode, então, ser atribuído apenas ao colágeno.</w:t>
      </w:r>
    </w:p>
    <w:bookmarkStart w:id="2327" w:name="pele-hidratação-elasticidade-rugas"/>
    <w:p>
      <w:pPr>
        <w:pStyle w:val="Heading4"/>
      </w:pPr>
      <w:r>
        <w:t xml:space="preserve">Pele: hidratação, elasticidade, rugas</w:t>
      </w:r>
    </w:p>
    <w:p>
      <w:pPr>
        <w:pStyle w:val="FirstParagraph"/>
      </w:pPr>
      <w:r>
        <w:t xml:space="preserve">Os estudos sobre a pele são os mais numerosos. As medições geralmente são feitas com aparelhos: corneômetro (hidratação da camada córnea), cutômetro (elasticidade), moldes da pele ou câmeras 3D (profundidade das rugas), ultrassom (densidade da derme).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Proksch 2014a, PMID 23949208</w:t>
            </w:r>
          </w:p>
        </w:tc>
        <w:tc>
          <w:tcPr/>
          <w:p>
            <w:pPr>
              <w:pStyle w:val="Compact"/>
              <w:jc w:val="left"/>
            </w:pPr>
            <w:r>
              <w:t xml:space="preserve">69 mulheres (35–55 anos), 2,5 g ou 5 g vs. placebo</w:t>
            </w:r>
          </w:p>
        </w:tc>
        <w:tc>
          <w:tcPr/>
          <w:p>
            <w:pPr>
              <w:pStyle w:val="Compact"/>
              <w:jc w:val="left"/>
            </w:pPr>
            <w:r>
              <w:t xml:space="preserve">8 semanas</w:t>
            </w:r>
          </w:p>
        </w:tc>
        <w:tc>
          <w:tcPr/>
          <w:p>
            <w:pPr>
              <w:pStyle w:val="Compact"/>
              <w:jc w:val="left"/>
            </w:pPr>
            <w:r>
              <w:t xml:space="preserve">Elasticidade significativamente melhor que placebo nos dois grupos de dose; hidratação não significativa</w:t>
            </w:r>
          </w:p>
        </w:tc>
      </w:tr>
      <w:tr>
        <w:tc>
          <w:tcPr/>
          <w:p>
            <w:pPr>
              <w:pStyle w:val="Compact"/>
              <w:jc w:val="left"/>
            </w:pPr>
            <w:r>
              <w:t xml:space="preserve">Proksch 2014b, PMID 24401291</w:t>
            </w:r>
          </w:p>
        </w:tc>
        <w:tc>
          <w:tcPr/>
          <w:p>
            <w:pPr>
              <w:pStyle w:val="Compact"/>
              <w:jc w:val="left"/>
            </w:pPr>
            <w:r>
              <w:t xml:space="preserve">114 mulheres (45–65 anos), 2,5 g de Verisol vs. placebo</w:t>
            </w:r>
          </w:p>
        </w:tc>
        <w:tc>
          <w:tcPr/>
          <w:p>
            <w:pPr>
              <w:pStyle w:val="Compact"/>
              <w:jc w:val="left"/>
            </w:pPr>
            <w:r>
              <w:t xml:space="preserve">8 semanas</w:t>
            </w:r>
          </w:p>
        </w:tc>
        <w:tc>
          <w:tcPr/>
          <w:p>
            <w:pPr>
              <w:pStyle w:val="Compact"/>
              <w:jc w:val="left"/>
            </w:pPr>
            <w:r>
              <w:t xml:space="preserve">Volume das rugas ao redor dos olhos −20% vs. placebo; pró-colágeno I em amostras de pele +65%</w:t>
            </w:r>
          </w:p>
        </w:tc>
      </w:tr>
      <w:tr>
        <w:tc>
          <w:tcPr/>
          <w:p>
            <w:pPr>
              <w:pStyle w:val="Compact"/>
              <w:jc w:val="left"/>
            </w:pPr>
            <w:r>
              <w:t xml:space="preserve">Kim 2018, PMID 29949889</w:t>
            </w:r>
          </w:p>
        </w:tc>
        <w:tc>
          <w:tcPr/>
          <w:p>
            <w:pPr>
              <w:pStyle w:val="Compact"/>
              <w:jc w:val="left"/>
            </w:pPr>
            <w:r>
              <w:t xml:space="preserve">64 pessoas, 1 g de peptídeo de baixo peso molecular vs. placebo</w:t>
            </w:r>
          </w:p>
        </w:tc>
        <w:tc>
          <w:tcPr/>
          <w:p>
            <w:pPr>
              <w:pStyle w:val="Compact"/>
              <w:jc w:val="left"/>
            </w:pPr>
            <w:r>
              <w:t xml:space="preserve">12 semanas</w:t>
            </w:r>
          </w:p>
        </w:tc>
        <w:tc>
          <w:tcPr/>
          <w:p>
            <w:pPr>
              <w:pStyle w:val="Compact"/>
              <w:jc w:val="left"/>
            </w:pPr>
            <w:r>
              <w:t xml:space="preserve">Hidratação e três parâmetros de rugas melhores que placebo; elasticidade em parte</w:t>
            </w:r>
          </w:p>
        </w:tc>
      </w:tr>
      <w:tr>
        <w:tc>
          <w:tcPr/>
          <w:p>
            <w:pPr>
              <w:pStyle w:val="Compact"/>
              <w:jc w:val="left"/>
            </w:pPr>
            <w:r>
              <w:t xml:space="preserve">Bolke 2019, PMID 31627309</w:t>
            </w:r>
          </w:p>
        </w:tc>
        <w:tc>
          <w:tcPr/>
          <w:p>
            <w:pPr>
              <w:pStyle w:val="Compact"/>
              <w:jc w:val="left"/>
            </w:pPr>
            <w:r>
              <w:t xml:space="preserve">72 mulheres a partir de 35 anos, ampola bebível com 2,5 g de peptídeos mais vitaminas, zinco, acerola vs. placebo</w:t>
            </w:r>
          </w:p>
        </w:tc>
        <w:tc>
          <w:tcPr/>
          <w:p>
            <w:pPr>
              <w:pStyle w:val="Compact"/>
              <w:jc w:val="left"/>
            </w:pPr>
            <w:r>
              <w:t xml:space="preserve">12 semanas</w:t>
            </w:r>
          </w:p>
        </w:tc>
        <w:tc>
          <w:tcPr/>
          <w:p>
            <w:pPr>
              <w:pStyle w:val="Compact"/>
              <w:jc w:val="left"/>
            </w:pPr>
            <w:r>
              <w:t xml:space="preserve">Hidratação, elasticidade, aspereza e densidade melhores que placebo (produto combinado)</w:t>
            </w:r>
          </w:p>
        </w:tc>
      </w:tr>
      <w:tr>
        <w:tc>
          <w:tcPr/>
          <w:p>
            <w:pPr>
              <w:pStyle w:val="Compact"/>
              <w:jc w:val="left"/>
            </w:pPr>
            <w:r>
              <w:t xml:space="preserve">Kim 2022, PMID 36516059</w:t>
            </w:r>
          </w:p>
        </w:tc>
        <w:tc>
          <w:tcPr/>
          <w:p>
            <w:pPr>
              <w:pStyle w:val="Compact"/>
              <w:jc w:val="left"/>
            </w:pPr>
            <w:r>
              <w:t xml:space="preserve">100 pessoas, peptídeos de baixo peso molecular vs. placebo</w:t>
            </w:r>
          </w:p>
        </w:tc>
        <w:tc>
          <w:tcPr/>
          <w:p>
            <w:pPr>
              <w:pStyle w:val="Compact"/>
              <w:jc w:val="left"/>
            </w:pPr>
            <w:r>
              <w:t xml:space="preserve">12 semanas</w:t>
            </w:r>
          </w:p>
        </w:tc>
        <w:tc>
          <w:tcPr/>
          <w:p>
            <w:pPr>
              <w:pStyle w:val="Compact"/>
              <w:jc w:val="left"/>
            </w:pPr>
            <w:r>
              <w:t xml:space="preserve">Pés de galinha, aspereza, elasticidade, hidratação melhores que placebo (análise de 84 pessoas)</w:t>
            </w:r>
          </w:p>
        </w:tc>
      </w:tr>
      <w:tr>
        <w:tc>
          <w:tcPr/>
          <w:p>
            <w:pPr>
              <w:pStyle w:val="Compact"/>
              <w:jc w:val="left"/>
            </w:pPr>
            <w:r>
              <w:t xml:space="preserve">Vleminckx 2024, PMID 39143887</w:t>
            </w:r>
          </w:p>
        </w:tc>
        <w:tc>
          <w:tcPr/>
          <w:p>
            <w:pPr>
              <w:pStyle w:val="Compact"/>
              <w:jc w:val="left"/>
            </w:pPr>
            <w:r>
              <w:t xml:space="preserve">85 mulheres do leste asiático (43–65 anos), 5 g vs. maltodextrina</w:t>
            </w:r>
          </w:p>
        </w:tc>
        <w:tc>
          <w:tcPr/>
          <w:p>
            <w:pPr>
              <w:pStyle w:val="Compact"/>
              <w:jc w:val="left"/>
            </w:pPr>
            <w:r>
              <w:t xml:space="preserve">12 semanas</w:t>
            </w:r>
          </w:p>
        </w:tc>
        <w:tc>
          <w:tcPr/>
          <w:p>
            <w:pPr>
              <w:pStyle w:val="Compact"/>
              <w:jc w:val="left"/>
            </w:pPr>
            <w:r>
              <w:t xml:space="preserve">Densidade da pele e hidratação melhores que placebo após 84 dias</w:t>
            </w:r>
          </w:p>
        </w:tc>
      </w:tr>
    </w:tbl>
    <w:p>
      <w:pPr>
        <w:pStyle w:val="BodyText"/>
      </w:pPr>
      <w:r>
        <w:t xml:space="preserve">Alguns estudos investigaram também a celulite (105 mulheres, seis meses; melhora sobretudo em mulheres com peso normal, Schunck 2015, PMID 26561784) e unhas quebradiças. O estudo sobre unhas, porém, era aberto e sem grupo de controle: 25 participantes, crescimento das unhas +12%, unhas quebradas −42%</w:t>
      </w:r>
      <w:r>
        <w:rPr>
          <w:rStyle w:val="FootnoteReference"/>
        </w:rPr>
        <w:footnoteReference w:id="2325"/>
      </w:r>
      <w:r>
        <w:t xml:space="preserve">. Sem grupo de comparação, não se pode excluir aqui um efeito placebo.</w:t>
      </w:r>
    </w:p>
    <w:p>
      <w:pPr>
        <w:pStyle w:val="BodyText"/>
      </w:pPr>
      <w:r>
        <w:t xml:space="preserve">Em pacientes com úlceras de pressão (escaras), foi testado, além do tratamento padrão, um colágeno hidrolisado com alta proporção de prolil-hidroxiprolina. Em 120 participantes, a cicatrização das feridas após 16 semanas foi melhor nesse grupo do que com placebo</w:t>
      </w:r>
      <w:r>
        <w:rPr>
          <w:rStyle w:val="FootnoteReference"/>
        </w:rPr>
        <w:footnoteReference w:id="2326"/>
      </w:r>
      <w:r>
        <w:t xml:space="preserve">. Um pequeno estudo de 2026 em dermatite atópica moderada relatou menor consumo de creme de corticoide com 5 g de peptídeos de colágeno (0,94 g contra 5,60 g; Proksch 2026, PMID 41758763); os próprios autores pedem estudos maiores de confirmação.</w:t>
      </w:r>
    </w:p>
    <w:bookmarkEnd w:id="2327"/>
    <w:bookmarkStart w:id="2332" w:name="Xf160eeec1a7dad7b909f4859fb3dd76491739b6"/>
    <w:p>
      <w:pPr>
        <w:pStyle w:val="Heading4"/>
      </w:pPr>
      <w:r>
        <w:t xml:space="preserve">As metanálises sobre a pele – e a questão do financiamento</w:t>
      </w:r>
    </w:p>
    <w:p>
      <w:pPr>
        <w:pStyle w:val="FirstParagraph"/>
      </w:pPr>
      <w:r>
        <w:t xml:space="preserve">Reunindo os estudos sobre a pele, obtém-se à primeira vista um quadro claro:</w:t>
      </w:r>
    </w:p>
    <w:p>
      <w:pPr>
        <w:numPr>
          <w:ilvl w:val="0"/>
          <w:numId w:val="1292"/>
        </w:numPr>
        <w:pStyle w:val="Compact"/>
      </w:pPr>
      <w:r>
        <w:t xml:space="preserve">19 estudos com 1.125 participantes: efeito favorável sobre hidratação, elasticidade e rugas</w:t>
      </w:r>
      <w:r>
        <w:rPr>
          <w:rStyle w:val="FootnoteReference"/>
        </w:rPr>
        <w:footnoteReference w:id="2328"/>
      </w:r>
      <w:r>
        <w:t xml:space="preserve">.</w:t>
      </w:r>
    </w:p>
    <w:p>
      <w:pPr>
        <w:numPr>
          <w:ilvl w:val="0"/>
          <w:numId w:val="1292"/>
        </w:numPr>
        <w:pStyle w:val="Compact"/>
      </w:pPr>
      <w:r>
        <w:t xml:space="preserve">26 estudos com 1.721 participantes: melhora significativa de hidratação e elasticidade; os autores, porém, apontam várias fontes de viés e pedem estudos grandes</w:t>
      </w:r>
      <w:r>
        <w:rPr>
          <w:rStyle w:val="FootnoteReference"/>
        </w:rPr>
        <w:footnoteReference w:id="2329"/>
      </w:r>
      <w:r>
        <w:t xml:space="preserve">.</w:t>
      </w:r>
    </w:p>
    <w:p>
      <w:pPr>
        <w:numPr>
          <w:ilvl w:val="0"/>
          <w:numId w:val="1292"/>
        </w:numPr>
        <w:pStyle w:val="Compact"/>
      </w:pPr>
      <w:r>
        <w:t xml:space="preserve">10 estudos com 646 participantes: hidratação e elasticidade melhoradas, com heterogeneidade média e risco de viés predominantemente incerto</w:t>
      </w:r>
      <w:r>
        <w:rPr>
          <w:rStyle w:val="FootnoteReference"/>
        </w:rPr>
        <w:footnoteReference w:id="2330"/>
      </w:r>
      <w:r>
        <w:t xml:space="preserve">.</w:t>
      </w:r>
    </w:p>
    <w:p>
      <w:pPr>
        <w:pStyle w:val="FirstParagraph"/>
      </w:pPr>
      <w:r>
        <w:t xml:space="preserve">Uma metanálise de 2025 foi um passo além e separou os estudos por financiador e qualidade. Considerando todos os 23 estudos com 1.474 participantes, apareceu novamente uma vantagem. Considerando, porém, apenas os estudos</w:t>
      </w:r>
      <w:r>
        <w:t xml:space="preserve"> </w:t>
      </w:r>
      <w:r>
        <w:rPr>
          <w:iCs/>
          <w:i/>
        </w:rPr>
        <w:t xml:space="preserve">sem</w:t>
      </w:r>
      <w:r>
        <w:t xml:space="preserve"> </w:t>
      </w:r>
      <w:r>
        <w:t xml:space="preserve">financiamento da indústria, o efeito sobre hidratação, elasticidade e rugas desapareceu. Também os estudos metodologicamente de alta qualidade não mostraram efeito significativo em nenhuma categoria; apenas nos estudos de baixa qualidade houve melhora da elasticidade. As autoras e os autores concluem que atualmente não há provas clínicas que sustentem o uso de preparações de colágeno para prevenir ou tratar o envelhecimento da pele</w:t>
      </w:r>
      <w:r>
        <w:rPr>
          <w:rStyle w:val="FootnoteReference"/>
        </w:rPr>
        <w:footnoteReference w:id="2331"/>
      </w:r>
      <w:r>
        <w:t xml:space="preserve">.</w:t>
      </w:r>
    </w:p>
    <w:p>
      <w:pPr>
        <w:pStyle w:val="BodyText"/>
      </w:pPr>
      <w:r>
        <w:t xml:space="preserve">Esse resultado não é um veredito definitivo – o número de estudos independentes é pequeno, e a ausência de significância estatística não significa automaticamente que não haja efeito. Mas mostra o quanto o balanço positivo geral depende de estudos financiados pelos próprios fornecedores. Para você, isso significa: a afirmação</w:t>
      </w:r>
      <w:r>
        <w:t xml:space="preserve"> </w:t>
      </w:r>
      <w:r>
        <w:t xml:space="preserve">“</w:t>
      </w:r>
      <w:r>
        <w:t xml:space="preserve">clinicamente comprovado</w:t>
      </w:r>
      <w:r>
        <w:t xml:space="preserve">”</w:t>
      </w:r>
      <w:r>
        <w:t xml:space="preserve"> </w:t>
      </w:r>
      <w:r>
        <w:t xml:space="preserve">em uma embalagem de colágeno baseia-se, em regra, em estudos do próprio fornecedor da matéria-prima.</w:t>
      </w:r>
    </w:p>
    <w:bookmarkEnd w:id="2332"/>
    <w:bookmarkStart w:id="2338" w:name="articulações-e-artrose"/>
    <w:p>
      <w:pPr>
        <w:pStyle w:val="Heading4"/>
      </w:pPr>
      <w:r>
        <w:t xml:space="preserve">Articulações e artrose</w:t>
      </w:r>
    </w:p>
    <w:p>
      <w:pPr>
        <w:pStyle w:val="FirstParagraph"/>
      </w:pPr>
      <w:r>
        <w:t xml:space="preserve">O segundo grande grupo de estudos refere-se a dores articulares – tanto na artrose quanto em pessoas fisicamente ativas sem diagnóstico.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Clark 2008, PMID 18416885</w:t>
            </w:r>
          </w:p>
        </w:tc>
        <w:tc>
          <w:tcPr/>
          <w:p>
            <w:pPr>
              <w:pStyle w:val="Compact"/>
              <w:jc w:val="left"/>
            </w:pPr>
            <w:r>
              <w:t xml:space="preserve">147 atletas com dores articulares relacionadas ao esforço, 10 g vs. placebo</w:t>
            </w:r>
          </w:p>
        </w:tc>
        <w:tc>
          <w:tcPr/>
          <w:p>
            <w:pPr>
              <w:pStyle w:val="Compact"/>
              <w:jc w:val="left"/>
            </w:pPr>
            <w:r>
              <w:t xml:space="preserve">24 semanas</w:t>
            </w:r>
          </w:p>
        </w:tc>
        <w:tc>
          <w:tcPr/>
          <w:p>
            <w:pPr>
              <w:pStyle w:val="Compact"/>
              <w:jc w:val="left"/>
            </w:pPr>
            <w:r>
              <w:t xml:space="preserve">Vários valores de dor melhores que placebo; apenas 97 de 147 avaliáveis</w:t>
            </w:r>
          </w:p>
        </w:tc>
      </w:tr>
      <w:tr>
        <w:tc>
          <w:tcPr/>
          <w:p>
            <w:pPr>
              <w:pStyle w:val="Compact"/>
              <w:jc w:val="left"/>
            </w:pPr>
            <w:r>
              <w:t xml:space="preserve">Bruyère 2012, PMID 22500661</w:t>
            </w:r>
          </w:p>
        </w:tc>
        <w:tc>
          <w:tcPr/>
          <w:p>
            <w:pPr>
              <w:pStyle w:val="Compact"/>
              <w:jc w:val="left"/>
            </w:pPr>
            <w:r>
              <w:t xml:space="preserve">200 pessoas a partir de 50 anos com dores articulares, 1,2 g vs. placebo</w:t>
            </w:r>
          </w:p>
        </w:tc>
        <w:tc>
          <w:tcPr/>
          <w:p>
            <w:pPr>
              <w:pStyle w:val="Compact"/>
              <w:jc w:val="left"/>
            </w:pPr>
            <w:r>
              <w:t xml:space="preserve">6 meses</w:t>
            </w:r>
          </w:p>
        </w:tc>
        <w:tc>
          <w:tcPr/>
          <w:p>
            <w:pPr>
              <w:pStyle w:val="Compact"/>
              <w:jc w:val="left"/>
            </w:pPr>
            <w:r>
              <w:t xml:space="preserve">Taxa de resposta 51,6% vs. 36,5% após 6 meses; após 3 meses, nenhuma diferença</w:t>
            </w:r>
          </w:p>
        </w:tc>
      </w:tr>
      <w:tr>
        <w:tc>
          <w:tcPr/>
          <w:p>
            <w:pPr>
              <w:pStyle w:val="Compact"/>
              <w:jc w:val="left"/>
            </w:pPr>
            <w:r>
              <w:t xml:space="preserve">Kumar 2015, PMID 24852756</w:t>
            </w:r>
          </w:p>
        </w:tc>
        <w:tc>
          <w:tcPr/>
          <w:p>
            <w:pPr>
              <w:pStyle w:val="Compact"/>
              <w:jc w:val="left"/>
            </w:pPr>
            <w:r>
              <w:t xml:space="preserve">Artrose de joelho, peptídeos de pele suína ou osso bovino vs. placebo</w:t>
            </w:r>
          </w:p>
        </w:tc>
        <w:tc>
          <w:tcPr/>
          <w:p>
            <w:pPr>
              <w:pStyle w:val="Compact"/>
              <w:jc w:val="left"/>
            </w:pPr>
            <w:r>
              <w:t xml:space="preserve">13 semanas</w:t>
            </w:r>
          </w:p>
        </w:tc>
        <w:tc>
          <w:tcPr/>
          <w:p>
            <w:pPr>
              <w:pStyle w:val="Compact"/>
              <w:jc w:val="left"/>
            </w:pPr>
            <w:r>
              <w:t xml:space="preserve">Valores de WOMAC, dor e qualidade de vida melhores que placebo</w:t>
            </w:r>
          </w:p>
        </w:tc>
      </w:tr>
      <w:tr>
        <w:tc>
          <w:tcPr/>
          <w:p>
            <w:pPr>
              <w:pStyle w:val="Compact"/>
              <w:jc w:val="left"/>
            </w:pPr>
            <w:r>
              <w:t xml:space="preserve">Zdzieblik 2017, PMID 28177710</w:t>
            </w:r>
          </w:p>
        </w:tc>
        <w:tc>
          <w:tcPr/>
          <w:p>
            <w:pPr>
              <w:pStyle w:val="Compact"/>
              <w:jc w:val="left"/>
            </w:pPr>
            <w:r>
              <w:t xml:space="preserve">139 atletas com queixas no joelho, 5 g vs. placebo</w:t>
            </w:r>
          </w:p>
        </w:tc>
        <w:tc>
          <w:tcPr/>
          <w:p>
            <w:pPr>
              <w:pStyle w:val="Compact"/>
              <w:jc w:val="left"/>
            </w:pPr>
            <w:r>
              <w:t xml:space="preserve">12 semanas</w:t>
            </w:r>
          </w:p>
        </w:tc>
        <w:tc>
          <w:tcPr/>
          <w:p>
            <w:pPr>
              <w:pStyle w:val="Compact"/>
              <w:jc w:val="left"/>
            </w:pPr>
            <w:r>
              <w:t xml:space="preserve">Dor ao esforço melhor que placebo (p = 0,046); dor em repouso não</w:t>
            </w:r>
          </w:p>
        </w:tc>
      </w:tr>
      <w:tr>
        <w:tc>
          <w:tcPr/>
          <w:p>
            <w:pPr>
              <w:pStyle w:val="Compact"/>
              <w:jc w:val="left"/>
            </w:pPr>
            <w:r>
              <w:t xml:space="preserve">Bongers 2020, PMID 31990581</w:t>
            </w:r>
          </w:p>
        </w:tc>
        <w:tc>
          <w:tcPr/>
          <w:p>
            <w:pPr>
              <w:pStyle w:val="Compact"/>
              <w:jc w:val="left"/>
            </w:pPr>
            <w:r>
              <w:t xml:space="preserve">167 pessoas ativas (mediana 63 anos) com dor no joelho, 10 g vs. placebo</w:t>
            </w:r>
          </w:p>
        </w:tc>
        <w:tc>
          <w:tcPr/>
          <w:p>
            <w:pPr>
              <w:pStyle w:val="Compact"/>
              <w:jc w:val="left"/>
            </w:pPr>
            <w:r>
              <w:t xml:space="preserve">12 semanas</w:t>
            </w:r>
          </w:p>
        </w:tc>
        <w:tc>
          <w:tcPr/>
          <w:p>
            <w:pPr>
              <w:pStyle w:val="Compact"/>
              <w:jc w:val="left"/>
            </w:pPr>
            <w:r>
              <w:t xml:space="preserve">Nenhuma diferença: a dor caiu igualmente nos dois grupos</w:t>
            </w:r>
          </w:p>
        </w:tc>
      </w:tr>
    </w:tbl>
    <w:p>
      <w:pPr>
        <w:pStyle w:val="BodyText"/>
      </w:pPr>
      <w:r>
        <w:t xml:space="preserve">O estudo de Bongers é notável porque está entre os maiores e relata um resultado claramente negativo: a dor e a função do joelho melhoraram – mas com placebo tanto quanto com colágeno. Isso ilustra o tamanho do efeito placebo nas dores articulares.</w:t>
      </w:r>
    </w:p>
    <w:p>
      <w:pPr>
        <w:pStyle w:val="BodyText"/>
      </w:pPr>
      <w:r>
        <w:t xml:space="preserve">Ainda assim, as metanálises chegam predominantemente a um resultado favorável:</w:t>
      </w:r>
    </w:p>
    <w:p>
      <w:pPr>
        <w:numPr>
          <w:ilvl w:val="0"/>
          <w:numId w:val="1293"/>
        </w:numPr>
        <w:pStyle w:val="Compact"/>
      </w:pPr>
      <w:r>
        <w:t xml:space="preserve">Uma metanálise de estudos randomizados controlados por placebo encontrou redução significativa do escore total do WOMAC (um questionário de artrose) e do escore de dor na escala visual analógica; os subitens dor e limitação funcional do WOMAC, porém, não diferiram significativamente</w:t>
      </w:r>
      <w:r>
        <w:rPr>
          <w:rStyle w:val="FootnoteReference"/>
        </w:rPr>
        <w:footnoteReference w:id="2333"/>
      </w:r>
      <w:r>
        <w:t xml:space="preserve">.</w:t>
      </w:r>
    </w:p>
    <w:p>
      <w:pPr>
        <w:numPr>
          <w:ilvl w:val="0"/>
          <w:numId w:val="1293"/>
        </w:numPr>
        <w:pStyle w:val="Compact"/>
      </w:pPr>
      <w:r>
        <w:t xml:space="preserve">A análise mais abrangente até agora incluiu 35 estudos com 3.165 pacientes com artrose. Os derivados de colágeno – aqui, colágeno hidrolisado e não desnaturado foram agrupados – tiveram efeitos pequenos a moderados sobre a dor (diferença média padronizada −0,35) e a função (−0,31). Efeitos colaterais e abandonos de estudo não foram mais frequentes do que no controle</w:t>
      </w:r>
      <w:r>
        <w:rPr>
          <w:rStyle w:val="FootnoteReference"/>
        </w:rPr>
        <w:footnoteReference w:id="2334"/>
      </w:r>
      <w:r>
        <w:t xml:space="preserve">.</w:t>
      </w:r>
    </w:p>
    <w:p>
      <w:pPr>
        <w:numPr>
          <w:ilvl w:val="0"/>
          <w:numId w:val="1293"/>
        </w:numPr>
        <w:pStyle w:val="Compact"/>
      </w:pPr>
      <w:r>
        <w:t xml:space="preserve">Uma análise de apenas quatro estudos com 507 pacientes com artrose de joelho também encontrou alívio da dor, mas classificou todos os quatro estudos como de alto risco de viés</w:t>
      </w:r>
      <w:r>
        <w:rPr>
          <w:rStyle w:val="FootnoteReference"/>
        </w:rPr>
        <w:footnoteReference w:id="2335"/>
      </w:r>
      <w:r>
        <w:t xml:space="preserve">.</w:t>
      </w:r>
    </w:p>
    <w:p>
      <w:pPr>
        <w:numPr>
          <w:ilvl w:val="0"/>
          <w:numId w:val="1293"/>
        </w:numPr>
        <w:pStyle w:val="Compact"/>
      </w:pPr>
      <w:r>
        <w:t xml:space="preserve">Uma metanálise atualizada com 11 estudos e 870 participantes relatou melhoras de função e dor, porém com heterogeneidade muito alta (I² 75 e 88%)</w:t>
      </w:r>
      <w:r>
        <w:rPr>
          <w:rStyle w:val="FootnoteReference"/>
        </w:rPr>
        <w:footnoteReference w:id="2336"/>
      </w:r>
      <w:r>
        <w:t xml:space="preserve">.</w:t>
      </w:r>
    </w:p>
    <w:p>
      <w:pPr>
        <w:pStyle w:val="FirstParagraph"/>
      </w:pPr>
      <w:r>
        <w:t xml:space="preserve">Para contextualizar: uma diferença média padronizada de cerca de 0,3 é considerada um efeito pequeno. Ela está em uma ordem de grandeza semelhante à de alguns outros suplementos alimentares para artrose e é bem menor do que o efeito esperado de um analgésico. Uma grande revisão sobre suplementos alimentares na artrose encontrou para o colágeno hidrolisado grandes efeitos de curto prazo sobre a dor, mas concluiu no geral que a qualidade da evidência é muito baixa e que nenhuma preparação mostrou efeitos clinicamente relevantes a longo prazo</w:t>
      </w:r>
      <w:r>
        <w:rPr>
          <w:rStyle w:val="FootnoteReference"/>
        </w:rPr>
        <w:footnoteReference w:id="2337"/>
      </w:r>
      <w:r>
        <w:t xml:space="preserve">.</w:t>
      </w:r>
    </w:p>
    <w:bookmarkEnd w:id="2338"/>
    <w:bookmarkStart w:id="2341" w:name="X737b453bcb91247592582c1c18ebd5071f332ef"/>
    <w:p>
      <w:pPr>
        <w:pStyle w:val="Heading4"/>
      </w:pPr>
      <w:r>
        <w:t xml:space="preserve">Delimitação: colágeno tipo II não desnaturado (UC-II)</w:t>
      </w:r>
    </w:p>
    <w:p>
      <w:pPr>
        <w:pStyle w:val="FirstParagraph"/>
      </w:pPr>
      <w:r>
        <w:t xml:space="preserve">O colágeno tipo II não desnaturado é obtido de forma cuidadosa a partir da cartilagem do peito de frango, de modo que a estrutura original do colágeno é parcialmente preservada. Ele é ingerido em quantidades muito pequenas – nos estudos, 40 miligramas por dia, ou seja, cerca de um centésimo a um duzentos e cinquenta avos das quantidades em gramas do colágeno hidrolisado. Ele não deve agir como matéria-prima, mas pela chamada tolerância oral: o sistema imunológico do intestino aprenderia a não tratar o colágeno da cartilagem como alvo de ataque. Essa ideia vem de modelos animais de inflamação articular.</w:t>
      </w:r>
    </w:p>
    <w:p>
      <w:pPr>
        <w:pStyle w:val="BodyText"/>
      </w:pPr>
      <w:r>
        <w:t xml:space="preserve">Historicamente, o princípio foi testado primeiro na artrite reumatoide. Um pequeno estudo com 60 pacientes relatou em 1993 uma redução de articulações inchadas e dolorosas à pressão</w:t>
      </w:r>
      <w:r>
        <w:rPr>
          <w:rStyle w:val="FootnoteReference"/>
        </w:rPr>
        <w:footnoteReference w:id="2339"/>
      </w:r>
      <w:r>
        <w:t xml:space="preserve">. Um estudo maior, com 274 participantes e quatro doses, encontrou depois uma vantagem significativa apenas na dose mais baixa e apenas segundo um de três critérios de avaliação</w:t>
      </w:r>
      <w:r>
        <w:rPr>
          <w:rStyle w:val="FootnoteReference"/>
        </w:rPr>
        <w:footnoteReference w:id="2340"/>
      </w:r>
      <w:r>
        <w:t xml:space="preserve">. Como terapia reumatológica, a abordagem não se estabeleceu.</w:t>
      </w:r>
    </w:p>
    <w:p>
      <w:pPr>
        <w:pStyle w:val="BodyText"/>
      </w:pPr>
      <w:r>
        <w:t xml:space="preserve">Para artrose e queixas articulares, há sobretudo estudos próximos aos fabricantes: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Lugo 2016, PMID 26822714</w:t>
            </w:r>
          </w:p>
        </w:tc>
        <w:tc>
          <w:tcPr/>
          <w:p>
            <w:pPr>
              <w:pStyle w:val="Compact"/>
              <w:jc w:val="left"/>
            </w:pPr>
            <w:r>
              <w:t xml:space="preserve">191 pessoas com artrose de joelho, UC-II vs. glucosamina/condroitina vs. placebo</w:t>
            </w:r>
          </w:p>
        </w:tc>
        <w:tc>
          <w:tcPr/>
          <w:p>
            <w:pPr>
              <w:pStyle w:val="Compact"/>
              <w:jc w:val="left"/>
            </w:pPr>
            <w:r>
              <w:t xml:space="preserve">180 dias</w:t>
            </w:r>
          </w:p>
        </w:tc>
        <w:tc>
          <w:tcPr/>
          <w:p>
            <w:pPr>
              <w:pStyle w:val="Compact"/>
              <w:jc w:val="left"/>
            </w:pPr>
            <w:r>
              <w:t xml:space="preserve">Escore total do WOMAC melhor que placebo (p = 0,002) e que glucosamina/condroitina (p = 0,04)</w:t>
            </w:r>
          </w:p>
        </w:tc>
      </w:tr>
      <w:tr>
        <w:tc>
          <w:tcPr/>
          <w:p>
            <w:pPr>
              <w:pStyle w:val="Compact"/>
              <w:jc w:val="left"/>
            </w:pPr>
            <w:r>
              <w:t xml:space="preserve">Lugo 2013, PMID 24153020</w:t>
            </w:r>
          </w:p>
        </w:tc>
        <w:tc>
          <w:tcPr/>
          <w:p>
            <w:pPr>
              <w:pStyle w:val="Compact"/>
              <w:jc w:val="left"/>
            </w:pPr>
            <w:r>
              <w:t xml:space="preserve">55 pessoas saudáveis com dor no joelho relacionada ao esforço, UC-II vs. placebo</w:t>
            </w:r>
          </w:p>
        </w:tc>
        <w:tc>
          <w:tcPr/>
          <w:p>
            <w:pPr>
              <w:pStyle w:val="Compact"/>
              <w:jc w:val="left"/>
            </w:pPr>
            <w:r>
              <w:t xml:space="preserve">120 dias</w:t>
            </w:r>
          </w:p>
        </w:tc>
        <w:tc>
          <w:tcPr/>
          <w:p>
            <w:pPr>
              <w:pStyle w:val="Compact"/>
              <w:jc w:val="left"/>
            </w:pPr>
            <w:r>
              <w:t xml:space="preserve">Extensão do joelho 81,0° vs. 74,0°; esforço sem dor mais longo</w:t>
            </w:r>
          </w:p>
        </w:tc>
      </w:tr>
      <w:tr>
        <w:tc>
          <w:tcPr/>
          <w:p>
            <w:pPr>
              <w:pStyle w:val="Compact"/>
              <w:jc w:val="left"/>
            </w:pPr>
            <w:r>
              <w:t xml:space="preserve">Yuenyongviwat 2025, PMID 40897777</w:t>
            </w:r>
          </w:p>
        </w:tc>
        <w:tc>
          <w:tcPr/>
          <w:p>
            <w:pPr>
              <w:pStyle w:val="Compact"/>
              <w:jc w:val="left"/>
            </w:pPr>
            <w:r>
              <w:t xml:space="preserve">68 pessoas com artrose de joelho, UC-II mais colágeno hidrolisado vs. placebo</w:t>
            </w:r>
          </w:p>
        </w:tc>
        <w:tc>
          <w:tcPr/>
          <w:p>
            <w:pPr>
              <w:pStyle w:val="Compact"/>
              <w:jc w:val="left"/>
            </w:pPr>
            <w:r>
              <w:t xml:space="preserve">12 semanas</w:t>
            </w:r>
          </w:p>
        </w:tc>
        <w:tc>
          <w:tcPr/>
          <w:p>
            <w:pPr>
              <w:pStyle w:val="Compact"/>
              <w:jc w:val="left"/>
            </w:pPr>
            <w:r>
              <w:t xml:space="preserve">Nenhuma diferença em dor, função, medicação de resgate</w:t>
            </w:r>
          </w:p>
        </w:tc>
      </w:tr>
    </w:tbl>
    <w:p>
      <w:pPr>
        <w:pStyle w:val="BodyText"/>
      </w:pPr>
      <w:r>
        <w:t xml:space="preserve">O estudo mais recente vem de um grupo de trabalho independente, que aponta expressamente que a maioria dos estudos anteriores sobre colágeno foi financiada pela indústria. Ele encontrou – como Bongers 2020 – melhoras nos dois grupos, mas nenhuma vantagem em relação ao placebo (Yuenyongviwat 2025, PMID 40897777, registrado como NCT06229951).</w:t>
      </w:r>
    </w:p>
    <w:p>
      <w:pPr>
        <w:pStyle w:val="BodyText"/>
      </w:pPr>
      <w:r>
        <w:t xml:space="preserve">Importante para consumidoras e consumidores: UC-II e colágeno hidrolisado não são intercambiáveis. Quem lê estudos sobre um produto não pode deduzir deles nada sobre o outro.</w:t>
      </w:r>
    </w:p>
    <w:bookmarkEnd w:id="2341"/>
    <w:bookmarkStart w:id="2342" w:name="ossos"/>
    <w:p>
      <w:pPr>
        <w:pStyle w:val="Heading4"/>
      </w:pPr>
      <w:r>
        <w:t xml:space="preserve">Ossos</w:t>
      </w:r>
    </w:p>
    <w:p>
      <w:pPr>
        <w:pStyle w:val="FirstParagraph"/>
      </w:pPr>
      <w:r>
        <w:t xml:space="preserve">Nos ossos, os dados são escassos, mas interessantes: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König 2018, PMID 29337906</w:t>
            </w:r>
          </w:p>
        </w:tc>
        <w:tc>
          <w:tcPr/>
          <w:p>
            <w:pPr>
              <w:pStyle w:val="Compact"/>
              <w:jc w:val="left"/>
            </w:pPr>
            <w:r>
              <w:t xml:space="preserve">131 mulheres na pós-menopausa com densidade óssea reduzida, 5 g vs. placebo</w:t>
            </w:r>
          </w:p>
        </w:tc>
        <w:tc>
          <w:tcPr/>
          <w:p>
            <w:pPr>
              <w:pStyle w:val="Compact"/>
              <w:jc w:val="left"/>
            </w:pPr>
            <w:r>
              <w:t xml:space="preserve">12 meses</w:t>
            </w:r>
          </w:p>
        </w:tc>
        <w:tc>
          <w:tcPr/>
          <w:p>
            <w:pPr>
              <w:pStyle w:val="Compact"/>
              <w:jc w:val="left"/>
            </w:pPr>
            <w:r>
              <w:t xml:space="preserve">T-score da coluna +0,1 vs. −0,03; colo do fêmur +0,09 vs. −0,01</w:t>
            </w:r>
          </w:p>
        </w:tc>
      </w:tr>
      <w:tr>
        <w:tc>
          <w:tcPr/>
          <w:p>
            <w:pPr>
              <w:pStyle w:val="Compact"/>
              <w:jc w:val="left"/>
            </w:pPr>
            <w:r>
              <w:t xml:space="preserve">Elam 2015, PMID 25314004</w:t>
            </w:r>
          </w:p>
        </w:tc>
        <w:tc>
          <w:tcPr/>
          <w:p>
            <w:pPr>
              <w:pStyle w:val="Compact"/>
              <w:jc w:val="left"/>
            </w:pPr>
            <w:r>
              <w:t xml:space="preserve">39 mulheres com osteopenia, quelato de cálcio-colágeno mais vitamina D vs. cálcio mais vitamina D</w:t>
            </w:r>
          </w:p>
        </w:tc>
        <w:tc>
          <w:tcPr/>
          <w:p>
            <w:pPr>
              <w:pStyle w:val="Compact"/>
              <w:jc w:val="left"/>
            </w:pPr>
            <w:r>
              <w:t xml:space="preserve">12 meses</w:t>
            </w:r>
          </w:p>
        </w:tc>
        <w:tc>
          <w:tcPr/>
          <w:p>
            <w:pPr>
              <w:pStyle w:val="Compact"/>
              <w:jc w:val="left"/>
            </w:pPr>
            <w:r>
              <w:t xml:space="preserve">Perda de densidade óssea de corpo inteiro −1,33% vs. −3,75% (concluintes do estudo)</w:t>
            </w:r>
          </w:p>
        </w:tc>
      </w:tr>
      <w:tr>
        <w:tc>
          <w:tcPr/>
          <w:p>
            <w:pPr>
              <w:pStyle w:val="Compact"/>
              <w:jc w:val="left"/>
            </w:pPr>
            <w:r>
              <w:t xml:space="preserve">Lampropoulou-Adamidou 2022, PMID 34980546</w:t>
            </w:r>
          </w:p>
        </w:tc>
        <w:tc>
          <w:tcPr/>
          <w:p>
            <w:pPr>
              <w:pStyle w:val="Compact"/>
              <w:jc w:val="left"/>
            </w:pPr>
            <w:r>
              <w:t xml:space="preserve">51 mulheres com osteopenia, 5 g de peptídeos mais cálcio/vitamina D vs. cálcio/vitamina D</w:t>
            </w:r>
          </w:p>
        </w:tc>
        <w:tc>
          <w:tcPr/>
          <w:p>
            <w:pPr>
              <w:pStyle w:val="Compact"/>
              <w:jc w:val="left"/>
            </w:pPr>
            <w:r>
              <w:t xml:space="preserve">12 meses</w:t>
            </w:r>
          </w:p>
        </w:tc>
        <w:tc>
          <w:tcPr/>
          <w:p>
            <w:pPr>
              <w:pStyle w:val="Compact"/>
              <w:jc w:val="left"/>
            </w:pPr>
            <w:r>
              <w:t xml:space="preserve">Maior densidade óssea na tíbia e na coluna lombar com colágeno</w:t>
            </w:r>
          </w:p>
        </w:tc>
      </w:tr>
    </w:tbl>
    <w:p>
      <w:pPr>
        <w:pStyle w:val="BodyText"/>
      </w:pPr>
      <w:r>
        <w:t xml:space="preserve">As diferenças são pequenas, os estudos são curtos, e nenhum estudo investigou fraturas ósseas – o desfecho realmente decisivo. Os peptídeos de colágeno não substituem uma terapia para osteoporose com redução comprovada de fraturas.</w:t>
      </w:r>
    </w:p>
    <w:bookmarkEnd w:id="2342"/>
    <w:bookmarkStart w:id="2349" w:name="músculos-e-tendões"/>
    <w:p>
      <w:pPr>
        <w:pStyle w:val="Heading4"/>
      </w:pPr>
      <w:r>
        <w:t xml:space="preserve">Músculos e tendões</w:t>
      </w:r>
    </w:p>
    <w:p>
      <w:pPr>
        <w:pStyle w:val="FirstParagraph"/>
      </w:pPr>
      <w:r>
        <w:t xml:space="preserve">No esporte, os peptídeos de colágeno são promovidos para dois objetivos diferentes: ganho muscular e fortalecimento de tendões e ligamentos.</w:t>
      </w:r>
    </w:p>
    <w:p>
      <w:pPr>
        <w:pStyle w:val="BodyText"/>
      </w:pPr>
      <w:r>
        <w:rPr>
          <w:bCs/>
          <w:b/>
        </w:rPr>
        <w:t xml:space="preserve">Ganho muscular.</w:t>
      </w:r>
      <w:r>
        <w:t xml:space="preserve"> </w:t>
      </w:r>
      <w:r>
        <w:t xml:space="preserve">O estudo mais citado investigou 53 homens idosos com sarcopenia (perda muscular relacionada à idade), que fizeram treino de força durante doze semanas e receberam 15 g de peptídeos de colágeno ou placebo (dióxido de silício). A massa magra aumentou 4,2 kg com colágeno e 2,9 kg com placebo</w:t>
      </w:r>
      <w:r>
        <w:rPr>
          <w:rStyle w:val="FootnoteReference"/>
        </w:rPr>
        <w:footnoteReference w:id="2343"/>
      </w:r>
      <w:r>
        <w:t xml:space="preserve">. O problema: o grupo placebo não recebeu proteína nenhuma. A vantagem poderia, portanto, dever-se simplesmente ao aporte adicional de proteína.</w:t>
      </w:r>
    </w:p>
    <w:p>
      <w:pPr>
        <w:pStyle w:val="BodyText"/>
      </w:pPr>
      <w:r>
        <w:t xml:space="preserve">Exatamente essa questão é respondida por comparações com proteína de alta qualidade. Em 22 mulheres idosas, a proteína do soro do leite (whey) aumentou a síntese de proteína muscular tanto a curto prazo quanto ao longo de seis dias, e os peptídeos de colágeno não</w:t>
      </w:r>
      <w:r>
        <w:rPr>
          <w:rStyle w:val="FootnoteReference"/>
        </w:rPr>
        <w:footnoteReference w:id="2344"/>
      </w:r>
      <w:r>
        <w:t xml:space="preserve">. Em adultos jovens, a espessura muscular aumentou mais após dez semanas de treino de força com whey do que com colágeno, mesmo quando o colágeno foi enriquecido com leucina até o mesmo teor</w:t>
      </w:r>
      <w:r>
        <w:rPr>
          <w:rStyle w:val="FootnoteReference"/>
        </w:rPr>
        <w:footnoteReference w:id="2345"/>
      </w:r>
      <w:r>
        <w:t xml:space="preserve">. Um estudo com 25 homens jovens não encontrou, com 2 × 15 g de colágeno por dia, maior síntese de proteína muscular ou de tecido conjuntivo do que com placebo</w:t>
      </w:r>
      <w:r>
        <w:rPr>
          <w:rStyle w:val="FootnoteReference"/>
        </w:rPr>
        <w:footnoteReference w:id="2346"/>
      </w:r>
      <w:r>
        <w:t xml:space="preserve">.</w:t>
      </w:r>
    </w:p>
    <w:p>
      <w:pPr>
        <w:pStyle w:val="BodyText"/>
      </w:pPr>
      <w:r>
        <w:rPr>
          <w:bCs/>
          <w:b/>
        </w:rPr>
        <w:t xml:space="preserve">Tendões.</w:t>
      </w:r>
      <w:r>
        <w:t xml:space="preserve"> </w:t>
      </w:r>
      <w:r>
        <w:t xml:space="preserve">Aqui os resultados são contraditórios: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Jerger 2023, PMID 37424319</w:t>
            </w:r>
          </w:p>
        </w:tc>
        <w:tc>
          <w:tcPr/>
          <w:p>
            <w:pPr>
              <w:pStyle w:val="Compact"/>
              <w:jc w:val="left"/>
            </w:pPr>
            <w:r>
              <w:t xml:space="preserve">50 homens, treino de força mais 5 g vs. placebo</w:t>
            </w:r>
          </w:p>
        </w:tc>
        <w:tc>
          <w:tcPr/>
          <w:p>
            <w:pPr>
              <w:pStyle w:val="Compact"/>
              <w:jc w:val="left"/>
            </w:pPr>
            <w:r>
              <w:t xml:space="preserve">14 semanas</w:t>
            </w:r>
          </w:p>
        </w:tc>
        <w:tc>
          <w:tcPr/>
          <w:p>
            <w:pPr>
              <w:pStyle w:val="Compact"/>
              <w:jc w:val="left"/>
            </w:pPr>
            <w:r>
              <w:t xml:space="preserve">Área de secção transversal do tendão patelar aumentada mais intensamente; rigidez e força sem diferença entre grupos</w:t>
            </w:r>
          </w:p>
        </w:tc>
      </w:tr>
      <w:tr>
        <w:tc>
          <w:tcPr/>
          <w:p>
            <w:pPr>
              <w:pStyle w:val="Compact"/>
              <w:jc w:val="left"/>
            </w:pPr>
            <w:r>
              <w:t xml:space="preserve">Balshaw 2023, PMID 37436929</w:t>
            </w:r>
          </w:p>
        </w:tc>
        <w:tc>
          <w:tcPr/>
          <w:p>
            <w:pPr>
              <w:pStyle w:val="Compact"/>
              <w:jc w:val="left"/>
            </w:pPr>
            <w:r>
              <w:t xml:space="preserve">39 homens jovens, treino de força mais 15 g vs. placebo</w:t>
            </w:r>
          </w:p>
        </w:tc>
        <w:tc>
          <w:tcPr/>
          <w:p>
            <w:pPr>
              <w:pStyle w:val="Compact"/>
              <w:jc w:val="left"/>
            </w:pPr>
            <w:r>
              <w:t xml:space="preserve">15 semanas</w:t>
            </w:r>
          </w:p>
        </w:tc>
        <w:tc>
          <w:tcPr/>
          <w:p>
            <w:pPr>
              <w:pStyle w:val="Compact"/>
              <w:jc w:val="left"/>
            </w:pPr>
            <w:r>
              <w:t xml:space="preserve">Nenhuma diferença no tamanho ou na mecânica do tendão</w:t>
            </w:r>
          </w:p>
        </w:tc>
      </w:tr>
      <w:tr>
        <w:tc>
          <w:tcPr/>
          <w:p>
            <w:pPr>
              <w:pStyle w:val="Compact"/>
              <w:jc w:val="left"/>
            </w:pPr>
            <w:r>
              <w:t xml:space="preserve">Miyamoto 2025, PMID 40623147</w:t>
            </w:r>
          </w:p>
        </w:tc>
        <w:tc>
          <w:tcPr/>
          <w:p>
            <w:pPr>
              <w:pStyle w:val="Compact"/>
              <w:jc w:val="left"/>
            </w:pPr>
            <w:r>
              <w:t xml:space="preserve">50 homens não treinados, 10 g vs. placebo</w:t>
            </w:r>
          </w:p>
        </w:tc>
        <w:tc>
          <w:tcPr/>
          <w:p>
            <w:pPr>
              <w:pStyle w:val="Compact"/>
              <w:jc w:val="left"/>
            </w:pPr>
            <w:r>
              <w:t xml:space="preserve">16 semanas</w:t>
            </w:r>
          </w:p>
        </w:tc>
        <w:tc>
          <w:tcPr/>
          <w:p>
            <w:pPr>
              <w:pStyle w:val="Compact"/>
              <w:jc w:val="left"/>
            </w:pPr>
            <w:r>
              <w:t xml:space="preserve">Rigidez do músculo da panturrilha e do tendão de Aquiles aumentada; área de secção transversal inalterada</w:t>
            </w:r>
          </w:p>
        </w:tc>
      </w:tr>
      <w:tr>
        <w:tc>
          <w:tcPr/>
          <w:p>
            <w:pPr>
              <w:pStyle w:val="Compact"/>
              <w:jc w:val="left"/>
            </w:pPr>
            <w:r>
              <w:t xml:space="preserve">Praet 2019, PMID 30609761</w:t>
            </w:r>
          </w:p>
        </w:tc>
        <w:tc>
          <w:tcPr/>
          <w:p>
            <w:pPr>
              <w:pStyle w:val="Compact"/>
              <w:jc w:val="left"/>
            </w:pPr>
            <w:r>
              <w:t xml:space="preserve">20 pessoas com queixas no tendão de Aquiles, estudo cruzado com treino</w:t>
            </w:r>
          </w:p>
        </w:tc>
        <w:tc>
          <w:tcPr/>
          <w:p>
            <w:pPr>
              <w:pStyle w:val="Compact"/>
              <w:jc w:val="left"/>
            </w:pPr>
            <w:r>
              <w:t xml:space="preserve">6 meses</w:t>
            </w:r>
          </w:p>
        </w:tc>
        <w:tc>
          <w:tcPr/>
          <w:p>
            <w:pPr>
              <w:pStyle w:val="Compact"/>
              <w:jc w:val="left"/>
            </w:pPr>
            <w:r>
              <w:t xml:space="preserve">Melhora mais rápida no questionário de queixas na fase com colágeno (estudo-piloto)</w:t>
            </w:r>
          </w:p>
        </w:tc>
      </w:tr>
      <w:tr>
        <w:tc>
          <w:tcPr/>
          <w:p>
            <w:pPr>
              <w:pStyle w:val="Compact"/>
              <w:jc w:val="left"/>
            </w:pPr>
            <w:r>
              <w:t xml:space="preserve">Dressler 2018, PMID 29769831</w:t>
            </w:r>
          </w:p>
        </w:tc>
        <w:tc>
          <w:tcPr/>
          <w:p>
            <w:pPr>
              <w:pStyle w:val="Compact"/>
              <w:jc w:val="left"/>
            </w:pPr>
            <w:r>
              <w:t xml:space="preserve">50 atletas com instabilidade crônica do tornozelo, 5 g vs. placebo</w:t>
            </w:r>
          </w:p>
        </w:tc>
        <w:tc>
          <w:tcPr/>
          <w:p>
            <w:pPr>
              <w:pStyle w:val="Compact"/>
              <w:jc w:val="left"/>
            </w:pPr>
            <w:r>
              <w:t xml:space="preserve">6 meses</w:t>
            </w:r>
          </w:p>
        </w:tc>
        <w:tc>
          <w:tcPr/>
          <w:p>
            <w:pPr>
              <w:pStyle w:val="Compact"/>
              <w:jc w:val="left"/>
            </w:pPr>
            <w:r>
              <w:t xml:space="preserve">Estabilidade subjetiva melhor; estabilidade mecânica inalterada</w:t>
            </w:r>
          </w:p>
        </w:tc>
      </w:tr>
    </w:tbl>
    <w:p>
      <w:pPr>
        <w:pStyle w:val="BodyText"/>
      </w:pPr>
      <w:r>
        <w:t xml:space="preserve">Uma metanálise de 19 estudos com 768 adultos saudáveis encontrou, com ingestão de colágeno de longo prazo combinada com treino, pequenas vantagens em massa magra, morfologia dos tendões, arquitetura muscular e força máxima. A confiabilidade da evidência foi avaliada como moderada para a composição corporal, muito baixa para a morfologia dos tendões e baixa para os demais resultados</w:t>
      </w:r>
      <w:r>
        <w:rPr>
          <w:rStyle w:val="FootnoteReference"/>
        </w:rPr>
        <w:footnoteReference w:id="2347"/>
      </w:r>
      <w:r>
        <w:t xml:space="preserve">. Uma revisão sistemática anterior concluiu que, na síntese de proteína muscular, o colágeno não se equipara a fontes de proteína de maior qualidade</w:t>
      </w:r>
      <w:r>
        <w:rPr>
          <w:rStyle w:val="FootnoteReference"/>
        </w:rPr>
        <w:footnoteReference w:id="2348"/>
      </w:r>
      <w:r>
        <w:t xml:space="preserve">.</w:t>
      </w:r>
    </w:p>
    <w:p>
      <w:pPr>
        <w:pStyle w:val="BodyText"/>
      </w:pPr>
      <w:r>
        <w:rPr>
          <w:bCs/>
          <w:b/>
        </w:rPr>
        <w:t xml:space="preserve">Balanço parcial sobre esporte:</w:t>
      </w:r>
      <w:r>
        <w:t xml:space="preserve"> </w:t>
      </w:r>
      <w:r>
        <w:t xml:space="preserve">para o ganho muscular, há fontes de proteína melhores e mais baratas. Para tendões e ligamentos, um benefício é biologicamente plausível e é sugerido em alguns estudos, mas não está comprovado de forma sólida.</w:t>
      </w:r>
    </w:p>
    <w:bookmarkEnd w:id="2349"/>
    <w:bookmarkStart w:id="2351" w:name="outras-áreas-de-aplicação"/>
    <w:p>
      <w:pPr>
        <w:pStyle w:val="Heading4"/>
      </w:pPr>
      <w:r>
        <w:t xml:space="preserve">Outras áreas de aplicação</w:t>
      </w:r>
    </w:p>
    <w:p>
      <w:pPr>
        <w:pStyle w:val="FirstParagraph"/>
      </w:pPr>
      <w:r>
        <w:t xml:space="preserve">Em estudos menores, os peptídeos de colágeno foram investigados, entre outros, em pressão arterial e função vascular, sono, apetite, gengivite e queixas intestinais. Uma metanálise de 12 estudos controlados por placebo relatou redução da pressão sistólica de 5,04 mmHg e do colesterol LDL de 4,09 mg/dl, porém com heterogeneidade extremamente alta dos estudos individuais (I² 98,9 e 93,4%)</w:t>
      </w:r>
      <w:r>
        <w:rPr>
          <w:rStyle w:val="FootnoteReference"/>
        </w:rPr>
        <w:footnoteReference w:id="2350"/>
      </w:r>
      <w:r>
        <w:t xml:space="preserve">. Esses campos são pouco estudados demais para permitir afirmações sólidas.</w:t>
      </w:r>
    </w:p>
    <w:bookmarkEnd w:id="2351"/>
    <w:bookmarkEnd w:id="2352"/>
    <w:bookmarkStart w:id="2356" w:name="estudos-em-animais-e-em-laboratório-52"/>
    <w:p>
      <w:pPr>
        <w:pStyle w:val="Heading3"/>
      </w:pPr>
      <w:r>
        <w:t xml:space="preserve">Estudos em animais e em laboratório</w:t>
      </w:r>
    </w:p>
    <w:p>
      <w:pPr>
        <w:pStyle w:val="FirstParagraph"/>
      </w:pPr>
      <w:r>
        <w:t xml:space="preserve">Em culturas de células, peptídeos de colágeno e, em especial, a prolil-hidroxiprolina estimulam o crescimento de fibroblastos da pele; em camundongos e ratos, melhoraram em experimentos a barreira cutânea, a densidade óssea e o metabolismo da cartilagem. Em amostras de pele humana em laboratório (ex vivo), os peptídeos de colágeno favoreceram a formação de colágeno e glicosaminoglicanos</w:t>
      </w:r>
      <w:r>
        <w:rPr>
          <w:rStyle w:val="FootnoteReference"/>
        </w:rPr>
        <w:footnoteReference w:id="2353"/>
      </w:r>
      <w:r>
        <w:t xml:space="preserve">. Uma revisão sistemática de onze estudos predominantemente experimentais concluiu que hidrolisados de colágeno, em concentrações de 50 a 500 microgramas por mililitro, estimulam fibroblastos sem efeito tóxico</w:t>
      </w:r>
      <w:r>
        <w:rPr>
          <w:rStyle w:val="FootnoteReference"/>
        </w:rPr>
        <w:footnoteReference w:id="2354"/>
      </w:r>
      <w:r>
        <w:t xml:space="preserve">. Em experimentos com roedores sob alimentação hipercalórica, uma metanálise descreveu efeitos sobre peso e massa gorda</w:t>
      </w:r>
      <w:r>
        <w:rPr>
          <w:rStyle w:val="FootnoteReference"/>
        </w:rPr>
        <w:footnoteReference w:id="2355"/>
      </w:r>
      <w:r>
        <w:t xml:space="preserve"> </w:t>
      </w:r>
      <w:r>
        <w:t xml:space="preserve">– um achado não comprovado em humanos.</w:t>
      </w:r>
    </w:p>
    <w:p>
      <w:pPr>
        <w:pStyle w:val="BodyText"/>
      </w:pPr>
      <w:r>
        <w:t xml:space="preserve">Esses resultados tornam as hipóteses plausíveis. Mas não provam que as concentrações de peptídeos alcançadas em humanos após a ingestão bastem no tecido-alvo.</w:t>
      </w:r>
    </w:p>
    <w:bookmarkEnd w:id="2356"/>
    <w:bookmarkStart w:id="2359" w:name="riscos-e-efeitos-colaterais-52"/>
    <w:p>
      <w:pPr>
        <w:pStyle w:val="Heading3"/>
      </w:pPr>
      <w:r>
        <w:t xml:space="preserve">Riscos e efeitos colaterais</w:t>
      </w:r>
    </w:p>
    <w:p>
      <w:pPr>
        <w:pStyle w:val="FirstParagraph"/>
      </w:pPr>
      <w:r>
        <w:rPr>
          <w:bCs/>
          <w:b/>
        </w:rPr>
        <w:t xml:space="preserve">Comprovados:</w:t>
      </w:r>
      <w:r>
        <w:t xml:space="preserve"> </w:t>
      </w:r>
      <w:r>
        <w:t xml:space="preserve">nos estudos randomizados, os efeitos colaterais não foram mais frequentes do que com placebo. A grande metanálise sobre artrose não encontrou risco aumentado de eventos adversos ou abandonos de estudo</w:t>
      </w:r>
      <w:r>
        <w:rPr>
          <w:rStyle w:val="FootnoteReference"/>
        </w:rPr>
        <w:footnoteReference w:id="2357"/>
      </w:r>
      <w:r>
        <w:t xml:space="preserve">. Ocasionalmente são relatados sensação de plenitude, gases ou um sabor desagradável.</w:t>
      </w:r>
    </w:p>
    <w:p>
      <w:pPr>
        <w:pStyle w:val="BodyText"/>
      </w:pPr>
      <w:r>
        <w:rPr>
          <w:bCs/>
          <w:b/>
        </w:rPr>
        <w:t xml:space="preserve">A considerar:</w:t>
      </w:r>
    </w:p>
    <w:p>
      <w:pPr>
        <w:numPr>
          <w:ilvl w:val="0"/>
          <w:numId w:val="1294"/>
        </w:numPr>
        <w:pStyle w:val="Compact"/>
      </w:pPr>
      <w:r>
        <w:rPr>
          <w:bCs/>
          <w:b/>
        </w:rPr>
        <w:t xml:space="preserve">Alergias e intolerâncias:</w:t>
      </w:r>
      <w:r>
        <w:t xml:space="preserve"> </w:t>
      </w:r>
      <w:r>
        <w:t xml:space="preserve">o colágeno de peixe pode ser problemático em caso de alergia a peixe; produtos de origem bovina ou suína são relevantes para pessoas que evitam esses animais por motivos religiosos ou éticos. A origem consta na lista de ingredientes.</w:t>
      </w:r>
    </w:p>
    <w:p>
      <w:pPr>
        <w:numPr>
          <w:ilvl w:val="0"/>
          <w:numId w:val="1294"/>
        </w:numPr>
        <w:pStyle w:val="Compact"/>
      </w:pPr>
      <w:r>
        <w:rPr>
          <w:bCs/>
          <w:b/>
        </w:rPr>
        <w:t xml:space="preserve">Oxalato e cálculos renais:</w:t>
      </w:r>
      <w:r>
        <w:t xml:space="preserve"> </w:t>
      </w:r>
      <w:r>
        <w:t xml:space="preserve">a hidroxiprolina é em parte degradada a oxalato no corpo. Em um estudo, a excreção de oxalato na urina aumentou 43% após 30 g de gelatina por dia em comparação com whey; já 5 a 10 g de gelatina levaram a alterações mensuráveis</w:t>
      </w:r>
      <w:r>
        <w:rPr>
          <w:rStyle w:val="FootnoteReference"/>
        </w:rPr>
        <w:footnoteReference w:id="2358"/>
      </w:r>
      <w:r>
        <w:t xml:space="preserve">. Para pessoas saudáveis, o significado é incerto. Pessoas com cálculos renais de oxalato de cálcio ou hiperoxalúria congênita devem discutir a ingestão com um médico (risco teórico, mas biologicamente fundamentado).</w:t>
      </w:r>
    </w:p>
    <w:p>
      <w:pPr>
        <w:numPr>
          <w:ilvl w:val="0"/>
          <w:numId w:val="1294"/>
        </w:numPr>
        <w:pStyle w:val="Compact"/>
      </w:pPr>
      <w:r>
        <w:rPr>
          <w:bCs/>
          <w:b/>
        </w:rPr>
        <w:t xml:space="preserve">Quantidade de proteína:</w:t>
      </w:r>
      <w:r>
        <w:t xml:space="preserve"> </w:t>
      </w:r>
      <w:r>
        <w:t xml:space="preserve">em doenças renais com restrição de proteína, o colágeno também conta na ingestão diária de proteína.</w:t>
      </w:r>
    </w:p>
    <w:p>
      <w:pPr>
        <w:numPr>
          <w:ilvl w:val="0"/>
          <w:numId w:val="1294"/>
        </w:numPr>
        <w:pStyle w:val="Compact"/>
      </w:pPr>
      <w:r>
        <w:rPr>
          <w:bCs/>
          <w:b/>
        </w:rPr>
        <w:t xml:space="preserve">Qualidade do produto:</w:t>
      </w:r>
      <w:r>
        <w:t xml:space="preserve"> </w:t>
      </w:r>
      <w:r>
        <w:t xml:space="preserve">suplementos alimentares não são testados quanto à eficácia antes da venda. O fabricante é responsável pela pureza e pela ausência de contaminantes; a fiscalização de alimentos faz apenas controles por amostragem.</w:t>
      </w:r>
    </w:p>
    <w:p>
      <w:pPr>
        <w:numPr>
          <w:ilvl w:val="0"/>
          <w:numId w:val="1294"/>
        </w:numPr>
        <w:pStyle w:val="Compact"/>
      </w:pPr>
      <w:r>
        <w:rPr>
          <w:bCs/>
          <w:b/>
        </w:rPr>
        <w:t xml:space="preserve">Falsa segurança:</w:t>
      </w:r>
      <w:r>
        <w:t xml:space="preserve"> </w:t>
      </w:r>
      <w:r>
        <w:t xml:space="preserve">o maior risco prático é que o colágeno seja usado no lugar de medidas eficazes – por exemplo, em vez de proteção UV contra o envelhecimento da pele ou em vez de um tratamento para osteoporose.</w:t>
      </w:r>
    </w:p>
    <w:bookmarkEnd w:id="2359"/>
    <w:bookmarkStart w:id="2360" w:name="situação-legal-52"/>
    <w:p>
      <w:pPr>
        <w:pStyle w:val="Heading3"/>
      </w:pPr>
      <w:r>
        <w:t xml:space="preserve">Situação legal</w:t>
      </w:r>
    </w:p>
    <w:p>
      <w:pPr>
        <w:numPr>
          <w:ilvl w:val="0"/>
          <w:numId w:val="1295"/>
        </w:numPr>
        <w:pStyle w:val="Compact"/>
      </w:pPr>
      <w:r>
        <w:rPr>
          <w:bCs/>
          <w:b/>
        </w:rPr>
        <w:t xml:space="preserve">UE / Áustria / Alemanha:</w:t>
      </w:r>
      <w:r>
        <w:t xml:space="preserve"> </w:t>
      </w:r>
      <w:r>
        <w:t xml:space="preserve">os peptídeos de colágeno são alimentos. Na Alemanha, os suplementos alimentares devem ser notificados ao Departamento Federal de Proteção do Consumidor e Segurança Alimentar (BVL) antes da primeira venda; na Áustria valem regras próprias. Em nenhum dos dois países há avaliação da eficácia. Alegações relacionadas à saúde só são permitidas, segundo o Regulamento Europeu de Alegações de Saúde (Regulamento (CE) nº 1924/2006), se estiverem autorizadas na lista da UE.</w:t>
      </w:r>
      <w:r>
        <w:t xml:space="preserve"> </w:t>
      </w:r>
      <w:r>
        <w:rPr>
          <w:bCs/>
          <w:b/>
        </w:rPr>
        <w:t xml:space="preserve">Para colágeno ou peptídeos de colágeno, não existe alegação de saúde autorizada.</w:t>
      </w:r>
      <w:r>
        <w:t xml:space="preserve"> </w:t>
      </w:r>
      <w:r>
        <w:t xml:space="preserve">A Autoridade Europeia para a Segurança dos Alimentos (EFSA) avaliou negativamente as alegações solicitadas, por exemplo sobre a saúde articular, porque não havia sido comprovada uma relação de causa e efeito. Por isso, muitos produtos contêm vitamina C: para a vitamina C, está autorizada a alegação de que contribui para a formação normal de colágeno para o funcionamento normal da pele, da cartilagem, dos ossos, das gengivas, dos dentes e dos vasos sanguíneos. A frase publicitária refere-se então juridicamente à vitamina, não ao colágeno. Afirmações sobre beleza (</w:t>
      </w:r>
      <w:r>
        <w:t xml:space="preserve">“</w:t>
      </w:r>
      <w:r>
        <w:t xml:space="preserve">para uma pele mais firme</w:t>
      </w:r>
      <w:r>
        <w:t xml:space="preserve">”</w:t>
      </w:r>
      <w:r>
        <w:t xml:space="preserve">) situam-se em uma zona cinzenta e são julgadas de formas diferentes pelos tribunais.</w:t>
      </w:r>
    </w:p>
    <w:p>
      <w:pPr>
        <w:numPr>
          <w:ilvl w:val="0"/>
          <w:numId w:val="1295"/>
        </w:numPr>
        <w:pStyle w:val="Compact"/>
      </w:pPr>
      <w:r>
        <w:rPr>
          <w:bCs/>
          <w:b/>
        </w:rPr>
        <w:t xml:space="preserve">EUA:</w:t>
      </w:r>
      <w:r>
        <w:t xml:space="preserve"> </w:t>
      </w:r>
      <w:r>
        <w:t xml:space="preserve">os peptídeos de colágeno são vendidos como dietary supplement. Os fabricantes podem fazer as chamadas alegações de estrutura-função (</w:t>
      </w:r>
      <w:r>
        <w:t xml:space="preserve">“</w:t>
      </w:r>
      <w:r>
        <w:t xml:space="preserve">apoia a pele saudável</w:t>
      </w:r>
      <w:r>
        <w:t xml:space="preserve">”</w:t>
      </w:r>
      <w:r>
        <w:t xml:space="preserve">), mas precisam trazer o aviso de que a alegação não foi avaliada pela FDA. Promessas relacionadas a doenças não são permitidas.</w:t>
      </w:r>
    </w:p>
    <w:p>
      <w:pPr>
        <w:numPr>
          <w:ilvl w:val="0"/>
          <w:numId w:val="1295"/>
        </w:numPr>
        <w:pStyle w:val="Compact"/>
      </w:pPr>
      <w:r>
        <w:rPr>
          <w:bCs/>
          <w:b/>
        </w:rPr>
        <w:t xml:space="preserve">Esporte:</w:t>
      </w:r>
      <w:r>
        <w:t xml:space="preserve"> </w:t>
      </w:r>
      <w:r>
        <w:t xml:space="preserve">os peptídeos de colágeno não constam na lista de proibições da WADA. Como em todos os suplementos alimentares, existe um risco residual de contaminações; atletas de alto rendimento devem dar atenção a listas verificadas (por exemplo, a Kölner Liste) (situação em 2026, verificar atualização).</w:t>
      </w:r>
    </w:p>
    <w:bookmarkEnd w:id="2360"/>
    <w:bookmarkStart w:id="2368" w:name="estudos-em-andamento-e-perspectivas-52"/>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296"/>
        </w:numPr>
        <w:pStyle w:val="Compact"/>
      </w:pPr>
      <w:r>
        <w:rPr>
          <w:bCs/>
          <w:b/>
        </w:rPr>
        <w:t xml:space="preserve">Artrose de joelho:</w:t>
      </w:r>
      <w:r>
        <w:t xml:space="preserve"> </w:t>
      </w:r>
      <w:r>
        <w:t xml:space="preserve">um estudo do Istituto Ortopedico Rizzoli compara uma formulação de colágeno hidrolisado com placebo em 204 participantes</w:t>
      </w:r>
      <w:r>
        <w:rPr>
          <w:rStyle w:val="FootnoteReference"/>
        </w:rPr>
        <w:footnoteReference w:id="2361"/>
      </w:r>
      <w:r>
        <w:t xml:space="preserve">. Um estudo menor compara diferentes formas de colágeno</w:t>
      </w:r>
      <w:r>
        <w:rPr>
          <w:rStyle w:val="FootnoteReference"/>
        </w:rPr>
        <w:footnoteReference w:id="2362"/>
      </w:r>
      <w:r>
        <w:t xml:space="preserve">.</w:t>
      </w:r>
    </w:p>
    <w:p>
      <w:pPr>
        <w:numPr>
          <w:ilvl w:val="0"/>
          <w:numId w:val="1296"/>
        </w:numPr>
        <w:pStyle w:val="Compact"/>
      </w:pPr>
      <w:r>
        <w:rPr>
          <w:bCs/>
          <w:b/>
        </w:rPr>
        <w:t xml:space="preserve">Prótese de joelho:</w:t>
      </w:r>
      <w:r>
        <w:t xml:space="preserve"> </w:t>
      </w:r>
      <w:r>
        <w:t xml:space="preserve">peptídeos de colágeno após artroplastia total do joelho, com desfechos remodelação do tecido conjuntivo e cicatrização de feridas</w:t>
      </w:r>
      <w:r>
        <w:rPr>
          <w:rStyle w:val="FootnoteReference"/>
        </w:rPr>
        <w:footnoteReference w:id="2363"/>
      </w:r>
      <w:r>
        <w:t xml:space="preserve">.</w:t>
      </w:r>
    </w:p>
    <w:p>
      <w:pPr>
        <w:numPr>
          <w:ilvl w:val="0"/>
          <w:numId w:val="1296"/>
        </w:numPr>
        <w:pStyle w:val="Compact"/>
      </w:pPr>
      <w:r>
        <w:rPr>
          <w:bCs/>
          <w:b/>
        </w:rPr>
        <w:t xml:space="preserve">Pele:</w:t>
      </w:r>
      <w:r>
        <w:t xml:space="preserve"> </w:t>
      </w:r>
      <w:r>
        <w:t xml:space="preserve">uma comparação entre o uso oral e o tópico de colágeno, isolados e combinados, com 165 mulheres previstas</w:t>
      </w:r>
      <w:r>
        <w:rPr>
          <w:rStyle w:val="FootnoteReference"/>
        </w:rPr>
        <w:footnoteReference w:id="2364"/>
      </w:r>
      <w:r>
        <w:t xml:space="preserve">.</w:t>
      </w:r>
    </w:p>
    <w:p>
      <w:pPr>
        <w:numPr>
          <w:ilvl w:val="0"/>
          <w:numId w:val="1296"/>
        </w:numPr>
        <w:pStyle w:val="Compact"/>
      </w:pPr>
      <w:r>
        <w:rPr>
          <w:bCs/>
          <w:b/>
        </w:rPr>
        <w:t xml:space="preserve">Envelhecimento:</w:t>
      </w:r>
      <w:r>
        <w:t xml:space="preserve"> </w:t>
      </w:r>
      <w:r>
        <w:t xml:space="preserve">um estudo da Universidade de Viena investiga peptídeos de colágeno e marcadores de envelhecimento celular em 125 participantes previstos</w:t>
      </w:r>
      <w:r>
        <w:rPr>
          <w:rStyle w:val="FootnoteReference"/>
        </w:rPr>
        <w:footnoteReference w:id="2365"/>
      </w:r>
      <w:r>
        <w:t xml:space="preserve">.</w:t>
      </w:r>
    </w:p>
    <w:p>
      <w:pPr>
        <w:numPr>
          <w:ilvl w:val="0"/>
          <w:numId w:val="1296"/>
        </w:numPr>
        <w:pStyle w:val="Compact"/>
      </w:pPr>
      <w:r>
        <w:rPr>
          <w:bCs/>
          <w:b/>
        </w:rPr>
        <w:t xml:space="preserve">Metabolismo:</w:t>
      </w:r>
      <w:r>
        <w:t xml:space="preserve"> </w:t>
      </w:r>
      <w:r>
        <w:t xml:space="preserve">um estudo no King’s College London investiga qualidade de vida, apetite e controle glicêmico</w:t>
      </w:r>
      <w:r>
        <w:rPr>
          <w:rStyle w:val="FootnoteReference"/>
        </w:rPr>
        <w:footnoteReference w:id="2366"/>
      </w:r>
      <w:r>
        <w:t xml:space="preserve">.</w:t>
      </w:r>
    </w:p>
    <w:p>
      <w:pPr>
        <w:pStyle w:val="FirstParagraph"/>
      </w:pPr>
      <w:r>
        <w:rPr>
          <w:bCs/>
          <w:b/>
        </w:rPr>
        <w:t xml:space="preserve">Avaliação:</w:t>
      </w:r>
      <w:r>
        <w:t xml:space="preserve"> </w:t>
      </w:r>
      <w:r>
        <w:t xml:space="preserve">a questão decisiva para os próximos anos não é se haverá mais estudos pequenos positivos – é de se esperar que sim –, mas se estudos grandes, com financiamento independente e desfechos registrados previamente, confirmarão os efeitos. A metanálise por fonte de financiamento</w:t>
      </w:r>
      <w:r>
        <w:rPr>
          <w:rStyle w:val="FootnoteReference"/>
        </w:rPr>
        <w:footnoteReference w:id="2367"/>
      </w:r>
      <w:r>
        <w:t xml:space="preserve"> </w:t>
      </w:r>
      <w:r>
        <w:t xml:space="preserve">tornou visível a régua para isso. Para dores articulares, um pequeno efeito é o mais bem comprovado; para pele e tendões, a situação permanece em aberto. Não se deve esperar uma aprovação como medicamento, já que os produtos já são de venda livre como alimentos e nenhum fabricante precisaria arcar com o esforço de um programa de aprovação.</w:t>
      </w:r>
    </w:p>
    <w:bookmarkEnd w:id="2368"/>
    <w:bookmarkStart w:id="2369" w:name="conclusão-52"/>
    <w:p>
      <w:pPr>
        <w:pStyle w:val="Heading3"/>
      </w:pPr>
      <w:r>
        <w:t xml:space="preserve">Conclusão</w:t>
      </w:r>
    </w:p>
    <w:p>
      <w:pPr>
        <w:pStyle w:val="FirstParagraph"/>
      </w:pPr>
      <w:r>
        <w:t xml:space="preserve">Os peptídeos de colágeno são um produto alimentício bem tolerado, com uma base de estudos grande, mas metodologicamente fraca. Para dores articulares na artrose, metanálises mostram pequenos efeitos, mas alguns estudos maiores não encontraram diferença em relação ao placebo. Na pele, o benefício medido em estudos dos fabricantes desaparece quando se consideram apenas estudos com financiamento independente ou metodologicamente de alta qualidade. Para o ganho muscular, o colágeno é inferior a outras fontes de proteína; o colágeno tipo II não desnaturado é um produto à parte, com dados próprios e igualmente limitados. Na UE, o colágeno não pode ser promovido com alegações relacionadas à saúde – as mensagens publicitárias geralmente se referem à vitamina C adicionada.</w:t>
      </w:r>
    </w:p>
    <w:bookmarkEnd w:id="2369"/>
    <w:bookmarkEnd w:id="2370"/>
    <w:bookmarkStart w:id="2399" w:name="lactotripeptídeos-vpp-e-ipp"/>
    <w:p>
      <w:pPr>
        <w:pStyle w:val="Heading2"/>
      </w:pPr>
      <w:r>
        <w:t xml:space="preserve">Lactotripeptídeos (VPP e IPP)</w:t>
      </w:r>
    </w:p>
    <w:bookmarkStart w:id="2371" w:name="ficha-técnica-53"/>
    <w:p>
      <w:pPr>
        <w:pStyle w:val="Heading3"/>
      </w:pPr>
      <w:r>
        <w:t xml:space="preserve">Ficha técnica</w:t>
      </w:r>
    </w:p>
    <w:p>
      <w:pPr>
        <w:numPr>
          <w:ilvl w:val="0"/>
          <w:numId w:val="1297"/>
        </w:numPr>
        <w:pStyle w:val="Compact"/>
      </w:pPr>
      <w:r>
        <w:rPr>
          <w:bCs/>
          <w:b/>
        </w:rPr>
        <w:t xml:space="preserve">Tipo/estrutura:</w:t>
      </w:r>
      <w:r>
        <w:t xml:space="preserve"> </w:t>
      </w:r>
      <w:r>
        <w:t xml:space="preserve">dois tripeptídeos de três aminoácidos cada: valina-prolina-prolina (VPP) e isoleucina-prolina-prolina (IPP). A prolina dupla no final os torna relativamente resistentes às enzimas digestivas.</w:t>
      </w:r>
    </w:p>
    <w:p>
      <w:pPr>
        <w:numPr>
          <w:ilvl w:val="0"/>
          <w:numId w:val="1297"/>
        </w:numPr>
        <w:pStyle w:val="Compact"/>
      </w:pPr>
      <w:r>
        <w:rPr>
          <w:bCs/>
          <w:b/>
        </w:rPr>
        <w:t xml:space="preserve">Origem:</w:t>
      </w:r>
      <w:r>
        <w:t xml:space="preserve"> </w:t>
      </w:r>
      <w:r>
        <w:t xml:space="preserve">fragmentos da proteína do leite caseína. Formam-se quando o leite é fermentado com determinadas bactérias (sobretudo</w:t>
      </w:r>
      <w:r>
        <w:t xml:space="preserve"> </w:t>
      </w:r>
      <w:r>
        <w:rPr>
          <w:iCs/>
          <w:i/>
        </w:rPr>
        <w:t xml:space="preserve">Lactobacillus helveticus</w:t>
      </w:r>
      <w:r>
        <w:t xml:space="preserve">) ou por clivagem enzimática da caseína com enzimas do fungo</w:t>
      </w:r>
      <w:r>
        <w:t xml:space="preserve"> </w:t>
      </w:r>
      <w:r>
        <w:rPr>
          <w:iCs/>
          <w:i/>
        </w:rPr>
        <w:t xml:space="preserve">Aspergillus oryzae</w:t>
      </w:r>
      <w:r>
        <w:t xml:space="preserve">. Produtos conhecidos foram uma bebida japonesa de leite fermentado (Calpis) e um laticínio finlandês (Evolus, da Valio).</w:t>
      </w:r>
    </w:p>
    <w:p>
      <w:pPr>
        <w:numPr>
          <w:ilvl w:val="0"/>
          <w:numId w:val="1297"/>
        </w:numPr>
        <w:pStyle w:val="Compact"/>
      </w:pPr>
      <w:r>
        <w:rPr>
          <w:bCs/>
          <w:b/>
        </w:rPr>
        <w:t xml:space="preserve">Mecanismo de ação:</w:t>
      </w:r>
      <w:r>
        <w:t xml:space="preserve"> </w:t>
      </w:r>
      <w:r>
        <w:t xml:space="preserve">deveriam inibir a enzima conversora de angiotensina (ECA) – a mesma enzima bloqueada por inibidores da ECA anti-hipertensivos como ramipril ou enalapril, apenas muitas vezes mais fracamente.</w:t>
      </w:r>
    </w:p>
    <w:p>
      <w:pPr>
        <w:numPr>
          <w:ilvl w:val="0"/>
          <w:numId w:val="1297"/>
        </w:numPr>
        <w:pStyle w:val="Compact"/>
      </w:pPr>
      <w:r>
        <w:rPr>
          <w:bCs/>
          <w:b/>
        </w:rPr>
        <w:t xml:space="preserve">Aprovação na UE:</w:t>
      </w:r>
      <w:r>
        <w:t xml:space="preserve"> </w:t>
      </w:r>
      <w:r>
        <w:t xml:space="preserve">nenhuma aprovação como medicamento; como ingrediente alimentar ou em suplementos alimentares. Nenhuma alegação de saúde autorizada sobre pressão arterial.</w:t>
      </w:r>
    </w:p>
    <w:p>
      <w:pPr>
        <w:numPr>
          <w:ilvl w:val="0"/>
          <w:numId w:val="1297"/>
        </w:numPr>
        <w:pStyle w:val="Compact"/>
      </w:pPr>
      <w:r>
        <w:rPr>
          <w:bCs/>
          <w:b/>
        </w:rPr>
        <w:t xml:space="preserve">Aprovação nos EUA:</w:t>
      </w:r>
      <w:r>
        <w:t xml:space="preserve"> </w:t>
      </w:r>
      <w:r>
        <w:t xml:space="preserve">nenhuma aprovação como medicamento; disponível como suplemento alimentar.</w:t>
      </w:r>
    </w:p>
    <w:p>
      <w:pPr>
        <w:numPr>
          <w:ilvl w:val="0"/>
          <w:numId w:val="1297"/>
        </w:numPr>
        <w:pStyle w:val="Compact"/>
      </w:pPr>
      <w:r>
        <w:rPr>
          <w:bCs/>
          <w:b/>
        </w:rPr>
        <w:t xml:space="preserve">WADA:</w:t>
      </w:r>
      <w:r>
        <w:t xml:space="preserve"> </w:t>
      </w:r>
      <w:r>
        <w:t xml:space="preserve">não listados.</w:t>
      </w:r>
    </w:p>
    <w:p>
      <w:pPr>
        <w:numPr>
          <w:ilvl w:val="0"/>
          <w:numId w:val="1297"/>
        </w:numPr>
        <w:pStyle w:val="Compact"/>
      </w:pPr>
      <w:r>
        <w:rPr>
          <w:bCs/>
          <w:b/>
        </w:rPr>
        <w:t xml:space="preserve">Nível de evidência:</w:t>
      </w:r>
      <w:r>
        <w:t xml:space="preserve"> </w:t>
      </w:r>
      <w:r>
        <w:rPr>
          <w:bCs/>
          <w:b/>
        </w:rPr>
        <w:t xml:space="preserve">B</w:t>
      </w:r>
      <w:r>
        <w:t xml:space="preserve"> </w:t>
      </w:r>
      <w:r>
        <w:t xml:space="preserve">– cerca de 30 estudos randomizados com alguns milhares de participantes no total, mas cada um pequeno, com resultados contraditórios e sem desfechos duros.</w:t>
      </w:r>
    </w:p>
    <w:bookmarkEnd w:id="2371"/>
    <w:bookmarkStart w:id="2375" w:name="como-deveria-agir-53"/>
    <w:p>
      <w:pPr>
        <w:pStyle w:val="Heading3"/>
      </w:pPr>
      <w:r>
        <w:t xml:space="preserve">Como deveria agir</w:t>
      </w:r>
    </w:p>
    <w:p>
      <w:pPr>
        <w:pStyle w:val="FirstParagraph"/>
      </w:pPr>
      <w:r>
        <w:t xml:space="preserve">A pressão arterial é controlada, entre outros, pelo sistema renina-angiotensina. Uma etapa central é a conversão da angiotensina I, inativa, em angiotensina II, vasoconstritora, pela enzima ECA. A mesma enzima degrada também a bradicinina, uma substância que dilata os vasos. Quando a ECA é inibida, forma-se menos angiotensina II e há mais bradicinina – a pressão cai. Nesse princípio baseiam-se os inibidores da ECA, um dos grupos mais importantes de medicamentos para a pressão arterial. Historicamente interessante: o primeiro inibidor da ECA, o captopril, foi desenvolvido a partir de um peptídeo do veneno de uma serpente.</w:t>
      </w:r>
    </w:p>
    <w:p>
      <w:pPr>
        <w:pStyle w:val="BodyText"/>
      </w:pPr>
      <w:r>
        <w:t xml:space="preserve">Na década de 1990, pesquisadores japoneses isolaram de leite fermentado dois tripeptídeos que inibem a ECA em tubo de ensaio. Em ratos com hipertensão congênita, uma única administração do leite fermentado ou dos peptídeos isolados VPP e IPP reduziu a pressão sistólica por algumas horas; em ratos com pressão normal, nada mudou</w:t>
      </w:r>
      <w:r>
        <w:rPr>
          <w:rStyle w:val="FootnoteReference"/>
        </w:rPr>
        <w:footnoteReference w:id="2372"/>
      </w:r>
      <w:r>
        <w:t xml:space="preserve">. Daí surgiu a ideia de um</w:t>
      </w:r>
      <w:r>
        <w:t xml:space="preserve"> </w:t>
      </w:r>
      <w:r>
        <w:t xml:space="preserve">“</w:t>
      </w:r>
      <w:r>
        <w:t xml:space="preserve">alimento que reduz a pressão arterial</w:t>
      </w:r>
      <w:r>
        <w:t xml:space="preserve">”</w:t>
      </w:r>
      <w:r>
        <w:t xml:space="preserve">.</w:t>
      </w:r>
    </w:p>
    <w:p>
      <w:pPr>
        <w:pStyle w:val="BodyText"/>
      </w:pPr>
      <w:r>
        <w:t xml:space="preserve">Para que isso funcione, os peptídeos precisam chegar intactos à corrente sanguínea. Um pequeno estudo mostrou que o IPP é de fato detectável intacto no sangue após a ingestão de uma bebida de iogurte enriquecida – porém em concentrações na faixa de picomol por litro</w:t>
      </w:r>
      <w:r>
        <w:rPr>
          <w:rStyle w:val="FootnoteReference"/>
        </w:rPr>
        <w:footnoteReference w:id="2373"/>
      </w:r>
      <w:r>
        <w:t xml:space="preserve">. Um estudo suíço com doze homens saudáveis testou então diretamente se os peptídeos inibem a ECA no corpo: após sete dias de leite fermentado, os marcadores de atividade da ECA e a renina permaneceram inalterados, enquanto um único comprimido de captopril reduziu a atividade da ECA no plasma em 82%. O IPP subiu no sangue apenas brevemente e pouco; o VPP ficou abaixo do limite de detecção</w:t>
      </w:r>
      <w:r>
        <w:rPr>
          <w:rStyle w:val="FootnoteReference"/>
        </w:rPr>
        <w:footnoteReference w:id="2374"/>
      </w:r>
      <w:r>
        <w:t xml:space="preserve">.</w:t>
      </w:r>
    </w:p>
    <w:p>
      <w:pPr>
        <w:pStyle w:val="BodyText"/>
      </w:pPr>
      <w:r>
        <w:t xml:space="preserve">Isso significa: o mecanismo plausível em laboratório não pôde ser demonstrado em humanos nas quantidades testadas. Por isso, discutem-se também outras vias, por exemplo uma melhora da função da parede interna dos vasos via óxido nítrico. Essas vêm até agora sobretudo de experimentos com culturas de células e em animais.</w:t>
      </w:r>
    </w:p>
    <w:bookmarkEnd w:id="2375"/>
    <w:bookmarkStart w:id="2386" w:name="estudos-em-humanos-53"/>
    <w:p>
      <w:pPr>
        <w:pStyle w:val="Heading3"/>
      </w:pPr>
      <w:r>
        <w:t xml:space="preserve">Estudos em humanos</w:t>
      </w:r>
    </w:p>
    <w:p>
      <w:pPr>
        <w:pStyle w:val="FirstParagraph"/>
      </w:pPr>
      <w:r>
        <w:t xml:space="preserve">A consulta ao PubMed avaliada para este livro (lactotripeptídeos ou valil-prolil-prolina, data da consulta outubro de 2026) resultou em 21 estudos em humanos; no ClinicalTrials.gov, a busca</w:t>
      </w:r>
      <w:r>
        <w:t xml:space="preserve"> </w:t>
      </w:r>
      <w:r>
        <w:t xml:space="preserve">“</w:t>
      </w:r>
      <w:r>
        <w:t xml:space="preserve">lactotripeptides</w:t>
      </w:r>
      <w:r>
        <w:t xml:space="preserve">”</w:t>
      </w:r>
      <w:r>
        <w:t xml:space="preserve"> </w:t>
      </w:r>
      <w:r>
        <w:t xml:space="preserve">não encontrou nenhum registro. A maioria dos estudos foi realizada antes da introdução da obrigatoriedade de registro para estudos de nutrição. As metanálises referem-se a até 30 estudos randomizados, entre eles muitos estudos japoneses que não são captados integralmente pela consulta ao PubMed.</w:t>
      </w:r>
    </w:p>
    <w:bookmarkStart w:id="2376" w:name="os-primeiros-estudos-positivos"/>
    <w:p>
      <w:pPr>
        <w:pStyle w:val="Heading4"/>
      </w:pPr>
      <w:r>
        <w:t xml:space="preserve">Os primeiros estudos positivos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Hata 1996, PMID 8901799</w:t>
            </w:r>
          </w:p>
        </w:tc>
        <w:tc>
          <w:tcPr/>
          <w:p>
            <w:pPr>
              <w:pStyle w:val="Compact"/>
              <w:jc w:val="left"/>
            </w:pPr>
            <w:r>
              <w:t xml:space="preserve">30 idosos com hipertensão (a maioria com medicamentos), leite fermentado vs. leite acidificado</w:t>
            </w:r>
          </w:p>
        </w:tc>
        <w:tc>
          <w:tcPr/>
          <w:p>
            <w:pPr>
              <w:pStyle w:val="Compact"/>
              <w:jc w:val="left"/>
            </w:pPr>
            <w:r>
              <w:t xml:space="preserve">8 semanas</w:t>
            </w:r>
          </w:p>
        </w:tc>
        <w:tc>
          <w:tcPr/>
          <w:p>
            <w:pPr>
              <w:pStyle w:val="Compact"/>
              <w:jc w:val="left"/>
            </w:pPr>
            <w:r>
              <w:t xml:space="preserve">Sistólica −14,1 mmHg em relação ao valor inicial no grupo do leite fermentado; placebo inalterado</w:t>
            </w:r>
          </w:p>
        </w:tc>
      </w:tr>
      <w:tr>
        <w:tc>
          <w:tcPr/>
          <w:p>
            <w:pPr>
              <w:pStyle w:val="Compact"/>
              <w:jc w:val="left"/>
            </w:pPr>
            <w:r>
              <w:t xml:space="preserve">Seppo 2003, PMID 12540390</w:t>
            </w:r>
          </w:p>
        </w:tc>
        <w:tc>
          <w:tcPr/>
          <w:p>
            <w:pPr>
              <w:pStyle w:val="Compact"/>
              <w:jc w:val="left"/>
            </w:pPr>
            <w:r>
              <w:t xml:space="preserve">39 pessoas com hipertensão, leite fermentado vs. controle</w:t>
            </w:r>
          </w:p>
        </w:tc>
        <w:tc>
          <w:tcPr/>
          <w:p>
            <w:pPr>
              <w:pStyle w:val="Compact"/>
              <w:jc w:val="left"/>
            </w:pPr>
            <w:r>
              <w:t xml:space="preserve">21 semanas</w:t>
            </w:r>
          </w:p>
        </w:tc>
        <w:tc>
          <w:tcPr/>
          <w:p>
            <w:pPr>
              <w:pStyle w:val="Compact"/>
              <w:jc w:val="left"/>
            </w:pPr>
            <w:r>
              <w:t xml:space="preserve">Diferença sistólica 6,7 mmHg (p = 0,03), diastólica 3,6 mmHg (não significativa)</w:t>
            </w:r>
          </w:p>
        </w:tc>
      </w:tr>
      <w:tr>
        <w:tc>
          <w:tcPr/>
          <w:p>
            <w:pPr>
              <w:pStyle w:val="Compact"/>
              <w:jc w:val="left"/>
            </w:pPr>
            <w:r>
              <w:t xml:space="preserve">Tuomilehto 2004, PMID 15175633</w:t>
            </w:r>
          </w:p>
        </w:tc>
        <w:tc>
          <w:tcPr/>
          <w:p>
            <w:pPr>
              <w:pStyle w:val="Compact"/>
              <w:jc w:val="left"/>
            </w:pPr>
            <w:r>
              <w:t xml:space="preserve">60 pessoas com hipertensão leve, estudo cruzado</w:t>
            </w:r>
          </w:p>
        </w:tc>
        <w:tc>
          <w:tcPr/>
          <w:p>
            <w:pPr>
              <w:pStyle w:val="Compact"/>
              <w:jc w:val="left"/>
            </w:pPr>
            <w:r>
              <w:t xml:space="preserve">2 × fases</w:t>
            </w:r>
          </w:p>
        </w:tc>
        <w:tc>
          <w:tcPr/>
          <w:p>
            <w:pPr>
              <w:pStyle w:val="Compact"/>
              <w:jc w:val="left"/>
            </w:pPr>
            <w:r>
              <w:t xml:space="preserve">Análise geral: diferença sistólica de 2,6 mmHg, não significativa</w:t>
            </w:r>
          </w:p>
        </w:tc>
      </w:tr>
      <w:tr>
        <w:tc>
          <w:tcPr/>
          <w:p>
            <w:pPr>
              <w:pStyle w:val="Compact"/>
              <w:jc w:val="left"/>
            </w:pPr>
            <w:r>
              <w:t xml:space="preserve">Jauhiainen 2005, PMID 16364832</w:t>
            </w:r>
          </w:p>
        </w:tc>
        <w:tc>
          <w:tcPr/>
          <w:p>
            <w:pPr>
              <w:pStyle w:val="Compact"/>
              <w:jc w:val="left"/>
            </w:pPr>
            <w:r>
              <w:t xml:space="preserve">94 pessoas com hipertensão não tratada, leite fermentado vs. controle, medição de 24 horas</w:t>
            </w:r>
          </w:p>
        </w:tc>
        <w:tc>
          <w:tcPr/>
          <w:p>
            <w:pPr>
              <w:pStyle w:val="Compact"/>
              <w:jc w:val="left"/>
            </w:pPr>
            <w:r>
              <w:t xml:space="preserve">10 semanas</w:t>
            </w:r>
          </w:p>
        </w:tc>
        <w:tc>
          <w:tcPr/>
          <w:p>
            <w:pPr>
              <w:pStyle w:val="Compact"/>
              <w:jc w:val="left"/>
            </w:pPr>
            <w:r>
              <w:t xml:space="preserve">Sistólica −4,1 mmHg, diastólica −1,8 mmHg em relação ao controle</w:t>
            </w:r>
          </w:p>
        </w:tc>
      </w:tr>
    </w:tbl>
    <w:p>
      <w:pPr>
        <w:pStyle w:val="BodyText"/>
      </w:pPr>
      <w:r>
        <w:t xml:space="preserve">O estudo inicial de Hata era pequeno, a maioria dos participantes já tomava medicamentos para a pressão, e a comparação foi feita sobretudo com o valor inicial. O estudo de Jauhiainen é metodologicamente mais forte, porque usou a monitorização ambulatorial da pressão arterial de 24 horas, menos suscetível ao</w:t>
      </w:r>
      <w:r>
        <w:t xml:space="preserve"> </w:t>
      </w:r>
      <w:r>
        <w:t xml:space="preserve">“</w:t>
      </w:r>
      <w:r>
        <w:t xml:space="preserve">efeito do jaleco branco</w:t>
      </w:r>
      <w:r>
        <w:t xml:space="preserve">”</w:t>
      </w:r>
      <w:r>
        <w:t xml:space="preserve"> </w:t>
      </w:r>
      <w:r>
        <w:t xml:space="preserve">no consultório.</w:t>
      </w:r>
    </w:p>
    <w:bookmarkEnd w:id="2376"/>
    <w:bookmarkStart w:id="2378" w:name="os-estudos-negativos-da-holanda"/>
    <w:p>
      <w:pPr>
        <w:pStyle w:val="Heading4"/>
      </w:pPr>
      <w:r>
        <w:t xml:space="preserve">Os estudos negativos da Holanda</w:t>
      </w:r>
    </w:p>
    <w:p>
      <w:pPr>
        <w:pStyle w:val="FirstParagraph"/>
      </w:pPr>
      <w:r>
        <w:t xml:space="preserve">A partir de 2008, foram publicados vários estudos maiores e cuidadosamente conduzidos de países europeus que não encontraram efeito: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Engberink 2008, PMID 18086944</w:t>
            </w:r>
          </w:p>
        </w:tc>
        <w:tc>
          <w:tcPr/>
          <w:p>
            <w:pPr>
              <w:pStyle w:val="Compact"/>
              <w:jc w:val="left"/>
            </w:pPr>
            <w:r>
              <w:t xml:space="preserve">135 holandeses com pressão sistólica elevada, três formas de produção de LTP vs. placebo</w:t>
            </w:r>
          </w:p>
        </w:tc>
        <w:tc>
          <w:tcPr/>
          <w:p>
            <w:pPr>
              <w:pStyle w:val="Compact"/>
              <w:jc w:val="left"/>
            </w:pPr>
            <w:r>
              <w:t xml:space="preserve">8 semanas</w:t>
            </w:r>
          </w:p>
        </w:tc>
        <w:tc>
          <w:tcPr/>
          <w:p>
            <w:pPr>
              <w:pStyle w:val="Compact"/>
              <w:jc w:val="left"/>
            </w:pPr>
            <w:r>
              <w:t xml:space="preserve">Nenhuma diferença em relação ao placebo na pressão de consultório, domiciliar e de 24 horas, na atividade da ECA ou na angiotensina II</w:t>
            </w:r>
          </w:p>
        </w:tc>
      </w:tr>
      <w:tr>
        <w:tc>
          <w:tcPr/>
          <w:p>
            <w:pPr>
              <w:pStyle w:val="Compact"/>
              <w:jc w:val="left"/>
            </w:pPr>
            <w:r>
              <w:t xml:space="preserve">van der Zander 2008, PMID 19064533</w:t>
            </w:r>
          </w:p>
        </w:tc>
        <w:tc>
          <w:tcPr/>
          <w:p>
            <w:pPr>
              <w:pStyle w:val="Compact"/>
              <w:jc w:val="left"/>
            </w:pPr>
            <w:r>
              <w:t xml:space="preserve">275 holandeses com hipertensão, LTP produzidos enzimaticamente em bebida de iogurte vs. placebo</w:t>
            </w:r>
          </w:p>
        </w:tc>
        <w:tc>
          <w:tcPr/>
          <w:p>
            <w:pPr>
              <w:pStyle w:val="Compact"/>
              <w:jc w:val="left"/>
            </w:pPr>
            <w:r>
              <w:t xml:space="preserve">8 semanas</w:t>
            </w:r>
          </w:p>
        </w:tc>
        <w:tc>
          <w:tcPr/>
          <w:p>
            <w:pPr>
              <w:pStyle w:val="Compact"/>
              <w:jc w:val="left"/>
            </w:pPr>
            <w:r>
              <w:t xml:space="preserve">Nenhuma diferença sistólica (p = 0,66) ou diastólica (p = 0,72)</w:t>
            </w:r>
          </w:p>
        </w:tc>
      </w:tr>
      <w:tr>
        <w:tc>
          <w:tcPr/>
          <w:p>
            <w:pPr>
              <w:pStyle w:val="Compact"/>
              <w:jc w:val="left"/>
            </w:pPr>
            <w:r>
              <w:t xml:space="preserve">van Mierlo 2009, PMID 19106238</w:t>
            </w:r>
          </w:p>
        </w:tc>
        <w:tc>
          <w:tcPr/>
          <w:p>
            <w:pPr>
              <w:pStyle w:val="Compact"/>
              <w:jc w:val="left"/>
            </w:pPr>
            <w:r>
              <w:t xml:space="preserve">2 estudos cruzados com 69 e 93 adultos não tratados, medição de 24 horas</w:t>
            </w:r>
          </w:p>
        </w:tc>
        <w:tc>
          <w:tcPr/>
          <w:p>
            <w:pPr>
              <w:pStyle w:val="Compact"/>
              <w:jc w:val="left"/>
            </w:pPr>
            <w:r>
              <w:t xml:space="preserve">4 semanas cada</w:t>
            </w:r>
          </w:p>
        </w:tc>
        <w:tc>
          <w:tcPr/>
          <w:p>
            <w:pPr>
              <w:pStyle w:val="Compact"/>
              <w:jc w:val="left"/>
            </w:pPr>
            <w:r>
              <w:t xml:space="preserve">Nenhuma diferença na pressão arterial de 24 horas</w:t>
            </w:r>
          </w:p>
        </w:tc>
      </w:tr>
      <w:tr>
        <w:tc>
          <w:tcPr/>
          <w:p>
            <w:pPr>
              <w:pStyle w:val="Compact"/>
              <w:jc w:val="left"/>
            </w:pPr>
            <w:r>
              <w:t xml:space="preserve">Usinger 2010, PMID 20147968</w:t>
            </w:r>
          </w:p>
        </w:tc>
        <w:tc>
          <w:tcPr/>
          <w:p>
            <w:pPr>
              <w:pStyle w:val="Compact"/>
              <w:jc w:val="left"/>
            </w:pPr>
            <w:r>
              <w:t xml:space="preserve">94 pessoas com pressão normal-alta ou limítrofe, 150 ou 300 ml de leite fermentado vs. placebo</w:t>
            </w:r>
          </w:p>
        </w:tc>
        <w:tc>
          <w:tcPr/>
          <w:p>
            <w:pPr>
              <w:pStyle w:val="Compact"/>
              <w:jc w:val="left"/>
            </w:pPr>
            <w:r>
              <w:t xml:space="preserve">8 semanas</w:t>
            </w:r>
          </w:p>
        </w:tc>
        <w:tc>
          <w:tcPr/>
          <w:p>
            <w:pPr>
              <w:pStyle w:val="Compact"/>
              <w:jc w:val="left"/>
            </w:pPr>
            <w:r>
              <w:t xml:space="preserve">Nenhuma diferença significativa na pressão arterial de 24 horas</w:t>
            </w:r>
          </w:p>
        </w:tc>
      </w:tr>
    </w:tbl>
    <w:p>
      <w:pPr>
        <w:pStyle w:val="BodyText"/>
      </w:pPr>
      <w:r>
        <w:t xml:space="preserve">Notável no estudo de Engberink: ele testou lactotripeptídeos de três fontes – de leite fermentado concentrado, produzidos enzimaticamente e sintetizados quimicamente. Nenhuma das três variantes reduziu a pressão arterial ou inibiu a ECA de forma mensurável. Uma revisão reuniu seis desses estudos, com 780 participantes do Reino Unido e da Holanda, e concluiu que os dados mais recentes não sustentam um papel dos lactotripeptídeos na regulação da pressão arterial</w:t>
      </w:r>
      <w:r>
        <w:rPr>
          <w:rStyle w:val="FootnoteReference"/>
        </w:rPr>
        <w:footnoteReference w:id="2377"/>
      </w:r>
      <w:r>
        <w:t xml:space="preserve">.</w:t>
      </w:r>
    </w:p>
    <w:bookmarkEnd w:id="2378"/>
    <w:bookmarkStart w:id="2383" w:name="estudos-posteriores"/>
    <w:p>
      <w:pPr>
        <w:pStyle w:val="Heading4"/>
      </w:pPr>
      <w:r>
        <w:t xml:space="preserve">Estudos posteriores</w:t>
      </w:r>
    </w:p>
    <w:p>
      <w:pPr>
        <w:pStyle w:val="FirstParagraph"/>
      </w:pPr>
      <w:r>
        <w:t xml:space="preserve">Também depois de 2010 os resultados continuaram mistos. Na Finlândia, uma dose de 50 mg de lactotripeptídeos por dia reduziu a pressão arterial de 24 horas em relação ao valor inicial, mas não de forma significativa em relação ao placebo (−2,6 mmHg sistólica); 5 mg por dia não tiveram efeito</w:t>
      </w:r>
      <w:r>
        <w:rPr>
          <w:rStyle w:val="FootnoteReference"/>
        </w:rPr>
        <w:footnoteReference w:id="2379"/>
      </w:r>
      <w:r>
        <w:t xml:space="preserve">. Uma gordura para passar no pão com IPP, VPP e esteróis vegetais reduziu a pressão sistólica medida em casa mais do que o placebo (−4,1 contra −0,5 mmHg), mas não o valor de consultório ou de 24 horas</w:t>
      </w:r>
      <w:r>
        <w:rPr>
          <w:rStyle w:val="FootnoteReference"/>
        </w:rPr>
        <w:footnoteReference w:id="2380"/>
      </w:r>
      <w:r>
        <w:t xml:space="preserve">. Estudos italianos relataram efeitos favoráveis sobre a pressão de consultório e a rigidez vascular</w:t>
      </w:r>
      <w:r>
        <w:rPr>
          <w:rStyle w:val="FootnoteReference"/>
        </w:rPr>
        <w:footnoteReference w:id="2381"/>
      </w:r>
      <w:r>
        <w:t xml:space="preserve">, em um deles sem efeito sobre a pressão de 24 horas. Nos EUA, em um estudo com 91 pessoas com hipertensão estágio 1 e 2, a pressão sistólica diurna caiu 3,6 mmHg, e com placebo não</w:t>
      </w:r>
      <w:r>
        <w:rPr>
          <w:rStyle w:val="FootnoteReference"/>
        </w:rPr>
        <w:footnoteReference w:id="2382"/>
      </w:r>
      <w:r>
        <w:t xml:space="preserve">.</w:t>
      </w:r>
    </w:p>
    <w:p>
      <w:pPr>
        <w:pStyle w:val="BodyText"/>
      </w:pPr>
      <w:r>
        <w:t xml:space="preserve">Além disso, há pequenos estudos sobre função vascular, irrigação cerebral, fadiga muscular e desempenho cognitivo, geralmente com 15 a 50 participantes (por exemplo, Akazawa 2018, PMID 29703414). Devem ser lidos como indícios, não como provas.</w:t>
      </w:r>
    </w:p>
    <w:bookmarkEnd w:id="2383"/>
    <w:bookmarkStart w:id="2385" w:name="Xa28ae7d12755aaac906262166a98f8678d486e4"/>
    <w:p>
      <w:pPr>
        <w:pStyle w:val="Heading4"/>
      </w:pPr>
      <w:r>
        <w:t xml:space="preserve">Metanálises: efeito pequeno, forte influência da origem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Metanálise</w:t>
            </w:r>
          </w:p>
        </w:tc>
        <w:tc>
          <w:tcPr/>
          <w:p>
            <w:pPr>
              <w:pStyle w:val="Compact"/>
              <w:jc w:val="left"/>
            </w:pPr>
            <w:r>
              <w:t xml:space="preserve">Abrangência</w:t>
            </w:r>
          </w:p>
        </w:tc>
        <w:tc>
          <w:tcPr/>
          <w:p>
            <w:pPr>
              <w:pStyle w:val="Compact"/>
              <w:jc w:val="left"/>
            </w:pPr>
            <w:r>
              <w:t xml:space="preserve">Efeito sobre a pressão sistólica</w:t>
            </w:r>
          </w:p>
        </w:tc>
      </w:tr>
      <w:tr>
        <w:tc>
          <w:tcPr/>
          <w:p>
            <w:pPr>
              <w:pStyle w:val="Compact"/>
              <w:jc w:val="left"/>
            </w:pPr>
            <w:r>
              <w:t xml:space="preserve">Cicero 2011, PMID 20811398</w:t>
            </w:r>
          </w:p>
        </w:tc>
        <w:tc>
          <w:tcPr/>
          <w:p>
            <w:pPr>
              <w:pStyle w:val="Compact"/>
              <w:jc w:val="left"/>
            </w:pPr>
            <w:r>
              <w:t xml:space="preserve">18 estudos</w:t>
            </w:r>
          </w:p>
        </w:tc>
        <w:tc>
          <w:tcPr/>
          <w:p>
            <w:pPr>
              <w:pStyle w:val="Compact"/>
              <w:jc w:val="left"/>
            </w:pPr>
            <w:r>
              <w:t xml:space="preserve">−3,73 mmHg no total; Ásia −6,93 mmHg; Europa −1,17 mmHg (não significativo)</w:t>
            </w:r>
          </w:p>
        </w:tc>
      </w:tr>
      <w:tr>
        <w:tc>
          <w:tcPr/>
          <w:p>
            <w:pPr>
              <w:pStyle w:val="Compact"/>
              <w:jc w:val="left"/>
            </w:pPr>
            <w:r>
              <w:t xml:space="preserve">Turpeinen 2013, PMID 23305234</w:t>
            </w:r>
          </w:p>
        </w:tc>
        <w:tc>
          <w:tcPr/>
          <w:p>
            <w:pPr>
              <w:pStyle w:val="Compact"/>
              <w:jc w:val="left"/>
            </w:pPr>
            <w:r>
              <w:t xml:space="preserve">19 estudos, cerca de 1.500 pessoas</w:t>
            </w:r>
          </w:p>
        </w:tc>
        <w:tc>
          <w:tcPr/>
          <w:p>
            <w:pPr>
              <w:pStyle w:val="Compact"/>
              <w:jc w:val="left"/>
            </w:pPr>
            <w:r>
              <w:t xml:space="preserve">−4,0 mmHg</w:t>
            </w:r>
          </w:p>
        </w:tc>
      </w:tr>
      <w:tr>
        <w:tc>
          <w:tcPr/>
          <w:p>
            <w:pPr>
              <w:pStyle w:val="Compact"/>
              <w:jc w:val="left"/>
            </w:pPr>
            <w:r>
              <w:t xml:space="preserve">Qin 2013, PMID 23566677</w:t>
            </w:r>
          </w:p>
        </w:tc>
        <w:tc>
          <w:tcPr/>
          <w:p>
            <w:pPr>
              <w:pStyle w:val="Compact"/>
              <w:jc w:val="left"/>
            </w:pPr>
            <w:r>
              <w:t xml:space="preserve">28 braços de estudo, 1.919 pessoas</w:t>
            </w:r>
          </w:p>
        </w:tc>
        <w:tc>
          <w:tcPr/>
          <w:p>
            <w:pPr>
              <w:pStyle w:val="Compact"/>
              <w:jc w:val="left"/>
            </w:pPr>
            <w:r>
              <w:t xml:space="preserve">−1,66 mmHg; na pressão de 24 horas −1,30 mmHg</w:t>
            </w:r>
          </w:p>
        </w:tc>
      </w:tr>
      <w:tr>
        <w:tc>
          <w:tcPr/>
          <w:p>
            <w:pPr>
              <w:pStyle w:val="Compact"/>
              <w:jc w:val="left"/>
            </w:pPr>
            <w:r>
              <w:t xml:space="preserve">Cicero 2013, PMID 23382495</w:t>
            </w:r>
          </w:p>
        </w:tc>
        <w:tc>
          <w:tcPr/>
          <w:p>
            <w:pPr>
              <w:pStyle w:val="Compact"/>
              <w:jc w:val="left"/>
            </w:pPr>
            <w:r>
              <w:t xml:space="preserve">14 estudos europeus, 1.306 pessoas</w:t>
            </w:r>
          </w:p>
        </w:tc>
        <w:tc>
          <w:tcPr/>
          <w:p>
            <w:pPr>
              <w:pStyle w:val="Compact"/>
              <w:jc w:val="left"/>
            </w:pPr>
            <w:r>
              <w:t xml:space="preserve">−1,28 mmHg</w:t>
            </w:r>
          </w:p>
        </w:tc>
      </w:tr>
      <w:tr>
        <w:tc>
          <w:tcPr/>
          <w:p>
            <w:pPr>
              <w:pStyle w:val="Compact"/>
              <w:jc w:val="left"/>
            </w:pPr>
            <w:r>
              <w:t xml:space="preserve">Fekete 2015, PMID 25608938</w:t>
            </w:r>
          </w:p>
        </w:tc>
        <w:tc>
          <w:tcPr/>
          <w:p>
            <w:pPr>
              <w:pStyle w:val="Compact"/>
              <w:jc w:val="left"/>
            </w:pPr>
            <w:r>
              <w:t xml:space="preserve">30 estudos</w:t>
            </w:r>
          </w:p>
        </w:tc>
        <w:tc>
          <w:tcPr/>
          <w:p>
            <w:pPr>
              <w:pStyle w:val="Compact"/>
              <w:jc w:val="left"/>
            </w:pPr>
            <w:r>
              <w:t xml:space="preserve">−2,95 mmHg; pressão de 24 horas não significativa</w:t>
            </w:r>
          </w:p>
        </w:tc>
      </w:tr>
      <w:tr>
        <w:tc>
          <w:tcPr/>
          <w:p>
            <w:pPr>
              <w:pStyle w:val="Compact"/>
              <w:jc w:val="left"/>
            </w:pPr>
            <w:r>
              <w:t xml:space="preserve">Chanson-Rolle 2015, PMID 26536628</w:t>
            </w:r>
          </w:p>
        </w:tc>
        <w:tc>
          <w:tcPr/>
          <w:p>
            <w:pPr>
              <w:pStyle w:val="Compact"/>
              <w:jc w:val="left"/>
            </w:pPr>
            <w:r>
              <w:t xml:space="preserve">18 estudos japoneses, 1.194 pessoas</w:t>
            </w:r>
          </w:p>
        </w:tc>
        <w:tc>
          <w:tcPr/>
          <w:p>
            <w:pPr>
              <w:pStyle w:val="Compact"/>
              <w:jc w:val="left"/>
            </w:pPr>
            <w:r>
              <w:t xml:space="preserve">−5,63 mmHg</w:t>
            </w:r>
          </w:p>
        </w:tc>
      </w:tr>
    </w:tbl>
    <w:p>
      <w:pPr>
        <w:pStyle w:val="BodyText"/>
      </w:pPr>
      <w:r>
        <w:t xml:space="preserve">Três padrões atravessam todas as análises:</w:t>
      </w:r>
    </w:p>
    <w:p>
      <w:pPr>
        <w:numPr>
          <w:ilvl w:val="0"/>
          <w:numId w:val="1298"/>
        </w:numPr>
        <w:pStyle w:val="Compact"/>
      </w:pPr>
      <w:r>
        <w:rPr>
          <w:bCs/>
          <w:b/>
        </w:rPr>
        <w:t xml:space="preserve">O efeito é pequeno.</w:t>
      </w:r>
      <w:r>
        <w:t xml:space="preserve"> </w:t>
      </w:r>
      <w:r>
        <w:t xml:space="preserve">Agrupado, fica geralmente entre 1 e 4 mmHg sistólicos – bem menos do que alcançam os medicamentos aprovados para a pressão arterial.</w:t>
      </w:r>
    </w:p>
    <w:p>
      <w:pPr>
        <w:numPr>
          <w:ilvl w:val="0"/>
          <w:numId w:val="1298"/>
        </w:numPr>
        <w:pStyle w:val="Compact"/>
      </w:pPr>
      <w:r>
        <w:rPr>
          <w:bCs/>
          <w:b/>
        </w:rPr>
        <w:t xml:space="preserve">Estudos asiáticos, sobretudo japoneses, mostram efeitos muito maiores que os europeus.</w:t>
      </w:r>
      <w:r>
        <w:t xml:space="preserve"> </w:t>
      </w:r>
      <w:r>
        <w:t xml:space="preserve">Se isso se deve a diferenças genéticas, à alimentação (por exemplo, maior consumo de sal) ou a diferenças metodológicas não está esclarecido.</w:t>
      </w:r>
    </w:p>
    <w:p>
      <w:pPr>
        <w:numPr>
          <w:ilvl w:val="0"/>
          <w:numId w:val="1298"/>
        </w:numPr>
        <w:pStyle w:val="Compact"/>
      </w:pPr>
      <w:r>
        <w:rPr>
          <w:bCs/>
          <w:b/>
        </w:rPr>
        <w:t xml:space="preserve">Indícios de viés de publicação.</w:t>
      </w:r>
      <w:r>
        <w:t xml:space="preserve"> </w:t>
      </w:r>
      <w:r>
        <w:t xml:space="preserve">A metanálise de Fekete encontrou tanto viés de publicação quanto um</w:t>
      </w:r>
      <w:r>
        <w:t xml:space="preserve"> </w:t>
      </w:r>
      <w:r>
        <w:t xml:space="preserve">“</w:t>
      </w:r>
      <w:r>
        <w:t xml:space="preserve">efeito de estudos pequenos</w:t>
      </w:r>
      <w:r>
        <w:t xml:space="preserve">”</w:t>
      </w:r>
      <w:r>
        <w:t xml:space="preserve">: estudos pequenos mostraram efeitos maiores. Após a correção, a redução sistólica encolheu, e a diastólica deixou de ser significativa. Na pressão arterial de 24 horas – o método de medição mais confiável –, o efeito não foi significativo</w:t>
      </w:r>
      <w:r>
        <w:rPr>
          <w:rStyle w:val="FootnoteReference"/>
        </w:rPr>
        <w:footnoteReference w:id="2384"/>
      </w:r>
      <w:r>
        <w:t xml:space="preserve">.</w:t>
      </w:r>
    </w:p>
    <w:p>
      <w:pPr>
        <w:pStyle w:val="FirstParagraph"/>
      </w:pPr>
      <w:r>
        <w:t xml:space="preserve">Falta um estudo que mostre que os lactotripeptídeos previnem infartos, AVCs ou mortes. Diante do efeito pequeno, também não se deve esperar um estudo assim.</w:t>
      </w:r>
    </w:p>
    <w:bookmarkEnd w:id="2385"/>
    <w:bookmarkEnd w:id="2386"/>
    <w:bookmarkStart w:id="2393" w:name="estudos-em-animais-e-em-laboratório-53"/>
    <w:p>
      <w:pPr>
        <w:pStyle w:val="Heading3"/>
      </w:pPr>
      <w:r>
        <w:t xml:space="preserve">Estudos em animais e em laboratório</w:t>
      </w:r>
    </w:p>
    <w:p>
      <w:pPr>
        <w:pStyle w:val="FirstParagraph"/>
      </w:pPr>
      <w:r>
        <w:t xml:space="preserve">Em ratos com hipertensão congênita (ratos SHR), VPP e IPP reduziram a pressão arterial de forma dependente da dose; em ratos com pressão normal, não</w:t>
      </w:r>
      <w:r>
        <w:rPr>
          <w:rStyle w:val="FootnoteReference"/>
        </w:rPr>
        <w:footnoteReference w:id="2387"/>
      </w:r>
      <w:r>
        <w:t xml:space="preserve">. Em culturas de células, VPP e IPP estimularam, a partir de concentrações acima de 100 nanomol por litro, a formação de óxido nítrico em células vasculares e, em aortas isoladas de ratos, provocaram vasodilatação</w:t>
      </w:r>
      <w:r>
        <w:rPr>
          <w:rStyle w:val="FootnoteReference"/>
        </w:rPr>
        <w:footnoteReference w:id="2388"/>
      </w:r>
      <w:r>
        <w:t xml:space="preserve">. Para comparação: no sangue humano, após a ingestão de uma bebida enriquecida, foram medidos menos de 1 nanomol por litro de IPP</w:t>
      </w:r>
      <w:r>
        <w:rPr>
          <w:rStyle w:val="FootnoteReference"/>
        </w:rPr>
        <w:footnoteReference w:id="2389"/>
      </w:r>
      <w:r>
        <w:t xml:space="preserve">. Análises de estrutura por raios X mostram que ambos os peptídeos se ligam preferencialmente a um dos dois sítios ativos da molécula de ECA</w:t>
      </w:r>
      <w:r>
        <w:rPr>
          <w:rStyle w:val="FootnoteReference"/>
        </w:rPr>
        <w:footnoteReference w:id="2390"/>
      </w:r>
      <w:r>
        <w:t xml:space="preserve">. Em ratos e coelhos, estudos de toxicidade – incluindo investigações sobre o desenvolvimento renal da prole, porque inibidores da ECA na gravidez podem prejudicar o feto – não encontraram efeitos colaterais nas doses mais altas testadas</w:t>
      </w:r>
      <w:r>
        <w:rPr>
          <w:rStyle w:val="FootnoteReference"/>
        </w:rPr>
        <w:footnoteReference w:id="2391"/>
      </w:r>
      <w:r>
        <w:t xml:space="preserve">. Um hidrolisado de proteína do leite contendo IPP não foi mutagênico em testes genéticos; a dose mais alta testada no experimento de 90 dias em ratos foi cerca de 141 vezes superior à ingestão máxima esperada</w:t>
      </w:r>
      <w:r>
        <w:rPr>
          <w:rStyle w:val="FootnoteReference"/>
        </w:rPr>
        <w:footnoteReference w:id="2392"/>
      </w:r>
      <w:r>
        <w:t xml:space="preserve">.</w:t>
      </w:r>
    </w:p>
    <w:bookmarkEnd w:id="2393"/>
    <w:bookmarkStart w:id="2394" w:name="riscos-e-efeitos-colaterais-53"/>
    <w:p>
      <w:pPr>
        <w:pStyle w:val="Heading3"/>
      </w:pPr>
      <w:r>
        <w:t xml:space="preserve">Riscos e efeitos colaterais</w:t>
      </w:r>
    </w:p>
    <w:p>
      <w:pPr>
        <w:pStyle w:val="FirstParagraph"/>
      </w:pPr>
      <w:r>
        <w:rPr>
          <w:bCs/>
          <w:b/>
        </w:rPr>
        <w:t xml:space="preserve">Comprovados:</w:t>
      </w:r>
      <w:r>
        <w:t xml:space="preserve"> </w:t>
      </w:r>
      <w:r>
        <w:t xml:space="preserve">nos estudos em humanos, não ocorreram mais efeitos colaterais com lactotripeptídeos do que com placebo (por exemplo, Jauhiainen 2005, PMID 16364832). Os peptídeos vêm da proteína do leite, consumida desde sempre; as quantidades nos produtos estão na faixa dos miligramas.</w:t>
      </w:r>
    </w:p>
    <w:p>
      <w:pPr>
        <w:pStyle w:val="BodyText"/>
      </w:pPr>
      <w:r>
        <w:rPr>
          <w:bCs/>
          <w:b/>
        </w:rPr>
        <w:t xml:space="preserve">Teóricos ou a considerar:</w:t>
      </w:r>
    </w:p>
    <w:p>
      <w:pPr>
        <w:numPr>
          <w:ilvl w:val="0"/>
          <w:numId w:val="1299"/>
        </w:numPr>
        <w:pStyle w:val="Compact"/>
      </w:pPr>
      <w:r>
        <w:rPr>
          <w:bCs/>
          <w:b/>
        </w:rPr>
        <w:t xml:space="preserve">Alergia ao leite:</w:t>
      </w:r>
      <w:r>
        <w:t xml:space="preserve"> </w:t>
      </w:r>
      <w:r>
        <w:t xml:space="preserve">produtos à base de leite ou caseína são inadequados em caso de alergia à proteína do leite de vaca.</w:t>
      </w:r>
    </w:p>
    <w:p>
      <w:pPr>
        <w:numPr>
          <w:ilvl w:val="0"/>
          <w:numId w:val="1299"/>
        </w:numPr>
        <w:pStyle w:val="Compact"/>
      </w:pPr>
      <w:r>
        <w:rPr>
          <w:bCs/>
          <w:b/>
        </w:rPr>
        <w:t xml:space="preserve">Combinação com medicamentos para a pressão arterial:</w:t>
      </w:r>
      <w:r>
        <w:t xml:space="preserve"> </w:t>
      </w:r>
      <w:r>
        <w:t xml:space="preserve">uma potencialização relevante é improvável diante do efeito fraco, mas não foi estudada sistematicamente.</w:t>
      </w:r>
    </w:p>
    <w:p>
      <w:pPr>
        <w:numPr>
          <w:ilvl w:val="0"/>
          <w:numId w:val="1299"/>
        </w:numPr>
        <w:pStyle w:val="Compact"/>
      </w:pPr>
      <w:r>
        <w:rPr>
          <w:bCs/>
          <w:b/>
        </w:rPr>
        <w:t xml:space="preserve">Gravidez:</w:t>
      </w:r>
      <w:r>
        <w:t xml:space="preserve"> </w:t>
      </w:r>
      <w:r>
        <w:t xml:space="preserve">inibidores da ECA são contraindicados na gravidez. Para os lactotripeptídeos, não foi encontrado em experimentos com animais nenhum dano correspondente; faltam dados em humanos.</w:t>
      </w:r>
    </w:p>
    <w:p>
      <w:pPr>
        <w:numPr>
          <w:ilvl w:val="0"/>
          <w:numId w:val="1299"/>
        </w:numPr>
        <w:pStyle w:val="Compact"/>
      </w:pPr>
      <w:r>
        <w:rPr>
          <w:bCs/>
          <w:b/>
        </w:rPr>
        <w:t xml:space="preserve">O risco mais importante:</w:t>
      </w:r>
      <w:r>
        <w:t xml:space="preserve"> </w:t>
      </w:r>
      <w:r>
        <w:t xml:space="preserve">quem trata uma hipertensão que requer tratamento com uma bebida láctea em vez de medidas eficazes abre mão da proteção contra infarto e AVC. Redução de peso, menos sal, atividade física e – quando necessário – medicamentos reduzem a pressão comprovadamente mais.</w:t>
      </w:r>
    </w:p>
    <w:bookmarkEnd w:id="2394"/>
    <w:bookmarkStart w:id="2395" w:name="situação-legal-53"/>
    <w:p>
      <w:pPr>
        <w:pStyle w:val="Heading3"/>
      </w:pPr>
      <w:r>
        <w:t xml:space="preserve">Situação legal</w:t>
      </w:r>
    </w:p>
    <w:p>
      <w:pPr>
        <w:numPr>
          <w:ilvl w:val="0"/>
          <w:numId w:val="1300"/>
        </w:numPr>
        <w:pStyle w:val="Compact"/>
      </w:pPr>
      <w:r>
        <w:rPr>
          <w:bCs/>
          <w:b/>
        </w:rPr>
        <w:t xml:space="preserve">UE / Áustria / Alemanha:</w:t>
      </w:r>
      <w:r>
        <w:t xml:space="preserve"> </w:t>
      </w:r>
      <w:r>
        <w:t xml:space="preserve">os lactotripeptídeos são ingredientes alimentares. Alegações de saúde sobre a pressão arterial</w:t>
      </w:r>
      <w:r>
        <w:t xml:space="preserve"> </w:t>
      </w:r>
      <w:r>
        <w:rPr>
          <w:bCs/>
          <w:b/>
        </w:rPr>
        <w:t xml:space="preserve">não estão autorizadas</w:t>
      </w:r>
      <w:r>
        <w:t xml:space="preserve"> </w:t>
      </w:r>
      <w:r>
        <w:t xml:space="preserve">segundo o Regulamento de Alegações de Saúde (Regulamento (CE) nº 1924/2006). A Autoridade Europeia para a Segurança dos Alimentos (EFSA) avaliou pedidos sobre lactotripeptídeos e a manutenção de uma pressão arterial normal e concluiu que uma relação de causa e efeito não está suficientemente comprovada. Foram decisivos, entre outros, os estudos europeus contraditórios. Os produtos, portanto, não podem ser promovidos na UE com</w:t>
      </w:r>
      <w:r>
        <w:t xml:space="preserve"> </w:t>
      </w:r>
      <w:r>
        <w:t xml:space="preserve">“</w:t>
      </w:r>
      <w:r>
        <w:t xml:space="preserve">reduz a pressão arterial</w:t>
      </w:r>
      <w:r>
        <w:t xml:space="preserve">”</w:t>
      </w:r>
      <w:r>
        <w:t xml:space="preserve"> </w:t>
      </w:r>
      <w:r>
        <w:t xml:space="preserve">ou</w:t>
      </w:r>
      <w:r>
        <w:t xml:space="preserve"> </w:t>
      </w:r>
      <w:r>
        <w:t xml:space="preserve">“</w:t>
      </w:r>
      <w:r>
        <w:t xml:space="preserve">contribui para uma pressão arterial normal</w:t>
      </w:r>
      <w:r>
        <w:t xml:space="preserve">”</w:t>
      </w:r>
      <w:r>
        <w:t xml:space="preserve">.</w:t>
      </w:r>
    </w:p>
    <w:p>
      <w:pPr>
        <w:numPr>
          <w:ilvl w:val="0"/>
          <w:numId w:val="1300"/>
        </w:numPr>
        <w:pStyle w:val="Compact"/>
      </w:pPr>
      <w:r>
        <w:rPr>
          <w:bCs/>
          <w:b/>
        </w:rPr>
        <w:t xml:space="preserve">Japão:</w:t>
      </w:r>
      <w:r>
        <w:t xml:space="preserve"> </w:t>
      </w:r>
      <w:r>
        <w:t xml:space="preserve">lá, bebidas desse tipo foram comercializadas como</w:t>
      </w:r>
      <w:r>
        <w:t xml:space="preserve"> </w:t>
      </w:r>
      <w:r>
        <w:t xml:space="preserve">“</w:t>
      </w:r>
      <w:r>
        <w:t xml:space="preserve">alimentos para uso específico de saúde</w:t>
      </w:r>
      <w:r>
        <w:t xml:space="preserve">”</w:t>
      </w:r>
      <w:r>
        <w:t xml:space="preserve"> </w:t>
      </w:r>
      <w:r>
        <w:t xml:space="preserve">(FOSHU), com uma alegação sobre pressão arterial autorizada pelas autoridades. Isso explica em parte por que grande parte dos estudos vem do Japão.</w:t>
      </w:r>
    </w:p>
    <w:p>
      <w:pPr>
        <w:numPr>
          <w:ilvl w:val="0"/>
          <w:numId w:val="1300"/>
        </w:numPr>
        <w:pStyle w:val="Compact"/>
      </w:pPr>
      <w:r>
        <w:rPr>
          <w:bCs/>
          <w:b/>
        </w:rPr>
        <w:t xml:space="preserve">EUA:</w:t>
      </w:r>
      <w:r>
        <w:t xml:space="preserve"> </w:t>
      </w:r>
      <w:r>
        <w:t xml:space="preserve">de venda livre como suplemento alimentar; alegações relacionadas a doenças não são permitidas.</w:t>
      </w:r>
    </w:p>
    <w:p>
      <w:pPr>
        <w:numPr>
          <w:ilvl w:val="0"/>
          <w:numId w:val="1300"/>
        </w:numPr>
        <w:pStyle w:val="Compact"/>
      </w:pPr>
      <w:r>
        <w:rPr>
          <w:bCs/>
          <w:b/>
        </w:rPr>
        <w:t xml:space="preserve">Esporte:</w:t>
      </w:r>
      <w:r>
        <w:t xml:space="preserve"> </w:t>
      </w:r>
      <w:r>
        <w:t xml:space="preserve">não constam na lista de proibições da WADA (situação em 2026, verificar atualização).</w:t>
      </w:r>
    </w:p>
    <w:bookmarkEnd w:id="2395"/>
    <w:bookmarkStart w:id="2397" w:name="estudos-em-andamento-e-perspectivas-53"/>
    <w:p>
      <w:pPr>
        <w:pStyle w:val="Heading3"/>
      </w:pPr>
      <w:r>
        <w:t xml:space="preserve">Estudos em andamento e perspectivas</w:t>
      </w:r>
    </w:p>
    <w:p>
      <w:pPr>
        <w:pStyle w:val="FirstParagraph"/>
      </w:pPr>
      <w:r>
        <w:rPr>
          <w:bCs/>
          <w:b/>
        </w:rPr>
        <w:t xml:space="preserve">Confirmado:</w:t>
      </w:r>
      <w:r>
        <w:t xml:space="preserve"> </w:t>
      </w:r>
      <w:r>
        <w:t xml:space="preserve">no ClinicalTrials.gov, não há estudo em andamento registrado sob o termo</w:t>
      </w:r>
      <w:r>
        <w:t xml:space="preserve"> </w:t>
      </w:r>
      <w:r>
        <w:t xml:space="preserve">“</w:t>
      </w:r>
      <w:r>
        <w:t xml:space="preserve">lactotripeptides</w:t>
      </w:r>
      <w:r>
        <w:t xml:space="preserve">”</w:t>
      </w:r>
      <w:r>
        <w:t xml:space="preserve">. Sob termos relacionados, encontra-se um estudo concluído sobre IPP e a função vascular na doença arterial coronariana, com 54 participantes</w:t>
      </w:r>
      <w:r>
        <w:rPr>
          <w:rStyle w:val="FootnoteReference"/>
        </w:rPr>
        <w:footnoteReference w:id="2396"/>
      </w:r>
      <w:r>
        <w:t xml:space="preserve">. A pesquisa sobre lactotripeptídeos diminuiu claramente desde cerca de 2015; os trabalhos novos investigam sobretudo, de forma geral, por que as pessoas respondem de modo diferente a peptídeos alimentares.</w:t>
      </w:r>
    </w:p>
    <w:p>
      <w:pPr>
        <w:pStyle w:val="BodyText"/>
      </w:pPr>
      <w:r>
        <w:rPr>
          <w:bCs/>
          <w:b/>
        </w:rPr>
        <w:t xml:space="preserve">Avaliação:</w:t>
      </w:r>
      <w:r>
        <w:t xml:space="preserve"> </w:t>
      </w:r>
      <w:r>
        <w:t xml:space="preserve">os lactotripeptídeos são um exemplo didático de como um mecanismo convincente em laboratório e estudos iniciais positivos podem encolher em investigações maiores e independentes. Um pequeno efeito sobre a pressão arterial é possível – sobretudo em populações de estudo asiáticas –, mas para a Europa não está comprovado de forma convincente. Não há renascimento à vista.</w:t>
      </w:r>
    </w:p>
    <w:bookmarkEnd w:id="2397"/>
    <w:bookmarkStart w:id="2398" w:name="conclusão-53"/>
    <w:p>
      <w:pPr>
        <w:pStyle w:val="Heading3"/>
      </w:pPr>
      <w:r>
        <w:t xml:space="preserve">Conclusão</w:t>
      </w:r>
    </w:p>
    <w:p>
      <w:pPr>
        <w:pStyle w:val="FirstParagraph"/>
      </w:pPr>
      <w:r>
        <w:t xml:space="preserve">Os lactotripeptídeos são dois pequenos peptídeos do leite que, em tubo de ensaio, inibem a enzima ECA, reguladora da pressão arterial. Em estudos iniciais japoneses e finlandeses, reduziram a pressão arterial; em vários estudos holandeses maiores, por outro lado, não, e uma inibição mensurável da ECA não pôde ser demonstrada em humanos. Metanálises resultam em uma redução da pressão sistólica de cerca de 1 a 4 mmHg, com indícios de viés de publicação e um efeito bem menor na Europa. A EFSA rejeitou uma alegação sobre pressão arterial. Eles são inofensivos, mas não substituem um tratamento da pressão arterial.</w:t>
      </w:r>
    </w:p>
    <w:bookmarkEnd w:id="2398"/>
    <w:bookmarkEnd w:id="2399"/>
    <w:bookmarkStart w:id="2450" w:name="carnosina"/>
    <w:p>
      <w:pPr>
        <w:pStyle w:val="Heading2"/>
      </w:pPr>
      <w:r>
        <w:t xml:space="preserve">Carnosina</w:t>
      </w:r>
    </w:p>
    <w:bookmarkStart w:id="2400" w:name="ficha-técnica-54"/>
    <w:p>
      <w:pPr>
        <w:pStyle w:val="Heading3"/>
      </w:pPr>
      <w:r>
        <w:t xml:space="preserve">Ficha técnica</w:t>
      </w:r>
    </w:p>
    <w:p>
      <w:pPr>
        <w:numPr>
          <w:ilvl w:val="0"/>
          <w:numId w:val="1301"/>
        </w:numPr>
        <w:pStyle w:val="Compact"/>
      </w:pPr>
      <w:r>
        <w:rPr>
          <w:bCs/>
          <w:b/>
        </w:rPr>
        <w:t xml:space="preserve">Tipo/estrutura:</w:t>
      </w:r>
      <w:r>
        <w:t xml:space="preserve"> </w:t>
      </w:r>
      <w:r>
        <w:t xml:space="preserve">dipeptídeo formado pelos aminoácidos beta-alanina e histidina (β-alanil-L-histidina). Substâncias aparentadas são a anserina (em aves e peixes) e a homocarnosina (no cérebro); juntas, são chamadas de dipeptídeos contendo histidina.</w:t>
      </w:r>
    </w:p>
    <w:p>
      <w:pPr>
        <w:numPr>
          <w:ilvl w:val="0"/>
          <w:numId w:val="1301"/>
        </w:numPr>
        <w:pStyle w:val="Compact"/>
      </w:pPr>
      <w:r>
        <w:rPr>
          <w:bCs/>
          <w:b/>
        </w:rPr>
        <w:t xml:space="preserve">Origem:</w:t>
      </w:r>
      <w:r>
        <w:t xml:space="preserve"> </w:t>
      </w:r>
      <w:r>
        <w:t xml:space="preserve">endógena, em alta concentração na musculatura esquelética, e também no coração e no cérebro. Pela alimentação, a carnosina é ingerida sobretudo com carne e peixe; alimentos vegetais praticamente não a contêm. Para suplementos alimentares, é produzida sinteticamente.</w:t>
      </w:r>
    </w:p>
    <w:p>
      <w:pPr>
        <w:numPr>
          <w:ilvl w:val="0"/>
          <w:numId w:val="1301"/>
        </w:numPr>
        <w:pStyle w:val="Compact"/>
      </w:pPr>
      <w:r>
        <w:rPr>
          <w:bCs/>
          <w:b/>
        </w:rPr>
        <w:t xml:space="preserve">Mecanismo de ação:</w:t>
      </w:r>
      <w:r>
        <w:t xml:space="preserve"> </w:t>
      </w:r>
      <w:r>
        <w:t xml:space="preserve">tampão contra a acidificação no músculo; em laboratório, além disso, captura de produtos reativos da degradação de açúcares e gorduras (antiglicação) e efeito antioxidante.</w:t>
      </w:r>
    </w:p>
    <w:p>
      <w:pPr>
        <w:numPr>
          <w:ilvl w:val="0"/>
          <w:numId w:val="1301"/>
        </w:numPr>
        <w:pStyle w:val="Compact"/>
      </w:pPr>
      <w:r>
        <w:rPr>
          <w:bCs/>
          <w:b/>
        </w:rPr>
        <w:t xml:space="preserve">Substâncias aparentadas:</w:t>
      </w:r>
      <w:r>
        <w:t xml:space="preserve"> </w:t>
      </w:r>
      <w:r>
        <w:t xml:space="preserve">beta-alanina (o precursor, suplemento esportivo difundido); zinco-carnosina (polaprezinco, no Japão um medicamento contra úlceras gástricas); N-acetilcarnosina (em colírios).</w:t>
      </w:r>
    </w:p>
    <w:p>
      <w:pPr>
        <w:numPr>
          <w:ilvl w:val="0"/>
          <w:numId w:val="1301"/>
        </w:numPr>
        <w:pStyle w:val="Compact"/>
      </w:pPr>
      <w:r>
        <w:rPr>
          <w:bCs/>
          <w:b/>
        </w:rPr>
        <w:t xml:space="preserve">Aprovação na UE:</w:t>
      </w:r>
      <w:r>
        <w:t xml:space="preserve"> </w:t>
      </w:r>
      <w:r>
        <w:t xml:space="preserve">nenhuma aprovação como medicamento para a carnosina; à venda como suplemento alimentar. Nenhuma alegação de saúde autorizada.</w:t>
      </w:r>
    </w:p>
    <w:p>
      <w:pPr>
        <w:numPr>
          <w:ilvl w:val="0"/>
          <w:numId w:val="1301"/>
        </w:numPr>
        <w:pStyle w:val="Compact"/>
      </w:pPr>
      <w:r>
        <w:rPr>
          <w:bCs/>
          <w:b/>
        </w:rPr>
        <w:t xml:space="preserve">Aprovação nos EUA:</w:t>
      </w:r>
      <w:r>
        <w:t xml:space="preserve"> </w:t>
      </w:r>
      <w:r>
        <w:t xml:space="preserve">nenhuma aprovação como medicamento; disponível como suplemento alimentar.</w:t>
      </w:r>
    </w:p>
    <w:p>
      <w:pPr>
        <w:numPr>
          <w:ilvl w:val="0"/>
          <w:numId w:val="1301"/>
        </w:numPr>
        <w:pStyle w:val="Compact"/>
      </w:pPr>
      <w:r>
        <w:rPr>
          <w:bCs/>
          <w:b/>
        </w:rPr>
        <w:t xml:space="preserve">WADA:</w:t>
      </w:r>
      <w:r>
        <w:t xml:space="preserve"> </w:t>
      </w:r>
      <w:r>
        <w:t xml:space="preserve">carnosina e beta-alanina não estão listadas.</w:t>
      </w:r>
    </w:p>
    <w:p>
      <w:pPr>
        <w:numPr>
          <w:ilvl w:val="0"/>
          <w:numId w:val="1301"/>
        </w:numPr>
        <w:pStyle w:val="Compact"/>
      </w:pPr>
      <w:r>
        <w:rPr>
          <w:bCs/>
          <w:b/>
        </w:rPr>
        <w:t xml:space="preserve">Nível de evidência:</w:t>
      </w:r>
      <w:r>
        <w:t xml:space="preserve"> </w:t>
      </w:r>
      <w:r>
        <w:rPr>
          <w:bCs/>
          <w:b/>
        </w:rPr>
        <w:t xml:space="preserve">B</w:t>
      </w:r>
      <w:r>
        <w:t xml:space="preserve"> </w:t>
      </w:r>
      <w:r>
        <w:t xml:space="preserve">– vários pequenos estudos randomizados, um estudo maior com quase 300 participantes; muitos resultados heterogêneos.</w:t>
      </w:r>
    </w:p>
    <w:bookmarkEnd w:id="2400"/>
    <w:bookmarkStart w:id="2409" w:name="como-deveria-agir-54"/>
    <w:p>
      <w:pPr>
        <w:pStyle w:val="Heading3"/>
      </w:pPr>
      <w:r>
        <w:t xml:space="preserve">Como deveria agir</w:t>
      </w:r>
    </w:p>
    <w:p>
      <w:pPr>
        <w:pStyle w:val="FirstParagraph"/>
      </w:pPr>
      <w:r>
        <w:t xml:space="preserve">Em esforços curtos e muito intensos – uma corrida de 400 metros ou uma regata de remo –, o músculo produz mais ácido do que consegue remover. A acidez aumenta, e o trabalho muscular diminui. A carnosina é, no músculo, um dos tampões que neutralizam esse ácido. Em 18 remadores belgas de elite, o teor de carnosina da musculatura da panturrilha esteve estreitamente relacionado à velocidade em distâncias de 100 a 6.000 metros</w:t>
      </w:r>
      <w:r>
        <w:rPr>
          <w:rStyle w:val="FootnoteReference"/>
        </w:rPr>
        <w:footnoteReference w:id="2401"/>
      </w:r>
      <w:r>
        <w:t xml:space="preserve">.</w:t>
      </w:r>
    </w:p>
    <w:p>
      <w:pPr>
        <w:pStyle w:val="BodyText"/>
      </w:pPr>
      <w:r>
        <w:t xml:space="preserve">Além disso, a carnosina tem em laboratório outras propriedades: captura moléculas reativas que surgem com glicemia alta ou na degradação de gorduras e que podem danificar proteínas (a chamada glicação e a peroxidação lipídica). Daí derivam as hipóteses de que a carnosina poderia ser útil no diabetes, em lesões vasculares e renais, no envelhecimento cerebral ou no envelhecimento da pele.</w:t>
      </w:r>
    </w:p>
    <w:bookmarkStart w:id="2404" w:name="o-problema-da-absorção-a-carnosinase"/>
    <w:p>
      <w:pPr>
        <w:pStyle w:val="Heading4"/>
      </w:pPr>
      <w:r>
        <w:t xml:space="preserve">O problema da absorção: a carnosinase</w:t>
      </w:r>
    </w:p>
    <w:p>
      <w:pPr>
        <w:pStyle w:val="FirstParagraph"/>
      </w:pPr>
      <w:r>
        <w:t xml:space="preserve">No sangue humano há uma enzima muito ativa, a carnosinase sérica (CN1), que cliva rapidamente a carnosina em beta-alanina e histidina. Os roedores praticamente não possuem essa enzima no sangue – um motivo importante pelo qual os resultados de experimentos em animais só são transferíveis de forma limitada. Já em 1991, um estudo mostrou que parte da carnosina ingerida é, sim, absorvida intacta pelo intestino (até 14% foram encontrados na urina), mas no sangue só era detectável quando a carnosinase era bloqueada no tubo de amostra. A quantidade na urina variava muito e era tanto menor quanto mais ativa fosse a carnosinase da pessoa</w:t>
      </w:r>
      <w:r>
        <w:rPr>
          <w:rStyle w:val="FootnoteReference"/>
        </w:rPr>
        <w:footnoteReference w:id="2402"/>
      </w:r>
      <w:r>
        <w:t xml:space="preserve">.</w:t>
      </w:r>
    </w:p>
    <w:p>
      <w:pPr>
        <w:pStyle w:val="BodyText"/>
      </w:pPr>
      <w:r>
        <w:t xml:space="preserve">No maior estudo até agora, com 2 g de carnosina por dia, os valores de carnosina nos glóbulos vermelhos aproximadamente dobraram após 6 e 12 semanas, e na urina aumentaram cerca de sete vezes</w:t>
      </w:r>
      <w:r>
        <w:rPr>
          <w:rStyle w:val="FootnoteReference"/>
        </w:rPr>
        <w:footnoteReference w:id="2403"/>
      </w:r>
      <w:r>
        <w:t xml:space="preserve">. A carnosina chega, portanto, ao corpo – mas quanto dela alcança o músculo, o cérebro ou o rim continua em grande parte em aberto.</w:t>
      </w:r>
    </w:p>
    <w:bookmarkEnd w:id="2404"/>
    <w:bookmarkStart w:id="2408" w:name="beta-alanina-o-desvio-pelo-precursor"/>
    <w:p>
      <w:pPr>
        <w:pStyle w:val="Heading4"/>
      </w:pPr>
      <w:r>
        <w:t xml:space="preserve">Beta-alanina: o desvio pelo precursor</w:t>
      </w:r>
    </w:p>
    <w:p>
      <w:pPr>
        <w:pStyle w:val="FirstParagraph"/>
      </w:pPr>
      <w:r>
        <w:t xml:space="preserve">Para o músculo, outro caminho se impôs. O próprio corpo produz carnosina na célula muscular a partir de beta-alanina e histidina; a beta-alanina é o componente escasso. Quando se ingere beta-alanina, o teor de carnosina no músculo aumenta claramente. Em um estudo inicial, quatro semanas de beta-alanina elevaram o teor de carnosina muscular em, estimadamente, 42 a 64%; quantidades isomolares de carnosina tiveram efeito semelhante</w:t>
      </w:r>
      <w:r>
        <w:rPr>
          <w:rStyle w:val="FootnoteReference"/>
        </w:rPr>
        <w:footnoteReference w:id="2405"/>
      </w:r>
      <w:r>
        <w:t xml:space="preserve">. Após a suspensão, foram necessárias 12 a 16 semanas para que o valor voltasse ao nível inicial</w:t>
      </w:r>
      <w:r>
        <w:rPr>
          <w:rStyle w:val="FootnoteReference"/>
        </w:rPr>
        <w:footnoteReference w:id="2406"/>
      </w:r>
      <w:r>
        <w:t xml:space="preserve">. Praticamente todas as pessoas respondem à beta-alanina</w:t>
      </w:r>
      <w:r>
        <w:rPr>
          <w:rStyle w:val="FootnoteReference"/>
        </w:rPr>
        <w:footnoteReference w:id="2407"/>
      </w:r>
      <w:r>
        <w:t xml:space="preserve">.</w:t>
      </w:r>
    </w:p>
    <w:p>
      <w:pPr>
        <w:pStyle w:val="BodyText"/>
      </w:pPr>
      <w:r>
        <w:t xml:space="preserve">A beta-alanina não é um peptídeo, mas um aminoácido isolado. Ela é tratada aqui apenas brevemente, porque aumenta o teor de carnosina muscular de forma mais confiável do que a própria carnosina e, por isso, desempenha papel muito maior no esporte.</w:t>
      </w:r>
    </w:p>
    <w:bookmarkEnd w:id="2408"/>
    <w:bookmarkEnd w:id="2409"/>
    <w:bookmarkStart w:id="2437" w:name="estudos-em-humanos-54"/>
    <w:p>
      <w:pPr>
        <w:pStyle w:val="Heading3"/>
      </w:pPr>
      <w:r>
        <w:t xml:space="preserve">Estudos em humanos</w:t>
      </w:r>
    </w:p>
    <w:p>
      <w:pPr>
        <w:pStyle w:val="FirstParagraph"/>
      </w:pPr>
      <w:r>
        <w:t xml:space="preserve">A consulta ao PubMed avaliada para este livro (carnosina no título, combinada com suplementação ou administração oral, data da consulta outubro de 2026) resultou em 57 estudos em humanos; no ClinicalTrials.gov constam 53 registros. Parte deles refere-se, na verdade, à beta-alanina ou à zinco-carnosina. Os estudos distribuem-se por muitos campos de aplicação pequenos.</w:t>
      </w:r>
    </w:p>
    <w:bookmarkStart w:id="2414" w:name="esporte-e-desempenho-físico"/>
    <w:p>
      <w:pPr>
        <w:pStyle w:val="Heading4"/>
      </w:pPr>
      <w:r>
        <w:t xml:space="preserve">Esporte e desempenho físico</w:t>
      </w:r>
    </w:p>
    <w:p>
      <w:pPr>
        <w:pStyle w:val="FirstParagraph"/>
      </w:pPr>
      <w:r>
        <w:t xml:space="preserve">Em atletas, os dados sobre</w:t>
      </w:r>
      <w:r>
        <w:t xml:space="preserve"> </w:t>
      </w:r>
      <w:r>
        <w:rPr>
          <w:bCs/>
          <w:b/>
        </w:rPr>
        <w:t xml:space="preserve">beta-alanina</w:t>
      </w:r>
      <w:r>
        <w:t xml:space="preserve"> </w:t>
      </w:r>
      <w:r>
        <w:t xml:space="preserve">são bem melhores do que sobre a carnosina. Uma metanálise de 40 estudos duplo-cegos controlados por placebo com 1.461 participantes encontrou um pequeno efeito geral (tamanho de efeito 0,18). Ele foi mais nítido em esforços de 0,5 a 10 minutos de duração e em testes de capacidade até a exaustão, e menor no desempenho em competição</w:t>
      </w:r>
      <w:r>
        <w:rPr>
          <w:rStyle w:val="FootnoteReference"/>
        </w:rPr>
        <w:footnoteReference w:id="2410"/>
      </w:r>
      <w:r>
        <w:t xml:space="preserve">. Um exemplo: em 15 velocistas, a beta-alanina aumentou o teor de carnosina nos músculos da panturrilha em 37 a 47% e atenuou a fadiga em séries repetidas de força, mas não melhorou o tempo nos 400 metros</w:t>
      </w:r>
      <w:r>
        <w:rPr>
          <w:rStyle w:val="FootnoteReference"/>
        </w:rPr>
        <w:footnoteReference w:id="2411"/>
      </w:r>
      <w:r>
        <w:t xml:space="preserve">. Também uma duplicação da carnosina muscular não melhorou o tempo de ciclistas ao longo de uma hora</w:t>
      </w:r>
      <w:r>
        <w:rPr>
          <w:rStyle w:val="FootnoteReference"/>
        </w:rPr>
        <w:footnoteReference w:id="2412"/>
      </w:r>
      <w:r>
        <w:t xml:space="preserve"> </w:t>
      </w:r>
      <w:r>
        <w:t xml:space="preserve">– o que é coerente, pois em esforços de resistência o tamponamento de ácido tem papel menor.</w:t>
      </w:r>
    </w:p>
    <w:p>
      <w:pPr>
        <w:pStyle w:val="BodyText"/>
      </w:pPr>
      <w:r>
        <w:t xml:space="preserve">Para a</w:t>
      </w:r>
      <w:r>
        <w:t xml:space="preserve"> </w:t>
      </w:r>
      <w:r>
        <w:rPr>
          <w:bCs/>
          <w:b/>
        </w:rPr>
        <w:t xml:space="preserve">própria carnosina</w:t>
      </w:r>
      <w:r>
        <w:t xml:space="preserve">, há poucos estudos de desempenho. No estudo NEAT (Nucleophilic Defense Against PM Toxicity, NCT03314987), 299 adultos receberam 2 g de carnosina ou placebo durante doze semanas. Na força de preensão, na velocidade de marcha e na maioria dos testes não houve diferenças; melhoras significativas apareceram apenas em alguns subgrupos (determinados grupos de idade e sexo) na elevação de panturrilha e no teste de degrau</w:t>
      </w:r>
      <w:r>
        <w:rPr>
          <w:rStyle w:val="FootnoteReference"/>
        </w:rPr>
        <w:footnoteReference w:id="2413"/>
      </w:r>
      <w:r>
        <w:t xml:space="preserve">. Achados em subgrupos como esses são suscetíveis a acertos ao acaso e precisam ser confirmados.</w:t>
      </w:r>
    </w:p>
    <w:bookmarkEnd w:id="2414"/>
    <w:bookmarkStart w:id="2418" w:name="diabetes-e-metabolismo"/>
    <w:p>
      <w:pPr>
        <w:pStyle w:val="Heading4"/>
      </w:pPr>
      <w:r>
        <w:t xml:space="preserve">Diabetes e metabolismo</w:t>
      </w:r>
    </w:p>
    <w:p>
      <w:pPr>
        <w:pStyle w:val="FirstParagraph"/>
      </w:pPr>
      <w:r>
        <w:t xml:space="preserve">Este é o campo médico mais intensamente estudado: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de Courten 2016, PMID 27040154</w:t>
            </w:r>
          </w:p>
        </w:tc>
        <w:tc>
          <w:tcPr/>
          <w:p>
            <w:pPr>
              <w:pStyle w:val="Compact"/>
              <w:jc w:val="left"/>
            </w:pPr>
            <w:r>
              <w:t xml:space="preserve">30 adultos com sobrepeso sem diabetes, 2 g vs. placebo</w:t>
            </w:r>
          </w:p>
        </w:tc>
        <w:tc>
          <w:tcPr/>
          <w:p>
            <w:pPr>
              <w:pStyle w:val="Compact"/>
              <w:jc w:val="left"/>
            </w:pPr>
            <w:r>
              <w:t xml:space="preserve">12 semanas</w:t>
            </w:r>
          </w:p>
        </w:tc>
        <w:tc>
          <w:tcPr/>
          <w:p>
            <w:pPr>
              <w:pStyle w:val="Compact"/>
              <w:jc w:val="left"/>
            </w:pPr>
            <w:r>
              <w:t xml:space="preserve">Aumento da insulina de jejum e da resistência à insulina freado com carnosina (estudo-piloto)</w:t>
            </w:r>
          </w:p>
        </w:tc>
      </w:tr>
      <w:tr>
        <w:tc>
          <w:tcPr/>
          <w:p>
            <w:pPr>
              <w:pStyle w:val="Compact"/>
              <w:jc w:val="left"/>
            </w:pPr>
            <w:r>
              <w:t xml:space="preserve">Houjeghani 2018, PMID 29420997</w:t>
            </w:r>
          </w:p>
        </w:tc>
        <w:tc>
          <w:tcPr/>
          <w:p>
            <w:pPr>
              <w:pStyle w:val="Compact"/>
              <w:jc w:val="left"/>
            </w:pPr>
            <w:r>
              <w:t xml:space="preserve">54 pessoas com diabetes tipo 2, 1 g vs. placebo</w:t>
            </w:r>
          </w:p>
        </w:tc>
        <w:tc>
          <w:tcPr/>
          <w:p>
            <w:pPr>
              <w:pStyle w:val="Compact"/>
              <w:jc w:val="left"/>
            </w:pPr>
            <w:r>
              <w:t xml:space="preserve">12 semanas</w:t>
            </w:r>
          </w:p>
        </w:tc>
        <w:tc>
          <w:tcPr/>
          <w:p>
            <w:pPr>
              <w:pStyle w:val="Compact"/>
              <w:jc w:val="left"/>
            </w:pPr>
            <w:r>
              <w:t xml:space="preserve">Glicemia de jejum −13,1 mg/dl, HbA1c −0,6 ponto percentual vs. placebo</w:t>
            </w:r>
          </w:p>
        </w:tc>
      </w:tr>
      <w:tr>
        <w:tc>
          <w:tcPr/>
          <w:p>
            <w:pPr>
              <w:pStyle w:val="Compact"/>
              <w:jc w:val="left"/>
            </w:pPr>
            <w:r>
              <w:t xml:space="preserve">Hariharan 2024, PMID 38172006</w:t>
            </w:r>
          </w:p>
        </w:tc>
        <w:tc>
          <w:tcPr/>
          <w:p>
            <w:pPr>
              <w:pStyle w:val="Compact"/>
              <w:jc w:val="left"/>
            </w:pPr>
            <w:r>
              <w:t xml:space="preserve">43 adultos com pré-diabetes ou diabetes tipo 2, 2 g vs. placebo</w:t>
            </w:r>
          </w:p>
        </w:tc>
        <w:tc>
          <w:tcPr/>
          <w:p>
            <w:pPr>
              <w:pStyle w:val="Compact"/>
              <w:jc w:val="left"/>
            </w:pPr>
            <w:r>
              <w:t xml:space="preserve">14 semanas</w:t>
            </w:r>
          </w:p>
        </w:tc>
        <w:tc>
          <w:tcPr/>
          <w:p>
            <w:pPr>
              <w:pStyle w:val="Compact"/>
              <w:jc w:val="left"/>
            </w:pPr>
            <w:r>
              <w:t xml:space="preserve">Glicemia mais baixa 90 e 120 minutos após sobrecarga de glicose; insulina inalterada</w:t>
            </w:r>
          </w:p>
        </w:tc>
      </w:tr>
      <w:tr>
        <w:tc>
          <w:tcPr/>
          <w:p>
            <w:pPr>
              <w:pStyle w:val="Compact"/>
              <w:jc w:val="left"/>
            </w:pPr>
            <w:r>
              <w:t xml:space="preserve">Saadati 2023, PMID 38004228</w:t>
            </w:r>
          </w:p>
        </w:tc>
        <w:tc>
          <w:tcPr/>
          <w:p>
            <w:pPr>
              <w:pStyle w:val="Compact"/>
              <w:jc w:val="left"/>
            </w:pPr>
            <w:r>
              <w:t xml:space="preserve">49 adultos com pré-diabetes ou diabetes tipo 2 bem controlado, 2 g vs. placebo</w:t>
            </w:r>
          </w:p>
        </w:tc>
        <w:tc>
          <w:tcPr/>
          <w:p>
            <w:pPr>
              <w:pStyle w:val="Compact"/>
              <w:jc w:val="left"/>
            </w:pPr>
            <w:r>
              <w:t xml:space="preserve">14 semanas</w:t>
            </w:r>
          </w:p>
        </w:tc>
        <w:tc>
          <w:tcPr/>
          <w:p>
            <w:pPr>
              <w:pStyle w:val="Compact"/>
              <w:jc w:val="left"/>
            </w:pPr>
            <w:r>
              <w:t xml:space="preserve">Nenhum efeito sobre função vascular, rigidez vascular, lipídios sanguíneos, pressão arterial, valores hepáticos e renais</w:t>
            </w:r>
          </w:p>
        </w:tc>
      </w:tr>
      <w:tr>
        <w:tc>
          <w:tcPr/>
          <w:p>
            <w:pPr>
              <w:pStyle w:val="Compact"/>
              <w:jc w:val="left"/>
            </w:pPr>
            <w:r>
              <w:t xml:space="preserve">Elbarbary 2018, PMID 28744992</w:t>
            </w:r>
          </w:p>
        </w:tc>
        <w:tc>
          <w:tcPr/>
          <w:p>
            <w:pPr>
              <w:pStyle w:val="Compact"/>
              <w:jc w:val="left"/>
            </w:pPr>
            <w:r>
              <w:t xml:space="preserve">90 crianças e adolescentes com diabetes tipo 1 e lesão renal, 1 g vs. placebo</w:t>
            </w:r>
          </w:p>
        </w:tc>
        <w:tc>
          <w:tcPr/>
          <w:p>
            <w:pPr>
              <w:pStyle w:val="Compact"/>
              <w:jc w:val="left"/>
            </w:pPr>
            <w:r>
              <w:t xml:space="preserve">12 semanas</w:t>
            </w:r>
          </w:p>
        </w:tc>
        <w:tc>
          <w:tcPr/>
          <w:p>
            <w:pPr>
              <w:pStyle w:val="Compact"/>
              <w:jc w:val="left"/>
            </w:pPr>
            <w:r>
              <w:t xml:space="preserve">Albumina na urina, HbA1c e marcadores de oxidação melhorados</w:t>
            </w:r>
          </w:p>
        </w:tc>
      </w:tr>
    </w:tbl>
    <w:p>
      <w:pPr>
        <w:pStyle w:val="BodyText"/>
      </w:pPr>
      <w:r>
        <w:t xml:space="preserve">Várias metanálises reúnem esses estudos. Uma análise de quatro estudos com 184 participantes encontrou redução da HbA1c de 0,92 ponto percentual, mas nenhum efeito sobre glicemia de jejum, resistência à insulina ou lipídios sanguíneos</w:t>
      </w:r>
      <w:r>
        <w:rPr>
          <w:rStyle w:val="FootnoteReference"/>
        </w:rPr>
        <w:footnoteReference w:id="2415"/>
      </w:r>
      <w:r>
        <w:t xml:space="preserve">. Uma metanálise bayesiana, que considerou carnosina e beta-alanina em conjunto, estimou para humanos uma redução da HbA1c de 0,91 ponto percentual – com base em apenas quatro estudos em humanos</w:t>
      </w:r>
      <w:r>
        <w:rPr>
          <w:rStyle w:val="FootnoteReference"/>
        </w:rPr>
        <w:footnoteReference w:id="2416"/>
      </w:r>
      <w:r>
        <w:t xml:space="preserve">. Uma metanálise mais recente, com oito estudos e 377 participantes com pré-diabetes ou diabetes tipo 2, encontrou melhoras na glicemia de jejum e na HbA1c, mas não na insulina ou no peso corporal</w:t>
      </w:r>
      <w:r>
        <w:rPr>
          <w:rStyle w:val="FootnoteReference"/>
        </w:rPr>
        <w:footnoteReference w:id="2417"/>
      </w:r>
      <w:r>
        <w:t xml:space="preserve">.</w:t>
      </w:r>
    </w:p>
    <w:p>
      <w:pPr>
        <w:pStyle w:val="BodyText"/>
      </w:pPr>
      <w:r>
        <w:t xml:space="preserve">Os efeitos parecem consideráveis no papel, mas repousam sobre uma base muito estreita: poucos estudos, pequenos e curtos, muitas vezes de centros isolados, com resultados em parte contraditórios (compare os estudos de 14 semanas com desenho semelhante de Hariharan 2024 e Saadati 2023, dos quais um encontrou efeitos favoráveis sobre a glicemia e o outro nenhum efeito sobre vasos e valores metabólicos). Se a carnosina previne a longo prazo as complicações do diabetes nunca foi estudado.</w:t>
      </w:r>
    </w:p>
    <w:bookmarkEnd w:id="2418"/>
    <w:bookmarkStart w:id="2420" w:name="inflamação-e-estresse-oxidativo"/>
    <w:p>
      <w:pPr>
        <w:pStyle w:val="Heading4"/>
      </w:pPr>
      <w:r>
        <w:t xml:space="preserve">Inflamação e estresse oxidativo</w:t>
      </w:r>
    </w:p>
    <w:p>
      <w:pPr>
        <w:pStyle w:val="FirstParagraph"/>
      </w:pPr>
      <w:r>
        <w:t xml:space="preserve">Uma metanálise de nove estudos com 350 participantes encontrou, com carnosina ou dipeptídeos contendo histidina, valores mais baixos do marcador inflamatório PCR e do marcador de oxidação malondialdeído, mas nenhuma alteração em vários outros marcadores</w:t>
      </w:r>
      <w:r>
        <w:rPr>
          <w:rStyle w:val="FootnoteReference"/>
        </w:rPr>
        <w:footnoteReference w:id="2419"/>
      </w:r>
      <w:r>
        <w:t xml:space="preserve">. Valores laboratoriais, porém, são parâmetros substitutos – se estão associados a um benefício para a saúde continua em aberto.</w:t>
      </w:r>
    </w:p>
    <w:bookmarkEnd w:id="2420"/>
    <w:bookmarkStart w:id="2428" w:name="cérebro-memória-e-psique"/>
    <w:p>
      <w:pPr>
        <w:pStyle w:val="Heading4"/>
      </w:pPr>
      <w:r>
        <w:t xml:space="preserve">Cérebro, memória e psique</w:t>
      </w:r>
    </w:p>
    <w:p>
      <w:pPr>
        <w:numPr>
          <w:ilvl w:val="0"/>
          <w:numId w:val="1302"/>
        </w:numPr>
        <w:pStyle w:val="Compact"/>
      </w:pPr>
      <w:r>
        <w:rPr>
          <w:bCs/>
          <w:b/>
        </w:rPr>
        <w:t xml:space="preserve">Idosos:</w:t>
      </w:r>
      <w:r>
        <w:t xml:space="preserve"> </w:t>
      </w:r>
      <w:r>
        <w:t xml:space="preserve">em estudos japoneses de um mesmo grupo de trabalho, idosos receberam uma mistura de anserina e carnosina (3:1). Em 39 idosos saudáveis, a evocação tardia de conteúdos verbais foi mais bem preservada do que com placebo</w:t>
      </w:r>
      <w:r>
        <w:rPr>
          <w:rStyle w:val="FootnoteReference"/>
        </w:rPr>
        <w:footnoteReference w:id="2421"/>
      </w:r>
      <w:r>
        <w:t xml:space="preserve">. Em 54 pessoas com comprometimento cognitivo leve, um escore global de gravidade da demência foi mais favorável com a mistura; a maioria dos outros testes não diferiu</w:t>
      </w:r>
      <w:r>
        <w:rPr>
          <w:rStyle w:val="FootnoteReference"/>
        </w:rPr>
        <w:footnoteReference w:id="2422"/>
      </w:r>
      <w:r>
        <w:t xml:space="preserve">.</w:t>
      </w:r>
    </w:p>
    <w:p>
      <w:pPr>
        <w:numPr>
          <w:ilvl w:val="0"/>
          <w:numId w:val="1302"/>
        </w:numPr>
        <w:pStyle w:val="Compact"/>
      </w:pPr>
      <w:r>
        <w:rPr>
          <w:bCs/>
          <w:b/>
        </w:rPr>
        <w:t xml:space="preserve">Adultos mais jovens:</w:t>
      </w:r>
      <w:r>
        <w:t xml:space="preserve"> </w:t>
      </w:r>
      <w:r>
        <w:t xml:space="preserve">em uma análise posterior do estudo NEAT, a velocidade e a eficiência em testes cognitivos melhoraram apenas na faixa etária mais jovem (23–35 anos)</w:t>
      </w:r>
      <w:r>
        <w:rPr>
          <w:rStyle w:val="FootnoteReference"/>
        </w:rPr>
        <w:footnoteReference w:id="2423"/>
      </w:r>
      <w:r>
        <w:t xml:space="preserve">.</w:t>
      </w:r>
    </w:p>
    <w:p>
      <w:pPr>
        <w:numPr>
          <w:ilvl w:val="0"/>
          <w:numId w:val="1302"/>
        </w:numPr>
        <w:pStyle w:val="Compact"/>
      </w:pPr>
      <w:r>
        <w:rPr>
          <w:bCs/>
          <w:b/>
        </w:rPr>
        <w:t xml:space="preserve">Síntese:</w:t>
      </w:r>
      <w:r>
        <w:t xml:space="preserve"> </w:t>
      </w:r>
      <w:r>
        <w:t xml:space="preserve">uma metanálise de 2026 incluiu 13 estudos. A maioria dos testes cognitivos não mostrou diferença em relação ao placebo; efeitos agrupados favoráveis basearam-se em parte em três estudos do mesmo grupo de pesquisa. Os autores avaliam a força da evidência como baixa</w:t>
      </w:r>
      <w:r>
        <w:rPr>
          <w:rStyle w:val="FootnoteReference"/>
        </w:rPr>
        <w:footnoteReference w:id="2424"/>
      </w:r>
      <w:r>
        <w:t xml:space="preserve">. Outra metanálise encontrou redução de escores de depressão (confiabilidade moderada), mas ressalta estudos pequenos com risco de viés moderado a alto</w:t>
      </w:r>
      <w:r>
        <w:rPr>
          <w:rStyle w:val="FootnoteReference"/>
        </w:rPr>
        <w:footnoteReference w:id="2425"/>
      </w:r>
      <w:r>
        <w:t xml:space="preserve">.</w:t>
      </w:r>
    </w:p>
    <w:p>
      <w:pPr>
        <w:numPr>
          <w:ilvl w:val="0"/>
          <w:numId w:val="1302"/>
        </w:numPr>
        <w:pStyle w:val="Compact"/>
      </w:pPr>
      <w:r>
        <w:rPr>
          <w:bCs/>
          <w:b/>
        </w:rPr>
        <w:t xml:space="preserve">Autismo:</w:t>
      </w:r>
      <w:r>
        <w:t xml:space="preserve"> </w:t>
      </w:r>
      <w:r>
        <w:t xml:space="preserve">um estudo inicial com 31 crianças relatou melhoras em uma escala comportamental</w:t>
      </w:r>
      <w:r>
        <w:rPr>
          <w:rStyle w:val="FootnoteReference"/>
        </w:rPr>
        <w:footnoteReference w:id="2426"/>
      </w:r>
      <w:r>
        <w:t xml:space="preserve">. Um estudo randomizado posterior, com 63 crianças avaliáveis, não encontrou, por outro lado, diferença em nenhum desfecho</w:t>
      </w:r>
      <w:r>
        <w:rPr>
          <w:rStyle w:val="FootnoteReference"/>
        </w:rPr>
        <w:footnoteReference w:id="2427"/>
      </w:r>
      <w:r>
        <w:t xml:space="preserve">.</w:t>
      </w:r>
    </w:p>
    <w:bookmarkEnd w:id="2428"/>
    <w:bookmarkStart w:id="2433" w:name="outras-aplicações-4"/>
    <w:p>
      <w:pPr>
        <w:pStyle w:val="Heading4"/>
      </w:pPr>
      <w:r>
        <w:t xml:space="preserve">Outras aplicações</w:t>
      </w:r>
    </w:p>
    <w:p>
      <w:pPr>
        <w:numPr>
          <w:ilvl w:val="0"/>
          <w:numId w:val="1303"/>
        </w:numPr>
        <w:pStyle w:val="Compact"/>
      </w:pPr>
      <w:r>
        <w:rPr>
          <w:bCs/>
          <w:b/>
        </w:rPr>
        <w:t xml:space="preserve">Lesões nervosas por quimioterapia:</w:t>
      </w:r>
      <w:r>
        <w:t xml:space="preserve"> </w:t>
      </w:r>
      <w:r>
        <w:t xml:space="preserve">em um estudo-piloto randomizado com 65 pacientes com câncer colorretal, lesões nervosas de grau dois ocorreram com menos frequência sob quimioterapia com oxaliplatina mais carnosina (1 de 30 contra 19 de 31 sem carnosina)</w:t>
      </w:r>
      <w:r>
        <w:rPr>
          <w:rStyle w:val="FootnoteReference"/>
        </w:rPr>
        <w:footnoteReference w:id="2429"/>
      </w:r>
      <w:r>
        <w:t xml:space="preserve">. O estudo não era cego nem tinha placebo; ainda falta confirmação.</w:t>
      </w:r>
    </w:p>
    <w:p>
      <w:pPr>
        <w:numPr>
          <w:ilvl w:val="0"/>
          <w:numId w:val="1303"/>
        </w:numPr>
        <w:pStyle w:val="Compact"/>
      </w:pPr>
      <w:r>
        <w:rPr>
          <w:bCs/>
          <w:b/>
        </w:rPr>
        <w:t xml:space="preserve">Insuficiência cardíaca:</w:t>
      </w:r>
      <w:r>
        <w:t xml:space="preserve"> </w:t>
      </w:r>
      <w:r>
        <w:t xml:space="preserve">em 50 pacientes com insuficiência cardíaca grave, a distância de caminhada, o consumo máximo de oxigênio e a qualidade de vida melhoraram com carnosina em comparação com o tratamento padrão</w:t>
      </w:r>
      <w:r>
        <w:rPr>
          <w:rStyle w:val="FootnoteReference"/>
        </w:rPr>
        <w:footnoteReference w:id="2430"/>
      </w:r>
      <w:r>
        <w:t xml:space="preserve"> </w:t>
      </w:r>
      <w:r>
        <w:t xml:space="preserve">– também sem placebo.</w:t>
      </w:r>
    </w:p>
    <w:p>
      <w:pPr>
        <w:numPr>
          <w:ilvl w:val="0"/>
          <w:numId w:val="1303"/>
        </w:numPr>
        <w:pStyle w:val="Compact"/>
      </w:pPr>
      <w:r>
        <w:rPr>
          <w:bCs/>
          <w:b/>
        </w:rPr>
        <w:t xml:space="preserve">Síndrome da Guerra do Golfo:</w:t>
      </w:r>
      <w:r>
        <w:t xml:space="preserve"> </w:t>
      </w:r>
      <w:r>
        <w:t xml:space="preserve">em um pequeno estudo com 25 veteranos, um teste cognitivo melhorou; cansaço e dor permaneceram inalterados</w:t>
      </w:r>
      <w:r>
        <w:rPr>
          <w:rStyle w:val="FootnoteReference"/>
        </w:rPr>
        <w:footnoteReference w:id="2431"/>
      </w:r>
      <w:r>
        <w:t xml:space="preserve">.</w:t>
      </w:r>
    </w:p>
    <w:p>
      <w:pPr>
        <w:numPr>
          <w:ilvl w:val="0"/>
          <w:numId w:val="1303"/>
        </w:numPr>
        <w:pStyle w:val="Compact"/>
      </w:pPr>
      <w:r>
        <w:rPr>
          <w:bCs/>
          <w:b/>
        </w:rPr>
        <w:t xml:space="preserve">Pele:</w:t>
      </w:r>
      <w:r>
        <w:t xml:space="preserve"> </w:t>
      </w:r>
      <w:r>
        <w:t xml:space="preserve">um estudo com uma preparação de carnosina</w:t>
      </w:r>
      <w:r>
        <w:t xml:space="preserve"> </w:t>
      </w:r>
      <w:r>
        <w:t xml:space="preserve">“</w:t>
      </w:r>
      <w:r>
        <w:t xml:space="preserve">não hidrolisável</w:t>
      </w:r>
      <w:r>
        <w:t xml:space="preserve">”</w:t>
      </w:r>
      <w:r>
        <w:t xml:space="preserve"> </w:t>
      </w:r>
      <w:r>
        <w:t xml:space="preserve">relatou melhoras na pele; ele provém do inventor da formulação patenteada e mistura experimentos de laboratório com um ensaio clínico</w:t>
      </w:r>
      <w:r>
        <w:rPr>
          <w:rStyle w:val="FootnoteReference"/>
        </w:rPr>
        <w:footnoteReference w:id="2432"/>
      </w:r>
      <w:r>
        <w:t xml:space="preserve">.</w:t>
      </w:r>
    </w:p>
    <w:bookmarkEnd w:id="2433"/>
    <w:bookmarkStart w:id="2436" w:name="Xe634933bbf46c2f6e45bcf1dda1c4b79b07687d"/>
    <w:p>
      <w:pPr>
        <w:pStyle w:val="Heading4"/>
      </w:pPr>
      <w:r>
        <w:t xml:space="preserve">Substâncias aparentadas: zinco-carnosina e N-acetilcarnosina</w:t>
      </w:r>
    </w:p>
    <w:p>
      <w:pPr>
        <w:pStyle w:val="FirstParagraph"/>
      </w:pPr>
      <w:r>
        <w:t xml:space="preserve">A</w:t>
      </w:r>
      <w:r>
        <w:t xml:space="preserve"> </w:t>
      </w:r>
      <w:r>
        <w:rPr>
          <w:bCs/>
          <w:b/>
        </w:rPr>
        <w:t xml:space="preserve">zinco-carnosina (polaprezinco)</w:t>
      </w:r>
      <w:r>
        <w:t xml:space="preserve"> </w:t>
      </w:r>
      <w:r>
        <w:t xml:space="preserve">é um composto de zinco e carnosina usado no Japão como medicamento contra úlceras gástricas. Em um estudo multicêntrico com 224 pacientes, foi, após oito semanas, tão eficaz quanto o medicamento de comparação rebamipida (taxa de cicatrização de 81,5% contra 74,3%, diferença não significativa)</w:t>
      </w:r>
      <w:r>
        <w:rPr>
          <w:rStyle w:val="FootnoteReference"/>
        </w:rPr>
        <w:footnoteReference w:id="2434"/>
      </w:r>
      <w:r>
        <w:t xml:space="preserve">. Esse efeito provavelmente está fortemente ligado ao zinco e não pode ser transferido para a carnosina pura.</w:t>
      </w:r>
    </w:p>
    <w:p>
      <w:pPr>
        <w:pStyle w:val="BodyText"/>
      </w:pPr>
      <w:r>
        <w:rPr>
          <w:bCs/>
          <w:b/>
        </w:rPr>
        <w:t xml:space="preserve">Colírios de N-acetilcarnosina</w:t>
      </w:r>
      <w:r>
        <w:t xml:space="preserve"> </w:t>
      </w:r>
      <w:r>
        <w:t xml:space="preserve">são promovidos na internet contra a catarata. Uma revisão Cochrane encontrou apenas dois estudos possíveis, com 114 participantes, cuja metodologia não era rastreável, e concluiu que não há provas convincentes de que os colírios revertam a catarata ou impeçam sua progressão</w:t>
      </w:r>
      <w:r>
        <w:rPr>
          <w:rStyle w:val="FootnoteReference"/>
        </w:rPr>
        <w:footnoteReference w:id="2435"/>
      </w:r>
      <w:r>
        <w:t xml:space="preserve">. O único tratamento eficaz continua sendo a cirurgia.</w:t>
      </w:r>
    </w:p>
    <w:bookmarkEnd w:id="2436"/>
    <w:bookmarkEnd w:id="2437"/>
    <w:bookmarkStart w:id="2440" w:name="estudos-em-animais-e-em-laboratório-54"/>
    <w:p>
      <w:pPr>
        <w:pStyle w:val="Heading3"/>
      </w:pPr>
      <w:r>
        <w:t xml:space="preserve">Estudos em animais e em laboratório</w:t>
      </w:r>
    </w:p>
    <w:p>
      <w:pPr>
        <w:pStyle w:val="FirstParagraph"/>
      </w:pPr>
      <w:r>
        <w:t xml:space="preserve">Em culturas de células e em roedores, a carnosina age como antioxidante, inibe a glicação de proteínas e se liga a aldeídos reativos. Em camundongos e ratos, melhorou em muitos experimentos a glicemia, as lesões renais no diabetes, a cicatrização de feridas e a função vascular. A metanálise de Matthews 2021 incluiu, além de quatro estudos em humanos, 16 estudos em roedores e avaliou a confiabilidade dos dados em animais como muito baixa</w:t>
      </w:r>
      <w:r>
        <w:rPr>
          <w:rStyle w:val="FootnoteReference"/>
        </w:rPr>
        <w:footnoteReference w:id="2438"/>
      </w:r>
      <w:r>
        <w:t xml:space="preserve">.</w:t>
      </w:r>
    </w:p>
    <w:p>
      <w:pPr>
        <w:pStyle w:val="BodyText"/>
      </w:pPr>
      <w:r>
        <w:t xml:space="preserve">Permanece um problema fundamental de transferência: os roedores praticamente não possuem carnosinase no sangue. Em camundongos nos quais a enzima humana foi inserida por engenharia genética, o diabetes e as lesões renais foram mais graves</w:t>
      </w:r>
      <w:r>
        <w:rPr>
          <w:rStyle w:val="FootnoteReference"/>
        </w:rPr>
        <w:footnoteReference w:id="2439"/>
      </w:r>
      <w:r>
        <w:t xml:space="preserve">. Isso indica que, em humanos, a enzima poderia limitar consideravelmente o efeito da carnosina administrada.</w:t>
      </w:r>
    </w:p>
    <w:bookmarkEnd w:id="2440"/>
    <w:bookmarkStart w:id="2443" w:name="riscos-e-efeitos-colaterais-54"/>
    <w:p>
      <w:pPr>
        <w:pStyle w:val="Heading3"/>
      </w:pPr>
      <w:r>
        <w:t xml:space="preserve">Riscos e efeitos colaterais</w:t>
      </w:r>
    </w:p>
    <w:p>
      <w:pPr>
        <w:pStyle w:val="FirstParagraph"/>
      </w:pPr>
      <w:r>
        <w:rPr>
          <w:bCs/>
          <w:b/>
        </w:rPr>
        <w:t xml:space="preserve">Comprovados:</w:t>
      </w:r>
      <w:r>
        <w:t xml:space="preserve"> </w:t>
      </w:r>
      <w:r>
        <w:t xml:space="preserve">nos estudos até agora – com quantidades diárias de até 2 g durante até 14 semanas – não foram relatados efeitos colaterais relevantes. No estudo NEAT, com quase 300 participantes, não houve alterações das funções renal, hepática e cardíaca nem dos eletrólitos sanguíneos</w:t>
      </w:r>
      <w:r>
        <w:rPr>
          <w:rStyle w:val="FootnoteReference"/>
        </w:rPr>
        <w:footnoteReference w:id="2441"/>
      </w:r>
      <w:r>
        <w:t xml:space="preserve">.</w:t>
      </w:r>
    </w:p>
    <w:p>
      <w:pPr>
        <w:pStyle w:val="BodyText"/>
      </w:pPr>
      <w:r>
        <w:rPr>
          <w:bCs/>
          <w:b/>
        </w:rPr>
        <w:t xml:space="preserve">Beta-alanina:</w:t>
      </w:r>
      <w:r>
        <w:t xml:space="preserve"> </w:t>
      </w:r>
      <w:r>
        <w:t xml:space="preserve">o único efeito colateral relatado regularmente é um formigamento inofensivo, mas desagradável, da pele (parestesia), geralmente no rosto e nas mãos, pouco após a ingestão. Uma avaliação de risco com 101 estudos em humanos estimou a chance (odds) disso, com beta-alanina, cerca de nove vezes maior do que com placebo (odds ratio 8,9); as taxas de abandono não diferiram, e um pequeno aumento de um valor hepático permaneceu na faixa normal</w:t>
      </w:r>
      <w:r>
        <w:rPr>
          <w:rStyle w:val="FootnoteReference"/>
        </w:rPr>
        <w:footnoteReference w:id="2442"/>
      </w:r>
      <w:r>
        <w:t xml:space="preserve">.</w:t>
      </w:r>
    </w:p>
    <w:p>
      <w:pPr>
        <w:pStyle w:val="BodyText"/>
      </w:pPr>
      <w:r>
        <w:rPr>
          <w:bCs/>
          <w:b/>
        </w:rPr>
        <w:t xml:space="preserve">Teóricos ou incertos:</w:t>
      </w:r>
    </w:p>
    <w:p>
      <w:pPr>
        <w:numPr>
          <w:ilvl w:val="0"/>
          <w:numId w:val="1304"/>
        </w:numPr>
        <w:pStyle w:val="Compact"/>
      </w:pPr>
      <w:r>
        <w:t xml:space="preserve">Faltam dados de longo prazo de mais de um ano.</w:t>
      </w:r>
    </w:p>
    <w:p>
      <w:pPr>
        <w:numPr>
          <w:ilvl w:val="0"/>
          <w:numId w:val="1304"/>
        </w:numPr>
        <w:pStyle w:val="Compact"/>
      </w:pPr>
      <w:r>
        <w:t xml:space="preserve">Para gravidez, amamentação e crianças (exceto os pequenos estudos citados), não há dados de segurança.</w:t>
      </w:r>
    </w:p>
    <w:p>
      <w:pPr>
        <w:numPr>
          <w:ilvl w:val="0"/>
          <w:numId w:val="1304"/>
        </w:numPr>
        <w:pStyle w:val="Compact"/>
      </w:pPr>
      <w:r>
        <w:t xml:space="preserve">Com medicamentos para diabetes, é concebível uma potencialização da redução da glicemia, mas não comprovada; controles glicêmicos e consulta médica são recomendáveis.</w:t>
      </w:r>
    </w:p>
    <w:p>
      <w:pPr>
        <w:numPr>
          <w:ilvl w:val="0"/>
          <w:numId w:val="1304"/>
        </w:numPr>
        <w:pStyle w:val="Compact"/>
      </w:pPr>
      <w:r>
        <w:t xml:space="preserve">Como em todos os suplementos alimentares, a qualidade depende do fabricante.</w:t>
      </w:r>
    </w:p>
    <w:bookmarkEnd w:id="2443"/>
    <w:bookmarkStart w:id="2444" w:name="situação-legal-54"/>
    <w:p>
      <w:pPr>
        <w:pStyle w:val="Heading3"/>
      </w:pPr>
      <w:r>
        <w:t xml:space="preserve">Situação legal</w:t>
      </w:r>
    </w:p>
    <w:p>
      <w:pPr>
        <w:numPr>
          <w:ilvl w:val="0"/>
          <w:numId w:val="1305"/>
        </w:numPr>
        <w:pStyle w:val="Compact"/>
      </w:pPr>
      <w:r>
        <w:rPr>
          <w:bCs/>
          <w:b/>
        </w:rPr>
        <w:t xml:space="preserve">UE / Áustria / Alemanha:</w:t>
      </w:r>
      <w:r>
        <w:t xml:space="preserve"> </w:t>
      </w:r>
      <w:r>
        <w:t xml:space="preserve">a carnosina está à venda como suplemento alimentar. Para a carnosina, não há alegação de saúde autorizada segundo o Regulamento de Alegações de Saúde (Regulamento (CE) nº 1924/2006); alegações publicitárias como</w:t>
      </w:r>
      <w:r>
        <w:t xml:space="preserve"> </w:t>
      </w:r>
      <w:r>
        <w:t xml:space="preserve">“</w:t>
      </w:r>
      <w:r>
        <w:t xml:space="preserve">antienvelhecimento</w:t>
      </w:r>
      <w:r>
        <w:t xml:space="preserve">”</w:t>
      </w:r>
      <w:r>
        <w:t xml:space="preserve"> </w:t>
      </w:r>
      <w:r>
        <w:t xml:space="preserve">ou</w:t>
      </w:r>
      <w:r>
        <w:t xml:space="preserve"> </w:t>
      </w:r>
      <w:r>
        <w:t xml:space="preserve">“</w:t>
      </w:r>
      <w:r>
        <w:t xml:space="preserve">protege as células</w:t>
      </w:r>
      <w:r>
        <w:t xml:space="preserve">”</w:t>
      </w:r>
      <w:r>
        <w:t xml:space="preserve"> </w:t>
      </w:r>
      <w:r>
        <w:t xml:space="preserve">não são, portanto, permitidas. Se determinadas preparações devem ser classificadas como novos alimentos (novel food) pode variar de produto para produto – verificar atualização. A zinco-carnosina não está aprovada como medicamento na UE; para colírios de N-acetilcarnosina não há aprovação como medicamento contra a catarata.</w:t>
      </w:r>
    </w:p>
    <w:p>
      <w:pPr>
        <w:numPr>
          <w:ilvl w:val="0"/>
          <w:numId w:val="1305"/>
        </w:numPr>
        <w:pStyle w:val="Compact"/>
      </w:pPr>
      <w:r>
        <w:rPr>
          <w:bCs/>
          <w:b/>
        </w:rPr>
        <w:t xml:space="preserve">EUA:</w:t>
      </w:r>
      <w:r>
        <w:t xml:space="preserve"> </w:t>
      </w:r>
      <w:r>
        <w:t xml:space="preserve">disponível como suplemento alimentar, sem aprovação como medicamento.</w:t>
      </w:r>
    </w:p>
    <w:p>
      <w:pPr>
        <w:numPr>
          <w:ilvl w:val="0"/>
          <w:numId w:val="1305"/>
        </w:numPr>
        <w:pStyle w:val="Compact"/>
      </w:pPr>
      <w:r>
        <w:rPr>
          <w:bCs/>
          <w:b/>
        </w:rPr>
        <w:t xml:space="preserve">Japão:</w:t>
      </w:r>
      <w:r>
        <w:t xml:space="preserve"> </w:t>
      </w:r>
      <w:r>
        <w:t xml:space="preserve">o polaprezinco (zinco-carnosina) é um medicamento gástrico aprovado.</w:t>
      </w:r>
    </w:p>
    <w:p>
      <w:pPr>
        <w:numPr>
          <w:ilvl w:val="0"/>
          <w:numId w:val="1305"/>
        </w:numPr>
        <w:pStyle w:val="Compact"/>
      </w:pPr>
      <w:r>
        <w:rPr>
          <w:bCs/>
          <w:b/>
        </w:rPr>
        <w:t xml:space="preserve">Esporte:</w:t>
      </w:r>
      <w:r>
        <w:t xml:space="preserve"> </w:t>
      </w:r>
      <w:r>
        <w:t xml:space="preserve">nem a carnosina nem a beta-alanina constam na lista de proibições da WADA (situação em 2026, verificar atualização).</w:t>
      </w:r>
    </w:p>
    <w:bookmarkEnd w:id="2444"/>
    <w:bookmarkStart w:id="2448" w:name="estudos-em-andamento-e-perspectivas-54"/>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306"/>
        </w:numPr>
        <w:pStyle w:val="Compact"/>
      </w:pPr>
      <w:r>
        <w:rPr>
          <w:bCs/>
          <w:b/>
        </w:rPr>
        <w:t xml:space="preserve">Doença arterial periférica:</w:t>
      </w:r>
      <w:r>
        <w:t xml:space="preserve"> </w:t>
      </w:r>
      <w:r>
        <w:t xml:space="preserve">um estudo de fase 1/2 com 144 participantes previstos investiga a carnosina em distúrbios circulatórios das pernas</w:t>
      </w:r>
      <w:r>
        <w:rPr>
          <w:rStyle w:val="FootnoteReference"/>
        </w:rPr>
        <w:footnoteReference w:id="2445"/>
      </w:r>
      <w:r>
        <w:t xml:space="preserve">; estudos anteriores menores sobre o mesmo tema estão concluídos ou listados com status desconhecido.</w:t>
      </w:r>
    </w:p>
    <w:p>
      <w:pPr>
        <w:numPr>
          <w:ilvl w:val="0"/>
          <w:numId w:val="1306"/>
        </w:numPr>
        <w:pStyle w:val="Compact"/>
      </w:pPr>
      <w:r>
        <w:rPr>
          <w:bCs/>
          <w:b/>
        </w:rPr>
        <w:t xml:space="preserve">Geroterapia:</w:t>
      </w:r>
      <w:r>
        <w:t xml:space="preserve"> </w:t>
      </w:r>
      <w:r>
        <w:t xml:space="preserve">um pequeno estudo de fase 3 com 30 participantes testa combinações de substâncias para melhorar o tempo de vida saudável, entre elas a carnosina</w:t>
      </w:r>
      <w:r>
        <w:rPr>
          <w:rStyle w:val="FootnoteReference"/>
        </w:rPr>
        <w:footnoteReference w:id="2446"/>
      </w:r>
      <w:r>
        <w:t xml:space="preserve">.</w:t>
      </w:r>
    </w:p>
    <w:p>
      <w:pPr>
        <w:numPr>
          <w:ilvl w:val="0"/>
          <w:numId w:val="1306"/>
        </w:numPr>
        <w:pStyle w:val="Compact"/>
      </w:pPr>
      <w:r>
        <w:t xml:space="preserve">O estudo NEAT</w:t>
      </w:r>
      <w:r>
        <w:rPr>
          <w:rStyle w:val="FootnoteReference"/>
        </w:rPr>
        <w:footnoteReference w:id="2447"/>
      </w:r>
      <w:r>
        <w:t xml:space="preserve"> </w:t>
      </w:r>
      <w:r>
        <w:t xml:space="preserve">está concluído; outras análises sobre vasos e poluição do ar são possíveis.</w:t>
      </w:r>
    </w:p>
    <w:p>
      <w:pPr>
        <w:pStyle w:val="FirstParagraph"/>
      </w:pPr>
      <w:r>
        <w:rPr>
          <w:bCs/>
          <w:b/>
        </w:rPr>
        <w:t xml:space="preserve">Avaliação:</w:t>
      </w:r>
      <w:r>
        <w:t xml:space="preserve"> </w:t>
      </w:r>
      <w:r>
        <w:t xml:space="preserve">a carnosina é biologicamente interessante, mas os estudos em humanos são pequenos e heterogêneos. Para o esporte, o precursor beta-alanina é o caminho mais bem comprovado. Para diabetes e envelhecimento cerebral, seriam necessários estudos maiores e mais longos, com desfechos clínicos. Uma linha de pesquisa são derivados resistentes à carnosinase, que não são degradados imediatamente no sangue – mas eles ainda estão em fase de laboratório.</w:t>
      </w:r>
    </w:p>
    <w:bookmarkEnd w:id="2448"/>
    <w:bookmarkStart w:id="2449" w:name="conclusão-54"/>
    <w:p>
      <w:pPr>
        <w:pStyle w:val="Heading3"/>
      </w:pPr>
      <w:r>
        <w:t xml:space="preserve">Conclusão</w:t>
      </w:r>
    </w:p>
    <w:p>
      <w:pPr>
        <w:pStyle w:val="FirstParagraph"/>
      </w:pPr>
      <w:r>
        <w:t xml:space="preserve">A carnosina é um dipeptídeo endógeno que tampona ácido no músculo e, em laboratório, protege células contra produtos da degradação de açúcares e gorduras. Em humanos, é rapidamente degradada no sangue pela enzima carnosinase, razão pela qual os resultados em animais só são transferíveis de forma limitada. Pequenos estudos e metanálises indicam uma leve melhora da glicemia de longo prazo no diabetes e efeitos sobre marcadores inflamatórios; para desempenho, memória e envelhecimento da pele, os dados são fracos ou contraditórios. Para o desempenho esportivo, o precursor beta-alanina é mais bem estudado e está associado a pequenas vantagens em esforços curtos e intensos. Nas quantidades estudadas, a carnosina é considerada bem tolerada.</w:t>
      </w:r>
    </w:p>
    <w:bookmarkEnd w:id="2449"/>
    <w:bookmarkEnd w:id="2450"/>
    <w:bookmarkStart w:id="2478" w:name="ghk-cu-peptídeo-de-cobre"/>
    <w:p>
      <w:pPr>
        <w:pStyle w:val="Heading2"/>
      </w:pPr>
      <w:r>
        <w:t xml:space="preserve">GHK-Cu (peptídeo de cobre)</w:t>
      </w:r>
    </w:p>
    <w:bookmarkStart w:id="2452" w:name="ficha-técnica-55"/>
    <w:p>
      <w:pPr>
        <w:pStyle w:val="Heading3"/>
      </w:pPr>
      <w:r>
        <w:t xml:space="preserve">Ficha técnica</w:t>
      </w:r>
    </w:p>
    <w:p>
      <w:pPr>
        <w:numPr>
          <w:ilvl w:val="0"/>
          <w:numId w:val="1307"/>
        </w:numPr>
        <w:pStyle w:val="Compact"/>
      </w:pPr>
      <w:r>
        <w:rPr>
          <w:bCs/>
          <w:b/>
        </w:rPr>
        <w:t xml:space="preserve">Tipo/estrutura:</w:t>
      </w:r>
      <w:r>
        <w:t xml:space="preserve"> </w:t>
      </w:r>
      <w:r>
        <w:t xml:space="preserve">tripeptídeo de glicina, histidina e lisina (Gly-His-Lys, abreviado GHK), que se liga firmemente a um íon de cobre. Nas listas de ingredientes de cosméticos, aparece geralmente como</w:t>
      </w:r>
      <w:r>
        <w:t xml:space="preserve"> </w:t>
      </w:r>
      <w:r>
        <w:rPr>
          <w:iCs/>
          <w:i/>
        </w:rPr>
        <w:t xml:space="preserve">Copper Tripeptide-1</w:t>
      </w:r>
      <w:r>
        <w:t xml:space="preserve">. Uma forma aparentada sem cobre, mas com um resíduo de ácido graxo, é o palmitoil tripeptídeo-1 (Pal-GHK), componente do</w:t>
      </w:r>
      <w:r>
        <w:t xml:space="preserve"> </w:t>
      </w:r>
      <w:r>
        <w:t xml:space="preserve">“</w:t>
      </w:r>
      <w:r>
        <w:t xml:space="preserve">Matrixyl 3000</w:t>
      </w:r>
      <w:r>
        <w:t xml:space="preserve">”</w:t>
      </w:r>
      <w:r>
        <w:t xml:space="preserve">.</w:t>
      </w:r>
    </w:p>
    <w:p>
      <w:pPr>
        <w:numPr>
          <w:ilvl w:val="0"/>
          <w:numId w:val="1307"/>
        </w:numPr>
        <w:pStyle w:val="Compact"/>
      </w:pPr>
      <w:r>
        <w:rPr>
          <w:bCs/>
          <w:b/>
        </w:rPr>
        <w:t xml:space="preserve">Origem:</w:t>
      </w:r>
      <w:r>
        <w:t xml:space="preserve"> </w:t>
      </w:r>
      <w:r>
        <w:t xml:space="preserve">endógena. O GHK foi descoberto na década de 1970 no plasma sanguíneo humano</w:t>
      </w:r>
      <w:r>
        <w:rPr>
          <w:rStyle w:val="FootnoteReference"/>
        </w:rPr>
        <w:footnoteReference w:id="2451"/>
      </w:r>
      <w:r>
        <w:t xml:space="preserve"> </w:t>
      </w:r>
      <w:r>
        <w:t xml:space="preserve">e ocorre também na saliva e na urina. A sequência GHK faz parte do colágeno e poderia ser liberada na sua degradação. Para produtos, é fabricado sinteticamente.</w:t>
      </w:r>
    </w:p>
    <w:p>
      <w:pPr>
        <w:numPr>
          <w:ilvl w:val="0"/>
          <w:numId w:val="1307"/>
        </w:numPr>
        <w:pStyle w:val="Compact"/>
      </w:pPr>
      <w:r>
        <w:rPr>
          <w:bCs/>
          <w:b/>
        </w:rPr>
        <w:t xml:space="preserve">Mecanismo de ação:</w:t>
      </w:r>
      <w:r>
        <w:t xml:space="preserve"> </w:t>
      </w:r>
      <w:r>
        <w:t xml:space="preserve">deveria estimular a cicatrização de feridas e a remodelação do tecido conjuntivo, entre outros pelo transporte de cobre para as células e pela estimulação da formação de colágeno.</w:t>
      </w:r>
    </w:p>
    <w:p>
      <w:pPr>
        <w:numPr>
          <w:ilvl w:val="0"/>
          <w:numId w:val="1307"/>
        </w:numPr>
        <w:pStyle w:val="Compact"/>
      </w:pPr>
      <w:r>
        <w:rPr>
          <w:bCs/>
          <w:b/>
        </w:rPr>
        <w:t xml:space="preserve">Uso:</w:t>
      </w:r>
      <w:r>
        <w:t xml:space="preserve"> </w:t>
      </w:r>
      <w:r>
        <w:t xml:space="preserve">permitido como ingrediente em cosméticos (cremes, séruns, produtos capilares). Além disso, oferecido no mercado cinza como</w:t>
      </w:r>
      <w:r>
        <w:t xml:space="preserve"> </w:t>
      </w:r>
      <w:r>
        <w:t xml:space="preserve">“</w:t>
      </w:r>
      <w:r>
        <w:t xml:space="preserve">research peptide</w:t>
      </w:r>
      <w:r>
        <w:t xml:space="preserve">”</w:t>
      </w:r>
      <w:r>
        <w:t xml:space="preserve"> </w:t>
      </w:r>
      <w:r>
        <w:t xml:space="preserve">para injeção.</w:t>
      </w:r>
    </w:p>
    <w:p>
      <w:pPr>
        <w:numPr>
          <w:ilvl w:val="0"/>
          <w:numId w:val="1307"/>
        </w:numPr>
        <w:pStyle w:val="Compact"/>
      </w:pPr>
      <w:r>
        <w:rPr>
          <w:bCs/>
          <w:b/>
        </w:rPr>
        <w:t xml:space="preserve">Aprovação na UE:</w:t>
      </w:r>
      <w:r>
        <w:t xml:space="preserve"> </w:t>
      </w:r>
      <w:r>
        <w:t xml:space="preserve">nenhuma aprovação como medicamento. Utilizável como ingrediente cosmético.</w:t>
      </w:r>
    </w:p>
    <w:p>
      <w:pPr>
        <w:numPr>
          <w:ilvl w:val="0"/>
          <w:numId w:val="1307"/>
        </w:numPr>
        <w:pStyle w:val="Compact"/>
      </w:pPr>
      <w:r>
        <w:rPr>
          <w:bCs/>
          <w:b/>
        </w:rPr>
        <w:t xml:space="preserve">Aprovação nos EUA:</w:t>
      </w:r>
      <w:r>
        <w:t xml:space="preserve"> </w:t>
      </w:r>
      <w:r>
        <w:t xml:space="preserve">nenhuma aprovação como medicamento; à venda como ingrediente cosmético. Para a produção de preparações injetáveis em farmácias, há restrições (veja Situação legal).</w:t>
      </w:r>
    </w:p>
    <w:p>
      <w:pPr>
        <w:numPr>
          <w:ilvl w:val="0"/>
          <w:numId w:val="1307"/>
        </w:numPr>
        <w:pStyle w:val="Compact"/>
      </w:pPr>
      <w:r>
        <w:rPr>
          <w:bCs/>
          <w:b/>
        </w:rPr>
        <w:t xml:space="preserve">WADA:</w:t>
      </w:r>
      <w:r>
        <w:t xml:space="preserve"> </w:t>
      </w:r>
      <w:r>
        <w:t xml:space="preserve">não listado nominalmente. Na injeção, como princípio ativo não aprovado, pode aplicar-se a categoria S0 (</w:t>
      </w:r>
      <w:r>
        <w:t xml:space="preserve">“</w:t>
      </w:r>
      <w:r>
        <w:t xml:space="preserve">substâncias não aprovadas</w:t>
      </w:r>
      <w:r>
        <w:t xml:space="preserve">”</w:t>
      </w:r>
      <w:r>
        <w:t xml:space="preserve">).</w:t>
      </w:r>
    </w:p>
    <w:p>
      <w:pPr>
        <w:numPr>
          <w:ilvl w:val="0"/>
          <w:numId w:val="1307"/>
        </w:numPr>
        <w:pStyle w:val="Compact"/>
      </w:pPr>
      <w:r>
        <w:rPr>
          <w:bCs/>
          <w:b/>
        </w:rPr>
        <w:t xml:space="preserve">Nível de evidência:</w:t>
      </w:r>
      <w:r>
        <w:t xml:space="preserve"> </w:t>
      </w:r>
      <w:r>
        <w:rPr>
          <w:bCs/>
          <w:b/>
        </w:rPr>
        <w:t xml:space="preserve">C</w:t>
      </w:r>
      <w:r>
        <w:t xml:space="preserve"> </w:t>
      </w:r>
      <w:r>
        <w:t xml:space="preserve">– um estudo randomizado antigo sobre feridas e poucos estudos muito pequenos sobre a pele; para as aplicações promovidas hoje (cosméticos antienvelhecimento, injeções), não há dados controlados sólidos em humanos.</w:t>
      </w:r>
    </w:p>
    <w:bookmarkEnd w:id="2452"/>
    <w:bookmarkStart w:id="2459" w:name="como-deveria-agir-55"/>
    <w:p>
      <w:pPr>
        <w:pStyle w:val="Heading3"/>
      </w:pPr>
      <w:r>
        <w:t xml:space="preserve">Como deveria agir</w:t>
      </w:r>
    </w:p>
    <w:p>
      <w:pPr>
        <w:pStyle w:val="FirstParagraph"/>
      </w:pPr>
      <w:r>
        <w:t xml:space="preserve">O GHK se liga ao cobre com tanta firmeza que consegue transportar esse oligoelemento vital para dentro das células. O cobre é necessário a várias enzimas importantes para o tecido conjuntivo, como a lisil oxidase, que interliga as fibras de colágeno e de elastina. Um trabalho inicial já supunha em 1980 que o GHK exerce seu efeito sobre as células facilitando a captação de cobre</w:t>
      </w:r>
      <w:r>
        <w:rPr>
          <w:rStyle w:val="FootnoteReference"/>
        </w:rPr>
        <w:footnoteReference w:id="2453"/>
      </w:r>
      <w:r>
        <w:t xml:space="preserve">.</w:t>
      </w:r>
    </w:p>
    <w:p>
      <w:pPr>
        <w:pStyle w:val="BodyText"/>
      </w:pPr>
      <w:r>
        <w:t xml:space="preserve">Em culturas de células, o GHK-Cu estimulou a formação de colágeno pelos fibroblastos já em concentrações extremamente baixas; o máximo ficou em cerca de um nanomol por litro</w:t>
      </w:r>
      <w:r>
        <w:rPr>
          <w:rStyle w:val="FootnoteReference"/>
        </w:rPr>
        <w:footnoteReference w:id="2454"/>
      </w:r>
      <w:r>
        <w:t xml:space="preserve">. O descobridor do GHK, Loren Pickart, descreveu em várias revisões uma série de outros efeitos – sobre cicatrização de feridas, crescimento capilar, inflamação, crescimento nervoso e até sobre a atividade de milhares de genes</w:t>
      </w:r>
      <w:r>
        <w:rPr>
          <w:rStyle w:val="FootnoteReference"/>
        </w:rPr>
        <w:footnoteReference w:id="2455"/>
      </w:r>
      <w:r>
        <w:t xml:space="preserve">. Essas afirmações baseiam-se predominantemente em experimentos com células e animais e em dados de expressão gênica de bancos de dados, não em estudos em humanos. Além disso, muitas dessas revisões vêm do círculo das pessoas que também desenvolveram o GHK-Cu comercialmente – uma circunstância que você deve conhecer ao avaliá-las.</w:t>
      </w:r>
    </w:p>
    <w:bookmarkStart w:id="2458" w:name="o-peptídeo-atravessa-a-pele"/>
    <w:p>
      <w:pPr>
        <w:pStyle w:val="Heading4"/>
      </w:pPr>
      <w:r>
        <w:t xml:space="preserve">O peptídeo atravessa a pele?</w:t>
      </w:r>
    </w:p>
    <w:p>
      <w:pPr>
        <w:pStyle w:val="FirstParagraph"/>
      </w:pPr>
      <w:r>
        <w:t xml:space="preserve">Para o uso cosmético, é decisivo saber se o GHK-Cu supera a barreira cutânea. A camada córnea da pele é pouco permeável a moléculas hidrossolúveis e carregadas como o GHK. Uma revisão de 2025 conclui que, em experimentos com células, o GHK poderia sem dúvida ser considerado um princípio ativo antirrugas, mas que há surpreendentemente poucos estudos clínicos; a ligação ao cobre e apêndices de ácidos graxos melhoram a permeabilidade, e microagulhas e outros recursos estão sendo pesquisados</w:t>
      </w:r>
      <w:r>
        <w:rPr>
          <w:rStyle w:val="FootnoteReference"/>
        </w:rPr>
        <w:footnoteReference w:id="2456"/>
      </w:r>
      <w:r>
        <w:t xml:space="preserve">. Uma investigação em três voluntários encontrou o Pal-GHK, aparentado, após a aplicação em todas as camadas da camada córnea, porém apenas entre as células e em quantidade decrescente com a profundidade</w:t>
      </w:r>
      <w:r>
        <w:rPr>
          <w:rStyle w:val="FootnoteReference"/>
        </w:rPr>
        <w:footnoteReference w:id="2457"/>
      </w:r>
      <w:r>
        <w:t xml:space="preserve">. Se quantidades suficientes alcançam as camadas mais profundas da pele, onde o colágeno é formado, não está esclarecido.</w:t>
      </w:r>
    </w:p>
    <w:bookmarkEnd w:id="2458"/>
    <w:bookmarkEnd w:id="2459"/>
    <w:bookmarkStart w:id="2463" w:name="estudos-em-humanos-55"/>
    <w:p>
      <w:pPr>
        <w:pStyle w:val="Heading3"/>
      </w:pPr>
      <w:r>
        <w:t xml:space="preserve">Estudos em humanos</w:t>
      </w:r>
    </w:p>
    <w:p>
      <w:pPr>
        <w:pStyle w:val="FirstParagraph"/>
      </w:pPr>
      <w:r>
        <w:t xml:space="preserve">A consulta ao PubMed avaliada para este livro (GHK-Cu, tripeptídeo de cobre ou peptídeo de cobre GHK no título ou no resumo, data da consulta outubro de 2026) resultou em apenas</w:t>
      </w:r>
      <w:r>
        <w:t xml:space="preserve"> </w:t>
      </w:r>
      <w:r>
        <w:rPr>
          <w:bCs/>
          <w:b/>
        </w:rPr>
        <w:t xml:space="preserve">um</w:t>
      </w:r>
      <w:r>
        <w:t xml:space="preserve"> </w:t>
      </w:r>
      <w:r>
        <w:t xml:space="preserve">estudo em humanos. No ClinicalTrials.gov, a busca resultou em 25 registros, mas quase todos se referem a outros compostos de cobre (como o cobre-64 radioativo para exames de imagem). Apenas um registro confiável investiga de fato GHK ou GHK-Cu; outro registro sobre um gel de GHK-Cu para feridas vem de um patrocinador cujos registros, segundo nossa verificação, são aparentemente entradas fictícias de exemplo ou de teste, e por isso não é considerado aqui. Uma busca ampliada encontrou adicionalmente o estudo antigo sobre feridas citado abaixo, bem como relatos de casos isolados.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Mulder 1994, PMID 17147644</w:t>
            </w:r>
          </w:p>
        </w:tc>
        <w:tc>
          <w:tcPr/>
          <w:p>
            <w:pPr>
              <w:pStyle w:val="Compact"/>
              <w:jc w:val="left"/>
            </w:pPr>
            <w:r>
              <w:t xml:space="preserve">Pessoas com úlceras de pé diabético, multicêntrico, randomizado, avaliação cega, gel de GHK-Cu vs. gel veículo</w:t>
            </w:r>
          </w:p>
        </w:tc>
        <w:tc>
          <w:tcPr/>
          <w:p>
            <w:pPr>
              <w:pStyle w:val="Compact"/>
              <w:jc w:val="left"/>
            </w:pPr>
            <w:r>
              <w:t xml:space="preserve">sem informação no resumo</w:t>
            </w:r>
          </w:p>
        </w:tc>
        <w:tc>
          <w:tcPr/>
          <w:p>
            <w:pPr>
              <w:pStyle w:val="Compact"/>
              <w:jc w:val="left"/>
            </w:pPr>
            <w:r>
              <w:t xml:space="preserve">Redução mediana da área da ferida 98,5% vs. 60,8%; infecções 7% vs. 34%</w:t>
            </w:r>
          </w:p>
        </w:tc>
      </w:tr>
      <w:tr>
        <w:tc>
          <w:tcPr/>
          <w:p>
            <w:pPr>
              <w:pStyle w:val="Compact"/>
              <w:jc w:val="left"/>
            </w:pPr>
            <w:r>
              <w:t xml:space="preserve">Miller 2006, PMID 16847171</w:t>
            </w:r>
          </w:p>
        </w:tc>
        <w:tc>
          <w:tcPr/>
          <w:p>
            <w:pPr>
              <w:pStyle w:val="Compact"/>
              <w:jc w:val="left"/>
            </w:pPr>
            <w:r>
              <w:t xml:space="preserve">Cuidados com a pele após tratamento com laser de CO₂, randomizado, 13 avaliáveis</w:t>
            </w:r>
          </w:p>
        </w:tc>
        <w:tc>
          <w:tcPr/>
          <w:p>
            <w:pPr>
              <w:pStyle w:val="Compact"/>
              <w:jc w:val="left"/>
            </w:pPr>
            <w:r>
              <w:t xml:space="preserve">12 semanas</w:t>
            </w:r>
          </w:p>
        </w:tc>
        <w:tc>
          <w:tcPr/>
          <w:p>
            <w:pPr>
              <w:pStyle w:val="Compact"/>
              <w:jc w:val="left"/>
            </w:pPr>
            <w:r>
              <w:t xml:space="preserve">Nenhuma diferença em vermelhidão, rugas ou qualidade da pele segundo medição e avaliação cega; maior satisfação no questionário</w:t>
            </w:r>
          </w:p>
        </w:tc>
      </w:tr>
      <w:tr>
        <w:tc>
          <w:tcPr/>
          <w:p>
            <w:pPr>
              <w:pStyle w:val="Compact"/>
              <w:jc w:val="left"/>
            </w:pPr>
            <w:r>
              <w:t xml:space="preserve">Byun 2016, PMID 27064823</w:t>
            </w:r>
          </w:p>
        </w:tc>
        <w:tc>
          <w:tcPr/>
          <w:p>
            <w:pPr>
              <w:pStyle w:val="Compact"/>
              <w:jc w:val="left"/>
            </w:pPr>
            <w:r>
              <w:t xml:space="preserve">1 homem, mistura de GHK-Cu, ácido hialurônico, extrato vegetal, ácido tranexâmico e betaglucana com aparelho pulverizador</w:t>
            </w:r>
          </w:p>
        </w:tc>
        <w:tc>
          <w:tcPr/>
          <w:p>
            <w:pPr>
              <w:pStyle w:val="Compact"/>
              <w:jc w:val="left"/>
            </w:pPr>
            <w:r>
              <w:t xml:space="preserve">12 semanas</w:t>
            </w:r>
          </w:p>
        </w:tc>
        <w:tc>
          <w:tcPr/>
          <w:p>
            <w:pPr>
              <w:pStyle w:val="Compact"/>
              <w:jc w:val="left"/>
            </w:pPr>
            <w:r>
              <w:t xml:space="preserve">Menos rugas ao redor dos olhos; mais colágeno em amostras de pele (caso isolado, produto combinado)</w:t>
            </w:r>
          </w:p>
        </w:tc>
      </w:tr>
    </w:tbl>
    <w:p>
      <w:pPr>
        <w:pStyle w:val="BodyText"/>
      </w:pPr>
      <w:r>
        <w:rPr>
          <w:bCs/>
          <w:b/>
        </w:rPr>
        <w:t xml:space="preserve">O estudo sobre feridas de 1994</w:t>
      </w:r>
      <w:r>
        <w:t xml:space="preserve"> </w:t>
      </w:r>
      <w:r>
        <w:t xml:space="preserve">é o único estudo controlado que melhorou um desfecho clinicamente relevante. A preparação (desenvolvida com o nome Iamin), porém, não obteve aprovação como medicamento. O resumo não informa nem o número de participantes nem a duração do estudo; estudos posteriores de confirmação não são encontrados no PubMed.</w:t>
      </w:r>
    </w:p>
    <w:p>
      <w:pPr>
        <w:pStyle w:val="BodyText"/>
      </w:pPr>
      <w:r>
        <w:rPr>
          <w:bCs/>
          <w:b/>
        </w:rPr>
        <w:t xml:space="preserve">O estudo com laser de 2006</w:t>
      </w:r>
      <w:r>
        <w:t xml:space="preserve"> </w:t>
      </w:r>
      <w:r>
        <w:t xml:space="preserve">é o único estudo randomizado com questão cosmética registrado no PubMed. Com apenas 13 pacientes avaliáveis, era pequeno demais para detectar diferenças com segurança – e objetivamente não encontrou nenhuma.</w:t>
      </w:r>
    </w:p>
    <w:p>
      <w:pPr>
        <w:pStyle w:val="BodyText"/>
      </w:pPr>
      <w:r>
        <w:rPr>
          <w:bCs/>
          <w:b/>
        </w:rPr>
        <w:t xml:space="preserve">Estudos cosméticos:</w:t>
      </w:r>
      <w:r>
        <w:t xml:space="preserve"> </w:t>
      </w:r>
      <w:r>
        <w:t xml:space="preserve">em livros técnicos e materiais publicitários, citam-se estudos segundo os quais cremes de GHK-Cu teriam melhorado rugas, densidade da pele e elasticidade. Esses estudos, em sua maioria, não foram publicados em revistas indexadas no PubMed ou estão disponíveis apenas como trabalhos de congresso e relatórios de fabricantes, e não puderam ser verificados no original para este livro. Uma metanálise de 2026 sobre peptídeos orais e tópicos contra o envelhecimento da pele constatou que o benefício nas rugas foi sustentado sobretudo por peptídeos ingeridos</w:t>
      </w:r>
      <w:r>
        <w:t xml:space="preserve"> </w:t>
      </w:r>
      <w:r>
        <w:rPr>
          <w:iCs/>
          <w:i/>
        </w:rPr>
        <w:t xml:space="preserve">por via oral</w:t>
      </w:r>
      <w:r>
        <w:t xml:space="preserve">; o resumo não apresenta resultados específicos para o GHK-Cu</w:t>
      </w:r>
      <w:r>
        <w:rPr>
          <w:rStyle w:val="FootnoteReference"/>
        </w:rPr>
        <w:footnoteReference w:id="2460"/>
      </w:r>
      <w:r>
        <w:t xml:space="preserve">.</w:t>
      </w:r>
    </w:p>
    <w:p>
      <w:pPr>
        <w:pStyle w:val="BodyText"/>
      </w:pPr>
      <w:r>
        <w:rPr>
          <w:bCs/>
          <w:b/>
        </w:rPr>
        <w:t xml:space="preserve">Injeções:</w:t>
      </w:r>
      <w:r>
        <w:t xml:space="preserve"> </w:t>
      </w:r>
      <w:r>
        <w:t xml:space="preserve">para o GHK-Cu injetado, não há um único estudo controlado publicado em humanos. Uma revisão para ortopedia e medicina esportiva registra que não há dados clínicos para o uso em doenças do aparelho locomotor e que dose, frequência e duração de um tratamento são desconhecidas</w:t>
      </w:r>
      <w:r>
        <w:rPr>
          <w:rStyle w:val="FootnoteReference"/>
        </w:rPr>
        <w:footnoteReference w:id="2461"/>
      </w:r>
      <w:r>
        <w:t xml:space="preserve">. Outra revisão sobre peptídeos não aprovados na medicina esportiva conclui que faltam dados sólidos de segurança em humanos e que há potencial de dano</w:t>
      </w:r>
      <w:r>
        <w:rPr>
          <w:rStyle w:val="FootnoteReference"/>
        </w:rPr>
        <w:footnoteReference w:id="2462"/>
      </w:r>
      <w:r>
        <w:t xml:space="preserve">.</w:t>
      </w:r>
    </w:p>
    <w:bookmarkEnd w:id="2463"/>
    <w:bookmarkStart w:id="2470" w:name="estudos-em-animais-e-em-laboratório-55"/>
    <w:p>
      <w:pPr>
        <w:pStyle w:val="Heading3"/>
      </w:pPr>
      <w:r>
        <w:t xml:space="preserve">Estudos em animais e em laboratório</w:t>
      </w:r>
    </w:p>
    <w:p>
      <w:pPr>
        <w:pStyle w:val="FirstParagraph"/>
      </w:pPr>
      <w:r>
        <w:t xml:space="preserve">A literatura pré-clínica é extensa:</w:t>
      </w:r>
    </w:p>
    <w:p>
      <w:pPr>
        <w:numPr>
          <w:ilvl w:val="0"/>
          <w:numId w:val="1308"/>
        </w:numPr>
        <w:pStyle w:val="Compact"/>
      </w:pPr>
      <w:r>
        <w:rPr>
          <w:bCs/>
          <w:b/>
        </w:rPr>
        <w:t xml:space="preserve">Cultura de células:</w:t>
      </w:r>
      <w:r>
        <w:t xml:space="preserve"> </w:t>
      </w:r>
      <w:r>
        <w:t xml:space="preserve">aumento da formação de colágeno em fibroblastos</w:t>
      </w:r>
      <w:r>
        <w:rPr>
          <w:rStyle w:val="FootnoteReference"/>
        </w:rPr>
        <w:footnoteReference w:id="2464"/>
      </w:r>
      <w:r>
        <w:t xml:space="preserve">; influência sobre enzimas que formam e degradam o tecido conjuntivo.</w:t>
      </w:r>
    </w:p>
    <w:p>
      <w:pPr>
        <w:numPr>
          <w:ilvl w:val="0"/>
          <w:numId w:val="1308"/>
        </w:numPr>
        <w:pStyle w:val="Compact"/>
      </w:pPr>
      <w:r>
        <w:rPr>
          <w:bCs/>
          <w:b/>
        </w:rPr>
        <w:t xml:space="preserve">Cicatrização de feridas em animais:</w:t>
      </w:r>
      <w:r>
        <w:t xml:space="preserve"> </w:t>
      </w:r>
      <w:r>
        <w:t xml:space="preserve">em ratos com feridas mal irrigadas, a área da ferida diminuiu após 13 dias 64,5% com gel de GHK-Cu, 45,6% com o gel veículo e 28,2% sem tratamento</w:t>
      </w:r>
      <w:r>
        <w:rPr>
          <w:rStyle w:val="FootnoteReference"/>
        </w:rPr>
        <w:footnoteReference w:id="2465"/>
      </w:r>
      <w:r>
        <w:t xml:space="preserve">. Em camundongos, lipossomos contendo GHK-Cu favoreceram a formação de novos vasos em pele escaldada e encurtaram o tempo de cicatrização</w:t>
      </w:r>
      <w:r>
        <w:rPr>
          <w:rStyle w:val="FootnoteReference"/>
        </w:rPr>
        <w:footnoteReference w:id="2466"/>
      </w:r>
      <w:r>
        <w:t xml:space="preserve">.</w:t>
      </w:r>
    </w:p>
    <w:p>
      <w:pPr>
        <w:numPr>
          <w:ilvl w:val="0"/>
          <w:numId w:val="1308"/>
        </w:numPr>
        <w:pStyle w:val="Compact"/>
      </w:pPr>
      <w:r>
        <w:rPr>
          <w:bCs/>
          <w:b/>
        </w:rPr>
        <w:t xml:space="preserve">Outros órgãos (em animais):</w:t>
      </w:r>
      <w:r>
        <w:t xml:space="preserve"> </w:t>
      </w:r>
      <w:r>
        <w:t xml:space="preserve">em camundongos, o GHK-Cu injetado na cavidade abdominal atenuou uma fibrose pulmonar induzida experimentalmente</w:t>
      </w:r>
      <w:r>
        <w:rPr>
          <w:rStyle w:val="FootnoteReference"/>
        </w:rPr>
        <w:footnoteReference w:id="2467"/>
      </w:r>
      <w:r>
        <w:t xml:space="preserve">; outros estudos em camundongos descrevem efeitos em lesões pulmonares, inflamação intestinal e fraqueza muscular após fumaça de cigarro. Em ratos, melhorou a cicatrização após reconstrução do ligamento cruzado apenas temporariamente</w:t>
      </w:r>
      <w:r>
        <w:rPr>
          <w:rStyle w:val="FootnoteReference"/>
        </w:rPr>
        <w:footnoteReference w:id="2468"/>
      </w:r>
      <w:r>
        <w:t xml:space="preserve">.</w:t>
      </w:r>
    </w:p>
    <w:p>
      <w:pPr>
        <w:numPr>
          <w:ilvl w:val="0"/>
          <w:numId w:val="1308"/>
        </w:numPr>
        <w:pStyle w:val="Compact"/>
      </w:pPr>
      <w:r>
        <w:rPr>
          <w:bCs/>
          <w:b/>
        </w:rPr>
        <w:t xml:space="preserve">Cérebro (em camundongos):</w:t>
      </w:r>
      <w:r>
        <w:t xml:space="preserve"> </w:t>
      </w:r>
      <w:r>
        <w:t xml:space="preserve">uma pré-publicação de 2026, ainda não revisada por pares, descreveu em camundongos idosos melhor desempenho de aprendizagem após oito semanas de administração nasal; após breve administração na cavidade abdominal, apenas temporariamente e apenas nos machos</w:t>
      </w:r>
      <w:r>
        <w:rPr>
          <w:rStyle w:val="FootnoteReference"/>
        </w:rPr>
        <w:footnoteReference w:id="2469"/>
      </w:r>
      <w:r>
        <w:t xml:space="preserve">.</w:t>
      </w:r>
    </w:p>
    <w:p>
      <w:pPr>
        <w:pStyle w:val="FirstParagraph"/>
      </w:pPr>
      <w:r>
        <w:t xml:space="preserve">Esses achados mostram uma atividade biológica, mas não podem ser transferidos sem mais para humanos – muito menos para cremes cosméticos com permeabilidade cutânea incerta.</w:t>
      </w:r>
    </w:p>
    <w:bookmarkEnd w:id="2470"/>
    <w:bookmarkStart w:id="2473" w:name="riscos-e-efeitos-colaterais-55"/>
    <w:p>
      <w:pPr>
        <w:pStyle w:val="Heading3"/>
      </w:pPr>
      <w:r>
        <w:t xml:space="preserve">Riscos e efeitos colaterais</w:t>
      </w:r>
    </w:p>
    <w:p>
      <w:pPr>
        <w:pStyle w:val="FirstParagraph"/>
      </w:pPr>
      <w:r>
        <w:rPr>
          <w:bCs/>
          <w:b/>
        </w:rPr>
        <w:t xml:space="preserve">Uso cosmético (comprovado ou provável):</w:t>
      </w:r>
      <w:r>
        <w:t xml:space="preserve"> </w:t>
      </w:r>
      <w:r>
        <w:t xml:space="preserve">o GHK-Cu é usado há décadas em cosméticos; nos poucos estudos, não foram relatados efeitos colaterais relevantes. Como com qualquer ingrediente cosmético, irritações cutâneas e alergias de contato são possíveis. Séruns contendo cobre podem ser ou não quimicamente compatíveis com outros ativos (como vitamina C ou ácidos) – isso é uma questão de formulação.</w:t>
      </w:r>
    </w:p>
    <w:p>
      <w:pPr>
        <w:pStyle w:val="BodyText"/>
      </w:pPr>
      <w:r>
        <w:rPr>
          <w:bCs/>
          <w:b/>
        </w:rPr>
        <w:t xml:space="preserve">Injeção (teórico, mas a ser levado a sério):</w:t>
      </w:r>
    </w:p>
    <w:p>
      <w:pPr>
        <w:numPr>
          <w:ilvl w:val="0"/>
          <w:numId w:val="1309"/>
        </w:numPr>
        <w:pStyle w:val="Compact"/>
      </w:pPr>
      <w:r>
        <w:rPr>
          <w:bCs/>
          <w:b/>
        </w:rPr>
        <w:t xml:space="preserve">Nenhum dado de segurança:</w:t>
      </w:r>
      <w:r>
        <w:t xml:space="preserve"> </w:t>
      </w:r>
      <w:r>
        <w:t xml:space="preserve">não há dados sistemáticos sobre tolerabilidade, dose ou consequências de longo prazo em humanos.</w:t>
      </w:r>
    </w:p>
    <w:p>
      <w:pPr>
        <w:numPr>
          <w:ilvl w:val="0"/>
          <w:numId w:val="1309"/>
        </w:numPr>
        <w:pStyle w:val="Compact"/>
      </w:pPr>
      <w:r>
        <w:rPr>
          <w:bCs/>
          <w:b/>
        </w:rPr>
        <w:t xml:space="preserve">Efeitos celulares heterogêneos:</w:t>
      </w:r>
      <w:r>
        <w:t xml:space="preserve"> </w:t>
      </w:r>
      <w:r>
        <w:t xml:space="preserve">já os primeiros trabalhos de laboratório descreveram que o GHK pode, conforme o sistema celular, favorecer o crescimento, mas também ter efeito tóxico</w:t>
      </w:r>
      <w:r>
        <w:rPr>
          <w:rStyle w:val="FootnoteReference"/>
        </w:rPr>
        <w:footnoteReference w:id="2471"/>
      </w:r>
      <w:r>
        <w:t xml:space="preserve">.</w:t>
      </w:r>
    </w:p>
    <w:p>
      <w:pPr>
        <w:numPr>
          <w:ilvl w:val="0"/>
          <w:numId w:val="1309"/>
        </w:numPr>
        <w:pStyle w:val="Compact"/>
      </w:pPr>
      <w:r>
        <w:rPr>
          <w:bCs/>
          <w:b/>
        </w:rPr>
        <w:t xml:space="preserve">Carga de cobre:</w:t>
      </w:r>
      <w:r>
        <w:t xml:space="preserve"> </w:t>
      </w:r>
      <w:r>
        <w:t xml:space="preserve">o cobre é tóxico em quantidades maiores. Quanto cobre permanece no corpo com injeções repetidas não foi estudado. Estariam especialmente em risco pessoas com doença de Wilson, uma doença congênita de acúmulo de cobre.</w:t>
      </w:r>
    </w:p>
    <w:p>
      <w:pPr>
        <w:numPr>
          <w:ilvl w:val="0"/>
          <w:numId w:val="1309"/>
        </w:numPr>
        <w:pStyle w:val="Compact"/>
      </w:pPr>
      <w:r>
        <w:rPr>
          <w:bCs/>
          <w:b/>
        </w:rPr>
        <w:t xml:space="preserve">Sinais de crescimento:</w:t>
      </w:r>
      <w:r>
        <w:t xml:space="preserve"> </w:t>
      </w:r>
      <w:r>
        <w:t xml:space="preserve">em experimentos com animais, o GHK-Cu favorece a formação de novos vasos sanguíneos (angiogênese). Se isso representa um risco em tumores existentes é desconhecido (risco teórico).</w:t>
      </w:r>
    </w:p>
    <w:p>
      <w:pPr>
        <w:numPr>
          <w:ilvl w:val="0"/>
          <w:numId w:val="1309"/>
        </w:numPr>
        <w:pStyle w:val="Compact"/>
      </w:pPr>
      <w:r>
        <w:rPr>
          <w:bCs/>
          <w:b/>
        </w:rPr>
        <w:t xml:space="preserve">Qualidade do mercado cinza:</w:t>
      </w:r>
      <w:r>
        <w:t xml:space="preserve"> </w:t>
      </w:r>
      <w:r>
        <w:t xml:space="preserve">os</w:t>
      </w:r>
      <w:r>
        <w:t xml:space="preserve"> </w:t>
      </w:r>
      <w:r>
        <w:t xml:space="preserve">“</w:t>
      </w:r>
      <w:r>
        <w:t xml:space="preserve">research peptides</w:t>
      </w:r>
      <w:r>
        <w:t xml:space="preserve">”</w:t>
      </w:r>
      <w:r>
        <w:t xml:space="preserve"> </w:t>
      </w:r>
      <w:r>
        <w:t xml:space="preserve">são produzidos sem controle de qualidade farmacêutico. Contaminações, quantidades erradas ou contaminação bacteriana são possíveis; injeções de produtos não estéreis podem levar a abscessos e infecções. Uma revisão descreve esses riscos para peptídeos injetáveis de</w:t>
      </w:r>
      <w:r>
        <w:t xml:space="preserve"> </w:t>
      </w:r>
      <w:r>
        <w:t xml:space="preserve">“</w:t>
      </w:r>
      <w:r>
        <w:t xml:space="preserve">biohacking</w:t>
      </w:r>
      <w:r>
        <w:t xml:space="preserve">”</w:t>
      </w:r>
      <w:r>
        <w:t xml:space="preserve"> </w:t>
      </w:r>
      <w:r>
        <w:t xml:space="preserve">em geral</w:t>
      </w:r>
      <w:r>
        <w:rPr>
          <w:rStyle w:val="FootnoteReference"/>
        </w:rPr>
        <w:footnoteReference w:id="2472"/>
      </w:r>
      <w:r>
        <w:t xml:space="preserve">. A Parte IV trata do tema em detalhes.</w:t>
      </w:r>
    </w:p>
    <w:bookmarkEnd w:id="2473"/>
    <w:bookmarkStart w:id="2474" w:name="situação-legal-55"/>
    <w:p>
      <w:pPr>
        <w:pStyle w:val="Heading3"/>
      </w:pPr>
      <w:r>
        <w:t xml:space="preserve">Situação legal</w:t>
      </w:r>
    </w:p>
    <w:p>
      <w:pPr>
        <w:numPr>
          <w:ilvl w:val="0"/>
          <w:numId w:val="1310"/>
        </w:numPr>
        <w:pStyle w:val="Compact"/>
      </w:pPr>
      <w:r>
        <w:rPr>
          <w:bCs/>
          <w:b/>
        </w:rPr>
        <w:t xml:space="preserve">UE / Áustria / Alemanha:</w:t>
      </w:r>
      <w:r>
        <w:t xml:space="preserve"> </w:t>
      </w:r>
      <w:r>
        <w:t xml:space="preserve">o GHK-Cu (Copper Tripeptide-1) pode ser usado como ingrediente em cosméticos; aplica-se o Regulamento Europeu de Cosméticos (Regulamento (CE) nº 1223/2009). Cosméticos só podem destinar-se à aplicação na pele e em seus anexos e não podem reivindicar efeitos medicamentosos; as alegações publicitárias devem ser comprováveis, segundo o Regulamento (UE) nº 655/2013. Um GHK-Cu destinado à injeção não é um cosmético, mas um medicamento não aprovado. Sua venda para uso em humanos não é permitida; rótulos como</w:t>
      </w:r>
      <w:r>
        <w:t xml:space="preserve"> </w:t>
      </w:r>
      <w:r>
        <w:t xml:space="preserve">“</w:t>
      </w:r>
      <w:r>
        <w:t xml:space="preserve">apenas para fins de pesquisa</w:t>
      </w:r>
      <w:r>
        <w:t xml:space="preserve">”</w:t>
      </w:r>
      <w:r>
        <w:t xml:space="preserve"> </w:t>
      </w:r>
      <w:r>
        <w:t xml:space="preserve">não mudam nada nisso.</w:t>
      </w:r>
    </w:p>
    <w:p>
      <w:pPr>
        <w:numPr>
          <w:ilvl w:val="0"/>
          <w:numId w:val="1310"/>
        </w:numPr>
        <w:pStyle w:val="Compact"/>
      </w:pPr>
      <w:r>
        <w:rPr>
          <w:bCs/>
          <w:b/>
        </w:rPr>
        <w:t xml:space="preserve">EUA:</w:t>
      </w:r>
      <w:r>
        <w:t xml:space="preserve"> </w:t>
      </w:r>
      <w:r>
        <w:t xml:space="preserve">permitido em cosméticos. A FDA, segundo nosso conhecimento, incluiu em 2023 o GHK-Cu para injeção em uma lista de princípios ativos para os quais vê preocupações de segurança significativas na manipulação em farmácias (compounding); a classificação de vários peptídeos tem sido rediscutida desde então.</w:t>
      </w:r>
    </w:p>
    <w:p>
      <w:pPr>
        <w:numPr>
          <w:ilvl w:val="0"/>
          <w:numId w:val="1310"/>
        </w:numPr>
        <w:pStyle w:val="Compact"/>
      </w:pPr>
      <w:r>
        <w:rPr>
          <w:bCs/>
          <w:b/>
        </w:rPr>
        <w:t xml:space="preserve">Esporte:</w:t>
      </w:r>
      <w:r>
        <w:t xml:space="preserve"> </w:t>
      </w:r>
      <w:r>
        <w:t xml:space="preserve">o GHK-Cu não consta nominalmente na lista da WADA. Cremes cosméticos são considerados não problemáticos. O GHK-Cu injetado, como substância não aprovada, poderia enquadrar-se na categoria S0; em caso de dúvida, atletas devem consultar a agência nacional antidoping (situação em 2026, verificar atualização).</w:t>
      </w:r>
    </w:p>
    <w:bookmarkEnd w:id="2474"/>
    <w:bookmarkStart w:id="2476" w:name="estudos-em-andamento-e-perspectivas-55"/>
    <w:p>
      <w:pPr>
        <w:pStyle w:val="Heading3"/>
      </w:pPr>
      <w:r>
        <w:t xml:space="preserve">Estudos em andamento e perspectivas</w:t>
      </w:r>
    </w:p>
    <w:p>
      <w:pPr>
        <w:pStyle w:val="FirstParagraph"/>
      </w:pPr>
      <w:r>
        <w:rPr>
          <w:bCs/>
          <w:b/>
        </w:rPr>
        <w:t xml:space="preserve">Confirmado (estudos registrados, situação em outubro de 2026):</w:t>
      </w:r>
    </w:p>
    <w:p>
      <w:pPr>
        <w:numPr>
          <w:ilvl w:val="0"/>
          <w:numId w:val="1311"/>
        </w:numPr>
        <w:pStyle w:val="Compact"/>
      </w:pPr>
      <w:r>
        <w:rPr>
          <w:bCs/>
          <w:b/>
        </w:rPr>
        <w:t xml:space="preserve">Adesivo:</w:t>
      </w:r>
      <w:r>
        <w:t xml:space="preserve"> </w:t>
      </w:r>
      <w:r>
        <w:t xml:space="preserve">um estudo com 100 pessoas saudáveis previstas pretende investigar se um adesivo (X39) altera os níveis sanguíneos de GHK e GHK-Cu; início previsto para 2027</w:t>
      </w:r>
      <w:r>
        <w:rPr>
          <w:rStyle w:val="FootnoteReference"/>
        </w:rPr>
        <w:footnoteReference w:id="2475"/>
      </w:r>
      <w:r>
        <w:t xml:space="preserve">. O patrocinador é uma empresa que comercializa o adesivo.</w:t>
      </w:r>
    </w:p>
    <w:p>
      <w:pPr>
        <w:pStyle w:val="FirstParagraph"/>
      </w:pPr>
      <w:r>
        <w:rPr>
          <w:bCs/>
          <w:b/>
        </w:rPr>
        <w:t xml:space="preserve">Avaliação:</w:t>
      </w:r>
      <w:r>
        <w:t xml:space="preserve"> </w:t>
      </w:r>
      <w:r>
        <w:t xml:space="preserve">no momento, não se vê nenhum estudo sério e registrado com um desfecho medicamente relevante – por exemplo, a cicatrização de feridas, de onde vêm os únicos dados controlados positivos em humanos. Para o uso cosmético, seriam necessários estudos independentes, suficientemente grandes e controlados por placebo, com um creme sem outros princípios ativos. Para injeções, nenhum estudo sério está à vista; o interesse é alimentado sobretudo nas redes sociais e no mercado cinza.</w:t>
      </w:r>
    </w:p>
    <w:bookmarkEnd w:id="2476"/>
    <w:bookmarkStart w:id="2477" w:name="conclusão-55"/>
    <w:p>
      <w:pPr>
        <w:pStyle w:val="Heading3"/>
      </w:pPr>
      <w:r>
        <w:t xml:space="preserve">Conclusão</w:t>
      </w:r>
    </w:p>
    <w:p>
      <w:pPr>
        <w:pStyle w:val="FirstParagraph"/>
      </w:pPr>
      <w:r>
        <w:t xml:space="preserve">O GHK-Cu é um peptídeo de cobre endógeno que, em laboratório, estimula a formação de colágeno e, em experimentos com animais, acelera a cicatrização de feridas. Em humanos, há apenas um estudo randomizado antigo sobre úlceras de pé diabético com resultado positivo e um minúsculo estudo cosmético sem efeito mensurável. Se o GHK-Cu dos cremes chega à pele em quantidade suficiente não está esclarecido; as alegações publicitárias apoiam-se sobretudo em dados de laboratório e em estudos de fabricantes não verificados de forma independente. Como ingrediente cosmético, é legal e considerado bem tolerado. Injeções de GHK-Cu do mercado cinza não foram estudadas nem aprovadas e trazem riscos evitáveis.</w:t>
      </w:r>
    </w:p>
    <w:bookmarkEnd w:id="2477"/>
    <w:bookmarkEnd w:id="2478"/>
    <w:bookmarkStart w:id="2497" w:name="palmitoil-pentapeptídeo-4-matrixyl"/>
    <w:p>
      <w:pPr>
        <w:pStyle w:val="Heading2"/>
      </w:pPr>
      <w:r>
        <w:t xml:space="preserve">Palmitoil pentapeptídeo-4 (Matrixyl)</w:t>
      </w:r>
    </w:p>
    <w:bookmarkStart w:id="2479" w:name="ficha-técnica-56"/>
    <w:p>
      <w:pPr>
        <w:pStyle w:val="Heading3"/>
      </w:pPr>
      <w:r>
        <w:t xml:space="preserve">Ficha técnica</w:t>
      </w:r>
    </w:p>
    <w:p>
      <w:pPr>
        <w:numPr>
          <w:ilvl w:val="0"/>
          <w:numId w:val="1312"/>
        </w:numPr>
        <w:pStyle w:val="Compact"/>
      </w:pPr>
      <w:r>
        <w:rPr>
          <w:bCs/>
          <w:b/>
        </w:rPr>
        <w:t xml:space="preserve">Tipo/estrutura:</w:t>
      </w:r>
      <w:r>
        <w:t xml:space="preserve"> </w:t>
      </w:r>
      <w:r>
        <w:t xml:space="preserve">pentapeptídeo de lisina, treonina, treonina, lisina e serina (KTTKS), ao qual está acoplado um ácido palmítico (um ácido graxo com 16 átomos de carbono). Abreviação Pal-KTTKS; antes listado como palmitoil pentapeptídeo-3. Nome comercial da matéria-prima: Matrixyl.</w:t>
      </w:r>
    </w:p>
    <w:p>
      <w:pPr>
        <w:numPr>
          <w:ilvl w:val="0"/>
          <w:numId w:val="1312"/>
        </w:numPr>
        <w:pStyle w:val="Compact"/>
      </w:pPr>
      <w:r>
        <w:rPr>
          <w:bCs/>
          <w:b/>
        </w:rPr>
        <w:t xml:space="preserve">Origem:</w:t>
      </w:r>
      <w:r>
        <w:t xml:space="preserve"> </w:t>
      </w:r>
      <w:r>
        <w:t xml:space="preserve">sintética. A sequência KTTKS vem da molécula precursora do colágeno tipo I (pró-colágeno). O apêndice de ácido graxo deveria melhorar a penetração na pele.</w:t>
      </w:r>
    </w:p>
    <w:p>
      <w:pPr>
        <w:numPr>
          <w:ilvl w:val="0"/>
          <w:numId w:val="1312"/>
        </w:numPr>
        <w:pStyle w:val="Compact"/>
      </w:pPr>
      <w:r>
        <w:rPr>
          <w:bCs/>
          <w:b/>
        </w:rPr>
        <w:t xml:space="preserve">Mecanismo de ação:</w:t>
      </w:r>
      <w:r>
        <w:t xml:space="preserve"> </w:t>
      </w:r>
      <w:r>
        <w:t xml:space="preserve">deveria, como</w:t>
      </w:r>
      <w:r>
        <w:t xml:space="preserve"> </w:t>
      </w:r>
      <w:r>
        <w:t xml:space="preserve">“</w:t>
      </w:r>
      <w:r>
        <w:t xml:space="preserve">matriquina</w:t>
      </w:r>
      <w:r>
        <w:t xml:space="preserve">”</w:t>
      </w:r>
      <w:r>
        <w:t xml:space="preserve"> </w:t>
      </w:r>
      <w:r>
        <w:t xml:space="preserve">– um fragmento da matriz do tecido conjuntivo com efeito sinalizador –, estimular os fibroblastos da pele a formar colágeno e outros componentes da matriz.</w:t>
      </w:r>
    </w:p>
    <w:p>
      <w:pPr>
        <w:numPr>
          <w:ilvl w:val="0"/>
          <w:numId w:val="1312"/>
        </w:numPr>
        <w:pStyle w:val="Compact"/>
      </w:pPr>
      <w:r>
        <w:rPr>
          <w:bCs/>
          <w:b/>
        </w:rPr>
        <w:t xml:space="preserve">Delimitação:</w:t>
      </w:r>
      <w:r>
        <w:t xml:space="preserve"> </w:t>
      </w:r>
      <w:r>
        <w:t xml:space="preserve">o</w:t>
      </w:r>
      <w:r>
        <w:t xml:space="preserve"> </w:t>
      </w:r>
      <w:r>
        <w:t xml:space="preserve">“</w:t>
      </w:r>
      <w:r>
        <w:t xml:space="preserve">Matrixyl 3000</w:t>
      </w:r>
      <w:r>
        <w:t xml:space="preserve">”</w:t>
      </w:r>
      <w:r>
        <w:t xml:space="preserve"> </w:t>
      </w:r>
      <w:r>
        <w:t xml:space="preserve">é outro produto, uma combinação de palmitoil tripeptídeo-1 (Pal-GHK, veja o capítulo GHK-Cu) e palmitoil tetrapeptídeo-7.</w:t>
      </w:r>
    </w:p>
    <w:p>
      <w:pPr>
        <w:numPr>
          <w:ilvl w:val="0"/>
          <w:numId w:val="1312"/>
        </w:numPr>
        <w:pStyle w:val="Compact"/>
      </w:pPr>
      <w:r>
        <w:rPr>
          <w:bCs/>
          <w:b/>
        </w:rPr>
        <w:t xml:space="preserve">Aprovação na UE:</w:t>
      </w:r>
      <w:r>
        <w:t xml:space="preserve"> </w:t>
      </w:r>
      <w:r>
        <w:t xml:space="preserve">não é medicamento; ingrediente cosmético.</w:t>
      </w:r>
    </w:p>
    <w:p>
      <w:pPr>
        <w:numPr>
          <w:ilvl w:val="0"/>
          <w:numId w:val="1312"/>
        </w:numPr>
        <w:pStyle w:val="Compact"/>
      </w:pPr>
      <w:r>
        <w:rPr>
          <w:bCs/>
          <w:b/>
        </w:rPr>
        <w:t xml:space="preserve">Aprovação nos EUA:</w:t>
      </w:r>
      <w:r>
        <w:t xml:space="preserve"> </w:t>
      </w:r>
      <w:r>
        <w:t xml:space="preserve">não é medicamento; ingrediente cosmético.</w:t>
      </w:r>
    </w:p>
    <w:p>
      <w:pPr>
        <w:numPr>
          <w:ilvl w:val="0"/>
          <w:numId w:val="1312"/>
        </w:numPr>
        <w:pStyle w:val="Compact"/>
      </w:pPr>
      <w:r>
        <w:rPr>
          <w:bCs/>
          <w:b/>
        </w:rPr>
        <w:t xml:space="preserve">WADA:</w:t>
      </w:r>
      <w:r>
        <w:t xml:space="preserve"> </w:t>
      </w:r>
      <w:r>
        <w:t xml:space="preserve">não listado; como componente de cosméticos, sem relevância para o direito esportivo.</w:t>
      </w:r>
    </w:p>
    <w:p>
      <w:pPr>
        <w:numPr>
          <w:ilvl w:val="0"/>
          <w:numId w:val="1312"/>
        </w:numPr>
        <w:pStyle w:val="Compact"/>
      </w:pPr>
      <w:r>
        <w:rPr>
          <w:bCs/>
          <w:b/>
        </w:rPr>
        <w:t xml:space="preserve">Nível de evidência:</w:t>
      </w:r>
      <w:r>
        <w:t xml:space="preserve"> </w:t>
      </w:r>
      <w:r>
        <w:rPr>
          <w:bCs/>
          <w:b/>
        </w:rPr>
        <w:t xml:space="preserve">B</w:t>
      </w:r>
      <w:r>
        <w:t xml:space="preserve"> </w:t>
      </w:r>
      <w:r>
        <w:t xml:space="preserve">(fraco) – um estudo randomizado de hemiface maior, de 2005, e um estudo randomizado muito pequeno; nenhum estudo independente de confirmação.</w:t>
      </w:r>
    </w:p>
    <w:bookmarkEnd w:id="2479"/>
    <w:bookmarkStart w:id="2483" w:name="como-deveria-agir-56"/>
    <w:p>
      <w:pPr>
        <w:pStyle w:val="Heading3"/>
      </w:pPr>
      <w:r>
        <w:t xml:space="preserve">Como deveria agir</w:t>
      </w:r>
    </w:p>
    <w:p>
      <w:pPr>
        <w:pStyle w:val="FirstParagraph"/>
      </w:pPr>
      <w:r>
        <w:t xml:space="preserve">Quando o tecido conjuntivo é lesionado, enzimas decompõem o colágeno e outros componentes da matriz em fragmentos. Alguns desses fragmentos funcionam como sinal: indicam às células do tecido conjuntivo que há necessidade de reparo. Esses fragmentos sinalizadores são chamados matriquinas.</w:t>
      </w:r>
    </w:p>
    <w:p>
      <w:pPr>
        <w:pStyle w:val="BodyText"/>
      </w:pPr>
      <w:r>
        <w:t xml:space="preserve">Em 1993, um grupo de trabalho descreveu que o pentapeptídeo KTTKS – um pequeno trecho da extremidade do pró-colágeno tipo I – aumenta fortemente, em culturas de fibroblastos, a formação de colágeno tipo I e tipo III e de fibronectina. O KTTKS foi a menor sequência que ainda desencadeava esse efeito</w:t>
      </w:r>
      <w:r>
        <w:rPr>
          <w:rStyle w:val="FootnoteReference"/>
        </w:rPr>
        <w:footnoteReference w:id="2480"/>
      </w:r>
      <w:r>
        <w:t xml:space="preserve">. A indústria cosmética adotou a ideia: um peptídeo que sinaliza à pele</w:t>
      </w:r>
      <w:r>
        <w:t xml:space="preserve"> </w:t>
      </w:r>
      <w:r>
        <w:t xml:space="preserve">“</w:t>
      </w:r>
      <w:r>
        <w:t xml:space="preserve">necessidade de reparo</w:t>
      </w:r>
      <w:r>
        <w:t xml:space="preserve">”</w:t>
      </w:r>
      <w:r>
        <w:t xml:space="preserve"> </w:t>
      </w:r>
      <w:r>
        <w:t xml:space="preserve">poderia impulsionar a formação de colágeno, que diminui com a idade.</w:t>
      </w:r>
    </w:p>
    <w:p>
      <w:pPr>
        <w:pStyle w:val="BodyText"/>
      </w:pPr>
      <w:r>
        <w:t xml:space="preserve">O KTTKS puro, porém, quase não penetra na pele. Com o acoplamento de um ácido graxo (palmitoilação), a molécula torna-se mais lipossolúvel. Em cultura de células, o Pal-KTTKS estimulou a formação de colágeno por fibroblastos da pele e da córnea de forma dependente da concentração; o efeito ocorreu perto da concentração a partir da qual as moléculas se agregam em nanoestruturas em forma de fita</w:t>
      </w:r>
      <w:r>
        <w:rPr>
          <w:rStyle w:val="FootnoteReference"/>
        </w:rPr>
        <w:footnoteReference w:id="2481"/>
      </w:r>
      <w:r>
        <w:t xml:space="preserve">.</w:t>
      </w:r>
    </w:p>
    <w:p>
      <w:pPr>
        <w:pStyle w:val="BodyText"/>
      </w:pPr>
      <w:r>
        <w:t xml:space="preserve">Fica em aberto quanto Pal-KTTKS de um creme alcança de fato a derme, onde estão os fibroblastos. Para o Pal-GHK, aparentado, uma investigação em voluntários mostrou que, após a aplicação, ele se distribui apenas entre as células da camada córnea e diminui com a profundidade</w:t>
      </w:r>
      <w:r>
        <w:rPr>
          <w:rStyle w:val="FootnoteReference"/>
        </w:rPr>
        <w:footnoteReference w:id="2482"/>
      </w:r>
      <w:r>
        <w:t xml:space="preserve">. Para o próprio Pal-KTTKS, faltam medições comparáveis em humanos na literatura avaliada.</w:t>
      </w:r>
    </w:p>
    <w:bookmarkEnd w:id="2483"/>
    <w:bookmarkStart w:id="2486" w:name="estudos-em-humanos-56"/>
    <w:p>
      <w:pPr>
        <w:pStyle w:val="Heading3"/>
      </w:pPr>
      <w:r>
        <w:t xml:space="preserve">Estudos em humanos</w:t>
      </w:r>
    </w:p>
    <w:p>
      <w:pPr>
        <w:pStyle w:val="FirstParagraph"/>
      </w:pPr>
      <w:r>
        <w:t xml:space="preserve">A consulta ao PubMed avaliada para este livro (palmitoil pentapeptídeo ou Matrixyl no título ou no resumo, data da consulta outubro de 2026) resultou em apenas</w:t>
      </w:r>
      <w:r>
        <w:t xml:space="preserve"> </w:t>
      </w:r>
      <w:r>
        <w:rPr>
          <w:bCs/>
          <w:b/>
        </w:rPr>
        <w:t xml:space="preserve">um</w:t>
      </w:r>
      <w:r>
        <w:t xml:space="preserve"> </w:t>
      </w:r>
      <w:r>
        <w:t xml:space="preserve">trabalho classificado como estudo em humanos; no ClinicalTrials.gov, não há registro. Na revisão manual, foram encontrados mais dois estudos controlados, além de estudos com produtos combinados.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Robinson 2005, PMID 18492182</w:t>
            </w:r>
          </w:p>
        </w:tc>
        <w:tc>
          <w:tcPr/>
          <w:p>
            <w:pPr>
              <w:pStyle w:val="Compact"/>
              <w:jc w:val="left"/>
            </w:pPr>
            <w:r>
              <w:t xml:space="preserve">93 mulheres de pele clara (35–55 anos), hidratante com Pal-KTTKS em um lado do rosto vs. o mesmo creme sem princípio ativo no outro, duplo-cego</w:t>
            </w:r>
          </w:p>
        </w:tc>
        <w:tc>
          <w:tcPr/>
          <w:p>
            <w:pPr>
              <w:pStyle w:val="Compact"/>
              <w:jc w:val="left"/>
            </w:pPr>
            <w:r>
              <w:t xml:space="preserve">12 semanas</w:t>
            </w:r>
          </w:p>
        </w:tc>
        <w:tc>
          <w:tcPr/>
          <w:p>
            <w:pPr>
              <w:pStyle w:val="Compact"/>
              <w:jc w:val="left"/>
            </w:pPr>
            <w:r>
              <w:t xml:space="preserve">Redução significativa de rugas e linhas finas em relação ao lado de controle, medida por análise de imagem e por especialistas; bem tolerado</w:t>
            </w:r>
          </w:p>
        </w:tc>
      </w:tr>
      <w:tr>
        <w:tc>
          <w:tcPr/>
          <w:p>
            <w:pPr>
              <w:pStyle w:val="Compact"/>
              <w:jc w:val="left"/>
            </w:pPr>
            <w:r>
              <w:t xml:space="preserve">Aruan 2023, PMID 36909866</w:t>
            </w:r>
          </w:p>
        </w:tc>
        <w:tc>
          <w:tcPr/>
          <w:p>
            <w:pPr>
              <w:pStyle w:val="Compact"/>
              <w:jc w:val="left"/>
            </w:pPr>
            <w:r>
              <w:t xml:space="preserve">21 mulheres indonésias (26–55 anos), creme com palmitoil pentapeptídeo-4 vs. acetil hexapeptídeo-3 vs. placebo, duplo-cego</w:t>
            </w:r>
          </w:p>
        </w:tc>
        <w:tc>
          <w:tcPr/>
          <w:p>
            <w:pPr>
              <w:pStyle w:val="Compact"/>
              <w:jc w:val="left"/>
            </w:pPr>
            <w:r>
              <w:t xml:space="preserve">8 semanas</w:t>
            </w:r>
          </w:p>
        </w:tc>
        <w:tc>
          <w:tcPr/>
          <w:p>
            <w:pPr>
              <w:pStyle w:val="Compact"/>
              <w:jc w:val="left"/>
            </w:pPr>
            <w:r>
              <w:t xml:space="preserve">Melhoras</w:t>
            </w:r>
            <w:r>
              <w:t xml:space="preserve"> </w:t>
            </w:r>
            <w:r>
              <w:t xml:space="preserve">“</w:t>
            </w:r>
            <w:r>
              <w:t xml:space="preserve">em algumas participantes</w:t>
            </w:r>
            <w:r>
              <w:t xml:space="preserve">”</w:t>
            </w:r>
            <w:r>
              <w:t xml:space="preserve">; o palmitoil pentapeptídeo-4 saiu-se melhor que os grupos de comparação; nenhum tamanho de efeito sólido no resumo</w:t>
            </w:r>
          </w:p>
        </w:tc>
      </w:tr>
      <w:tr>
        <w:tc>
          <w:tcPr/>
          <w:p>
            <w:pPr>
              <w:pStyle w:val="Compact"/>
              <w:jc w:val="left"/>
            </w:pPr>
            <w:r>
              <w:t xml:space="preserve">Röper 2004, PMID 15127162</w:t>
            </w:r>
          </w:p>
        </w:tc>
        <w:tc>
          <w:tcPr/>
          <w:p>
            <w:pPr>
              <w:pStyle w:val="Compact"/>
              <w:jc w:val="left"/>
            </w:pPr>
            <w:r>
              <w:t xml:space="preserve">20 mulheres com câncer de mama em radioterapia, creme com Matrixyl e outros princípios ativos vs. loção de dexpantenol</w:t>
            </w:r>
          </w:p>
        </w:tc>
        <w:tc>
          <w:tcPr/>
          <w:p>
            <w:pPr>
              <w:pStyle w:val="Compact"/>
              <w:jc w:val="left"/>
            </w:pPr>
            <w:r>
              <w:t xml:space="preserve">Duração da terapia</w:t>
            </w:r>
          </w:p>
        </w:tc>
        <w:tc>
          <w:tcPr/>
          <w:p>
            <w:pPr>
              <w:pStyle w:val="Compact"/>
              <w:jc w:val="left"/>
            </w:pPr>
            <w:r>
              <w:t xml:space="preserve">Nenhuma vantagem nas reações cutâneas; coceira mais frequente, uma suspeita de reação alérgica apenas no grupo Matrixyl</w:t>
            </w:r>
          </w:p>
        </w:tc>
      </w:tr>
    </w:tbl>
    <w:p>
      <w:pPr>
        <w:pStyle w:val="BodyText"/>
      </w:pPr>
      <w:r>
        <w:rPr>
          <w:bCs/>
          <w:b/>
        </w:rPr>
        <w:t xml:space="preserve">Robinson 2005</w:t>
      </w:r>
      <w:r>
        <w:t xml:space="preserve"> </w:t>
      </w:r>
      <w:r>
        <w:t xml:space="preserve">é o estudo central. O desenho de hemiface é inteligente, porque cada participante é seu próprio controle. A concentração no produto foi de 3 ppm (partes por milhão). Limitações: o resumo não informa tamanhos de efeito; o estudo foi publicado em uma revista especializada em cosmética e desde então não foi repetido por partes independentes. Foram estudadas exclusivamente mulheres de pele clara com fotoenvelhecimento; se os resultados se aplicam a outros tipos de pele está em aberto.</w:t>
      </w:r>
    </w:p>
    <w:p>
      <w:pPr>
        <w:pStyle w:val="BodyText"/>
      </w:pPr>
      <w:r>
        <w:rPr>
          <w:bCs/>
          <w:b/>
        </w:rPr>
        <w:t xml:space="preserve">Aruan 2023</w:t>
      </w:r>
      <w:r>
        <w:t xml:space="preserve">, com 21 participantes em três grupos, era pequeno demais para conclusões confiáveis; os próprios autores o descrevem como ponto de partida para estudos maiores.</w:t>
      </w:r>
    </w:p>
    <w:p>
      <w:pPr>
        <w:pStyle w:val="BodyText"/>
      </w:pPr>
      <w:r>
        <w:rPr>
          <w:bCs/>
          <w:b/>
        </w:rPr>
        <w:t xml:space="preserve">Röper 2004</w:t>
      </w:r>
      <w:r>
        <w:t xml:space="preserve"> </w:t>
      </w:r>
      <w:r>
        <w:t xml:space="preserve">testou um produto combinado em um contexto médico e não encontrou benefício.</w:t>
      </w:r>
    </w:p>
    <w:p>
      <w:pPr>
        <w:pStyle w:val="BodyText"/>
      </w:pPr>
      <w:r>
        <w:rPr>
          <w:bCs/>
          <w:b/>
        </w:rPr>
        <w:t xml:space="preserve">Produtos combinados:</w:t>
      </w:r>
      <w:r>
        <w:t xml:space="preserve"> </w:t>
      </w:r>
      <w:r>
        <w:t xml:space="preserve">em dois estudos de hemiface com 42 e 35 mulheres, produtos de cuidado que continham Pal-KTTKS junto com niacinamida, outro peptídeo, carnosina e, em parte, propionato de retinila melhoraram a suavidade da pele ao redor dos olhos em comparação com pele não tratada</w:t>
      </w:r>
      <w:r>
        <w:rPr>
          <w:rStyle w:val="FootnoteReference"/>
        </w:rPr>
        <w:footnoteReference w:id="2484"/>
      </w:r>
      <w:r>
        <w:t xml:space="preserve">. Como vários princípios ativos foram testados ao mesmo tempo e comparados com</w:t>
      </w:r>
      <w:r>
        <w:t xml:space="preserve"> </w:t>
      </w:r>
      <w:r>
        <w:t xml:space="preserve">“</w:t>
      </w:r>
      <w:r>
        <w:t xml:space="preserve">nenhum tratamento</w:t>
      </w:r>
      <w:r>
        <w:t xml:space="preserve">”</w:t>
      </w:r>
      <w:r>
        <w:t xml:space="preserve">, o efeito não pode ser atribuído ao peptídeo.</w:t>
      </w:r>
    </w:p>
    <w:p>
      <w:pPr>
        <w:pStyle w:val="BodyText"/>
      </w:pPr>
      <w:r>
        <w:rPr>
          <w:bCs/>
          <w:b/>
        </w:rPr>
        <w:t xml:space="preserve">Metanálise:</w:t>
      </w:r>
      <w:r>
        <w:t xml:space="preserve"> </w:t>
      </w:r>
      <w:r>
        <w:t xml:space="preserve">uma metanálise sobre peptídeos orais e tópicos contra o envelhecimento da pele (19 estudos, 1.341 participantes) encontrou um efeito geral modesto sobre as rugas, sustentado sobretudo por peptídeos ingeridos por via oral</w:t>
      </w:r>
      <w:r>
        <w:rPr>
          <w:rStyle w:val="FootnoteReference"/>
        </w:rPr>
        <w:footnoteReference w:id="2485"/>
      </w:r>
      <w:r>
        <w:t xml:space="preserve">. Para peptídeos de uso tópico como o Pal-KTTKS, isso não resulta em comprovação própria.</w:t>
      </w:r>
    </w:p>
    <w:bookmarkEnd w:id="2486"/>
    <w:bookmarkStart w:id="2490" w:name="estudos-em-animais-e-em-laboratório-56"/>
    <w:p>
      <w:pPr>
        <w:pStyle w:val="Heading3"/>
      </w:pPr>
      <w:r>
        <w:t xml:space="preserve">Estudos em animais e em laboratório</w:t>
      </w:r>
    </w:p>
    <w:p>
      <w:pPr>
        <w:numPr>
          <w:ilvl w:val="0"/>
          <w:numId w:val="1313"/>
        </w:numPr>
        <w:pStyle w:val="Compact"/>
      </w:pPr>
      <w:r>
        <w:rPr>
          <w:bCs/>
          <w:b/>
        </w:rPr>
        <w:t xml:space="preserve">Cultura de células:</w:t>
      </w:r>
      <w:r>
        <w:t xml:space="preserve"> </w:t>
      </w:r>
      <w:r>
        <w:t xml:space="preserve">KTTKS e Pal-KTTKS aumentam a formação de colágeno e fibronectina em fibroblastos</w:t>
      </w:r>
      <w:r>
        <w:rPr>
          <w:rStyle w:val="FootnoteReference"/>
        </w:rPr>
        <w:footnoteReference w:id="2487"/>
      </w:r>
      <w:r>
        <w:t xml:space="preserve">. Em outro estudo com células, o Pal-KTTKS em baixa concentração reduziu a transformação de fibroblastos em miofibroblastos formadores de cicatriz; em concentração mais alta, o efeito não foi significativo</w:t>
      </w:r>
      <w:r>
        <w:rPr>
          <w:rStyle w:val="FootnoteReference"/>
        </w:rPr>
        <w:footnoteReference w:id="2488"/>
      </w:r>
      <w:r>
        <w:t xml:space="preserve">.</w:t>
      </w:r>
    </w:p>
    <w:p>
      <w:pPr>
        <w:numPr>
          <w:ilvl w:val="0"/>
          <w:numId w:val="1313"/>
        </w:numPr>
        <w:pStyle w:val="Compact"/>
      </w:pPr>
      <w:r>
        <w:rPr>
          <w:bCs/>
          <w:b/>
        </w:rPr>
        <w:t xml:space="preserve">Experimentos em animais:</w:t>
      </w:r>
      <w:r>
        <w:t xml:space="preserve"> </w:t>
      </w:r>
      <w:r>
        <w:t xml:space="preserve">em animais de laboratório, adesivos e cremes com Matrixyl melhoraram a cicatrização de feridas cutâneas em comparação com controles não tratados</w:t>
      </w:r>
      <w:r>
        <w:rPr>
          <w:rStyle w:val="FootnoteReference"/>
        </w:rPr>
        <w:footnoteReference w:id="2489"/>
      </w:r>
      <w:r>
        <w:t xml:space="preserve">.</w:t>
      </w:r>
    </w:p>
    <w:p>
      <w:pPr>
        <w:numPr>
          <w:ilvl w:val="0"/>
          <w:numId w:val="1313"/>
        </w:numPr>
        <w:pStyle w:val="Compact"/>
      </w:pPr>
      <w:r>
        <w:rPr>
          <w:bCs/>
          <w:b/>
        </w:rPr>
        <w:t xml:space="preserve">Novas variantes:</w:t>
      </w:r>
      <w:r>
        <w:t xml:space="preserve"> </w:t>
      </w:r>
      <w:r>
        <w:t xml:space="preserve">grupos de pesquisa acoplam o KTTKS a outras moléculas para criar variantes antibacterianas ou mais estimulantes de colágeno – até agora exclusivamente em laboratório.</w:t>
      </w:r>
    </w:p>
    <w:bookmarkEnd w:id="2490"/>
    <w:bookmarkStart w:id="2493" w:name="riscos-e-efeitos-colaterais-56"/>
    <w:p>
      <w:pPr>
        <w:pStyle w:val="Heading3"/>
      </w:pPr>
      <w:r>
        <w:t xml:space="preserve">Riscos e efeitos colaterais</w:t>
      </w:r>
    </w:p>
    <w:p>
      <w:pPr>
        <w:pStyle w:val="FirstParagraph"/>
      </w:pPr>
      <w:r>
        <w:rPr>
          <w:bCs/>
          <w:b/>
        </w:rPr>
        <w:t xml:space="preserve">Comprovados:</w:t>
      </w:r>
      <w:r>
        <w:t xml:space="preserve"> </w:t>
      </w:r>
      <w:r>
        <w:t xml:space="preserve">no estudo de Robinson, o peptídeo foi bem tolerado. No estudo com radioterapia, a coceira ocorreu com mais frequência com o produto combinado contendo Matrixyl, e uma suspeita de reação alérgica apenas com esse produto</w:t>
      </w:r>
      <w:r>
        <w:rPr>
          <w:rStyle w:val="FootnoteReference"/>
        </w:rPr>
        <w:footnoteReference w:id="2491"/>
      </w:r>
      <w:r>
        <w:t xml:space="preserve">; qual componente foi o responsável não está claro.</w:t>
      </w:r>
    </w:p>
    <w:p>
      <w:pPr>
        <w:pStyle w:val="BodyText"/>
      </w:pPr>
      <w:r>
        <w:rPr>
          <w:bCs/>
          <w:b/>
        </w:rPr>
        <w:t xml:space="preserve">Em geral:</w:t>
      </w:r>
      <w:r>
        <w:t xml:space="preserve"> </w:t>
      </w:r>
      <w:r>
        <w:t xml:space="preserve">como com qualquer componente cosmético, irritações e alergias de contato são possíveis, mas parecem raras. Um trabalho da indústria cosmética, que avaliou peptídeos com ferramentas de bioinformática quanto ao potencial tóxico e alergênico, encontrou para o palmitoil pentapeptídeo-4 semelhanças com proteínas do tecido conjuntivo da pele, mas nenhum indício de estruturas de toxinas ou alérgenos</w:t>
      </w:r>
      <w:r>
        <w:rPr>
          <w:rStyle w:val="FootnoteReference"/>
        </w:rPr>
        <w:footnoteReference w:id="2492"/>
      </w:r>
      <w:r>
        <w:t xml:space="preserve">. Análises computacionais desse tipo não substituem a observação clínica.</w:t>
      </w:r>
    </w:p>
    <w:p>
      <w:pPr>
        <w:pStyle w:val="BodyText"/>
      </w:pPr>
      <w:r>
        <w:rPr>
          <w:bCs/>
          <w:b/>
        </w:rPr>
        <w:t xml:space="preserve">Teórico:</w:t>
      </w:r>
      <w:r>
        <w:t xml:space="preserve"> </w:t>
      </w:r>
      <w:r>
        <w:t xml:space="preserve">um sinalizador que de fato estimule os fibroblastos a formar colágeno poderia ser indesejável em caso de tendência a cicatrizes hipertróficas. Não há relatos de caso sobre isso; a baixa permeabilidade cutânea fala contra um efeito relevante.</w:t>
      </w:r>
    </w:p>
    <w:bookmarkEnd w:id="2493"/>
    <w:bookmarkStart w:id="2494" w:name="situação-legal-56"/>
    <w:p>
      <w:pPr>
        <w:pStyle w:val="Heading3"/>
      </w:pPr>
      <w:r>
        <w:t xml:space="preserve">Situação legal</w:t>
      </w:r>
    </w:p>
    <w:p>
      <w:pPr>
        <w:numPr>
          <w:ilvl w:val="0"/>
          <w:numId w:val="1314"/>
        </w:numPr>
        <w:pStyle w:val="Compact"/>
      </w:pPr>
      <w:r>
        <w:rPr>
          <w:bCs/>
          <w:b/>
        </w:rPr>
        <w:t xml:space="preserve">UE / Áustria / Alemanha:</w:t>
      </w:r>
      <w:r>
        <w:t xml:space="preserve"> </w:t>
      </w:r>
      <w:r>
        <w:t xml:space="preserve">o palmitoil pentapeptídeo-4 é um ingrediente cosmético permitido segundo o Regulamento Europeu de Cosméticos (Regulamento (CE) nº 1223/2009). Os cosméticos não são avaliados oficialmente quanto à eficácia antes da venda; o fabricante deve elaborar uma avaliação de segurança e poder comprovar as alegações publicitárias segundo o Regulamento (UE) nº 655/2013. Afirmações como</w:t>
      </w:r>
      <w:r>
        <w:t xml:space="preserve"> </w:t>
      </w:r>
      <w:r>
        <w:t xml:space="preserve">“</w:t>
      </w:r>
      <w:r>
        <w:t xml:space="preserve">age como um preenchimento de rugas</w:t>
      </w:r>
      <w:r>
        <w:t xml:space="preserve">”</w:t>
      </w:r>
      <w:r>
        <w:t xml:space="preserve"> </w:t>
      </w:r>
      <w:r>
        <w:t xml:space="preserve">ou</w:t>
      </w:r>
      <w:r>
        <w:t xml:space="preserve"> </w:t>
      </w:r>
      <w:r>
        <w:t xml:space="preserve">“</w:t>
      </w:r>
      <w:r>
        <w:t xml:space="preserve">reconstrói o colágeno</w:t>
      </w:r>
      <w:r>
        <w:t xml:space="preserve">”</w:t>
      </w:r>
      <w:r>
        <w:t xml:space="preserve"> </w:t>
      </w:r>
      <w:r>
        <w:t xml:space="preserve">são, por isso, juridicamente delicadas se não forem respaldadas por estudos com o produto.</w:t>
      </w:r>
    </w:p>
    <w:p>
      <w:pPr>
        <w:numPr>
          <w:ilvl w:val="0"/>
          <w:numId w:val="1314"/>
        </w:numPr>
        <w:pStyle w:val="Compact"/>
      </w:pPr>
      <w:r>
        <w:rPr>
          <w:bCs/>
          <w:b/>
        </w:rPr>
        <w:t xml:space="preserve">EUA:</w:t>
      </w:r>
      <w:r>
        <w:t xml:space="preserve"> </w:t>
      </w:r>
      <w:r>
        <w:t xml:space="preserve">ingrediente cosmético sem avaliação prévia pela FDA. Alegações publicitárias que prometem uma alteração da estrutura da pele podem tornar juridicamente um produto um medicamento.</w:t>
      </w:r>
    </w:p>
    <w:p>
      <w:pPr>
        <w:numPr>
          <w:ilvl w:val="0"/>
          <w:numId w:val="1314"/>
        </w:numPr>
        <w:pStyle w:val="Compact"/>
      </w:pPr>
      <w:r>
        <w:rPr>
          <w:bCs/>
          <w:b/>
        </w:rPr>
        <w:t xml:space="preserve">Esporte:</w:t>
      </w:r>
      <w:r>
        <w:t xml:space="preserve"> </w:t>
      </w:r>
      <w:r>
        <w:t xml:space="preserve">sem relevância (situação em 2026, verificar atualização).</w:t>
      </w:r>
    </w:p>
    <w:bookmarkEnd w:id="2494"/>
    <w:bookmarkStart w:id="2495" w:name="estudos-em-andamento-e-perspectivas-56"/>
    <w:p>
      <w:pPr>
        <w:pStyle w:val="Heading3"/>
      </w:pPr>
      <w:r>
        <w:t xml:space="preserve">Estudos em andamento e perspectivas</w:t>
      </w:r>
    </w:p>
    <w:p>
      <w:pPr>
        <w:pStyle w:val="FirstParagraph"/>
      </w:pPr>
      <w:r>
        <w:rPr>
          <w:bCs/>
          <w:b/>
        </w:rPr>
        <w:t xml:space="preserve">Confirmado:</w:t>
      </w:r>
      <w:r>
        <w:t xml:space="preserve"> </w:t>
      </w:r>
      <w:r>
        <w:t xml:space="preserve">no ClinicalTrials.gov, não há estudo registrado sob</w:t>
      </w:r>
      <w:r>
        <w:t xml:space="preserve"> </w:t>
      </w:r>
      <w:r>
        <w:t xml:space="preserve">“</w:t>
      </w:r>
      <w:r>
        <w:t xml:space="preserve">palmitoyl pentapeptide</w:t>
      </w:r>
      <w:r>
        <w:t xml:space="preserve">”</w:t>
      </w:r>
      <w:r>
        <w:t xml:space="preserve"> </w:t>
      </w:r>
      <w:r>
        <w:t xml:space="preserve">(situação em outubro de 2026). Estudos de eficácia cosmética em regra não são registrados, mas encomendados pelos fabricantes e publicados apenas parcialmente.</w:t>
      </w:r>
    </w:p>
    <w:p>
      <w:pPr>
        <w:pStyle w:val="BodyText"/>
      </w:pPr>
      <w:r>
        <w:rPr>
          <w:bCs/>
          <w:b/>
        </w:rPr>
        <w:t xml:space="preserve">Avaliação:</w:t>
      </w:r>
      <w:r>
        <w:t xml:space="preserve"> </w:t>
      </w:r>
      <w:r>
        <w:t xml:space="preserve">o Matrixyl é um dos</w:t>
      </w:r>
      <w:r>
        <w:t xml:space="preserve"> </w:t>
      </w:r>
      <w:r>
        <w:t xml:space="preserve">“</w:t>
      </w:r>
      <w:r>
        <w:t xml:space="preserve">peptídeos antienvelhecimento</w:t>
      </w:r>
      <w:r>
        <w:t xml:space="preserve">”</w:t>
      </w:r>
      <w:r>
        <w:t xml:space="preserve"> </w:t>
      </w:r>
      <w:r>
        <w:t xml:space="preserve">mais antigos e mais usados em cosméticos. Sua base científica – um trabalho com cultura de células de 1993 e um estudo de hemiface de 2005 – é surpreendentemente estreita para um produto tão difundido. Novos desenvolvimentos visam a uma melhor penetração cutânea (microagulhas, nanoestruturas) e a combinações com outros peptídeos. Sem estudos independentes e suficientemente grandes com o princípio ativo isolado, pouco mudará no estado do conhecimento.</w:t>
      </w:r>
    </w:p>
    <w:bookmarkEnd w:id="2495"/>
    <w:bookmarkStart w:id="2496" w:name="conclusão-56"/>
    <w:p>
      <w:pPr>
        <w:pStyle w:val="Heading3"/>
      </w:pPr>
      <w:r>
        <w:t xml:space="preserve">Conclusão</w:t>
      </w:r>
    </w:p>
    <w:p>
      <w:pPr>
        <w:pStyle w:val="FirstParagraph"/>
      </w:pPr>
      <w:r>
        <w:t xml:space="preserve">O palmitoil pentapeptídeo-4 é um fragmento do precursor do colágeno acoplado a um ácido graxo que, em laboratório, estimula os fibroblastos a formar colágeno. Em humanos, a eficácia apoia-se sobretudo em um estudo de hemiface com 93 mulheres, de 2005, que mostrou redução de linhas finas, e em um estudo muito pequeno de 2023. Quanto princípio ativo chega de fato à pele mais profunda não está esclarecido. Como ingrediente cosmético, é considerado bem tolerado. Quem usa produtos com Matrixyl deve esperar um efeito pequeno e cosmético – não um substituto para a proteção UV ou para princípios ativos testados medicamente, como os retinoides.</w:t>
      </w:r>
    </w:p>
    <w:bookmarkEnd w:id="2496"/>
    <w:bookmarkEnd w:id="2497"/>
    <w:bookmarkStart w:id="2521" w:name="acetil-hexapeptídeo-8-argireline"/>
    <w:p>
      <w:pPr>
        <w:pStyle w:val="Heading2"/>
      </w:pPr>
      <w:r>
        <w:t xml:space="preserve">Acetil hexapeptídeo-8 (Argireline)</w:t>
      </w:r>
    </w:p>
    <w:bookmarkStart w:id="2498" w:name="ficha-técnica-57"/>
    <w:p>
      <w:pPr>
        <w:pStyle w:val="Heading3"/>
      </w:pPr>
      <w:r>
        <w:t xml:space="preserve">Ficha técnica</w:t>
      </w:r>
    </w:p>
    <w:p>
      <w:pPr>
        <w:numPr>
          <w:ilvl w:val="0"/>
          <w:numId w:val="1315"/>
        </w:numPr>
        <w:pStyle w:val="Compact"/>
      </w:pPr>
      <w:r>
        <w:rPr>
          <w:bCs/>
          <w:b/>
        </w:rPr>
        <w:t xml:space="preserve">Tipo/estrutura:</w:t>
      </w:r>
      <w:r>
        <w:t xml:space="preserve"> </w:t>
      </w:r>
      <w:r>
        <w:t xml:space="preserve">hexapeptídeo com a sequência glutamato-glutamato-metionina-glutamina-arginina-arginina (Ac-EEMQRR-NH₂), acetilado no início e amidado no final. Antes chamado de acetil hexapeptídeo-3; nome comercial da matéria-prima: Argireline.</w:t>
      </w:r>
    </w:p>
    <w:p>
      <w:pPr>
        <w:numPr>
          <w:ilvl w:val="0"/>
          <w:numId w:val="1315"/>
        </w:numPr>
        <w:pStyle w:val="Compact"/>
      </w:pPr>
      <w:r>
        <w:rPr>
          <w:bCs/>
          <w:b/>
        </w:rPr>
        <w:t xml:space="preserve">Origem:</w:t>
      </w:r>
      <w:r>
        <w:t xml:space="preserve"> </w:t>
      </w:r>
      <w:r>
        <w:t xml:space="preserve">sintética, projetada deliberadamente no início dos anos 2000. A sequência imita o trecho inicial da proteína neuronal SNAP-25.</w:t>
      </w:r>
    </w:p>
    <w:p>
      <w:pPr>
        <w:numPr>
          <w:ilvl w:val="0"/>
          <w:numId w:val="1315"/>
        </w:numPr>
        <w:pStyle w:val="Compact"/>
      </w:pPr>
      <w:r>
        <w:rPr>
          <w:bCs/>
          <w:b/>
        </w:rPr>
        <w:t xml:space="preserve">Mecanismo de ação:</w:t>
      </w:r>
      <w:r>
        <w:t xml:space="preserve"> </w:t>
      </w:r>
      <w:r>
        <w:t xml:space="preserve">deveria atenuar a liberação do mensageiro acetilcolina na junção entre nervo e músculo e, assim, suavizar rugas de expressão – um ponto de ataque semelhante ao da toxina botulínica, apenas muito mais fraco. Daí o termo publicitário</w:t>
      </w:r>
      <w:r>
        <w:t xml:space="preserve"> </w:t>
      </w:r>
      <w:r>
        <w:t xml:space="preserve">“</w:t>
      </w:r>
      <w:r>
        <w:t xml:space="preserve">Botox em tubo</w:t>
      </w:r>
      <w:r>
        <w:t xml:space="preserve">”</w:t>
      </w:r>
      <w:r>
        <w:t xml:space="preserve">.</w:t>
      </w:r>
    </w:p>
    <w:p>
      <w:pPr>
        <w:numPr>
          <w:ilvl w:val="0"/>
          <w:numId w:val="1315"/>
        </w:numPr>
        <w:pStyle w:val="Compact"/>
      </w:pPr>
      <w:r>
        <w:rPr>
          <w:bCs/>
          <w:b/>
        </w:rPr>
        <w:t xml:space="preserve">Aprovação na UE:</w:t>
      </w:r>
      <w:r>
        <w:t xml:space="preserve"> </w:t>
      </w:r>
      <w:r>
        <w:t xml:space="preserve">não é medicamento; ingrediente cosmético.</w:t>
      </w:r>
    </w:p>
    <w:p>
      <w:pPr>
        <w:numPr>
          <w:ilvl w:val="0"/>
          <w:numId w:val="1315"/>
        </w:numPr>
        <w:pStyle w:val="Compact"/>
      </w:pPr>
      <w:r>
        <w:rPr>
          <w:bCs/>
          <w:b/>
        </w:rPr>
        <w:t xml:space="preserve">Aprovação nos EUA:</w:t>
      </w:r>
      <w:r>
        <w:t xml:space="preserve"> </w:t>
      </w:r>
      <w:r>
        <w:t xml:space="preserve">não é medicamento; ingrediente cosmético.</w:t>
      </w:r>
    </w:p>
    <w:p>
      <w:pPr>
        <w:numPr>
          <w:ilvl w:val="0"/>
          <w:numId w:val="1315"/>
        </w:numPr>
        <w:pStyle w:val="Compact"/>
      </w:pPr>
      <w:r>
        <w:rPr>
          <w:bCs/>
          <w:b/>
        </w:rPr>
        <w:t xml:space="preserve">WADA:</w:t>
      </w:r>
      <w:r>
        <w:t xml:space="preserve"> </w:t>
      </w:r>
      <w:r>
        <w:t xml:space="preserve">não listado.</w:t>
      </w:r>
    </w:p>
    <w:p>
      <w:pPr>
        <w:numPr>
          <w:ilvl w:val="0"/>
          <w:numId w:val="1315"/>
        </w:numPr>
        <w:pStyle w:val="Compact"/>
      </w:pPr>
      <w:r>
        <w:rPr>
          <w:bCs/>
          <w:b/>
        </w:rPr>
        <w:t xml:space="preserve">Nível de evidência:</w:t>
      </w:r>
      <w:r>
        <w:t xml:space="preserve"> </w:t>
      </w:r>
      <w:r>
        <w:rPr>
          <w:bCs/>
          <w:b/>
        </w:rPr>
        <w:t xml:space="preserve">B</w:t>
      </w:r>
      <w:r>
        <w:t xml:space="preserve"> </w:t>
      </w:r>
      <w:r>
        <w:t xml:space="preserve">(fraco) – alguns pequenos estudos randomizados, com durações predominantemente curtas e resultados heterogêneos.</w:t>
      </w:r>
    </w:p>
    <w:bookmarkEnd w:id="2498"/>
    <w:bookmarkStart w:id="2502" w:name="como-deveria-agir-57"/>
    <w:p>
      <w:pPr>
        <w:pStyle w:val="Heading3"/>
      </w:pPr>
      <w:r>
        <w:t xml:space="preserve">Como deveria agir</w:t>
      </w:r>
    </w:p>
    <w:p>
      <w:pPr>
        <w:pStyle w:val="FirstParagraph"/>
      </w:pPr>
      <w:r>
        <w:t xml:space="preserve">Para que um músculo se contraia, um neurônio precisa liberar o mensageiro acetilcolina. Para isso, pequenas vesículas cheias do mensageiro fundem-se com a membrana celular. Essa fusão é mediada por um complexo proteico, o complexo SNARE, do qual participa, entre outras, a proteína SNAP-25. A toxina botulínica tipo A corta a SNAP-25 e assim paralisa a liberação do mensageiro por meses – o músculo relaxa, e a ruga sobre ele se suaviza.</w:t>
      </w:r>
    </w:p>
    <w:p>
      <w:pPr>
        <w:pStyle w:val="BodyText"/>
      </w:pPr>
      <w:r>
        <w:t xml:space="preserve">O Argireline foi projetado como imitação do trecho inicial da SNAP-25. A ideia: o peptídeo curto compete com a verdadeira SNAP-25 por seu lugar no complexo SNARE e perturba sua formação. Na primeira descrição, o Argireline inibiu, em experimentos com células, a liberação de mensageiros com</w:t>
      </w:r>
      <w:r>
        <w:t xml:space="preserve"> </w:t>
      </w:r>
      <w:r>
        <w:rPr>
          <w:iCs/>
          <w:i/>
        </w:rPr>
        <w:t xml:space="preserve">potência</w:t>
      </w:r>
      <w:r>
        <w:t xml:space="preserve"> </w:t>
      </w:r>
      <w:r>
        <w:t xml:space="preserve">semelhante à da toxina botulínica A, mas, como era de esperar, alcançou uma</w:t>
      </w:r>
      <w:r>
        <w:t xml:space="preserve"> </w:t>
      </w:r>
      <w:r>
        <w:rPr>
          <w:iCs/>
          <w:i/>
        </w:rPr>
        <w:t xml:space="preserve">eficácia</w:t>
      </w:r>
      <w:r>
        <w:t xml:space="preserve"> </w:t>
      </w:r>
      <w:r>
        <w:t xml:space="preserve">muito menor – ou seja, um efeito máximo bem menor</w:t>
      </w:r>
      <w:r>
        <w:rPr>
          <w:rStyle w:val="FootnoteReference"/>
        </w:rPr>
        <w:footnoteReference w:id="2499"/>
      </w:r>
      <w:r>
        <w:t xml:space="preserve">.</w:t>
      </w:r>
    </w:p>
    <w:p>
      <w:pPr>
        <w:pStyle w:val="BodyText"/>
      </w:pPr>
      <w:r>
        <w:t xml:space="preserve">O porém decisivo: para agir, o Argireline de um creme teria de atravessar epiderme e derme até as terminações nervosas dos músculos faciais. A molécula é hidrossolúvel, eletricamente carregada e, para a pele, relativamente grande. Em um experimento de laboratório com pele de doadores de corpo, após 24 horas a maior parte permaneceu na superfície da pele; 0,22% do peptídeo aplicado foi encontrado na camada córnea, 0,01% na epiderme, e na derme e abaixo dela nada foi detectável</w:t>
      </w:r>
      <w:r>
        <w:rPr>
          <w:rStyle w:val="FootnoteReference"/>
        </w:rPr>
        <w:footnoteReference w:id="2500"/>
      </w:r>
      <w:r>
        <w:t xml:space="preserve">. Uma revisão de 2025 registra que continua incerto se o peptídeo chega sequer à junção neuromuscular</w:t>
      </w:r>
      <w:r>
        <w:rPr>
          <w:rStyle w:val="FootnoteReference"/>
        </w:rPr>
        <w:footnoteReference w:id="2501"/>
      </w:r>
      <w:r>
        <w:t xml:space="preserve">.</w:t>
      </w:r>
    </w:p>
    <w:p>
      <w:pPr>
        <w:pStyle w:val="BodyText"/>
      </w:pPr>
      <w:r>
        <w:t xml:space="preserve">Isso não exclui efeitos sobre a pele – por exemplo sobre a hidratação ou por meio de terminações nervosas nas camadas superiores da pele –, mas torna pouco provável o</w:t>
      </w:r>
      <w:r>
        <w:t xml:space="preserve"> </w:t>
      </w:r>
      <w:r>
        <w:t xml:space="preserve">“</w:t>
      </w:r>
      <w:r>
        <w:t xml:space="preserve">mecanismo Botox</w:t>
      </w:r>
      <w:r>
        <w:t xml:space="preserve">”</w:t>
      </w:r>
      <w:r>
        <w:t xml:space="preserve"> </w:t>
      </w:r>
      <w:r>
        <w:t xml:space="preserve">anunciado quando o produto é aplicado sobre a pele.</w:t>
      </w:r>
    </w:p>
    <w:bookmarkEnd w:id="2502"/>
    <w:bookmarkStart w:id="2509" w:name="estudos-em-humanos-57"/>
    <w:p>
      <w:pPr>
        <w:pStyle w:val="Heading3"/>
      </w:pPr>
      <w:r>
        <w:t xml:space="preserve">Estudos em humanos</w:t>
      </w:r>
    </w:p>
    <w:p>
      <w:pPr>
        <w:pStyle w:val="FirstParagraph"/>
      </w:pPr>
      <w:r>
        <w:t xml:space="preserve">A consulta ao PubMed avaliada para este livro (acetil hexapeptídeo ou Argireline no título ou no resumo, data da consulta outubro de 2026) resultou em três trabalhos classificados como estudos em humanos; no ClinicalTrials.gov, constam sete registros. Na revisão, foram encontrados alguns outros estudos pequenos.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Blanes-Mira 2002, PMID 18498523</w:t>
            </w:r>
          </w:p>
        </w:tc>
        <w:tc>
          <w:tcPr/>
          <w:p>
            <w:pPr>
              <w:pStyle w:val="Compact"/>
              <w:jc w:val="left"/>
            </w:pPr>
            <w:r>
              <w:t xml:space="preserve">mulheres saudáveis, emulsão com 10% de Argireline (informações escassas no resumo)</w:t>
            </w:r>
          </w:p>
        </w:tc>
        <w:tc>
          <w:tcPr/>
          <w:p>
            <w:pPr>
              <w:pStyle w:val="Compact"/>
              <w:jc w:val="left"/>
            </w:pPr>
            <w:r>
              <w:t xml:space="preserve">30 dias</w:t>
            </w:r>
          </w:p>
        </w:tc>
        <w:tc>
          <w:tcPr/>
          <w:p>
            <w:pPr>
              <w:pStyle w:val="Compact"/>
              <w:jc w:val="left"/>
            </w:pPr>
            <w:r>
              <w:t xml:space="preserve">Profundidade das rugas reduzida em até 30%</w:t>
            </w:r>
          </w:p>
        </w:tc>
      </w:tr>
      <w:tr>
        <w:tc>
          <w:tcPr/>
          <w:p>
            <w:pPr>
              <w:pStyle w:val="Compact"/>
              <w:jc w:val="left"/>
            </w:pPr>
            <w:r>
              <w:t xml:space="preserve">Wang 2013, PMID 23417317</w:t>
            </w:r>
          </w:p>
        </w:tc>
        <w:tc>
          <w:tcPr/>
          <w:p>
            <w:pPr>
              <w:pStyle w:val="Compact"/>
              <w:jc w:val="left"/>
            </w:pPr>
            <w:r>
              <w:t xml:space="preserve">60 adultos chineses com rugas ao redor dos olhos, Argireline vs. placebo na proporção 3:1</w:t>
            </w:r>
          </w:p>
        </w:tc>
        <w:tc>
          <w:tcPr/>
          <w:p>
            <w:pPr>
              <w:pStyle w:val="Compact"/>
              <w:jc w:val="left"/>
            </w:pPr>
            <w:r>
              <w:t xml:space="preserve">4 semanas</w:t>
            </w:r>
          </w:p>
        </w:tc>
        <w:tc>
          <w:tcPr/>
          <w:p>
            <w:pPr>
              <w:pStyle w:val="Compact"/>
              <w:jc w:val="left"/>
            </w:pPr>
            <w:r>
              <w:t xml:space="preserve">“</w:t>
            </w:r>
            <w:r>
              <w:t xml:space="preserve">Eficácia geral</w:t>
            </w:r>
            <w:r>
              <w:t xml:space="preserve">”</w:t>
            </w:r>
            <w:r>
              <w:t xml:space="preserve"> </w:t>
            </w:r>
            <w:r>
              <w:t xml:space="preserve">subjetiva 48,9% vs. 0%; valores de aspereza em moldes da pele diminuídos</w:t>
            </w:r>
          </w:p>
        </w:tc>
      </w:tr>
      <w:tr>
        <w:tc>
          <w:tcPr/>
          <w:p>
            <w:pPr>
              <w:pStyle w:val="Compact"/>
              <w:jc w:val="left"/>
            </w:pPr>
            <w:r>
              <w:t xml:space="preserve">Raikou 2017, PMID 28150423</w:t>
            </w:r>
          </w:p>
        </w:tc>
        <w:tc>
          <w:tcPr/>
          <w:p>
            <w:pPr>
              <w:pStyle w:val="Compact"/>
              <w:jc w:val="left"/>
            </w:pPr>
            <w:r>
              <w:t xml:space="preserve">24 pessoas saudáveis, quatro grupos: Argireline, tripeptídeo-10 citrulina, ambos ou nenhum</w:t>
            </w:r>
          </w:p>
        </w:tc>
        <w:tc>
          <w:tcPr/>
          <w:p>
            <w:pPr>
              <w:pStyle w:val="Compact"/>
              <w:jc w:val="left"/>
            </w:pPr>
            <w:r>
              <w:t xml:space="preserve">60 dias</w:t>
            </w:r>
          </w:p>
        </w:tc>
        <w:tc>
          <w:tcPr/>
          <w:p>
            <w:pPr>
              <w:pStyle w:val="Compact"/>
              <w:jc w:val="left"/>
            </w:pPr>
            <w:r>
              <w:t xml:space="preserve">Alguns parâmetros de rugas e perda de água da pele melhores com Argireline</w:t>
            </w:r>
          </w:p>
        </w:tc>
      </w:tr>
      <w:tr>
        <w:tc>
          <w:tcPr/>
          <w:p>
            <w:pPr>
              <w:pStyle w:val="Compact"/>
              <w:jc w:val="left"/>
            </w:pPr>
            <w:r>
              <w:t xml:space="preserve">Henseler 2023, PMID 38024099</w:t>
            </w:r>
          </w:p>
        </w:tc>
        <w:tc>
          <w:tcPr/>
          <w:p>
            <w:pPr>
              <w:pStyle w:val="Compact"/>
              <w:jc w:val="left"/>
            </w:pPr>
            <w:r>
              <w:t xml:space="preserve">19 mulheres, comparação de hemiface: sérum de ácido hialurônico com vs. sem Argireline, duplo-cego</w:t>
            </w:r>
          </w:p>
        </w:tc>
        <w:tc>
          <w:tcPr/>
          <w:p>
            <w:pPr>
              <w:pStyle w:val="Compact"/>
              <w:jc w:val="left"/>
            </w:pPr>
            <w:r>
              <w:t xml:space="preserve">4 semanas</w:t>
            </w:r>
          </w:p>
        </w:tc>
        <w:tc>
          <w:tcPr/>
          <w:p>
            <w:pPr>
              <w:pStyle w:val="Compact"/>
              <w:jc w:val="left"/>
            </w:pPr>
            <w:r>
              <w:t xml:space="preserve">Nenhuma diferença significativa entre os lados do rosto</w:t>
            </w:r>
          </w:p>
        </w:tc>
      </w:tr>
      <w:tr>
        <w:tc>
          <w:tcPr/>
          <w:p>
            <w:pPr>
              <w:pStyle w:val="Compact"/>
              <w:jc w:val="left"/>
            </w:pPr>
            <w:r>
              <w:t xml:space="preserve">Aruan 2023, PMID 36909866</w:t>
            </w:r>
          </w:p>
        </w:tc>
        <w:tc>
          <w:tcPr/>
          <w:p>
            <w:pPr>
              <w:pStyle w:val="Compact"/>
              <w:jc w:val="left"/>
            </w:pPr>
            <w:r>
              <w:t xml:space="preserve">21 mulheres, acetil hexapeptídeo-3 vs. palmitoil pentapeptídeo-4 vs. placebo</w:t>
            </w:r>
          </w:p>
        </w:tc>
        <w:tc>
          <w:tcPr/>
          <w:p>
            <w:pPr>
              <w:pStyle w:val="Compact"/>
              <w:jc w:val="left"/>
            </w:pPr>
            <w:r>
              <w:t xml:space="preserve">8 semanas</w:t>
            </w:r>
          </w:p>
        </w:tc>
        <w:tc>
          <w:tcPr/>
          <w:p>
            <w:pPr>
              <w:pStyle w:val="Compact"/>
              <w:jc w:val="left"/>
            </w:pPr>
            <w:r>
              <w:t xml:space="preserve">O palmitoil pentapeptídeo-4 saiu-se melhor que o Argireline e o placebo</w:t>
            </w:r>
          </w:p>
        </w:tc>
      </w:tr>
    </w:tbl>
    <w:p>
      <w:pPr>
        <w:pStyle w:val="BodyText"/>
      </w:pPr>
      <w:r>
        <w:rPr>
          <w:bCs/>
          <w:b/>
        </w:rPr>
        <w:t xml:space="preserve">Contextualização dos estudos positivos:</w:t>
      </w:r>
    </w:p>
    <w:p>
      <w:pPr>
        <w:numPr>
          <w:ilvl w:val="0"/>
          <w:numId w:val="1316"/>
        </w:numPr>
        <w:pStyle w:val="Compact"/>
      </w:pPr>
      <w:r>
        <w:t xml:space="preserve">A primeira descrição, de 2002, vem dos desenvolvedores e não informa no resumo nem o número de participantes nem um grupo de controle. Ela testou uma concentração de 10% – muito acima do que uma avaliação de segurança dos EUA considerou mais tarde suficientemente estudado (veja Riscos).</w:t>
      </w:r>
    </w:p>
    <w:p>
      <w:pPr>
        <w:numPr>
          <w:ilvl w:val="0"/>
          <w:numId w:val="1316"/>
        </w:numPr>
        <w:pStyle w:val="Compact"/>
      </w:pPr>
      <w:r>
        <w:t xml:space="preserve">O estudo chinês (Wang 2013) é o maior. Os grupos tinham tamanhos desiguais (cerca de 45 contra 15), a avaliação principal foi subjetiva, e os mesmos dados clínicos aparecem, junto com experimentos em camundongos, em outra publicação do mesmo grupo</w:t>
      </w:r>
      <w:r>
        <w:rPr>
          <w:rStyle w:val="FootnoteReference"/>
        </w:rPr>
        <w:footnoteReference w:id="2503"/>
      </w:r>
      <w:r>
        <w:t xml:space="preserve">. Nas comparações com o valor inicial, apenas o grupo Argireline mostrou valores de aspereza decrescentes – uma comparação estatística direta entre os grupos não é relatada no resumo.</w:t>
      </w:r>
    </w:p>
    <w:p>
      <w:pPr>
        <w:numPr>
          <w:ilvl w:val="0"/>
          <w:numId w:val="1316"/>
        </w:numPr>
        <w:pStyle w:val="Compact"/>
      </w:pPr>
      <w:r>
        <w:t xml:space="preserve">O estudo de Raikou tinha apenas seis participantes por grupo e uma grande quantidade de comparações isoladas; algumas diferenças foram significativas, outras não.</w:t>
      </w:r>
    </w:p>
    <w:p>
      <w:pPr>
        <w:pStyle w:val="FirstParagraph"/>
      </w:pPr>
      <w:r>
        <w:rPr>
          <w:bCs/>
          <w:b/>
        </w:rPr>
        <w:t xml:space="preserve">O estudo negativo:</w:t>
      </w:r>
      <w:r>
        <w:t xml:space="preserve"> </w:t>
      </w:r>
      <w:r>
        <w:t xml:space="preserve">um estudo de hemiface duplo-cego de uma clínica de cirurgia plástica, com medição objetiva por câmera (Henseler 2023), não encontrou diferença entre o lado do rosto com e sem Argireline. Os responsáveis concluíram que um efeito não foi demonstrado e que o Argireline não deve ser classificado como alternativa à toxina botulínica. Com 19 participantes, porém, também esse estudo era pequeno.</w:t>
      </w:r>
    </w:p>
    <w:bookmarkStart w:id="2508" w:name="outras-aplicações-5"/>
    <w:p>
      <w:pPr>
        <w:pStyle w:val="Heading4"/>
      </w:pPr>
      <w:r>
        <w:t xml:space="preserve">Outras aplicações</w:t>
      </w:r>
    </w:p>
    <w:p>
      <w:pPr>
        <w:numPr>
          <w:ilvl w:val="0"/>
          <w:numId w:val="1317"/>
        </w:numPr>
        <w:pStyle w:val="Compact"/>
      </w:pPr>
      <w:r>
        <w:rPr>
          <w:bCs/>
          <w:b/>
        </w:rPr>
        <w:t xml:space="preserve">Espasmo palpebral (blefaroespasmo):</w:t>
      </w:r>
      <w:r>
        <w:t xml:space="preserve"> </w:t>
      </w:r>
      <w:r>
        <w:t xml:space="preserve">nessa doença neurológica, os músculos das pálpebras contraem-se involuntariamente; o tratamento padrão é a injeção de toxina botulínica a cada três meses. Em um estudo-piloto com 24 pacientes, um creme de Argireline deveria prolongar a duração do efeito da injeção. Houve uma tendência não significativa (3,7 contra 3,0 meses até o retorno dos sintomas) e nenhum efeito colateral relevante (Lungu 2013, PMID 23146065; registrado como NCT00942851). Um estudo seguinte foi interrompido após oito participantes</w:t>
      </w:r>
      <w:r>
        <w:rPr>
          <w:rStyle w:val="FootnoteReference"/>
        </w:rPr>
        <w:footnoteReference w:id="2504"/>
      </w:r>
      <w:r>
        <w:t xml:space="preserve">.</w:t>
      </w:r>
    </w:p>
    <w:p>
      <w:pPr>
        <w:numPr>
          <w:ilvl w:val="0"/>
          <w:numId w:val="1317"/>
        </w:numPr>
        <w:pStyle w:val="Compact"/>
      </w:pPr>
      <w:r>
        <w:rPr>
          <w:bCs/>
          <w:b/>
        </w:rPr>
        <w:t xml:space="preserve">Adesivo de microagulhas:</w:t>
      </w:r>
      <w:r>
        <w:t xml:space="preserve"> </w:t>
      </w:r>
      <w:r>
        <w:t xml:space="preserve">em um estudo coreano de hemiface com 52 mulheres, um adesivo de microagulhas de ácido hialurônico com Argireline melhorou as rugas mais do que o adesivo sozinho</w:t>
      </w:r>
      <w:r>
        <w:rPr>
          <w:rStyle w:val="FootnoteReference"/>
        </w:rPr>
        <w:footnoteReference w:id="2505"/>
      </w:r>
      <w:r>
        <w:t xml:space="preserve">. Aqui o peptídeo é levado à pele por agulhas minúsculas – o resultado não é transferível para cremes comuns.</w:t>
      </w:r>
    </w:p>
    <w:p>
      <w:pPr>
        <w:numPr>
          <w:ilvl w:val="0"/>
          <w:numId w:val="1317"/>
        </w:numPr>
        <w:pStyle w:val="Compact"/>
      </w:pPr>
      <w:r>
        <w:rPr>
          <w:bCs/>
          <w:b/>
        </w:rPr>
        <w:t xml:space="preserve">Produtos combinados:</w:t>
      </w:r>
      <w:r>
        <w:t xml:space="preserve"> </w:t>
      </w:r>
      <w:r>
        <w:t xml:space="preserve">muitos estudos testam séruns que contêm Argireline junto com retinol, ácido hialurônico ou outros peptídeos. Seu resultado não pode ser atribuído ao peptídeo isolado.</w:t>
      </w:r>
    </w:p>
    <w:p>
      <w:pPr>
        <w:numPr>
          <w:ilvl w:val="0"/>
          <w:numId w:val="1317"/>
        </w:numPr>
        <w:pStyle w:val="Compact"/>
      </w:pPr>
      <w:r>
        <w:rPr>
          <w:bCs/>
          <w:b/>
        </w:rPr>
        <w:t xml:space="preserve">Estudos registrados muito pequenos:</w:t>
      </w:r>
      <w:r>
        <w:t xml:space="preserve"> </w:t>
      </w:r>
      <w:r>
        <w:t xml:space="preserve">no ClinicalTrials.gov, estão listados, entre outros, um estudo concluído sobre pele oleosa com 14 participantes</w:t>
      </w:r>
      <w:r>
        <w:rPr>
          <w:rStyle w:val="FootnoteReference"/>
        </w:rPr>
        <w:footnoteReference w:id="2506"/>
      </w:r>
      <w:r>
        <w:t xml:space="preserve"> </w:t>
      </w:r>
      <w:r>
        <w:t xml:space="preserve">e um estudo descrito como fase 3 sobre rugas ao redor dos olhos com 70 participantes</w:t>
      </w:r>
      <w:r>
        <w:rPr>
          <w:rStyle w:val="FootnoteReference"/>
        </w:rPr>
        <w:footnoteReference w:id="2507"/>
      </w:r>
      <w:r>
        <w:t xml:space="preserve">; se este último corresponde ao estudo chinês citado acima não pôde ser esclarecido com segurança.</w:t>
      </w:r>
    </w:p>
    <w:bookmarkEnd w:id="2508"/>
    <w:bookmarkEnd w:id="2509"/>
    <w:bookmarkStart w:id="2514" w:name="estudos-em-animais-e-em-laboratório-57"/>
    <w:p>
      <w:pPr>
        <w:pStyle w:val="Heading3"/>
      </w:pPr>
      <w:r>
        <w:t xml:space="preserve">Estudos em animais e em laboratório</w:t>
      </w:r>
    </w:p>
    <w:p>
      <w:pPr>
        <w:numPr>
          <w:ilvl w:val="0"/>
          <w:numId w:val="1318"/>
        </w:numPr>
        <w:pStyle w:val="Compact"/>
      </w:pPr>
      <w:r>
        <w:rPr>
          <w:bCs/>
          <w:b/>
        </w:rPr>
        <w:t xml:space="preserve">Experimentos com células:</w:t>
      </w:r>
      <w:r>
        <w:t xml:space="preserve"> </w:t>
      </w:r>
      <w:r>
        <w:t xml:space="preserve">inibição da liberação de mensageiros e perturbação da formação do complexo SNARE</w:t>
      </w:r>
      <w:r>
        <w:rPr>
          <w:rStyle w:val="FootnoteReference"/>
        </w:rPr>
        <w:footnoteReference w:id="2510"/>
      </w:r>
      <w:r>
        <w:t xml:space="preserve">. Em culturas de fibroblastos da pele humana e de outras linhagens celulares, o Argireline inibiu a proliferação celular de forma dependente da dose, mas apenas em concentrações 18 a 10.000 vezes mais altas do que as da substância de comparação doxorrubicina, um medicamento contra o câncer</w:t>
      </w:r>
      <w:r>
        <w:rPr>
          <w:rStyle w:val="FootnoteReference"/>
        </w:rPr>
        <w:footnoteReference w:id="2511"/>
      </w:r>
      <w:r>
        <w:t xml:space="preserve">.</w:t>
      </w:r>
    </w:p>
    <w:p>
      <w:pPr>
        <w:numPr>
          <w:ilvl w:val="0"/>
          <w:numId w:val="1318"/>
        </w:numPr>
        <w:pStyle w:val="Compact"/>
      </w:pPr>
      <w:r>
        <w:rPr>
          <w:bCs/>
          <w:b/>
        </w:rPr>
        <w:t xml:space="preserve">Experimentos em animais:</w:t>
      </w:r>
      <w:r>
        <w:t xml:space="preserve"> </w:t>
      </w:r>
      <w:r>
        <w:t xml:space="preserve">em camundongos com envelhecimento acelerado artificialmente (por D-galactose), a proporção de fibras de colágeno tipo I na pele aumentou com Argireline</w:t>
      </w:r>
      <w:r>
        <w:rPr>
          <w:rStyle w:val="FootnoteReference"/>
        </w:rPr>
        <w:footnoteReference w:id="2512"/>
      </w:r>
      <w:r>
        <w:t xml:space="preserve">.</w:t>
      </w:r>
    </w:p>
    <w:p>
      <w:pPr>
        <w:numPr>
          <w:ilvl w:val="0"/>
          <w:numId w:val="1318"/>
        </w:numPr>
        <w:pStyle w:val="Compact"/>
      </w:pPr>
      <w:r>
        <w:rPr>
          <w:bCs/>
          <w:b/>
        </w:rPr>
        <w:t xml:space="preserve">Permeabilidade cutânea:</w:t>
      </w:r>
      <w:r>
        <w:t xml:space="preserve"> </w:t>
      </w:r>
      <w:r>
        <w:t xml:space="preserve">além do estudo com pele de doadores de corpo</w:t>
      </w:r>
      <w:r>
        <w:rPr>
          <w:rStyle w:val="FootnoteReference"/>
        </w:rPr>
        <w:footnoteReference w:id="2513"/>
      </w:r>
      <w:r>
        <w:t xml:space="preserve">, numerosos trabalhos de laboratório investigam emulsões, microagulhas, iontoforese e modificações químicas para levar mais princípio ativo à pele.</w:t>
      </w:r>
    </w:p>
    <w:bookmarkEnd w:id="2514"/>
    <w:bookmarkStart w:id="2517" w:name="riscos-e-efeitos-colaterais-57"/>
    <w:p>
      <w:pPr>
        <w:pStyle w:val="Heading3"/>
      </w:pPr>
      <w:r>
        <w:t xml:space="preserve">Riscos e efeitos colaterais</w:t>
      </w:r>
    </w:p>
    <w:p>
      <w:pPr>
        <w:pStyle w:val="FirstParagraph"/>
      </w:pPr>
      <w:r>
        <w:rPr>
          <w:bCs/>
          <w:b/>
        </w:rPr>
        <w:t xml:space="preserve">Como creme (comprovado):</w:t>
      </w:r>
      <w:r>
        <w:t xml:space="preserve"> </w:t>
      </w:r>
      <w:r>
        <w:t xml:space="preserve">nos estudos, não foram observados efeitos colaterais relevantes; irritações cutâneas e alergias são possíveis, como com qualquer componente cosmético. O painel independente de especialistas dos EUA para a segurança de ingredientes cosméticos (Cosmetic Ingredient Review) concluiu em 2025 que o acetil hexapeptídeo-8 é seguro nas concentrações atualmente usuais, de até 0,005%. Para concentrações maiores, os dados disponíveis não bastaram para uma conclusão sobre segurança</w:t>
      </w:r>
      <w:r>
        <w:rPr>
          <w:rStyle w:val="FootnoteReference"/>
        </w:rPr>
        <w:footnoteReference w:id="2515"/>
      </w:r>
      <w:r>
        <w:t xml:space="preserve">.</w:t>
      </w:r>
    </w:p>
    <w:p>
      <w:pPr>
        <w:pStyle w:val="BodyText"/>
      </w:pPr>
      <w:r>
        <w:rPr>
          <w:bCs/>
          <w:b/>
        </w:rPr>
        <w:t xml:space="preserve">Como injeção:</w:t>
      </w:r>
      <w:r>
        <w:t xml:space="preserve"> </w:t>
      </w:r>
      <w:r>
        <w:t xml:space="preserve">o Argireline às vezes também é injetado na pele, por exemplo em clínicas de estética ou por meio de produtos do mercado cinza. Para isso, não há aprovação nem estudos. Um relato de caso descreve uma mulher de 45 anos que, após injeções de Argireline na testa e nas têmporas, apresentou vermelhidão, nódulos e abscessos; a causa foi uma infecção pela bactéria de difícil tratamento</w:t>
      </w:r>
      <w:r>
        <w:t xml:space="preserve"> </w:t>
      </w:r>
      <w:r>
        <w:rPr>
          <w:iCs/>
          <w:i/>
        </w:rPr>
        <w:t xml:space="preserve">Mycobacterium abscessus</w:t>
      </w:r>
      <w:r>
        <w:t xml:space="preserve">, que exigiu cinco meses de antibioticoterapia</w:t>
      </w:r>
      <w:r>
        <w:rPr>
          <w:rStyle w:val="FootnoteReference"/>
        </w:rPr>
        <w:footnoteReference w:id="2516"/>
      </w:r>
      <w:r>
        <w:t xml:space="preserve">. O risco aqui está menos no próprio peptídeo do que em produtos e procedimentos não estéreis.</w:t>
      </w:r>
    </w:p>
    <w:p>
      <w:pPr>
        <w:pStyle w:val="BodyText"/>
      </w:pPr>
      <w:r>
        <w:rPr>
          <w:bCs/>
          <w:b/>
        </w:rPr>
        <w:t xml:space="preserve">Teórico:</w:t>
      </w:r>
      <w:r>
        <w:t xml:space="preserve"> </w:t>
      </w:r>
      <w:r>
        <w:t xml:space="preserve">se o Argireline chegasse em quantidade relevante às junções neuromusculares, seriam concebíveis – como com a toxina botulínica – fraquezas musculares indesejadas. No uso tópico, não há indícios disso.</w:t>
      </w:r>
    </w:p>
    <w:bookmarkEnd w:id="2517"/>
    <w:bookmarkStart w:id="2518" w:name="situação-legal-57"/>
    <w:p>
      <w:pPr>
        <w:pStyle w:val="Heading3"/>
      </w:pPr>
      <w:r>
        <w:t xml:space="preserve">Situação legal</w:t>
      </w:r>
    </w:p>
    <w:p>
      <w:pPr>
        <w:numPr>
          <w:ilvl w:val="0"/>
          <w:numId w:val="1319"/>
        </w:numPr>
        <w:pStyle w:val="Compact"/>
      </w:pPr>
      <w:r>
        <w:rPr>
          <w:bCs/>
          <w:b/>
        </w:rPr>
        <w:t xml:space="preserve">UE / Áustria / Alemanha:</w:t>
      </w:r>
      <w:r>
        <w:t xml:space="preserve"> </w:t>
      </w:r>
      <w:r>
        <w:t xml:space="preserve">o acetil hexapeptídeo-8 é um ingrediente cosmético permitido segundo o Regulamento Europeu de Cosméticos (Regulamento (CE) nº 1223/2009). As alegações publicitárias devem ser comprováveis segundo o Regulamento (UE) nº 655/2013. Comparações com a toxina botulínica (</w:t>
      </w:r>
      <w:r>
        <w:t xml:space="preserve">“</w:t>
      </w:r>
      <w:r>
        <w:t xml:space="preserve">como Botox</w:t>
      </w:r>
      <w:r>
        <w:t xml:space="preserve">”</w:t>
      </w:r>
      <w:r>
        <w:t xml:space="preserve">) são enganosas se sugerem um efeito comparável. Uma injeção não é um uso cosmético; um produto destinado à injeção seria um medicamento ou dispositivo médico não aprovado e não pode ser comercializado dessa forma.</w:t>
      </w:r>
    </w:p>
    <w:p>
      <w:pPr>
        <w:numPr>
          <w:ilvl w:val="0"/>
          <w:numId w:val="1319"/>
        </w:numPr>
        <w:pStyle w:val="Compact"/>
      </w:pPr>
      <w:r>
        <w:rPr>
          <w:bCs/>
          <w:b/>
        </w:rPr>
        <w:t xml:space="preserve">EUA:</w:t>
      </w:r>
      <w:r>
        <w:t xml:space="preserve"> </w:t>
      </w:r>
      <w:r>
        <w:t xml:space="preserve">ingrediente cosmético sem avaliação prévia pela FDA; alegações que prometem um efeito sobre os músculos podem tornar juridicamente um produto um medicamento.</w:t>
      </w:r>
    </w:p>
    <w:p>
      <w:pPr>
        <w:numPr>
          <w:ilvl w:val="0"/>
          <w:numId w:val="1319"/>
        </w:numPr>
        <w:pStyle w:val="Compact"/>
      </w:pPr>
      <w:r>
        <w:rPr>
          <w:bCs/>
          <w:b/>
        </w:rPr>
        <w:t xml:space="preserve">Esporte:</w:t>
      </w:r>
      <w:r>
        <w:t xml:space="preserve"> </w:t>
      </w:r>
      <w:r>
        <w:t xml:space="preserve">sem relevância (situação em 2026, verificar atualização).</w:t>
      </w:r>
    </w:p>
    <w:bookmarkEnd w:id="2518"/>
    <w:bookmarkStart w:id="2519" w:name="estudos-em-andamento-e-perspectivas-57"/>
    <w:p>
      <w:pPr>
        <w:pStyle w:val="Heading3"/>
      </w:pPr>
      <w:r>
        <w:t xml:space="preserve">Estudos em andamento e perspectivas</w:t>
      </w:r>
    </w:p>
    <w:p>
      <w:pPr>
        <w:pStyle w:val="FirstParagraph"/>
      </w:pPr>
      <w:r>
        <w:rPr>
          <w:bCs/>
          <w:b/>
        </w:rPr>
        <w:t xml:space="preserve">Confirmado:</w:t>
      </w:r>
      <w:r>
        <w:t xml:space="preserve"> </w:t>
      </w:r>
      <w:r>
        <w:t xml:space="preserve">no ClinicalTrials.gov, não consta (situação em outubro de 2026) nenhum estudo em andamento com o acetil hexapeptídeo-8 como princípio ativo isolado; os registros listados estão concluídos ou interrompidos. Estudos de eficácia cosmética raramente são registrados.</w:t>
      </w:r>
    </w:p>
    <w:p>
      <w:pPr>
        <w:pStyle w:val="BodyText"/>
      </w:pPr>
      <w:r>
        <w:rPr>
          <w:bCs/>
          <w:b/>
        </w:rPr>
        <w:t xml:space="preserve">Avaliação:</w:t>
      </w:r>
      <w:r>
        <w:t xml:space="preserve"> </w:t>
      </w:r>
      <w:r>
        <w:t xml:space="preserve">o Argireline é um exemplo de peptídeo projetado racionalmente, cujo achado laboratorial é convincente, mas cujo caminho até o local de ação permanece sem solução. A pesquisa concentra-se, por isso, em sistemas de transporte como microagulhas e nanocarreadores. Se estes alcançam um efeito visível para as usuárias e os usuários e que vá além do de um bom hidratante é algo que estudos maiores e independentes precisam mostrar. Uma verdadeira alternativa à toxina botulínica não é esperada, segundo o conhecimento atual.</w:t>
      </w:r>
    </w:p>
    <w:bookmarkEnd w:id="2519"/>
    <w:bookmarkStart w:id="2520" w:name="conclusão-57"/>
    <w:p>
      <w:pPr>
        <w:pStyle w:val="Heading3"/>
      </w:pPr>
      <w:r>
        <w:t xml:space="preserve">Conclusão</w:t>
      </w:r>
    </w:p>
    <w:p>
      <w:pPr>
        <w:pStyle w:val="FirstParagraph"/>
      </w:pPr>
      <w:r>
        <w:t xml:space="preserve">O acetil hexapeptídeo-8 é um peptídeo sintético que, em laboratório, inibe a liberação de mensageiros nos neurônios de forma semelhante à toxina botulínica, mas muito mais fraca. A partir de cremes, quase não penetra na pele; em um experimento de laboratório, permaneceu quase totalmente nas camadas superficiais. Estudos pequenos e curtos – em parte dos desenvolvedores, em parte com produtos combinados – relatam menos rugas finas; um estudo de hemiface cego, com medição objetiva, por outro lado, não encontrou diferença. Como creme, é considerado seguro nas concentrações usuais; injeções não foram estudadas nem aprovadas e podem levar a infecções graves. O termo publicitário</w:t>
      </w:r>
      <w:r>
        <w:t xml:space="preserve"> </w:t>
      </w:r>
      <w:r>
        <w:t xml:space="preserve">“</w:t>
      </w:r>
      <w:r>
        <w:t xml:space="preserve">Botox em tubo</w:t>
      </w:r>
      <w:r>
        <w:t xml:space="preserve">”</w:t>
      </w:r>
      <w:r>
        <w:t xml:space="preserve"> </w:t>
      </w:r>
      <w:r>
        <w:t xml:space="preserve">não é respaldado pelos dados.</w:t>
      </w:r>
    </w:p>
    <w:bookmarkEnd w:id="2520"/>
    <w:bookmarkEnd w:id="2521"/>
    <w:bookmarkEnd w:id="2522"/>
    <w:bookmarkStart w:id="2601" w:name="parte-iii-a-grande-comparação"/>
    <w:p>
      <w:pPr>
        <w:pStyle w:val="Heading1"/>
      </w:pPr>
      <w:r>
        <w:t xml:space="preserve">Parte III – A grande comparação</w:t>
      </w:r>
    </w:p>
    <w:p>
      <w:pPr>
        <w:pStyle w:val="FirstParagraph"/>
      </w:pPr>
      <w:r>
        <w:t xml:space="preserve">Na Parte II, cada peptídeo foi analisado individualmente. Esta parte coloca os resultados lado a lado e responde a três perguntas: quão bem um peptídeo foi estudado em comparação com os outros? Como os medicamentos para emagrecer e para diabetes se saem uns contra os outros? E o que resta das promessas da internet quando se aceitam apenas estudos em humanos?</w:t>
      </w:r>
    </w:p>
    <w:p>
      <w:pPr>
        <w:pStyle w:val="BodyText"/>
      </w:pPr>
      <w:r>
        <w:t xml:space="preserve">As tabelas são condensações. As fontes e as limitações de cada número estão nos capítulos da Parte II. Todas as informações sobre aprovação e status de doping refletem a situação em 2026 e devem ser verificadas quanto à atualização.</w:t>
      </w:r>
    </w:p>
    <w:bookmarkStart w:id="2535" w:name="todos-os-peptídeos-em-um-relance"/>
    <w:p>
      <w:pPr>
        <w:pStyle w:val="Heading2"/>
      </w:pPr>
      <w:r>
        <w:t xml:space="preserve">Todos os peptídeos em um relance</w:t>
      </w:r>
    </w:p>
    <w:bookmarkStart w:id="2523" w:name="como-ler-as-tabelas"/>
    <w:p>
      <w:pPr>
        <w:pStyle w:val="Heading3"/>
      </w:pPr>
      <w:r>
        <w:t xml:space="preserve">Como ler as tabelas</w:t>
      </w:r>
    </w:p>
    <w:p>
      <w:pPr>
        <w:pStyle w:val="FirstParagraph"/>
      </w:pPr>
      <w:r>
        <w:t xml:space="preserve">Para cada grupo da Parte II seguem-se duas tabelas: a primeira com nível de evidência, aprovação e dimensão do conjunto de estudos; a segunda com o resultado de estudo mais importante e o principal risco.</w:t>
      </w:r>
    </w:p>
    <w:p>
      <w:pPr>
        <w:pStyle w:val="BodyText"/>
      </w:pPr>
      <w:r>
        <w:rPr>
          <w:bCs/>
          <w:b/>
        </w:rPr>
        <w:t xml:space="preserve">Nível de evidência</w:t>
      </w:r>
      <w:r>
        <w:t xml:space="preserve"> </w:t>
      </w:r>
      <w:r>
        <w:t xml:space="preserve">(como na Parte II):</w:t>
      </w:r>
    </w:p>
    <w:p>
      <w:pPr>
        <w:numPr>
          <w:ilvl w:val="0"/>
          <w:numId w:val="1320"/>
        </w:numPr>
        <w:pStyle w:val="Compact"/>
      </w:pPr>
      <w:r>
        <w:rPr>
          <w:bCs/>
          <w:b/>
        </w:rPr>
        <w:t xml:space="preserve">A</w:t>
      </w:r>
      <w:r>
        <w:t xml:space="preserve">: vários grandes estudos randomizados em humanos, geralmente com aprovação</w:t>
      </w:r>
    </w:p>
    <w:p>
      <w:pPr>
        <w:numPr>
          <w:ilvl w:val="0"/>
          <w:numId w:val="1320"/>
        </w:numPr>
        <w:pStyle w:val="Compact"/>
      </w:pPr>
      <w:r>
        <w:rPr>
          <w:bCs/>
          <w:b/>
        </w:rPr>
        <w:t xml:space="preserve">B</w:t>
      </w:r>
      <w:r>
        <w:t xml:space="preserve">: estudos randomizados isolados em humanos</w:t>
      </w:r>
    </w:p>
    <w:p>
      <w:pPr>
        <w:numPr>
          <w:ilvl w:val="0"/>
          <w:numId w:val="1320"/>
        </w:numPr>
        <w:pStyle w:val="Compact"/>
      </w:pPr>
      <w:r>
        <w:rPr>
          <w:bCs/>
          <w:b/>
        </w:rPr>
        <w:t xml:space="preserve">C</w:t>
      </w:r>
      <w:r>
        <w:t xml:space="preserve">: apenas estudos em humanos pequenos ou não controlados</w:t>
      </w:r>
    </w:p>
    <w:p>
      <w:pPr>
        <w:numPr>
          <w:ilvl w:val="0"/>
          <w:numId w:val="1320"/>
        </w:numPr>
        <w:pStyle w:val="Compact"/>
      </w:pPr>
      <w:r>
        <w:rPr>
          <w:bCs/>
          <w:b/>
        </w:rPr>
        <w:t xml:space="preserve">D</w:t>
      </w:r>
      <w:r>
        <w:t xml:space="preserve">: apenas estudos em animais e em laboratório</w:t>
      </w:r>
    </w:p>
    <w:p>
      <w:pPr>
        <w:pStyle w:val="FirstParagraph"/>
      </w:pPr>
      <w:r>
        <w:t xml:space="preserve">O nível descreve</w:t>
      </w:r>
      <w:r>
        <w:t xml:space="preserve"> </w:t>
      </w:r>
      <w:r>
        <w:rPr>
          <w:iCs/>
          <w:i/>
        </w:rPr>
        <w:t xml:space="preserve">quão bem</w:t>
      </w:r>
      <w:r>
        <w:t xml:space="preserve"> </w:t>
      </w:r>
      <w:r>
        <w:t xml:space="preserve">algo foi estudado, não</w:t>
      </w:r>
      <w:r>
        <w:t xml:space="preserve"> </w:t>
      </w:r>
      <w:r>
        <w:rPr>
          <w:iCs/>
          <w:i/>
        </w:rPr>
        <w:t xml:space="preserve">se</w:t>
      </w:r>
      <w:r>
        <w:t xml:space="preserve"> </w:t>
      </w:r>
      <w:r>
        <w:t xml:space="preserve">funciona – e vale apenas para a aplicação estudada.</w:t>
      </w:r>
    </w:p>
    <w:p>
      <w:pPr>
        <w:pStyle w:val="BodyText"/>
      </w:pPr>
      <w:r>
        <w:rPr>
          <w:bCs/>
          <w:b/>
        </w:rPr>
        <w:t xml:space="preserve">Estudos em humanos / registros:</w:t>
      </w:r>
      <w:r>
        <w:t xml:space="preserve"> </w:t>
      </w:r>
      <w:r>
        <w:t xml:space="preserve">os números vêm da consulta automatizada feita para este livro (outubro de 2026, metodologia no anexo): publicações classificadas como estudos em humanos no PubMed e registros no registro de estudos ClinicalTrials.gov. Eles mostram apenas a ordem de grandeza, dependem muito do termo de busca e contêm em parte resultados de outras áreas, enquanto trabalhos mais antigos com outros nomes podem faltar. Onde um número induz claramente ao erro, ele está marcado com</w:t>
      </w:r>
      <w:r>
        <w:t xml:space="preserve"> </w:t>
      </w:r>
      <w:r>
        <w:t xml:space="preserve">“</w:t>
      </w:r>
      <w:r>
        <w:t xml:space="preserve">(nota)</w:t>
      </w:r>
      <w:r>
        <w:t xml:space="preserve">”</w:t>
      </w:r>
      <w:r>
        <w:t xml:space="preserve"> </w:t>
      </w:r>
      <w:r>
        <w:t xml:space="preserve">e explicado abaixo da tabela. Registros de um patrocinador cujas entradas, ao serem verificadas, se revelaram aparentemente fictícias, de exemplo ou de teste, não foram contados.</w:t>
      </w:r>
    </w:p>
    <w:bookmarkEnd w:id="2523"/>
    <w:bookmarkStart w:id="2524" w:name="a.-metabolismo-e-peso"/>
    <w:p>
      <w:pPr>
        <w:pStyle w:val="Heading3"/>
      </w:pPr>
      <w:r>
        <w:t xml:space="preserve">A. Metabolismo e peso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 UE / EUA</w:t>
            </w:r>
          </w:p>
        </w:tc>
        <w:tc>
          <w:tcPr/>
          <w:p>
            <w:pPr>
              <w:pStyle w:val="Compact"/>
              <w:jc w:val="left"/>
            </w:pPr>
            <w:r>
              <w:t xml:space="preserve">Estudos em humanos / registros</w:t>
            </w:r>
          </w:p>
        </w:tc>
      </w:tr>
      <w:tr>
        <w:tc>
          <w:tcPr/>
          <w:p>
            <w:pPr>
              <w:pStyle w:val="Compact"/>
              <w:jc w:val="left"/>
            </w:pPr>
            <w:r>
              <w:t xml:space="preserve">Exenatida</w:t>
            </w:r>
          </w:p>
        </w:tc>
        <w:tc>
          <w:tcPr/>
          <w:p>
            <w:pPr>
              <w:pStyle w:val="Compact"/>
              <w:jc w:val="left"/>
            </w:pPr>
            <w:r>
              <w:t xml:space="preserve">A</w:t>
            </w:r>
          </w:p>
        </w:tc>
        <w:tc>
          <w:tcPr/>
          <w:p>
            <w:pPr>
              <w:pStyle w:val="Compact"/>
              <w:jc w:val="left"/>
            </w:pPr>
            <w:r>
              <w:t xml:space="preserve">sim / sim</w:t>
            </w:r>
          </w:p>
        </w:tc>
        <w:tc>
          <w:tcPr/>
          <w:p>
            <w:pPr>
              <w:pStyle w:val="Compact"/>
              <w:jc w:val="left"/>
            </w:pPr>
            <w:r>
              <w:t xml:space="preserve">437 / 379</w:t>
            </w:r>
          </w:p>
        </w:tc>
      </w:tr>
      <w:tr>
        <w:tc>
          <w:tcPr/>
          <w:p>
            <w:pPr>
              <w:pStyle w:val="Compact"/>
              <w:jc w:val="left"/>
            </w:pPr>
            <w:r>
              <w:t xml:space="preserve">Liraglutida</w:t>
            </w:r>
          </w:p>
        </w:tc>
        <w:tc>
          <w:tcPr/>
          <w:p>
            <w:pPr>
              <w:pStyle w:val="Compact"/>
              <w:jc w:val="left"/>
            </w:pPr>
            <w:r>
              <w:t xml:space="preserve">A</w:t>
            </w:r>
          </w:p>
        </w:tc>
        <w:tc>
          <w:tcPr/>
          <w:p>
            <w:pPr>
              <w:pStyle w:val="Compact"/>
              <w:jc w:val="left"/>
            </w:pPr>
            <w:r>
              <w:t xml:space="preserve">sim / sim (também genéricos)</w:t>
            </w:r>
          </w:p>
        </w:tc>
        <w:tc>
          <w:tcPr/>
          <w:p>
            <w:pPr>
              <w:pStyle w:val="Compact"/>
              <w:jc w:val="left"/>
            </w:pPr>
            <w:r>
              <w:t xml:space="preserve">613 / 517</w:t>
            </w:r>
          </w:p>
        </w:tc>
      </w:tr>
      <w:tr>
        <w:tc>
          <w:tcPr/>
          <w:p>
            <w:pPr>
              <w:pStyle w:val="Compact"/>
              <w:jc w:val="left"/>
            </w:pPr>
            <w:r>
              <w:t xml:space="preserve">Dulaglutida</w:t>
            </w:r>
          </w:p>
        </w:tc>
        <w:tc>
          <w:tcPr/>
          <w:p>
            <w:pPr>
              <w:pStyle w:val="Compact"/>
              <w:jc w:val="left"/>
            </w:pPr>
            <w:r>
              <w:t xml:space="preserve">A</w:t>
            </w:r>
          </w:p>
        </w:tc>
        <w:tc>
          <w:tcPr/>
          <w:p>
            <w:pPr>
              <w:pStyle w:val="Compact"/>
              <w:jc w:val="left"/>
            </w:pPr>
            <w:r>
              <w:t xml:space="preserve">sim / sim</w:t>
            </w:r>
          </w:p>
        </w:tc>
        <w:tc>
          <w:tcPr/>
          <w:p>
            <w:pPr>
              <w:pStyle w:val="Compact"/>
              <w:jc w:val="left"/>
            </w:pPr>
            <w:r>
              <w:t xml:space="preserve">158 / 143</w:t>
            </w:r>
          </w:p>
        </w:tc>
      </w:tr>
      <w:tr>
        <w:tc>
          <w:tcPr/>
          <w:p>
            <w:pPr>
              <w:pStyle w:val="Compact"/>
              <w:jc w:val="left"/>
            </w:pPr>
            <w:r>
              <w:t xml:space="preserve">Semaglutida</w:t>
            </w:r>
          </w:p>
        </w:tc>
        <w:tc>
          <w:tcPr/>
          <w:p>
            <w:pPr>
              <w:pStyle w:val="Compact"/>
              <w:jc w:val="left"/>
            </w:pPr>
            <w:r>
              <w:t xml:space="preserve">A</w:t>
            </w:r>
          </w:p>
        </w:tc>
        <w:tc>
          <w:tcPr/>
          <w:p>
            <w:pPr>
              <w:pStyle w:val="Compact"/>
              <w:jc w:val="left"/>
            </w:pPr>
            <w:r>
              <w:t xml:space="preserve">sim / sim (injeção e comprimido)</w:t>
            </w:r>
          </w:p>
        </w:tc>
        <w:tc>
          <w:tcPr/>
          <w:p>
            <w:pPr>
              <w:pStyle w:val="Compact"/>
              <w:jc w:val="left"/>
            </w:pPr>
            <w:r>
              <w:t xml:space="preserve">342 / 793</w:t>
            </w:r>
          </w:p>
        </w:tc>
      </w:tr>
      <w:tr>
        <w:tc>
          <w:tcPr/>
          <w:p>
            <w:pPr>
              <w:pStyle w:val="Compact"/>
              <w:jc w:val="left"/>
            </w:pPr>
            <w:r>
              <w:t xml:space="preserve">Tirzepatida</w:t>
            </w:r>
          </w:p>
        </w:tc>
        <w:tc>
          <w:tcPr/>
          <w:p>
            <w:pPr>
              <w:pStyle w:val="Compact"/>
              <w:jc w:val="left"/>
            </w:pPr>
            <w:r>
              <w:t xml:space="preserve">A</w:t>
            </w:r>
          </w:p>
        </w:tc>
        <w:tc>
          <w:tcPr/>
          <w:p>
            <w:pPr>
              <w:pStyle w:val="Compact"/>
              <w:jc w:val="left"/>
            </w:pPr>
            <w:r>
              <w:t xml:space="preserve">sim / sim</w:t>
            </w:r>
          </w:p>
        </w:tc>
        <w:tc>
          <w:tcPr/>
          <w:p>
            <w:pPr>
              <w:pStyle w:val="Compact"/>
              <w:jc w:val="left"/>
            </w:pPr>
            <w:r>
              <w:t xml:space="preserve">144 / 307</w:t>
            </w:r>
          </w:p>
        </w:tc>
      </w:tr>
      <w:tr>
        <w:tc>
          <w:tcPr/>
          <w:p>
            <w:pPr>
              <w:pStyle w:val="Compact"/>
              <w:jc w:val="left"/>
            </w:pPr>
            <w:r>
              <w:t xml:space="preserve">Retatrutida</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10 / 32</w:t>
            </w:r>
          </w:p>
        </w:tc>
      </w:tr>
      <w:tr>
        <w:tc>
          <w:tcPr/>
          <w:p>
            <w:pPr>
              <w:pStyle w:val="Compact"/>
              <w:jc w:val="left"/>
            </w:pPr>
            <w:r>
              <w:t xml:space="preserve">Survodutida</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10 / 29</w:t>
            </w:r>
          </w:p>
        </w:tc>
      </w:tr>
      <w:tr>
        <w:tc>
          <w:tcPr/>
          <w:p>
            <w:pPr>
              <w:pStyle w:val="Compact"/>
              <w:jc w:val="left"/>
            </w:pPr>
            <w:r>
              <w:t xml:space="preserve">Mazdutida</w:t>
            </w:r>
          </w:p>
        </w:tc>
        <w:tc>
          <w:tcPr/>
          <w:p>
            <w:pPr>
              <w:pStyle w:val="Compact"/>
              <w:jc w:val="left"/>
            </w:pPr>
            <w:r>
              <w:t xml:space="preserve">A</w:t>
            </w:r>
          </w:p>
        </w:tc>
        <w:tc>
          <w:tcPr/>
          <w:p>
            <w:pPr>
              <w:pStyle w:val="Compact"/>
              <w:jc w:val="left"/>
            </w:pPr>
            <w:r>
              <w:t xml:space="preserve">não / não (só China, 2025)</w:t>
            </w:r>
          </w:p>
        </w:tc>
        <w:tc>
          <w:tcPr/>
          <w:p>
            <w:pPr>
              <w:pStyle w:val="Compact"/>
              <w:jc w:val="left"/>
            </w:pPr>
            <w:r>
              <w:t xml:space="preserve">9 / 44</w:t>
            </w:r>
          </w:p>
        </w:tc>
      </w:tr>
      <w:tr>
        <w:tc>
          <w:tcPr/>
          <w:p>
            <w:pPr>
              <w:pStyle w:val="Compact"/>
              <w:jc w:val="left"/>
            </w:pPr>
            <w:r>
              <w:t xml:space="preserve">Cagrilintida / CagriSema</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15 / 44</w:t>
            </w:r>
          </w:p>
        </w:tc>
      </w:tr>
      <w:tr>
        <w:tc>
          <w:tcPr/>
          <w:p>
            <w:pPr>
              <w:pStyle w:val="Compact"/>
              <w:jc w:val="left"/>
            </w:pPr>
            <w:r>
              <w:t xml:space="preserve">Amicretina</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4 / 1 (nota)</w:t>
            </w:r>
          </w:p>
        </w:tc>
      </w:tr>
      <w:tr>
        <w:tc>
          <w:tcPr/>
          <w:p>
            <w:pPr>
              <w:pStyle w:val="Compact"/>
              <w:jc w:val="left"/>
            </w:pPr>
            <w:r>
              <w:t xml:space="preserve">Maridebarte cafraglutida</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2 / 28</w:t>
            </w:r>
          </w:p>
        </w:tc>
      </w:tr>
      <w:tr>
        <w:tc>
          <w:tcPr/>
          <w:p>
            <w:pPr>
              <w:pStyle w:val="Compact"/>
              <w:jc w:val="left"/>
            </w:pPr>
            <w:r>
              <w:t xml:space="preserve">Pranlintida</w:t>
            </w:r>
          </w:p>
        </w:tc>
        <w:tc>
          <w:tcPr/>
          <w:p>
            <w:pPr>
              <w:pStyle w:val="Compact"/>
              <w:jc w:val="left"/>
            </w:pPr>
            <w:r>
              <w:t xml:space="preserve">A</w:t>
            </w:r>
          </w:p>
        </w:tc>
        <w:tc>
          <w:tcPr/>
          <w:p>
            <w:pPr>
              <w:pStyle w:val="Compact"/>
              <w:jc w:val="left"/>
            </w:pPr>
            <w:r>
              <w:t xml:space="preserve">não / sim</w:t>
            </w:r>
          </w:p>
        </w:tc>
        <w:tc>
          <w:tcPr/>
          <w:p>
            <w:pPr>
              <w:pStyle w:val="Compact"/>
              <w:jc w:val="left"/>
            </w:pPr>
            <w:r>
              <w:t xml:space="preserve">76 / 64</w:t>
            </w:r>
          </w:p>
        </w:tc>
      </w:tr>
      <w:tr>
        <w:tc>
          <w:tcPr/>
          <w:p>
            <w:pPr>
              <w:pStyle w:val="Compact"/>
              <w:jc w:val="left"/>
            </w:pPr>
            <w:r>
              <w:t xml:space="preserve">Setmelanotida</w:t>
            </w:r>
          </w:p>
        </w:tc>
        <w:tc>
          <w:tcPr/>
          <w:p>
            <w:pPr>
              <w:pStyle w:val="Compact"/>
              <w:jc w:val="left"/>
            </w:pPr>
            <w:r>
              <w:t xml:space="preserve">A</w:t>
            </w:r>
          </w:p>
        </w:tc>
        <w:tc>
          <w:tcPr/>
          <w:p>
            <w:pPr>
              <w:pStyle w:val="Compact"/>
              <w:jc w:val="left"/>
            </w:pPr>
            <w:r>
              <w:t xml:space="preserve">sim / sim (formas genéticas raras)</w:t>
            </w:r>
          </w:p>
        </w:tc>
        <w:tc>
          <w:tcPr/>
          <w:p>
            <w:pPr>
              <w:pStyle w:val="Compact"/>
              <w:jc w:val="left"/>
            </w:pPr>
            <w:r>
              <w:t xml:space="preserve">15 / 27</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não / não</w:t>
            </w:r>
          </w:p>
        </w:tc>
        <w:tc>
          <w:tcPr/>
          <w:p>
            <w:pPr>
              <w:pStyle w:val="Compact"/>
              <w:jc w:val="left"/>
            </w:pPr>
            <w:r>
              <w:t xml:space="preserve">0 / 0</w:t>
            </w:r>
          </w:p>
        </w:tc>
      </w:tr>
      <w:tr>
        <w:tc>
          <w:tcPr/>
          <w:p>
            <w:pPr>
              <w:pStyle w:val="Compact"/>
              <w:jc w:val="left"/>
            </w:pPr>
            <w:r>
              <w:t xml:space="preserve">Orforglipron (não é peptídeo)</w:t>
            </w:r>
          </w:p>
        </w:tc>
        <w:tc>
          <w:tcPr/>
          <w:p>
            <w:pPr>
              <w:pStyle w:val="Compact"/>
              <w:jc w:val="left"/>
            </w:pPr>
            <w:r>
              <w:t xml:space="preserve">A</w:t>
            </w:r>
          </w:p>
        </w:tc>
        <w:tc>
          <w:tcPr/>
          <w:p>
            <w:pPr>
              <w:pStyle w:val="Compact"/>
              <w:jc w:val="left"/>
            </w:pPr>
            <w:r>
              <w:t xml:space="preserve">não / pedido apresentado (verificar)</w:t>
            </w:r>
          </w:p>
        </w:tc>
        <w:tc>
          <w:tcPr/>
          <w:p>
            <w:pPr>
              <w:pStyle w:val="Compact"/>
              <w:jc w:val="left"/>
            </w:pPr>
            <w:r>
              <w:t xml:space="preserve">20 / 53</w:t>
            </w:r>
          </w:p>
        </w:tc>
      </w:tr>
    </w:tbl>
    <w:p>
      <w:pPr>
        <w:pStyle w:val="BodyText"/>
      </w:pPr>
      <w:r>
        <w:t xml:space="preserve">Nota sobre a tabela: para a</w:t>
      </w:r>
      <w:r>
        <w:t xml:space="preserve"> </w:t>
      </w:r>
      <w:r>
        <w:rPr>
          <w:bCs/>
          <w:b/>
        </w:rPr>
        <w:t xml:space="preserve">amicretina</w:t>
      </w:r>
      <w:r>
        <w:t xml:space="preserve">, a busca nos registros encontrou apenas uma entrada; com o nome zenagamtida e o código de desenvolvimento, há cerca de 30 estudos registrados, entre eles o programa de fase 3 iniciado em 2026. Para a</w:t>
      </w:r>
      <w:r>
        <w:t xml:space="preserve"> </w:t>
      </w:r>
      <w:r>
        <w:rPr>
          <w:bCs/>
          <w:b/>
        </w:rPr>
        <w:t xml:space="preserve">mazdutida</w:t>
      </w:r>
      <w:r>
        <w:t xml:space="preserve">, os estudos vêm quase só da China; para o</w:t>
      </w:r>
      <w:r>
        <w:t xml:space="preserve"> </w:t>
      </w:r>
      <w:r>
        <w:rPr>
          <w:bCs/>
          <w:b/>
        </w:rPr>
        <w:t xml:space="preserve">orforglipron</w:t>
      </w:r>
      <w:r>
        <w:t xml:space="preserve">, a aprovação estava pendente no fechamento desta edição.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Peptídeo</w:t>
            </w:r>
          </w:p>
        </w:tc>
        <w:tc>
          <w:tcPr/>
          <w:p>
            <w:pPr>
              <w:pStyle w:val="Compact"/>
              <w:jc w:val="left"/>
            </w:pPr>
            <w:r>
              <w:t xml:space="preserve">Resultado principal</w:t>
            </w:r>
          </w:p>
        </w:tc>
        <w:tc>
          <w:tcPr/>
          <w:p>
            <w:pPr>
              <w:pStyle w:val="Compact"/>
              <w:jc w:val="left"/>
            </w:pPr>
            <w:r>
              <w:t xml:space="preserve">Principal risco</w:t>
            </w:r>
          </w:p>
        </w:tc>
      </w:tr>
      <w:tr>
        <w:tc>
          <w:tcPr/>
          <w:p>
            <w:pPr>
              <w:pStyle w:val="Compact"/>
              <w:jc w:val="left"/>
            </w:pPr>
            <w:r>
              <w:t xml:space="preserve">Exenatida</w:t>
            </w:r>
          </w:p>
        </w:tc>
        <w:tc>
          <w:tcPr/>
          <w:p>
            <w:pPr>
              <w:pStyle w:val="Compact"/>
              <w:jc w:val="left"/>
            </w:pPr>
            <w:r>
              <w:t xml:space="preserve">EXSCEL: risco cardiovascular não aumentado, mas também não reduzido significativamente (HR 0,91; PMID 28910237)</w:t>
            </w:r>
          </w:p>
        </w:tc>
        <w:tc>
          <w:tcPr/>
          <w:p>
            <w:pPr>
              <w:pStyle w:val="Compact"/>
              <w:jc w:val="left"/>
            </w:pPr>
            <w:r>
              <w:t xml:space="preserve">Náusea, nódulos, anticorpos</w:t>
            </w:r>
          </w:p>
        </w:tc>
      </w:tr>
      <w:tr>
        <w:tc>
          <w:tcPr/>
          <w:p>
            <w:pPr>
              <w:pStyle w:val="Compact"/>
              <w:jc w:val="left"/>
            </w:pPr>
            <w:r>
              <w:t xml:space="preserve">Liraglutida</w:t>
            </w:r>
          </w:p>
        </w:tc>
        <w:tc>
          <w:tcPr/>
          <w:p>
            <w:pPr>
              <w:pStyle w:val="Compact"/>
              <w:jc w:val="left"/>
            </w:pPr>
            <w:r>
              <w:t xml:space="preserve">LEADER: 13% menos eventos cardiovasculares (PMID 27295427); SCALE: −8,4 vs. −2,8 kg (PMID 26132939)</w:t>
            </w:r>
          </w:p>
        </w:tc>
        <w:tc>
          <w:tcPr/>
          <w:p>
            <w:pPr>
              <w:pStyle w:val="Compact"/>
              <w:jc w:val="left"/>
            </w:pPr>
            <w:r>
              <w:t xml:space="preserve">Queixas gastrointestinais, vesícula biliar</w:t>
            </w:r>
          </w:p>
        </w:tc>
      </w:tr>
      <w:tr>
        <w:tc>
          <w:tcPr/>
          <w:p>
            <w:pPr>
              <w:pStyle w:val="Compact"/>
              <w:jc w:val="left"/>
            </w:pPr>
            <w:r>
              <w:t xml:space="preserve">Dulaglutida</w:t>
            </w:r>
          </w:p>
        </w:tc>
        <w:tc>
          <w:tcPr/>
          <w:p>
            <w:pPr>
              <w:pStyle w:val="Compact"/>
              <w:jc w:val="left"/>
            </w:pPr>
            <w:r>
              <w:t xml:space="preserve">REWIND: 12% menos eventos cardiovasculares graves em 9.901 participantes (PMID 31189511)</w:t>
            </w:r>
          </w:p>
        </w:tc>
        <w:tc>
          <w:tcPr/>
          <w:p>
            <w:pPr>
              <w:pStyle w:val="Compact"/>
              <w:jc w:val="left"/>
            </w:pPr>
            <w:r>
              <w:t xml:space="preserve">Gastrointestinal; hipoglicemia em combinação</w:t>
            </w:r>
          </w:p>
        </w:tc>
      </w:tr>
      <w:tr>
        <w:tc>
          <w:tcPr/>
          <w:p>
            <w:pPr>
              <w:pStyle w:val="Compact"/>
              <w:jc w:val="left"/>
            </w:pPr>
            <w:r>
              <w:t xml:space="preserve">Semaglutida</w:t>
            </w:r>
          </w:p>
        </w:tc>
        <w:tc>
          <w:tcPr/>
          <w:p>
            <w:pPr>
              <w:pStyle w:val="Compact"/>
              <w:jc w:val="left"/>
            </w:pPr>
            <w:r>
              <w:t xml:space="preserve">STEP 1: −14,9% vs. −2,4% (PMID 33567185); SELECT: 20% menos eventos cardiovasculares (PMID 37952131)</w:t>
            </w:r>
          </w:p>
        </w:tc>
        <w:tc>
          <w:tcPr/>
          <w:p>
            <w:pPr>
              <w:pStyle w:val="Compact"/>
              <w:jc w:val="left"/>
            </w:pPr>
            <w:r>
              <w:t xml:space="preserve">Gastrointestinal, vesícula biliar, sinal raro de NAION, falsificações</w:t>
            </w:r>
          </w:p>
        </w:tc>
      </w:tr>
      <w:tr>
        <w:tc>
          <w:tcPr/>
          <w:p>
            <w:pPr>
              <w:pStyle w:val="Compact"/>
              <w:jc w:val="left"/>
            </w:pPr>
            <w:r>
              <w:t xml:space="preserve">Tirzepatida</w:t>
            </w:r>
          </w:p>
        </w:tc>
        <w:tc>
          <w:tcPr/>
          <w:p>
            <w:pPr>
              <w:pStyle w:val="Compact"/>
              <w:jc w:val="left"/>
            </w:pPr>
            <w:r>
              <w:t xml:space="preserve">SURMOUNT-5: −20,2% vs. −13,7% com semaglutida (PMID 40353578)</w:t>
            </w:r>
          </w:p>
        </w:tc>
        <w:tc>
          <w:tcPr/>
          <w:p>
            <w:pPr>
              <w:pStyle w:val="Compact"/>
              <w:jc w:val="left"/>
            </w:pPr>
            <w:r>
              <w:t xml:space="preserve">Gastrointestinal, vias biliares; reganho de peso após a suspensão</w:t>
            </w:r>
          </w:p>
        </w:tc>
      </w:tr>
      <w:tr>
        <w:tc>
          <w:tcPr/>
          <w:p>
            <w:pPr>
              <w:pStyle w:val="Compact"/>
              <w:jc w:val="left"/>
            </w:pPr>
            <w:r>
              <w:t xml:space="preserve">Retatrutida</w:t>
            </w:r>
          </w:p>
        </w:tc>
        <w:tc>
          <w:tcPr/>
          <w:p>
            <w:pPr>
              <w:pStyle w:val="Compact"/>
              <w:jc w:val="left"/>
            </w:pPr>
            <w:r>
              <w:t xml:space="preserve">TRIUMPH-1: até −25,0% vs. −3,9% após 80 semanas (PMID 42814954)</w:t>
            </w:r>
          </w:p>
        </w:tc>
        <w:tc>
          <w:tcPr/>
          <w:p>
            <w:pPr>
              <w:pStyle w:val="Compact"/>
              <w:jc w:val="left"/>
            </w:pPr>
            <w:r>
              <w:t xml:space="preserve">Gastrointestinal, disestesias cutâneas, mais abandonos com dose alta</w:t>
            </w:r>
          </w:p>
        </w:tc>
      </w:tr>
      <w:tr>
        <w:tc>
          <w:tcPr/>
          <w:p>
            <w:pPr>
              <w:pStyle w:val="Compact"/>
              <w:jc w:val="left"/>
            </w:pPr>
            <w:r>
              <w:t xml:space="preserve">Survodutida</w:t>
            </w:r>
          </w:p>
        </w:tc>
        <w:tc>
          <w:tcPr/>
          <w:p>
            <w:pPr>
              <w:pStyle w:val="Compact"/>
              <w:jc w:val="left"/>
            </w:pPr>
            <w:r>
              <w:t xml:space="preserve">SYNCHRONIZE-1: até −13,0% vs. −5,4% após 76 semanas (PMID 42253238)</w:t>
            </w:r>
          </w:p>
        </w:tc>
        <w:tc>
          <w:tcPr/>
          <w:p>
            <w:pPr>
              <w:pStyle w:val="Compact"/>
              <w:jc w:val="left"/>
            </w:pPr>
            <w:r>
              <w:t xml:space="preserve">Queixas gastrointestinais muito frequentes</w:t>
            </w:r>
          </w:p>
        </w:tc>
      </w:tr>
      <w:tr>
        <w:tc>
          <w:tcPr/>
          <w:p>
            <w:pPr>
              <w:pStyle w:val="Compact"/>
              <w:jc w:val="left"/>
            </w:pPr>
            <w:r>
              <w:t xml:space="preserve">Mazdutida</w:t>
            </w:r>
          </w:p>
        </w:tc>
        <w:tc>
          <w:tcPr/>
          <w:p>
            <w:pPr>
              <w:pStyle w:val="Compact"/>
              <w:jc w:val="left"/>
            </w:pPr>
            <w:r>
              <w:t xml:space="preserve">GLORY-1: até −14,0% vs. +0,3% após 48 semanas (PMID 40421736)</w:t>
            </w:r>
          </w:p>
        </w:tc>
        <w:tc>
          <w:tcPr/>
          <w:p>
            <w:pPr>
              <w:pStyle w:val="Compact"/>
              <w:jc w:val="left"/>
            </w:pPr>
            <w:r>
              <w:t xml:space="preserve">Gastrointestinal, sobretudo vômitos</w:t>
            </w:r>
          </w:p>
        </w:tc>
      </w:tr>
      <w:tr>
        <w:tc>
          <w:tcPr/>
          <w:p>
            <w:pPr>
              <w:pStyle w:val="Compact"/>
              <w:jc w:val="left"/>
            </w:pPr>
            <w:r>
              <w:t xml:space="preserve">Cagrilintida / CagriSema</w:t>
            </w:r>
          </w:p>
        </w:tc>
        <w:tc>
          <w:tcPr/>
          <w:p>
            <w:pPr>
              <w:pStyle w:val="Compact"/>
              <w:jc w:val="left"/>
            </w:pPr>
            <w:r>
              <w:t xml:space="preserve">REDEFINE 1: −20,4% vs. −3,0% após 68 semanas (PMID 40544433)</w:t>
            </w:r>
          </w:p>
        </w:tc>
        <w:tc>
          <w:tcPr/>
          <w:p>
            <w:pPr>
              <w:pStyle w:val="Compact"/>
              <w:jc w:val="left"/>
            </w:pPr>
            <w:r>
              <w:t xml:space="preserve">Queixas gastrointestinais em cerca de 80%</w:t>
            </w:r>
          </w:p>
        </w:tc>
      </w:tr>
      <w:tr>
        <w:tc>
          <w:tcPr/>
          <w:p>
            <w:pPr>
              <w:pStyle w:val="Compact"/>
              <w:jc w:val="left"/>
            </w:pPr>
            <w:r>
              <w:t xml:space="preserve">Amicretina</w:t>
            </w:r>
          </w:p>
        </w:tc>
        <w:tc>
          <w:tcPr/>
          <w:p>
            <w:pPr>
              <w:pStyle w:val="Compact"/>
              <w:jc w:val="left"/>
            </w:pPr>
            <w:r>
              <w:t xml:space="preserve">Fase 1b/2a: até −24,3% vs. −1,1% após 36 semanas (PMID 40550231)</w:t>
            </w:r>
          </w:p>
        </w:tc>
        <w:tc>
          <w:tcPr/>
          <w:p>
            <w:pPr>
              <w:pStyle w:val="Compact"/>
              <w:jc w:val="left"/>
            </w:pPr>
            <w:r>
              <w:t xml:space="preserve">Gastrointestinal; consequências de longo prazo desconhecidas</w:t>
            </w:r>
          </w:p>
        </w:tc>
      </w:tr>
      <w:tr>
        <w:tc>
          <w:tcPr/>
          <w:p>
            <w:pPr>
              <w:pStyle w:val="Compact"/>
              <w:jc w:val="left"/>
            </w:pPr>
            <w:r>
              <w:t xml:space="preserve">Maridebarte cafraglutida</w:t>
            </w:r>
          </w:p>
        </w:tc>
        <w:tc>
          <w:tcPr/>
          <w:p>
            <w:pPr>
              <w:pStyle w:val="Compact"/>
              <w:jc w:val="left"/>
            </w:pPr>
            <w:r>
              <w:t xml:space="preserve">Fase 2: −12,3 a −16,2% vs. −2,5% após 52 semanas (PMID 40549887)</w:t>
            </w:r>
          </w:p>
        </w:tc>
        <w:tc>
          <w:tcPr/>
          <w:p>
            <w:pPr>
              <w:pStyle w:val="Compact"/>
              <w:jc w:val="left"/>
            </w:pPr>
            <w:r>
              <w:t xml:space="preserve">Gastrointestinal; duração de ação muito longa</w:t>
            </w:r>
          </w:p>
        </w:tc>
      </w:tr>
      <w:tr>
        <w:tc>
          <w:tcPr/>
          <w:p>
            <w:pPr>
              <w:pStyle w:val="Compact"/>
              <w:jc w:val="left"/>
            </w:pPr>
            <w:r>
              <w:t xml:space="preserve">Pranlintida</w:t>
            </w:r>
          </w:p>
        </w:tc>
        <w:tc>
          <w:tcPr/>
          <w:p>
            <w:pPr>
              <w:pStyle w:val="Compact"/>
              <w:jc w:val="left"/>
            </w:pPr>
            <w:r>
              <w:t xml:space="preserve">HbA1c −0,62 ponto percentual, peso −1,4 kg (PMID 12610038)</w:t>
            </w:r>
          </w:p>
        </w:tc>
        <w:tc>
          <w:tcPr/>
          <w:p>
            <w:pPr>
              <w:pStyle w:val="Compact"/>
              <w:jc w:val="left"/>
            </w:pPr>
            <w:r>
              <w:t xml:space="preserve">Hipoglicemia grave com insulina, náusea</w:t>
            </w:r>
          </w:p>
        </w:tc>
      </w:tr>
      <w:tr>
        <w:tc>
          <w:tcPr/>
          <w:p>
            <w:pPr>
              <w:pStyle w:val="Compact"/>
              <w:jc w:val="left"/>
            </w:pPr>
            <w:r>
              <w:t xml:space="preserve">Setmelanotida</w:t>
            </w:r>
          </w:p>
        </w:tc>
        <w:tc>
          <w:tcPr/>
          <w:p>
            <w:pPr>
              <w:pStyle w:val="Compact"/>
              <w:jc w:val="left"/>
            </w:pPr>
            <w:r>
              <w:t xml:space="preserve">TRANSCEND: IMC −16,5% vs. +3,3% na obesidade hipotalâmica (PMID 42418774)</w:t>
            </w:r>
          </w:p>
        </w:tc>
        <w:tc>
          <w:tcPr/>
          <w:p>
            <w:pPr>
              <w:pStyle w:val="Compact"/>
              <w:jc w:val="left"/>
            </w:pPr>
            <w:r>
              <w:t xml:space="preserve">Locais de injeção, escurecimento da pele, náusea</w:t>
            </w:r>
          </w:p>
        </w:tc>
      </w:tr>
      <w:tr>
        <w:tc>
          <w:tcPr/>
          <w:p>
            <w:pPr>
              <w:pStyle w:val="Compact"/>
              <w:jc w:val="left"/>
            </w:pPr>
            <w:r>
              <w:t xml:space="preserve">AOD-9604</w:t>
            </w:r>
          </w:p>
        </w:tc>
        <w:tc>
          <w:tcPr/>
          <w:p>
            <w:pPr>
              <w:pStyle w:val="Compact"/>
              <w:jc w:val="left"/>
            </w:pPr>
            <w:r>
              <w:t xml:space="preserve">Apenas dados em animais: em camundongos, menor ganho de peso (PMID 11673763)</w:t>
            </w:r>
          </w:p>
        </w:tc>
        <w:tc>
          <w:tcPr/>
          <w:p>
            <w:pPr>
              <w:pStyle w:val="Compact"/>
              <w:jc w:val="left"/>
            </w:pPr>
            <w:r>
              <w:t xml:space="preserve">Efeito em humanos desconhecido</w:t>
            </w:r>
          </w:p>
        </w:tc>
      </w:tr>
      <w:tr>
        <w:tc>
          <w:tcPr/>
          <w:p>
            <w:pPr>
              <w:pStyle w:val="Compact"/>
              <w:jc w:val="left"/>
            </w:pPr>
            <w:r>
              <w:t xml:space="preserve">Orforglipron</w:t>
            </w:r>
          </w:p>
        </w:tc>
        <w:tc>
          <w:tcPr/>
          <w:p>
            <w:pPr>
              <w:pStyle w:val="Compact"/>
              <w:jc w:val="left"/>
            </w:pPr>
            <w:r>
              <w:t xml:space="preserve">ATTAIN-1: até −11,2% vs. −2,1% como comprimido (PMID 40960239)</w:t>
            </w:r>
          </w:p>
        </w:tc>
        <w:tc>
          <w:tcPr/>
          <w:p>
            <w:pPr>
              <w:pStyle w:val="Compact"/>
              <w:jc w:val="left"/>
            </w:pPr>
            <w:r>
              <w:t xml:space="preserve">Gastrointestinal, um pouco mais de abandonos que o comprimido de semaglutida</w:t>
            </w:r>
          </w:p>
        </w:tc>
      </w:tr>
    </w:tbl>
    <w:bookmarkEnd w:id="2524"/>
    <w:bookmarkStart w:id="2525" w:name="Xfeb52c57cdc560ca5027076d83a94f6dbe97e96"/>
    <w:p>
      <w:pPr>
        <w:pStyle w:val="Heading3"/>
      </w:pPr>
      <w:r>
        <w:t xml:space="preserve">B. Cura, regeneração e sistema imunológico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 UE / EUA</w:t>
            </w:r>
          </w:p>
        </w:tc>
        <w:tc>
          <w:tcPr/>
          <w:p>
            <w:pPr>
              <w:pStyle w:val="Compact"/>
              <w:jc w:val="left"/>
            </w:pPr>
            <w:r>
              <w:t xml:space="preserve">Estudos em humanos / registros</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não / não</w:t>
            </w:r>
          </w:p>
        </w:tc>
        <w:tc>
          <w:tcPr/>
          <w:p>
            <w:pPr>
              <w:pStyle w:val="Compact"/>
              <w:jc w:val="left"/>
            </w:pPr>
            <w:r>
              <w:t xml:space="preserve">0 / 4 (nota)</w:t>
            </w:r>
          </w:p>
        </w:tc>
      </w:tr>
      <w:tr>
        <w:tc>
          <w:tcPr/>
          <w:p>
            <w:pPr>
              <w:pStyle w:val="Compact"/>
              <w:jc w:val="left"/>
            </w:pPr>
            <w:r>
              <w:t xml:space="preserve">TB-500 / timosina beta-4</w:t>
            </w:r>
          </w:p>
        </w:tc>
        <w:tc>
          <w:tcPr/>
          <w:p>
            <w:pPr>
              <w:pStyle w:val="Compact"/>
              <w:jc w:val="left"/>
            </w:pPr>
            <w:r>
              <w:t xml:space="preserve">B (Tβ4) / D (TB-500)</w:t>
            </w:r>
          </w:p>
        </w:tc>
        <w:tc>
          <w:tcPr/>
          <w:p>
            <w:pPr>
              <w:pStyle w:val="Compact"/>
              <w:jc w:val="left"/>
            </w:pPr>
            <w:r>
              <w:t xml:space="preserve">não / não</w:t>
            </w:r>
          </w:p>
        </w:tc>
        <w:tc>
          <w:tcPr/>
          <w:p>
            <w:pPr>
              <w:pStyle w:val="Compact"/>
              <w:jc w:val="left"/>
            </w:pPr>
            <w:r>
              <w:t xml:space="preserve">9 / 18 (nota)</w:t>
            </w:r>
          </w:p>
        </w:tc>
      </w:tr>
      <w:tr>
        <w:tc>
          <w:tcPr/>
          <w:p>
            <w:pPr>
              <w:pStyle w:val="Compact"/>
              <w:jc w:val="left"/>
            </w:pPr>
            <w:r>
              <w:t xml:space="preserve">Timosina alfa 1</w:t>
            </w:r>
          </w:p>
        </w:tc>
        <w:tc>
          <w:tcPr/>
          <w:p>
            <w:pPr>
              <w:pStyle w:val="Compact"/>
              <w:jc w:val="left"/>
            </w:pPr>
            <w:r>
              <w:t xml:space="preserve">B</w:t>
            </w:r>
          </w:p>
        </w:tc>
        <w:tc>
          <w:tcPr/>
          <w:p>
            <w:pPr>
              <w:pStyle w:val="Compact"/>
              <w:jc w:val="left"/>
            </w:pPr>
            <w:r>
              <w:t xml:space="preserve">não / não (aprovada na China, entre outros)</w:t>
            </w:r>
          </w:p>
        </w:tc>
        <w:tc>
          <w:tcPr/>
          <w:p>
            <w:pPr>
              <w:pStyle w:val="Compact"/>
              <w:jc w:val="left"/>
            </w:pPr>
            <w:r>
              <w:t xml:space="preserve">90 / 66</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não / não</w:t>
            </w:r>
          </w:p>
        </w:tc>
        <w:tc>
          <w:tcPr/>
          <w:p>
            <w:pPr>
              <w:pStyle w:val="Compact"/>
              <w:jc w:val="left"/>
            </w:pPr>
            <w:r>
              <w:t xml:space="preserve">0 / 0</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91 / 20 (nota)</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5 / 5</w:t>
            </w:r>
          </w:p>
        </w:tc>
      </w:tr>
      <w:tr>
        <w:tc>
          <w:tcPr/>
          <w:p>
            <w:pPr>
              <w:pStyle w:val="Compact"/>
              <w:jc w:val="left"/>
            </w:pPr>
            <w:r>
              <w:t xml:space="preserve">Larazotida</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4 / 10 (nota)</w:t>
            </w:r>
          </w:p>
        </w:tc>
      </w:tr>
      <w:tr>
        <w:tc>
          <w:tcPr/>
          <w:p>
            <w:pPr>
              <w:pStyle w:val="Compact"/>
              <w:jc w:val="left"/>
            </w:pPr>
            <w:r>
              <w:t xml:space="preserve">Timalina</w:t>
            </w:r>
          </w:p>
        </w:tc>
        <w:tc>
          <w:tcPr/>
          <w:p>
            <w:pPr>
              <w:pStyle w:val="Compact"/>
              <w:jc w:val="left"/>
            </w:pPr>
            <w:r>
              <w:t xml:space="preserve">C</w:t>
            </w:r>
          </w:p>
        </w:tc>
        <w:tc>
          <w:tcPr/>
          <w:p>
            <w:pPr>
              <w:pStyle w:val="Compact"/>
              <w:jc w:val="left"/>
            </w:pPr>
            <w:r>
              <w:t xml:space="preserve">não / não (aprovada na Rússia)</w:t>
            </w:r>
          </w:p>
        </w:tc>
        <w:tc>
          <w:tcPr/>
          <w:p>
            <w:pPr>
              <w:pStyle w:val="Compact"/>
              <w:jc w:val="left"/>
            </w:pPr>
            <w:r>
              <w:t xml:space="preserve">17 / 0</w:t>
            </w:r>
          </w:p>
        </w:tc>
      </w:tr>
    </w:tbl>
    <w:p>
      <w:pPr>
        <w:pStyle w:val="BodyText"/>
      </w:pPr>
      <w:r>
        <w:t xml:space="preserve">Notas sobre a tabela: para o</w:t>
      </w:r>
      <w:r>
        <w:t xml:space="preserve"> </w:t>
      </w:r>
      <w:r>
        <w:rPr>
          <w:bCs/>
          <w:b/>
        </w:rPr>
        <w:t xml:space="preserve">BPC-157</w:t>
      </w:r>
      <w:r>
        <w:t xml:space="preserve">, nenhuma publicação cumpriu os critérios de filtro da busca automática; na realidade, há três pequenas investigações não controladas com cerca de 30 pessoas no total. Para o</w:t>
      </w:r>
      <w:r>
        <w:t xml:space="preserve"> </w:t>
      </w:r>
      <w:r>
        <w:rPr>
          <w:bCs/>
          <w:b/>
        </w:rPr>
        <w:t xml:space="preserve">TB-500</w:t>
      </w:r>
      <w:r>
        <w:t xml:space="preserve">, os resultados referem-se à proteína inteira timosina beta-4 (apenas seis deles como princípio ativo); nenhum investiga o TB-500. Para o</w:t>
      </w:r>
      <w:r>
        <w:t xml:space="preserve"> </w:t>
      </w:r>
      <w:r>
        <w:rPr>
          <w:bCs/>
          <w:b/>
        </w:rPr>
        <w:t xml:space="preserve">LL-37</w:t>
      </w:r>
      <w:r>
        <w:t xml:space="preserve">, a maioria dos resultados mede o LL-37 apenas como valor laboratorial, por exemplo em estudos de vitamina D; estudos em que o próprio LL-37 foi administrado são apenas cinco no PubMed e dois no registro. Para a</w:t>
      </w:r>
      <w:r>
        <w:t xml:space="preserve"> </w:t>
      </w:r>
      <w:r>
        <w:rPr>
          <w:bCs/>
          <w:b/>
        </w:rPr>
        <w:t xml:space="preserve">larazotida</w:t>
      </w:r>
      <w:r>
        <w:t xml:space="preserve">, a busca encontrou 29 registros, dos quais 19 se referem a outro medicamento com o mesmo código de desenvolvimento anterior; a tabela indica o número corrigido.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Peptídeo</w:t>
            </w:r>
          </w:p>
        </w:tc>
        <w:tc>
          <w:tcPr/>
          <w:p>
            <w:pPr>
              <w:pStyle w:val="Compact"/>
              <w:jc w:val="left"/>
            </w:pPr>
            <w:r>
              <w:t xml:space="preserve">Resultado principal</w:t>
            </w:r>
          </w:p>
        </w:tc>
        <w:tc>
          <w:tcPr/>
          <w:p>
            <w:pPr>
              <w:pStyle w:val="Compact"/>
              <w:jc w:val="left"/>
            </w:pPr>
            <w:r>
              <w:t xml:space="preserve">Principal risco</w:t>
            </w:r>
          </w:p>
        </w:tc>
      </w:tr>
      <w:tr>
        <w:tc>
          <w:tcPr/>
          <w:p>
            <w:pPr>
              <w:pStyle w:val="Compact"/>
              <w:jc w:val="left"/>
            </w:pPr>
            <w:r>
              <w:t xml:space="preserve">BPC-157</w:t>
            </w:r>
          </w:p>
        </w:tc>
        <w:tc>
          <w:tcPr/>
          <w:p>
            <w:pPr>
              <w:pStyle w:val="Compact"/>
              <w:jc w:val="left"/>
            </w:pPr>
            <w:r>
              <w:t xml:space="preserve">Três investigações-piloto não controladas, evidência muito baixa segundo revisão (PMID 42885452)</w:t>
            </w:r>
          </w:p>
        </w:tc>
        <w:tc>
          <w:tcPr/>
          <w:p>
            <w:pPr>
              <w:pStyle w:val="Compact"/>
              <w:jc w:val="left"/>
            </w:pPr>
            <w:r>
              <w:t xml:space="preserve">segurança de longo prazo desconhecida, qualidade do mercado cinza</w:t>
            </w:r>
          </w:p>
        </w:tc>
      </w:tr>
      <w:tr>
        <w:tc>
          <w:tcPr/>
          <w:p>
            <w:pPr>
              <w:pStyle w:val="Compact"/>
              <w:jc w:val="left"/>
            </w:pPr>
            <w:r>
              <w:t xml:space="preserve">TB-500 / timosina beta-4</w:t>
            </w:r>
          </w:p>
        </w:tc>
        <w:tc>
          <w:tcPr/>
          <w:p>
            <w:pPr>
              <w:pStyle w:val="Compact"/>
              <w:jc w:val="left"/>
            </w:pPr>
            <w:r>
              <w:t xml:space="preserve">Tβ4 após infarto: tamanho do infarto não significativamente menor (PMID 41229390); TB-500 não testado</w:t>
            </w:r>
          </w:p>
        </w:tc>
        <w:tc>
          <w:tcPr/>
          <w:p>
            <w:pPr>
              <w:pStyle w:val="Compact"/>
              <w:jc w:val="left"/>
            </w:pPr>
            <w:r>
              <w:t xml:space="preserve">conteúdo incerto, teoricamente estímulo tumoral</w:t>
            </w:r>
          </w:p>
        </w:tc>
      </w:tr>
      <w:tr>
        <w:tc>
          <w:tcPr/>
          <w:p>
            <w:pPr>
              <w:pStyle w:val="Compact"/>
              <w:jc w:val="left"/>
            </w:pPr>
            <w:r>
              <w:t xml:space="preserve">Timosina alfa 1</w:t>
            </w:r>
          </w:p>
        </w:tc>
        <w:tc>
          <w:tcPr/>
          <w:p>
            <w:pPr>
              <w:pStyle w:val="Compact"/>
              <w:jc w:val="left"/>
            </w:pPr>
            <w:r>
              <w:t xml:space="preserve">TESTS na sepse: mortalidade em 28 dias 23,4% vs. 24,1%, nenhuma diferença (PMID 39814420)</w:t>
            </w:r>
          </w:p>
        </w:tc>
        <w:tc>
          <w:tcPr/>
          <w:p>
            <w:pPr>
              <w:pStyle w:val="Compact"/>
              <w:jc w:val="left"/>
            </w:pPr>
            <w:r>
              <w:t xml:space="preserve">possíveis desvantagens em subgrupos; mercado cinza</w:t>
            </w:r>
          </w:p>
        </w:tc>
      </w:tr>
      <w:tr>
        <w:tc>
          <w:tcPr/>
          <w:p>
            <w:pPr>
              <w:pStyle w:val="Compact"/>
              <w:jc w:val="left"/>
            </w:pPr>
            <w:r>
              <w:t xml:space="preserve">KPV</w:t>
            </w:r>
          </w:p>
        </w:tc>
        <w:tc>
          <w:tcPr/>
          <w:p>
            <w:pPr>
              <w:pStyle w:val="Compact"/>
              <w:jc w:val="left"/>
            </w:pPr>
            <w:r>
              <w:t xml:space="preserve">Apenas dados em animais: menos inflamação intestinal em camundongos (PMID 18061177)</w:t>
            </w:r>
          </w:p>
        </w:tc>
        <w:tc>
          <w:tcPr/>
          <w:p>
            <w:pPr>
              <w:pStyle w:val="Compact"/>
              <w:jc w:val="left"/>
            </w:pPr>
            <w:r>
              <w:t xml:space="preserve">perfil em humanos totalmente desconhecido</w:t>
            </w:r>
          </w:p>
        </w:tc>
      </w:tr>
      <w:tr>
        <w:tc>
          <w:tcPr/>
          <w:p>
            <w:pPr>
              <w:pStyle w:val="Compact"/>
              <w:jc w:val="left"/>
            </w:pPr>
            <w:r>
              <w:t xml:space="preserve">LL-37</w:t>
            </w:r>
          </w:p>
        </w:tc>
        <w:tc>
          <w:tcPr/>
          <w:p>
            <w:pPr>
              <w:pStyle w:val="Compact"/>
              <w:jc w:val="left"/>
            </w:pPr>
            <w:r>
              <w:t xml:space="preserve">HEAL LL-37: úlceras de perna não cicatrizaram melhor que com placebo (PMID 34687253)</w:t>
            </w:r>
          </w:p>
        </w:tc>
        <w:tc>
          <w:tcPr/>
          <w:p>
            <w:pPr>
              <w:pStyle w:val="Compact"/>
              <w:jc w:val="left"/>
            </w:pPr>
            <w:r>
              <w:t xml:space="preserve">reações inflamatórias e autoimunes</w:t>
            </w:r>
          </w:p>
        </w:tc>
      </w:tr>
      <w:tr>
        <w:tc>
          <w:tcPr/>
          <w:p>
            <w:pPr>
              <w:pStyle w:val="Compact"/>
              <w:jc w:val="left"/>
            </w:pPr>
            <w:r>
              <w:t xml:space="preserve">ARA-290</w:t>
            </w:r>
          </w:p>
        </w:tc>
        <w:tc>
          <w:tcPr/>
          <w:p>
            <w:pPr>
              <w:pStyle w:val="Compact"/>
              <w:jc w:val="left"/>
            </w:pPr>
            <w:r>
              <w:t xml:space="preserve">Fase 2b: fibras nervosas aumentadas apenas com uma de três doses (PMID 28475703)</w:t>
            </w:r>
          </w:p>
        </w:tc>
        <w:tc>
          <w:tcPr/>
          <w:p>
            <w:pPr>
              <w:pStyle w:val="Compact"/>
              <w:jc w:val="left"/>
            </w:pPr>
            <w:r>
              <w:t xml:space="preserve">quase nenhum dado além de doze semanas</w:t>
            </w:r>
          </w:p>
        </w:tc>
      </w:tr>
      <w:tr>
        <w:tc>
          <w:tcPr/>
          <w:p>
            <w:pPr>
              <w:pStyle w:val="Compact"/>
              <w:jc w:val="left"/>
            </w:pPr>
            <w:r>
              <w:t xml:space="preserve">Larazotida</w:t>
            </w:r>
          </w:p>
        </w:tc>
        <w:tc>
          <w:tcPr/>
          <w:p>
            <w:pPr>
              <w:pStyle w:val="Compact"/>
              <w:jc w:val="left"/>
            </w:pPr>
            <w:r>
              <w:t xml:space="preserve">Apenas a menor de três doses foi melhor que placebo (PMID 25683116); fase 3 interrompida</w:t>
            </w:r>
          </w:p>
        </w:tc>
        <w:tc>
          <w:tcPr/>
          <w:p>
            <w:pPr>
              <w:pStyle w:val="Compact"/>
              <w:jc w:val="left"/>
            </w:pPr>
            <w:r>
              <w:t xml:space="preserve">dieta sem glúten relaxada</w:t>
            </w:r>
          </w:p>
        </w:tc>
      </w:tr>
      <w:tr>
        <w:tc>
          <w:tcPr/>
          <w:p>
            <w:pPr>
              <w:pStyle w:val="Compact"/>
              <w:jc w:val="left"/>
            </w:pPr>
            <w:r>
              <w:t xml:space="preserve">Timalina</w:t>
            </w:r>
          </w:p>
        </w:tc>
        <w:tc>
          <w:tcPr/>
          <w:p>
            <w:pPr>
              <w:pStyle w:val="Compact"/>
              <w:jc w:val="left"/>
            </w:pPr>
            <w:r>
              <w:t xml:space="preserve">Observação russo-ucraniana: menor mortalidade, alocação incerta (PMID 14523363)</w:t>
            </w:r>
          </w:p>
        </w:tc>
        <w:tc>
          <w:tcPr/>
          <w:p>
            <w:pPr>
              <w:pStyle w:val="Compact"/>
              <w:jc w:val="left"/>
            </w:pPr>
            <w:r>
              <w:t xml:space="preserve">extrato animal, riscos de lote</w:t>
            </w:r>
          </w:p>
        </w:tc>
      </w:tr>
    </w:tbl>
    <w:bookmarkEnd w:id="2525"/>
    <w:bookmarkStart w:id="2526" w:name="c.-eixo-do-hormônio-do-crescimento"/>
    <w:p>
      <w:pPr>
        <w:pStyle w:val="Heading3"/>
      </w:pPr>
      <w:r>
        <w:t xml:space="preserve">C. Eixo do hormônio do crescimento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 UE / EUA</w:t>
            </w:r>
          </w:p>
        </w:tc>
        <w:tc>
          <w:tcPr/>
          <w:p>
            <w:pPr>
              <w:pStyle w:val="Compact"/>
              <w:jc w:val="left"/>
            </w:pPr>
            <w:r>
              <w:t xml:space="preserve">Estudos em humanos / registros</w:t>
            </w:r>
          </w:p>
        </w:tc>
      </w:tr>
      <w:tr>
        <w:tc>
          <w:tcPr/>
          <w:p>
            <w:pPr>
              <w:pStyle w:val="Compact"/>
              <w:jc w:val="left"/>
            </w:pPr>
            <w:r>
              <w:t xml:space="preserve">Sermorelina</w:t>
            </w:r>
          </w:p>
        </w:tc>
        <w:tc>
          <w:tcPr/>
          <w:p>
            <w:pPr>
              <w:pStyle w:val="Compact"/>
              <w:jc w:val="left"/>
            </w:pPr>
            <w:r>
              <w:t xml:space="preserve">B</w:t>
            </w:r>
          </w:p>
        </w:tc>
        <w:tc>
          <w:tcPr/>
          <w:p>
            <w:pPr>
              <w:pStyle w:val="Compact"/>
              <w:jc w:val="left"/>
            </w:pPr>
            <w:r>
              <w:t xml:space="preserve">não / antes sim, retirada do mercado</w:t>
            </w:r>
          </w:p>
        </w:tc>
        <w:tc>
          <w:tcPr/>
          <w:p>
            <w:pPr>
              <w:pStyle w:val="Compact"/>
              <w:jc w:val="left"/>
            </w:pPr>
            <w:r>
              <w:t xml:space="preserve">0 / 27 (nota)</w:t>
            </w:r>
          </w:p>
        </w:tc>
      </w:tr>
      <w:tr>
        <w:tc>
          <w:tcPr/>
          <w:p>
            <w:pPr>
              <w:pStyle w:val="Compact"/>
              <w:jc w:val="left"/>
            </w:pPr>
            <w:r>
              <w:t xml:space="preserve">Tesamorelina</w:t>
            </w:r>
          </w:p>
        </w:tc>
        <w:tc>
          <w:tcPr/>
          <w:p>
            <w:pPr>
              <w:pStyle w:val="Compact"/>
              <w:jc w:val="left"/>
            </w:pPr>
            <w:r>
              <w:t xml:space="preserve">A</w:t>
            </w:r>
          </w:p>
        </w:tc>
        <w:tc>
          <w:tcPr/>
          <w:p>
            <w:pPr>
              <w:pStyle w:val="Compact"/>
              <w:jc w:val="left"/>
            </w:pPr>
            <w:r>
              <w:t xml:space="preserve">não / sim (lipodistrofia associada ao HIV)</w:t>
            </w:r>
          </w:p>
        </w:tc>
        <w:tc>
          <w:tcPr/>
          <w:p>
            <w:pPr>
              <w:pStyle w:val="Compact"/>
              <w:jc w:val="left"/>
            </w:pPr>
            <w:r>
              <w:t xml:space="preserve">23 / 23</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não / não</w:t>
            </w:r>
          </w:p>
        </w:tc>
        <w:tc>
          <w:tcPr/>
          <w:p>
            <w:pPr>
              <w:pStyle w:val="Compact"/>
              <w:jc w:val="left"/>
            </w:pPr>
            <w:r>
              <w:t xml:space="preserve">2 / 1</w:t>
            </w:r>
          </w:p>
        </w:tc>
      </w:tr>
      <w:tr>
        <w:tc>
          <w:tcPr/>
          <w:p>
            <w:pPr>
              <w:pStyle w:val="Compact"/>
              <w:jc w:val="left"/>
            </w:pPr>
            <w:r>
              <w:t xml:space="preserve">Ipamorelina</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2 / 3</w:t>
            </w:r>
          </w:p>
        </w:tc>
      </w:tr>
      <w:tr>
        <w:tc>
          <w:tcPr/>
          <w:p>
            <w:pPr>
              <w:pStyle w:val="Compact"/>
              <w:jc w:val="left"/>
            </w:pPr>
            <w:r>
              <w:t xml:space="preserve">GHRP-2</w:t>
            </w:r>
          </w:p>
        </w:tc>
        <w:tc>
          <w:tcPr/>
          <w:p>
            <w:pPr>
              <w:pStyle w:val="Compact"/>
              <w:jc w:val="left"/>
            </w:pPr>
            <w:r>
              <w:t xml:space="preserve">B</w:t>
            </w:r>
          </w:p>
        </w:tc>
        <w:tc>
          <w:tcPr/>
          <w:p>
            <w:pPr>
              <w:pStyle w:val="Compact"/>
              <w:jc w:val="left"/>
            </w:pPr>
            <w:r>
              <w:t xml:space="preserve">não / não (Japão: agente diagnóstico)</w:t>
            </w:r>
          </w:p>
        </w:tc>
        <w:tc>
          <w:tcPr/>
          <w:p>
            <w:pPr>
              <w:pStyle w:val="Compact"/>
              <w:jc w:val="left"/>
            </w:pPr>
            <w:r>
              <w:t xml:space="preserve">55 / 0 (nota)</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não / não</w:t>
            </w:r>
          </w:p>
        </w:tc>
        <w:tc>
          <w:tcPr/>
          <w:p>
            <w:pPr>
              <w:pStyle w:val="Compact"/>
              <w:jc w:val="left"/>
            </w:pPr>
            <w:r>
              <w:t xml:space="preserve">40 / 0 (nota)</w:t>
            </w:r>
          </w:p>
        </w:tc>
      </w:tr>
      <w:tr>
        <w:tc>
          <w:tcPr/>
          <w:p>
            <w:pPr>
              <w:pStyle w:val="Compact"/>
              <w:jc w:val="left"/>
            </w:pPr>
            <w:r>
              <w:t xml:space="preserve">Hexarelina</w:t>
            </w:r>
          </w:p>
        </w:tc>
        <w:tc>
          <w:tcPr/>
          <w:p>
            <w:pPr>
              <w:pStyle w:val="Compact"/>
              <w:jc w:val="left"/>
            </w:pPr>
            <w:r>
              <w:t xml:space="preserve">C</w:t>
            </w:r>
          </w:p>
        </w:tc>
        <w:tc>
          <w:tcPr/>
          <w:p>
            <w:pPr>
              <w:pStyle w:val="Compact"/>
              <w:jc w:val="left"/>
            </w:pPr>
            <w:r>
              <w:t xml:space="preserve">não / não</w:t>
            </w:r>
          </w:p>
        </w:tc>
        <w:tc>
          <w:tcPr/>
          <w:p>
            <w:pPr>
              <w:pStyle w:val="Compact"/>
              <w:jc w:val="left"/>
            </w:pPr>
            <w:r>
              <w:t xml:space="preserve">58 / 0 (nota)</w:t>
            </w:r>
          </w:p>
        </w:tc>
      </w:tr>
      <w:tr>
        <w:tc>
          <w:tcPr/>
          <w:p>
            <w:pPr>
              <w:pStyle w:val="Compact"/>
              <w:jc w:val="left"/>
            </w:pPr>
            <w:r>
              <w:t xml:space="preserve">Macimorelina</w:t>
            </w:r>
          </w:p>
        </w:tc>
        <w:tc>
          <w:tcPr/>
          <w:p>
            <w:pPr>
              <w:pStyle w:val="Compact"/>
              <w:jc w:val="left"/>
            </w:pPr>
            <w:r>
              <w:t xml:space="preserve">A</w:t>
            </w:r>
          </w:p>
        </w:tc>
        <w:tc>
          <w:tcPr/>
          <w:p>
            <w:pPr>
              <w:pStyle w:val="Compact"/>
              <w:jc w:val="left"/>
            </w:pPr>
            <w:r>
              <w:t xml:space="preserve">sim / sim (só agente diagnóstico)</w:t>
            </w:r>
          </w:p>
        </w:tc>
        <w:tc>
          <w:tcPr/>
          <w:p>
            <w:pPr>
              <w:pStyle w:val="Compact"/>
              <w:jc w:val="left"/>
            </w:pPr>
            <w:r>
              <w:t xml:space="preserve">4 / 6</w:t>
            </w:r>
          </w:p>
        </w:tc>
      </w:tr>
      <w:tr>
        <w:tc>
          <w:tcPr/>
          <w:p>
            <w:pPr>
              <w:pStyle w:val="Compact"/>
              <w:jc w:val="left"/>
            </w:pPr>
            <w:r>
              <w:t xml:space="preserve">Mecasermina (IGF-1)</w:t>
            </w:r>
          </w:p>
        </w:tc>
        <w:tc>
          <w:tcPr/>
          <w:p>
            <w:pPr>
              <w:pStyle w:val="Compact"/>
              <w:jc w:val="left"/>
            </w:pPr>
            <w:r>
              <w:t xml:space="preserve">A</w:t>
            </w:r>
          </w:p>
        </w:tc>
        <w:tc>
          <w:tcPr/>
          <w:p>
            <w:pPr>
              <w:pStyle w:val="Compact"/>
              <w:jc w:val="left"/>
            </w:pPr>
            <w:r>
              <w:t xml:space="preserve">sim / sim</w:t>
            </w:r>
          </w:p>
        </w:tc>
        <w:tc>
          <w:tcPr/>
          <w:p>
            <w:pPr>
              <w:pStyle w:val="Compact"/>
              <w:jc w:val="left"/>
            </w:pPr>
            <w:r>
              <w:t xml:space="preserve">21 / 37</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não / não</w:t>
            </w:r>
          </w:p>
        </w:tc>
        <w:tc>
          <w:tcPr/>
          <w:p>
            <w:pPr>
              <w:pStyle w:val="Compact"/>
              <w:jc w:val="left"/>
            </w:pPr>
            <w:r>
              <w:t xml:space="preserve">0 / 0</w:t>
            </w:r>
          </w:p>
        </w:tc>
      </w:tr>
      <w:tr>
        <w:tc>
          <w:tcPr/>
          <w:p>
            <w:pPr>
              <w:pStyle w:val="Compact"/>
              <w:jc w:val="left"/>
            </w:pPr>
            <w:r>
              <w:t xml:space="preserve">Ibutamoreno (não é peptídeo)</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19 / 8</w:t>
            </w:r>
          </w:p>
        </w:tc>
      </w:tr>
    </w:tbl>
    <w:p>
      <w:pPr>
        <w:pStyle w:val="BodyText"/>
      </w:pPr>
      <w:r>
        <w:t xml:space="preserve">Notas sobre a tabela: para a</w:t>
      </w:r>
      <w:r>
        <w:t xml:space="preserve"> </w:t>
      </w:r>
      <w:r>
        <w:rPr>
          <w:bCs/>
          <w:b/>
        </w:rPr>
        <w:t xml:space="preserve">sermorelina</w:t>
      </w:r>
      <w:r>
        <w:t xml:space="preserve">, a busca pelo nome não encontra nenhum estudo em humanos, porque a maioria dos trabalhos foi publicada como</w:t>
      </w:r>
      <w:r>
        <w:t xml:space="preserve"> </w:t>
      </w:r>
      <w:r>
        <w:t xml:space="preserve">“</w:t>
      </w:r>
      <w:r>
        <w:t xml:space="preserve">GHRH(1-29)</w:t>
      </w:r>
      <w:r>
        <w:t xml:space="preserve">”</w:t>
      </w:r>
      <w:r>
        <w:t xml:space="preserve"> </w:t>
      </w:r>
      <w:r>
        <w:t xml:space="preserve">ou</w:t>
      </w:r>
      <w:r>
        <w:t xml:space="preserve"> </w:t>
      </w:r>
      <w:r>
        <w:t xml:space="preserve">“</w:t>
      </w:r>
      <w:r>
        <w:t xml:space="preserve">GRF 1-29</w:t>
      </w:r>
      <w:r>
        <w:t xml:space="preserve">”</w:t>
      </w:r>
      <w:r>
        <w:t xml:space="preserve">; com busca direcionada, são várias dezenas de pequenos estudos, a maioria anterior a 2000. Muitos dos 27 resultados nos registros, por outro lado, referem-se à tesamorelina ou a testes de GHRH em geral. Para</w:t>
      </w:r>
      <w:r>
        <w:t xml:space="preserve"> </w:t>
      </w:r>
      <w:r>
        <w:rPr>
          <w:bCs/>
          <w:b/>
        </w:rPr>
        <w:t xml:space="preserve">GHRP-2, GHRP-6 e hexarelina</w:t>
      </w:r>
      <w:r>
        <w:t xml:space="preserve">, quase todos os trabalhos usam a substância apenas como substância de teste única para pesquisar o controle hormonal; nada dizem sobre um benefício.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Peptídeo</w:t>
            </w:r>
          </w:p>
        </w:tc>
        <w:tc>
          <w:tcPr/>
          <w:p>
            <w:pPr>
              <w:pStyle w:val="Compact"/>
              <w:jc w:val="left"/>
            </w:pPr>
            <w:r>
              <w:t xml:space="preserve">Resultado principal</w:t>
            </w:r>
          </w:p>
        </w:tc>
        <w:tc>
          <w:tcPr/>
          <w:p>
            <w:pPr>
              <w:pStyle w:val="Compact"/>
              <w:jc w:val="left"/>
            </w:pPr>
            <w:r>
              <w:t xml:space="preserve">Principal risco</w:t>
            </w:r>
          </w:p>
        </w:tc>
      </w:tr>
      <w:tr>
        <w:tc>
          <w:tcPr/>
          <w:p>
            <w:pPr>
              <w:pStyle w:val="Compact"/>
              <w:jc w:val="left"/>
            </w:pPr>
            <w:r>
              <w:t xml:space="preserve">Sermorelina</w:t>
            </w:r>
          </w:p>
        </w:tc>
        <w:tc>
          <w:tcPr/>
          <w:p>
            <w:pPr>
              <w:pStyle w:val="Compact"/>
              <w:jc w:val="left"/>
            </w:pPr>
            <w:r>
              <w:t xml:space="preserve">110 crianças com deficiência de GH: crescimento de 4,1 para 7,2 cm/ano (PMID 8772599)</w:t>
            </w:r>
          </w:p>
        </w:tc>
        <w:tc>
          <w:tcPr/>
          <w:p>
            <w:pPr>
              <w:pStyle w:val="Compact"/>
              <w:jc w:val="left"/>
            </w:pPr>
            <w:r>
              <w:t xml:space="preserve">Rubor; consequências de longo prazo em adultos não esclarecidas</w:t>
            </w:r>
          </w:p>
        </w:tc>
      </w:tr>
      <w:tr>
        <w:tc>
          <w:tcPr/>
          <w:p>
            <w:pPr>
              <w:pStyle w:val="Compact"/>
              <w:jc w:val="left"/>
            </w:pPr>
            <w:r>
              <w:t xml:space="preserve">Tesamorelina</w:t>
            </w:r>
          </w:p>
        </w:tc>
        <w:tc>
          <w:tcPr/>
          <w:p>
            <w:pPr>
              <w:pStyle w:val="Compact"/>
              <w:jc w:val="left"/>
            </w:pPr>
            <w:r>
              <w:t xml:space="preserve">Dois estudos de fase 3 com 806 pessoas: gordura abdominal visceral −15,4% em relação ao placebo (PMID 20554713)</w:t>
            </w:r>
          </w:p>
        </w:tc>
        <w:tc>
          <w:tcPr/>
          <w:p>
            <w:pPr>
              <w:pStyle w:val="Compact"/>
              <w:jc w:val="left"/>
            </w:pPr>
            <w:r>
              <w:t xml:space="preserve">Dores articulares, retenção de líquidos, glicemia</w:t>
            </w:r>
          </w:p>
        </w:tc>
      </w:tr>
      <w:tr>
        <w:tc>
          <w:tcPr/>
          <w:p>
            <w:pPr>
              <w:pStyle w:val="Compact"/>
              <w:jc w:val="left"/>
            </w:pPr>
            <w:r>
              <w:t xml:space="preserve">CJC-1295</w:t>
            </w:r>
          </w:p>
        </w:tc>
        <w:tc>
          <w:tcPr/>
          <w:p>
            <w:pPr>
              <w:pStyle w:val="Compact"/>
              <w:jc w:val="left"/>
            </w:pPr>
            <w:r>
              <w:t xml:space="preserve">Injeção única: GH aumentado 2 a 10 vezes, IGF-1 1,5 a 3 vezes (PMID 16352683)</w:t>
            </w:r>
          </w:p>
        </w:tc>
        <w:tc>
          <w:tcPr/>
          <w:p>
            <w:pPr>
              <w:pStyle w:val="Compact"/>
              <w:jc w:val="left"/>
            </w:pPr>
            <w:r>
              <w:t xml:space="preserve">Estimulação contínua não pesquisada, conteúdo incerto</w:t>
            </w:r>
          </w:p>
        </w:tc>
      </w:tr>
      <w:tr>
        <w:tc>
          <w:tcPr/>
          <w:p>
            <w:pPr>
              <w:pStyle w:val="Compact"/>
              <w:jc w:val="left"/>
            </w:pPr>
            <w:r>
              <w:t xml:space="preserve">Ipamorelina</w:t>
            </w:r>
          </w:p>
        </w:tc>
        <w:tc>
          <w:tcPr/>
          <w:p>
            <w:pPr>
              <w:pStyle w:val="Compact"/>
              <w:jc w:val="left"/>
            </w:pPr>
            <w:r>
              <w:t xml:space="preserve">Fase 2 após cirurgia intestinal: nenhum benefício significativo (PMID 25331030)</w:t>
            </w:r>
          </w:p>
        </w:tc>
        <w:tc>
          <w:tcPr/>
          <w:p>
            <w:pPr>
              <w:pStyle w:val="Compact"/>
              <w:jc w:val="left"/>
            </w:pPr>
            <w:r>
              <w:t xml:space="preserve">nenhum dado sobre uso contínuo; moléculas modificadas</w:t>
            </w:r>
          </w:p>
        </w:tc>
      </w:tr>
      <w:tr>
        <w:tc>
          <w:tcPr/>
          <w:p>
            <w:pPr>
              <w:pStyle w:val="Compact"/>
              <w:jc w:val="left"/>
            </w:pPr>
            <w:r>
              <w:t xml:space="preserve">GHRP-2</w:t>
            </w:r>
          </w:p>
        </w:tc>
        <w:tc>
          <w:tcPr/>
          <w:p>
            <w:pPr>
              <w:pStyle w:val="Compact"/>
              <w:jc w:val="left"/>
            </w:pPr>
            <w:r>
              <w:t xml:space="preserve">Como teste, separou de forma confiável deficiência de GH de pessoas saudáveis (PMID 17609397)</w:t>
            </w:r>
          </w:p>
        </w:tc>
        <w:tc>
          <w:tcPr/>
          <w:p>
            <w:pPr>
              <w:pStyle w:val="Compact"/>
              <w:jc w:val="left"/>
            </w:pPr>
            <w:r>
              <w:t xml:space="preserve">Fome intensa, aumento de hormônios do estresse</w:t>
            </w:r>
          </w:p>
        </w:tc>
      </w:tr>
      <w:tr>
        <w:tc>
          <w:tcPr/>
          <w:p>
            <w:pPr>
              <w:pStyle w:val="Compact"/>
              <w:jc w:val="left"/>
            </w:pPr>
            <w:r>
              <w:t xml:space="preserve">GHRP-6</w:t>
            </w:r>
          </w:p>
        </w:tc>
        <w:tc>
          <w:tcPr/>
          <w:p>
            <w:pPr>
              <w:pStyle w:val="Compact"/>
              <w:jc w:val="left"/>
            </w:pPr>
            <w:r>
              <w:t xml:space="preserve">Teste combinado detectou de forma confiável a deficiência de GH (PMID 11030292)</w:t>
            </w:r>
          </w:p>
        </w:tc>
        <w:tc>
          <w:tcPr/>
          <w:p>
            <w:pPr>
              <w:pStyle w:val="Compact"/>
              <w:jc w:val="left"/>
            </w:pPr>
            <w:r>
              <w:t xml:space="preserve">Rubor, aumentos hormonais, fome</w:t>
            </w:r>
          </w:p>
        </w:tc>
      </w:tr>
      <w:tr>
        <w:tc>
          <w:tcPr/>
          <w:p>
            <w:pPr>
              <w:pStyle w:val="Compact"/>
              <w:jc w:val="left"/>
            </w:pPr>
            <w:r>
              <w:t xml:space="preserve">Hexarelina</w:t>
            </w:r>
          </w:p>
        </w:tc>
        <w:tc>
          <w:tcPr/>
          <w:p>
            <w:pPr>
              <w:pStyle w:val="Compact"/>
              <w:jc w:val="left"/>
            </w:pPr>
            <w:r>
              <w:t xml:space="preserve">Perda de efeito ao longo de 16 semanas, composição corporal inalterada (PMID 9589671)</w:t>
            </w:r>
          </w:p>
        </w:tc>
        <w:tc>
          <w:tcPr/>
          <w:p>
            <w:pPr>
              <w:pStyle w:val="Compact"/>
              <w:jc w:val="left"/>
            </w:pPr>
            <w:r>
              <w:t xml:space="preserve">Hormônios do estresse, prolactina, perda de efeito</w:t>
            </w:r>
          </w:p>
        </w:tc>
      </w:tr>
      <w:tr>
        <w:tc>
          <w:tcPr/>
          <w:p>
            <w:pPr>
              <w:pStyle w:val="Compact"/>
              <w:jc w:val="left"/>
            </w:pPr>
            <w:r>
              <w:t xml:space="preserve">Macimorelina</w:t>
            </w:r>
          </w:p>
        </w:tc>
        <w:tc>
          <w:tcPr/>
          <w:p>
            <w:pPr>
              <w:pStyle w:val="Compact"/>
              <w:jc w:val="left"/>
            </w:pPr>
            <w:r>
              <w:t xml:space="preserve">Teste com 87% de sensibilidade e 96% de especificidade em relação ao teste de insulina (PMID 29860473)</w:t>
            </w:r>
          </w:p>
        </w:tc>
        <w:tc>
          <w:tcPr/>
          <w:p>
            <w:pPr>
              <w:pStyle w:val="Compact"/>
              <w:jc w:val="left"/>
            </w:pPr>
            <w:r>
              <w:t xml:space="preserve">Prolongamento do QT em superdosagem</w:t>
            </w:r>
          </w:p>
        </w:tc>
      </w:tr>
      <w:tr>
        <w:tc>
          <w:tcPr/>
          <w:p>
            <w:pPr>
              <w:pStyle w:val="Compact"/>
              <w:jc w:val="left"/>
            </w:pPr>
            <w:r>
              <w:t xml:space="preserve">Mecasermina (IGF-1)</w:t>
            </w:r>
          </w:p>
        </w:tc>
        <w:tc>
          <w:tcPr/>
          <w:p>
            <w:pPr>
              <w:pStyle w:val="Compact"/>
              <w:jc w:val="left"/>
            </w:pPr>
            <w:r>
              <w:t xml:space="preserve">76 crianças com resistência ao GH: crescimento de 2,8 para 8,0 cm/ano (PMID 17192294)</w:t>
            </w:r>
          </w:p>
        </w:tc>
        <w:tc>
          <w:tcPr/>
          <w:p>
            <w:pPr>
              <w:pStyle w:val="Compact"/>
              <w:jc w:val="left"/>
            </w:pPr>
            <w:r>
              <w:t xml:space="preserve">Hipoglicemia; advertência sobre neoplasias</w:t>
            </w:r>
          </w:p>
        </w:tc>
      </w:tr>
      <w:tr>
        <w:tc>
          <w:tcPr/>
          <w:p>
            <w:pPr>
              <w:pStyle w:val="Compact"/>
              <w:jc w:val="left"/>
            </w:pPr>
            <w:r>
              <w:t xml:space="preserve">IGF-1 LR3</w:t>
            </w:r>
          </w:p>
        </w:tc>
        <w:tc>
          <w:tcPr/>
          <w:p>
            <w:pPr>
              <w:pStyle w:val="Compact"/>
              <w:jc w:val="left"/>
            </w:pPr>
            <w:r>
              <w:t xml:space="preserve">Nenhum estudo em humanos; no frasco do mercado negro, uma variante de laboratório (PMID 20675162)</w:t>
            </w:r>
          </w:p>
        </w:tc>
        <w:tc>
          <w:tcPr/>
          <w:p>
            <w:pPr>
              <w:pStyle w:val="Compact"/>
              <w:jc w:val="left"/>
            </w:pPr>
            <w:r>
              <w:t xml:space="preserve">Hipoglicemia, sinais de crescimento (teórico)</w:t>
            </w:r>
          </w:p>
        </w:tc>
      </w:tr>
      <w:tr>
        <w:tc>
          <w:tcPr/>
          <w:p>
            <w:pPr>
              <w:pStyle w:val="Compact"/>
              <w:jc w:val="left"/>
            </w:pPr>
            <w:r>
              <w:t xml:space="preserve">Ibutamoreno</w:t>
            </w:r>
          </w:p>
        </w:tc>
        <w:tc>
          <w:tcPr/>
          <w:p>
            <w:pPr>
              <w:pStyle w:val="Compact"/>
              <w:jc w:val="left"/>
            </w:pPr>
            <w:r>
              <w:t xml:space="preserve">65 idosos: massa magra +1,1 kg, força e função inalteradas (PMID 18981485)</w:t>
            </w:r>
          </w:p>
        </w:tc>
        <w:tc>
          <w:tcPr/>
          <w:p>
            <w:pPr>
              <w:pStyle w:val="Compact"/>
              <w:jc w:val="left"/>
            </w:pPr>
            <w:r>
              <w:t xml:space="preserve">Sinal de insuficiência cardíaca, glicemia mais alta</w:t>
            </w:r>
          </w:p>
        </w:tc>
      </w:tr>
    </w:tbl>
    <w:bookmarkEnd w:id="2526"/>
    <w:bookmarkStart w:id="2527" w:name="d.-cérebro-sono-e-longevidade"/>
    <w:p>
      <w:pPr>
        <w:pStyle w:val="Heading3"/>
      </w:pPr>
      <w:r>
        <w:t xml:space="preserve">D. Cérebro, sono e longevidade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 UE / EUA</w:t>
            </w:r>
          </w:p>
        </w:tc>
        <w:tc>
          <w:tcPr/>
          <w:p>
            <w:pPr>
              <w:pStyle w:val="Compact"/>
              <w:jc w:val="left"/>
            </w:pPr>
            <w:r>
              <w:t xml:space="preserve">Estudos em humanos / registros</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não / não (registrado na Rússia)</w:t>
            </w:r>
          </w:p>
        </w:tc>
        <w:tc>
          <w:tcPr/>
          <w:p>
            <w:pPr>
              <w:pStyle w:val="Compact"/>
              <w:jc w:val="left"/>
            </w:pPr>
            <w:r>
              <w:t xml:space="preserve">4 / 0</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não / não (registrado na Rússia)</w:t>
            </w:r>
          </w:p>
        </w:tc>
        <w:tc>
          <w:tcPr/>
          <w:p>
            <w:pPr>
              <w:pStyle w:val="Compact"/>
              <w:jc w:val="left"/>
            </w:pPr>
            <w:r>
              <w:t xml:space="preserve">3 / 2 (nota)</w:t>
            </w:r>
          </w:p>
        </w:tc>
      </w:tr>
      <w:tr>
        <w:tc>
          <w:tcPr/>
          <w:p>
            <w:pPr>
              <w:pStyle w:val="Compact"/>
              <w:jc w:val="left"/>
            </w:pPr>
            <w:r>
              <w:t xml:space="preserve">Cerebrolisina</w:t>
            </w:r>
          </w:p>
        </w:tc>
        <w:tc>
          <w:tcPr/>
          <w:p>
            <w:pPr>
              <w:pStyle w:val="Compact"/>
              <w:jc w:val="left"/>
            </w:pPr>
            <w:r>
              <w:t xml:space="preserve">B</w:t>
            </w:r>
          </w:p>
        </w:tc>
        <w:tc>
          <w:tcPr/>
          <w:p>
            <w:pPr>
              <w:pStyle w:val="Compact"/>
              <w:jc w:val="left"/>
            </w:pPr>
            <w:r>
              <w:t xml:space="preserve">nacional (Áustria, entre outros) / não</w:t>
            </w:r>
          </w:p>
        </w:tc>
        <w:tc>
          <w:tcPr/>
          <w:p>
            <w:pPr>
              <w:pStyle w:val="Compact"/>
              <w:jc w:val="left"/>
            </w:pPr>
            <w:r>
              <w:t xml:space="preserve">88 / 43</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não / não</w:t>
            </w:r>
          </w:p>
        </w:tc>
        <w:tc>
          <w:tcPr/>
          <w:p>
            <w:pPr>
              <w:pStyle w:val="Compact"/>
              <w:jc w:val="left"/>
            </w:pPr>
            <w:r>
              <w:t xml:space="preserve">0 / 0</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não / não</w:t>
            </w:r>
          </w:p>
        </w:tc>
        <w:tc>
          <w:tcPr/>
          <w:p>
            <w:pPr>
              <w:pStyle w:val="Compact"/>
              <w:jc w:val="left"/>
            </w:pPr>
            <w:r>
              <w:t xml:space="preserve">18 / 1 (nota)</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não / não</w:t>
            </w:r>
          </w:p>
        </w:tc>
        <w:tc>
          <w:tcPr/>
          <w:p>
            <w:pPr>
              <w:pStyle w:val="Compact"/>
              <w:jc w:val="left"/>
            </w:pPr>
            <w:r>
              <w:t xml:space="preserve">1 / 1 (nota)</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não / não</w:t>
            </w:r>
          </w:p>
        </w:tc>
        <w:tc>
          <w:tcPr/>
          <w:p>
            <w:pPr>
              <w:pStyle w:val="Compact"/>
              <w:jc w:val="left"/>
            </w:pPr>
            <w:r>
              <w:t xml:space="preserve">1 / 0</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não / não</w:t>
            </w:r>
          </w:p>
        </w:tc>
        <w:tc>
          <w:tcPr/>
          <w:p>
            <w:pPr>
              <w:pStyle w:val="Compact"/>
              <w:jc w:val="left"/>
            </w:pPr>
            <w:r>
              <w:t xml:space="preserve">5 / 4 (nota)</w:t>
            </w:r>
          </w:p>
        </w:tc>
      </w:tr>
      <w:tr>
        <w:tc>
          <w:tcPr/>
          <w:p>
            <w:pPr>
              <w:pStyle w:val="Compact"/>
              <w:jc w:val="left"/>
            </w:pPr>
            <w:r>
              <w:t xml:space="preserve">Humanina</w:t>
            </w:r>
          </w:p>
        </w:tc>
        <w:tc>
          <w:tcPr/>
          <w:p>
            <w:pPr>
              <w:pStyle w:val="Compact"/>
              <w:jc w:val="left"/>
            </w:pPr>
            <w:r>
              <w:t xml:space="preserve">D</w:t>
            </w:r>
          </w:p>
        </w:tc>
        <w:tc>
          <w:tcPr/>
          <w:p>
            <w:pPr>
              <w:pStyle w:val="Compact"/>
              <w:jc w:val="left"/>
            </w:pPr>
            <w:r>
              <w:t xml:space="preserve">não / não</w:t>
            </w:r>
          </w:p>
        </w:tc>
        <w:tc>
          <w:tcPr/>
          <w:p>
            <w:pPr>
              <w:pStyle w:val="Compact"/>
              <w:jc w:val="left"/>
            </w:pPr>
            <w:r>
              <w:t xml:space="preserve">8 / 3 (nota)</w:t>
            </w:r>
          </w:p>
        </w:tc>
      </w:tr>
      <w:tr>
        <w:tc>
          <w:tcPr/>
          <w:p>
            <w:pPr>
              <w:pStyle w:val="Compact"/>
              <w:jc w:val="left"/>
            </w:pPr>
            <w:r>
              <w:t xml:space="preserve">SS-31 (elamipretida)</w:t>
            </w:r>
          </w:p>
        </w:tc>
        <w:tc>
          <w:tcPr/>
          <w:p>
            <w:pPr>
              <w:pStyle w:val="Compact"/>
              <w:jc w:val="left"/>
            </w:pPr>
            <w:r>
              <w:t xml:space="preserve">B</w:t>
            </w:r>
          </w:p>
        </w:tc>
        <w:tc>
          <w:tcPr/>
          <w:p>
            <w:pPr>
              <w:pStyle w:val="Compact"/>
              <w:jc w:val="left"/>
            </w:pPr>
            <w:r>
              <w:t xml:space="preserve">não / sim, acelerada (só síndrome de Barth)</w:t>
            </w:r>
          </w:p>
        </w:tc>
        <w:tc>
          <w:tcPr/>
          <w:p>
            <w:pPr>
              <w:pStyle w:val="Compact"/>
              <w:jc w:val="left"/>
            </w:pPr>
            <w:r>
              <w:t xml:space="preserve">19 / 21</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não / não</w:t>
            </w:r>
          </w:p>
        </w:tc>
        <w:tc>
          <w:tcPr/>
          <w:p>
            <w:pPr>
              <w:pStyle w:val="Compact"/>
              <w:jc w:val="left"/>
            </w:pPr>
            <w:r>
              <w:t xml:space="preserve">0 / 0</w:t>
            </w:r>
          </w:p>
        </w:tc>
      </w:tr>
      <w:tr>
        <w:tc>
          <w:tcPr/>
          <w:p>
            <w:pPr>
              <w:pStyle w:val="Compact"/>
              <w:jc w:val="left"/>
            </w:pPr>
            <w:r>
              <w:t xml:space="preserve">Glutationa</w:t>
            </w:r>
          </w:p>
        </w:tc>
        <w:tc>
          <w:tcPr/>
          <w:p>
            <w:pPr>
              <w:pStyle w:val="Compact"/>
              <w:jc w:val="left"/>
            </w:pPr>
            <w:r>
              <w:t xml:space="preserve">B</w:t>
            </w:r>
          </w:p>
        </w:tc>
        <w:tc>
          <w:tcPr/>
          <w:p>
            <w:pPr>
              <w:pStyle w:val="Compact"/>
              <w:jc w:val="left"/>
            </w:pPr>
            <w:r>
              <w:t xml:space="preserve">suplemento alimentar / suplemento alimentar</w:t>
            </w:r>
          </w:p>
        </w:tc>
        <w:tc>
          <w:tcPr/>
          <w:p>
            <w:pPr>
              <w:pStyle w:val="Compact"/>
              <w:jc w:val="left"/>
            </w:pPr>
            <w:r>
              <w:t xml:space="preserve">161 / 273 (nota)</w:t>
            </w:r>
          </w:p>
        </w:tc>
      </w:tr>
    </w:tbl>
    <w:p>
      <w:pPr>
        <w:pStyle w:val="BodyText"/>
      </w:pPr>
      <w:r>
        <w:t xml:space="preserve">Notas sobre a tabela: para</w:t>
      </w:r>
      <w:r>
        <w:t xml:space="preserve"> </w:t>
      </w:r>
      <w:r>
        <w:rPr>
          <w:bCs/>
          <w:b/>
        </w:rPr>
        <w:t xml:space="preserve">Selank</w:t>
      </w:r>
      <w:r>
        <w:t xml:space="preserve"> </w:t>
      </w:r>
      <w:r>
        <w:t xml:space="preserve">e</w:t>
      </w:r>
      <w:r>
        <w:t xml:space="preserve"> </w:t>
      </w:r>
      <w:r>
        <w:rPr>
          <w:bCs/>
          <w:b/>
        </w:rPr>
        <w:t xml:space="preserve">DSIP</w:t>
      </w:r>
      <w:r>
        <w:t xml:space="preserve">, os resultados nos registros referem-se a outros procedimentos ou temas; não há estudo registrado com o peptídeo. O único registro sobre o</w:t>
      </w:r>
      <w:r>
        <w:t xml:space="preserve"> </w:t>
      </w:r>
      <w:r>
        <w:rPr>
          <w:bCs/>
          <w:b/>
        </w:rPr>
        <w:t xml:space="preserve">Epitalon</w:t>
      </w:r>
      <w:r>
        <w:t xml:space="preserve"> </w:t>
      </w:r>
      <w:r>
        <w:t xml:space="preserve">é um estudo não controlado com um sérum para a pele, no qual o Epitalon é um de cinco componentes. Para</w:t>
      </w:r>
      <w:r>
        <w:t xml:space="preserve"> </w:t>
      </w:r>
      <w:r>
        <w:rPr>
          <w:bCs/>
          <w:b/>
        </w:rPr>
        <w:t xml:space="preserve">MOTS-c</w:t>
      </w:r>
      <w:r>
        <w:t xml:space="preserve"> </w:t>
      </w:r>
      <w:r>
        <w:t xml:space="preserve">e</w:t>
      </w:r>
      <w:r>
        <w:t xml:space="preserve"> </w:t>
      </w:r>
      <w:r>
        <w:rPr>
          <w:bCs/>
          <w:b/>
        </w:rPr>
        <w:t xml:space="preserve">humanina</w:t>
      </w:r>
      <w:r>
        <w:t xml:space="preserve">, em nenhuma das publicações o peptídeo foi administrado; elas medem níveis endógenos. Para a</w:t>
      </w:r>
      <w:r>
        <w:t xml:space="preserve"> </w:t>
      </w:r>
      <w:r>
        <w:rPr>
          <w:bCs/>
          <w:b/>
        </w:rPr>
        <w:t xml:space="preserve">glutationa</w:t>
      </w:r>
      <w:r>
        <w:t xml:space="preserve">, muitos resultados medem a glutationa apenas como valor laboratorial ou referem-se à enzima glutationa-S-transferase; estudos com administração de glutationa são uma minoria de algumas dezenas.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Peptídeo</w:t>
            </w:r>
          </w:p>
        </w:tc>
        <w:tc>
          <w:tcPr/>
          <w:p>
            <w:pPr>
              <w:pStyle w:val="Compact"/>
              <w:jc w:val="left"/>
            </w:pPr>
            <w:r>
              <w:t xml:space="preserve">Resultado principal</w:t>
            </w:r>
          </w:p>
        </w:tc>
        <w:tc>
          <w:tcPr/>
          <w:p>
            <w:pPr>
              <w:pStyle w:val="Compact"/>
              <w:jc w:val="left"/>
            </w:pPr>
            <w:r>
              <w:t xml:space="preserve">Principal risco</w:t>
            </w:r>
          </w:p>
        </w:tc>
      </w:tr>
      <w:tr>
        <w:tc>
          <w:tcPr/>
          <w:p>
            <w:pPr>
              <w:pStyle w:val="Compact"/>
              <w:jc w:val="left"/>
            </w:pPr>
            <w:r>
              <w:t xml:space="preserve">Semax</w:t>
            </w:r>
          </w:p>
        </w:tc>
        <w:tc>
          <w:tcPr/>
          <w:p>
            <w:pPr>
              <w:pStyle w:val="Compact"/>
              <w:jc w:val="left"/>
            </w:pPr>
            <w:r>
              <w:t xml:space="preserve">Estudo aberto após AVC: BDNF mais alto, melhora mais rápida (PMID 29798983)</w:t>
            </w:r>
          </w:p>
        </w:tc>
        <w:tc>
          <w:tcPr/>
          <w:p>
            <w:pPr>
              <w:pStyle w:val="Compact"/>
              <w:jc w:val="left"/>
            </w:pPr>
            <w:r>
              <w:t xml:space="preserve">nenhum dado sistemático de segurança</w:t>
            </w:r>
          </w:p>
        </w:tc>
      </w:tr>
      <w:tr>
        <w:tc>
          <w:tcPr/>
          <w:p>
            <w:pPr>
              <w:pStyle w:val="Compact"/>
              <w:jc w:val="left"/>
            </w:pPr>
            <w:r>
              <w:t xml:space="preserve">Selank</w:t>
            </w:r>
          </w:p>
        </w:tc>
        <w:tc>
          <w:tcPr/>
          <w:p>
            <w:pPr>
              <w:pStyle w:val="Compact"/>
              <w:jc w:val="left"/>
            </w:pPr>
            <w:r>
              <w:t xml:space="preserve">Efeito ansiolítico semelhante ao medazepam, sem grupo placebo (PMID 18454096)</w:t>
            </w:r>
          </w:p>
        </w:tc>
        <w:tc>
          <w:tcPr/>
          <w:p>
            <w:pPr>
              <w:pStyle w:val="Compact"/>
              <w:jc w:val="left"/>
            </w:pPr>
            <w:r>
              <w:t xml:space="preserve">nenhum dado de longo prazo; mercado cinza</w:t>
            </w:r>
          </w:p>
        </w:tc>
      </w:tr>
      <w:tr>
        <w:tc>
          <w:tcPr/>
          <w:p>
            <w:pPr>
              <w:pStyle w:val="Compact"/>
              <w:jc w:val="left"/>
            </w:pPr>
            <w:r>
              <w:t xml:space="preserve">Cerebrolisina</w:t>
            </w:r>
          </w:p>
        </w:tc>
        <w:tc>
          <w:tcPr/>
          <w:p>
            <w:pPr>
              <w:pStyle w:val="Compact"/>
              <w:jc w:val="left"/>
            </w:pPr>
            <w:r>
              <w:t xml:space="preserve">CASTA, com 1.070 pessoas: desfecho principal não atingido (PMID 22282884)</w:t>
            </w:r>
          </w:p>
        </w:tc>
        <w:tc>
          <w:tcPr/>
          <w:p>
            <w:pPr>
              <w:pStyle w:val="Compact"/>
              <w:jc w:val="left"/>
            </w:pPr>
            <w:r>
              <w:t xml:space="preserve">possível sinal de efeitos colaterais graves (Cochrane)</w:t>
            </w:r>
          </w:p>
        </w:tc>
      </w:tr>
      <w:tr>
        <w:tc>
          <w:tcPr/>
          <w:p>
            <w:pPr>
              <w:pStyle w:val="Compact"/>
              <w:jc w:val="left"/>
            </w:pPr>
            <w:r>
              <w:t xml:space="preserve">Dihexa</w:t>
            </w:r>
          </w:p>
        </w:tc>
        <w:tc>
          <w:tcPr/>
          <w:p>
            <w:pPr>
              <w:pStyle w:val="Compact"/>
              <w:jc w:val="left"/>
            </w:pPr>
            <w:r>
              <w:t xml:space="preserve">Apenas dados em animais; um estudo central em ratos foi retratado em 2025 (PMID 25187433, retratação PMID 40312093)</w:t>
            </w:r>
          </w:p>
        </w:tc>
        <w:tc>
          <w:tcPr/>
          <w:p>
            <w:pPr>
              <w:pStyle w:val="Compact"/>
              <w:jc w:val="left"/>
            </w:pPr>
            <w:r>
              <w:t xml:space="preserve">nenhum dado em humanos; risco teórico de câncer</w:t>
            </w:r>
          </w:p>
        </w:tc>
      </w:tr>
      <w:tr>
        <w:tc>
          <w:tcPr/>
          <w:p>
            <w:pPr>
              <w:pStyle w:val="Compact"/>
              <w:jc w:val="left"/>
            </w:pPr>
            <w:r>
              <w:t xml:space="preserve">DSIP</w:t>
            </w:r>
          </w:p>
        </w:tc>
        <w:tc>
          <w:tcPr/>
          <w:p>
            <w:pPr>
              <w:pStyle w:val="Compact"/>
              <w:jc w:val="left"/>
            </w:pPr>
            <w:r>
              <w:t xml:space="preserve">16 pessoas com insônia: apenas efeitos fracos (PMID 1299794)</w:t>
            </w:r>
          </w:p>
        </w:tc>
        <w:tc>
          <w:tcPr/>
          <w:p>
            <w:pPr>
              <w:pStyle w:val="Compact"/>
              <w:jc w:val="left"/>
            </w:pPr>
            <w:r>
              <w:t xml:space="preserve">nenhum dado sistemático de segurança</w:t>
            </w:r>
          </w:p>
        </w:tc>
      </w:tr>
      <w:tr>
        <w:tc>
          <w:tcPr/>
          <w:p>
            <w:pPr>
              <w:pStyle w:val="Compact"/>
              <w:jc w:val="left"/>
            </w:pPr>
            <w:r>
              <w:t xml:space="preserve">Epitalon</w:t>
            </w:r>
          </w:p>
        </w:tc>
        <w:tc>
          <w:tcPr/>
          <w:p>
            <w:pPr>
              <w:pStyle w:val="Compact"/>
              <w:jc w:val="left"/>
            </w:pPr>
            <w:r>
              <w:t xml:space="preserve">Em camundongos, nenhuma vida média mais longa (PMID 14501183)</w:t>
            </w:r>
          </w:p>
        </w:tc>
        <w:tc>
          <w:tcPr/>
          <w:p>
            <w:pPr>
              <w:pStyle w:val="Compact"/>
              <w:jc w:val="left"/>
            </w:pPr>
            <w:r>
              <w:t xml:space="preserve">nenhum dado em humanos; questão da telomerase</w:t>
            </w:r>
          </w:p>
        </w:tc>
      </w:tr>
      <w:tr>
        <w:tc>
          <w:tcPr/>
          <w:p>
            <w:pPr>
              <w:pStyle w:val="Compact"/>
              <w:jc w:val="left"/>
            </w:pPr>
            <w:r>
              <w:t xml:space="preserve">Pinealon</w:t>
            </w:r>
          </w:p>
        </w:tc>
        <w:tc>
          <w:tcPr/>
          <w:p>
            <w:pPr>
              <w:pStyle w:val="Compact"/>
              <w:jc w:val="left"/>
            </w:pPr>
            <w:r>
              <w:t xml:space="preserve">32 idosos, não controlado; também inibição da hematopoese (PMID 26390612)</w:t>
            </w:r>
          </w:p>
        </w:tc>
        <w:tc>
          <w:tcPr/>
          <w:p>
            <w:pPr>
              <w:pStyle w:val="Compact"/>
              <w:jc w:val="left"/>
            </w:pPr>
            <w:r>
              <w:t xml:space="preserve">nenhum dado sistemático de segurança</w:t>
            </w:r>
          </w:p>
        </w:tc>
      </w:tr>
      <w:tr>
        <w:tc>
          <w:tcPr/>
          <w:p>
            <w:pPr>
              <w:pStyle w:val="Compact"/>
              <w:jc w:val="left"/>
            </w:pPr>
            <w:r>
              <w:t xml:space="preserve">MOTS-c</w:t>
            </w:r>
          </w:p>
        </w:tc>
        <w:tc>
          <w:tcPr/>
          <w:p>
            <w:pPr>
              <w:pStyle w:val="Compact"/>
              <w:jc w:val="left"/>
            </w:pPr>
            <w:r>
              <w:t xml:space="preserve">Apenas dados em animais sobre a administração: em camundongos, menos sobrepeso (PMID 25738459)</w:t>
            </w:r>
          </w:p>
        </w:tc>
        <w:tc>
          <w:tcPr/>
          <w:p>
            <w:pPr>
              <w:pStyle w:val="Compact"/>
              <w:jc w:val="left"/>
            </w:pPr>
            <w:r>
              <w:t xml:space="preserve">nenhum dado sobre administração em humanos</w:t>
            </w:r>
          </w:p>
        </w:tc>
      </w:tr>
      <w:tr>
        <w:tc>
          <w:tcPr/>
          <w:p>
            <w:pPr>
              <w:pStyle w:val="Compact"/>
              <w:jc w:val="left"/>
            </w:pPr>
            <w:r>
              <w:t xml:space="preserve">Humanina</w:t>
            </w:r>
          </w:p>
        </w:tc>
        <w:tc>
          <w:tcPr/>
          <w:p>
            <w:pPr>
              <w:pStyle w:val="Compact"/>
              <w:jc w:val="left"/>
            </w:pPr>
            <w:r>
              <w:t xml:space="preserve">Apenas medições de níveis em humanos (PMID 32575074)</w:t>
            </w:r>
          </w:p>
        </w:tc>
        <w:tc>
          <w:tcPr/>
          <w:p>
            <w:pPr>
              <w:pStyle w:val="Compact"/>
              <w:jc w:val="left"/>
            </w:pPr>
            <w:r>
              <w:t xml:space="preserve">em camundongos, maior crescimento de câncer de mama (PMID 32444831)</w:t>
            </w:r>
          </w:p>
        </w:tc>
      </w:tr>
      <w:tr>
        <w:tc>
          <w:tcPr/>
          <w:p>
            <w:pPr>
              <w:pStyle w:val="Compact"/>
              <w:jc w:val="left"/>
            </w:pPr>
            <w:r>
              <w:t xml:space="preserve">SS-31 (elamipretida)</w:t>
            </w:r>
          </w:p>
        </w:tc>
        <w:tc>
          <w:tcPr/>
          <w:p>
            <w:pPr>
              <w:pStyle w:val="Compact"/>
              <w:jc w:val="left"/>
            </w:pPr>
            <w:r>
              <w:t xml:space="preserve">MMPOWER-3, com 218 pessoas: nenhum benefício na miopatia (PMID 37268435)</w:t>
            </w:r>
          </w:p>
        </w:tc>
        <w:tc>
          <w:tcPr/>
          <w:p>
            <w:pPr>
              <w:pStyle w:val="Compact"/>
              <w:jc w:val="left"/>
            </w:pPr>
            <w:r>
              <w:t xml:space="preserve">Locais de injeção; produto do mercado cinza não idêntico</w:t>
            </w:r>
          </w:p>
        </w:tc>
      </w:tr>
      <w:tr>
        <w:tc>
          <w:tcPr/>
          <w:p>
            <w:pPr>
              <w:pStyle w:val="Compact"/>
              <w:jc w:val="left"/>
            </w:pPr>
            <w:r>
              <w:t xml:space="preserve">FOXO4-DRI</w:t>
            </w:r>
          </w:p>
        </w:tc>
        <w:tc>
          <w:tcPr/>
          <w:p>
            <w:pPr>
              <w:pStyle w:val="Compact"/>
              <w:jc w:val="left"/>
            </w:pPr>
            <w:r>
              <w:t xml:space="preserve">Apenas dados em animais: melhor condição física em camundongos envelhecidos (PMID 28340339)</w:t>
            </w:r>
          </w:p>
        </w:tc>
        <w:tc>
          <w:tcPr/>
          <w:p>
            <w:pPr>
              <w:pStyle w:val="Compact"/>
              <w:jc w:val="left"/>
            </w:pPr>
            <w:r>
              <w:t xml:space="preserve">nenhum dado em humanos; interferência no p53</w:t>
            </w:r>
          </w:p>
        </w:tc>
      </w:tr>
      <w:tr>
        <w:tc>
          <w:tcPr/>
          <w:p>
            <w:pPr>
              <w:pStyle w:val="Compact"/>
              <w:jc w:val="left"/>
            </w:pPr>
            <w:r>
              <w:t xml:space="preserve">Glutationa</w:t>
            </w:r>
          </w:p>
        </w:tc>
        <w:tc>
          <w:tcPr/>
          <w:p>
            <w:pPr>
              <w:pStyle w:val="Compact"/>
              <w:jc w:val="left"/>
            </w:pPr>
            <w:r>
              <w:t xml:space="preserve">Fase 3 com 185 pessoas: nenhuma proteção contra lesões nervosas por quimioterapia (PMID 24619793)</w:t>
            </w:r>
          </w:p>
        </w:tc>
        <w:tc>
          <w:tcPr/>
          <w:p>
            <w:pPr>
              <w:pStyle w:val="Compact"/>
              <w:jc w:val="left"/>
            </w:pPr>
            <w:r>
              <w:t xml:space="preserve">Infusões para clareamento da pele: alertas das autoridades</w:t>
            </w:r>
          </w:p>
        </w:tc>
      </w:tr>
    </w:tbl>
    <w:bookmarkEnd w:id="2527"/>
    <w:bookmarkStart w:id="2528" w:name="e.-hormônios-sexualidade-e-pigmentação"/>
    <w:p>
      <w:pPr>
        <w:pStyle w:val="Heading3"/>
      </w:pPr>
      <w:r>
        <w:t xml:space="preserve">E. Hormônios, sexualidade e pigmentação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 UE / EUA</w:t>
            </w:r>
          </w:p>
        </w:tc>
        <w:tc>
          <w:tcPr/>
          <w:p>
            <w:pPr>
              <w:pStyle w:val="Compact"/>
              <w:jc w:val="left"/>
            </w:pPr>
            <w:r>
              <w:t xml:space="preserve">Estudos em humanos / registros</w:t>
            </w:r>
          </w:p>
        </w:tc>
      </w:tr>
      <w:tr>
        <w:tc>
          <w:tcPr/>
          <w:p>
            <w:pPr>
              <w:pStyle w:val="Compact"/>
              <w:jc w:val="left"/>
            </w:pPr>
            <w:r>
              <w:t xml:space="preserve">Bremelanotida (PT-141)</w:t>
            </w:r>
          </w:p>
        </w:tc>
        <w:tc>
          <w:tcPr/>
          <w:p>
            <w:pPr>
              <w:pStyle w:val="Compact"/>
              <w:jc w:val="left"/>
            </w:pPr>
            <w:r>
              <w:t xml:space="preserve">A</w:t>
            </w:r>
          </w:p>
        </w:tc>
        <w:tc>
          <w:tcPr/>
          <w:p>
            <w:pPr>
              <w:pStyle w:val="Compact"/>
              <w:jc w:val="left"/>
            </w:pPr>
            <w:r>
              <w:t xml:space="preserve">não / sim (Vyleesi)</w:t>
            </w:r>
          </w:p>
        </w:tc>
        <w:tc>
          <w:tcPr/>
          <w:p>
            <w:pPr>
              <w:pStyle w:val="Compact"/>
              <w:jc w:val="left"/>
            </w:pPr>
            <w:r>
              <w:t xml:space="preserve">16 / 10</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não / não</w:t>
            </w:r>
          </w:p>
        </w:tc>
        <w:tc>
          <w:tcPr/>
          <w:p>
            <w:pPr>
              <w:pStyle w:val="Compact"/>
              <w:jc w:val="left"/>
            </w:pPr>
            <w:r>
              <w:t xml:space="preserve">8 / 0 (nota)</w:t>
            </w:r>
          </w:p>
        </w:tc>
      </w:tr>
      <w:tr>
        <w:tc>
          <w:tcPr/>
          <w:p>
            <w:pPr>
              <w:pStyle w:val="Compact"/>
              <w:jc w:val="left"/>
            </w:pPr>
            <w:r>
              <w:t xml:space="preserve">Afamelanotida</w:t>
            </w:r>
          </w:p>
        </w:tc>
        <w:tc>
          <w:tcPr/>
          <w:p>
            <w:pPr>
              <w:pStyle w:val="Compact"/>
              <w:jc w:val="left"/>
            </w:pPr>
            <w:r>
              <w:t xml:space="preserve">A</w:t>
            </w:r>
          </w:p>
        </w:tc>
        <w:tc>
          <w:tcPr/>
          <w:p>
            <w:pPr>
              <w:pStyle w:val="Compact"/>
              <w:jc w:val="left"/>
            </w:pPr>
            <w:r>
              <w:t xml:space="preserve">sim / sim (Scenesse, só EPP)</w:t>
            </w:r>
          </w:p>
        </w:tc>
        <w:tc>
          <w:tcPr/>
          <w:p>
            <w:pPr>
              <w:pStyle w:val="Compact"/>
              <w:jc w:val="left"/>
            </w:pPr>
            <w:r>
              <w:t xml:space="preserve">10 / 23 (nota)</w:t>
            </w:r>
          </w:p>
        </w:tc>
      </w:tr>
      <w:tr>
        <w:tc>
          <w:tcPr/>
          <w:p>
            <w:pPr>
              <w:pStyle w:val="Compact"/>
              <w:jc w:val="left"/>
            </w:pPr>
            <w:r>
              <w:t xml:space="preserve">Kisspeptina</w:t>
            </w:r>
          </w:p>
        </w:tc>
        <w:tc>
          <w:tcPr/>
          <w:p>
            <w:pPr>
              <w:pStyle w:val="Compact"/>
              <w:jc w:val="left"/>
            </w:pPr>
            <w:r>
              <w:t xml:space="preserve">B</w:t>
            </w:r>
          </w:p>
        </w:tc>
        <w:tc>
          <w:tcPr/>
          <w:p>
            <w:pPr>
              <w:pStyle w:val="Compact"/>
              <w:jc w:val="left"/>
            </w:pPr>
            <w:r>
              <w:t xml:space="preserve">não / não</w:t>
            </w:r>
          </w:p>
        </w:tc>
        <w:tc>
          <w:tcPr/>
          <w:p>
            <w:pPr>
              <w:pStyle w:val="Compact"/>
              <w:jc w:val="left"/>
            </w:pPr>
            <w:r>
              <w:t xml:space="preserve">37 / 36</w:t>
            </w:r>
          </w:p>
        </w:tc>
      </w:tr>
      <w:tr>
        <w:tc>
          <w:tcPr/>
          <w:p>
            <w:pPr>
              <w:pStyle w:val="Compact"/>
              <w:jc w:val="left"/>
            </w:pPr>
            <w:r>
              <w:t xml:space="preserve">Ocitocina (spray nasal)</w:t>
            </w:r>
          </w:p>
        </w:tc>
        <w:tc>
          <w:tcPr/>
          <w:p>
            <w:pPr>
              <w:pStyle w:val="Compact"/>
              <w:jc w:val="left"/>
            </w:pPr>
            <w:r>
              <w:t xml:space="preserve">B</w:t>
            </w:r>
          </w:p>
        </w:tc>
        <w:tc>
          <w:tcPr/>
          <w:p>
            <w:pPr>
              <w:pStyle w:val="Compact"/>
              <w:jc w:val="left"/>
            </w:pPr>
            <w:r>
              <w:t xml:space="preserve">só obstetrícia / só obstetrícia</w:t>
            </w:r>
          </w:p>
        </w:tc>
        <w:tc>
          <w:tcPr/>
          <w:p>
            <w:pPr>
              <w:pStyle w:val="Compact"/>
              <w:jc w:val="left"/>
            </w:pPr>
            <w:r>
              <w:t xml:space="preserve">349 / 263</w:t>
            </w:r>
          </w:p>
        </w:tc>
      </w:tr>
      <w:tr>
        <w:tc>
          <w:tcPr/>
          <w:p>
            <w:pPr>
              <w:pStyle w:val="Compact"/>
              <w:jc w:val="left"/>
            </w:pPr>
            <w:r>
              <w:t xml:space="preserve">Gonadorelina</w:t>
            </w:r>
          </w:p>
        </w:tc>
        <w:tc>
          <w:tcPr/>
          <w:p>
            <w:pPr>
              <w:pStyle w:val="Compact"/>
              <w:jc w:val="left"/>
            </w:pPr>
            <w:r>
              <w:t xml:space="preserve">B</w:t>
            </w:r>
          </w:p>
        </w:tc>
        <w:tc>
          <w:tcPr/>
          <w:p>
            <w:pPr>
              <w:pStyle w:val="Compact"/>
              <w:jc w:val="left"/>
            </w:pPr>
            <w:r>
              <w:t xml:space="preserve">nacional em alguns Estados / não</w:t>
            </w:r>
          </w:p>
        </w:tc>
        <w:tc>
          <w:tcPr/>
          <w:p>
            <w:pPr>
              <w:pStyle w:val="Compact"/>
              <w:jc w:val="left"/>
            </w:pPr>
            <w:r>
              <w:t xml:space="preserve">9 / 1.000 (nota)</w:t>
            </w:r>
          </w:p>
        </w:tc>
      </w:tr>
    </w:tbl>
    <w:p>
      <w:pPr>
        <w:pStyle w:val="BodyText"/>
      </w:pPr>
      <w:r>
        <w:t xml:space="preserve">Notas sobre a tabela: para o</w:t>
      </w:r>
      <w:r>
        <w:t xml:space="preserve"> </w:t>
      </w:r>
      <w:r>
        <w:rPr>
          <w:bCs/>
          <w:b/>
        </w:rPr>
        <w:t xml:space="preserve">melanotan II</w:t>
      </w:r>
      <w:r>
        <w:t xml:space="preserve">, quatro dos oito resultados do PubMed referem-se ao melanotan I (a futura afamelanotida); o único registro revelou-se não confiável. Para a</w:t>
      </w:r>
      <w:r>
        <w:t xml:space="preserve"> </w:t>
      </w:r>
      <w:r>
        <w:rPr>
          <w:bCs/>
          <w:b/>
        </w:rPr>
        <w:t xml:space="preserve">afamelanotida</w:t>
      </w:r>
      <w:r>
        <w:t xml:space="preserve">, faltam na contagem estudos mais antigos com os nomes melanotan I ou NDP-MSH. Para a</w:t>
      </w:r>
      <w:r>
        <w:t xml:space="preserve"> </w:t>
      </w:r>
      <w:r>
        <w:rPr>
          <w:bCs/>
          <w:b/>
        </w:rPr>
        <w:t xml:space="preserve">ocitocina</w:t>
      </w:r>
      <w:r>
        <w:t xml:space="preserve">, apenas o uso como infusão ou injeção na obstetrícia está aprovado, não o spray nasal. Os números da</w:t>
      </w:r>
      <w:r>
        <w:t xml:space="preserve"> </w:t>
      </w:r>
      <w:r>
        <w:rPr>
          <w:bCs/>
          <w:b/>
        </w:rPr>
        <w:t xml:space="preserve">gonadorelina</w:t>
      </w:r>
      <w:r>
        <w:t xml:space="preserve"> </w:t>
      </w:r>
      <w:r>
        <w:t xml:space="preserve">são inúteis: a busca nos registros atingiu seu limite máximo de 1.000 resultados, porque o registro inclui o termo genérico</w:t>
      </w:r>
      <w:r>
        <w:t xml:space="preserve"> </w:t>
      </w:r>
      <w:r>
        <w:t xml:space="preserve">“</w:t>
      </w:r>
      <w:r>
        <w:t xml:space="preserve">Gonadotropin-Releasing Hormone</w:t>
      </w:r>
      <w:r>
        <w:t xml:space="preserve">”</w:t>
      </w:r>
      <w:r>
        <w:t xml:space="preserve">; quase todos os resultados referem-se a análogos de GnRH, por exemplo no câncer de próstata, e apenas cerca de dez ao hormônio idêntico ao endógeno. O número do PubMed é baixo demais, porque a maioria dos estudos escreve</w:t>
      </w:r>
      <w:r>
        <w:t xml:space="preserve"> </w:t>
      </w:r>
      <w:r>
        <w:t xml:space="preserve">“</w:t>
      </w:r>
      <w:r>
        <w:t xml:space="preserve">GnRH</w:t>
      </w:r>
      <w:r>
        <w:t xml:space="preserve">”</w:t>
      </w:r>
      <w:r>
        <w:t xml:space="preserve"> </w:t>
      </w:r>
      <w:r>
        <w:t xml:space="preserve">ou</w:t>
      </w:r>
      <w:r>
        <w:t xml:space="preserve"> </w:t>
      </w:r>
      <w:r>
        <w:t xml:space="preserve">“</w:t>
      </w:r>
      <w:r>
        <w:t xml:space="preserve">LHRH</w:t>
      </w:r>
      <w:r>
        <w:t xml:space="preser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Peptídeo</w:t>
            </w:r>
          </w:p>
        </w:tc>
        <w:tc>
          <w:tcPr/>
          <w:p>
            <w:pPr>
              <w:pStyle w:val="Compact"/>
              <w:jc w:val="left"/>
            </w:pPr>
            <w:r>
              <w:t xml:space="preserve">Resultado principal</w:t>
            </w:r>
          </w:p>
        </w:tc>
        <w:tc>
          <w:tcPr/>
          <w:p>
            <w:pPr>
              <w:pStyle w:val="Compact"/>
              <w:jc w:val="left"/>
            </w:pPr>
            <w:r>
              <w:t xml:space="preserve">Principal risco</w:t>
            </w:r>
          </w:p>
        </w:tc>
      </w:tr>
      <w:tr>
        <w:tc>
          <w:tcPr/>
          <w:p>
            <w:pPr>
              <w:pStyle w:val="Compact"/>
              <w:jc w:val="left"/>
            </w:pPr>
            <w:r>
              <w:t xml:space="preserve">Bremelanotida (PT-141)</w:t>
            </w:r>
          </w:p>
        </w:tc>
        <w:tc>
          <w:tcPr/>
          <w:p>
            <w:pPr>
              <w:pStyle w:val="Compact"/>
              <w:jc w:val="left"/>
            </w:pPr>
            <w:r>
              <w:t xml:space="preserve">RECONNECT, 1.267 mulheres: apenas pequena vantagem em relação ao placebo (PMID 31599840)</w:t>
            </w:r>
          </w:p>
        </w:tc>
        <w:tc>
          <w:tcPr/>
          <w:p>
            <w:pPr>
              <w:pStyle w:val="Compact"/>
              <w:jc w:val="left"/>
            </w:pPr>
            <w:r>
              <w:t xml:space="preserve">Náusea em cerca de 40%, aumento breve da pressão arterial</w:t>
            </w:r>
          </w:p>
        </w:tc>
      </w:tr>
      <w:tr>
        <w:tc>
          <w:tcPr/>
          <w:p>
            <w:pPr>
              <w:pStyle w:val="Compact"/>
              <w:jc w:val="left"/>
            </w:pPr>
            <w:r>
              <w:t xml:space="preserve">Melanotan II</w:t>
            </w:r>
          </w:p>
        </w:tc>
        <w:tc>
          <w:tcPr/>
          <w:p>
            <w:pPr>
              <w:pStyle w:val="Compact"/>
              <w:jc w:val="left"/>
            </w:pPr>
            <w:r>
              <w:t xml:space="preserve">Pequenos estudos cruzados: ereções em 17 de 20 homens, náusea frequente (PMID 11035391)</w:t>
            </w:r>
          </w:p>
        </w:tc>
        <w:tc>
          <w:tcPr/>
          <w:p>
            <w:pPr>
              <w:pStyle w:val="Compact"/>
              <w:jc w:val="left"/>
            </w:pPr>
            <w:r>
              <w:t xml:space="preserve">Alterações de pintas, relatos de caso de melanoma, priapismo</w:t>
            </w:r>
          </w:p>
        </w:tc>
      </w:tr>
      <w:tr>
        <w:tc>
          <w:tcPr/>
          <w:p>
            <w:pPr>
              <w:pStyle w:val="Compact"/>
              <w:jc w:val="left"/>
            </w:pPr>
            <w:r>
              <w:t xml:space="preserve">Afamelanotida</w:t>
            </w:r>
          </w:p>
        </w:tc>
        <w:tc>
          <w:tcPr/>
          <w:p>
            <w:pPr>
              <w:pStyle w:val="Compact"/>
              <w:jc w:val="left"/>
            </w:pPr>
            <w:r>
              <w:t xml:space="preserve">Dois ECRs: tempo sem dor sob a luz do sol mais longo na EPP (PMID 26132941)</w:t>
            </w:r>
          </w:p>
        </w:tc>
        <w:tc>
          <w:tcPr/>
          <w:p>
            <w:pPr>
              <w:pStyle w:val="Compact"/>
              <w:jc w:val="left"/>
            </w:pPr>
            <w:r>
              <w:t xml:space="preserve">Náusea, dor de cabeça; controles da pele necessários</w:t>
            </w:r>
          </w:p>
        </w:tc>
      </w:tr>
      <w:tr>
        <w:tc>
          <w:tcPr/>
          <w:p>
            <w:pPr>
              <w:pStyle w:val="Compact"/>
              <w:jc w:val="left"/>
            </w:pPr>
            <w:r>
              <w:t xml:space="preserve">Kisspeptina</w:t>
            </w:r>
          </w:p>
        </w:tc>
        <w:tc>
          <w:tcPr/>
          <w:p>
            <w:pPr>
              <w:pStyle w:val="Compact"/>
              <w:jc w:val="left"/>
            </w:pPr>
            <w:r>
              <w:t xml:space="preserve">60 mulheres com risco de SHO: maturação dos óvulos em 95%, nenhuma SHO grave (PMID 26192876)</w:t>
            </w:r>
          </w:p>
        </w:tc>
        <w:tc>
          <w:tcPr/>
          <w:p>
            <w:pPr>
              <w:pStyle w:val="Compact"/>
              <w:jc w:val="left"/>
            </w:pPr>
            <w:r>
              <w:t xml:space="preserve">Habituação até a supressão do eixo hormonal</w:t>
            </w:r>
          </w:p>
        </w:tc>
      </w:tr>
      <w:tr>
        <w:tc>
          <w:tcPr/>
          <w:p>
            <w:pPr>
              <w:pStyle w:val="Compact"/>
              <w:jc w:val="left"/>
            </w:pPr>
            <w:r>
              <w:t xml:space="preserve">Ocitocina (spray nasal)</w:t>
            </w:r>
          </w:p>
        </w:tc>
        <w:tc>
          <w:tcPr/>
          <w:p>
            <w:pPr>
              <w:pStyle w:val="Compact"/>
              <w:jc w:val="left"/>
            </w:pPr>
            <w:r>
              <w:t xml:space="preserve">SOARS-B, 290 crianças com autismo: nenhuma diferença em relação ao placebo (PMID 34644471)</w:t>
            </w:r>
          </w:p>
        </w:tc>
        <w:tc>
          <w:tcPr/>
          <w:p>
            <w:pPr>
              <w:pStyle w:val="Compact"/>
              <w:jc w:val="left"/>
            </w:pPr>
            <w:r>
              <w:t xml:space="preserve">Retenção de água em doses altas, indução de contrações</w:t>
            </w:r>
          </w:p>
        </w:tc>
      </w:tr>
      <w:tr>
        <w:tc>
          <w:tcPr/>
          <w:p>
            <w:pPr>
              <w:pStyle w:val="Compact"/>
              <w:jc w:val="left"/>
            </w:pPr>
            <w:r>
              <w:t xml:space="preserve">Gonadorelina</w:t>
            </w:r>
          </w:p>
        </w:tc>
        <w:tc>
          <w:tcPr/>
          <w:p>
            <w:pPr>
              <w:pStyle w:val="Compact"/>
              <w:jc w:val="left"/>
            </w:pPr>
            <w:r>
              <w:t xml:space="preserve">Administração pulsátil: ovulação em 91% e 96% de 109 mulheres (PMID 2122733)</w:t>
            </w:r>
          </w:p>
        </w:tc>
        <w:tc>
          <w:tcPr/>
          <w:p>
            <w:pPr>
              <w:pStyle w:val="Compact"/>
              <w:jc w:val="left"/>
            </w:pPr>
            <w:r>
              <w:t xml:space="preserve">com ritmo errado, supressão do eixo hormonal</w:t>
            </w:r>
          </w:p>
        </w:tc>
      </w:tr>
    </w:tbl>
    <w:bookmarkEnd w:id="2528"/>
    <w:bookmarkStart w:id="2529" w:name="f.-colágeno-nutrição-e-cosmética"/>
    <w:p>
      <w:pPr>
        <w:pStyle w:val="Heading3"/>
      </w:pPr>
      <w:r>
        <w:t xml:space="preserve">F. Colágeno, nutrição e cosmética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Evidência</w:t>
            </w:r>
          </w:p>
        </w:tc>
        <w:tc>
          <w:tcPr/>
          <w:p>
            <w:pPr>
              <w:pStyle w:val="Compact"/>
              <w:jc w:val="left"/>
            </w:pPr>
            <w:r>
              <w:t xml:space="preserve">Aprovação UE / EUA</w:t>
            </w:r>
          </w:p>
        </w:tc>
        <w:tc>
          <w:tcPr/>
          <w:p>
            <w:pPr>
              <w:pStyle w:val="Compact"/>
              <w:jc w:val="left"/>
            </w:pPr>
            <w:r>
              <w:t xml:space="preserve">Estudos em humanos / registros</w:t>
            </w:r>
          </w:p>
        </w:tc>
      </w:tr>
      <w:tr>
        <w:tc>
          <w:tcPr/>
          <w:p>
            <w:pPr>
              <w:pStyle w:val="Compact"/>
              <w:jc w:val="left"/>
            </w:pPr>
            <w:r>
              <w:t xml:space="preserve">Peptídeos de colágeno</w:t>
            </w:r>
          </w:p>
        </w:tc>
        <w:tc>
          <w:tcPr/>
          <w:p>
            <w:pPr>
              <w:pStyle w:val="Compact"/>
              <w:jc w:val="left"/>
            </w:pPr>
            <w:r>
              <w:t xml:space="preserve">B</w:t>
            </w:r>
          </w:p>
        </w:tc>
        <w:tc>
          <w:tcPr/>
          <w:p>
            <w:pPr>
              <w:pStyle w:val="Compact"/>
              <w:jc w:val="left"/>
            </w:pPr>
            <w:r>
              <w:t xml:space="preserve">alimento / suplemento alimentar</w:t>
            </w:r>
          </w:p>
        </w:tc>
        <w:tc>
          <w:tcPr/>
          <w:p>
            <w:pPr>
              <w:pStyle w:val="Compact"/>
              <w:jc w:val="left"/>
            </w:pPr>
            <w:r>
              <w:t xml:space="preserve">101 / 237 (nota)</w:t>
            </w:r>
          </w:p>
        </w:tc>
      </w:tr>
      <w:tr>
        <w:tc>
          <w:tcPr/>
          <w:p>
            <w:pPr>
              <w:pStyle w:val="Compact"/>
              <w:jc w:val="left"/>
            </w:pPr>
            <w:r>
              <w:t xml:space="preserve">Lactotripeptídeos</w:t>
            </w:r>
          </w:p>
        </w:tc>
        <w:tc>
          <w:tcPr/>
          <w:p>
            <w:pPr>
              <w:pStyle w:val="Compact"/>
              <w:jc w:val="left"/>
            </w:pPr>
            <w:r>
              <w:t xml:space="preserve">B</w:t>
            </w:r>
          </w:p>
        </w:tc>
        <w:tc>
          <w:tcPr/>
          <w:p>
            <w:pPr>
              <w:pStyle w:val="Compact"/>
              <w:jc w:val="left"/>
            </w:pPr>
            <w:r>
              <w:t xml:space="preserve">alimento / suplemento alimentar</w:t>
            </w:r>
          </w:p>
        </w:tc>
        <w:tc>
          <w:tcPr/>
          <w:p>
            <w:pPr>
              <w:pStyle w:val="Compact"/>
              <w:jc w:val="left"/>
            </w:pPr>
            <w:r>
              <w:t xml:space="preserve">21 / 0</w:t>
            </w:r>
          </w:p>
        </w:tc>
      </w:tr>
      <w:tr>
        <w:tc>
          <w:tcPr/>
          <w:p>
            <w:pPr>
              <w:pStyle w:val="Compact"/>
              <w:jc w:val="left"/>
            </w:pPr>
            <w:r>
              <w:t xml:space="preserve">Carnosina</w:t>
            </w:r>
          </w:p>
        </w:tc>
        <w:tc>
          <w:tcPr/>
          <w:p>
            <w:pPr>
              <w:pStyle w:val="Compact"/>
              <w:jc w:val="left"/>
            </w:pPr>
            <w:r>
              <w:t xml:space="preserve">B</w:t>
            </w:r>
          </w:p>
        </w:tc>
        <w:tc>
          <w:tcPr/>
          <w:p>
            <w:pPr>
              <w:pStyle w:val="Compact"/>
              <w:jc w:val="left"/>
            </w:pPr>
            <w:r>
              <w:t xml:space="preserve">suplemento alimentar / suplemento alimentar</w:t>
            </w:r>
          </w:p>
        </w:tc>
        <w:tc>
          <w:tcPr/>
          <w:p>
            <w:pPr>
              <w:pStyle w:val="Compact"/>
              <w:jc w:val="left"/>
            </w:pPr>
            <w:r>
              <w:t xml:space="preserve">57 / 53</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cosmético / cosmético</w:t>
            </w:r>
          </w:p>
        </w:tc>
        <w:tc>
          <w:tcPr/>
          <w:p>
            <w:pPr>
              <w:pStyle w:val="Compact"/>
              <w:jc w:val="left"/>
            </w:pPr>
            <w:r>
              <w:t xml:space="preserve">1 / 24 (nota)</w:t>
            </w:r>
          </w:p>
        </w:tc>
      </w:tr>
      <w:tr>
        <w:tc>
          <w:tcPr/>
          <w:p>
            <w:pPr>
              <w:pStyle w:val="Compact"/>
              <w:jc w:val="left"/>
            </w:pPr>
            <w:r>
              <w:t xml:space="preserve">Palmitoil pentapeptídeo-4</w:t>
            </w:r>
          </w:p>
        </w:tc>
        <w:tc>
          <w:tcPr/>
          <w:p>
            <w:pPr>
              <w:pStyle w:val="Compact"/>
              <w:jc w:val="left"/>
            </w:pPr>
            <w:r>
              <w:t xml:space="preserve">B (fraco)</w:t>
            </w:r>
          </w:p>
        </w:tc>
        <w:tc>
          <w:tcPr/>
          <w:p>
            <w:pPr>
              <w:pStyle w:val="Compact"/>
              <w:jc w:val="left"/>
            </w:pPr>
            <w:r>
              <w:t xml:space="preserve">cosmético / cosmético</w:t>
            </w:r>
          </w:p>
        </w:tc>
        <w:tc>
          <w:tcPr/>
          <w:p>
            <w:pPr>
              <w:pStyle w:val="Compact"/>
              <w:jc w:val="left"/>
            </w:pPr>
            <w:r>
              <w:t xml:space="preserve">1 / 0</w:t>
            </w:r>
          </w:p>
        </w:tc>
      </w:tr>
      <w:tr>
        <w:tc>
          <w:tcPr/>
          <w:p>
            <w:pPr>
              <w:pStyle w:val="Compact"/>
              <w:jc w:val="left"/>
            </w:pPr>
            <w:r>
              <w:t xml:space="preserve">Acetil hexapeptídeo-8</w:t>
            </w:r>
          </w:p>
        </w:tc>
        <w:tc>
          <w:tcPr/>
          <w:p>
            <w:pPr>
              <w:pStyle w:val="Compact"/>
              <w:jc w:val="left"/>
            </w:pPr>
            <w:r>
              <w:t xml:space="preserve">B (fraco)</w:t>
            </w:r>
          </w:p>
        </w:tc>
        <w:tc>
          <w:tcPr/>
          <w:p>
            <w:pPr>
              <w:pStyle w:val="Compact"/>
              <w:jc w:val="left"/>
            </w:pPr>
            <w:r>
              <w:t xml:space="preserve">cosmético / cosmético</w:t>
            </w:r>
          </w:p>
        </w:tc>
        <w:tc>
          <w:tcPr/>
          <w:p>
            <w:pPr>
              <w:pStyle w:val="Compact"/>
              <w:jc w:val="left"/>
            </w:pPr>
            <w:r>
              <w:t xml:space="preserve">3 / 7</w:t>
            </w:r>
          </w:p>
        </w:tc>
      </w:tr>
    </w:tbl>
    <w:p>
      <w:pPr>
        <w:pStyle w:val="BodyText"/>
      </w:pPr>
      <w:r>
        <w:t xml:space="preserve">Notas sobre a tabela: para os</w:t>
      </w:r>
      <w:r>
        <w:t xml:space="preserve"> </w:t>
      </w:r>
      <w:r>
        <w:rPr>
          <w:bCs/>
          <w:b/>
        </w:rPr>
        <w:t xml:space="preserve">peptídeos de colágeno</w:t>
      </w:r>
      <w:r>
        <w:t xml:space="preserve">, uma parte considerável dos resultados nos registros refere-se a outros temas, como implantes de colágeno na odontologia ou o medicamento contra o câncer endostatina. Para o</w:t>
      </w:r>
      <w:r>
        <w:t xml:space="preserve"> </w:t>
      </w:r>
      <w:r>
        <w:rPr>
          <w:bCs/>
          <w:b/>
        </w:rPr>
        <w:t xml:space="preserve">GHK-Cu</w:t>
      </w:r>
      <w:r>
        <w:t xml:space="preserve">, quase todos os resultados nos registros referem-se a outros compostos de cobre, por exemplo o cobre-64 radioativo para exames de imagem; apenas um registro confiável investiga de fato o GHK. Para nenhuma substância deste grupo há um slogan publicitário relacionado à saúde autorizado na UE; para os lactotripeptídeos, a Autoridade Europeia para a Segurança dos Alimentos (EFSA) rejeitou a alegação sobre pressão arterial solicitada.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Peptídeo</w:t>
            </w:r>
          </w:p>
        </w:tc>
        <w:tc>
          <w:tcPr/>
          <w:p>
            <w:pPr>
              <w:pStyle w:val="Compact"/>
              <w:jc w:val="left"/>
            </w:pPr>
            <w:r>
              <w:t xml:space="preserve">Resultado principal</w:t>
            </w:r>
          </w:p>
        </w:tc>
        <w:tc>
          <w:tcPr/>
          <w:p>
            <w:pPr>
              <w:pStyle w:val="Compact"/>
              <w:jc w:val="left"/>
            </w:pPr>
            <w:r>
              <w:t xml:space="preserve">Principal risco</w:t>
            </w:r>
          </w:p>
        </w:tc>
      </w:tr>
      <w:tr>
        <w:tc>
          <w:tcPr/>
          <w:p>
            <w:pPr>
              <w:pStyle w:val="Compact"/>
              <w:jc w:val="left"/>
            </w:pPr>
            <w:r>
              <w:t xml:space="preserve">Peptídeos de colágeno</w:t>
            </w:r>
          </w:p>
        </w:tc>
        <w:tc>
          <w:tcPr/>
          <w:p>
            <w:pPr>
              <w:pStyle w:val="Compact"/>
              <w:jc w:val="left"/>
            </w:pPr>
            <w:r>
              <w:t xml:space="preserve">Artrose: efeitos pequenos a moderados (PMID 38218227); benefício para a pele não confirmado em estudos independentes (PMID 40324552)</w:t>
            </w:r>
          </w:p>
        </w:tc>
        <w:tc>
          <w:tcPr/>
          <w:p>
            <w:pPr>
              <w:pStyle w:val="Compact"/>
              <w:jc w:val="left"/>
            </w:pPr>
            <w:r>
              <w:t xml:space="preserve">Substituição de medidas eficazes; oxalato em caso de tendência a cálculos renais</w:t>
            </w:r>
          </w:p>
        </w:tc>
      </w:tr>
      <w:tr>
        <w:tc>
          <w:tcPr/>
          <w:p>
            <w:pPr>
              <w:pStyle w:val="Compact"/>
              <w:jc w:val="left"/>
            </w:pPr>
            <w:r>
              <w:t xml:space="preserve">Lactotripeptídeos</w:t>
            </w:r>
          </w:p>
        </w:tc>
        <w:tc>
          <w:tcPr/>
          <w:p>
            <w:pPr>
              <w:pStyle w:val="Compact"/>
              <w:jc w:val="left"/>
            </w:pPr>
            <w:r>
              <w:t xml:space="preserve">Metanálise, 30 ECRs: sistólica −2,95 mmHg, com viés de publicação (PMID 25608938)</w:t>
            </w:r>
          </w:p>
        </w:tc>
        <w:tc>
          <w:tcPr/>
          <w:p>
            <w:pPr>
              <w:pStyle w:val="Compact"/>
              <w:jc w:val="left"/>
            </w:pPr>
            <w:r>
              <w:t xml:space="preserve">Substituição de um tratamento eficaz da pressão arterial</w:t>
            </w:r>
          </w:p>
        </w:tc>
      </w:tr>
      <w:tr>
        <w:tc>
          <w:tcPr/>
          <w:p>
            <w:pPr>
              <w:pStyle w:val="Compact"/>
              <w:jc w:val="left"/>
            </w:pPr>
            <w:r>
              <w:t xml:space="preserve">Carnosina</w:t>
            </w:r>
          </w:p>
        </w:tc>
        <w:tc>
          <w:tcPr/>
          <w:p>
            <w:pPr>
              <w:pStyle w:val="Compact"/>
              <w:jc w:val="left"/>
            </w:pPr>
            <w:r>
              <w:t xml:space="preserve">Metanálise, 8 ECRs: valores de glicemia e HbA1c um pouco mais baixos (PMID 40999397)</w:t>
            </w:r>
          </w:p>
        </w:tc>
        <w:tc>
          <w:tcPr/>
          <w:p>
            <w:pPr>
              <w:pStyle w:val="Compact"/>
              <w:jc w:val="left"/>
            </w:pPr>
            <w:r>
              <w:t xml:space="preserve">nenhum relevante; faltam dados de longo prazo</w:t>
            </w:r>
          </w:p>
        </w:tc>
      </w:tr>
      <w:tr>
        <w:tc>
          <w:tcPr/>
          <w:p>
            <w:pPr>
              <w:pStyle w:val="Compact"/>
              <w:jc w:val="left"/>
            </w:pPr>
            <w:r>
              <w:t xml:space="preserve">GHK-Cu</w:t>
            </w:r>
          </w:p>
        </w:tc>
        <w:tc>
          <w:tcPr/>
          <w:p>
            <w:pPr>
              <w:pStyle w:val="Compact"/>
              <w:jc w:val="left"/>
            </w:pPr>
            <w:r>
              <w:t xml:space="preserve">Úlceras de pé: área da ferida, mediana −98,5% vs. −60,8% (PMID 17147644)</w:t>
            </w:r>
          </w:p>
        </w:tc>
        <w:tc>
          <w:tcPr/>
          <w:p>
            <w:pPr>
              <w:pStyle w:val="Compact"/>
              <w:jc w:val="left"/>
            </w:pPr>
            <w:r>
              <w:t xml:space="preserve">Injeções de produto do mercado cinza não testadas</w:t>
            </w:r>
          </w:p>
        </w:tc>
      </w:tr>
      <w:tr>
        <w:tc>
          <w:tcPr/>
          <w:p>
            <w:pPr>
              <w:pStyle w:val="Compact"/>
              <w:jc w:val="left"/>
            </w:pPr>
            <w:r>
              <w:t xml:space="preserve">Palmitoil pentapeptídeo-4</w:t>
            </w:r>
          </w:p>
        </w:tc>
        <w:tc>
          <w:tcPr/>
          <w:p>
            <w:pPr>
              <w:pStyle w:val="Compact"/>
              <w:jc w:val="left"/>
            </w:pPr>
            <w:r>
              <w:t xml:space="preserve">93 mulheres, estudo de hemiface: menos rugas após 12 semanas (PMID 18492182)</w:t>
            </w:r>
          </w:p>
        </w:tc>
        <w:tc>
          <w:tcPr/>
          <w:p>
            <w:pPr>
              <w:pStyle w:val="Compact"/>
              <w:jc w:val="left"/>
            </w:pPr>
            <w:r>
              <w:t xml:space="preserve">raramente irritação cutânea</w:t>
            </w:r>
          </w:p>
        </w:tc>
      </w:tr>
      <w:tr>
        <w:tc>
          <w:tcPr/>
          <w:p>
            <w:pPr>
              <w:pStyle w:val="Compact"/>
              <w:jc w:val="left"/>
            </w:pPr>
            <w:r>
              <w:t xml:space="preserve">Acetil hexapeptídeo-8</w:t>
            </w:r>
          </w:p>
        </w:tc>
        <w:tc>
          <w:tcPr/>
          <w:p>
            <w:pPr>
              <w:pStyle w:val="Compact"/>
              <w:jc w:val="left"/>
            </w:pPr>
            <w:r>
              <w:t xml:space="preserve">19 mulheres, estudo de hemiface: nenhuma diferença após 4 semanas (PMID 38024099)</w:t>
            </w:r>
          </w:p>
        </w:tc>
        <w:tc>
          <w:tcPr/>
          <w:p>
            <w:pPr>
              <w:pStyle w:val="Compact"/>
              <w:jc w:val="left"/>
            </w:pPr>
            <w:r>
              <w:t xml:space="preserve">Injeções não aprovadas, relato de caso de infecção</w:t>
            </w:r>
          </w:p>
        </w:tc>
      </w:tr>
    </w:tbl>
    <w:bookmarkEnd w:id="2529"/>
    <w:bookmarkStart w:id="2533" w:name="X388aed0c41a412e52c0ccbf22d0382d7650d01c"/>
    <w:p>
      <w:pPr>
        <w:pStyle w:val="Heading3"/>
      </w:pPr>
      <w:r>
        <w:t xml:space="preserve">Análise: quão bem estudados são os peptídeos no conjunto?</w:t>
      </w:r>
    </w:p>
    <w:bookmarkStart w:id="2530" w:name="distribuição-dos-níveis-de-evidência"/>
    <w:p>
      <w:pPr>
        <w:pStyle w:val="Heading4"/>
      </w:pPr>
      <w:r>
        <w:t xml:space="preserve">Distribuição dos níveis de evidência</w:t>
      </w:r>
    </w:p>
    <w:p>
      <w:pPr>
        <w:pStyle w:val="FirstParagraph"/>
      </w:pPr>
      <w:r>
        <w:t xml:space="preserve">As 58 entradas deste livro – 56 peptídeos e duas substâncias de comparação que não são peptídeos (orforglipron e ibutamoreno) – distribuem-se da seguinte forma: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Nível de evidência</w:t>
            </w:r>
          </w:p>
        </w:tc>
        <w:tc>
          <w:tcPr/>
          <w:p>
            <w:pPr>
              <w:pStyle w:val="Compact"/>
              <w:jc w:val="left"/>
            </w:pPr>
            <w:r>
              <w:t xml:space="preserve">Número</w:t>
            </w:r>
          </w:p>
        </w:tc>
        <w:tc>
          <w:tcPr/>
          <w:p>
            <w:pPr>
              <w:pStyle w:val="Compact"/>
              <w:jc w:val="left"/>
            </w:pPr>
            <w:r>
              <w:t xml:space="preserve">Proporção</w:t>
            </w:r>
          </w:p>
        </w:tc>
        <w:tc>
          <w:tcPr/>
          <w:p>
            <w:pPr>
              <w:pStyle w:val="Compact"/>
              <w:jc w:val="left"/>
            </w:pPr>
            <w:r>
              <w:t xml:space="preserve">Exemplos</w:t>
            </w:r>
          </w:p>
        </w:tc>
      </w:tr>
      <w:tr>
        <w:tc>
          <w:tcPr/>
          <w:p>
            <w:pPr>
              <w:pStyle w:val="Compact"/>
              <w:jc w:val="left"/>
            </w:pPr>
            <w:r>
              <w:t xml:space="preserve">A</w:t>
            </w:r>
          </w:p>
        </w:tc>
        <w:tc>
          <w:tcPr/>
          <w:p>
            <w:pPr>
              <w:pStyle w:val="Compact"/>
              <w:jc w:val="left"/>
            </w:pPr>
            <w:r>
              <w:t xml:space="preserve">14</w:t>
            </w:r>
          </w:p>
        </w:tc>
        <w:tc>
          <w:tcPr/>
          <w:p>
            <w:pPr>
              <w:pStyle w:val="Compact"/>
              <w:jc w:val="left"/>
            </w:pPr>
            <w:r>
              <w:t xml:space="preserve">24%</w:t>
            </w:r>
          </w:p>
        </w:tc>
        <w:tc>
          <w:tcPr/>
          <w:p>
            <w:pPr>
              <w:pStyle w:val="Compact"/>
              <w:jc w:val="left"/>
            </w:pPr>
            <w:r>
              <w:t xml:space="preserve">Semaglutida, tirzepatida, tesamorelina, afamelanotida</w:t>
            </w:r>
          </w:p>
        </w:tc>
      </w:tr>
      <w:tr>
        <w:tc>
          <w:tcPr/>
          <w:p>
            <w:pPr>
              <w:pStyle w:val="Compact"/>
              <w:jc w:val="left"/>
            </w:pPr>
            <w:r>
              <w:t xml:space="preserve">B</w:t>
            </w:r>
          </w:p>
        </w:tc>
        <w:tc>
          <w:tcPr/>
          <w:p>
            <w:pPr>
              <w:pStyle w:val="Compact"/>
              <w:jc w:val="left"/>
            </w:pPr>
            <w:r>
              <w:t xml:space="preserve">25</w:t>
            </w:r>
          </w:p>
        </w:tc>
        <w:tc>
          <w:tcPr/>
          <w:p>
            <w:pPr>
              <w:pStyle w:val="Compact"/>
              <w:jc w:val="left"/>
            </w:pPr>
            <w:r>
              <w:t xml:space="preserve">43%</w:t>
            </w:r>
          </w:p>
        </w:tc>
        <w:tc>
          <w:tcPr/>
          <w:p>
            <w:pPr>
              <w:pStyle w:val="Compact"/>
              <w:jc w:val="left"/>
            </w:pPr>
            <w:r>
              <w:t xml:space="preserve">Retatrutida, timosina alfa 1, glutationa, peptídeos de colágeno</w:t>
            </w:r>
          </w:p>
        </w:tc>
      </w:tr>
      <w:tr>
        <w:tc>
          <w:tcPr/>
          <w:p>
            <w:pPr>
              <w:pStyle w:val="Compact"/>
              <w:jc w:val="left"/>
            </w:pPr>
            <w:r>
              <w:t xml:space="preserve">C</w:t>
            </w:r>
          </w:p>
        </w:tc>
        <w:tc>
          <w:tcPr/>
          <w:p>
            <w:pPr>
              <w:pStyle w:val="Compact"/>
              <w:jc w:val="left"/>
            </w:pPr>
            <w:r>
              <w:t xml:space="preserve">12</w:t>
            </w:r>
          </w:p>
        </w:tc>
        <w:tc>
          <w:tcPr/>
          <w:p>
            <w:pPr>
              <w:pStyle w:val="Compact"/>
              <w:jc w:val="left"/>
            </w:pPr>
            <w:r>
              <w:t xml:space="preserve">21%</w:t>
            </w:r>
          </w:p>
        </w:tc>
        <w:tc>
          <w:tcPr/>
          <w:p>
            <w:pPr>
              <w:pStyle w:val="Compact"/>
              <w:jc w:val="left"/>
            </w:pPr>
            <w:r>
              <w:t xml:space="preserve">BPC-157, CJC-1295, Semax, melanotan II</w:t>
            </w:r>
          </w:p>
        </w:tc>
      </w:tr>
      <w:tr>
        <w:tc>
          <w:tcPr/>
          <w:p>
            <w:pPr>
              <w:pStyle w:val="Compact"/>
              <w:jc w:val="left"/>
            </w:pPr>
            <w:r>
              <w:t xml:space="preserve">D</w:t>
            </w:r>
          </w:p>
        </w:tc>
        <w:tc>
          <w:tcPr/>
          <w:p>
            <w:pPr>
              <w:pStyle w:val="Compact"/>
              <w:jc w:val="left"/>
            </w:pPr>
            <w:r>
              <w:t xml:space="preserve">7</w:t>
            </w:r>
          </w:p>
        </w:tc>
        <w:tc>
          <w:tcPr/>
          <w:p>
            <w:pPr>
              <w:pStyle w:val="Compact"/>
              <w:jc w:val="left"/>
            </w:pPr>
            <w:r>
              <w:t xml:space="preserve">12%</w:t>
            </w:r>
          </w:p>
        </w:tc>
        <w:tc>
          <w:tcPr/>
          <w:p>
            <w:pPr>
              <w:pStyle w:val="Compact"/>
              <w:jc w:val="left"/>
            </w:pPr>
            <w:r>
              <w:t xml:space="preserve">AOD-9604, KPV, Dihexa, MOTS-c, IGF-1 LR3</w:t>
            </w:r>
          </w:p>
        </w:tc>
      </w:tr>
    </w:tbl>
    <w:p>
      <w:pPr>
        <w:pStyle w:val="BodyText"/>
      </w:pPr>
      <w:r>
        <w:t xml:space="preserve">Nota: o TB-500 está incluído na contagem com o nível B referente à timosina beta-4; para o fragmento TB-500 isolado, vale o nível D.</w:t>
      </w:r>
    </w:p>
    <w:p>
      <w:pPr>
        <w:pStyle w:val="BodyText"/>
      </w:pPr>
      <w:r>
        <w:t xml:space="preserve">Três padrões:</w:t>
      </w:r>
    </w:p>
    <w:p>
      <w:pPr>
        <w:numPr>
          <w:ilvl w:val="0"/>
          <w:numId w:val="1321"/>
        </w:numPr>
        <w:pStyle w:val="Compact"/>
      </w:pPr>
      <w:r>
        <w:rPr>
          <w:bCs/>
          <w:b/>
        </w:rPr>
        <w:t xml:space="preserve">Quase só alcançam o nível A princípios ativos que passaram por um programa regular de aprovação de um fabricante de medicamentos.</w:t>
      </w:r>
      <w:r>
        <w:t xml:space="preserve"> </w:t>
      </w:r>
      <w:r>
        <w:t xml:space="preserve">Nove das 14 entradas com nível A vêm do grupo A (metabolismo e peso). As demais são tesamorelina, macimorelina e mecasermina, do eixo do hormônio do crescimento, além de bremelanotida e afamelanotida. Nenhuma das substâncias descritas no grupo B (cura) e no grupo D (cérebro e longevidade) alcança o nível A.</w:t>
      </w:r>
    </w:p>
    <w:p>
      <w:pPr>
        <w:numPr>
          <w:ilvl w:val="0"/>
          <w:numId w:val="1321"/>
        </w:numPr>
        <w:pStyle w:val="Compact"/>
      </w:pPr>
      <w:r>
        <w:rPr>
          <w:bCs/>
          <w:b/>
        </w:rPr>
        <w:t xml:space="preserve">Nível B muitas vezes significa</w:t>
      </w:r>
      <w:r>
        <w:rPr>
          <w:bCs/>
          <w:b/>
        </w:rPr>
        <w:t xml:space="preserve"> </w:t>
      </w:r>
      <w:r>
        <w:rPr>
          <w:bCs/>
          <w:b/>
        </w:rPr>
        <w:t xml:space="preserve">“</w:t>
      </w:r>
      <w:r>
        <w:rPr>
          <w:bCs/>
          <w:b/>
        </w:rPr>
        <w:t xml:space="preserve">testado e não confirmado</w:t>
      </w:r>
      <w:r>
        <w:rPr>
          <w:bCs/>
          <w:b/>
        </w:rPr>
        <w:t xml:space="preserve">”</w:t>
      </w:r>
      <w:r>
        <w:rPr>
          <w:bCs/>
          <w:b/>
        </w:rPr>
        <w:t xml:space="preserve">.</w:t>
      </w:r>
      <w:r>
        <w:t xml:space="preserve"> </w:t>
      </w:r>
      <w:r>
        <w:t xml:space="preserve">Em muitas das 25 entradas, o maior estudo randomizado não atingiu seu objetivo principal: timosina alfa 1 na sepse, LL-37 em úlceras de perna, ipamorelina após cirurgias intestinais, elamipretida na miopatia, ocitocina no autismo, glutationa contra lesões nervosas por quimioterapia.</w:t>
      </w:r>
    </w:p>
    <w:p>
      <w:pPr>
        <w:numPr>
          <w:ilvl w:val="0"/>
          <w:numId w:val="1321"/>
        </w:numPr>
        <w:pStyle w:val="Compact"/>
      </w:pPr>
      <w:r>
        <w:rPr>
          <w:bCs/>
          <w:b/>
        </w:rPr>
        <w:t xml:space="preserve">Um terço tem nível C ou D.</w:t>
      </w:r>
      <w:r>
        <w:t xml:space="preserve"> </w:t>
      </w:r>
      <w:r>
        <w:t xml:space="preserve">19 de 58 entradas baseiam-se em estudos em humanos pequenos e não controlados ou apenas em experimentos com animais e em laboratório – entre elas muitas das substâncias mais promovidas na internet.</w:t>
      </w:r>
    </w:p>
    <w:p>
      <w:pPr>
        <w:pStyle w:val="FirstParagraph"/>
      </w:pPr>
      <w:r>
        <w:t xml:space="preserve">Por grupo:</w:t>
      </w:r>
    </w:p>
    <w:p>
      <w:pPr>
        <w:numPr>
          <w:ilvl w:val="0"/>
          <w:numId w:val="1322"/>
        </w:numPr>
        <w:pStyle w:val="Compact"/>
      </w:pPr>
      <w:r>
        <w:t xml:space="preserve">A. Metabolismo e peso (15 entradas): 9 × A, 5 × B, 1 × D</w:t>
      </w:r>
    </w:p>
    <w:p>
      <w:pPr>
        <w:numPr>
          <w:ilvl w:val="0"/>
          <w:numId w:val="1322"/>
        </w:numPr>
        <w:pStyle w:val="Compact"/>
      </w:pPr>
      <w:r>
        <w:t xml:space="preserve">B. Cura e sistema imunológico (8): 5 × B, 2 × C, 1 × D</w:t>
      </w:r>
    </w:p>
    <w:p>
      <w:pPr>
        <w:numPr>
          <w:ilvl w:val="0"/>
          <w:numId w:val="1322"/>
        </w:numPr>
        <w:pStyle w:val="Compact"/>
      </w:pPr>
      <w:r>
        <w:t xml:space="preserve">C. Eixo do hormônio do crescimento (11): 3 × A, 4 × B, 3 × C, 1 × D</w:t>
      </w:r>
    </w:p>
    <w:p>
      <w:pPr>
        <w:numPr>
          <w:ilvl w:val="0"/>
          <w:numId w:val="1322"/>
        </w:numPr>
        <w:pStyle w:val="Compact"/>
      </w:pPr>
      <w:r>
        <w:t xml:space="preserve">D. Cérebro e longevidade (12): 3 × B, 5 × C, 4 × D</w:t>
      </w:r>
    </w:p>
    <w:p>
      <w:pPr>
        <w:numPr>
          <w:ilvl w:val="0"/>
          <w:numId w:val="1322"/>
        </w:numPr>
        <w:pStyle w:val="Compact"/>
      </w:pPr>
      <w:r>
        <w:t xml:space="preserve">E. Hormônios e pigmentação (6): 2 × A, 3 × B, 1 × C</w:t>
      </w:r>
    </w:p>
    <w:p>
      <w:pPr>
        <w:numPr>
          <w:ilvl w:val="0"/>
          <w:numId w:val="1322"/>
        </w:numPr>
        <w:pStyle w:val="Compact"/>
      </w:pPr>
      <w:r>
        <w:t xml:space="preserve">F. Colágeno e cosmética (6): 5 × B, 1 × C</w:t>
      </w:r>
    </w:p>
    <w:p>
      <w:pPr>
        <w:pStyle w:val="FirstParagraph"/>
      </w:pPr>
      <w:r>
        <w:t xml:space="preserve">O grupo D tem os dados mais fracos: quatro de seus doze peptídeos nunca foram administrados em um estudo publicado em humanos, e outros cinco apenas em estudos pequenos, geralmente não randomizados.</w:t>
      </w:r>
    </w:p>
    <w:bookmarkEnd w:id="2530"/>
    <w:bookmarkStart w:id="2531" w:name="aprovado-ou-não"/>
    <w:p>
      <w:pPr>
        <w:pStyle w:val="Heading4"/>
      </w:pPr>
      <w:r>
        <w:t xml:space="preserve">Aprovado ou não?</w:t>
      </w:r>
    </w:p>
    <w:p>
      <w:pPr>
        <w:pStyle w:val="FirstParagraph"/>
      </w:pPr>
      <w:r>
        <w:t xml:space="preserve">“</w:t>
      </w:r>
      <w:r>
        <w:t xml:space="preserve">Aprovado</w:t>
      </w:r>
      <w:r>
        <w:t xml:space="preserve">”</w:t>
      </w:r>
      <w:r>
        <w:t xml:space="preserve"> </w:t>
      </w:r>
      <w:r>
        <w:t xml:space="preserve">significa neste livro: uma agência reguladora de medicamentos avaliou eficácia, segurança e qualidade de fabricação para uma aplicação determinada. As 58 entradas podem ser divididas, segundo esse critério, em cinco grupos (situação em outubro de 2026, verificar atualização):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Número</w:t>
            </w:r>
          </w:p>
        </w:tc>
        <w:tc>
          <w:tcPr/>
          <w:p>
            <w:pPr>
              <w:pStyle w:val="Compact"/>
              <w:jc w:val="left"/>
            </w:pPr>
            <w:r>
              <w:t xml:space="preserve">Peptídeos</w:t>
            </w:r>
          </w:p>
        </w:tc>
      </w:tr>
      <w:tr>
        <w:tc>
          <w:tcPr/>
          <w:p>
            <w:pPr>
              <w:pStyle w:val="Compact"/>
              <w:jc w:val="left"/>
            </w:pPr>
            <w:r>
              <w:t xml:space="preserve">Aprovado como medicamento na UE e/ou nos EUA</w:t>
            </w:r>
          </w:p>
        </w:tc>
        <w:tc>
          <w:tcPr/>
          <w:p>
            <w:pPr>
              <w:pStyle w:val="Compact"/>
              <w:jc w:val="left"/>
            </w:pPr>
            <w:r>
              <w:t xml:space="preserve">14</w:t>
            </w:r>
          </w:p>
        </w:tc>
        <w:tc>
          <w:tcPr/>
          <w:p>
            <w:pPr>
              <w:pStyle w:val="Compact"/>
              <w:jc w:val="left"/>
            </w:pPr>
            <w:r>
              <w:t xml:space="preserve">Exenatida, liraglutida, dulaglutida, semaglutida, tirzepatida, setmelanotida, pranlintida, tesamorelina, macimorelina, mecasermina, afamelanotida, bremelanotida, SS-31, ocitocina (só obstetrícia)</w:t>
            </w:r>
          </w:p>
        </w:tc>
      </w:tr>
      <w:tr>
        <w:tc>
          <w:tcPr/>
          <w:p>
            <w:pPr>
              <w:pStyle w:val="Compact"/>
              <w:jc w:val="left"/>
            </w:pPr>
            <w:r>
              <w:t xml:space="preserve">Aprovado apenas nacionalmente em alguns Estados da UE ou apenas fora da UE e dos EUA</w:t>
            </w:r>
          </w:p>
        </w:tc>
        <w:tc>
          <w:tcPr/>
          <w:p>
            <w:pPr>
              <w:pStyle w:val="Compact"/>
              <w:jc w:val="left"/>
            </w:pPr>
            <w:r>
              <w:t xml:space="preserve">8</w:t>
            </w:r>
          </w:p>
        </w:tc>
        <w:tc>
          <w:tcPr/>
          <w:p>
            <w:pPr>
              <w:pStyle w:val="Compact"/>
              <w:jc w:val="left"/>
            </w:pPr>
            <w:r>
              <w:t xml:space="preserve">Cerebrolisina, gonadorelina, mazdutida (China), timosina alfa 1 (China, entre outros), timalina, Semax, Selank (Rússia), GHRP-2 (Japão, agente diagnóstico)</w:t>
            </w:r>
          </w:p>
        </w:tc>
      </w:tr>
      <w:tr>
        <w:tc>
          <w:tcPr/>
          <w:p>
            <w:pPr>
              <w:pStyle w:val="Compact"/>
              <w:jc w:val="left"/>
            </w:pPr>
            <w:r>
              <w:t xml:space="preserve">Antes aprovado nos EUA, hoje fora do mercado</w:t>
            </w:r>
          </w:p>
        </w:tc>
        <w:tc>
          <w:tcPr/>
          <w:p>
            <w:pPr>
              <w:pStyle w:val="Compact"/>
              <w:jc w:val="left"/>
            </w:pPr>
            <w:r>
              <w:t xml:space="preserve">1</w:t>
            </w:r>
          </w:p>
        </w:tc>
        <w:tc>
          <w:tcPr/>
          <w:p>
            <w:pPr>
              <w:pStyle w:val="Compact"/>
              <w:jc w:val="left"/>
            </w:pPr>
            <w:r>
              <w:t xml:space="preserve">Sermorelina</w:t>
            </w:r>
          </w:p>
        </w:tc>
      </w:tr>
      <w:tr>
        <w:tc>
          <w:tcPr/>
          <w:p>
            <w:pPr>
              <w:pStyle w:val="Compact"/>
              <w:jc w:val="left"/>
            </w:pPr>
            <w:r>
              <w:t xml:space="preserve">Permitido como alimento, suplemento alimentar ou cosmético, sem aprovação como medicamento</w:t>
            </w:r>
          </w:p>
        </w:tc>
        <w:tc>
          <w:tcPr/>
          <w:p>
            <w:pPr>
              <w:pStyle w:val="Compact"/>
              <w:jc w:val="left"/>
            </w:pPr>
            <w:r>
              <w:t xml:space="preserve">7</w:t>
            </w:r>
          </w:p>
        </w:tc>
        <w:tc>
          <w:tcPr/>
          <w:p>
            <w:pPr>
              <w:pStyle w:val="Compact"/>
              <w:jc w:val="left"/>
            </w:pPr>
            <w:r>
              <w:t xml:space="preserve">Peptídeos de colágeno, lactotripeptídeos, carnosina, glutationa, GHK-Cu, palmitoil pentapeptídeo-4, acetil hexapeptídeo-8</w:t>
            </w:r>
          </w:p>
        </w:tc>
      </w:tr>
      <w:tr>
        <w:tc>
          <w:tcPr/>
          <w:p>
            <w:pPr>
              <w:pStyle w:val="Compact"/>
              <w:jc w:val="left"/>
            </w:pPr>
            <w:r>
              <w:t xml:space="preserve">Não aprovado em lugar nenhum</w:t>
            </w:r>
          </w:p>
        </w:tc>
        <w:tc>
          <w:tcPr/>
          <w:p>
            <w:pPr>
              <w:pStyle w:val="Compact"/>
              <w:jc w:val="left"/>
            </w:pPr>
            <w:r>
              <w:t xml:space="preserve">28</w:t>
            </w:r>
          </w:p>
        </w:tc>
        <w:tc>
          <w:tcPr/>
          <w:p>
            <w:pPr>
              <w:pStyle w:val="Compact"/>
              <w:jc w:val="left"/>
            </w:pPr>
            <w:r>
              <w:t xml:space="preserve">entre eles retatrutida, CagriSema, BPC-157, TB-500, CJC-1295, ipamorelina, Epitalon, MOTS-c, melanotan II, IGF-1 LR3, orforglipron (pedido apresentado) e ibutamoreno</w:t>
            </w:r>
          </w:p>
        </w:tc>
      </w:tr>
    </w:tbl>
    <w:p>
      <w:pPr>
        <w:pStyle w:val="BodyText"/>
      </w:pPr>
      <w:r>
        <w:t xml:space="preserve">Apenas cerca de um quarto das entradas está aprovado como medicamento na UE ou nos EUA – geralmente para aplicações estritamente delimitadas: afamelanotida para uma rara intolerância à luz (protoporfiria eritropoética, EPP), não para bronzear; elamipretida apenas para a síndrome de Barth; ocitocina apenas para a obstetrícia, não como spray nasal; tesamorelina apenas para um distúrbio de distribuição de gordura no HIV. Diante da afirmação</w:t>
      </w:r>
      <w:r>
        <w:t xml:space="preserve"> </w:t>
      </w:r>
      <w:r>
        <w:t xml:space="preserve">“</w:t>
      </w:r>
      <w:r>
        <w:t xml:space="preserve">aprovado</w:t>
      </w:r>
      <w:r>
        <w:t xml:space="preserve">”</w:t>
      </w:r>
      <w:r>
        <w:t xml:space="preserve">, vale sempre perguntar: onde, para quê e em que forma?</w:t>
      </w:r>
    </w:p>
    <w:p>
      <w:pPr>
        <w:pStyle w:val="BodyText"/>
      </w:pPr>
      <w:r>
        <w:t xml:space="preserve">As 28 entradas não aprovadas em lugar nenhum dividem-se em dois grupos. Retatrutida, survodutida, CagriSema, amicretina, maridebarte cafraglutida e orforglipron estão em desenvolvimento regular, com estudos de fase 3; uma aprovação é provável para eles, mas não garantida (avaliação). Substâncias como BPC-157, TB-500, CJC-1295, AOD-9604, Epitalon, MOTS-c, Dihexa ou IGF-1 LR3, por outro lado, não têm caminho reconhecível para aprovação e são vendidas predominantemente como</w:t>
      </w:r>
      <w:r>
        <w:t xml:space="preserve"> </w:t>
      </w:r>
      <w:r>
        <w:t xml:space="preserve">“</w:t>
      </w:r>
      <w:r>
        <w:t xml:space="preserve">research peptides</w:t>
      </w:r>
      <w:r>
        <w:t xml:space="preserve">”</w:t>
      </w:r>
      <w:r>
        <w:t xml:space="preserve">. Ofertas do mercado cinza do primeiro grupo não devem ser equiparadas aos medicamentos testados.</w:t>
      </w:r>
    </w:p>
    <w:bookmarkEnd w:id="2531"/>
    <w:bookmarkStart w:id="2532" w:name="status-de-doping-segundo-a-wada"/>
    <w:p>
      <w:pPr>
        <w:pStyle w:val="Heading4"/>
      </w:pPr>
      <w:r>
        <w:t xml:space="preserve">Status de doping segundo a WADA</w:t>
      </w:r>
    </w:p>
    <w:p>
      <w:pPr>
        <w:pStyle w:val="FirstParagraph"/>
      </w:pPr>
      <w:r>
        <w:t xml:space="preserve">Para o esporte de competição, vale a lista de proibições da Agência Mundial Antidopagem (WADA). As classes mais importantes:</w:t>
      </w:r>
    </w:p>
    <w:p>
      <w:pPr>
        <w:numPr>
          <w:ilvl w:val="0"/>
          <w:numId w:val="1323"/>
        </w:numPr>
        <w:pStyle w:val="Compact"/>
      </w:pPr>
      <w:r>
        <w:rPr>
          <w:bCs/>
          <w:b/>
        </w:rPr>
        <w:t xml:space="preserve">S0</w:t>
      </w:r>
      <w:r>
        <w:t xml:space="preserve"> </w:t>
      </w:r>
      <w:r>
        <w:t xml:space="preserve">– substâncias não aprovadas: todas as substâncias sem aprovação como medicamento para humanos, mesmo sem menção nominal.</w:t>
      </w:r>
    </w:p>
    <w:p>
      <w:pPr>
        <w:numPr>
          <w:ilvl w:val="0"/>
          <w:numId w:val="1323"/>
        </w:numPr>
        <w:pStyle w:val="Compact"/>
      </w:pPr>
      <w:r>
        <w:rPr>
          <w:bCs/>
          <w:b/>
        </w:rPr>
        <w:t xml:space="preserve">S2</w:t>
      </w:r>
      <w:r>
        <w:t xml:space="preserve"> </w:t>
      </w:r>
      <w:r>
        <w:t xml:space="preserve">– hormônios peptídicos, fatores de crescimento e substâncias relacionadas, entre eles o hormônio do crescimento, seus fatores liberadores e fragmentos, o IGF-1, a timosina beta-4 e, em homens, os fatores liberadores do hormônio luteinizante (LH).</w:t>
      </w:r>
    </w:p>
    <w:p>
      <w:pPr>
        <w:numPr>
          <w:ilvl w:val="0"/>
          <w:numId w:val="1323"/>
        </w:numPr>
        <w:pStyle w:val="Compact"/>
      </w:pPr>
      <w:r>
        <w:rPr>
          <w:bCs/>
          <w:b/>
        </w:rPr>
        <w:t xml:space="preserve">S4</w:t>
      </w:r>
      <w:r>
        <w:t xml:space="preserve"> </w:t>
      </w:r>
      <w:r>
        <w:t xml:space="preserve">– moduladores hormonais e metabólicos, entre eles ativadores da enzima AMPK.</w:t>
      </w:r>
    </w:p>
    <w:p>
      <w:pPr>
        <w:numPr>
          <w:ilvl w:val="0"/>
          <w:numId w:val="1323"/>
        </w:numPr>
        <w:pStyle w:val="Compact"/>
      </w:pPr>
      <w:r>
        <w:rPr>
          <w:bCs/>
          <w:b/>
        </w:rPr>
        <w:t xml:space="preserve">M2</w:t>
      </w:r>
      <w:r>
        <w:t xml:space="preserve"> </w:t>
      </w:r>
      <w:r>
        <w:t xml:space="preserve">– métodos proibidos, entre eles infusões de mais de 100 ml em doze horas.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Peptídeos</w:t>
            </w:r>
          </w:p>
        </w:tc>
        <w:tc>
          <w:tcPr/>
          <w:p>
            <w:pPr>
              <w:pStyle w:val="Compact"/>
              <w:jc w:val="left"/>
            </w:pPr>
            <w:r>
              <w:t xml:space="preserve">Status na WADA</w:t>
            </w:r>
          </w:p>
        </w:tc>
      </w:tr>
      <w:tr>
        <w:tc>
          <w:tcPr/>
          <w:p>
            <w:pPr>
              <w:pStyle w:val="Compact"/>
              <w:jc w:val="left"/>
            </w:pPr>
            <w:r>
              <w:t xml:space="preserve">AOD-9604, TB-500 / timosina beta-4, ARA-290, sermorelina, tesamorelina, CJC-1295, ipamorelina, GHRP-2, GHRP-6, hexarelina, macimorelina, mecasermina, IGF-1 LR3, ibutamoreno</w:t>
            </w:r>
          </w:p>
        </w:tc>
        <w:tc>
          <w:tcPr/>
          <w:p>
            <w:pPr>
              <w:pStyle w:val="Compact"/>
              <w:jc w:val="left"/>
            </w:pPr>
            <w:r>
              <w:t xml:space="preserve">proibidos, S2</w:t>
            </w:r>
          </w:p>
        </w:tc>
      </w:tr>
      <w:tr>
        <w:tc>
          <w:tcPr/>
          <w:p>
            <w:pPr>
              <w:pStyle w:val="Compact"/>
              <w:jc w:val="left"/>
            </w:pPr>
            <w:r>
              <w:t xml:space="preserve">Gonadorelina; kisspeptina</w:t>
            </w:r>
          </w:p>
        </w:tc>
        <w:tc>
          <w:tcPr/>
          <w:p>
            <w:pPr>
              <w:pStyle w:val="Compact"/>
              <w:jc w:val="left"/>
            </w:pPr>
            <w:r>
              <w:t xml:space="preserve">proibidas para homens, S2; kisspeptina, como princípio ativo não aprovado, adicionalmente S0</w:t>
            </w:r>
          </w:p>
        </w:tc>
      </w:tr>
      <w:tr>
        <w:tc>
          <w:tcPr/>
          <w:p>
            <w:pPr>
              <w:pStyle w:val="Compact"/>
              <w:jc w:val="left"/>
            </w:pPr>
            <w:r>
              <w:t xml:space="preserve">MOTS-c</w:t>
            </w:r>
          </w:p>
        </w:tc>
        <w:tc>
          <w:tcPr/>
          <w:p>
            <w:pPr>
              <w:pStyle w:val="Compact"/>
              <w:jc w:val="left"/>
            </w:pPr>
            <w:r>
              <w:t xml:space="preserve">proibido, S4 (ativador de AMPK)</w:t>
            </w:r>
          </w:p>
        </w:tc>
      </w:tr>
      <w:tr>
        <w:tc>
          <w:tcPr/>
          <w:p>
            <w:pPr>
              <w:pStyle w:val="Compact"/>
              <w:jc w:val="left"/>
            </w:pPr>
            <w:r>
              <w:t xml:space="preserve">Retatrutida, survodutida, CagriSema, amicretina, maridebarte cafraglutida, BPC-157, melanotan II</w:t>
            </w:r>
          </w:p>
        </w:tc>
        <w:tc>
          <w:tcPr/>
          <w:p>
            <w:pPr>
              <w:pStyle w:val="Compact"/>
              <w:jc w:val="left"/>
            </w:pPr>
            <w:r>
              <w:t xml:space="preserve">proibidos, S0</w:t>
            </w:r>
          </w:p>
        </w:tc>
      </w:tr>
      <w:tr>
        <w:tc>
          <w:tcPr/>
          <w:p>
            <w:pPr>
              <w:pStyle w:val="Compact"/>
              <w:jc w:val="left"/>
            </w:pPr>
            <w:r>
              <w:t xml:space="preserve">KPV, LL-37, Dihexa, Epitalon, Pinealon, humanina, FOXO4-DRI, orforglipron (até a aprovação)</w:t>
            </w:r>
          </w:p>
        </w:tc>
        <w:tc>
          <w:tcPr/>
          <w:p>
            <w:pPr>
              <w:pStyle w:val="Compact"/>
              <w:jc w:val="left"/>
            </w:pPr>
            <w:r>
              <w:t xml:space="preserve">não citados nominalmente; como substâncias não aprovadas, provavelmente S0</w:t>
            </w:r>
          </w:p>
        </w:tc>
      </w:tr>
      <w:tr>
        <w:tc>
          <w:tcPr/>
          <w:p>
            <w:pPr>
              <w:pStyle w:val="Compact"/>
              <w:jc w:val="left"/>
            </w:pPr>
            <w:r>
              <w:t xml:space="preserve">Mazdutida</w:t>
            </w:r>
          </w:p>
        </w:tc>
        <w:tc>
          <w:tcPr/>
          <w:p>
            <w:pPr>
              <w:pStyle w:val="Compact"/>
              <w:jc w:val="left"/>
            </w:pPr>
            <w:r>
              <w:t xml:space="preserve">não citada nominalmente; status S0 incerto devido à aprovação na China</w:t>
            </w:r>
          </w:p>
        </w:tc>
      </w:tr>
      <w:tr>
        <w:tc>
          <w:tcPr/>
          <w:p>
            <w:pPr>
              <w:pStyle w:val="Compact"/>
              <w:jc w:val="left"/>
            </w:pPr>
            <w:r>
              <w:t xml:space="preserve">GHK-Cu</w:t>
            </w:r>
          </w:p>
        </w:tc>
        <w:tc>
          <w:tcPr/>
          <w:p>
            <w:pPr>
              <w:pStyle w:val="Compact"/>
              <w:jc w:val="left"/>
            </w:pPr>
            <w:r>
              <w:t xml:space="preserve">como cosmético, não proibido; injeção possivelmente S0</w:t>
            </w:r>
          </w:p>
        </w:tc>
      </w:tr>
      <w:tr>
        <w:tc>
          <w:tcPr/>
          <w:p>
            <w:pPr>
              <w:pStyle w:val="Compact"/>
              <w:jc w:val="left"/>
            </w:pPr>
            <w:r>
              <w:t xml:space="preserve">Glutationa</w:t>
            </w:r>
          </w:p>
        </w:tc>
        <w:tc>
          <w:tcPr/>
          <w:p>
            <w:pPr>
              <w:pStyle w:val="Compact"/>
              <w:jc w:val="left"/>
            </w:pPr>
            <w:r>
              <w:t xml:space="preserve">substância não proibida; infusões de mais de 100 ml em doze horas proibidas (M2)</w:t>
            </w:r>
          </w:p>
        </w:tc>
      </w:tr>
      <w:tr>
        <w:tc>
          <w:tcPr/>
          <w:p>
            <w:pPr>
              <w:pStyle w:val="Compact"/>
              <w:jc w:val="left"/>
            </w:pPr>
            <w:r>
              <w:t xml:space="preserve">Semax, Selank, DSIP, SS-31, bremelanotida</w:t>
            </w:r>
          </w:p>
        </w:tc>
        <w:tc>
          <w:tcPr/>
          <w:p>
            <w:pPr>
              <w:pStyle w:val="Compact"/>
              <w:jc w:val="left"/>
            </w:pPr>
            <w:r>
              <w:t xml:space="preserve">não citados nominalmente; classificação não inequívoca</w:t>
            </w:r>
          </w:p>
        </w:tc>
      </w:tr>
      <w:tr>
        <w:tc>
          <w:tcPr/>
          <w:p>
            <w:pPr>
              <w:pStyle w:val="Compact"/>
              <w:jc w:val="left"/>
            </w:pPr>
            <w:r>
              <w:t xml:space="preserve">Exenatida, liraglutida, dulaglutida, semaglutida, tirzepatida, pranlintida, setmelanotida, timosina alfa 1, larazotida, timalina, cerebrolisina, afamelanotida, ocitocina, peptídeos de colágeno, lactotripeptídeos, carnosina, palmitoil pentapeptídeo-4, acetil hexapeptídeo-8</w:t>
            </w:r>
          </w:p>
        </w:tc>
        <w:tc>
          <w:tcPr/>
          <w:p>
            <w:pPr>
              <w:pStyle w:val="Compact"/>
              <w:jc w:val="left"/>
            </w:pPr>
            <w:r>
              <w:t xml:space="preserve">não listados</w:t>
            </w:r>
          </w:p>
        </w:tc>
      </w:tr>
    </w:tbl>
    <w:p>
      <w:pPr>
        <w:pStyle w:val="BodyText"/>
      </w:pPr>
      <w:r>
        <w:t xml:space="preserve">A lista não é exaustiva: o S0 abrange toda substância sem aprovação, e o S2 também</w:t>
      </w:r>
      <w:r>
        <w:t xml:space="preserve"> </w:t>
      </w:r>
      <w:r>
        <w:t xml:space="preserve">“</w:t>
      </w:r>
      <w:r>
        <w:t xml:space="preserve">substâncias relacionadas</w:t>
      </w:r>
      <w:r>
        <w:t xml:space="preserve">”</w:t>
      </w:r>
      <w:r>
        <w:t xml:space="preserve"> </w:t>
      </w:r>
      <w:r>
        <w:t xml:space="preserve">com efeito semelhante. Não citado nominalmente, portanto, não significa permitido. Justamente as substâncias do eixo do hormônio do crescimento, populares no treino de força, bem como BPC-157 e TB-500, são expressamente proibidas. Em caso de dúvida, as agências nacionais antidopagem dão informações.</w:t>
      </w:r>
    </w:p>
    <w:bookmarkEnd w:id="2532"/>
    <w:bookmarkEnd w:id="2533"/>
    <w:bookmarkStart w:id="2534" w:name="o-que-a-visão-geral-mostra"/>
    <w:p>
      <w:pPr>
        <w:pStyle w:val="Heading3"/>
      </w:pPr>
      <w:r>
        <w:t xml:space="preserve">O que a visão geral mostra</w:t>
      </w:r>
    </w:p>
    <w:p>
      <w:pPr>
        <w:pStyle w:val="FirstParagraph"/>
      </w:pPr>
      <w:r>
        <w:t xml:space="preserve">Os peptídeos bem estudados são quase exclusivamente medicamentos aprovados, provenientes de grandes estudos registrados previamente. A maioria dos peptídeos populares na internet tem nível de evidência C ou D, não está aprovada em lugar nenhum e é frequentemente proibida no esporte. Entre esses extremos estão substâncias que foram seriamente estudadas em humanos, mas cujos estudos não confirmaram o benefício esperado. Os dois capítulos seguintes aprofundam isso para os medicamentos GLP-1 e para os peptídeos mais populares da internet.</w:t>
      </w:r>
    </w:p>
    <w:bookmarkEnd w:id="2534"/>
    <w:bookmarkEnd w:id="2535"/>
    <w:bookmarkStart w:id="2577" w:name="glp-1-cia.-em-comparação-direta"/>
    <w:p>
      <w:pPr>
        <w:pStyle w:val="Heading2"/>
      </w:pPr>
      <w:r>
        <w:t xml:space="preserve">GLP-1 &amp; cia. em comparação direta</w:t>
      </w:r>
    </w:p>
    <w:p>
      <w:pPr>
        <w:pStyle w:val="FirstParagraph"/>
      </w:pPr>
      <w:r>
        <w:t xml:space="preserve">Nenhum outro grupo deste livro foi tão bem estudado quanto os medicamentos à base de incretinas: agonistas do receptor de GLP-1 como liraglutida e semaglutida, o agonista duplo tirzepatida e uma série de sucessores que atuam adicionalmente no receptor de glucagon ou de amilina. Para eles existem programas de aprovação com dezenas de milhares de participantes, grandes estudos cardiovasculares e, cada vez mais, também estudos de comparação direta. Este capítulo coloca lado a lado os resultados mais importantes. Todos os números vêm dos capítulos da Parte II, grupo A, e dos estudos ali citados; lá você também encontra as limitações de cada estudo individual.</w:t>
      </w:r>
    </w:p>
    <w:p>
      <w:pPr>
        <w:pStyle w:val="BodyText"/>
      </w:pPr>
      <w:r>
        <w:t xml:space="preserve">Este capítulo não é um guia de decisão para um tratamento. Qual medicamento é adequado em cada caso depende de doenças associadas, tolerabilidade, aprovação, cobertura dos custos e disponibilidade, e essa decisão cabe ao médico. Determinantes são a respectiva bula profissional e o acompanhamento médico.</w:t>
      </w:r>
    </w:p>
    <w:bookmarkStart w:id="2536" w:name="X8480cbe912d29b1ed7fb617f43ebfc63f92abf5"/>
    <w:p>
      <w:pPr>
        <w:pStyle w:val="Heading3"/>
      </w:pPr>
      <w:r>
        <w:t xml:space="preserve">Antes de tudo: por que não se pode simplesmente colocar estudos lado a lado</w:t>
      </w:r>
    </w:p>
    <w:p>
      <w:pPr>
        <w:pStyle w:val="FirstParagraph"/>
      </w:pPr>
      <w:r>
        <w:t xml:space="preserve">As tabelas deste capítulo convidam a comparar números de estudos diferentes – por exemplo, 20,9% de perda de peso com tirzepatida contra 14,9% com semaglutida. Essas comparações cruzadas (</w:t>
      </w:r>
      <w:r>
        <w:t xml:space="preserve">“</w:t>
      </w:r>
      <w:r>
        <w:t xml:space="preserve">cross-trial comparisons</w:t>
      </w:r>
      <w:r>
        <w:t xml:space="preserve">”</w:t>
      </w:r>
      <w:r>
        <w:t xml:space="preserve">) só são admissíveis com ressalvas. Os motivos:</w:t>
      </w:r>
    </w:p>
    <w:p>
      <w:pPr>
        <w:numPr>
          <w:ilvl w:val="0"/>
          <w:numId w:val="1324"/>
        </w:numPr>
        <w:pStyle w:val="Compact"/>
      </w:pPr>
      <w:r>
        <w:rPr>
          <w:bCs/>
          <w:b/>
        </w:rPr>
        <w:t xml:space="preserve">Participantes diferentes:</w:t>
      </w:r>
      <w:r>
        <w:t xml:space="preserve"> </w:t>
      </w:r>
      <w:r>
        <w:t xml:space="preserve">pessoas com diabetes tipo 2 perdem, com todos os medicamentos à base de incretinas, bem menos peso do que pessoas sem diabetes. Estudos na China ou no Japão incluem pessoas com peso inicial mais baixo do que estudos na América do Norte e na Europa.</w:t>
      </w:r>
    </w:p>
    <w:p>
      <w:pPr>
        <w:numPr>
          <w:ilvl w:val="0"/>
          <w:numId w:val="1324"/>
        </w:numPr>
        <w:pStyle w:val="Compact"/>
      </w:pPr>
      <w:r>
        <w:rPr>
          <w:bCs/>
          <w:b/>
        </w:rPr>
        <w:t xml:space="preserve">Duração diferente:</w:t>
      </w:r>
      <w:r>
        <w:t xml:space="preserve"> </w:t>
      </w:r>
      <w:r>
        <w:t xml:space="preserve">uma perda de peso após 48 semanas não é o mesmo que após 80 semanas; muitas curvas só se estabilizam tarde.</w:t>
      </w:r>
    </w:p>
    <w:p>
      <w:pPr>
        <w:numPr>
          <w:ilvl w:val="0"/>
          <w:numId w:val="1324"/>
        </w:numPr>
        <w:pStyle w:val="Compact"/>
      </w:pPr>
      <w:r>
        <w:rPr>
          <w:bCs/>
          <w:b/>
        </w:rPr>
        <w:t xml:space="preserve">Análise diferente:</w:t>
      </w:r>
      <w:r>
        <w:t xml:space="preserve"> </w:t>
      </w:r>
      <w:r>
        <w:t xml:space="preserve">alguns estudos analisam todos os participantes, mesmo que tenham interrompido o tratamento (o chamado estimador de estratégia de tratamento ou</w:t>
      </w:r>
      <w:r>
        <w:t xml:space="preserve"> </w:t>
      </w:r>
      <w:r>
        <w:t xml:space="preserve">“</w:t>
      </w:r>
      <w:r>
        <w:t xml:space="preserve">treatment policy</w:t>
      </w:r>
      <w:r>
        <w:t xml:space="preserve">”</w:t>
      </w:r>
      <w:r>
        <w:t xml:space="preserve">). Outros calculam como se todos tivessem tomado o medicamento conforme planejado. A segunda variante fornece números mais favoráveis.</w:t>
      </w:r>
    </w:p>
    <w:p>
      <w:pPr>
        <w:numPr>
          <w:ilvl w:val="0"/>
          <w:numId w:val="1324"/>
        </w:numPr>
        <w:pStyle w:val="Compact"/>
      </w:pPr>
      <w:r>
        <w:rPr>
          <w:bCs/>
          <w:b/>
        </w:rPr>
        <w:t xml:space="preserve">Grupos placebo diferentes:</w:t>
      </w:r>
      <w:r>
        <w:t xml:space="preserve"> </w:t>
      </w:r>
      <w:r>
        <w:t xml:space="preserve">com placebo, os participantes perderam, dependendo do estudo, entre nada e mais de 5% do peso, conforme a intensidade do aconselhamento nutricional e de atividade física que acompanhava o tratamento.</w:t>
      </w:r>
    </w:p>
    <w:p>
      <w:pPr>
        <w:numPr>
          <w:ilvl w:val="0"/>
          <w:numId w:val="1324"/>
        </w:numPr>
        <w:pStyle w:val="Compact"/>
      </w:pPr>
      <w:r>
        <w:rPr>
          <w:bCs/>
          <w:b/>
        </w:rPr>
        <w:t xml:space="preserve">Fases diferentes:</w:t>
      </w:r>
      <w:r>
        <w:t xml:space="preserve"> </w:t>
      </w:r>
      <w:r>
        <w:t xml:space="preserve">resultados de pequenos estudos de fase 2 costumam ser mais favoráveis do que os grandes estudos de fase 3 posteriores.</w:t>
      </w:r>
    </w:p>
    <w:p>
      <w:pPr>
        <w:pStyle w:val="FirstParagraph"/>
      </w:pPr>
      <w:r>
        <w:t xml:space="preserve">Uma comparação só é robusta quando duas substâncias foram atribuídas aleatoriamente no</w:t>
      </w:r>
      <w:r>
        <w:t xml:space="preserve"> </w:t>
      </w:r>
      <w:r>
        <w:rPr>
          <w:iCs/>
          <w:i/>
        </w:rPr>
        <w:t xml:space="preserve">mesmo</w:t>
      </w:r>
      <w:r>
        <w:t xml:space="preserve"> </w:t>
      </w:r>
      <w:r>
        <w:t xml:space="preserve">estudo. Essas comparações diretas estão reunidas no final deste capítulo. As demais tabelas mostram ordens de grandeza, não um ranking.</w:t>
      </w:r>
    </w:p>
    <w:bookmarkEnd w:id="2536"/>
    <w:bookmarkStart w:id="2543" w:name="perda-de-peso-nos-estudos-de-aprovação"/>
    <w:p>
      <w:pPr>
        <w:pStyle w:val="Heading3"/>
      </w:pPr>
      <w:r>
        <w:t xml:space="preserve">Perda de peso nos estudos de aprovação</w:t>
      </w:r>
    </w:p>
    <w:p>
      <w:pPr>
        <w:pStyle w:val="FirstParagraph"/>
      </w:pPr>
      <w:r>
        <w:t xml:space="preserve">A tabela a seguir mostra, para cada substância, o estudo controlado por placebo mais importante em adultos com sobrepeso ou obesidade</w:t>
      </w:r>
      <w:r>
        <w:t xml:space="preserve"> </w:t>
      </w:r>
      <w:r>
        <w:rPr>
          <w:iCs/>
          <w:i/>
        </w:rPr>
        <w:t xml:space="preserve">sem</w:t>
      </w:r>
      <w:r>
        <w:t xml:space="preserve"> </w:t>
      </w:r>
      <w:r>
        <w:t xml:space="preserve">diabetes. Indica-se a variação média do peso corporal na dose mais alta testada em comparação com placebo. Exenatida, dulaglutida e pranlintida não estão aprovadas para redução de peso e, por isso, não aparecem.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Substância</w:t>
            </w:r>
          </w:p>
        </w:tc>
        <w:tc>
          <w:tcPr/>
          <w:p>
            <w:pPr>
              <w:pStyle w:val="Compact"/>
              <w:jc w:val="left"/>
            </w:pPr>
            <w:r>
              <w:t xml:space="preserve">Estudo</w:t>
            </w:r>
          </w:p>
        </w:tc>
        <w:tc>
          <w:tcPr/>
          <w:p>
            <w:pPr>
              <w:pStyle w:val="Compact"/>
              <w:jc w:val="left"/>
            </w:pPr>
            <w:r>
              <w:t xml:space="preserve">Duração</w:t>
            </w:r>
          </w:p>
        </w:tc>
        <w:tc>
          <w:tcPr/>
          <w:p>
            <w:pPr>
              <w:pStyle w:val="Compact"/>
              <w:jc w:val="left"/>
            </w:pPr>
            <w:r>
              <w:t xml:space="preserve">Perda de peso vs. placebo</w:t>
            </w:r>
          </w:p>
        </w:tc>
      </w:tr>
      <w:tr>
        <w:tc>
          <w:tcPr/>
          <w:p>
            <w:pPr>
              <w:pStyle w:val="Compact"/>
              <w:jc w:val="left"/>
            </w:pPr>
            <w:r>
              <w:t xml:space="preserve">Liraglutida 3,0 mg</w:t>
            </w:r>
          </w:p>
        </w:tc>
        <w:tc>
          <w:tcPr/>
          <w:p>
            <w:pPr>
              <w:pStyle w:val="Compact"/>
              <w:jc w:val="left"/>
            </w:pPr>
            <w:r>
              <w:t xml:space="preserve">SCALE (Pi-Sunyer 2015), PMID 26132939</w:t>
            </w:r>
          </w:p>
        </w:tc>
        <w:tc>
          <w:tcPr/>
          <w:p>
            <w:pPr>
              <w:pStyle w:val="Compact"/>
              <w:jc w:val="left"/>
            </w:pPr>
            <w:r>
              <w:t xml:space="preserve">56 semanas</w:t>
            </w:r>
          </w:p>
        </w:tc>
        <w:tc>
          <w:tcPr/>
          <w:p>
            <w:pPr>
              <w:pStyle w:val="Compact"/>
              <w:jc w:val="left"/>
            </w:pPr>
            <w:r>
              <w:t xml:space="preserve">−8,4 kg vs. −2,8 kg</w:t>
            </w:r>
          </w:p>
        </w:tc>
      </w:tr>
      <w:tr>
        <w:tc>
          <w:tcPr/>
          <w:p>
            <w:pPr>
              <w:pStyle w:val="Compact"/>
              <w:jc w:val="left"/>
            </w:pPr>
            <w:r>
              <w:t xml:space="preserve">Semaglutida 2,4 mg</w:t>
            </w:r>
          </w:p>
        </w:tc>
        <w:tc>
          <w:tcPr/>
          <w:p>
            <w:pPr>
              <w:pStyle w:val="Compact"/>
              <w:jc w:val="left"/>
            </w:pPr>
            <w:r>
              <w:t xml:space="preserve">STEP 1 (Wilding 2021), PMID 33567185</w:t>
            </w:r>
          </w:p>
        </w:tc>
        <w:tc>
          <w:tcPr/>
          <w:p>
            <w:pPr>
              <w:pStyle w:val="Compact"/>
              <w:jc w:val="left"/>
            </w:pPr>
            <w:r>
              <w:t xml:space="preserve">68 semanas</w:t>
            </w:r>
          </w:p>
        </w:tc>
        <w:tc>
          <w:tcPr/>
          <w:p>
            <w:pPr>
              <w:pStyle w:val="Compact"/>
              <w:jc w:val="left"/>
            </w:pPr>
            <w:r>
              <w:t xml:space="preserve">−14,9% vs. −2,4%</w:t>
            </w:r>
          </w:p>
        </w:tc>
      </w:tr>
      <w:tr>
        <w:tc>
          <w:tcPr/>
          <w:p>
            <w:pPr>
              <w:pStyle w:val="Compact"/>
              <w:jc w:val="left"/>
            </w:pPr>
            <w:r>
              <w:t xml:space="preserve">Semaglutida 7,2 mg</w:t>
            </w:r>
          </w:p>
        </w:tc>
        <w:tc>
          <w:tcPr/>
          <w:p>
            <w:pPr>
              <w:pStyle w:val="Compact"/>
              <w:jc w:val="left"/>
            </w:pPr>
            <w:r>
              <w:t xml:space="preserve">STEP UP (Wharton 2025), PMID 40961952</w:t>
            </w:r>
          </w:p>
        </w:tc>
        <w:tc>
          <w:tcPr/>
          <w:p>
            <w:pPr>
              <w:pStyle w:val="Compact"/>
              <w:jc w:val="left"/>
            </w:pPr>
            <w:r>
              <w:t xml:space="preserve">72 semanas</w:t>
            </w:r>
          </w:p>
        </w:tc>
        <w:tc>
          <w:tcPr/>
          <w:p>
            <w:pPr>
              <w:pStyle w:val="Compact"/>
              <w:jc w:val="left"/>
            </w:pPr>
            <w:r>
              <w:t xml:space="preserve">−18,7% vs. −3,9%</w:t>
            </w:r>
          </w:p>
        </w:tc>
      </w:tr>
      <w:tr>
        <w:tc>
          <w:tcPr/>
          <w:p>
            <w:pPr>
              <w:pStyle w:val="Compact"/>
              <w:jc w:val="left"/>
            </w:pPr>
            <w:r>
              <w:t xml:space="preserve">Semaglutida comprimido 50 mg</w:t>
            </w:r>
          </w:p>
        </w:tc>
        <w:tc>
          <w:tcPr/>
          <w:p>
            <w:pPr>
              <w:pStyle w:val="Compact"/>
              <w:jc w:val="left"/>
            </w:pPr>
            <w:r>
              <w:t xml:space="preserve">OASIS 1 (Knop 2023), PMID 37385278</w:t>
            </w:r>
          </w:p>
        </w:tc>
        <w:tc>
          <w:tcPr/>
          <w:p>
            <w:pPr>
              <w:pStyle w:val="Compact"/>
              <w:jc w:val="left"/>
            </w:pPr>
            <w:r>
              <w:t xml:space="preserve">68 semanas</w:t>
            </w:r>
          </w:p>
        </w:tc>
        <w:tc>
          <w:tcPr/>
          <w:p>
            <w:pPr>
              <w:pStyle w:val="Compact"/>
              <w:jc w:val="left"/>
            </w:pPr>
            <w:r>
              <w:t xml:space="preserve">−15,1% vs. −2,4%</w:t>
            </w:r>
          </w:p>
        </w:tc>
      </w:tr>
      <w:tr>
        <w:tc>
          <w:tcPr/>
          <w:p>
            <w:pPr>
              <w:pStyle w:val="Compact"/>
              <w:jc w:val="left"/>
            </w:pPr>
            <w:r>
              <w:t xml:space="preserve">Tirzepatida 15 mg</w:t>
            </w:r>
          </w:p>
        </w:tc>
        <w:tc>
          <w:tcPr/>
          <w:p>
            <w:pPr>
              <w:pStyle w:val="Compact"/>
              <w:jc w:val="left"/>
            </w:pPr>
            <w:r>
              <w:t xml:space="preserve">SURMOUNT-1 (Jastreboff 2022), PMID 35658024</w:t>
            </w:r>
          </w:p>
        </w:tc>
        <w:tc>
          <w:tcPr/>
          <w:p>
            <w:pPr>
              <w:pStyle w:val="Compact"/>
              <w:jc w:val="left"/>
            </w:pPr>
            <w:r>
              <w:t xml:space="preserve">72 semanas</w:t>
            </w:r>
          </w:p>
        </w:tc>
        <w:tc>
          <w:tcPr/>
          <w:p>
            <w:pPr>
              <w:pStyle w:val="Compact"/>
              <w:jc w:val="left"/>
            </w:pPr>
            <w:r>
              <w:t xml:space="preserve">−20,9% vs. −3,1%</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68 semanas</w:t>
            </w:r>
          </w:p>
        </w:tc>
        <w:tc>
          <w:tcPr/>
          <w:p>
            <w:pPr>
              <w:pStyle w:val="Compact"/>
              <w:jc w:val="left"/>
            </w:pPr>
            <w:r>
              <w:t xml:space="preserve">−20,4% vs. −3,0%</w:t>
            </w:r>
          </w:p>
        </w:tc>
      </w:tr>
      <w:tr>
        <w:tc>
          <w:tcPr/>
          <w:p>
            <w:pPr>
              <w:pStyle w:val="Compact"/>
              <w:jc w:val="left"/>
            </w:pPr>
            <w:r>
              <w:t xml:space="preserve">Retatrutida 12 mg</w:t>
            </w:r>
          </w:p>
        </w:tc>
        <w:tc>
          <w:tcPr/>
          <w:p>
            <w:pPr>
              <w:pStyle w:val="Compact"/>
              <w:jc w:val="left"/>
            </w:pPr>
            <w:r>
              <w:t xml:space="preserve">TRIUMPH-1 (Jastreboff 2026), PMID 42814954</w:t>
            </w:r>
          </w:p>
        </w:tc>
        <w:tc>
          <w:tcPr/>
          <w:p>
            <w:pPr>
              <w:pStyle w:val="Compact"/>
              <w:jc w:val="left"/>
            </w:pPr>
            <w:r>
              <w:t xml:space="preserve">80 semanas</w:t>
            </w:r>
          </w:p>
        </w:tc>
        <w:tc>
          <w:tcPr/>
          <w:p>
            <w:pPr>
              <w:pStyle w:val="Compact"/>
              <w:jc w:val="left"/>
            </w:pPr>
            <w:r>
              <w:t xml:space="preserve">−25,0% vs. −3,9%</w:t>
            </w:r>
          </w:p>
        </w:tc>
      </w:tr>
      <w:tr>
        <w:tc>
          <w:tcPr/>
          <w:p>
            <w:pPr>
              <w:pStyle w:val="Compact"/>
              <w:jc w:val="left"/>
            </w:pPr>
            <w:r>
              <w:t xml:space="preserve">Survodutida 6,0 mg</w:t>
            </w:r>
          </w:p>
        </w:tc>
        <w:tc>
          <w:tcPr/>
          <w:p>
            <w:pPr>
              <w:pStyle w:val="Compact"/>
              <w:jc w:val="left"/>
            </w:pPr>
            <w:r>
              <w:t xml:space="preserve">SYNCHRONIZE-1 (le Roux 2026), PMID 42253238</w:t>
            </w:r>
          </w:p>
        </w:tc>
        <w:tc>
          <w:tcPr/>
          <w:p>
            <w:pPr>
              <w:pStyle w:val="Compact"/>
              <w:jc w:val="left"/>
            </w:pPr>
            <w:r>
              <w:t xml:space="preserve">76 semanas</w:t>
            </w:r>
          </w:p>
        </w:tc>
        <w:tc>
          <w:tcPr/>
          <w:p>
            <w:pPr>
              <w:pStyle w:val="Compact"/>
              <w:jc w:val="left"/>
            </w:pPr>
            <w:r>
              <w:t xml:space="preserve">−13,0% vs. −5,4%</w:t>
            </w:r>
          </w:p>
        </w:tc>
      </w:tr>
      <w:tr>
        <w:tc>
          <w:tcPr/>
          <w:p>
            <w:pPr>
              <w:pStyle w:val="Compact"/>
              <w:jc w:val="left"/>
            </w:pPr>
            <w:r>
              <w:t xml:space="preserve">Mazdutida 6 mg</w:t>
            </w:r>
          </w:p>
        </w:tc>
        <w:tc>
          <w:tcPr/>
          <w:p>
            <w:pPr>
              <w:pStyle w:val="Compact"/>
              <w:jc w:val="left"/>
            </w:pPr>
            <w:r>
              <w:t xml:space="preserve">GLORY-1 (Ji 2025), PMID 40421736</w:t>
            </w:r>
          </w:p>
        </w:tc>
        <w:tc>
          <w:tcPr/>
          <w:p>
            <w:pPr>
              <w:pStyle w:val="Compact"/>
              <w:jc w:val="left"/>
            </w:pPr>
            <w:r>
              <w:t xml:space="preserve">48 semanas</w:t>
            </w:r>
          </w:p>
        </w:tc>
        <w:tc>
          <w:tcPr/>
          <w:p>
            <w:pPr>
              <w:pStyle w:val="Compact"/>
              <w:jc w:val="left"/>
            </w:pPr>
            <w:r>
              <w:t xml:space="preserve">−14,0% vs. +0,3%</w:t>
            </w:r>
          </w:p>
        </w:tc>
      </w:tr>
      <w:tr>
        <w:tc>
          <w:tcPr/>
          <w:p>
            <w:pPr>
              <w:pStyle w:val="Compact"/>
              <w:jc w:val="left"/>
            </w:pPr>
            <w:r>
              <w:t xml:space="preserve">Maridebarte cafraglutida</w:t>
            </w:r>
          </w:p>
        </w:tc>
        <w:tc>
          <w:tcPr/>
          <w:p>
            <w:pPr>
              <w:pStyle w:val="Compact"/>
              <w:jc w:val="left"/>
            </w:pPr>
            <w:r>
              <w:t xml:space="preserve">Fase 2 (Jastreboff 2025), PMID 40549887</w:t>
            </w:r>
          </w:p>
        </w:tc>
        <w:tc>
          <w:tcPr/>
          <w:p>
            <w:pPr>
              <w:pStyle w:val="Compact"/>
              <w:jc w:val="left"/>
            </w:pPr>
            <w:r>
              <w:t xml:space="preserve">52 semanas</w:t>
            </w:r>
          </w:p>
        </w:tc>
        <w:tc>
          <w:tcPr/>
          <w:p>
            <w:pPr>
              <w:pStyle w:val="Compact"/>
              <w:jc w:val="left"/>
            </w:pPr>
            <w:r>
              <w:t xml:space="preserve">−12,3 a −16,2% vs. −2,5%</w:t>
            </w:r>
          </w:p>
        </w:tc>
      </w:tr>
      <w:tr>
        <w:tc>
          <w:tcPr/>
          <w:p>
            <w:pPr>
              <w:pStyle w:val="Compact"/>
              <w:jc w:val="left"/>
            </w:pPr>
            <w:r>
              <w:t xml:space="preserve">Amicretina (injeção)</w:t>
            </w:r>
          </w:p>
        </w:tc>
        <w:tc>
          <w:tcPr/>
          <w:p>
            <w:pPr>
              <w:pStyle w:val="Compact"/>
              <w:jc w:val="left"/>
            </w:pPr>
            <w:r>
              <w:t xml:space="preserve">Fase 1b/2a (Dahl 2025), PMID 40550231</w:t>
            </w:r>
          </w:p>
        </w:tc>
        <w:tc>
          <w:tcPr/>
          <w:p>
            <w:pPr>
              <w:pStyle w:val="Compact"/>
              <w:jc w:val="left"/>
            </w:pPr>
            <w:r>
              <w:t xml:space="preserve">36 semanas</w:t>
            </w:r>
          </w:p>
        </w:tc>
        <w:tc>
          <w:tcPr/>
          <w:p>
            <w:pPr>
              <w:pStyle w:val="Compact"/>
              <w:jc w:val="left"/>
            </w:pPr>
            <w:r>
              <w:t xml:space="preserve">até −24,3% vs. −1,1%</w:t>
            </w:r>
          </w:p>
        </w:tc>
      </w:tr>
      <w:tr>
        <w:tc>
          <w:tcPr/>
          <w:p>
            <w:pPr>
              <w:pStyle w:val="Compact"/>
              <w:jc w:val="left"/>
            </w:pPr>
            <w:r>
              <w:t xml:space="preserve">Orforglipron 36 mg (comprimido, não é peptídeo)</w:t>
            </w:r>
          </w:p>
        </w:tc>
        <w:tc>
          <w:tcPr/>
          <w:p>
            <w:pPr>
              <w:pStyle w:val="Compact"/>
              <w:jc w:val="left"/>
            </w:pPr>
            <w:r>
              <w:t xml:space="preserve">ATTAIN-1 (Wharton 2025), PMID 40960239</w:t>
            </w:r>
          </w:p>
        </w:tc>
        <w:tc>
          <w:tcPr/>
          <w:p>
            <w:pPr>
              <w:pStyle w:val="Compact"/>
              <w:jc w:val="left"/>
            </w:pPr>
            <w:r>
              <w:t xml:space="preserve">72 semanas</w:t>
            </w:r>
          </w:p>
        </w:tc>
        <w:tc>
          <w:tcPr/>
          <w:p>
            <w:pPr>
              <w:pStyle w:val="Compact"/>
              <w:jc w:val="left"/>
            </w:pPr>
            <w:r>
              <w:t xml:space="preserve">−11,2% vs. −2,1%</w:t>
            </w:r>
          </w:p>
        </w:tc>
      </w:tr>
    </w:tbl>
    <w:p>
      <w:pPr>
        <w:pStyle w:val="BodyText"/>
      </w:pPr>
      <w:r>
        <w:t xml:space="preserve">Para situar cada linha:</w:t>
      </w:r>
    </w:p>
    <w:p>
      <w:pPr>
        <w:numPr>
          <w:ilvl w:val="0"/>
          <w:numId w:val="1325"/>
        </w:numPr>
        <w:pStyle w:val="Compact"/>
      </w:pPr>
      <w:r>
        <w:rPr>
          <w:bCs/>
          <w:b/>
        </w:rPr>
        <w:t xml:space="preserve">Liraglutida</w:t>
      </w:r>
      <w:r>
        <w:t xml:space="preserve"> </w:t>
      </w:r>
      <w:r>
        <w:t xml:space="preserve">é a única substância cujo estudo de aprovação informa a perda em quilogramas como resultado principal; com um peso inicial de 106,2 kg, isso corresponde a cerca de 8%. No estudo de comparação direta STEP 8, foram −6,4% (ver abaixo).</w:t>
      </w:r>
    </w:p>
    <w:p>
      <w:pPr>
        <w:numPr>
          <w:ilvl w:val="0"/>
          <w:numId w:val="1325"/>
        </w:numPr>
        <w:pStyle w:val="Compact"/>
      </w:pPr>
      <w:r>
        <w:rPr>
          <w:bCs/>
          <w:b/>
        </w:rPr>
        <w:t xml:space="preserve">Retatrutida, CagriSema, survodutida, maridebarte cafraglutida e amicretina</w:t>
      </w:r>
      <w:r>
        <w:t xml:space="preserve"> </w:t>
      </w:r>
      <w:r>
        <w:t xml:space="preserve">não estão aprovadas (situação em outubro de 2026). Para maridebarte cafraglutida e amicretina há apenas dados de fase 2; o estudo da amicretina incluiu 125 pessoas, e o valor se refere à dose mais alta de um estudo de determinação de dose.</w:t>
      </w:r>
    </w:p>
    <w:p>
      <w:pPr>
        <w:numPr>
          <w:ilvl w:val="0"/>
          <w:numId w:val="1325"/>
        </w:numPr>
        <w:pStyle w:val="Compact"/>
      </w:pPr>
      <w:r>
        <w:rPr>
          <w:bCs/>
          <w:b/>
        </w:rPr>
        <w:t xml:space="preserve">Mazdutida</w:t>
      </w:r>
      <w:r>
        <w:t xml:space="preserve"> </w:t>
      </w:r>
      <w:r>
        <w:t xml:space="preserve">está aprovada apenas na China. O GLORY-1 incluiu, segundo critérios chineses, pessoas a partir de um IMC de 28 (ou 24 com doença associada); o peso inicial médio era de 87,2 kg. No GLORY-2, com uma dose mais alta, foram −16,65% contra −1,50% após 60 semanas</w:t>
      </w:r>
      <w:r>
        <w:rPr>
          <w:rStyle w:val="FootnoteReference"/>
        </w:rPr>
        <w:footnoteReference w:id="2537"/>
      </w:r>
      <w:r>
        <w:t xml:space="preserve">.</w:t>
      </w:r>
    </w:p>
    <w:p>
      <w:pPr>
        <w:numPr>
          <w:ilvl w:val="0"/>
          <w:numId w:val="1325"/>
        </w:numPr>
        <w:pStyle w:val="Compact"/>
      </w:pPr>
      <w:r>
        <w:rPr>
          <w:bCs/>
          <w:b/>
        </w:rPr>
        <w:t xml:space="preserve">Survodutida</w:t>
      </w:r>
      <w:r>
        <w:t xml:space="preserve"> </w:t>
      </w:r>
      <w:r>
        <w:t xml:space="preserve">chama a atenção pela alta perda no grupo placebo, de 5,4%; a análise principal considerou expressamente também interrupções e titulações prolongadas.</w:t>
      </w:r>
    </w:p>
    <w:p>
      <w:pPr>
        <w:pStyle w:val="FirstParagraph"/>
      </w:pPr>
      <w:r>
        <w:t xml:space="preserve">Nota-se uma escala: agonistas puros de GLP-1 alcançam em média cerca de 8 a 15%, a dose mais alta de semaglutida quase 19%, combinações com GIP ou amilina cerca de 20%, o agonista triplo retatrutida 25%. Essa ordem é sustentada pelas comparações diretas SURMOUNT-5, STEP 8 e REDEFINE 5; para a retatrutida, a comparação direta com a tirzepatida ainda está pendente</w:t>
      </w:r>
      <w:r>
        <w:rPr>
          <w:rStyle w:val="FootnoteReference"/>
        </w:rPr>
        <w:footnoteReference w:id="2538"/>
      </w:r>
      <w:r>
        <w:t xml:space="preserve">.</w:t>
      </w:r>
    </w:p>
    <w:bookmarkStart w:id="2539" w:name="X990dae4da74a6dac4f6543899137df87fc6c13c"/>
    <w:p>
      <w:pPr>
        <w:pStyle w:val="Heading4"/>
      </w:pPr>
      <w:r>
        <w:t xml:space="preserve">Com diabetes tipo 2, a perda de peso é menor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Substância</w:t>
            </w:r>
          </w:p>
        </w:tc>
        <w:tc>
          <w:tcPr/>
          <w:p>
            <w:pPr>
              <w:pStyle w:val="Compact"/>
              <w:jc w:val="left"/>
            </w:pPr>
            <w:r>
              <w:t xml:space="preserve">Estudo</w:t>
            </w:r>
          </w:p>
        </w:tc>
        <w:tc>
          <w:tcPr/>
          <w:p>
            <w:pPr>
              <w:pStyle w:val="Compact"/>
              <w:jc w:val="left"/>
            </w:pPr>
            <w:r>
              <w:t xml:space="preserve">Duração</w:t>
            </w:r>
          </w:p>
        </w:tc>
        <w:tc>
          <w:tcPr/>
          <w:p>
            <w:pPr>
              <w:pStyle w:val="Compact"/>
              <w:jc w:val="left"/>
            </w:pPr>
            <w:r>
              <w:t xml:space="preserve">Perda de peso vs. placebo</w:t>
            </w:r>
          </w:p>
        </w:tc>
      </w:tr>
      <w:tr>
        <w:tc>
          <w:tcPr/>
          <w:p>
            <w:pPr>
              <w:pStyle w:val="Compact"/>
              <w:jc w:val="left"/>
            </w:pPr>
            <w:r>
              <w:t xml:space="preserve">Liraglutida 3,0 mg</w:t>
            </w:r>
          </w:p>
        </w:tc>
        <w:tc>
          <w:tcPr/>
          <w:p>
            <w:pPr>
              <w:pStyle w:val="Compact"/>
              <w:jc w:val="left"/>
            </w:pPr>
            <w:r>
              <w:t xml:space="preserve">SCALE Diabetes (Davies 2015), PMID 26284720</w:t>
            </w:r>
          </w:p>
        </w:tc>
        <w:tc>
          <w:tcPr/>
          <w:p>
            <w:pPr>
              <w:pStyle w:val="Compact"/>
              <w:jc w:val="left"/>
            </w:pPr>
            <w:r>
              <w:t xml:space="preserve">56 semanas</w:t>
            </w:r>
          </w:p>
        </w:tc>
        <w:tc>
          <w:tcPr/>
          <w:p>
            <w:pPr>
              <w:pStyle w:val="Compact"/>
              <w:jc w:val="left"/>
            </w:pPr>
            <w:r>
              <w:t xml:space="preserve">−6,0% vs. −2,0%</w:t>
            </w:r>
          </w:p>
        </w:tc>
      </w:tr>
      <w:tr>
        <w:tc>
          <w:tcPr/>
          <w:p>
            <w:pPr>
              <w:pStyle w:val="Compact"/>
              <w:jc w:val="left"/>
            </w:pPr>
            <w:r>
              <w:t xml:space="preserve">Semaglutida 2,4 mg</w:t>
            </w:r>
          </w:p>
        </w:tc>
        <w:tc>
          <w:tcPr/>
          <w:p>
            <w:pPr>
              <w:pStyle w:val="Compact"/>
              <w:jc w:val="left"/>
            </w:pPr>
            <w:r>
              <w:t xml:space="preserve">STEP 2 (Davies 2021), PMID 33667417</w:t>
            </w:r>
          </w:p>
        </w:tc>
        <w:tc>
          <w:tcPr/>
          <w:p>
            <w:pPr>
              <w:pStyle w:val="Compact"/>
              <w:jc w:val="left"/>
            </w:pPr>
            <w:r>
              <w:t xml:space="preserve">68 semanas</w:t>
            </w:r>
          </w:p>
        </w:tc>
        <w:tc>
          <w:tcPr/>
          <w:p>
            <w:pPr>
              <w:pStyle w:val="Compact"/>
              <w:jc w:val="left"/>
            </w:pPr>
            <w:r>
              <w:t xml:space="preserve">−9,6% vs. −3,4%</w:t>
            </w:r>
          </w:p>
        </w:tc>
      </w:tr>
      <w:tr>
        <w:tc>
          <w:tcPr/>
          <w:p>
            <w:pPr>
              <w:pStyle w:val="Compact"/>
              <w:jc w:val="left"/>
            </w:pPr>
            <w:r>
              <w:t xml:space="preserve">Tirzepatida 10/15 mg</w:t>
            </w:r>
          </w:p>
        </w:tc>
        <w:tc>
          <w:tcPr/>
          <w:p>
            <w:pPr>
              <w:pStyle w:val="Compact"/>
              <w:jc w:val="left"/>
            </w:pPr>
            <w:r>
              <w:t xml:space="preserve">SURMOUNT-2 (Garvey 2023), PMID 37385275</w:t>
            </w:r>
          </w:p>
        </w:tc>
        <w:tc>
          <w:tcPr/>
          <w:p>
            <w:pPr>
              <w:pStyle w:val="Compact"/>
              <w:jc w:val="left"/>
            </w:pPr>
            <w:r>
              <w:t xml:space="preserve">72 semanas</w:t>
            </w:r>
          </w:p>
        </w:tc>
        <w:tc>
          <w:tcPr/>
          <w:p>
            <w:pPr>
              <w:pStyle w:val="Compact"/>
              <w:jc w:val="left"/>
            </w:pPr>
            <w:r>
              <w:t xml:space="preserve">−12,8 / −14,7% vs. −3,2%</w:t>
            </w:r>
          </w:p>
        </w:tc>
      </w:tr>
      <w:tr>
        <w:tc>
          <w:tcPr/>
          <w:p>
            <w:pPr>
              <w:pStyle w:val="Compact"/>
              <w:jc w:val="left"/>
            </w:pPr>
            <w:r>
              <w:t xml:space="preserve">CagriSema</w:t>
            </w:r>
          </w:p>
        </w:tc>
        <w:tc>
          <w:tcPr/>
          <w:p>
            <w:pPr>
              <w:pStyle w:val="Compact"/>
              <w:jc w:val="left"/>
            </w:pPr>
            <w:r>
              <w:t xml:space="preserve">REDEFINE 2 (Davies 2025), PMID 40544432</w:t>
            </w:r>
          </w:p>
        </w:tc>
        <w:tc>
          <w:tcPr/>
          <w:p>
            <w:pPr>
              <w:pStyle w:val="Compact"/>
              <w:jc w:val="left"/>
            </w:pPr>
            <w:r>
              <w:t xml:space="preserve">68 semanas</w:t>
            </w:r>
          </w:p>
        </w:tc>
        <w:tc>
          <w:tcPr/>
          <w:p>
            <w:pPr>
              <w:pStyle w:val="Compact"/>
              <w:jc w:val="left"/>
            </w:pPr>
            <w:r>
              <w:t xml:space="preserve">−13,7% vs. −3,4%</w:t>
            </w:r>
          </w:p>
        </w:tc>
      </w:tr>
      <w:tr>
        <w:tc>
          <w:tcPr/>
          <w:p>
            <w:pPr>
              <w:pStyle w:val="Compact"/>
              <w:jc w:val="left"/>
            </w:pPr>
            <w:r>
              <w:t xml:space="preserve">Retatrutida 12 mg</w:t>
            </w:r>
          </w:p>
        </w:tc>
        <w:tc>
          <w:tcPr/>
          <w:p>
            <w:pPr>
              <w:pStyle w:val="Compact"/>
              <w:jc w:val="left"/>
            </w:pPr>
            <w:r>
              <w:t xml:space="preserve">TRIUMPH-2 (Bellido 2026), PMID 42810372</w:t>
            </w:r>
          </w:p>
        </w:tc>
        <w:tc>
          <w:tcPr/>
          <w:p>
            <w:pPr>
              <w:pStyle w:val="Compact"/>
              <w:jc w:val="left"/>
            </w:pPr>
            <w:r>
              <w:t xml:space="preserve">80 semanas</w:t>
            </w:r>
          </w:p>
        </w:tc>
        <w:tc>
          <w:tcPr/>
          <w:p>
            <w:pPr>
              <w:pStyle w:val="Compact"/>
              <w:jc w:val="left"/>
            </w:pPr>
            <w:r>
              <w:t xml:space="preserve">−18,8% vs. −5,1%</w:t>
            </w:r>
          </w:p>
        </w:tc>
      </w:tr>
      <w:tr>
        <w:tc>
          <w:tcPr/>
          <w:p>
            <w:pPr>
              <w:pStyle w:val="Compact"/>
              <w:jc w:val="left"/>
            </w:pPr>
            <w:r>
              <w:t xml:space="preserve">Survodutida</w:t>
            </w:r>
          </w:p>
        </w:tc>
        <w:tc>
          <w:tcPr/>
          <w:p>
            <w:pPr>
              <w:pStyle w:val="Compact"/>
              <w:jc w:val="left"/>
            </w:pPr>
            <w:r>
              <w:t xml:space="preserve">SYNCHRONIZE-2 (Wharton 2026), PMID 42820639</w:t>
            </w:r>
          </w:p>
        </w:tc>
        <w:tc>
          <w:tcPr/>
          <w:p>
            <w:pPr>
              <w:pStyle w:val="Compact"/>
              <w:jc w:val="left"/>
            </w:pPr>
            <w:r>
              <w:t xml:space="preserve">76 semanas</w:t>
            </w:r>
          </w:p>
        </w:tc>
        <w:tc>
          <w:tcPr/>
          <w:p>
            <w:pPr>
              <w:pStyle w:val="Compact"/>
              <w:jc w:val="left"/>
            </w:pPr>
            <w:r>
              <w:t xml:space="preserve">−8,2 / −9,8% vs. −3,9%</w:t>
            </w:r>
          </w:p>
        </w:tc>
      </w:tr>
      <w:tr>
        <w:tc>
          <w:tcPr/>
          <w:p>
            <w:pPr>
              <w:pStyle w:val="Compact"/>
              <w:jc w:val="left"/>
            </w:pPr>
            <w:r>
              <w:t xml:space="preserve">Orforglipron</w:t>
            </w:r>
          </w:p>
        </w:tc>
        <w:tc>
          <w:tcPr/>
          <w:p>
            <w:pPr>
              <w:pStyle w:val="Compact"/>
              <w:jc w:val="left"/>
            </w:pPr>
            <w:r>
              <w:t xml:space="preserve">ATTAIN-2 (Horn 2026), PMID 41275875</w:t>
            </w:r>
          </w:p>
        </w:tc>
        <w:tc>
          <w:tcPr/>
          <w:p>
            <w:pPr>
              <w:pStyle w:val="Compact"/>
              <w:jc w:val="left"/>
            </w:pPr>
            <w:r>
              <w:t xml:space="preserve">72 semanas</w:t>
            </w:r>
          </w:p>
        </w:tc>
        <w:tc>
          <w:tcPr/>
          <w:p>
            <w:pPr>
              <w:pStyle w:val="Compact"/>
              <w:jc w:val="left"/>
            </w:pPr>
            <w:r>
              <w:t xml:space="preserve">−5,1 a −9,6% vs. −2,5%</w:t>
            </w:r>
          </w:p>
        </w:tc>
      </w:tr>
    </w:tbl>
    <w:p>
      <w:pPr>
        <w:pStyle w:val="BodyText"/>
      </w:pPr>
      <w:r>
        <w:t xml:space="preserve">Em todas as substâncias, o valor com diabetes é bem mais baixo do que sem, geralmente de um quarto a um terço. Esse padrão é tão constante que comparar um estudo em diabetes com um estudo em obesidade sem diabetes sempre leva a conclusões erradas.</w:t>
      </w:r>
    </w:p>
    <w:bookmarkEnd w:id="2539"/>
    <w:bookmarkStart w:id="2542" w:name="após-a-suspensão"/>
    <w:p>
      <w:pPr>
        <w:pStyle w:val="Heading4"/>
      </w:pPr>
      <w:r>
        <w:t xml:space="preserve">Após a suspensão</w:t>
      </w:r>
    </w:p>
    <w:p>
      <w:pPr>
        <w:pStyle w:val="FirstParagraph"/>
      </w:pPr>
      <w:r>
        <w:t xml:space="preserve">Dois estudos investigaram especificamente o que acontece após a suspensão. No STEP 4, todos os participantes receberam primeiro 20 semanas de semaglutida; depois, o grupo que passou para placebo recuperou 6,9% do peso em 48 semanas, enquanto o grupo com semaglutida perdeu mais 7,9%</w:t>
      </w:r>
      <w:r>
        <w:rPr>
          <w:rStyle w:val="FootnoteReference"/>
        </w:rPr>
        <w:footnoteReference w:id="2540"/>
      </w:r>
      <w:r>
        <w:t xml:space="preserve">. No SURMOUNT-4, o grupo placebo, após 36 semanas de tirzepatida, recuperou 14,0% do peso nas 52 semanas seguintes</w:t>
      </w:r>
      <w:r>
        <w:rPr>
          <w:rStyle w:val="FootnoteReference"/>
        </w:rPr>
        <w:footnoteReference w:id="2541"/>
      </w:r>
      <w:r>
        <w:t xml:space="preserve">. Para ambas as substâncias vale: o efeito só se mantém enquanto se trata. Para as substâncias mais novas, ainda não há dados publicados sobre isso.</w:t>
      </w:r>
    </w:p>
    <w:bookmarkEnd w:id="2542"/>
    <w:bookmarkEnd w:id="2543"/>
    <w:bookmarkStart w:id="2545" w:name="glicemia-hba1c"/>
    <w:p>
      <w:pPr>
        <w:pStyle w:val="Heading3"/>
      </w:pPr>
      <w:r>
        <w:t xml:space="preserve">Glicemia: HbA1c</w:t>
      </w:r>
    </w:p>
    <w:p>
      <w:pPr>
        <w:pStyle w:val="FirstParagraph"/>
      </w:pPr>
      <w:r>
        <w:t xml:space="preserve">O valor de HbA1c (</w:t>
      </w:r>
      <w:r>
        <w:t xml:space="preserve">“</w:t>
      </w:r>
      <w:r>
        <w:t xml:space="preserve">glicemia de longo prazo</w:t>
      </w:r>
      <w:r>
        <w:t xml:space="preserve">”</w:t>
      </w:r>
      <w:r>
        <w:t xml:space="preserve">) indica que proporção do pigmento vermelho do sangue está ligada a açúcar e reflete a glicemia média dos últimos dois a três meses. Uma redução de um ponto percentual é considerada clinicamente relevante. O quanto o valor cai depende muito do valor inicial: quem começa com 9% pode perder mais do que alguém com 7,5%.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Substância</w:t>
            </w:r>
          </w:p>
        </w:tc>
        <w:tc>
          <w:tcPr/>
          <w:p>
            <w:pPr>
              <w:pStyle w:val="Compact"/>
              <w:jc w:val="left"/>
            </w:pPr>
            <w:r>
              <w:t xml:space="preserve">Estudo</w:t>
            </w:r>
          </w:p>
        </w:tc>
        <w:tc>
          <w:tcPr/>
          <w:p>
            <w:pPr>
              <w:pStyle w:val="Compact"/>
              <w:jc w:val="left"/>
            </w:pPr>
            <w:r>
              <w:t xml:space="preserve">Duração</w:t>
            </w:r>
          </w:p>
        </w:tc>
        <w:tc>
          <w:tcPr/>
          <w:p>
            <w:pPr>
              <w:pStyle w:val="Compact"/>
              <w:jc w:val="left"/>
            </w:pPr>
            <w:r>
              <w:t xml:space="preserve">Variação da HbA1c (pontos percentuais)</w:t>
            </w:r>
          </w:p>
        </w:tc>
      </w:tr>
      <w:tr>
        <w:tc>
          <w:tcPr/>
          <w:p>
            <w:pPr>
              <w:pStyle w:val="Compact"/>
              <w:jc w:val="left"/>
            </w:pPr>
            <w:r>
              <w:t xml:space="preserve">Exenatida duas vezes ao dia</w:t>
            </w:r>
          </w:p>
        </w:tc>
        <w:tc>
          <w:tcPr/>
          <w:p>
            <w:pPr>
              <w:pStyle w:val="Compact"/>
              <w:jc w:val="left"/>
            </w:pPr>
            <w:r>
              <w:t xml:space="preserve">DeFronzo 2005, PMID 15855572</w:t>
            </w:r>
          </w:p>
        </w:tc>
        <w:tc>
          <w:tcPr/>
          <w:p>
            <w:pPr>
              <w:pStyle w:val="Compact"/>
              <w:jc w:val="left"/>
            </w:pPr>
            <w:r>
              <w:t xml:space="preserve">30 semanas</w:t>
            </w:r>
          </w:p>
        </w:tc>
        <w:tc>
          <w:tcPr/>
          <w:p>
            <w:pPr>
              <w:pStyle w:val="Compact"/>
              <w:jc w:val="left"/>
            </w:pPr>
            <w:r>
              <w:t xml:space="preserve">−0,78 vs. +0,08 (placebo)</w:t>
            </w:r>
          </w:p>
        </w:tc>
      </w:tr>
      <w:tr>
        <w:tc>
          <w:tcPr/>
          <w:p>
            <w:pPr>
              <w:pStyle w:val="Compact"/>
              <w:jc w:val="left"/>
            </w:pPr>
            <w:r>
              <w:t xml:space="preserve">Pranlintida</w:t>
            </w:r>
          </w:p>
        </w:tc>
        <w:tc>
          <w:tcPr/>
          <w:p>
            <w:pPr>
              <w:pStyle w:val="Compact"/>
              <w:jc w:val="left"/>
            </w:pPr>
            <w:r>
              <w:t xml:space="preserve">Hollander 2003, PMID 12610038</w:t>
            </w:r>
          </w:p>
        </w:tc>
        <w:tc>
          <w:tcPr/>
          <w:p>
            <w:pPr>
              <w:pStyle w:val="Compact"/>
              <w:jc w:val="left"/>
            </w:pPr>
            <w:r>
              <w:t xml:space="preserve">52 semanas</w:t>
            </w:r>
          </w:p>
        </w:tc>
        <w:tc>
          <w:tcPr/>
          <w:p>
            <w:pPr>
              <w:pStyle w:val="Compact"/>
              <w:jc w:val="left"/>
            </w:pPr>
            <w:r>
              <w:t xml:space="preserve">−0,62 (além da insulina)</w:t>
            </w:r>
          </w:p>
        </w:tc>
      </w:tr>
      <w:tr>
        <w:tc>
          <w:tcPr/>
          <w:p>
            <w:pPr>
              <w:pStyle w:val="Compact"/>
              <w:jc w:val="left"/>
            </w:pPr>
            <w:r>
              <w:t xml:space="preserve">Liraglutida 1,8 mg</w:t>
            </w:r>
          </w:p>
        </w:tc>
        <w:tc>
          <w:tcPr/>
          <w:p>
            <w:pPr>
              <w:pStyle w:val="Compact"/>
              <w:jc w:val="left"/>
            </w:pPr>
            <w:r>
              <w:t xml:space="preserve">LEAD-3 (Garber 2009), PMID 18819705</w:t>
            </w:r>
          </w:p>
        </w:tc>
        <w:tc>
          <w:tcPr/>
          <w:p>
            <w:pPr>
              <w:pStyle w:val="Compact"/>
              <w:jc w:val="left"/>
            </w:pPr>
            <w:r>
              <w:t xml:space="preserve">52 semanas</w:t>
            </w:r>
          </w:p>
        </w:tc>
        <w:tc>
          <w:tcPr/>
          <w:p>
            <w:pPr>
              <w:pStyle w:val="Compact"/>
              <w:jc w:val="left"/>
            </w:pPr>
            <w:r>
              <w:t xml:space="preserve">−1,14 vs. −0,51 (glimepirida)</w:t>
            </w:r>
          </w:p>
        </w:tc>
      </w:tr>
      <w:tr>
        <w:tc>
          <w:tcPr/>
          <w:p>
            <w:pPr>
              <w:pStyle w:val="Compact"/>
              <w:jc w:val="left"/>
            </w:pPr>
            <w:r>
              <w:t xml:space="preserve">Dulaglutida 4,5 mg</w:t>
            </w:r>
          </w:p>
        </w:tc>
        <w:tc>
          <w:tcPr/>
          <w:p>
            <w:pPr>
              <w:pStyle w:val="Compact"/>
              <w:jc w:val="left"/>
            </w:pPr>
            <w:r>
              <w:t xml:space="preserve">AWARD-11 (Frias 2021), PMID 33397768</w:t>
            </w:r>
          </w:p>
        </w:tc>
        <w:tc>
          <w:tcPr/>
          <w:p>
            <w:pPr>
              <w:pStyle w:val="Compact"/>
              <w:jc w:val="left"/>
            </w:pPr>
            <w:r>
              <w:t xml:space="preserve">36 semanas</w:t>
            </w:r>
          </w:p>
        </w:tc>
        <w:tc>
          <w:tcPr/>
          <w:p>
            <w:pPr>
              <w:pStyle w:val="Compact"/>
              <w:jc w:val="left"/>
            </w:pPr>
            <w:r>
              <w:t xml:space="preserve">−1,77 vs. −1,54 (1,5 mg)</w:t>
            </w:r>
          </w:p>
        </w:tc>
      </w:tr>
      <w:tr>
        <w:tc>
          <w:tcPr/>
          <w:p>
            <w:pPr>
              <w:pStyle w:val="Compact"/>
              <w:jc w:val="left"/>
            </w:pPr>
            <w:r>
              <w:t xml:space="preserve">Semaglutida 1,0 mg</w:t>
            </w:r>
          </w:p>
        </w:tc>
        <w:tc>
          <w:tcPr/>
          <w:p>
            <w:pPr>
              <w:pStyle w:val="Compact"/>
              <w:jc w:val="left"/>
            </w:pPr>
            <w:r>
              <w:t xml:space="preserve">SUSTAIN 1 (Sorli 2017), PMID 28110911</w:t>
            </w:r>
          </w:p>
        </w:tc>
        <w:tc>
          <w:tcPr/>
          <w:p>
            <w:pPr>
              <w:pStyle w:val="Compact"/>
              <w:jc w:val="left"/>
            </w:pPr>
            <w:r>
              <w:t xml:space="preserve">30 semanas</w:t>
            </w:r>
          </w:p>
        </w:tc>
        <w:tc>
          <w:tcPr/>
          <w:p>
            <w:pPr>
              <w:pStyle w:val="Compact"/>
              <w:jc w:val="left"/>
            </w:pPr>
            <w:r>
              <w:t xml:space="preserve">−1,55 vs. −0,02 (placebo)</w:t>
            </w:r>
          </w:p>
        </w:tc>
      </w:tr>
      <w:tr>
        <w:tc>
          <w:tcPr/>
          <w:p>
            <w:pPr>
              <w:pStyle w:val="Compact"/>
              <w:jc w:val="left"/>
            </w:pPr>
            <w:r>
              <w:t xml:space="preserve">Semaglutida 2,0 mg</w:t>
            </w:r>
          </w:p>
        </w:tc>
        <w:tc>
          <w:tcPr/>
          <w:p>
            <w:pPr>
              <w:pStyle w:val="Compact"/>
              <w:jc w:val="left"/>
            </w:pPr>
            <w:r>
              <w:t xml:space="preserve">SUSTAIN FORTE (Frías 2021), PMID 34293304</w:t>
            </w:r>
          </w:p>
        </w:tc>
        <w:tc>
          <w:tcPr/>
          <w:p>
            <w:pPr>
              <w:pStyle w:val="Compact"/>
              <w:jc w:val="left"/>
            </w:pPr>
            <w:r>
              <w:t xml:space="preserve">40 semanas</w:t>
            </w:r>
          </w:p>
        </w:tc>
        <w:tc>
          <w:tcPr/>
          <w:p>
            <w:pPr>
              <w:pStyle w:val="Compact"/>
              <w:jc w:val="left"/>
            </w:pPr>
            <w:r>
              <w:t xml:space="preserve">−2,2 vs. −1,9 (1,0 mg)</w:t>
            </w:r>
          </w:p>
        </w:tc>
      </w:tr>
      <w:tr>
        <w:tc>
          <w:tcPr/>
          <w:p>
            <w:pPr>
              <w:pStyle w:val="Compact"/>
              <w:jc w:val="left"/>
            </w:pPr>
            <w:r>
              <w:t xml:space="preserve">Tirzepatida 5–15 mg</w:t>
            </w:r>
          </w:p>
        </w:tc>
        <w:tc>
          <w:tcPr/>
          <w:p>
            <w:pPr>
              <w:pStyle w:val="Compact"/>
              <w:jc w:val="left"/>
            </w:pPr>
            <w:r>
              <w:t xml:space="preserve">SURPASS-1 (Rosenstock 2021), PMID 34186022</w:t>
            </w:r>
          </w:p>
        </w:tc>
        <w:tc>
          <w:tcPr/>
          <w:p>
            <w:pPr>
              <w:pStyle w:val="Compact"/>
              <w:jc w:val="left"/>
            </w:pPr>
            <w:r>
              <w:t xml:space="preserve">40 semanas</w:t>
            </w:r>
          </w:p>
        </w:tc>
        <w:tc>
          <w:tcPr/>
          <w:p>
            <w:pPr>
              <w:pStyle w:val="Compact"/>
              <w:jc w:val="left"/>
            </w:pPr>
            <w:r>
              <w:t xml:space="preserve">−1,87 a −2,07 vs. +0,04 (placebo)</w:t>
            </w:r>
          </w:p>
        </w:tc>
      </w:tr>
      <w:tr>
        <w:tc>
          <w:tcPr/>
          <w:p>
            <w:pPr>
              <w:pStyle w:val="Compact"/>
              <w:jc w:val="left"/>
            </w:pPr>
            <w:r>
              <w:t xml:space="preserve">Retatrutida</w:t>
            </w:r>
          </w:p>
        </w:tc>
        <w:tc>
          <w:tcPr/>
          <w:p>
            <w:pPr>
              <w:pStyle w:val="Compact"/>
              <w:jc w:val="left"/>
            </w:pPr>
            <w:r>
              <w:t xml:space="preserve">TRANSCEND-T2D-1 (Bajaj 2026), PMID 42250575</w:t>
            </w:r>
          </w:p>
        </w:tc>
        <w:tc>
          <w:tcPr/>
          <w:p>
            <w:pPr>
              <w:pStyle w:val="Compact"/>
              <w:jc w:val="left"/>
            </w:pPr>
            <w:r>
              <w:t xml:space="preserve">40 semanas</w:t>
            </w:r>
          </w:p>
        </w:tc>
        <w:tc>
          <w:tcPr/>
          <w:p>
            <w:pPr>
              <w:pStyle w:val="Compact"/>
              <w:jc w:val="left"/>
            </w:pPr>
            <w:r>
              <w:t xml:space="preserve">−1,69 a −1,94 vs. −0,81 (placebo)</w:t>
            </w:r>
          </w:p>
        </w:tc>
      </w:tr>
      <w:tr>
        <w:tc>
          <w:tcPr/>
          <w:p>
            <w:pPr>
              <w:pStyle w:val="Compact"/>
              <w:jc w:val="left"/>
            </w:pPr>
            <w:r>
              <w:t xml:space="preserve">Mazdutida</w:t>
            </w:r>
          </w:p>
        </w:tc>
        <w:tc>
          <w:tcPr/>
          <w:p>
            <w:pPr>
              <w:pStyle w:val="Compact"/>
              <w:jc w:val="left"/>
            </w:pPr>
            <w:r>
              <w:t xml:space="preserve">DREAMS-1 (Zhu 2026), PMID 41407859</w:t>
            </w:r>
          </w:p>
        </w:tc>
        <w:tc>
          <w:tcPr/>
          <w:p>
            <w:pPr>
              <w:pStyle w:val="Compact"/>
              <w:jc w:val="left"/>
            </w:pPr>
            <w:r>
              <w:t xml:space="preserve">24 semanas</w:t>
            </w:r>
          </w:p>
        </w:tc>
        <w:tc>
          <w:tcPr/>
          <w:p>
            <w:pPr>
              <w:pStyle w:val="Compact"/>
              <w:jc w:val="left"/>
            </w:pPr>
            <w:r>
              <w:t xml:space="preserve">−1,57 / −2,15 vs. −0,14 (placebo)</w:t>
            </w:r>
          </w:p>
        </w:tc>
      </w:tr>
      <w:tr>
        <w:tc>
          <w:tcPr/>
          <w:p>
            <w:pPr>
              <w:pStyle w:val="Compact"/>
              <w:jc w:val="left"/>
            </w:pPr>
            <w:r>
              <w:t xml:space="preserve">CagriSema</w:t>
            </w:r>
          </w:p>
        </w:tc>
        <w:tc>
          <w:tcPr/>
          <w:p>
            <w:pPr>
              <w:pStyle w:val="Compact"/>
              <w:jc w:val="left"/>
            </w:pPr>
            <w:r>
              <w:t xml:space="preserve">REIMAGINE 1 (Aroda 2026), PMID 42251860</w:t>
            </w:r>
          </w:p>
        </w:tc>
        <w:tc>
          <w:tcPr/>
          <w:p>
            <w:pPr>
              <w:pStyle w:val="Compact"/>
              <w:jc w:val="left"/>
            </w:pPr>
            <w:r>
              <w:t xml:space="preserve">40 semanas</w:t>
            </w:r>
          </w:p>
        </w:tc>
        <w:tc>
          <w:tcPr/>
          <w:p>
            <w:pPr>
              <w:pStyle w:val="Compact"/>
              <w:jc w:val="left"/>
            </w:pPr>
            <w:r>
              <w:t xml:space="preserve">−1,8 vs. −0,1 (placebo)</w:t>
            </w:r>
          </w:p>
        </w:tc>
      </w:tr>
      <w:tr>
        <w:tc>
          <w:tcPr/>
          <w:p>
            <w:pPr>
              <w:pStyle w:val="Compact"/>
              <w:jc w:val="left"/>
            </w:pPr>
            <w:r>
              <w:t xml:space="preserve">Maridebarte cafraglutida</w:t>
            </w:r>
          </w:p>
        </w:tc>
        <w:tc>
          <w:tcPr/>
          <w:p>
            <w:pPr>
              <w:pStyle w:val="Compact"/>
              <w:jc w:val="left"/>
            </w:pPr>
            <w:r>
              <w:t xml:space="preserve">Fase 2 (Jastreboff 2025), PMID 40549887</w:t>
            </w:r>
          </w:p>
        </w:tc>
        <w:tc>
          <w:tcPr/>
          <w:p>
            <w:pPr>
              <w:pStyle w:val="Compact"/>
              <w:jc w:val="left"/>
            </w:pPr>
            <w:r>
              <w:t xml:space="preserve">52 semanas</w:t>
            </w:r>
          </w:p>
        </w:tc>
        <w:tc>
          <w:tcPr/>
          <w:p>
            <w:pPr>
              <w:pStyle w:val="Compact"/>
              <w:jc w:val="left"/>
            </w:pPr>
            <w:r>
              <w:t xml:space="preserve">−1,2 a −1,6 vs. +0,1 (placebo)</w:t>
            </w:r>
          </w:p>
        </w:tc>
      </w:tr>
      <w:tr>
        <w:tc>
          <w:tcPr/>
          <w:p>
            <w:pPr>
              <w:pStyle w:val="Compact"/>
              <w:jc w:val="left"/>
            </w:pPr>
            <w:r>
              <w:t xml:space="preserve">Orforglipron</w:t>
            </w:r>
          </w:p>
        </w:tc>
        <w:tc>
          <w:tcPr/>
          <w:p>
            <w:pPr>
              <w:pStyle w:val="Compact"/>
              <w:jc w:val="left"/>
            </w:pPr>
            <w:r>
              <w:t xml:space="preserve">ACHIEVE-1 (Rosenstock 2025), PMID 40544435</w:t>
            </w:r>
          </w:p>
        </w:tc>
        <w:tc>
          <w:tcPr/>
          <w:p>
            <w:pPr>
              <w:pStyle w:val="Compact"/>
              <w:jc w:val="left"/>
            </w:pPr>
            <w:r>
              <w:t xml:space="preserve">40 semanas</w:t>
            </w:r>
          </w:p>
        </w:tc>
        <w:tc>
          <w:tcPr/>
          <w:p>
            <w:pPr>
              <w:pStyle w:val="Compact"/>
              <w:jc w:val="left"/>
            </w:pPr>
            <w:r>
              <w:t xml:space="preserve">−1,24 a −1,48 vs. −0,41 (placebo)</w:t>
            </w:r>
          </w:p>
        </w:tc>
      </w:tr>
    </w:tbl>
    <w:p>
      <w:pPr>
        <w:pStyle w:val="BodyText"/>
      </w:pPr>
      <w:r>
        <w:t xml:space="preserve">As substâncias mais antigas, exenatida e pranlintida, reduzem a HbA1c em menos de um ponto percentual, os agonistas semanais de GLP-1 em cerca de 1,5 ponto, a tirzepatida e os agonistas múltiplos mais novos em cerca de 2 pontos. Na glicemia, as diferenças entre as substâncias mais novas são menores do que no peso. O REIMAGINE 2 mostra isso de forma especialmente clara: ali, o CagriSema reduziu a HbA1c apenas 0,16 ponto percentual a mais do que a semaglutida 2,4 mg isolada (−1,91 vs. −1,75; Buse 2026, PMID 42251859). O acréscimo de amilina atua, portanto, sobretudo no peso.</w:t>
      </w:r>
    </w:p>
    <w:p>
      <w:pPr>
        <w:pStyle w:val="BodyText"/>
      </w:pPr>
      <w:r>
        <w:t xml:space="preserve">Uma diferença importante diz respeito à hipoglicemia. Como o GLP-1 só aumenta a secreção de insulina quando a glicemia está elevada, hipoglicemias são raras com esses medicamentos isoladamente. Elas se tornam mais frequentes quando insulina ou sulfonilureias são usadas ao mesmo tempo. Na pranlintida, que só é usada em associação à insulina prandial, a hipoglicemia grave é o risco mais importante</w:t>
      </w:r>
      <w:r>
        <w:rPr>
          <w:rStyle w:val="FootnoteReference"/>
        </w:rPr>
        <w:footnoteReference w:id="2544"/>
      </w:r>
      <w:r>
        <w:t xml:space="preserve">.</w:t>
      </w:r>
    </w:p>
    <w:bookmarkEnd w:id="2545"/>
    <w:bookmarkStart w:id="2553" w:name="estudos-de-desfechos-cardiovasculares"/>
    <w:p>
      <w:pPr>
        <w:pStyle w:val="Heading3"/>
      </w:pPr>
      <w:r>
        <w:t xml:space="preserve">Estudos de desfechos cardiovasculares</w:t>
      </w:r>
    </w:p>
    <w:p>
      <w:pPr>
        <w:pStyle w:val="FirstParagraph"/>
      </w:pPr>
      <w:r>
        <w:t xml:space="preserve">Estudos de desfechos não medem valores laboratoriais, mas eventos que importam para os pacientes: morte cardiovascular, infarto do miocárdio e AVC, agrupados como</w:t>
      </w:r>
      <w:r>
        <w:t xml:space="preserve"> </w:t>
      </w:r>
      <w:r>
        <w:t xml:space="preserve">“</w:t>
      </w:r>
      <w:r>
        <w:t xml:space="preserve">MACE</w:t>
      </w:r>
      <w:r>
        <w:t xml:space="preserve">”</w:t>
      </w:r>
      <w:r>
        <w:t xml:space="preserve"> </w:t>
      </w:r>
      <w:r>
        <w:t xml:space="preserve">(major adverse cardiovascular events). A razão de risco (hazard ratio, HR) indica quão alto foi o risco em comparação com o grupo controle; 0,80 significa um risco relativo 20% menor.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 (substância)</w:t>
            </w:r>
          </w:p>
        </w:tc>
        <w:tc>
          <w:tcPr/>
          <w:p>
            <w:pPr>
              <w:pStyle w:val="Compact"/>
              <w:jc w:val="left"/>
            </w:pPr>
            <w:r>
              <w:t xml:space="preserve">Participantes</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LEADER (liraglutida; Marso 2016), PMID 27295427</w:t>
            </w:r>
          </w:p>
        </w:tc>
        <w:tc>
          <w:tcPr/>
          <w:p>
            <w:pPr>
              <w:pStyle w:val="Compact"/>
              <w:jc w:val="left"/>
            </w:pPr>
            <w:r>
              <w:t xml:space="preserve">9.340 com diabetes tipo 2 e alto risco</w:t>
            </w:r>
          </w:p>
        </w:tc>
        <w:tc>
          <w:tcPr/>
          <w:p>
            <w:pPr>
              <w:pStyle w:val="Compact"/>
              <w:jc w:val="left"/>
            </w:pPr>
            <w:r>
              <w:t xml:space="preserve">mediana de 3,8 anos</w:t>
            </w:r>
          </w:p>
        </w:tc>
        <w:tc>
          <w:tcPr/>
          <w:p>
            <w:pPr>
              <w:pStyle w:val="Compact"/>
              <w:jc w:val="left"/>
            </w:pPr>
            <w:r>
              <w:t xml:space="preserve">13,0% vs. 14,9%; HR 0,87</w:t>
            </w:r>
          </w:p>
        </w:tc>
      </w:tr>
      <w:tr>
        <w:tc>
          <w:tcPr/>
          <w:p>
            <w:pPr>
              <w:pStyle w:val="Compact"/>
              <w:jc w:val="left"/>
            </w:pPr>
            <w:r>
              <w:t xml:space="preserve">SUSTAIN 6 (semaglutida; Marso 2016), PMID 27633186</w:t>
            </w:r>
          </w:p>
        </w:tc>
        <w:tc>
          <w:tcPr/>
          <w:p>
            <w:pPr>
              <w:pStyle w:val="Compact"/>
              <w:jc w:val="left"/>
            </w:pPr>
            <w:r>
              <w:t xml:space="preserve">3.297 com diabetes tipo 2 e alto risco</w:t>
            </w:r>
          </w:p>
        </w:tc>
        <w:tc>
          <w:tcPr/>
          <w:p>
            <w:pPr>
              <w:pStyle w:val="Compact"/>
              <w:jc w:val="left"/>
            </w:pPr>
            <w:r>
              <w:t xml:space="preserve">104 semanas</w:t>
            </w:r>
          </w:p>
        </w:tc>
        <w:tc>
          <w:tcPr/>
          <w:p>
            <w:pPr>
              <w:pStyle w:val="Compact"/>
              <w:jc w:val="left"/>
            </w:pPr>
            <w:r>
              <w:t xml:space="preserve">6,6% vs. 8,9%; HR 0,74</w:t>
            </w:r>
          </w:p>
        </w:tc>
      </w:tr>
      <w:tr>
        <w:tc>
          <w:tcPr/>
          <w:p>
            <w:pPr>
              <w:pStyle w:val="Compact"/>
              <w:jc w:val="left"/>
            </w:pPr>
            <w:r>
              <w:t xml:space="preserve">PIONEER 6 (semaglutida comprimido; Husain 2019), PMID 31185157</w:t>
            </w:r>
          </w:p>
        </w:tc>
        <w:tc>
          <w:tcPr/>
          <w:p>
            <w:pPr>
              <w:pStyle w:val="Compact"/>
              <w:jc w:val="left"/>
            </w:pPr>
            <w:r>
              <w:t xml:space="preserve">3.183 com diabetes tipo 2 e alto risco</w:t>
            </w:r>
          </w:p>
        </w:tc>
        <w:tc>
          <w:tcPr/>
          <w:p>
            <w:pPr>
              <w:pStyle w:val="Compact"/>
              <w:jc w:val="left"/>
            </w:pPr>
            <w:r>
              <w:t xml:space="preserve">mediana de 15,9 meses</w:t>
            </w:r>
          </w:p>
        </w:tc>
        <w:tc>
          <w:tcPr/>
          <w:p>
            <w:pPr>
              <w:pStyle w:val="Compact"/>
              <w:jc w:val="left"/>
            </w:pPr>
            <w:r>
              <w:t xml:space="preserve">3,8% vs. 4,8%; HR 0,79, demonstrada apenas não inferioridade</w:t>
            </w:r>
          </w:p>
        </w:tc>
      </w:tr>
      <w:tr>
        <w:tc>
          <w:tcPr/>
          <w:p>
            <w:pPr>
              <w:pStyle w:val="Compact"/>
              <w:jc w:val="left"/>
            </w:pPr>
            <w:r>
              <w:t xml:space="preserve">SOUL (semaglutida comprimido; McGuire 2025), PMID 40162642</w:t>
            </w:r>
          </w:p>
        </w:tc>
        <w:tc>
          <w:tcPr/>
          <w:p>
            <w:pPr>
              <w:pStyle w:val="Compact"/>
              <w:jc w:val="left"/>
            </w:pPr>
            <w:r>
              <w:t xml:space="preserve">9.650 com diabetes tipo 2 e doença vascular ou renal</w:t>
            </w:r>
          </w:p>
        </w:tc>
        <w:tc>
          <w:tcPr/>
          <w:p>
            <w:pPr>
              <w:pStyle w:val="Compact"/>
              <w:jc w:val="left"/>
            </w:pPr>
            <w:r>
              <w:t xml:space="preserve">mediana de 49,5 meses</w:t>
            </w:r>
          </w:p>
        </w:tc>
        <w:tc>
          <w:tcPr/>
          <w:p>
            <w:pPr>
              <w:pStyle w:val="Compact"/>
              <w:jc w:val="left"/>
            </w:pPr>
            <w:r>
              <w:t xml:space="preserve">12,0% vs. 13,8%; HR 0,86</w:t>
            </w:r>
          </w:p>
        </w:tc>
      </w:tr>
      <w:tr>
        <w:tc>
          <w:tcPr/>
          <w:p>
            <w:pPr>
              <w:pStyle w:val="Compact"/>
              <w:jc w:val="left"/>
            </w:pPr>
            <w:r>
              <w:t xml:space="preserve">SELECT (semaglutida 2,4 mg; Lincoff 2023), PMID 37952131</w:t>
            </w:r>
          </w:p>
        </w:tc>
        <w:tc>
          <w:tcPr/>
          <w:p>
            <w:pPr>
              <w:pStyle w:val="Compact"/>
              <w:jc w:val="left"/>
            </w:pPr>
            <w:r>
              <w:t xml:space="preserve">17.604 com sobrepeso e doença cardiovascular, sem diabetes</w:t>
            </w:r>
          </w:p>
        </w:tc>
        <w:tc>
          <w:tcPr/>
          <w:p>
            <w:pPr>
              <w:pStyle w:val="Compact"/>
              <w:jc w:val="left"/>
            </w:pPr>
            <w:r>
              <w:t xml:space="preserve">média de 39,8 meses</w:t>
            </w:r>
          </w:p>
        </w:tc>
        <w:tc>
          <w:tcPr/>
          <w:p>
            <w:pPr>
              <w:pStyle w:val="Compact"/>
              <w:jc w:val="left"/>
            </w:pPr>
            <w:r>
              <w:t xml:space="preserve">6,5% vs. 8,0%; HR 0,80</w:t>
            </w:r>
          </w:p>
        </w:tc>
      </w:tr>
      <w:tr>
        <w:tc>
          <w:tcPr/>
          <w:p>
            <w:pPr>
              <w:pStyle w:val="Compact"/>
              <w:jc w:val="left"/>
            </w:pPr>
            <w:r>
              <w:t xml:space="preserve">REWIND (dulaglutida; Gerstein 2019), PMID 31189511</w:t>
            </w:r>
          </w:p>
        </w:tc>
        <w:tc>
          <w:tcPr/>
          <w:p>
            <w:pPr>
              <w:pStyle w:val="Compact"/>
              <w:jc w:val="left"/>
            </w:pPr>
            <w:r>
              <w:t xml:space="preserve">9.901 com diabetes tipo 2, com ou sem doença cardiovascular prévia</w:t>
            </w:r>
          </w:p>
        </w:tc>
        <w:tc>
          <w:tcPr/>
          <w:p>
            <w:pPr>
              <w:pStyle w:val="Compact"/>
              <w:jc w:val="left"/>
            </w:pPr>
            <w:r>
              <w:t xml:space="preserve">mediana de 5,4 anos</w:t>
            </w:r>
          </w:p>
        </w:tc>
        <w:tc>
          <w:tcPr/>
          <w:p>
            <w:pPr>
              <w:pStyle w:val="Compact"/>
              <w:jc w:val="left"/>
            </w:pPr>
            <w:r>
              <w:t xml:space="preserve">12,0% vs. 13,4%; HR 0,88</w:t>
            </w:r>
          </w:p>
        </w:tc>
      </w:tr>
      <w:tr>
        <w:tc>
          <w:tcPr/>
          <w:p>
            <w:pPr>
              <w:pStyle w:val="Compact"/>
              <w:jc w:val="left"/>
            </w:pPr>
            <w:r>
              <w:t xml:space="preserve">EXSCEL (exenatida semanal; Holman 2017), PMID 28910237</w:t>
            </w:r>
          </w:p>
        </w:tc>
        <w:tc>
          <w:tcPr/>
          <w:p>
            <w:pPr>
              <w:pStyle w:val="Compact"/>
              <w:jc w:val="left"/>
            </w:pPr>
            <w:r>
              <w:t xml:space="preserve">14.752 com diabetes tipo 2</w:t>
            </w:r>
          </w:p>
        </w:tc>
        <w:tc>
          <w:tcPr/>
          <w:p>
            <w:pPr>
              <w:pStyle w:val="Compact"/>
              <w:jc w:val="left"/>
            </w:pPr>
            <w:r>
              <w:t xml:space="preserve">mediana de 3,2 anos</w:t>
            </w:r>
          </w:p>
        </w:tc>
        <w:tc>
          <w:tcPr/>
          <w:p>
            <w:pPr>
              <w:pStyle w:val="Compact"/>
              <w:jc w:val="left"/>
            </w:pPr>
            <w:r>
              <w:t xml:space="preserve">11,4% vs. 12,2%; HR 0,91, superioridade não alcançada por pouco</w:t>
            </w:r>
          </w:p>
        </w:tc>
      </w:tr>
      <w:tr>
        <w:tc>
          <w:tcPr/>
          <w:p>
            <w:pPr>
              <w:pStyle w:val="Compact"/>
              <w:jc w:val="left"/>
            </w:pPr>
            <w:r>
              <w:t xml:space="preserve">SURPASS-CVOT (tirzepatida contra dulaglutida; Nicholls 2025), PMID 41406444</w:t>
            </w:r>
          </w:p>
        </w:tc>
        <w:tc>
          <w:tcPr/>
          <w:p>
            <w:pPr>
              <w:pStyle w:val="Compact"/>
              <w:jc w:val="left"/>
            </w:pPr>
            <w:r>
              <w:t xml:space="preserve">13.165 com diabetes tipo 2 e doença vascular</w:t>
            </w:r>
          </w:p>
        </w:tc>
        <w:tc>
          <w:tcPr/>
          <w:p>
            <w:pPr>
              <w:pStyle w:val="Compact"/>
              <w:jc w:val="left"/>
            </w:pPr>
            <w:r>
              <w:t xml:space="preserve">vários anos</w:t>
            </w:r>
          </w:p>
        </w:tc>
        <w:tc>
          <w:tcPr/>
          <w:p>
            <w:pPr>
              <w:pStyle w:val="Compact"/>
              <w:jc w:val="left"/>
            </w:pPr>
            <w:r>
              <w:t xml:space="preserve">12,2% vs. 13,1%; HR 0,92, não inferior</w:t>
            </w:r>
          </w:p>
        </w:tc>
      </w:tr>
      <w:tr>
        <w:tc>
          <w:tcPr/>
          <w:p>
            <w:pPr>
              <w:pStyle w:val="Compact"/>
              <w:jc w:val="left"/>
            </w:pPr>
            <w:r>
              <w:t xml:space="preserve">ACHIEVE-4 (orforglipron contra insulina glargina; Klein 2026), PMID 42815506</w:t>
            </w:r>
          </w:p>
        </w:tc>
        <w:tc>
          <w:tcPr/>
          <w:p>
            <w:pPr>
              <w:pStyle w:val="Compact"/>
              <w:jc w:val="left"/>
            </w:pPr>
            <w:r>
              <w:t xml:space="preserve">2.749 com diabetes tipo 2 e alto risco</w:t>
            </w:r>
          </w:p>
        </w:tc>
        <w:tc>
          <w:tcPr/>
          <w:p>
            <w:pPr>
              <w:pStyle w:val="Compact"/>
              <w:jc w:val="left"/>
            </w:pPr>
            <w:r>
              <w:t xml:space="preserve">mediana de 2 anos</w:t>
            </w:r>
          </w:p>
        </w:tc>
        <w:tc>
          <w:tcPr/>
          <w:p>
            <w:pPr>
              <w:pStyle w:val="Compact"/>
              <w:jc w:val="left"/>
            </w:pPr>
            <w:r>
              <w:t xml:space="preserve">4,2% vs. 5,0% (MACE-4), não inferior</w:t>
            </w:r>
          </w:p>
        </w:tc>
      </w:tr>
    </w:tbl>
    <w:p>
      <w:pPr>
        <w:pStyle w:val="BodyText"/>
      </w:pPr>
      <w:r>
        <w:t xml:space="preserve">O que esta tabela mostra:</w:t>
      </w:r>
    </w:p>
    <w:p>
      <w:pPr>
        <w:numPr>
          <w:ilvl w:val="0"/>
          <w:numId w:val="1326"/>
        </w:numPr>
        <w:pStyle w:val="Compact"/>
      </w:pPr>
      <w:r>
        <w:rPr>
          <w:bCs/>
          <w:b/>
        </w:rPr>
        <w:t xml:space="preserve">A classe reduz o risco.</w:t>
      </w:r>
      <w:r>
        <w:t xml:space="preserve"> </w:t>
      </w:r>
      <w:r>
        <w:t xml:space="preserve">Uma metanálise de sete estudos de desfechos controlados por placebo, com um total de 56.004 participantes, encontrou para os agonistas do receptor de GLP-1 no diabetes tipo 2 12% menos eventos cardiovasculares graves (HR 0,88), 12% menos mortes por qualquer causa e 9% menos internações por insuficiência cardíaca, sem diferenças relevantes entre os subgrupos</w:t>
      </w:r>
      <w:r>
        <w:rPr>
          <w:rStyle w:val="FootnoteReference"/>
        </w:rPr>
        <w:footnoteReference w:id="2546"/>
      </w:r>
      <w:r>
        <w:t xml:space="preserve">. Nessa metanálise entraram também duas substâncias que não são tratadas neste livro.</w:t>
      </w:r>
    </w:p>
    <w:p>
      <w:pPr>
        <w:numPr>
          <w:ilvl w:val="0"/>
          <w:numId w:val="1326"/>
        </w:numPr>
        <w:pStyle w:val="Compact"/>
      </w:pPr>
      <w:r>
        <w:rPr>
          <w:bCs/>
          <w:b/>
        </w:rPr>
        <w:t xml:space="preserve">Diferenças entre as substâncias são incertas.</w:t>
      </w:r>
      <w:r>
        <w:t xml:space="preserve"> </w:t>
      </w:r>
      <w:r>
        <w:t xml:space="preserve">A exenatida ficou no limite mais fraco no EXSCEL; discutem-se a própria molécula, a alta taxa de abandono e o desenho pragmático do estudo. Um implante de bomba de exenatida (FREEDOM-CVO) cumpriu apenas o critério de segurança (HR 1,21; Ruff 2022, PMID 34873344).</w:t>
      </w:r>
    </w:p>
    <w:p>
      <w:pPr>
        <w:numPr>
          <w:ilvl w:val="0"/>
          <w:numId w:val="1326"/>
        </w:numPr>
        <w:pStyle w:val="Compact"/>
      </w:pPr>
      <w:r>
        <w:rPr>
          <w:bCs/>
          <w:b/>
        </w:rPr>
        <w:t xml:space="preserve">O SELECT é um caso especial.</w:t>
      </w:r>
      <w:r>
        <w:t xml:space="preserve"> </w:t>
      </w:r>
      <w:r>
        <w:t xml:space="preserve">Nesta visão geral, é o único grande estudo de desfechos exclusivamente em pessoas</w:t>
      </w:r>
      <w:r>
        <w:t xml:space="preserve"> </w:t>
      </w:r>
      <w:r>
        <w:rPr>
          <w:iCs/>
          <w:i/>
        </w:rPr>
        <w:t xml:space="preserve">sem</w:t>
      </w:r>
      <w:r>
        <w:t xml:space="preserve"> </w:t>
      </w:r>
      <w:r>
        <w:t xml:space="preserve">diabetes. Em números absolutos, ao longo de pouco mais de três anos, cerca de 1,5 em cada cem tratados tiveram um evento grave a menos.</w:t>
      </w:r>
    </w:p>
    <w:p>
      <w:pPr>
        <w:numPr>
          <w:ilvl w:val="0"/>
          <w:numId w:val="1326"/>
        </w:numPr>
        <w:pStyle w:val="Compact"/>
      </w:pPr>
      <w:r>
        <w:rPr>
          <w:bCs/>
          <w:b/>
        </w:rPr>
        <w:t xml:space="preserve">A tirzepatida foi testada contra um medicamento eficaz.</w:t>
      </w:r>
      <w:r>
        <w:t xml:space="preserve"> </w:t>
      </w:r>
      <w:r>
        <w:t xml:space="preserve">O SURPASS-CVOT não comparou a tirzepatida com placebo, mas com a dulaglutida, que no REWIND havia ela própria reduzido o risco. A tirzepatida não foi inferior; a superioridade formal não foi alcançada por pouco. Qual seria o benefício em relação a nenhum tratamento só pode ser estimado a partir disso por meio de modelos matemáticos.</w:t>
      </w:r>
    </w:p>
    <w:p>
      <w:pPr>
        <w:numPr>
          <w:ilvl w:val="0"/>
          <w:numId w:val="1326"/>
        </w:numPr>
        <w:pStyle w:val="Compact"/>
      </w:pPr>
      <w:r>
        <w:rPr>
          <w:bCs/>
          <w:b/>
        </w:rPr>
        <w:t xml:space="preserve">Insuficiência cardíaca:</w:t>
      </w:r>
      <w:r>
        <w:t xml:space="preserve"> </w:t>
      </w:r>
      <w:r>
        <w:t xml:space="preserve">na insuficiência cardíaca com fração de ejeção preservada e obesidade, a tirzepatida reduziu no SUMMIT, com 731 pessoas, o desfecho combinado de morte cardiovascular ou agravamento da insuficiência cardíaca (9,9% vs. 15,3%; HR 0,62; Packer 2025, PMID 39555826). A diferença se deveu a menos eventos de agravamento; mortes foram raras. No STEP-HFpEF, a semaglutida melhorou sintomas e distância de caminhada</w:t>
      </w:r>
      <w:r>
        <w:rPr>
          <w:rStyle w:val="FootnoteReference"/>
        </w:rPr>
        <w:footnoteReference w:id="2547"/>
      </w:r>
      <w:r>
        <w:t xml:space="preserve">, mas o estudo não foi desenhado para desfechos duros.</w:t>
      </w:r>
    </w:p>
    <w:p>
      <w:pPr>
        <w:pStyle w:val="FirstParagraph"/>
      </w:pPr>
      <w:r>
        <w:rPr>
          <w:bCs/>
          <w:b/>
        </w:rPr>
        <w:t xml:space="preserve">Ainda pendente (estudos registrados):</w:t>
      </w:r>
      <w:r>
        <w:t xml:space="preserve"> </w:t>
      </w:r>
      <w:r>
        <w:t xml:space="preserve">para as substâncias mais novas faltam dados de desfechos. Estudos em andamento são o SURMOUNT-MMO, sobre tirzepatida na obesidade sem diabetes</w:t>
      </w:r>
      <w:r>
        <w:rPr>
          <w:rStyle w:val="FootnoteReference"/>
        </w:rPr>
        <w:footnoteReference w:id="2548"/>
      </w:r>
      <w:r>
        <w:t xml:space="preserve">, o TRIUMPH-Outcomes, sobre retatrutida</w:t>
      </w:r>
      <w:r>
        <w:rPr>
          <w:rStyle w:val="FootnoteReference"/>
        </w:rPr>
        <w:footnoteReference w:id="2549"/>
      </w:r>
      <w:r>
        <w:t xml:space="preserve">, o REDEFINE 3, sobre CagriSema</w:t>
      </w:r>
      <w:r>
        <w:rPr>
          <w:rStyle w:val="FootnoteReference"/>
        </w:rPr>
        <w:footnoteReference w:id="2550"/>
      </w:r>
      <w:r>
        <w:t xml:space="preserve">, um estudo sobre maridebarte cafraglutida</w:t>
      </w:r>
      <w:r>
        <w:rPr>
          <w:rStyle w:val="FootnoteReference"/>
        </w:rPr>
        <w:footnoteReference w:id="2551"/>
      </w:r>
      <w:r>
        <w:t xml:space="preserve"> </w:t>
      </w:r>
      <w:r>
        <w:t xml:space="preserve">e um sobre orforglipron</w:t>
      </w:r>
      <w:r>
        <w:rPr>
          <w:rStyle w:val="FootnoteReference"/>
        </w:rPr>
        <w:footnoteReference w:id="2552"/>
      </w:r>
      <w:r>
        <w:t xml:space="preserve">. Até que esses resultados estejam disponíveis, permanece em aberto se uma perda de peso maior também leva a menos infartos e AVCs. Essa é uma expectativa plausível, mas não um resultado.</w:t>
      </w:r>
    </w:p>
    <w:bookmarkEnd w:id="2553"/>
    <w:bookmarkStart w:id="2561" w:name="rins-e-fígado"/>
    <w:p>
      <w:pPr>
        <w:pStyle w:val="Heading3"/>
      </w:pPr>
      <w:r>
        <w:t xml:space="preserve">Rins e fígado</w:t>
      </w:r>
    </w:p>
    <w:p>
      <w:pPr>
        <w:pStyle w:val="FirstParagraph"/>
      </w:pPr>
      <w:r>
        <w:rPr>
          <w:bCs/>
          <w:b/>
        </w:rPr>
        <w:t xml:space="preserve">Rins:</w:t>
      </w:r>
      <w:r>
        <w:t xml:space="preserve"> </w:t>
      </w:r>
      <w:r>
        <w:t xml:space="preserve">entre os estudos discutidos neste livro, apenas o FLOW tem um evento renal como desfecho principal. Em 3.533 pessoas com diabetes tipo 2 e doença renal crônica, a semaglutida 1,0 mg reduziu em 24% os eventos renais graves e a morte por causa renal ou cardiovascular (331 vs. 410 eventos; HR 0,76). O estudo foi encerrado antecipadamente por eficácia; a mortalidade total foi 20% menor</w:t>
      </w:r>
      <w:r>
        <w:rPr>
          <w:rStyle w:val="FootnoteReference"/>
        </w:rPr>
        <w:footnoteReference w:id="2554"/>
      </w:r>
      <w:r>
        <w:t xml:space="preserve">. Nos estudos de desfechos mais antigos, por outro lado, o benefício renal se baseou sobretudo em menos proteína na urina: no LEADER HR 0,78</w:t>
      </w:r>
      <w:r>
        <w:rPr>
          <w:rStyle w:val="FootnoteReference"/>
        </w:rPr>
        <w:footnoteReference w:id="2555"/>
      </w:r>
      <w:r>
        <w:t xml:space="preserve">, no REWIND HR 0,85</w:t>
      </w:r>
      <w:r>
        <w:rPr>
          <w:rStyle w:val="FootnoteReference"/>
        </w:rPr>
        <w:footnoteReference w:id="2556"/>
      </w:r>
      <w:r>
        <w:t xml:space="preserve">, em todos os sete estudos HR 0,83</w:t>
      </w:r>
      <w:r>
        <w:rPr>
          <w:rStyle w:val="FootnoteReference"/>
        </w:rPr>
        <w:footnoteReference w:id="2557"/>
      </w:r>
      <w:r>
        <w:t xml:space="preserve">. No SOUL, os desfechos secundários confirmatórios, entre eles eventos renais, não diferiram significativamente</w:t>
      </w:r>
      <w:r>
        <w:rPr>
          <w:rStyle w:val="FootnoteReference"/>
        </w:rPr>
        <w:footnoteReference w:id="2558"/>
      </w:r>
      <w:r>
        <w:t xml:space="preserve">. Na doença renal moderada a grave, a função renal se manteve melhor com dulaglutida do que com insulina glargina (AWARD-7, Tuttle 2018, PMID 29910024). Para a tirzepatida e as substâncias mais novas, ainda não há estudos com eventos renais como desfecho principal.</w:t>
      </w:r>
    </w:p>
    <w:p>
      <w:pPr>
        <w:pStyle w:val="BodyText"/>
      </w:pPr>
      <w:r>
        <w:rPr>
          <w:bCs/>
          <w:b/>
        </w:rPr>
        <w:t xml:space="preserve">Fígado:</w:t>
      </w:r>
      <w:r>
        <w:t xml:space="preserve"> </w:t>
      </w:r>
      <w:r>
        <w:t xml:space="preserve">na esteato-hepatite inflamatória MASH (antes NASH), há estudos com biópsia para três substâncias: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Substância</w:t>
            </w:r>
          </w:p>
        </w:tc>
        <w:tc>
          <w:tcPr/>
          <w:p>
            <w:pPr>
              <w:pStyle w:val="Compact"/>
              <w:jc w:val="left"/>
            </w:pPr>
            <w:r>
              <w:t xml:space="preserve">Estudo</w:t>
            </w:r>
          </w:p>
        </w:tc>
        <w:tc>
          <w:tcPr/>
          <w:p>
            <w:pPr>
              <w:pStyle w:val="Compact"/>
              <w:jc w:val="left"/>
            </w:pPr>
            <w:r>
              <w:t xml:space="preserve">Duração</w:t>
            </w:r>
          </w:p>
        </w:tc>
        <w:tc>
          <w:tcPr/>
          <w:p>
            <w:pPr>
              <w:pStyle w:val="Compact"/>
              <w:jc w:val="left"/>
            </w:pPr>
            <w:r>
              <w:t xml:space="preserve">Resolução da MASH sem piora da fibrose</w:t>
            </w:r>
          </w:p>
        </w:tc>
      </w:tr>
      <w:tr>
        <w:tc>
          <w:tcPr/>
          <w:p>
            <w:pPr>
              <w:pStyle w:val="Compact"/>
              <w:jc w:val="left"/>
            </w:pPr>
            <w:r>
              <w:t xml:space="preserve">Semaglutida 2,4 mg</w:t>
            </w:r>
          </w:p>
        </w:tc>
        <w:tc>
          <w:tcPr/>
          <w:p>
            <w:pPr>
              <w:pStyle w:val="Compact"/>
              <w:jc w:val="left"/>
            </w:pPr>
            <w:r>
              <w:t xml:space="preserve">ESSENCE, fase 3 (Sanyal 2025), PMID 40305708</w:t>
            </w:r>
          </w:p>
        </w:tc>
        <w:tc>
          <w:tcPr/>
          <w:p>
            <w:pPr>
              <w:pStyle w:val="Compact"/>
              <w:jc w:val="left"/>
            </w:pPr>
            <w:r>
              <w:t xml:space="preserve">72 semanas (análise interina, 800 pessoas)</w:t>
            </w:r>
          </w:p>
        </w:tc>
        <w:tc>
          <w:tcPr/>
          <w:p>
            <w:pPr>
              <w:pStyle w:val="Compact"/>
              <w:jc w:val="left"/>
            </w:pPr>
            <w:r>
              <w:t xml:space="preserve">62,9% vs. 34,3%; menos fibrose 36,8% vs. 22,4%</w:t>
            </w:r>
          </w:p>
        </w:tc>
      </w:tr>
      <w:tr>
        <w:tc>
          <w:tcPr/>
          <w:p>
            <w:pPr>
              <w:pStyle w:val="Compact"/>
              <w:jc w:val="left"/>
            </w:pPr>
            <w:r>
              <w:t xml:space="preserve">Tirzepatida</w:t>
            </w:r>
          </w:p>
        </w:tc>
        <w:tc>
          <w:tcPr/>
          <w:p>
            <w:pPr>
              <w:pStyle w:val="Compact"/>
              <w:jc w:val="left"/>
            </w:pPr>
            <w:r>
              <w:t xml:space="preserve">SYNERGY-NASH, fase 2 (Loomba 2024), PMID 38856224</w:t>
            </w:r>
          </w:p>
        </w:tc>
        <w:tc>
          <w:tcPr/>
          <w:p>
            <w:pPr>
              <w:pStyle w:val="Compact"/>
              <w:jc w:val="left"/>
            </w:pPr>
            <w:r>
              <w:t xml:space="preserve">52 semanas, 190 pessoas</w:t>
            </w:r>
          </w:p>
        </w:tc>
        <w:tc>
          <w:tcPr/>
          <w:p>
            <w:pPr>
              <w:pStyle w:val="Compact"/>
              <w:jc w:val="left"/>
            </w:pPr>
            <w:r>
              <w:t xml:space="preserve">44–62% vs. 10%; menos fibrose 51–55% vs. 30%</w:t>
            </w:r>
          </w:p>
        </w:tc>
      </w:tr>
      <w:tr>
        <w:tc>
          <w:tcPr/>
          <w:p>
            <w:pPr>
              <w:pStyle w:val="Compact"/>
              <w:jc w:val="left"/>
            </w:pPr>
            <w:r>
              <w:t xml:space="preserve">Survodutida</w:t>
            </w:r>
          </w:p>
        </w:tc>
        <w:tc>
          <w:tcPr/>
          <w:p>
            <w:pPr>
              <w:pStyle w:val="Compact"/>
              <w:jc w:val="left"/>
            </w:pPr>
            <w:r>
              <w:t xml:space="preserve">Fase 2 (Sanyal 2024), PMID 38847460</w:t>
            </w:r>
          </w:p>
        </w:tc>
        <w:tc>
          <w:tcPr/>
          <w:p>
            <w:pPr>
              <w:pStyle w:val="Compact"/>
              <w:jc w:val="left"/>
            </w:pPr>
            <w:r>
              <w:t xml:space="preserve">48 semanas, 293 pessoas</w:t>
            </w:r>
          </w:p>
        </w:tc>
        <w:tc>
          <w:tcPr/>
          <w:p>
            <w:pPr>
              <w:pStyle w:val="Compact"/>
              <w:jc w:val="left"/>
            </w:pPr>
            <w:r>
              <w:t xml:space="preserve">melhora da MASH 43–62% vs. 14%</w:t>
            </w:r>
          </w:p>
        </w:tc>
      </w:tr>
    </w:tbl>
    <w:p>
      <w:pPr>
        <w:pStyle w:val="BodyText"/>
      </w:pPr>
      <w:r>
        <w:t xml:space="preserve">Apenas o ESSENCE é um estudo de fase 3; se o tratamento também previne cirrose, insuficiência hepática e mortes deverá ser mostrado por sua segunda parte, ao longo de 240 semanas. Para a survodutida estão em andamento os estudos de fase 3 LIVERAGE</w:t>
      </w:r>
      <w:r>
        <w:rPr>
          <w:rStyle w:val="FootnoteReference"/>
        </w:rPr>
        <w:footnoteReference w:id="2559"/>
      </w:r>
      <w:r>
        <w:t xml:space="preserve"> </w:t>
      </w:r>
      <w:r>
        <w:t xml:space="preserve">e LIVERAGE-Cirrhosis</w:t>
      </w:r>
      <w:r>
        <w:rPr>
          <w:rStyle w:val="FootnoteReference"/>
        </w:rPr>
        <w:footnoteReference w:id="2560"/>
      </w:r>
      <w:r>
        <w:t xml:space="preserve">. Os percentuais mais altos dos estudos de fase 2 não são diretamente comparáveis com o ESSENCE, devido aos grupos pequenos e à duração mais curta.</w:t>
      </w:r>
    </w:p>
    <w:bookmarkEnd w:id="2561"/>
    <w:bookmarkStart w:id="2572" w:name="efeitos-colaterais-e-taxas-de-abandono"/>
    <w:p>
      <w:pPr>
        <w:pStyle w:val="Heading3"/>
      </w:pPr>
      <w:r>
        <w:t xml:space="preserve">Efeitos colaterais e taxas de abandono</w:t>
      </w:r>
    </w:p>
    <w:p>
      <w:pPr>
        <w:pStyle w:val="FirstParagraph"/>
      </w:pPr>
      <w:r>
        <w:t xml:space="preserve">O perfil de efeitos colaterais é semelhante em toda a classe: náusea, diarreia, vômitos e prisão de ventre, sobretudo durante o aumento gradual da dose, em geral leves a moderados e passageiros. Eles são o motivo mais frequente de abandono do tratamento. As taxas dependem muito da dose e do ritmo de titulação e só são comparáveis de forma aproximada entre estudos.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Substância</w:t>
            </w:r>
          </w:p>
        </w:tc>
        <w:tc>
          <w:tcPr/>
          <w:p>
            <w:pPr>
              <w:pStyle w:val="Compact"/>
              <w:jc w:val="left"/>
            </w:pPr>
            <w:r>
              <w:t xml:space="preserve">Estudo</w:t>
            </w:r>
          </w:p>
        </w:tc>
        <w:tc>
          <w:tcPr/>
          <w:p>
            <w:pPr>
              <w:pStyle w:val="Compact"/>
              <w:jc w:val="left"/>
            </w:pPr>
            <w:r>
              <w:t xml:space="preserve">Queixas gastrointestinais</w:t>
            </w:r>
          </w:p>
        </w:tc>
        <w:tc>
          <w:tcPr/>
          <w:p>
            <w:pPr>
              <w:pStyle w:val="Compact"/>
              <w:jc w:val="left"/>
            </w:pPr>
            <w:r>
              <w:t xml:space="preserve">Abandono por efeitos colaterais</w:t>
            </w:r>
          </w:p>
        </w:tc>
      </w:tr>
      <w:tr>
        <w:tc>
          <w:tcPr/>
          <w:p>
            <w:pPr>
              <w:pStyle w:val="Compact"/>
              <w:jc w:val="left"/>
            </w:pPr>
            <w:r>
              <w:t xml:space="preserve">Exenatida duas vezes ao dia</w:t>
            </w:r>
          </w:p>
        </w:tc>
        <w:tc>
          <w:tcPr/>
          <w:p>
            <w:pPr>
              <w:pStyle w:val="Compact"/>
              <w:jc w:val="left"/>
            </w:pPr>
            <w:r>
              <w:t xml:space="preserve">Heine 2005, PMID 16230722</w:t>
            </w:r>
          </w:p>
        </w:tc>
        <w:tc>
          <w:tcPr/>
          <w:p>
            <w:pPr>
              <w:pStyle w:val="Compact"/>
              <w:jc w:val="left"/>
            </w:pPr>
            <w:r>
              <w:t xml:space="preserve">náusea 57,1%</w:t>
            </w:r>
          </w:p>
        </w:tc>
        <w:tc>
          <w:tcPr/>
          <w:p>
            <w:pPr>
              <w:pStyle w:val="Compact"/>
              <w:jc w:val="left"/>
            </w:pPr>
            <w:r>
              <w:t xml:space="preserve">sem informação no resumo</w:t>
            </w:r>
          </w:p>
        </w:tc>
      </w:tr>
      <w:tr>
        <w:tc>
          <w:tcPr/>
          <w:p>
            <w:pPr>
              <w:pStyle w:val="Compact"/>
              <w:jc w:val="left"/>
            </w:pPr>
            <w:r>
              <w:t xml:space="preserve">Dulaglutida</w:t>
            </w:r>
          </w:p>
        </w:tc>
        <w:tc>
          <w:tcPr/>
          <w:p>
            <w:pPr>
              <w:pStyle w:val="Compact"/>
              <w:jc w:val="left"/>
            </w:pPr>
            <w:r>
              <w:t xml:space="preserve">REWIND (Gerstein 2019), PMID 31189511</w:t>
            </w:r>
          </w:p>
        </w:tc>
        <w:tc>
          <w:tcPr/>
          <w:p>
            <w:pPr>
              <w:pStyle w:val="Compact"/>
              <w:jc w:val="left"/>
            </w:pPr>
            <w:r>
              <w:t xml:space="preserve">47,4% vs. 34,1%</w:t>
            </w:r>
          </w:p>
        </w:tc>
        <w:tc>
          <w:tcPr/>
          <w:p>
            <w:pPr>
              <w:pStyle w:val="Compact"/>
              <w:jc w:val="left"/>
            </w:pPr>
            <w:r>
              <w:t xml:space="preserve">sem informação no resumo</w:t>
            </w:r>
          </w:p>
        </w:tc>
      </w:tr>
      <w:tr>
        <w:tc>
          <w:tcPr/>
          <w:p>
            <w:pPr>
              <w:pStyle w:val="Compact"/>
              <w:jc w:val="left"/>
            </w:pPr>
            <w:r>
              <w:t xml:space="preserve">Semaglutida 2,4 mg</w:t>
            </w:r>
          </w:p>
        </w:tc>
        <w:tc>
          <w:tcPr/>
          <w:p>
            <w:pPr>
              <w:pStyle w:val="Compact"/>
              <w:jc w:val="left"/>
            </w:pPr>
            <w:r>
              <w:t xml:space="preserve">STEP 1 (Wilding 2021), PMID 33567185</w:t>
            </w:r>
          </w:p>
        </w:tc>
        <w:tc>
          <w:tcPr/>
          <w:p>
            <w:pPr>
              <w:pStyle w:val="Compact"/>
              <w:jc w:val="left"/>
            </w:pPr>
            <w:r>
              <w:t xml:space="preserve">mais frequentes náusea e diarreia</w:t>
            </w:r>
          </w:p>
        </w:tc>
        <w:tc>
          <w:tcPr/>
          <w:p>
            <w:pPr>
              <w:pStyle w:val="Compact"/>
              <w:jc w:val="left"/>
            </w:pPr>
            <w:r>
              <w:t xml:space="preserve">por queixas gastrointestinais 4,5% vs. 0,8%</w:t>
            </w:r>
          </w:p>
        </w:tc>
      </w:tr>
      <w:tr>
        <w:tc>
          <w:tcPr/>
          <w:p>
            <w:pPr>
              <w:pStyle w:val="Compact"/>
              <w:jc w:val="left"/>
            </w:pPr>
            <w:r>
              <w:t xml:space="preserve">Semaglutida 2,4 mg</w:t>
            </w:r>
          </w:p>
        </w:tc>
        <w:tc>
          <w:tcPr/>
          <w:p>
            <w:pPr>
              <w:pStyle w:val="Compact"/>
              <w:jc w:val="left"/>
            </w:pPr>
            <w:r>
              <w:t xml:space="preserve">SELECT (Lincoff 2023), PMID 37952131</w:t>
            </w:r>
          </w:p>
        </w:tc>
        <w:tc>
          <w:tcPr/>
          <w:p>
            <w:pPr>
              <w:pStyle w:val="Compact"/>
              <w:jc w:val="left"/>
            </w:pPr>
            <w:r>
              <w:t xml:space="preserve">–</w:t>
            </w:r>
          </w:p>
        </w:tc>
        <w:tc>
          <w:tcPr/>
          <w:p>
            <w:pPr>
              <w:pStyle w:val="Compact"/>
              <w:jc w:val="left"/>
            </w:pPr>
            <w:r>
              <w:t xml:space="preserve">16,6% vs. 8,2% (ao longo de pouco mais de três anos)</w:t>
            </w:r>
          </w:p>
        </w:tc>
      </w:tr>
      <w:tr>
        <w:tc>
          <w:tcPr/>
          <w:p>
            <w:pPr>
              <w:pStyle w:val="Compact"/>
              <w:jc w:val="left"/>
            </w:pPr>
            <w:r>
              <w:t xml:space="preserve">Tirzepatida</w:t>
            </w:r>
          </w:p>
        </w:tc>
        <w:tc>
          <w:tcPr/>
          <w:p>
            <w:pPr>
              <w:pStyle w:val="Compact"/>
              <w:jc w:val="left"/>
            </w:pPr>
            <w:r>
              <w:t xml:space="preserve">SURMOUNT-1 (Jastreboff 2022), PMID 35658024</w:t>
            </w:r>
          </w:p>
        </w:tc>
        <w:tc>
          <w:tcPr/>
          <w:p>
            <w:pPr>
              <w:pStyle w:val="Compact"/>
              <w:jc w:val="left"/>
            </w:pPr>
            <w:r>
              <w:t xml:space="preserve">as mais frequentes, sobretudo na titulação</w:t>
            </w:r>
          </w:p>
        </w:tc>
        <w:tc>
          <w:tcPr/>
          <w:p>
            <w:pPr>
              <w:pStyle w:val="Compact"/>
              <w:jc w:val="left"/>
            </w:pPr>
            <w:r>
              <w:t xml:space="preserve">4,3–7,1% vs. 2,6%</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79,6% vs. 39,9%</w:t>
            </w:r>
          </w:p>
        </w:tc>
        <w:tc>
          <w:tcPr/>
          <w:p>
            <w:pPr>
              <w:pStyle w:val="Compact"/>
              <w:jc w:val="left"/>
            </w:pPr>
            <w:r>
              <w:t xml:space="preserve">sem informação no resumo</w:t>
            </w:r>
          </w:p>
        </w:tc>
      </w:tr>
      <w:tr>
        <w:tc>
          <w:tcPr/>
          <w:p>
            <w:pPr>
              <w:pStyle w:val="Compact"/>
              <w:jc w:val="left"/>
            </w:pPr>
            <w:r>
              <w:t xml:space="preserve">Retatrutida</w:t>
            </w:r>
          </w:p>
        </w:tc>
        <w:tc>
          <w:tcPr/>
          <w:p>
            <w:pPr>
              <w:pStyle w:val="Compact"/>
              <w:jc w:val="left"/>
            </w:pPr>
            <w:r>
              <w:t xml:space="preserve">TRIUMPH-2 (Bellido 2026), PMID 42810372</w:t>
            </w:r>
          </w:p>
        </w:tc>
        <w:tc>
          <w:tcPr/>
          <w:p>
            <w:pPr>
              <w:pStyle w:val="Compact"/>
              <w:jc w:val="left"/>
            </w:pPr>
            <w:r>
              <w:t xml:space="preserve">diarreia 27–34%, náusea 14–28% (placebo 13% e 8%, respectivamente)</w:t>
            </w:r>
          </w:p>
        </w:tc>
        <w:tc>
          <w:tcPr/>
          <w:p>
            <w:pPr>
              <w:pStyle w:val="Compact"/>
              <w:jc w:val="left"/>
            </w:pPr>
            <w:r>
              <w:t xml:space="preserve">4–12% vs. 5% (incl. mortes)</w:t>
            </w:r>
          </w:p>
        </w:tc>
      </w:tr>
      <w:tr>
        <w:tc>
          <w:tcPr/>
          <w:p>
            <w:pPr>
              <w:pStyle w:val="Compact"/>
              <w:jc w:val="left"/>
            </w:pPr>
            <w:r>
              <w:t xml:space="preserve">Survodutida</w:t>
            </w:r>
          </w:p>
        </w:tc>
        <w:tc>
          <w:tcPr/>
          <w:p>
            <w:pPr>
              <w:pStyle w:val="Compact"/>
              <w:jc w:val="left"/>
            </w:pPr>
            <w:r>
              <w:t xml:space="preserve">SYNCHRONIZE-1 (le Roux 2026), PMID 42253238</w:t>
            </w:r>
          </w:p>
        </w:tc>
        <w:tc>
          <w:tcPr/>
          <w:p>
            <w:pPr>
              <w:pStyle w:val="Compact"/>
              <w:jc w:val="left"/>
            </w:pPr>
            <w:r>
              <w:t xml:space="preserve">80,9 / 89,7% vs. 47,9%</w:t>
            </w:r>
          </w:p>
        </w:tc>
        <w:tc>
          <w:tcPr/>
          <w:p>
            <w:pPr>
              <w:pStyle w:val="Compact"/>
              <w:jc w:val="left"/>
            </w:pPr>
            <w:r>
              <w:t xml:space="preserve">sem informação no resumo</w:t>
            </w:r>
          </w:p>
        </w:tc>
      </w:tr>
      <w:tr>
        <w:tc>
          <w:tcPr/>
          <w:p>
            <w:pPr>
              <w:pStyle w:val="Compact"/>
              <w:jc w:val="left"/>
            </w:pPr>
            <w:r>
              <w:t xml:space="preserve">Mazdutida</w:t>
            </w:r>
          </w:p>
        </w:tc>
        <w:tc>
          <w:tcPr/>
          <w:p>
            <w:pPr>
              <w:pStyle w:val="Compact"/>
              <w:jc w:val="left"/>
            </w:pPr>
            <w:r>
              <w:t xml:space="preserve">GLORY-1 (Ji 2025), PMID 40421736</w:t>
            </w:r>
          </w:p>
        </w:tc>
        <w:tc>
          <w:tcPr/>
          <w:p>
            <w:pPr>
              <w:pStyle w:val="Compact"/>
              <w:jc w:val="left"/>
            </w:pPr>
            <w:r>
              <w:t xml:space="preserve">efeito colateral mais frequente</w:t>
            </w:r>
          </w:p>
        </w:tc>
        <w:tc>
          <w:tcPr/>
          <w:p>
            <w:pPr>
              <w:pStyle w:val="Compact"/>
              <w:jc w:val="left"/>
            </w:pPr>
            <w:r>
              <w:t xml:space="preserve">0,5–1,5% vs. 1,0%</w:t>
            </w:r>
          </w:p>
        </w:tc>
      </w:tr>
      <w:tr>
        <w:tc>
          <w:tcPr/>
          <w:p>
            <w:pPr>
              <w:pStyle w:val="Compact"/>
              <w:jc w:val="left"/>
            </w:pPr>
            <w:r>
              <w:t xml:space="preserve">Orforglipron</w:t>
            </w:r>
          </w:p>
        </w:tc>
        <w:tc>
          <w:tcPr/>
          <w:p>
            <w:pPr>
              <w:pStyle w:val="Compact"/>
              <w:jc w:val="left"/>
            </w:pPr>
            <w:r>
              <w:t xml:space="preserve">ATTAIN-1 (Wharton 2025), PMID 40960239</w:t>
            </w:r>
          </w:p>
        </w:tc>
        <w:tc>
          <w:tcPr/>
          <w:p>
            <w:pPr>
              <w:pStyle w:val="Compact"/>
              <w:jc w:val="left"/>
            </w:pPr>
            <w:r>
              <w:t xml:space="preserve">efeito colateral mais frequente</w:t>
            </w:r>
          </w:p>
        </w:tc>
        <w:tc>
          <w:tcPr/>
          <w:p>
            <w:pPr>
              <w:pStyle w:val="Compact"/>
              <w:jc w:val="left"/>
            </w:pPr>
            <w:r>
              <w:t xml:space="preserve">5,3–10,3% vs. 2,7%</w:t>
            </w:r>
          </w:p>
        </w:tc>
      </w:tr>
    </w:tbl>
    <w:p>
      <w:pPr>
        <w:pStyle w:val="BodyText"/>
      </w:pPr>
      <w:r>
        <w:t xml:space="preserve">Algumas observações:</w:t>
      </w:r>
    </w:p>
    <w:p>
      <w:pPr>
        <w:numPr>
          <w:ilvl w:val="0"/>
          <w:numId w:val="1327"/>
        </w:numPr>
        <w:pStyle w:val="Compact"/>
      </w:pPr>
      <w:r>
        <w:rPr>
          <w:bCs/>
          <w:b/>
        </w:rPr>
        <w:t xml:space="preserve">Preparações semanais costumam ser mais bem toleradas do que formas mais antigas.</w:t>
      </w:r>
      <w:r>
        <w:t xml:space="preserve"> </w:t>
      </w:r>
      <w:r>
        <w:t xml:space="preserve">No DURATION-6, 9% tiveram náusea com exenatida semanal e 21% com liraglutida diária</w:t>
      </w:r>
      <w:r>
        <w:rPr>
          <w:rStyle w:val="FootnoteReference"/>
        </w:rPr>
        <w:footnoteReference w:id="2562"/>
      </w:r>
      <w:r>
        <w:t xml:space="preserve">. No STEP 8, 27,6% interromperam precocemente o tratamento com liraglutida, por qualquer motivo, contra 13,5% com semaglutida; queixas gastrointestinais foram igualmente frequentes nos dois grupos (82,7% vs. 84,1%)</w:t>
      </w:r>
      <w:r>
        <w:rPr>
          <w:rStyle w:val="FootnoteReference"/>
        </w:rPr>
        <w:footnoteReference w:id="2563"/>
      </w:r>
      <w:r>
        <w:t xml:space="preserve">.</w:t>
      </w:r>
    </w:p>
    <w:p>
      <w:pPr>
        <w:numPr>
          <w:ilvl w:val="0"/>
          <w:numId w:val="1327"/>
        </w:numPr>
        <w:pStyle w:val="Compact"/>
      </w:pPr>
      <w:r>
        <w:rPr>
          <w:bCs/>
          <w:b/>
        </w:rPr>
        <w:t xml:space="preserve">Maior eficácia não vem obrigatoriamente acompanhada de mais queixas.</w:t>
      </w:r>
      <w:r>
        <w:t xml:space="preserve"> </w:t>
      </w:r>
      <w:r>
        <w:t xml:space="preserve">No SURPASS-2, náusea (17–22% vs. 18%) e vômitos (6–10% vs. 8%) foram igualmente frequentes com tirzepatida e semaglutida; eventos adversos graves ocorreram com tirzepatida em 5–7% contra 3%</w:t>
      </w:r>
      <w:r>
        <w:rPr>
          <w:rStyle w:val="FootnoteReference"/>
        </w:rPr>
        <w:footnoteReference w:id="2564"/>
      </w:r>
      <w:r>
        <w:t xml:space="preserve">. No REDEFINE 5, 53% com CagriSema e 51% com semaglutida tiveram queixas gastrointestinais</w:t>
      </w:r>
      <w:r>
        <w:rPr>
          <w:rStyle w:val="FootnoteReference"/>
        </w:rPr>
        <w:footnoteReference w:id="2565"/>
      </w:r>
      <w:r>
        <w:t xml:space="preserve">.</w:t>
      </w:r>
    </w:p>
    <w:p>
      <w:pPr>
        <w:numPr>
          <w:ilvl w:val="0"/>
          <w:numId w:val="1327"/>
        </w:numPr>
        <w:pStyle w:val="Compact"/>
      </w:pPr>
      <w:r>
        <w:rPr>
          <w:bCs/>
          <w:b/>
        </w:rPr>
        <w:t xml:space="preserve">Nos agonistas múltiplos, os abandonos aumentam em doses altas.</w:t>
      </w:r>
      <w:r>
        <w:t xml:space="preserve"> </w:t>
      </w:r>
      <w:r>
        <w:t xml:space="preserve">Com retatrutida ocorreram, além disso, sensações anormais na pele (disestesia) em 4–7% contra 1% com placebo – um sinal novo para esta classe. Em um estudo de fase 2 norte-americano com mazdutida, 20% abandonaram por efeitos colaterais na dose mais alta</w:t>
      </w:r>
      <w:r>
        <w:rPr>
          <w:rStyle w:val="FootnoteReference"/>
        </w:rPr>
        <w:footnoteReference w:id="2566"/>
      </w:r>
      <w:r>
        <w:t xml:space="preserve">.</w:t>
      </w:r>
    </w:p>
    <w:p>
      <w:pPr>
        <w:numPr>
          <w:ilvl w:val="0"/>
          <w:numId w:val="1327"/>
        </w:numPr>
        <w:pStyle w:val="Compact"/>
      </w:pPr>
      <w:r>
        <w:rPr>
          <w:bCs/>
          <w:b/>
        </w:rPr>
        <w:t xml:space="preserve">Estudos de longo prazo mostram taxas de abandono maiores do que estudos curtos.</w:t>
      </w:r>
      <w:r>
        <w:t xml:space="preserve"> </w:t>
      </w:r>
      <w:r>
        <w:t xml:space="preserve">Os 16,6% do SELECT ao longo de mais de três anos são uma referência mais realista para o tratamento contínuo do que os valores de estudos de aprovação de 68 ou 72 semanas.</w:t>
      </w:r>
    </w:p>
    <w:p>
      <w:pPr>
        <w:pStyle w:val="FirstParagraph"/>
      </w:pPr>
      <w:r>
        <w:rPr>
          <w:bCs/>
          <w:b/>
        </w:rPr>
        <w:t xml:space="preserve">Riscos de classe que afetam todas as substâncias:</w:t>
      </w:r>
    </w:p>
    <w:p>
      <w:pPr>
        <w:numPr>
          <w:ilvl w:val="0"/>
          <w:numId w:val="1328"/>
        </w:numPr>
        <w:pStyle w:val="Compact"/>
      </w:pPr>
      <w:r>
        <w:rPr>
          <w:bCs/>
          <w:b/>
        </w:rPr>
        <w:t xml:space="preserve">Vesícula biliar:</w:t>
      </w:r>
      <w:r>
        <w:t xml:space="preserve"> </w:t>
      </w:r>
      <w:r>
        <w:t xml:space="preserve">uma metanálise de 76 estudos randomizados com 103.371 participantes encontrou um risco 37% maior de doenças da vesícula e das vias biliares e, em estudos de perda de peso, um risco mais que duas vezes maior (risco relativo 2,29; He 2022, PMID 35344001).</w:t>
      </w:r>
    </w:p>
    <w:p>
      <w:pPr>
        <w:numPr>
          <w:ilvl w:val="0"/>
          <w:numId w:val="1328"/>
        </w:numPr>
        <w:pStyle w:val="Compact"/>
      </w:pPr>
      <w:r>
        <w:rPr>
          <w:bCs/>
          <w:b/>
        </w:rPr>
        <w:t xml:space="preserve">Pâncreas:</w:t>
      </w:r>
      <w:r>
        <w:t xml:space="preserve"> </w:t>
      </w:r>
      <w:r>
        <w:t xml:space="preserve">na metanálise dos estudos de desfechos, nenhum risco aumentado de pancreatite ou câncer de pâncreas</w:t>
      </w:r>
      <w:r>
        <w:rPr>
          <w:rStyle w:val="FootnoteReference"/>
        </w:rPr>
        <w:footnoteReference w:id="2567"/>
      </w:r>
      <w:r>
        <w:t xml:space="preserve">; em dados de seguradoras, um sinal no uso para perda de peso</w:t>
      </w:r>
      <w:r>
        <w:rPr>
          <w:rStyle w:val="FootnoteReference"/>
        </w:rPr>
        <w:footnoteReference w:id="2568"/>
      </w:r>
      <w:r>
        <w:t xml:space="preserve">.</w:t>
      </w:r>
    </w:p>
    <w:p>
      <w:pPr>
        <w:numPr>
          <w:ilvl w:val="0"/>
          <w:numId w:val="1328"/>
        </w:numPr>
        <w:pStyle w:val="Compact"/>
      </w:pPr>
      <w:r>
        <w:rPr>
          <w:bCs/>
          <w:b/>
        </w:rPr>
        <w:t xml:space="preserve">Tireoide:</w:t>
      </w:r>
      <w:r>
        <w:t xml:space="preserve"> </w:t>
      </w:r>
      <w:r>
        <w:t xml:space="preserve">tumores de células C em roedores; em humanos, um sinal em metanálises e estudos observacionais</w:t>
      </w:r>
      <w:r>
        <w:rPr>
          <w:rStyle w:val="FootnoteReference"/>
        </w:rPr>
        <w:footnoteReference w:id="2569"/>
      </w:r>
      <w:r>
        <w:t xml:space="preserve">, cuja relevância é controversa.</w:t>
      </w:r>
    </w:p>
    <w:p>
      <w:pPr>
        <w:numPr>
          <w:ilvl w:val="0"/>
          <w:numId w:val="1328"/>
        </w:numPr>
        <w:pStyle w:val="Compact"/>
      </w:pPr>
      <w:r>
        <w:rPr>
          <w:bCs/>
          <w:b/>
        </w:rPr>
        <w:t xml:space="preserve">Olhos:</w:t>
      </w:r>
      <w:r>
        <w:t xml:space="preserve"> </w:t>
      </w:r>
      <w:r>
        <w:t xml:space="preserve">piora de uma retinopatia diabética preexistente no SUSTAIN 6 (HR 1,76; Marso 2016, PMID 27633186); sinal raro de um distúrbio circulatório do nervo óptico (NAION) em estudos observacionais</w:t>
      </w:r>
      <w:r>
        <w:rPr>
          <w:rStyle w:val="FootnoteReference"/>
        </w:rPr>
        <w:footnoteReference w:id="2570"/>
      </w:r>
      <w:r>
        <w:t xml:space="preserve">.</w:t>
      </w:r>
    </w:p>
    <w:p>
      <w:pPr>
        <w:numPr>
          <w:ilvl w:val="0"/>
          <w:numId w:val="1328"/>
        </w:numPr>
        <w:pStyle w:val="Compact"/>
      </w:pPr>
      <w:r>
        <w:rPr>
          <w:bCs/>
          <w:b/>
        </w:rPr>
        <w:t xml:space="preserve">Massa muscular:</w:t>
      </w:r>
      <w:r>
        <w:t xml:space="preserve"> </w:t>
      </w:r>
      <w:r>
        <w:t xml:space="preserve">cerca de um quarto do peso perdido é massa magra, na mesma proporção que em outras formas de perda de peso</w:t>
      </w:r>
      <w:r>
        <w:rPr>
          <w:rStyle w:val="FootnoteReference"/>
        </w:rPr>
        <w:footnoteReference w:id="2571"/>
      </w:r>
      <w:r>
        <w:t xml:space="preserve">.</w:t>
      </w:r>
    </w:p>
    <w:bookmarkEnd w:id="2572"/>
    <w:bookmarkStart w:id="2575" w:name="estudos-de-comparação-direta"/>
    <w:p>
      <w:pPr>
        <w:pStyle w:val="Heading3"/>
      </w:pPr>
      <w:r>
        <w:t xml:space="preserve">Estudos de comparação direta</w:t>
      </w:r>
    </w:p>
    <w:p>
      <w:pPr>
        <w:pStyle w:val="FirstParagraph"/>
      </w:pPr>
      <w:r>
        <w:t xml:space="preserve">A tabela a seguir reúne estudos randomizados em que duas substâncias da classe foram confrontadas diretamente. Somente aqui as diferenças entre as substâncias estão comprovadas de forma metodologicamente limpa. Muitos desses estudos foram abertos (não cegos) e financiados pelo fabricante da substância mais nova, e nem sempre foi usada a dose aprovada mais alta do comparador.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Comparação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SURMOUNT-5 (Aronne 2025), PMID 40353578</w:t>
            </w:r>
          </w:p>
        </w:tc>
        <w:tc>
          <w:tcPr/>
          <w:p>
            <w:pPr>
              <w:pStyle w:val="Compact"/>
              <w:jc w:val="left"/>
            </w:pPr>
            <w:r>
              <w:t xml:space="preserve">Tirzepatida vs. semaglutida 2,4 mg, obesidade, aberto</w:t>
            </w:r>
          </w:p>
        </w:tc>
        <w:tc>
          <w:tcPr/>
          <w:p>
            <w:pPr>
              <w:pStyle w:val="Compact"/>
              <w:jc w:val="left"/>
            </w:pPr>
            <w:r>
              <w:t xml:space="preserve">72 semanas</w:t>
            </w:r>
          </w:p>
        </w:tc>
        <w:tc>
          <w:tcPr/>
          <w:p>
            <w:pPr>
              <w:pStyle w:val="Compact"/>
              <w:jc w:val="left"/>
            </w:pPr>
            <w:r>
              <w:t xml:space="preserve">Peso −20,2% vs. −13,7%</w:t>
            </w:r>
          </w:p>
        </w:tc>
      </w:tr>
      <w:tr>
        <w:tc>
          <w:tcPr/>
          <w:p>
            <w:pPr>
              <w:pStyle w:val="Compact"/>
              <w:jc w:val="left"/>
            </w:pPr>
            <w:r>
              <w:t xml:space="preserve">STEP 8 (Rubino 2022), PMID 35015037</w:t>
            </w:r>
          </w:p>
        </w:tc>
        <w:tc>
          <w:tcPr/>
          <w:p>
            <w:pPr>
              <w:pStyle w:val="Compact"/>
              <w:jc w:val="left"/>
            </w:pPr>
            <w:r>
              <w:t xml:space="preserve">Semaglutida 2,4 mg vs. liraglutida 3,0 mg, obesidade</w:t>
            </w:r>
          </w:p>
        </w:tc>
        <w:tc>
          <w:tcPr/>
          <w:p>
            <w:pPr>
              <w:pStyle w:val="Compact"/>
              <w:jc w:val="left"/>
            </w:pPr>
            <w:r>
              <w:t xml:space="preserve">68 semanas</w:t>
            </w:r>
          </w:p>
        </w:tc>
        <w:tc>
          <w:tcPr/>
          <w:p>
            <w:pPr>
              <w:pStyle w:val="Compact"/>
              <w:jc w:val="left"/>
            </w:pPr>
            <w:r>
              <w:t xml:space="preserve">Peso −15,8% vs. −6,4%</w:t>
            </w:r>
          </w:p>
        </w:tc>
      </w:tr>
      <w:tr>
        <w:tc>
          <w:tcPr/>
          <w:p>
            <w:pPr>
              <w:pStyle w:val="Compact"/>
              <w:jc w:val="left"/>
            </w:pPr>
            <w:r>
              <w:t xml:space="preserve">REDEFINE 5 (Yamauchi 2026), PMID 42009015</w:t>
            </w:r>
          </w:p>
        </w:tc>
        <w:tc>
          <w:tcPr/>
          <w:p>
            <w:pPr>
              <w:pStyle w:val="Compact"/>
              <w:jc w:val="left"/>
            </w:pPr>
            <w:r>
              <w:t xml:space="preserve">CagriSema vs. semaglutida 2,4 mg, Japão e Taiwan, cego</w:t>
            </w:r>
          </w:p>
        </w:tc>
        <w:tc>
          <w:tcPr/>
          <w:p>
            <w:pPr>
              <w:pStyle w:val="Compact"/>
              <w:jc w:val="left"/>
            </w:pPr>
            <w:r>
              <w:t xml:space="preserve">68 semanas</w:t>
            </w:r>
          </w:p>
        </w:tc>
        <w:tc>
          <w:tcPr/>
          <w:p>
            <w:pPr>
              <w:pStyle w:val="Compact"/>
              <w:jc w:val="left"/>
            </w:pPr>
            <w:r>
              <w:t xml:space="preserve">Peso −18,4% vs. −11,9%</w:t>
            </w:r>
          </w:p>
        </w:tc>
      </w:tr>
      <w:tr>
        <w:tc>
          <w:tcPr/>
          <w:p>
            <w:pPr>
              <w:pStyle w:val="Compact"/>
              <w:jc w:val="left"/>
            </w:pPr>
            <w:r>
              <w:t xml:space="preserve">SURPASS-2 (Frías 2021), PMID 34170647</w:t>
            </w:r>
          </w:p>
        </w:tc>
        <w:tc>
          <w:tcPr/>
          <w:p>
            <w:pPr>
              <w:pStyle w:val="Compact"/>
              <w:jc w:val="left"/>
            </w:pPr>
            <w:r>
              <w:t xml:space="preserve">Tirzepatida vs. semaglutida 1 mg, diabetes tipo 2, aberto</w:t>
            </w:r>
          </w:p>
        </w:tc>
        <w:tc>
          <w:tcPr/>
          <w:p>
            <w:pPr>
              <w:pStyle w:val="Compact"/>
              <w:jc w:val="left"/>
            </w:pPr>
            <w:r>
              <w:t xml:space="preserve">40 semanas</w:t>
            </w:r>
          </w:p>
        </w:tc>
        <w:tc>
          <w:tcPr/>
          <w:p>
            <w:pPr>
              <w:pStyle w:val="Compact"/>
              <w:jc w:val="left"/>
            </w:pPr>
            <w:r>
              <w:t xml:space="preserve">HbA1c −2,01 a −2,30 vs. −1,86; peso adicional −1,9 a −5,5 kg</w:t>
            </w:r>
          </w:p>
        </w:tc>
      </w:tr>
      <w:tr>
        <w:tc>
          <w:tcPr/>
          <w:p>
            <w:pPr>
              <w:pStyle w:val="Compact"/>
              <w:jc w:val="left"/>
            </w:pPr>
            <w:r>
              <w:t xml:space="preserve">REIMAGINE 2 (Buse 2026), PMID 42251859</w:t>
            </w:r>
          </w:p>
        </w:tc>
        <w:tc>
          <w:tcPr/>
          <w:p>
            <w:pPr>
              <w:pStyle w:val="Compact"/>
              <w:jc w:val="left"/>
            </w:pPr>
            <w:r>
              <w:t xml:space="preserve">CagriSema vs. semaglutida 2,4 mg, diabetes tipo 2</w:t>
            </w:r>
          </w:p>
        </w:tc>
        <w:tc>
          <w:tcPr/>
          <w:p>
            <w:pPr>
              <w:pStyle w:val="Compact"/>
              <w:jc w:val="left"/>
            </w:pPr>
            <w:r>
              <w:t xml:space="preserve">68 semanas</w:t>
            </w:r>
          </w:p>
        </w:tc>
        <w:tc>
          <w:tcPr/>
          <w:p>
            <w:pPr>
              <w:pStyle w:val="Compact"/>
              <w:jc w:val="left"/>
            </w:pPr>
            <w:r>
              <w:t xml:space="preserve">HbA1c −1,91 vs. −1,75</w:t>
            </w:r>
          </w:p>
        </w:tc>
      </w:tr>
      <w:tr>
        <w:tc>
          <w:tcPr/>
          <w:p>
            <w:pPr>
              <w:pStyle w:val="Compact"/>
              <w:jc w:val="left"/>
            </w:pPr>
            <w:r>
              <w:t xml:space="preserve">ACHIEVE-3 (Rosenstock 2026), PMID 41765029</w:t>
            </w:r>
          </w:p>
        </w:tc>
        <w:tc>
          <w:tcPr/>
          <w:p>
            <w:pPr>
              <w:pStyle w:val="Compact"/>
              <w:jc w:val="left"/>
            </w:pPr>
            <w:r>
              <w:t xml:space="preserve">Orforglipron vs. semaglutida comprimido, aberto</w:t>
            </w:r>
          </w:p>
        </w:tc>
        <w:tc>
          <w:tcPr/>
          <w:p>
            <w:pPr>
              <w:pStyle w:val="Compact"/>
              <w:jc w:val="left"/>
            </w:pPr>
            <w:r>
              <w:t xml:space="preserve">52 semanas</w:t>
            </w:r>
          </w:p>
        </w:tc>
        <w:tc>
          <w:tcPr/>
          <w:p>
            <w:pPr>
              <w:pStyle w:val="Compact"/>
              <w:jc w:val="left"/>
            </w:pPr>
            <w:r>
              <w:t xml:space="preserve">HbA1c −1,91 vs. −1,47 (dose mais alta de cada)</w:t>
            </w:r>
          </w:p>
        </w:tc>
      </w:tr>
      <w:tr>
        <w:tc>
          <w:tcPr/>
          <w:p>
            <w:pPr>
              <w:pStyle w:val="Compact"/>
              <w:jc w:val="left"/>
            </w:pPr>
            <w:r>
              <w:t xml:space="preserve">SUSTAIN 7 (Pratley 2018), PMID 29397376</w:t>
            </w:r>
          </w:p>
        </w:tc>
        <w:tc>
          <w:tcPr/>
          <w:p>
            <w:pPr>
              <w:pStyle w:val="Compact"/>
              <w:jc w:val="left"/>
            </w:pPr>
            <w:r>
              <w:t xml:space="preserve">Semaglutida vs. dulaglutida</w:t>
            </w:r>
          </w:p>
        </w:tc>
        <w:tc>
          <w:tcPr/>
          <w:p>
            <w:pPr>
              <w:pStyle w:val="Compact"/>
              <w:jc w:val="left"/>
            </w:pPr>
            <w:r>
              <w:t xml:space="preserve">40 semanas</w:t>
            </w:r>
          </w:p>
        </w:tc>
        <w:tc>
          <w:tcPr/>
          <w:p>
            <w:pPr>
              <w:pStyle w:val="Compact"/>
              <w:jc w:val="left"/>
            </w:pPr>
            <w:r>
              <w:t xml:space="preserve">HbA1c −1,8 vs. −1,4; peso −6,5 vs. −3,0 kg</w:t>
            </w:r>
          </w:p>
        </w:tc>
      </w:tr>
      <w:tr>
        <w:tc>
          <w:tcPr/>
          <w:p>
            <w:pPr>
              <w:pStyle w:val="Compact"/>
              <w:jc w:val="left"/>
            </w:pPr>
            <w:r>
              <w:t xml:space="preserve">SUSTAIN 10 (Capehorn 2020), PMID 31539622</w:t>
            </w:r>
          </w:p>
        </w:tc>
        <w:tc>
          <w:tcPr/>
          <w:p>
            <w:pPr>
              <w:pStyle w:val="Compact"/>
              <w:jc w:val="left"/>
            </w:pPr>
            <w:r>
              <w:t xml:space="preserve">Semaglutida 1,0 mg vs. liraglutida 1,2 mg</w:t>
            </w:r>
          </w:p>
        </w:tc>
        <w:tc>
          <w:tcPr/>
          <w:p>
            <w:pPr>
              <w:pStyle w:val="Compact"/>
              <w:jc w:val="left"/>
            </w:pPr>
            <w:r>
              <w:t xml:space="preserve">30 semanas</w:t>
            </w:r>
          </w:p>
        </w:tc>
        <w:tc>
          <w:tcPr/>
          <w:p>
            <w:pPr>
              <w:pStyle w:val="Compact"/>
              <w:jc w:val="left"/>
            </w:pPr>
            <w:r>
              <w:t xml:space="preserve">HbA1c −1,7 vs. −1,0; peso −5,8 vs. −1,9 kg</w:t>
            </w:r>
          </w:p>
        </w:tc>
      </w:tr>
      <w:tr>
        <w:tc>
          <w:tcPr/>
          <w:p>
            <w:pPr>
              <w:pStyle w:val="Compact"/>
              <w:jc w:val="left"/>
            </w:pPr>
            <w:r>
              <w:t xml:space="preserve">SUSTAIN 3 (Ahmann 2018), PMID 29246950</w:t>
            </w:r>
          </w:p>
        </w:tc>
        <w:tc>
          <w:tcPr/>
          <w:p>
            <w:pPr>
              <w:pStyle w:val="Compact"/>
              <w:jc w:val="left"/>
            </w:pPr>
            <w:r>
              <w:t xml:space="preserve">Semaglutida vs. exenatida semanal, aberto</w:t>
            </w:r>
          </w:p>
        </w:tc>
        <w:tc>
          <w:tcPr/>
          <w:p>
            <w:pPr>
              <w:pStyle w:val="Compact"/>
              <w:jc w:val="left"/>
            </w:pPr>
            <w:r>
              <w:t xml:space="preserve">56 semanas</w:t>
            </w:r>
          </w:p>
        </w:tc>
        <w:tc>
          <w:tcPr/>
          <w:p>
            <w:pPr>
              <w:pStyle w:val="Compact"/>
              <w:jc w:val="left"/>
            </w:pPr>
            <w:r>
              <w:t xml:space="preserve">HbA1c −1,5 vs. −0,9; peso −5,6 vs. −1,9 kg</w:t>
            </w:r>
          </w:p>
        </w:tc>
      </w:tr>
      <w:tr>
        <w:tc>
          <w:tcPr/>
          <w:p>
            <w:pPr>
              <w:pStyle w:val="Compact"/>
              <w:jc w:val="left"/>
            </w:pPr>
            <w:r>
              <w:t xml:space="preserve">PIONEER 4 (Pratley 2019), PMID 31186120</w:t>
            </w:r>
          </w:p>
        </w:tc>
        <w:tc>
          <w:tcPr/>
          <w:p>
            <w:pPr>
              <w:pStyle w:val="Compact"/>
              <w:jc w:val="left"/>
            </w:pPr>
            <w:r>
              <w:t xml:space="preserve">Semaglutida comprimido vs. liraglutida injetável</w:t>
            </w:r>
          </w:p>
        </w:tc>
        <w:tc>
          <w:tcPr/>
          <w:p>
            <w:pPr>
              <w:pStyle w:val="Compact"/>
              <w:jc w:val="left"/>
            </w:pPr>
            <w:r>
              <w:t xml:space="preserve">26 semanas (estudo de 52)</w:t>
            </w:r>
          </w:p>
        </w:tc>
        <w:tc>
          <w:tcPr/>
          <w:p>
            <w:pPr>
              <w:pStyle w:val="Compact"/>
              <w:jc w:val="left"/>
            </w:pPr>
            <w:r>
              <w:t xml:space="preserve">HbA1c −1,2 vs. −1,1 (não inferior)</w:t>
            </w:r>
          </w:p>
        </w:tc>
      </w:tr>
      <w:tr>
        <w:tc>
          <w:tcPr/>
          <w:p>
            <w:pPr>
              <w:pStyle w:val="Compact"/>
              <w:jc w:val="left"/>
            </w:pPr>
            <w:r>
              <w:t xml:space="preserve">AWARD-6 (Dungan 2014), PMID 25018121</w:t>
            </w:r>
          </w:p>
        </w:tc>
        <w:tc>
          <w:tcPr/>
          <w:p>
            <w:pPr>
              <w:pStyle w:val="Compact"/>
              <w:jc w:val="left"/>
            </w:pPr>
            <w:r>
              <w:t xml:space="preserve">Dulaglutida vs. liraglutida 1,8 mg, aberto</w:t>
            </w:r>
          </w:p>
        </w:tc>
        <w:tc>
          <w:tcPr/>
          <w:p>
            <w:pPr>
              <w:pStyle w:val="Compact"/>
              <w:jc w:val="left"/>
            </w:pPr>
            <w:r>
              <w:t xml:space="preserve">26 semanas</w:t>
            </w:r>
          </w:p>
        </w:tc>
        <w:tc>
          <w:tcPr/>
          <w:p>
            <w:pPr>
              <w:pStyle w:val="Compact"/>
              <w:jc w:val="left"/>
            </w:pPr>
            <w:r>
              <w:t xml:space="preserve">HbA1c −1,42 vs. −1,36, equivalente</w:t>
            </w:r>
          </w:p>
        </w:tc>
      </w:tr>
      <w:tr>
        <w:tc>
          <w:tcPr/>
          <w:p>
            <w:pPr>
              <w:pStyle w:val="Compact"/>
              <w:jc w:val="left"/>
            </w:pPr>
            <w:r>
              <w:t xml:space="preserve">DURATION-6 (Buse 2013), PMID 23141817</w:t>
            </w:r>
          </w:p>
        </w:tc>
        <w:tc>
          <w:tcPr/>
          <w:p>
            <w:pPr>
              <w:pStyle w:val="Compact"/>
              <w:jc w:val="left"/>
            </w:pPr>
            <w:r>
              <w:t xml:space="preserve">Exenatida semanal vs. liraglutida, aberto</w:t>
            </w:r>
          </w:p>
        </w:tc>
        <w:tc>
          <w:tcPr/>
          <w:p>
            <w:pPr>
              <w:pStyle w:val="Compact"/>
              <w:jc w:val="left"/>
            </w:pPr>
            <w:r>
              <w:t xml:space="preserve">26 semanas</w:t>
            </w:r>
          </w:p>
        </w:tc>
        <w:tc>
          <w:tcPr/>
          <w:p>
            <w:pPr>
              <w:pStyle w:val="Compact"/>
              <w:jc w:val="left"/>
            </w:pPr>
            <w:r>
              <w:t xml:space="preserve">HbA1c −1,28 vs. −1,48; não inferioridade não alcançada</w:t>
            </w:r>
          </w:p>
        </w:tc>
      </w:tr>
      <w:tr>
        <w:tc>
          <w:tcPr/>
          <w:p>
            <w:pPr>
              <w:pStyle w:val="Compact"/>
              <w:jc w:val="left"/>
            </w:pPr>
            <w:r>
              <w:t xml:space="preserve">DREAMS-2 (Guo 2026), PMID 41407860</w:t>
            </w:r>
          </w:p>
        </w:tc>
        <w:tc>
          <w:tcPr/>
          <w:p>
            <w:pPr>
              <w:pStyle w:val="Compact"/>
              <w:jc w:val="left"/>
            </w:pPr>
            <w:r>
              <w:t xml:space="preserve">Mazdutida vs. dulaglutida 1,5 mg, China</w:t>
            </w:r>
          </w:p>
        </w:tc>
        <w:tc>
          <w:tcPr/>
          <w:p>
            <w:pPr>
              <w:pStyle w:val="Compact"/>
              <w:jc w:val="left"/>
            </w:pPr>
            <w:r>
              <w:t xml:space="preserve">28 semanas</w:t>
            </w:r>
          </w:p>
        </w:tc>
        <w:tc>
          <w:tcPr/>
          <w:p>
            <w:pPr>
              <w:pStyle w:val="Compact"/>
              <w:jc w:val="left"/>
            </w:pPr>
            <w:r>
              <w:t xml:space="preserve">HbA1c adicional −0,24 / −0,30</w:t>
            </w:r>
          </w:p>
        </w:tc>
      </w:tr>
      <w:tr>
        <w:tc>
          <w:tcPr/>
          <w:p>
            <w:pPr>
              <w:pStyle w:val="Compact"/>
              <w:jc w:val="left"/>
            </w:pPr>
            <w:r>
              <w:t xml:space="preserve">SURPASS-CVOT (Nicholls 2025), PMID 41406444</w:t>
            </w:r>
          </w:p>
        </w:tc>
        <w:tc>
          <w:tcPr/>
          <w:p>
            <w:pPr>
              <w:pStyle w:val="Compact"/>
              <w:jc w:val="left"/>
            </w:pPr>
            <w:r>
              <w:t xml:space="preserve">Tirzepatida vs. dulaglutida, eventos cardiovasculares</w:t>
            </w:r>
          </w:p>
        </w:tc>
        <w:tc>
          <w:tcPr/>
          <w:p>
            <w:pPr>
              <w:pStyle w:val="Compact"/>
              <w:jc w:val="left"/>
            </w:pPr>
            <w:r>
              <w:t xml:space="preserve">vários anos</w:t>
            </w:r>
          </w:p>
        </w:tc>
        <w:tc>
          <w:tcPr/>
          <w:p>
            <w:pPr>
              <w:pStyle w:val="Compact"/>
              <w:jc w:val="left"/>
            </w:pPr>
            <w:r>
              <w:t xml:space="preserve">HR 0,92, não inferior</w:t>
            </w:r>
          </w:p>
        </w:tc>
      </w:tr>
    </w:tbl>
    <w:p>
      <w:pPr>
        <w:pStyle w:val="BodyText"/>
      </w:pPr>
      <w:r>
        <w:rPr>
          <w:bCs/>
          <w:b/>
        </w:rPr>
        <w:t xml:space="preserve">O que as comparações diretas mostram:</w:t>
      </w:r>
    </w:p>
    <w:p>
      <w:pPr>
        <w:numPr>
          <w:ilvl w:val="0"/>
          <w:numId w:val="1329"/>
        </w:numPr>
        <w:pStyle w:val="Compact"/>
      </w:pPr>
      <w:r>
        <w:rPr>
          <w:bCs/>
          <w:b/>
        </w:rPr>
        <w:t xml:space="preserve">No peso, a ordem é clara.</w:t>
      </w:r>
      <w:r>
        <w:t xml:space="preserve"> </w:t>
      </w:r>
      <w:r>
        <w:t xml:space="preserve">A semaglutida 2,4 mg superou a liraglutida 3,0 mg em 9,4 pontos percentuais (STEP 8), a tirzepatida superou a semaglutida 2,4 mg em 6,5 pontos percentuais (SURMOUNT-5), o CagriSema superou a semaglutida 2,4 mg no Leste Asiático também em 6,5 pontos percentuais (REDEFINE 5). No SURMOUNT-5, mais participantes com tirzepatida atingiram cada um dos limiares de 10, 15, 20 e 25%, e a circunferência da cintura diminuiu 18,4 cm contra 13,0 cm.</w:t>
      </w:r>
    </w:p>
    <w:p>
      <w:pPr>
        <w:numPr>
          <w:ilvl w:val="0"/>
          <w:numId w:val="1329"/>
        </w:numPr>
        <w:pStyle w:val="Compact"/>
      </w:pPr>
      <w:r>
        <w:rPr>
          <w:bCs/>
          <w:b/>
        </w:rPr>
        <w:t xml:space="preserve">Na glicemia, as distâncias são menores.</w:t>
      </w:r>
      <w:r>
        <w:t xml:space="preserve"> </w:t>
      </w:r>
      <w:r>
        <w:t xml:space="preserve">Entre os agonistas semanais de GLP-1, as diferenças costumam ser de apenas décimos de ponto; a tirzepatida reduziu a HbA1c no SURPASS-2 de 0,15 a 0,45 ponto percentual a mais do que a semaglutida 1 mg.</w:t>
      </w:r>
    </w:p>
    <w:p>
      <w:pPr>
        <w:numPr>
          <w:ilvl w:val="0"/>
          <w:numId w:val="1329"/>
        </w:numPr>
        <w:pStyle w:val="Compact"/>
      </w:pPr>
      <w:r>
        <w:rPr>
          <w:bCs/>
          <w:b/>
        </w:rPr>
        <w:t xml:space="preserve">Para desfechos duros, há até agora apenas uma comparação direta.</w:t>
      </w:r>
      <w:r>
        <w:t xml:space="preserve"> </w:t>
      </w:r>
      <w:r>
        <w:t xml:space="preserve">O SURPASS-CVOT mostrou que a tirzepatida não é inferior à dulaglutida; a superioridade não foi comprovada.</w:t>
      </w:r>
    </w:p>
    <w:p>
      <w:pPr>
        <w:numPr>
          <w:ilvl w:val="0"/>
          <w:numId w:val="1329"/>
        </w:numPr>
        <w:pStyle w:val="Compact"/>
      </w:pPr>
      <w:r>
        <w:rPr>
          <w:bCs/>
          <w:b/>
        </w:rPr>
        <w:t xml:space="preserve">As limitações são consideráveis.</w:t>
      </w:r>
      <w:r>
        <w:t xml:space="preserve"> </w:t>
      </w:r>
      <w:r>
        <w:t xml:space="preserve">O SURMOUNT-5 e o SURPASS-2 foram abertos e financiados pelo fabricante da tirzepatida; o SURPASS-2 usou a semaglutida apenas na dose de 1 mg. O REDEFINE 5 foi realizado exclusivamente no Japão e em Taiwan. As diferenças no SURMOUNT-5, no entanto, são tão grandes que dificilmente podem ser explicadas apenas por essas fraquezas.</w:t>
      </w:r>
    </w:p>
    <w:p>
      <w:pPr>
        <w:pStyle w:val="FirstParagraph"/>
      </w:pPr>
      <w:r>
        <w:rPr>
          <w:bCs/>
          <w:b/>
        </w:rPr>
        <w:t xml:space="preserve">Ainda pendente (estudos registrados):</w:t>
      </w:r>
      <w:r>
        <w:t xml:space="preserve"> </w:t>
      </w:r>
      <w:r>
        <w:t xml:space="preserve">a comparação direta de retatrutida com tirzepatida em 800 adultos com obesidade</w:t>
      </w:r>
      <w:r>
        <w:rPr>
          <w:rStyle w:val="FootnoteReference"/>
        </w:rPr>
        <w:footnoteReference w:id="2573"/>
      </w:r>
      <w:r>
        <w:t xml:space="preserve"> </w:t>
      </w:r>
      <w:r>
        <w:t xml:space="preserve">deve ser concluída no final de 2026. O estudo comparativo de CagriSema contra tirzepatida na obesidade (REDEFINE 4, NCT06131437) está concluído segundo o registro; uma publicação revisada por pares não estava disponível no fechamento desta edição. A mazdutida está sendo testada na China contra a semaglutida</w:t>
      </w:r>
      <w:r>
        <w:rPr>
          <w:rStyle w:val="FootnoteReference"/>
        </w:rPr>
        <w:footnoteReference w:id="2574"/>
      </w:r>
      <w:r>
        <w:t xml:space="preserve">.</w:t>
      </w:r>
    </w:p>
    <w:bookmarkEnd w:id="2575"/>
    <w:bookmarkStart w:id="2576" w:name="conclusão-58"/>
    <w:p>
      <w:pPr>
        <w:pStyle w:val="Heading3"/>
      </w:pPr>
      <w:r>
        <w:t xml:space="preserve">Conclusão</w:t>
      </w:r>
    </w:p>
    <w:p>
      <w:pPr>
        <w:pStyle w:val="FirstParagraph"/>
      </w:pPr>
      <w:r>
        <w:t xml:space="preserve">Os medicamentos à base de incretinas formam uma escala clara: na perda de peso, as médias dos estudos de aprovação vão de cerca de 8% (liraglutida), passando por quase 15% (semaglutida 2,4 mg) e cerca de 20% (tirzepatida, CagriSema), até 25% (retatrutida), sendo que as comparações diretas confirmam essa ordem para os pares comparados até agora. Para coração e rins, o benefício até agora só está comprovado em estudos controlados por placebo para os agonistas de GLP-1 mais antigos e para a semaglutida; se os sucessores mais potentes oferecem mais nesse aspecto, permanece em aberto. Os efeitos colaterais são semelhantes em toda a classe e afetam sobretudo o trato gastrointestinal; as taxas de abandono aumentam com a dose e a duração do tratamento. Comparações cruzadas entre estudos individuais continuam sendo uma orientação aproximada – para a escolha de um medicamento em cada caso, determinantes são a bula profissional e o aconselhamento médico.</w:t>
      </w:r>
    </w:p>
    <w:bookmarkEnd w:id="2576"/>
    <w:bookmarkEnd w:id="2577"/>
    <w:bookmarkStart w:id="2600" w:name="promessas-versus-evidências"/>
    <w:p>
      <w:pPr>
        <w:pStyle w:val="Heading2"/>
      </w:pPr>
      <w:r>
        <w:t xml:space="preserve">Promessas versus evidências</w:t>
      </w:r>
    </w:p>
    <w:p>
      <w:pPr>
        <w:pStyle w:val="FirstParagraph"/>
      </w:pPr>
      <w:r>
        <w:t xml:space="preserve">Quem pesquisa peptídeos na internet logo encontra lojas, vídeos e fóruns em que certas substâncias são descritas com grandes palavras: elas supostamente reparam tendões, freiam o envelhecimento, derretem gordura ou aguçam a memória. Este capítulo contrapõe a essas promessas publicitárias típicas o que os estudos em humanos realmente mostraram.</w:t>
      </w:r>
    </w:p>
    <w:p>
      <w:pPr>
        <w:pStyle w:val="BodyText"/>
      </w:pPr>
      <w:r>
        <w:t xml:space="preserve">Foram selecionados os peptídeos mais promovidos na internet de língua alemã e inglesa no ano de 2026. As promessas estão formuladas de modo geral e resumem afirmações recorrentes; não vêm de um fornecedor específico. A coluna</w:t>
      </w:r>
      <w:r>
        <w:t xml:space="preserve"> </w:t>
      </w:r>
      <w:r>
        <w:t xml:space="preserve">“</w:t>
      </w:r>
      <w:r>
        <w:t xml:space="preserve">O que os estudos em humanos mostram</w:t>
      </w:r>
      <w:r>
        <w:t xml:space="preserve">”</w:t>
      </w:r>
      <w:r>
        <w:t xml:space="preserve"> </w:t>
      </w:r>
      <w:r>
        <w:t xml:space="preserve">baseia-se nos capítulos da Parte II, nos quais as fontes são discutidas em detalhe. Experimentos com animais e resultados de laboratório estão expressamente identificados como tais.</w:t>
      </w:r>
    </w:p>
    <w:p>
      <w:pPr>
        <w:pStyle w:val="BodyText"/>
      </w:pPr>
      <w:r>
        <w:t xml:space="preserve">Uma observação preliminar: o fato de um benefício não estar comprovado não significa automaticamente que a substância seja ineficaz. Significa que ninguém sabe – nem mesmo os fornecedores que a vendem. Da mesma forma: o fato de não haver efeitos colaterais publicados não significa, em substâncias pouco estudadas, que elas sejam seguras, mas apenas que ninguém os procurou sistematicamente.</w:t>
      </w:r>
    </w:p>
    <w:bookmarkStart w:id="2578" w:name="os-peptídeos-mais-populares-sob-checagem"/>
    <w:p>
      <w:pPr>
        <w:pStyle w:val="Heading3"/>
      </w:pPr>
      <w:r>
        <w:t xml:space="preserve">Os peptídeos mais populares sob checagem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Promessa publicitária típica</w:t>
            </w:r>
          </w:p>
        </w:tc>
        <w:tc>
          <w:tcPr/>
          <w:p>
            <w:pPr>
              <w:pStyle w:val="Compact"/>
              <w:jc w:val="left"/>
            </w:pPr>
            <w:r>
              <w:t xml:space="preserve">O que os estudos em humanos mostram</w:t>
            </w:r>
          </w:p>
        </w:tc>
        <w:tc>
          <w:tcPr/>
          <w:p>
            <w:pPr>
              <w:pStyle w:val="Compact"/>
              <w:jc w:val="left"/>
            </w:pPr>
            <w:r>
              <w:t xml:space="preserve">Evidência</w:t>
            </w:r>
          </w:p>
        </w:tc>
      </w:tr>
      <w:tr>
        <w:tc>
          <w:tcPr/>
          <w:p>
            <w:pPr>
              <w:pStyle w:val="Compact"/>
              <w:jc w:val="left"/>
            </w:pPr>
            <w:r>
              <w:t xml:space="preserve">BPC-157</w:t>
            </w:r>
          </w:p>
        </w:tc>
        <w:tc>
          <w:tcPr/>
          <w:p>
            <w:pPr>
              <w:pStyle w:val="Compact"/>
              <w:jc w:val="left"/>
            </w:pPr>
            <w:r>
              <w:t xml:space="preserve">Acelera a cicatrização de tendões, ligamentos, músculos e intestino</w:t>
            </w:r>
          </w:p>
        </w:tc>
        <w:tc>
          <w:tcPr/>
          <w:p>
            <w:pPr>
              <w:pStyle w:val="Compact"/>
              <w:jc w:val="left"/>
            </w:pPr>
            <w:r>
              <w:t xml:space="preserve">Três investigações não controladas com um total de 30 pessoas (joelho, bexiga, tolerabilidade); força probatória muito baixa segundo revisão sistemática (Poolton 2026, PMID 42885452). Os muitos resultados positivos vêm de experimentos com animais, em sua maioria de um único grupo de pesquisa.</w:t>
            </w:r>
          </w:p>
        </w:tc>
        <w:tc>
          <w:tcPr/>
          <w:p>
            <w:pPr>
              <w:pStyle w:val="Compact"/>
              <w:jc w:val="left"/>
            </w:pPr>
            <w:r>
              <w:t xml:space="preserve">C</w:t>
            </w:r>
          </w:p>
        </w:tc>
      </w:tr>
      <w:tr>
        <w:tc>
          <w:tcPr/>
          <w:p>
            <w:pPr>
              <w:pStyle w:val="Compact"/>
              <w:jc w:val="left"/>
            </w:pPr>
            <w:r>
              <w:t xml:space="preserve">TB-500</w:t>
            </w:r>
          </w:p>
        </w:tc>
        <w:tc>
          <w:tcPr/>
          <w:p>
            <w:pPr>
              <w:pStyle w:val="Compact"/>
              <w:jc w:val="left"/>
            </w:pPr>
            <w:r>
              <w:t xml:space="preserve">Repara tecidos, tendões e músculos, aumenta a mobilidade</w:t>
            </w:r>
          </w:p>
        </w:tc>
        <w:tc>
          <w:tcPr/>
          <w:p>
            <w:pPr>
              <w:pStyle w:val="Compact"/>
              <w:jc w:val="left"/>
            </w:pPr>
            <w:r>
              <w:t xml:space="preserve">O TB-500 nunca foi testado em um estudo publicado em humanos. A proteína completa timosina beta-4 não reduziu significativamente o tamanho do infarto, no geral, após infarto do miocárdio (Zhang 2025, PMID 41229390). Produtos do mercado cinza nem sempre continham o que era declarado (Delcourt 2023, PMID 36482504).</w:t>
            </w:r>
          </w:p>
        </w:tc>
        <w:tc>
          <w:tcPr/>
          <w:p>
            <w:pPr>
              <w:pStyle w:val="Compact"/>
              <w:jc w:val="left"/>
            </w:pPr>
            <w:r>
              <w:t xml:space="preserve">D (TB-500)</w:t>
            </w:r>
          </w:p>
        </w:tc>
      </w:tr>
      <w:tr>
        <w:tc>
          <w:tcPr/>
          <w:p>
            <w:pPr>
              <w:pStyle w:val="Compact"/>
              <w:jc w:val="left"/>
            </w:pPr>
            <w:r>
              <w:t xml:space="preserve">CJC-1295</w:t>
            </w:r>
          </w:p>
        </w:tc>
        <w:tc>
          <w:tcPr/>
          <w:p>
            <w:pPr>
              <w:pStyle w:val="Compact"/>
              <w:jc w:val="left"/>
            </w:pPr>
            <w:r>
              <w:t xml:space="preserve">Aumenta o hormônio do crescimento para ganho muscular, perda de gordura e sono</w:t>
            </w:r>
          </w:p>
        </w:tc>
        <w:tc>
          <w:tcPr/>
          <w:p>
            <w:pPr>
              <w:pStyle w:val="Compact"/>
              <w:jc w:val="left"/>
            </w:pPr>
            <w:r>
              <w:t xml:space="preserve">Em pessoas saudáveis, o hormônio do crescimento e o IGF-1 aumentaram por cerca de seis a onze dias após uma injeção única (Teichman 2006, PMID 16352683). Se disso resulta um benefício nunca foi investigado. Para a variante mais vendida, sem</w:t>
            </w:r>
            <w:r>
              <w:t xml:space="preserve"> </w:t>
            </w:r>
            <w:r>
              <w:t xml:space="preserve">“</w:t>
            </w:r>
            <w:r>
              <w:t xml:space="preserve">DAC</w:t>
            </w:r>
            <w:r>
              <w:t xml:space="preserve">”</w:t>
            </w:r>
            <w:r>
              <w:t xml:space="preserve">, não há estudo em humanos.</w:t>
            </w:r>
          </w:p>
        </w:tc>
        <w:tc>
          <w:tcPr/>
          <w:p>
            <w:pPr>
              <w:pStyle w:val="Compact"/>
              <w:jc w:val="left"/>
            </w:pPr>
            <w:r>
              <w:t xml:space="preserve">C</w:t>
            </w:r>
          </w:p>
        </w:tc>
      </w:tr>
      <w:tr>
        <w:tc>
          <w:tcPr/>
          <w:p>
            <w:pPr>
              <w:pStyle w:val="Compact"/>
              <w:jc w:val="left"/>
            </w:pPr>
            <w:r>
              <w:t xml:space="preserve">Ipamorelina</w:t>
            </w:r>
          </w:p>
        </w:tc>
        <w:tc>
          <w:tcPr/>
          <w:p>
            <w:pPr>
              <w:pStyle w:val="Compact"/>
              <w:jc w:val="left"/>
            </w:pPr>
            <w:r>
              <w:t xml:space="preserve">Estimulante suave do hormônio do crescimento, sem efeitos colaterais</w:t>
            </w:r>
          </w:p>
        </w:tc>
        <w:tc>
          <w:tcPr/>
          <w:p>
            <w:pPr>
              <w:pStyle w:val="Compact"/>
              <w:jc w:val="left"/>
            </w:pPr>
            <w:r>
              <w:t xml:space="preserve">Único estudo de eficácia publicado: 117 pessoas após cirurgia intestinal, sem benefício significativo (Beck 2014, PMID 25331030). Sobre músculos, gordura, sono ou envelhecimento, nenhum estudo em humanos.</w:t>
            </w:r>
          </w:p>
        </w:tc>
        <w:tc>
          <w:tcPr/>
          <w:p>
            <w:pPr>
              <w:pStyle w:val="Compact"/>
              <w:jc w:val="left"/>
            </w:pPr>
            <w:r>
              <w:t xml:space="preserve">B</w:t>
            </w:r>
          </w:p>
        </w:tc>
      </w:tr>
      <w:tr>
        <w:tc>
          <w:tcPr/>
          <w:p>
            <w:pPr>
              <w:pStyle w:val="Compact"/>
              <w:jc w:val="left"/>
            </w:pPr>
            <w:r>
              <w:t xml:space="preserve">Epitalon</w:t>
            </w:r>
          </w:p>
        </w:tc>
        <w:tc>
          <w:tcPr/>
          <w:p>
            <w:pPr>
              <w:pStyle w:val="Compact"/>
              <w:jc w:val="left"/>
            </w:pPr>
            <w:r>
              <w:t xml:space="preserve">Alonga os telômeros e faz o relógio biológico andar para trás</w:t>
            </w:r>
          </w:p>
        </w:tc>
        <w:tc>
          <w:tcPr/>
          <w:p>
            <w:pPr>
              <w:pStyle w:val="Compact"/>
              <w:jc w:val="left"/>
            </w:pPr>
            <w:r>
              <w:t xml:space="preserve">Alongamento de telômeros apenas em culturas de células (Khavinson 2003, PMID 12937682). Em camundongos, nenhum aumento da expectativa de vida média (Anisimov 2003, PMID 14501183). Nenhum estudo randomizado suficientemente grande em humanos.</w:t>
            </w:r>
          </w:p>
        </w:tc>
        <w:tc>
          <w:tcPr/>
          <w:p>
            <w:pPr>
              <w:pStyle w:val="Compact"/>
              <w:jc w:val="left"/>
            </w:pPr>
            <w:r>
              <w:t xml:space="preserve">C</w:t>
            </w:r>
          </w:p>
        </w:tc>
      </w:tr>
      <w:tr>
        <w:tc>
          <w:tcPr/>
          <w:p>
            <w:pPr>
              <w:pStyle w:val="Compact"/>
              <w:jc w:val="left"/>
            </w:pPr>
            <w:r>
              <w:t xml:space="preserve">MOTS-c</w:t>
            </w:r>
          </w:p>
        </w:tc>
        <w:tc>
          <w:tcPr/>
          <w:p>
            <w:pPr>
              <w:pStyle w:val="Compact"/>
              <w:jc w:val="left"/>
            </w:pPr>
            <w:r>
              <w:t xml:space="preserve">“</w:t>
            </w:r>
            <w:r>
              <w:t xml:space="preserve">Exercício em injeção</w:t>
            </w:r>
            <w:r>
              <w:t xml:space="preserve">”</w:t>
            </w:r>
            <w:r>
              <w:t xml:space="preserve">: mais resistência, menos gordura, melhor ação da insulina</w:t>
            </w:r>
          </w:p>
        </w:tc>
        <w:tc>
          <w:tcPr/>
          <w:p>
            <w:pPr>
              <w:pStyle w:val="Compact"/>
              <w:jc w:val="left"/>
            </w:pPr>
            <w:r>
              <w:t xml:space="preserve">Esses efeitos apareceram em camundongos (Lee 2015, PMID 25738459). Em humanos, há apenas medições dos níveis endógenos, nenhum estudo publicado com administração de MOTS-c.</w:t>
            </w:r>
          </w:p>
        </w:tc>
        <w:tc>
          <w:tcPr/>
          <w:p>
            <w:pPr>
              <w:pStyle w:val="Compact"/>
              <w:jc w:val="left"/>
            </w:pPr>
            <w:r>
              <w:t xml:space="preserve">D</w:t>
            </w:r>
          </w:p>
        </w:tc>
      </w:tr>
      <w:tr>
        <w:tc>
          <w:tcPr/>
          <w:p>
            <w:pPr>
              <w:pStyle w:val="Compact"/>
              <w:jc w:val="left"/>
            </w:pPr>
            <w:r>
              <w:t xml:space="preserve">Semax</w:t>
            </w:r>
          </w:p>
        </w:tc>
        <w:tc>
          <w:tcPr/>
          <w:p>
            <w:pPr>
              <w:pStyle w:val="Compact"/>
              <w:jc w:val="left"/>
            </w:pPr>
            <w:r>
              <w:t xml:space="preserve">Aumenta concentração, memória e desempenho</w:t>
            </w:r>
          </w:p>
        </w:tc>
        <w:tc>
          <w:tcPr/>
          <w:p>
            <w:pPr>
              <w:pStyle w:val="Compact"/>
              <w:jc w:val="left"/>
            </w:pPr>
            <w:r>
              <w:t xml:space="preserve">Estudos russos pequenos, em sua maioria não randomizados, em AVC, como um estudo com 110 pessoas (Gusev 2018, PMID 29798983). Para pessoas saudáveis, nenhum dado conclusivo.</w:t>
            </w:r>
          </w:p>
        </w:tc>
        <w:tc>
          <w:tcPr/>
          <w:p>
            <w:pPr>
              <w:pStyle w:val="Compact"/>
              <w:jc w:val="left"/>
            </w:pPr>
            <w:r>
              <w:t xml:space="preserve">C</w:t>
            </w:r>
          </w:p>
        </w:tc>
      </w:tr>
      <w:tr>
        <w:tc>
          <w:tcPr/>
          <w:p>
            <w:pPr>
              <w:pStyle w:val="Compact"/>
              <w:jc w:val="left"/>
            </w:pPr>
            <w:r>
              <w:t xml:space="preserve">Selank</w:t>
            </w:r>
          </w:p>
        </w:tc>
        <w:tc>
          <w:tcPr/>
          <w:p>
            <w:pPr>
              <w:pStyle w:val="Compact"/>
              <w:jc w:val="left"/>
            </w:pPr>
            <w:r>
              <w:t xml:space="preserve">Alivia a ansiedade sem sonolência nem dependência</w:t>
            </w:r>
          </w:p>
        </w:tc>
        <w:tc>
          <w:tcPr/>
          <w:p>
            <w:pPr>
              <w:pStyle w:val="Compact"/>
              <w:jc w:val="left"/>
            </w:pPr>
            <w:r>
              <w:t xml:space="preserve">Três pequenos estudos russos sem grupo placebo, entre eles 62 pessoas em comparação com um benzodiazepínico (Zozulia 2008, PMID 18454096). Não há estudos sobre concentração em pessoas saudáveis.</w:t>
            </w:r>
          </w:p>
        </w:tc>
        <w:tc>
          <w:tcPr/>
          <w:p>
            <w:pPr>
              <w:pStyle w:val="Compact"/>
              <w:jc w:val="left"/>
            </w:pPr>
            <w:r>
              <w:t xml:space="preserve">C</w:t>
            </w:r>
          </w:p>
        </w:tc>
      </w:tr>
      <w:tr>
        <w:tc>
          <w:tcPr/>
          <w:p>
            <w:pPr>
              <w:pStyle w:val="Compact"/>
              <w:jc w:val="left"/>
            </w:pPr>
            <w:r>
              <w:t xml:space="preserve">Melanotan II</w:t>
            </w:r>
          </w:p>
        </w:tc>
        <w:tc>
          <w:tcPr/>
          <w:p>
            <w:pPr>
              <w:pStyle w:val="Compact"/>
              <w:jc w:val="left"/>
            </w:pPr>
            <w:r>
              <w:t xml:space="preserve">Bronzeado sem queimadura solar, mais libido</w:t>
            </w:r>
          </w:p>
        </w:tc>
        <w:tc>
          <w:tcPr/>
          <w:p>
            <w:pPr>
              <w:pStyle w:val="Compact"/>
              <w:jc w:val="left"/>
            </w:pPr>
            <w:r>
              <w:t xml:space="preserve">Pequenos estudos-piloto dos anos 1990 com cerca de duas dúzias de pessoas, náusea frequente (Wessells 2000, PMID 11035391). Relatos de caso sobre novas pintas, melanomas e priapismo. Frascos de lojas online continham 4,32 a 8,84 mg em vez de 10 mg (Breindahl 2015, PMID 24771717).</w:t>
            </w:r>
          </w:p>
        </w:tc>
        <w:tc>
          <w:tcPr/>
          <w:p>
            <w:pPr>
              <w:pStyle w:val="Compact"/>
              <w:jc w:val="left"/>
            </w:pPr>
            <w:r>
              <w:t xml:space="preserve">C</w:t>
            </w:r>
          </w:p>
        </w:tc>
      </w:tr>
      <w:tr>
        <w:tc>
          <w:tcPr/>
          <w:p>
            <w:pPr>
              <w:pStyle w:val="Compact"/>
              <w:jc w:val="left"/>
            </w:pPr>
            <w:r>
              <w:t xml:space="preserve">GHK-Cu</w:t>
            </w:r>
          </w:p>
        </w:tc>
        <w:tc>
          <w:tcPr/>
          <w:p>
            <w:pPr>
              <w:pStyle w:val="Compact"/>
              <w:jc w:val="left"/>
            </w:pPr>
            <w:r>
              <w:t xml:space="preserve">Firma a pele, forma colágeno, estimula o crescimento capilar</w:t>
            </w:r>
          </w:p>
        </w:tc>
        <w:tc>
          <w:tcPr/>
          <w:p>
            <w:pPr>
              <w:pStyle w:val="Compact"/>
              <w:jc w:val="left"/>
            </w:pPr>
            <w:r>
              <w:t xml:space="preserve">Um estudo randomizado mais antigo em úlceras de pé diabético com resultado positivo (Mulder 1994, PMID 17147644). Um pequeno estudo de pele após tratamento a laser não encontrou diferença mensurável (Miller 2006, PMID 16847171). Sobre injeções, nenhum dado.</w:t>
            </w:r>
          </w:p>
        </w:tc>
        <w:tc>
          <w:tcPr/>
          <w:p>
            <w:pPr>
              <w:pStyle w:val="Compact"/>
              <w:jc w:val="left"/>
            </w:pPr>
            <w:r>
              <w:t xml:space="preserve">C</w:t>
            </w:r>
          </w:p>
        </w:tc>
      </w:tr>
      <w:tr>
        <w:tc>
          <w:tcPr/>
          <w:p>
            <w:pPr>
              <w:pStyle w:val="Compact"/>
              <w:jc w:val="left"/>
            </w:pPr>
            <w:r>
              <w:t xml:space="preserve">AOD-9604</w:t>
            </w:r>
          </w:p>
        </w:tc>
        <w:tc>
          <w:tcPr/>
          <w:p>
            <w:pPr>
              <w:pStyle w:val="Compact"/>
              <w:jc w:val="left"/>
            </w:pPr>
            <w:r>
              <w:t xml:space="preserve">Fragmento do hormônio do crescimento que queima gordura</w:t>
            </w:r>
          </w:p>
        </w:tc>
        <w:tc>
          <w:tcPr/>
          <w:p>
            <w:pPr>
              <w:pStyle w:val="Compact"/>
              <w:jc w:val="left"/>
            </w:pPr>
            <w:r>
              <w:t xml:space="preserve">Em camundongos, menor ganho de peso (Heffernan 2001, PMID 11673763). Estudos em humanos foram realizados, mas nunca publicados em periódicos revisados por pares; o desenvolvimento foi interrompido.</w:t>
            </w:r>
          </w:p>
        </w:tc>
        <w:tc>
          <w:tcPr/>
          <w:p>
            <w:pPr>
              <w:pStyle w:val="Compact"/>
              <w:jc w:val="left"/>
            </w:pPr>
            <w:r>
              <w:t xml:space="preserve">D</w:t>
            </w:r>
          </w:p>
        </w:tc>
      </w:tr>
      <w:tr>
        <w:tc>
          <w:tcPr/>
          <w:p>
            <w:pPr>
              <w:pStyle w:val="Compact"/>
              <w:jc w:val="left"/>
            </w:pPr>
            <w:r>
              <w:t xml:space="preserve">Peptídeos de colágeno</w:t>
            </w:r>
          </w:p>
        </w:tc>
        <w:tc>
          <w:tcPr/>
          <w:p>
            <w:pPr>
              <w:pStyle w:val="Compact"/>
              <w:jc w:val="left"/>
            </w:pPr>
            <w:r>
              <w:t xml:space="preserve">Pele mais firme, articulações saudáveis, mais músculos</w:t>
            </w:r>
          </w:p>
        </w:tc>
        <w:tc>
          <w:tcPr/>
          <w:p>
            <w:pPr>
              <w:pStyle w:val="Compact"/>
              <w:jc w:val="left"/>
            </w:pPr>
            <w:r>
              <w:t xml:space="preserve">Artrose: em 35 estudos randomizados, efeitos pequenos a moderados (PMID 38218227). Pele: sem financiamento da indústria, nenhum efeito (Myung 2025, PMID 40324552). Músculo: a proteína do soro do leite funcionou melhor do que o colágeno (Oikawa 2020, PMID 31919527).</w:t>
            </w:r>
          </w:p>
        </w:tc>
        <w:tc>
          <w:tcPr/>
          <w:p>
            <w:pPr>
              <w:pStyle w:val="Compact"/>
              <w:jc w:val="left"/>
            </w:pPr>
            <w:r>
              <w:t xml:space="preserve">B</w:t>
            </w:r>
          </w:p>
        </w:tc>
      </w:tr>
      <w:tr>
        <w:tc>
          <w:tcPr/>
          <w:p>
            <w:pPr>
              <w:pStyle w:val="Compact"/>
              <w:jc w:val="left"/>
            </w:pPr>
            <w:r>
              <w:t xml:space="preserve">Glutationa</w:t>
            </w:r>
          </w:p>
        </w:tc>
        <w:tc>
          <w:tcPr/>
          <w:p>
            <w:pPr>
              <w:pStyle w:val="Compact"/>
              <w:jc w:val="left"/>
            </w:pPr>
            <w:r>
              <w:t xml:space="preserve">Desintoxica, clareia a pele, fortalece o sistema imunológico</w:t>
            </w:r>
          </w:p>
        </w:tc>
        <w:tc>
          <w:tcPr/>
          <w:p>
            <w:pPr>
              <w:pStyle w:val="Compact"/>
              <w:jc w:val="left"/>
            </w:pPr>
            <w:r>
              <w:t xml:space="preserve">Em cápsula, aumentou os níveis sanguíneos após seis meses (Richie 2015, PMID 24791752). Em infusão, não protegeu 185 pacientes com câncer contra danos nos nervos (Leal 2014, PMID 24619793). Infusões para clareamento da pele: nenhum benefício comprovado, segundo uma revisão injustificáveis (Sarkar 2025, PMID 39444151).</w:t>
            </w:r>
          </w:p>
        </w:tc>
        <w:tc>
          <w:tcPr/>
          <w:p>
            <w:pPr>
              <w:pStyle w:val="Compact"/>
              <w:jc w:val="left"/>
            </w:pPr>
            <w:r>
              <w:t xml:space="preserve">B</w:t>
            </w:r>
          </w:p>
        </w:tc>
      </w:tr>
      <w:tr>
        <w:tc>
          <w:tcPr/>
          <w:p>
            <w:pPr>
              <w:pStyle w:val="Compact"/>
              <w:jc w:val="left"/>
            </w:pPr>
            <w:r>
              <w:t xml:space="preserve">Dihexa</w:t>
            </w:r>
          </w:p>
        </w:tc>
        <w:tc>
          <w:tcPr/>
          <w:p>
            <w:pPr>
              <w:pStyle w:val="Compact"/>
              <w:jc w:val="left"/>
            </w:pPr>
            <w:r>
              <w:t xml:space="preserve">Forma novas sinapses, mais potente que os fatores de crescimento endógenos</w:t>
            </w:r>
          </w:p>
        </w:tc>
        <w:tc>
          <w:tcPr/>
          <w:p>
            <w:pPr>
              <w:pStyle w:val="Compact"/>
              <w:jc w:val="left"/>
            </w:pPr>
            <w:r>
              <w:t xml:space="preserve">Nunca estudada em humanos; efeitos apenas em ratos e camundongos, e um trabalho central sobre o tema foi retratado em 2025 (PMID 25187433). A substância aparentada fosgonimetona não alcançou nenhum dos objetivos primários e secundários em 287 pessoas com Alzheimer (Porsteinsson 2025, PMID 41393340).</w:t>
            </w:r>
          </w:p>
        </w:tc>
        <w:tc>
          <w:tcPr/>
          <w:p>
            <w:pPr>
              <w:pStyle w:val="Compact"/>
              <w:jc w:val="left"/>
            </w:pPr>
            <w:r>
              <w:t xml:space="preserve">D</w:t>
            </w:r>
          </w:p>
        </w:tc>
      </w:tr>
      <w:tr>
        <w:tc>
          <w:tcPr/>
          <w:p>
            <w:pPr>
              <w:pStyle w:val="Compact"/>
              <w:jc w:val="left"/>
            </w:pPr>
            <w:r>
              <w:t xml:space="preserve">IGF-1 LR3</w:t>
            </w:r>
          </w:p>
        </w:tc>
        <w:tc>
          <w:tcPr/>
          <w:p>
            <w:pPr>
              <w:pStyle w:val="Compact"/>
              <w:jc w:val="left"/>
            </w:pPr>
            <w:r>
              <w:t xml:space="preserve">IGF-1 mais potente e de ação mais longa para crescimento muscular</w:t>
            </w:r>
          </w:p>
        </w:tc>
        <w:tc>
          <w:tcPr/>
          <w:p>
            <w:pPr>
              <w:pStyle w:val="Compact"/>
              <w:jc w:val="left"/>
            </w:pPr>
            <w:r>
              <w:t xml:space="preserve">Nenhum estudo em humanos sequer. Um frasco do mercado negro continha uma variante de laboratório que nunca foi pensada para injeções (PMID 20675162).</w:t>
            </w:r>
          </w:p>
        </w:tc>
        <w:tc>
          <w:tcPr/>
          <w:p>
            <w:pPr>
              <w:pStyle w:val="Compact"/>
              <w:jc w:val="left"/>
            </w:pPr>
            <w:r>
              <w:t xml:space="preserve">D</w:t>
            </w:r>
          </w:p>
        </w:tc>
      </w:tr>
      <w:tr>
        <w:tc>
          <w:tcPr/>
          <w:p>
            <w:pPr>
              <w:pStyle w:val="Compact"/>
              <w:jc w:val="left"/>
            </w:pPr>
            <w:r>
              <w:t xml:space="preserve">Retatrutida do mercado cinza</w:t>
            </w:r>
          </w:p>
        </w:tc>
        <w:tc>
          <w:tcPr/>
          <w:p>
            <w:pPr>
              <w:pStyle w:val="Compact"/>
              <w:jc w:val="left"/>
            </w:pPr>
            <w:r>
              <w:t xml:space="preserve">O emagrecedor mais potente, já disponível hoje</w:t>
            </w:r>
          </w:p>
        </w:tc>
        <w:tc>
          <w:tcPr/>
          <w:p>
            <w:pPr>
              <w:pStyle w:val="Compact"/>
              <w:jc w:val="left"/>
            </w:pPr>
            <w:r>
              <w:t xml:space="preserve">O medicamento é bem estudado: no TRIUMPH-1, −25,0% de peso após 80 semanas na dose mais alta (Jastreboff 2026, PMID 42814954). Isso não vale para a mercadoria do mercado cinza: não aprovada, conteúdo e pureza não verificados (Rubin 2026, PMID 42853576).</w:t>
            </w:r>
          </w:p>
        </w:tc>
        <w:tc>
          <w:tcPr/>
          <w:p>
            <w:pPr>
              <w:pStyle w:val="Compact"/>
              <w:jc w:val="left"/>
            </w:pPr>
            <w:r>
              <w:t xml:space="preserve">B (medicamento)</w:t>
            </w:r>
          </w:p>
        </w:tc>
      </w:tr>
    </w:tbl>
    <w:p>
      <w:pPr>
        <w:pStyle w:val="BodyText"/>
      </w:pPr>
      <w:r>
        <w:t xml:space="preserve">Observação sobre a tabela: o nível de evidência refere-se à aplicação promovida ou à substância tal como é vendida. Para o TB-500 vale o nível D; para a proteína completa timosina beta-4, o nível B. Na retatrutida, o nível B refere-se ao medicamento testado em estudos; para produtos do mercado cinza, cujo conteúdo ninguém conhece, não é possível indicar um nível de evidência.</w:t>
      </w:r>
    </w:p>
    <w:p>
      <w:pPr>
        <w:pStyle w:val="BodyText"/>
      </w:pPr>
      <w:r>
        <w:t xml:space="preserve">O quadro geral: das 16 substâncias, nenhuma tem nível de evidência A. Cinco têm nível D, ou seja, nunca foram estudadas em humanos. Nas substâncias com nível B – ipamorelina, colágeno, glutationa –, os melhores estudos não confirmaram as promessas publicitárias ou encontraram apenas efeitos pequenos. A única exceção é a retatrutida, cujo efeito potente está comprovado – mas não para o produto vendido no mercado cinza.</w:t>
      </w:r>
    </w:p>
    <w:bookmarkEnd w:id="2578"/>
    <w:bookmarkStart w:id="2592" w:name="seis-padrões-por-trás-das-promessas"/>
    <w:p>
      <w:pPr>
        <w:pStyle w:val="Heading3"/>
      </w:pPr>
      <w:r>
        <w:t xml:space="preserve">Seis padrões por trás das promessas</w:t>
      </w:r>
    </w:p>
    <w:p>
      <w:pPr>
        <w:pStyle w:val="FirstParagraph"/>
      </w:pPr>
      <w:r>
        <w:t xml:space="preserve">Quem lê a tabela linha por linha reconhece padrões recorrentes. Eles ajudam a avaliar também afirmações sobre peptídeos que não aparecem neste livro.</w:t>
      </w:r>
    </w:p>
    <w:bookmarkStart w:id="2580" w:name="do-animal-para-o-ser-humano"/>
    <w:p>
      <w:pPr>
        <w:pStyle w:val="Heading4"/>
      </w:pPr>
      <w:r>
        <w:t xml:space="preserve">1. Do animal para o ser humano</w:t>
      </w:r>
    </w:p>
    <w:p>
      <w:pPr>
        <w:pStyle w:val="FirstParagraph"/>
      </w:pPr>
      <w:r>
        <w:t xml:space="preserve">Quase todas as promessas sobre BPC-157, TB-500, MOTS-c, Dihexa, AOD-9604 e Epitalon apoiam-se em experimentos com ratos, camundongos ou culturas de células. Esses estudos são importantes para entender mecanismos de ação. Se uma substância age da mesma forma em humanos, eles não preveem: uma grande parte das substâncias bem-sucedidas em experimentos com animais fracassa em estudos em humanos. Um exemplo atual deste livro é o peptídeo da memória Dihexa. Em ratos, ele favoreceu o aprendizado e a formação de sinapses; a substância aparentada fosgonimetona, que deveria agir pelo mesmo sistema de fatores de crescimento, não alcançou nenhum dos objetivos primários e secundários em um estudo com 287 pessoas com Alzheimer</w:t>
      </w:r>
      <w:r>
        <w:rPr>
          <w:rStyle w:val="FootnoteReference"/>
        </w:rPr>
        <w:footnoteReference w:id="2579"/>
      </w:r>
      <w:r>
        <w:t xml:space="preserve">.</w:t>
      </w:r>
    </w:p>
    <w:p>
      <w:pPr>
        <w:pStyle w:val="BodyText"/>
      </w:pPr>
      <w:r>
        <w:t xml:space="preserve">No caso do BPC-157, há ainda um segundo problema: os estudos positivos em animais vêm, em sua maioria, de um único grupo de pesquisa e quase não foram repetidos de forma independente.</w:t>
      </w:r>
    </w:p>
    <w:bookmarkEnd w:id="2580"/>
    <w:bookmarkStart w:id="2582" w:name="um-valor-medido-ainda-não-é-um-benefício"/>
    <w:p>
      <w:pPr>
        <w:pStyle w:val="Heading4"/>
      </w:pPr>
      <w:r>
        <w:t xml:space="preserve">2. Um valor medido ainda não é um benefício</w:t>
      </w:r>
    </w:p>
    <w:p>
      <w:pPr>
        <w:pStyle w:val="FirstParagraph"/>
      </w:pPr>
      <w:r>
        <w:t xml:space="preserve">O CJC-1295 aumenta o hormônio do crescimento, o Epitalon ativa a telomerase em culturas de células, cápsulas de glutationa aumentam o nível de glutationa no sangue. Esses são valores substitutos (</w:t>
      </w:r>
      <w:r>
        <w:t xml:space="preserve">“</w:t>
      </w:r>
      <w:r>
        <w:t xml:space="preserve">desfechos substitutos</w:t>
      </w:r>
      <w:r>
        <w:t xml:space="preserve">”</w:t>
      </w:r>
      <w:r>
        <w:t xml:space="preserve">, ver Parte I). Se disso resulta algo que importa para as pessoas – mais força muscular, vida mais longa, menos doenças – é uma questão à parte, que exige estudos próprios. No caso do hormônio do crescimento, o exemplo do ibutamoreno mostra quão grande pode ser a lacuna: em 65 idosos saudáveis, a massa magra aumentou 1,1 kg ao longo de um ano, mas força e função física não melhoraram</w:t>
      </w:r>
      <w:r>
        <w:rPr>
          <w:rStyle w:val="FootnoteReference"/>
        </w:rPr>
        <w:footnoteReference w:id="2581"/>
      </w:r>
      <w:r>
        <w:t xml:space="preserve">.</w:t>
      </w:r>
    </w:p>
    <w:bookmarkEnd w:id="2582"/>
    <w:bookmarkStart w:id="2584" w:name="confusão-de-substâncias"/>
    <w:p>
      <w:pPr>
        <w:pStyle w:val="Heading4"/>
      </w:pPr>
      <w:r>
        <w:t xml:space="preserve">3. Confusão de substâncias</w:t>
      </w:r>
    </w:p>
    <w:p>
      <w:pPr>
        <w:pStyle w:val="FirstParagraph"/>
      </w:pPr>
      <w:r>
        <w:t xml:space="preserve">Várias promessas baseiam-se em estudos com uma substância diferente daquela que é vendida:</w:t>
      </w:r>
    </w:p>
    <w:p>
      <w:pPr>
        <w:numPr>
          <w:ilvl w:val="0"/>
          <w:numId w:val="1330"/>
        </w:numPr>
        <w:pStyle w:val="Compact"/>
      </w:pPr>
      <w:r>
        <w:rPr>
          <w:bCs/>
          <w:b/>
        </w:rPr>
        <w:t xml:space="preserve">TB-500</w:t>
      </w:r>
      <w:r>
        <w:t xml:space="preserve"> </w:t>
      </w:r>
      <w:r>
        <w:t xml:space="preserve">é um fragmento modificado. Os estudos em humanos referem-se à proteína completa timosina beta-4 – e mesmo esses quase não tratam de tendões, ligamentos ou músculos.</w:t>
      </w:r>
    </w:p>
    <w:p>
      <w:pPr>
        <w:numPr>
          <w:ilvl w:val="0"/>
          <w:numId w:val="1330"/>
        </w:numPr>
        <w:pStyle w:val="Compact"/>
      </w:pPr>
      <w:r>
        <w:rPr>
          <w:bCs/>
          <w:b/>
        </w:rPr>
        <w:t xml:space="preserve">Epitalon</w:t>
      </w:r>
      <w:r>
        <w:t xml:space="preserve"> </w:t>
      </w:r>
      <w:r>
        <w:t xml:space="preserve">é um tetrapeptídeo sintético. O estudo frequentemente citado sobre vida mais longa referia-se ao extrato bovino epitalamina, não era randomizado e nunca foi repetido de forma independente.</w:t>
      </w:r>
    </w:p>
    <w:p>
      <w:pPr>
        <w:numPr>
          <w:ilvl w:val="0"/>
          <w:numId w:val="1330"/>
        </w:numPr>
        <w:pStyle w:val="Compact"/>
      </w:pPr>
      <w:r>
        <w:rPr>
          <w:bCs/>
          <w:b/>
        </w:rPr>
        <w:t xml:space="preserve">CJC-1295</w:t>
      </w:r>
      <w:r>
        <w:t xml:space="preserve"> </w:t>
      </w:r>
      <w:r>
        <w:t xml:space="preserve">é vendido, em sua maioria, sem o grupo</w:t>
      </w:r>
      <w:r>
        <w:t xml:space="preserve"> </w:t>
      </w:r>
      <w:r>
        <w:t xml:space="preserve">“</w:t>
      </w:r>
      <w:r>
        <w:t xml:space="preserve">DAC</w:t>
      </w:r>
      <w:r>
        <w:t xml:space="preserve">”</w:t>
      </w:r>
      <w:r>
        <w:t xml:space="preserve"> </w:t>
      </w:r>
      <w:r>
        <w:t xml:space="preserve">que foi usado nos estudos em humanos.</w:t>
      </w:r>
    </w:p>
    <w:p>
      <w:pPr>
        <w:numPr>
          <w:ilvl w:val="0"/>
          <w:numId w:val="1330"/>
        </w:numPr>
        <w:pStyle w:val="Compact"/>
      </w:pPr>
      <w:r>
        <w:rPr>
          <w:bCs/>
          <w:b/>
        </w:rPr>
        <w:t xml:space="preserve">Retatrutida</w:t>
      </w:r>
      <w:r>
        <w:t xml:space="preserve"> </w:t>
      </w:r>
      <w:r>
        <w:t xml:space="preserve">do mercado cinza não é o medicamento dos estudos. Análises laboratoriais de outros peptídeos do mercado cinza mostram que os frascos frequentemente contêm menos, mais ou outra substância do que o declarado; em ipamorelina e CJC-1295, laboratórios encontraram moléculas modificadas e não declaradas</w:t>
      </w:r>
      <w:r>
        <w:rPr>
          <w:rStyle w:val="FootnoteReference"/>
        </w:rPr>
        <w:footnoteReference w:id="2583"/>
      </w:r>
      <w:r>
        <w:t xml:space="preserve">.</w:t>
      </w:r>
    </w:p>
    <w:bookmarkEnd w:id="2584"/>
    <w:bookmarkStart w:id="2588" w:name="estudos-negativos-não-são-mencionados"/>
    <w:p>
      <w:pPr>
        <w:pStyle w:val="Heading4"/>
      </w:pPr>
      <w:r>
        <w:t xml:space="preserve">4. Estudos negativos não são mencionados</w:t>
      </w:r>
    </w:p>
    <w:p>
      <w:pPr>
        <w:pStyle w:val="FirstParagraph"/>
      </w:pPr>
      <w:r>
        <w:t xml:space="preserve">Para vários peptídeos existem, sim, estudos randomizados – só que eles não encontraram benefício. A ipamorelina não reduziu significativamente, após cirurgias intestinais, o tempo até a primeira refeição</w:t>
      </w:r>
      <w:r>
        <w:rPr>
          <w:rStyle w:val="FootnoteReference"/>
        </w:rPr>
        <w:footnoteReference w:id="2585"/>
      </w:r>
      <w:r>
        <w:t xml:space="preserve">. Infusões de glutationa não protegeram contra danos nos nervos causados pela quimioterapia</w:t>
      </w:r>
      <w:r>
        <w:rPr>
          <w:rStyle w:val="FootnoteReference"/>
        </w:rPr>
        <w:footnoteReference w:id="2586"/>
      </w:r>
      <w:r>
        <w:t xml:space="preserve">. No colágeno, o benefício para a pele desapareceu assim que apenas estudos com financiamento independente foram considerados</w:t>
      </w:r>
      <w:r>
        <w:rPr>
          <w:rStyle w:val="FootnoteReference"/>
        </w:rPr>
        <w:footnoteReference w:id="2587"/>
      </w:r>
      <w:r>
        <w:t xml:space="preserve">. Resultados como esses praticamente nunca aparecem em textos publicitários. Uma apresentação séria cita estudos positivos</w:t>
      </w:r>
      <w:r>
        <w:t xml:space="preserve"> </w:t>
      </w:r>
      <w:r>
        <w:rPr>
          <w:iCs/>
          <w:i/>
        </w:rPr>
        <w:t xml:space="preserve">e</w:t>
      </w:r>
      <w:r>
        <w:t xml:space="preserve"> </w:t>
      </w:r>
      <w:r>
        <w:t xml:space="preserve">negativos.</w:t>
      </w:r>
    </w:p>
    <w:bookmarkEnd w:id="2588"/>
    <w:bookmarkStart w:id="2589" w:name="estudos-pequenos-de-um-círculo-restrito"/>
    <w:p>
      <w:pPr>
        <w:pStyle w:val="Heading4"/>
      </w:pPr>
      <w:r>
        <w:t xml:space="preserve">5. Estudos pequenos de um círculo restrito</w:t>
      </w:r>
    </w:p>
    <w:p>
      <w:pPr>
        <w:pStyle w:val="FirstParagraph"/>
      </w:pPr>
      <w:r>
        <w:t xml:space="preserve">Semax, Selank, Epitalon e Pinealon foram estudados quase exclusivamente na Rússia, em geral pelos próprios desenvolvedores, em grupos pequenos e frequentemente sem comparação com placebo. Isso não torna os resultados automaticamente falsos. Mas significa que eles nunca foram testados nas condições exigidas hoje para uma aprovação: registro prévio, cegamento, tamanho suficiente e confirmação por grupos independentes.</w:t>
      </w:r>
    </w:p>
    <w:bookmarkEnd w:id="2589"/>
    <w:bookmarkStart w:id="2591" w:name="X1e2887be1ac0afac97199a59e66318d72aa9d2a"/>
    <w:p>
      <w:pPr>
        <w:pStyle w:val="Heading4"/>
      </w:pPr>
      <w:r>
        <w:t xml:space="preserve">6.</w:t>
      </w:r>
      <w:r>
        <w:t xml:space="preserve"> </w:t>
      </w:r>
      <w:r>
        <w:t xml:space="preserve">“</w:t>
      </w:r>
      <w:r>
        <w:t xml:space="preserve">Sem efeitos colaterais</w:t>
      </w:r>
      <w:r>
        <w:t xml:space="preserve">”</w:t>
      </w:r>
      <w:r>
        <w:t xml:space="preserve"> </w:t>
      </w:r>
      <w:r>
        <w:t xml:space="preserve">geralmente significa</w:t>
      </w:r>
      <w:r>
        <w:t xml:space="preserve"> </w:t>
      </w:r>
      <w:r>
        <w:t xml:space="preserve">“</w:t>
      </w:r>
      <w:r>
        <w:t xml:space="preserve">não estudado</w:t>
      </w:r>
      <w:r>
        <w:t xml:space="preserve">”</w:t>
      </w:r>
    </w:p>
    <w:p>
      <w:pPr>
        <w:pStyle w:val="FirstParagraph"/>
      </w:pPr>
      <w:r>
        <w:t xml:space="preserve">A afirmação de que um peptídeo é</w:t>
      </w:r>
      <w:r>
        <w:t xml:space="preserve"> </w:t>
      </w:r>
      <w:r>
        <w:t xml:space="preserve">“</w:t>
      </w:r>
      <w:r>
        <w:t xml:space="preserve">bem tolerado</w:t>
      </w:r>
      <w:r>
        <w:t xml:space="preserve">”</w:t>
      </w:r>
      <w:r>
        <w:t xml:space="preserve"> </w:t>
      </w:r>
      <w:r>
        <w:t xml:space="preserve">ou</w:t>
      </w:r>
      <w:r>
        <w:t xml:space="preserve"> </w:t>
      </w:r>
      <w:r>
        <w:t xml:space="preserve">“</w:t>
      </w:r>
      <w:r>
        <w:t xml:space="preserve">sem efeitos colaterais</w:t>
      </w:r>
      <w:r>
        <w:t xml:space="preserve">”</w:t>
      </w:r>
      <w:r>
        <w:t xml:space="preserve"> </w:t>
      </w:r>
      <w:r>
        <w:t xml:space="preserve">apoia-se, no caso do BPC-157, em 30 pessoas no total. Com tão poucos participantes, só é possível reconhecer problemas frequentes e imediatos; um efeito colateral que afete uma em cada mil pessoas permaneceria invisível. Em substâncias que intensificam sinais de crescimento – liberadores do hormônio do crescimento, IGF-1 LR3, peptídeos que favorecem a formação de novos vasos –, existe além disso uma preocupação teórica, mas não verificada, com o crescimento de tumores. No caso do Melanotan II, relatos de caso descrevem pintas novas e alteradas e melanomas; uma relação causal não está comprovada, mas também não está descartada. Somam-se a isso os riscos dos próprios produtos: em frascos de Melanotan II do mercado cinza, encontrou-se menos substância ativa do que o declarado e impurezas desconhecidas</w:t>
      </w:r>
      <w:r>
        <w:rPr>
          <w:rStyle w:val="FootnoteReference"/>
        </w:rPr>
        <w:footnoteReference w:id="2590"/>
      </w:r>
      <w:r>
        <w:t xml:space="preserve">. Mais sobre isso na Parte IV.</w:t>
      </w:r>
    </w:p>
    <w:bookmarkEnd w:id="2591"/>
    <w:bookmarkEnd w:id="2592"/>
    <w:bookmarkStart w:id="2598" w:name="Xf9fce3849163a4e1bfb216f90f438969557e629"/>
    <w:p>
      <w:pPr>
        <w:pStyle w:val="Heading3"/>
      </w:pPr>
      <w:r>
        <w:t xml:space="preserve">Como distinguir afirmações sérias de afirmações não sérias</w:t>
      </w:r>
    </w:p>
    <w:p>
      <w:pPr>
        <w:pStyle w:val="FirstParagraph"/>
      </w:pPr>
      <w:r>
        <w:t xml:space="preserve">O checklist a seguir ajuda a avaliar afirmações sobre peptídeos – em lojas, vídeos, fóruns ou revistas. Ele não substitui uma orientação profissional, mas aguça o olhar para quanto há por trás de uma alegação.</w:t>
      </w:r>
    </w:p>
    <w:bookmarkStart w:id="2593" w:name="perguntas-sobre-a-fonte"/>
    <w:p>
      <w:pPr>
        <w:pStyle w:val="Heading4"/>
      </w:pPr>
      <w:r>
        <w:t xml:space="preserve">Perguntas sobre a fonte</w:t>
      </w:r>
    </w:p>
    <w:p>
      <w:pPr>
        <w:numPr>
          <w:ilvl w:val="0"/>
          <w:numId w:val="1331"/>
        </w:numPr>
        <w:pStyle w:val="Compact"/>
      </w:pPr>
      <w:r>
        <w:rPr>
          <w:bCs/>
          <w:b/>
        </w:rPr>
        <w:t xml:space="preserve">Quem está falando?</w:t>
      </w:r>
      <w:r>
        <w:t xml:space="preserve"> </w:t>
      </w:r>
      <w:r>
        <w:t xml:space="preserve">A pessoa ou o site vende a substância, oferece cursos, consultorias ou códigos de desconto? Um interesse financeiro não torna uma afirmação falsa, mas é um motivo para olhar com mais atenção.</w:t>
      </w:r>
    </w:p>
    <w:p>
      <w:pPr>
        <w:numPr>
          <w:ilvl w:val="0"/>
          <w:numId w:val="1331"/>
        </w:numPr>
        <w:pStyle w:val="Compact"/>
      </w:pPr>
      <w:r>
        <w:rPr>
          <w:bCs/>
          <w:b/>
        </w:rPr>
        <w:t xml:space="preserve">São citados estudos – e é possível encontrá-los?</w:t>
      </w:r>
      <w:r>
        <w:t xml:space="preserve"> </w:t>
      </w:r>
      <w:r>
        <w:t xml:space="preserve">Afirmações sérias citam uma fonte verificável: um PMID, um DOI ou um número de registro (NCT). Você pode digitar qualquer PMID gratuitamente no PubMed e ler o resumo por conta própria. Formulações como</w:t>
      </w:r>
      <w:r>
        <w:t xml:space="preserve"> </w:t>
      </w:r>
      <w:r>
        <w:t xml:space="preserve">“</w:t>
      </w:r>
      <w:r>
        <w:t xml:space="preserve">estudos mostram</w:t>
      </w:r>
      <w:r>
        <w:t xml:space="preserve">”</w:t>
      </w:r>
      <w:r>
        <w:t xml:space="preserve"> </w:t>
      </w:r>
      <w:r>
        <w:t xml:space="preserve">sem indicação concreta são um sinal de alerta.</w:t>
      </w:r>
    </w:p>
    <w:p>
      <w:pPr>
        <w:numPr>
          <w:ilvl w:val="0"/>
          <w:numId w:val="1331"/>
        </w:numPr>
        <w:pStyle w:val="Compact"/>
      </w:pPr>
      <w:r>
        <w:rPr>
          <w:bCs/>
          <w:b/>
        </w:rPr>
        <w:t xml:space="preserve">O estudo citado corresponde à afirmação?</w:t>
      </w:r>
      <w:r>
        <w:t xml:space="preserve"> </w:t>
      </w:r>
      <w:r>
        <w:t xml:space="preserve">Verifique se o estudo realmente investigou a substância vendida, a aplicação promovida e seres humanos – ou se tratava de uma molécula aparentada, de outra doença ou de ratos.</w:t>
      </w:r>
    </w:p>
    <w:bookmarkEnd w:id="2593"/>
    <w:bookmarkStart w:id="2594" w:name="perguntas-sobre-o-estudo"/>
    <w:p>
      <w:pPr>
        <w:pStyle w:val="Heading4"/>
      </w:pPr>
      <w:r>
        <w:t xml:space="preserve">Perguntas sobre o estudo</w:t>
      </w:r>
    </w:p>
    <w:p>
      <w:pPr>
        <w:numPr>
          <w:ilvl w:val="0"/>
          <w:numId w:val="1332"/>
        </w:numPr>
        <w:pStyle w:val="Compact"/>
      </w:pPr>
      <w:r>
        <w:rPr>
          <w:bCs/>
          <w:b/>
        </w:rPr>
        <w:t xml:space="preserve">Ser humano, animal ou cultura de células?</w:t>
      </w:r>
      <w:r>
        <w:t xml:space="preserve"> </w:t>
      </w:r>
      <w:r>
        <w:t xml:space="preserve">Se o resumo diz</w:t>
      </w:r>
      <w:r>
        <w:t xml:space="preserve"> </w:t>
      </w:r>
      <w:r>
        <w:t xml:space="preserve">“</w:t>
      </w:r>
      <w:r>
        <w:t xml:space="preserve">rats</w:t>
      </w:r>
      <w:r>
        <w:t xml:space="preserve">”</w:t>
      </w:r>
      <w:r>
        <w:t xml:space="preserve">,</w:t>
      </w:r>
      <w:r>
        <w:t xml:space="preserve"> </w:t>
      </w:r>
      <w:r>
        <w:t xml:space="preserve">“</w:t>
      </w:r>
      <w:r>
        <w:t xml:space="preserve">mice</w:t>
      </w:r>
      <w:r>
        <w:t xml:space="preserve">”</w:t>
      </w:r>
      <w:r>
        <w:t xml:space="preserve">,</w:t>
      </w:r>
      <w:r>
        <w:t xml:space="preserve"> </w:t>
      </w:r>
      <w:r>
        <w:t xml:space="preserve">“</w:t>
      </w:r>
      <w:r>
        <w:t xml:space="preserve">in vitro</w:t>
      </w:r>
      <w:r>
        <w:t xml:space="preserve">”</w:t>
      </w:r>
      <w:r>
        <w:t xml:space="preserve"> </w:t>
      </w:r>
      <w:r>
        <w:t xml:space="preserve">ou</w:t>
      </w:r>
      <w:r>
        <w:t xml:space="preserve"> </w:t>
      </w:r>
      <w:r>
        <w:t xml:space="preserve">“</w:t>
      </w:r>
      <w:r>
        <w:t xml:space="preserve">cell culture</w:t>
      </w:r>
      <w:r>
        <w:t xml:space="preserve">”</w:t>
      </w:r>
      <w:r>
        <w:t xml:space="preserve">, nada se afirma sobre o efeito em humanos.</w:t>
      </w:r>
    </w:p>
    <w:p>
      <w:pPr>
        <w:numPr>
          <w:ilvl w:val="0"/>
          <w:numId w:val="1332"/>
        </w:numPr>
        <w:pStyle w:val="Compact"/>
      </w:pPr>
      <w:r>
        <w:rPr>
          <w:bCs/>
          <w:b/>
        </w:rPr>
        <w:t xml:space="preserve">Houve um grupo de comparação?</w:t>
      </w:r>
      <w:r>
        <w:t xml:space="preserve"> </w:t>
      </w:r>
      <w:r>
        <w:t xml:space="preserve">Sem grupo placebo ou controle, não é possível distinguir se uma melhora vem da substância, do tempo, de outros tratamentos ou da expectativa. Justamente em dor, humor ou sono, o efeito placebo é grande.</w:t>
      </w:r>
    </w:p>
    <w:p>
      <w:pPr>
        <w:numPr>
          <w:ilvl w:val="0"/>
          <w:numId w:val="1332"/>
        </w:numPr>
        <w:pStyle w:val="Compact"/>
      </w:pPr>
      <w:r>
        <w:rPr>
          <w:bCs/>
          <w:b/>
        </w:rPr>
        <w:t xml:space="preserve">Quantos participantes?</w:t>
      </w:r>
      <w:r>
        <w:t xml:space="preserve"> </w:t>
      </w:r>
      <w:r>
        <w:t xml:space="preserve">Estudos com 10 ou 20 pessoas podem dar indícios, mas não comprovar um benefício nem reconhecer efeitos colaterais raros.</w:t>
      </w:r>
    </w:p>
    <w:p>
      <w:pPr>
        <w:numPr>
          <w:ilvl w:val="0"/>
          <w:numId w:val="1332"/>
        </w:numPr>
        <w:pStyle w:val="Compact"/>
      </w:pPr>
      <w:r>
        <w:rPr>
          <w:bCs/>
          <w:b/>
        </w:rPr>
        <w:t xml:space="preserve">O que foi medido?</w:t>
      </w:r>
      <w:r>
        <w:t xml:space="preserve"> </w:t>
      </w:r>
      <w:r>
        <w:t xml:space="preserve">Um valor laboratorial que sobe não é um benefício perceptível. Pergunte: foi medido o que importa para os afetados – dor, função, eventos de doença, qualidade de vida?</w:t>
      </w:r>
    </w:p>
    <w:p>
      <w:pPr>
        <w:numPr>
          <w:ilvl w:val="0"/>
          <w:numId w:val="1332"/>
        </w:numPr>
        <w:pStyle w:val="Compact"/>
      </w:pPr>
      <w:r>
        <w:rPr>
          <w:bCs/>
          <w:b/>
        </w:rPr>
        <w:t xml:space="preserve">O estudo foi registrado previamente?</w:t>
      </w:r>
      <w:r>
        <w:t xml:space="preserve"> </w:t>
      </w:r>
      <w:r>
        <w:t xml:space="preserve">Um registro no ClinicalTrials.gov ou no registro da UE antes do início do estudo impede que os objetivos sejam escolhidos posteriormente de forma conveniente.</w:t>
      </w:r>
    </w:p>
    <w:p>
      <w:pPr>
        <w:numPr>
          <w:ilvl w:val="0"/>
          <w:numId w:val="1332"/>
        </w:numPr>
        <w:pStyle w:val="Compact"/>
      </w:pPr>
      <w:r>
        <w:rPr>
          <w:bCs/>
          <w:b/>
        </w:rPr>
        <w:t xml:space="preserve">O resultado foi repetido?</w:t>
      </w:r>
      <w:r>
        <w:t xml:space="preserve"> </w:t>
      </w:r>
      <w:r>
        <w:t xml:space="preserve">Um único resultado positivo de um único grupo de pesquisa é um começo, não uma prova.</w:t>
      </w:r>
    </w:p>
    <w:bookmarkEnd w:id="2594"/>
    <w:bookmarkStart w:id="2595" w:name="sinais-de-alerta-na-linguagem"/>
    <w:p>
      <w:pPr>
        <w:pStyle w:val="Heading4"/>
      </w:pPr>
      <w:r>
        <w:t xml:space="preserve">Sinais de alerta na linguagem</w:t>
      </w:r>
    </w:p>
    <w:p>
      <w:pPr>
        <w:numPr>
          <w:ilvl w:val="0"/>
          <w:numId w:val="1333"/>
        </w:numPr>
        <w:pStyle w:val="Compact"/>
      </w:pPr>
      <w:r>
        <w:t xml:space="preserve">Promessas que abrangem ao mesmo tempo queixas muito diferentes (</w:t>
      </w:r>
      <w:r>
        <w:t xml:space="preserve">“</w:t>
      </w:r>
      <w:r>
        <w:t xml:space="preserve">para articulações, intestino, pele, cérebro e sistema imunológico</w:t>
      </w:r>
      <w:r>
        <w:t xml:space="preserve">”</w:t>
      </w:r>
      <w:r>
        <w:t xml:space="preserve">).</w:t>
      </w:r>
    </w:p>
    <w:p>
      <w:pPr>
        <w:numPr>
          <w:ilvl w:val="0"/>
          <w:numId w:val="1333"/>
        </w:numPr>
        <w:pStyle w:val="Compact"/>
      </w:pPr>
      <w:r>
        <w:t xml:space="preserve">Termos como</w:t>
      </w:r>
      <w:r>
        <w:t xml:space="preserve"> </w:t>
      </w:r>
      <w:r>
        <w:t xml:space="preserve">“</w:t>
      </w:r>
      <w:r>
        <w:t xml:space="preserve">remédio milagroso</w:t>
      </w:r>
      <w:r>
        <w:t xml:space="preserve">”</w:t>
      </w:r>
      <w:r>
        <w:t xml:space="preserve">,</w:t>
      </w:r>
      <w:r>
        <w:t xml:space="preserve"> </w:t>
      </w:r>
      <w:r>
        <w:t xml:space="preserve">“</w:t>
      </w:r>
      <w:r>
        <w:t xml:space="preserve">dica secreta</w:t>
      </w:r>
      <w:r>
        <w:t xml:space="preserve">”</w:t>
      </w:r>
      <w:r>
        <w:t xml:space="preserve">,</w:t>
      </w:r>
      <w:r>
        <w:t xml:space="preserve"> </w:t>
      </w:r>
      <w:r>
        <w:t xml:space="preserve">“</w:t>
      </w:r>
      <w:r>
        <w:t xml:space="preserve">o que os médicos não contam a você</w:t>
      </w:r>
      <w:r>
        <w:t xml:space="preserve">”</w:t>
      </w:r>
      <w:r>
        <w:t xml:space="preserve"> </w:t>
      </w:r>
      <w:r>
        <w:t xml:space="preserve">ou</w:t>
      </w:r>
      <w:r>
        <w:t xml:space="preserve"> </w:t>
      </w:r>
      <w:r>
        <w:t xml:space="preserve">“</w:t>
      </w:r>
      <w:r>
        <w:t xml:space="preserve">suprimido pela indústria farmacêutica</w:t>
      </w:r>
      <w:r>
        <w:t xml:space="preserve">”</w:t>
      </w:r>
      <w:r>
        <w:t xml:space="preserve">.</w:t>
      </w:r>
    </w:p>
    <w:p>
      <w:pPr>
        <w:numPr>
          <w:ilvl w:val="0"/>
          <w:numId w:val="1333"/>
        </w:numPr>
        <w:pStyle w:val="Compact"/>
      </w:pPr>
      <w:r>
        <w:t xml:space="preserve">A afirmação</w:t>
      </w:r>
      <w:r>
        <w:t xml:space="preserve"> </w:t>
      </w:r>
      <w:r>
        <w:t xml:space="preserve">“</w:t>
      </w:r>
      <w:r>
        <w:t xml:space="preserve">sem efeitos colaterais</w:t>
      </w:r>
      <w:r>
        <w:t xml:space="preserve">”</w:t>
      </w:r>
      <w:r>
        <w:t xml:space="preserve"> </w:t>
      </w:r>
      <w:r>
        <w:t xml:space="preserve">para uma substância pouco estudada em humanos.</w:t>
      </w:r>
    </w:p>
    <w:p>
      <w:pPr>
        <w:numPr>
          <w:ilvl w:val="0"/>
          <w:numId w:val="1333"/>
        </w:numPr>
        <w:pStyle w:val="Compact"/>
      </w:pPr>
      <w:r>
        <w:t xml:space="preserve">Relatos de experiência e fotos de antes e depois em vez de dados de estudos.</w:t>
      </w:r>
    </w:p>
    <w:p>
      <w:pPr>
        <w:numPr>
          <w:ilvl w:val="0"/>
          <w:numId w:val="1333"/>
        </w:numPr>
        <w:pStyle w:val="Compact"/>
      </w:pPr>
      <w:r>
        <w:t xml:space="preserve">A indicação</w:t>
      </w:r>
      <w:r>
        <w:t xml:space="preserve"> </w:t>
      </w:r>
      <w:r>
        <w:t xml:space="preserve">“</w:t>
      </w:r>
      <w:r>
        <w:t xml:space="preserve">apenas para fins de pesquisa</w:t>
      </w:r>
      <w:r>
        <w:t xml:space="preserve">”</w:t>
      </w:r>
      <w:r>
        <w:t xml:space="preserve"> </w:t>
      </w:r>
      <w:r>
        <w:t xml:space="preserve">ou</w:t>
      </w:r>
      <w:r>
        <w:t xml:space="preserve"> </w:t>
      </w:r>
      <w:r>
        <w:t xml:space="preserve">“</w:t>
      </w:r>
      <w:r>
        <w:t xml:space="preserve">não destinado ao consumo humano</w:t>
      </w:r>
      <w:r>
        <w:t xml:space="preserve">”</w:t>
      </w:r>
      <w:r>
        <w:t xml:space="preserve"> </w:t>
      </w:r>
      <w:r>
        <w:t xml:space="preserve">em um produto que, ao mesmo tempo, é promovido com efeitos em humanos. Essa contradição mostra que o fornecedor quer contornar as regras de medicamentos (ver Parte I).</w:t>
      </w:r>
    </w:p>
    <w:p>
      <w:pPr>
        <w:numPr>
          <w:ilvl w:val="0"/>
          <w:numId w:val="1333"/>
        </w:numPr>
        <w:pStyle w:val="Compact"/>
      </w:pPr>
      <w:r>
        <w:t xml:space="preserve">Sugestões de doses, ciclos ou pacotes combinados de vários peptídeos para substâncias sem aprovação. Para esses esquemas não há base em estudos.</w:t>
      </w:r>
    </w:p>
    <w:bookmarkEnd w:id="2595"/>
    <w:bookmarkStart w:id="2596" w:name="sinais-de-uma-apresentação-séria"/>
    <w:p>
      <w:pPr>
        <w:pStyle w:val="Heading4"/>
      </w:pPr>
      <w:r>
        <w:t xml:space="preserve">Sinais de uma apresentação séria</w:t>
      </w:r>
    </w:p>
    <w:p>
      <w:pPr>
        <w:numPr>
          <w:ilvl w:val="0"/>
          <w:numId w:val="1334"/>
        </w:numPr>
        <w:pStyle w:val="Compact"/>
      </w:pPr>
      <w:r>
        <w:t xml:space="preserve">Resultados de animais e de laboratório são expressamente identificados como tais.</w:t>
      </w:r>
    </w:p>
    <w:p>
      <w:pPr>
        <w:numPr>
          <w:ilvl w:val="0"/>
          <w:numId w:val="1334"/>
        </w:numPr>
        <w:pStyle w:val="Compact"/>
      </w:pPr>
      <w:r>
        <w:t xml:space="preserve">Estudos negativos e contraditórios são citados, não apenas os positivos.</w:t>
      </w:r>
    </w:p>
    <w:p>
      <w:pPr>
        <w:numPr>
          <w:ilvl w:val="0"/>
          <w:numId w:val="1334"/>
        </w:numPr>
        <w:pStyle w:val="Compact"/>
      </w:pPr>
      <w:r>
        <w:t xml:space="preserve">A incerteza é declarada abertamente (</w:t>
      </w:r>
      <w:r>
        <w:t xml:space="preserve">“</w:t>
      </w:r>
      <w:r>
        <w:t xml:space="preserve">Os dados não são suficientes para avaliar …</w:t>
      </w:r>
      <w:r>
        <w:t xml:space="preserve">”</w:t>
      </w:r>
      <w:r>
        <w:t xml:space="preserve">).</w:t>
      </w:r>
    </w:p>
    <w:p>
      <w:pPr>
        <w:numPr>
          <w:ilvl w:val="0"/>
          <w:numId w:val="1334"/>
        </w:numPr>
        <w:pStyle w:val="Compact"/>
      </w:pPr>
      <w:r>
        <w:t xml:space="preserve">A situação legal e o status de doping são mencionados.</w:t>
      </w:r>
    </w:p>
    <w:p>
      <w:pPr>
        <w:numPr>
          <w:ilvl w:val="0"/>
          <w:numId w:val="1334"/>
        </w:numPr>
        <w:pStyle w:val="Compact"/>
      </w:pPr>
      <w:r>
        <w:t xml:space="preserve">Há uma indicação clara de que medicamentos devem ser usados sob acompanhamento médico e de que produtos do mercado cinza não são verificados.</w:t>
      </w:r>
    </w:p>
    <w:bookmarkEnd w:id="2596"/>
    <w:bookmarkStart w:id="2597" w:name="três-perguntas-para-o-dia-a-dia"/>
    <w:p>
      <w:pPr>
        <w:pStyle w:val="Heading4"/>
      </w:pPr>
      <w:r>
        <w:t xml:space="preserve">Três perguntas para o dia a dia</w:t>
      </w:r>
    </w:p>
    <w:p>
      <w:pPr>
        <w:pStyle w:val="FirstParagraph"/>
      </w:pPr>
      <w:r>
        <w:t xml:space="preserve">Se você tiver pouco tempo, muitas vezes bastam três perguntas:</w:t>
      </w:r>
    </w:p>
    <w:p>
      <w:pPr>
        <w:numPr>
          <w:ilvl w:val="0"/>
          <w:numId w:val="1335"/>
        </w:numPr>
        <w:pStyle w:val="Compact"/>
      </w:pPr>
      <w:r>
        <w:t xml:space="preserve">A substância está aprovada na UE ou nos EUA como medicamento exatamente para essa aplicação?</w:t>
      </w:r>
    </w:p>
    <w:p>
      <w:pPr>
        <w:numPr>
          <w:ilvl w:val="0"/>
          <w:numId w:val="1335"/>
        </w:numPr>
        <w:pStyle w:val="Compact"/>
      </w:pPr>
      <w:r>
        <w:t xml:space="preserve">Existe pelo menos um estudo randomizado e controlado por placebo em humanos que tenha mostrado o benefício alegado?</w:t>
      </w:r>
    </w:p>
    <w:p>
      <w:pPr>
        <w:numPr>
          <w:ilvl w:val="0"/>
          <w:numId w:val="1335"/>
        </w:numPr>
        <w:pStyle w:val="Compact"/>
      </w:pPr>
      <w:r>
        <w:t xml:space="preserve">O produto vem da farmácia – ou de uma fonte cujo conteúdo ninguém verifica?</w:t>
      </w:r>
    </w:p>
    <w:p>
      <w:pPr>
        <w:pStyle w:val="FirstParagraph"/>
      </w:pPr>
      <w:r>
        <w:t xml:space="preserve">Se a resposta às três perguntas for</w:t>
      </w:r>
      <w:r>
        <w:t xml:space="preserve"> </w:t>
      </w:r>
      <w:r>
        <w:t xml:space="preserve">“</w:t>
      </w:r>
      <w:r>
        <w:t xml:space="preserve">não</w:t>
      </w:r>
      <w:r>
        <w:t xml:space="preserve">”</w:t>
      </w:r>
      <w:r>
        <w:t xml:space="preserve">, a promessa se baseia em esperança, não em evidências.</w:t>
      </w:r>
    </w:p>
    <w:bookmarkEnd w:id="2597"/>
    <w:bookmarkEnd w:id="2598"/>
    <w:bookmarkStart w:id="2599" w:name="conclusão-59"/>
    <w:p>
      <w:pPr>
        <w:pStyle w:val="Heading3"/>
      </w:pPr>
      <w:r>
        <w:t xml:space="preserve">Conclusão</w:t>
      </w:r>
    </w:p>
    <w:p>
      <w:pPr>
        <w:pStyle w:val="FirstParagraph"/>
      </w:pPr>
      <w:r>
        <w:t xml:space="preserve">Os peptídeos mais populares na internet são quase sem exceção os menos estudados. Suas promessas apoiam-se, em sua maioria, em experimentos com animais, em valores substitutos ou em estudos com outra substância; onde existem estudos randomizados em humanos, eles em geral não confirmaram o benefício promovido. Isso não significa que nenhuma dessas substâncias possa ter algum benefício – mas os dados não bastam, em nenhuma delas, para comprová-lo. Quem ouve uma afirmação sobre um peptídeo deve perguntar pela fonte, verificar o estudo e ter em mente a diferença entre um medicamento testado e um frasco do mercado cinza.</w:t>
      </w:r>
    </w:p>
    <w:bookmarkEnd w:id="2599"/>
    <w:bookmarkEnd w:id="2600"/>
    <w:bookmarkEnd w:id="2601"/>
    <w:bookmarkStart w:id="2822" w:name="parte-iv-riscos"/>
    <w:p>
      <w:pPr>
        <w:pStyle w:val="Heading1"/>
      </w:pPr>
      <w:r>
        <w:t xml:space="preserve">Parte IV – Riscos</w:t>
      </w:r>
    </w:p>
    <w:p>
      <w:pPr>
        <w:pStyle w:val="FirstParagraph"/>
      </w:pPr>
      <w:r>
        <w:t xml:space="preserve">Na Parte II, cada peptídeo tem uma seção própria</w:t>
      </w:r>
      <w:r>
        <w:t xml:space="preserve"> </w:t>
      </w:r>
      <w:r>
        <w:t xml:space="preserve">“</w:t>
      </w:r>
      <w:r>
        <w:t xml:space="preserve">Riscos e efeitos colaterais</w:t>
      </w:r>
      <w:r>
        <w:t xml:space="preserve">”</w:t>
      </w:r>
      <w:r>
        <w:t xml:space="preserve">. Esta parte não repete essas seções. Ela as coloca lado a lado e pergunta, atravessando todas as substâncias: quais órgãos são afetados? Quais sinais de alerta aparecem em vários peptídeos? Quão sólido é o que se sabe? Quem procura detalhes sobre uma substância específica encontra, em cada ponto, uma referência ao capítulo correspondente.</w:t>
      </w:r>
    </w:p>
    <w:p>
      <w:pPr>
        <w:pStyle w:val="BodyText"/>
      </w:pPr>
      <w:r>
        <w:t xml:space="preserve">Antes de começar, vale a pena dar uma rápida olhada em como avaliar riscos. Três distinções atravessam todos os capítulos a seguir.</w:t>
      </w:r>
    </w:p>
    <w:p>
      <w:pPr>
        <w:pStyle w:val="BodyText"/>
      </w:pPr>
      <w:r>
        <w:rPr>
          <w:bCs/>
          <w:b/>
        </w:rPr>
        <w:t xml:space="preserve">Comprovado, observado ou teórico.</w:t>
      </w:r>
      <w:r>
        <w:t xml:space="preserve"> </w:t>
      </w:r>
      <w:r>
        <w:t xml:space="preserve">Um risco está mais bem comprovado quando ocorreu com mais frequência com a substância do que com placebo em estudos randomizados (ECRs). Estudos observacionais com dados de seguradoras ou de registros, por outro lado, abrangem muitíssimas pessoas e eventos raros, mas não conseguem separar com segurança causa e circunstância concomitante. Bancos de dados de notificação de efeitos colaterais mostram apenas sinais: o que é conhecido e muito discutido é notificado com mais frequência. Por fim, riscos teóricos derivam do mecanismo de ação, de experimentos com animais ou de culturas de células. Não são prova de um dano – mas, em substâncias que nunca foram estudadas sistematicamente em humanos, são muitas vezes a única informação disponível.</w:t>
      </w:r>
    </w:p>
    <w:p>
      <w:pPr>
        <w:pStyle w:val="BodyText"/>
      </w:pPr>
      <w:r>
        <w:rPr>
          <w:bCs/>
          <w:b/>
        </w:rPr>
        <w:t xml:space="preserve">Dados ausentes não são segurança.</w:t>
      </w:r>
      <w:r>
        <w:t xml:space="preserve"> </w:t>
      </w:r>
      <w:r>
        <w:t xml:space="preserve">Quando, em três pequenas investigações com um total de 30 pessoas, não se notaram efeitos colaterais relacionados ao tratamento (como no BPC-157, Poolton 2026, PMID 42885452), isso significa apenas que não ocorreram problemas muito frequentes e imediatos. Um efeito colateral que atinge uma em cada mil pessoas não pode ser detectado por um estudo tão pequeno. Para muitos peptídeos dos grupos B, C e D, essa é a situação de partida.</w:t>
      </w:r>
    </w:p>
    <w:p>
      <w:pPr>
        <w:pStyle w:val="BodyText"/>
      </w:pPr>
      <w:r>
        <w:rPr>
          <w:bCs/>
          <w:b/>
        </w:rPr>
        <w:t xml:space="preserve">Risco relativo e absoluto.</w:t>
      </w:r>
      <w:r>
        <w:t xml:space="preserve"> </w:t>
      </w:r>
      <w:r>
        <w:t xml:space="preserve">Manchetes costumam citar números relativos:</w:t>
      </w:r>
      <w:r>
        <w:t xml:space="preserve"> </w:t>
      </w:r>
      <w:r>
        <w:t xml:space="preserve">“</w:t>
      </w:r>
      <w:r>
        <w:t xml:space="preserve">três vezes mais frequente</w:t>
      </w:r>
      <w:r>
        <w:t xml:space="preserve">”</w:t>
      </w:r>
      <w:r>
        <w:t xml:space="preserve">. Decisivo para a própria ponderação, porém, é quantas pessoas são de fato afetadas. Um exemplo desta parte: em um estudo de registros dinamarquês-norueguês, um determinado distúrbio circulatório do nervo óptico foi quase três vezes mais frequente com semaglutida do que com um medicamento de comparação (hazard ratio 2,81). Em números absolutos, isso significou cerca de 1,4 caso adicional por 10.000 pessoas-ano</w:t>
      </w:r>
      <w:r>
        <w:rPr>
          <w:rStyle w:val="FootnoteReference"/>
        </w:rPr>
        <w:footnoteReference w:id="2602"/>
      </w:r>
      <w:r>
        <w:t xml:space="preserve">. Ambas as coisas são corretas – e ambas fazem parte da informação.</w:t>
      </w:r>
    </w:p>
    <w:p>
      <w:pPr>
        <w:pStyle w:val="BodyText"/>
      </w:pPr>
      <w:r>
        <w:t xml:space="preserve">Por fim, conta a relação entre benefício e risco. Um medicamento contra diabetes tipo 2 que reduz infartos e AVCs em grandes estudos pode ter efeitos colaterais raros que seriam inaceitáveis em um bronzeador ou em um</w:t>
      </w:r>
      <w:r>
        <w:t xml:space="preserve"> </w:t>
      </w:r>
      <w:r>
        <w:t xml:space="preserve">“</w:t>
      </w:r>
      <w:r>
        <w:t xml:space="preserve">peptídeo da longevidade</w:t>
      </w:r>
      <w:r>
        <w:t xml:space="preserve">”</w:t>
      </w:r>
      <w:r>
        <w:t xml:space="preserve"> </w:t>
      </w:r>
      <w:r>
        <w:t xml:space="preserve">sem benefício comprovado. Quem usa um medicamento aprovado com acompanhamento médico e indicação clara está em uma situação completamente diferente de alguém que injeta um pó não testado comprado na internet. Como ler estudos é explicado na Parte I, no capítulo</w:t>
      </w:r>
      <w:r>
        <w:t xml:space="preserve"> </w:t>
      </w:r>
      <w:r>
        <w:t xml:space="preserve">“</w:t>
      </w:r>
      <w:r>
        <w:t xml:space="preserve">Como ler estudos corretamente</w:t>
      </w:r>
      <w:r>
        <w:t xml:space="preserve">”</w:t>
      </w:r>
      <w:r>
        <w:t xml:space="preserve">.</w:t>
      </w:r>
    </w:p>
    <w:p>
      <w:pPr>
        <w:pStyle w:val="BodyText"/>
      </w:pPr>
      <w:r>
        <w:t xml:space="preserve">A Parte IV está organizada assim: este capítulo ordena os efeitos colaterais por sistemas de órgãos. Em seguida vêm capítulos sobre risco de câncer e sinais de crescimento, sobre reações imunológicas, sobre análises laboratoriais de produtos do mercado cinza e sobre interações e grupos de pessoas particularmente vulneráveis.</w:t>
      </w:r>
    </w:p>
    <w:bookmarkStart w:id="2660" w:name="X25d1f4ef67cdea94d8bcf203ffb53e8877b558a"/>
    <w:p>
      <w:pPr>
        <w:pStyle w:val="Heading2"/>
      </w:pPr>
      <w:r>
        <w:t xml:space="preserve">Efeitos colaterais por sistemas de órgãos</w:t>
      </w:r>
    </w:p>
    <w:p>
      <w:pPr>
        <w:pStyle w:val="FirstParagraph"/>
      </w:pPr>
      <w:r>
        <w:t xml:space="preserve">A visão geral a seguir resume quais sistemas de órgãos são afetados com mais frequência em quais peptídeos. A coluna</w:t>
      </w:r>
      <w:r>
        <w:t xml:space="preserve"> </w:t>
      </w:r>
      <w:r>
        <w:t xml:space="preserve">“</w:t>
      </w:r>
      <w:r>
        <w:t xml:space="preserve">Frequência/evidências</w:t>
      </w:r>
      <w:r>
        <w:t xml:space="preserve">”</w:t>
      </w:r>
      <w:r>
        <w:t xml:space="preserve"> </w:t>
      </w:r>
      <w:r>
        <w:t xml:space="preserve">cita uma ordem de grandeza típica de um dos estudos discutidos neste capítulo ou no capítulo do peptídeo indicado. Os números vêm de estudos e grupos populacionais diferentes e, por isso, são comparáveis apenas de forma aproximada.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Sistema de órgãos</w:t>
            </w:r>
          </w:p>
        </w:tc>
        <w:tc>
          <w:tcPr/>
          <w:p>
            <w:pPr>
              <w:pStyle w:val="Compact"/>
              <w:jc w:val="left"/>
            </w:pPr>
            <w:r>
              <w:t xml:space="preserve">Peptídeos afetados</w:t>
            </w:r>
          </w:p>
        </w:tc>
        <w:tc>
          <w:tcPr/>
          <w:p>
            <w:pPr>
              <w:pStyle w:val="Compact"/>
              <w:jc w:val="left"/>
            </w:pPr>
            <w:r>
              <w:t xml:space="preserve">Frequência/evidências</w:t>
            </w:r>
          </w:p>
        </w:tc>
        <w:tc>
          <w:tcPr/>
          <w:p>
            <w:pPr>
              <w:pStyle w:val="Compact"/>
              <w:jc w:val="left"/>
            </w:pPr>
            <w:r>
              <w:t xml:space="preserve">Capítulo</w:t>
            </w:r>
          </w:p>
        </w:tc>
      </w:tr>
      <w:tr>
        <w:tc>
          <w:tcPr/>
          <w:p>
            <w:pPr>
              <w:pStyle w:val="Compact"/>
              <w:jc w:val="left"/>
            </w:pPr>
            <w:r>
              <w:t xml:space="preserve">Gastrointestinal</w:t>
            </w:r>
          </w:p>
        </w:tc>
        <w:tc>
          <w:tcPr/>
          <w:p>
            <w:pPr>
              <w:pStyle w:val="Compact"/>
              <w:jc w:val="left"/>
            </w:pPr>
            <w:r>
              <w:t xml:space="preserve">todos os medicamentos de GLP-1, pranlintida, bremelanotida, setmelanotida</w:t>
            </w:r>
          </w:p>
        </w:tc>
        <w:tc>
          <w:tcPr/>
          <w:p>
            <w:pPr>
              <w:pStyle w:val="Compact"/>
              <w:jc w:val="left"/>
            </w:pPr>
            <w:r>
              <w:t xml:space="preserve">muito frequente; CagriSema 79,6% vs. 39,9% com placebo (Garvey 2025, PMID 40544433)</w:t>
            </w:r>
          </w:p>
        </w:tc>
        <w:tc>
          <w:tcPr/>
          <w:p>
            <w:pPr>
              <w:pStyle w:val="Compact"/>
              <w:jc w:val="left"/>
            </w:pPr>
            <w:r>
              <w:t xml:space="preserve">Semaglutida, Survodutida, Cagrilintida</w:t>
            </w:r>
          </w:p>
        </w:tc>
      </w:tr>
      <w:tr>
        <w:tc>
          <w:tcPr/>
          <w:p>
            <w:pPr>
              <w:pStyle w:val="Compact"/>
              <w:jc w:val="left"/>
            </w:pPr>
            <w:r>
              <w:t xml:space="preserve">Vesícula biliar</w:t>
            </w:r>
          </w:p>
        </w:tc>
        <w:tc>
          <w:tcPr/>
          <w:p>
            <w:pPr>
              <w:pStyle w:val="Compact"/>
              <w:jc w:val="left"/>
            </w:pPr>
            <w:r>
              <w:t xml:space="preserve">classe GLP-1, sobretudo na perda de peso</w:t>
            </w:r>
          </w:p>
        </w:tc>
        <w:tc>
          <w:tcPr/>
          <w:p>
            <w:pPr>
              <w:pStyle w:val="Compact"/>
              <w:jc w:val="left"/>
            </w:pPr>
            <w:r>
              <w:t xml:space="preserve">risco relativo 1,37 (todos os estudos), 2,29 (estudos de emagrecimento)</w:t>
            </w:r>
          </w:p>
        </w:tc>
        <w:tc>
          <w:tcPr/>
          <w:p>
            <w:pPr>
              <w:pStyle w:val="Compact"/>
              <w:jc w:val="left"/>
            </w:pPr>
            <w:r>
              <w:t xml:space="preserve">Liraglutida, Tirzepatida</w:t>
            </w:r>
          </w:p>
        </w:tc>
      </w:tr>
      <w:tr>
        <w:tc>
          <w:tcPr/>
          <w:p>
            <w:pPr>
              <w:pStyle w:val="Compact"/>
              <w:jc w:val="left"/>
            </w:pPr>
            <w:r>
              <w:t xml:space="preserve">Pâncreas</w:t>
            </w:r>
          </w:p>
        </w:tc>
        <w:tc>
          <w:tcPr/>
          <w:p>
            <w:pPr>
              <w:pStyle w:val="Compact"/>
              <w:jc w:val="left"/>
            </w:pPr>
            <w:r>
              <w:t xml:space="preserve">classe GLP-1</w:t>
            </w:r>
          </w:p>
        </w:tc>
        <w:tc>
          <w:tcPr/>
          <w:p>
            <w:pPr>
              <w:pStyle w:val="Compact"/>
              <w:jc w:val="left"/>
            </w:pPr>
            <w:r>
              <w:t xml:space="preserve">sinal em metanálises, raro em termos absolutos</w:t>
            </w:r>
          </w:p>
        </w:tc>
        <w:tc>
          <w:tcPr/>
          <w:p>
            <w:pPr>
              <w:pStyle w:val="Compact"/>
              <w:jc w:val="left"/>
            </w:pPr>
            <w:r>
              <w:t xml:space="preserve">Exenatida, Semaglutida</w:t>
            </w:r>
          </w:p>
        </w:tc>
      </w:tr>
      <w:tr>
        <w:tc>
          <w:tcPr/>
          <w:p>
            <w:pPr>
              <w:pStyle w:val="Compact"/>
              <w:jc w:val="left"/>
            </w:pPr>
            <w:r>
              <w:t xml:space="preserve">Tireoide</w:t>
            </w:r>
          </w:p>
        </w:tc>
        <w:tc>
          <w:tcPr/>
          <w:p>
            <w:pPr>
              <w:pStyle w:val="Compact"/>
              <w:jc w:val="left"/>
            </w:pPr>
            <w:r>
              <w:t xml:space="preserve">classe GLP-1</w:t>
            </w:r>
          </w:p>
        </w:tc>
        <w:tc>
          <w:tcPr/>
          <w:p>
            <w:pPr>
              <w:pStyle w:val="Compact"/>
              <w:jc w:val="left"/>
            </w:pPr>
            <w:r>
              <w:t xml:space="preserve">achado em animais comprovado, em humanos inconsistente</w:t>
            </w:r>
          </w:p>
        </w:tc>
        <w:tc>
          <w:tcPr/>
          <w:p>
            <w:pPr>
              <w:pStyle w:val="Compact"/>
              <w:jc w:val="left"/>
            </w:pPr>
            <w:r>
              <w:t xml:space="preserve">Liraglutida, capítulo Risco de câncer</w:t>
            </w:r>
          </w:p>
        </w:tc>
      </w:tr>
      <w:tr>
        <w:tc>
          <w:tcPr/>
          <w:p>
            <w:pPr>
              <w:pStyle w:val="Compact"/>
              <w:jc w:val="left"/>
            </w:pPr>
            <w:r>
              <w:t xml:space="preserve">Olhos</w:t>
            </w:r>
          </w:p>
        </w:tc>
        <w:tc>
          <w:tcPr/>
          <w:p>
            <w:pPr>
              <w:pStyle w:val="Compact"/>
              <w:jc w:val="left"/>
            </w:pPr>
            <w:r>
              <w:t xml:space="preserve">semaglutida (NAION, retinopatia)</w:t>
            </w:r>
          </w:p>
        </w:tc>
        <w:tc>
          <w:tcPr/>
          <w:p>
            <w:pPr>
              <w:pStyle w:val="Compact"/>
              <w:jc w:val="left"/>
            </w:pPr>
            <w:r>
              <w:t xml:space="preserve">muito raro; cerca de 1,4 caso adicional por 10.000 pessoas-ano</w:t>
            </w:r>
          </w:p>
        </w:tc>
        <w:tc>
          <w:tcPr/>
          <w:p>
            <w:pPr>
              <w:pStyle w:val="Compact"/>
              <w:jc w:val="left"/>
            </w:pPr>
            <w:r>
              <w:t xml:space="preserve">Semaglutida</w:t>
            </w:r>
          </w:p>
        </w:tc>
      </w:tr>
      <w:tr>
        <w:tc>
          <w:tcPr/>
          <w:p>
            <w:pPr>
              <w:pStyle w:val="Compact"/>
              <w:jc w:val="left"/>
            </w:pPr>
            <w:r>
              <w:t xml:space="preserve">Cardiovascular, retenção hídrica</w:t>
            </w:r>
          </w:p>
        </w:tc>
        <w:tc>
          <w:tcPr/>
          <w:p>
            <w:pPr>
              <w:pStyle w:val="Compact"/>
              <w:jc w:val="left"/>
            </w:pPr>
            <w:r>
              <w:t xml:space="preserve">liberadores de GH, ibutamoreno, bremelanotida, macimorelina, ocitocina</w:t>
            </w:r>
          </w:p>
        </w:tc>
        <w:tc>
          <w:tcPr/>
          <w:p>
            <w:pPr>
              <w:pStyle w:val="Compact"/>
              <w:jc w:val="left"/>
            </w:pPr>
            <w:r>
              <w:t xml:space="preserve">sinal de insuficiência cardíaca, picos de pressão arterial, prolongamento do QT</w:t>
            </w:r>
          </w:p>
        </w:tc>
        <w:tc>
          <w:tcPr/>
          <w:p>
            <w:pPr>
              <w:pStyle w:val="Compact"/>
              <w:jc w:val="left"/>
            </w:pPr>
            <w:r>
              <w:t xml:space="preserve">Ibutamoreno, Bremelanotida, Macimorelina</w:t>
            </w:r>
          </w:p>
        </w:tc>
      </w:tr>
      <w:tr>
        <w:tc>
          <w:tcPr/>
          <w:p>
            <w:pPr>
              <w:pStyle w:val="Compact"/>
              <w:jc w:val="left"/>
            </w:pPr>
            <w:r>
              <w:t xml:space="preserve">Psique</w:t>
            </w:r>
          </w:p>
        </w:tc>
        <w:tc>
          <w:tcPr/>
          <w:p>
            <w:pPr>
              <w:pStyle w:val="Compact"/>
              <w:jc w:val="left"/>
            </w:pPr>
            <w:r>
              <w:t xml:space="preserve">classe GLP-1 (avaliada), setmelanotida, Semax</w:t>
            </w:r>
          </w:p>
        </w:tc>
        <w:tc>
          <w:tcPr/>
          <w:p>
            <w:pPr>
              <w:pStyle w:val="Compact"/>
              <w:jc w:val="left"/>
            </w:pPr>
            <w:r>
              <w:t xml:space="preserve">nenhum risco aumentado em 86 ECRs</w:t>
            </w:r>
          </w:p>
        </w:tc>
        <w:tc>
          <w:tcPr/>
          <w:p>
            <w:pPr>
              <w:pStyle w:val="Compact"/>
              <w:jc w:val="left"/>
            </w:pPr>
            <w:r>
              <w:t xml:space="preserve">Semaglutida, Tirzepatida, Setmelanotida</w:t>
            </w:r>
          </w:p>
        </w:tc>
      </w:tr>
      <w:tr>
        <w:tc>
          <w:tcPr/>
          <w:p>
            <w:pPr>
              <w:pStyle w:val="Compact"/>
              <w:jc w:val="left"/>
            </w:pPr>
            <w:r>
              <w:t xml:space="preserve">Pele, pigmento</w:t>
            </w:r>
          </w:p>
        </w:tc>
        <w:tc>
          <w:tcPr/>
          <w:p>
            <w:pPr>
              <w:pStyle w:val="Compact"/>
              <w:jc w:val="left"/>
            </w:pPr>
            <w:r>
              <w:t xml:space="preserve">Melanotan II, setmelanotida, afamelanotida, bremelanotida, LL-37</w:t>
            </w:r>
          </w:p>
        </w:tc>
        <w:tc>
          <w:tcPr/>
          <w:p>
            <w:pPr>
              <w:pStyle w:val="Compact"/>
              <w:jc w:val="left"/>
            </w:pPr>
            <w:r>
              <w:t xml:space="preserve">pigmentação com setmelanotida 62%; relatos de caso de melanoma com Melanotan II</w:t>
            </w:r>
          </w:p>
        </w:tc>
        <w:tc>
          <w:tcPr/>
          <w:p>
            <w:pPr>
              <w:pStyle w:val="Compact"/>
              <w:jc w:val="left"/>
            </w:pPr>
            <w:r>
              <w:t xml:space="preserve">Melanotan II, Setmelanotida</w:t>
            </w:r>
          </w:p>
        </w:tc>
      </w:tr>
      <w:tr>
        <w:tc>
          <w:tcPr/>
          <w:p>
            <w:pPr>
              <w:pStyle w:val="Compact"/>
              <w:jc w:val="left"/>
            </w:pPr>
            <w:r>
              <w:t xml:space="preserve">Sistema hormonal</w:t>
            </w:r>
          </w:p>
        </w:tc>
        <w:tc>
          <w:tcPr/>
          <w:p>
            <w:pPr>
              <w:pStyle w:val="Compact"/>
              <w:jc w:val="left"/>
            </w:pPr>
            <w:r>
              <w:t xml:space="preserve">GHRP-2, GHRP-6, hexarelina, kisspeptina, gonadorelina</w:t>
            </w:r>
          </w:p>
        </w:tc>
        <w:tc>
          <w:tcPr/>
          <w:p>
            <w:pPr>
              <w:pStyle w:val="Compact"/>
              <w:jc w:val="left"/>
            </w:pPr>
            <w:r>
              <w:t xml:space="preserve">aumento de cortisol e prolactina; supressão do eixo com administração contínua</w:t>
            </w:r>
          </w:p>
        </w:tc>
        <w:tc>
          <w:tcPr/>
          <w:p>
            <w:pPr>
              <w:pStyle w:val="Compact"/>
              <w:jc w:val="left"/>
            </w:pPr>
            <w:r>
              <w:t xml:space="preserve">Grupo C, Kisspeptina</w:t>
            </w:r>
          </w:p>
        </w:tc>
      </w:tr>
      <w:tr>
        <w:tc>
          <w:tcPr/>
          <w:p>
            <w:pPr>
              <w:pStyle w:val="Compact"/>
              <w:jc w:val="left"/>
            </w:pPr>
            <w:r>
              <w:t xml:space="preserve">Glicemia</w:t>
            </w:r>
          </w:p>
        </w:tc>
        <w:tc>
          <w:tcPr/>
          <w:p>
            <w:pPr>
              <w:pStyle w:val="Compact"/>
              <w:jc w:val="left"/>
            </w:pPr>
            <w:r>
              <w:t xml:space="preserve">mecasermina, pranlintida, GLP-1 com insulina/sulfonilureia; eixo do GH</w:t>
            </w:r>
          </w:p>
        </w:tc>
        <w:tc>
          <w:tcPr/>
          <w:p>
            <w:pPr>
              <w:pStyle w:val="Compact"/>
              <w:jc w:val="left"/>
            </w:pPr>
            <w:r>
              <w:t xml:space="preserve">hipoglicemia em 49% com mecasermina; glicemia mais alta com ibutamoreno</w:t>
            </w:r>
          </w:p>
        </w:tc>
        <w:tc>
          <w:tcPr/>
          <w:p>
            <w:pPr>
              <w:pStyle w:val="Compact"/>
              <w:jc w:val="left"/>
            </w:pPr>
            <w:r>
              <w:t xml:space="preserve">Mecasermina, Pranlintida, Ibutamoreno</w:t>
            </w:r>
          </w:p>
        </w:tc>
      </w:tr>
    </w:tbl>
    <w:bookmarkStart w:id="2612" w:name="trato-gastrointestinal"/>
    <w:p>
      <w:pPr>
        <w:pStyle w:val="Heading3"/>
      </w:pPr>
      <w:r>
        <w:t xml:space="preserve">Trato gastrointestinal</w:t>
      </w:r>
    </w:p>
    <w:p>
      <w:pPr>
        <w:pStyle w:val="FirstParagraph"/>
      </w:pPr>
      <w:r>
        <w:t xml:space="preserve">Nenhum outro sistema de órgãos é afetado com tanta frequência. Náusea, vômitos, diarreia e prisão de ventre são os efeitos colaterais típicos de todos os medicamentos que atuam no receptor de GLP-1 – da exenatida mais antiga, passando pela semaglutida e pela tirzepatida, até os novos agonistas múltiplos. Uma revisão que resumiu 60 metanálises com um total de 1.751 estudos randomizados encontrou justamente aqui os sinais mais seguros: a chance (odds) de náusea com agonistas do receptor de GLP-1 foi cerca de duas vezes e meia maior do que nos grupos de comparação (odds ratio 2,47), a de vômitos quase três vezes (2,78) e a de diarreia cerca de duas vezes maior (1,94)</w:t>
      </w:r>
      <w:r>
        <w:rPr>
          <w:rStyle w:val="FootnoteReference"/>
        </w:rPr>
        <w:footnoteReference w:id="2603"/>
      </w:r>
      <w:r>
        <w:t xml:space="preserve">.</w:t>
      </w:r>
    </w:p>
    <w:p>
      <w:pPr>
        <w:pStyle w:val="BodyText"/>
      </w:pPr>
      <w:r>
        <w:t xml:space="preserve">A frequência das queixas depende muito da substância, da dose e do ritmo de aumento da dose. Uma metanálise em rede de 39 estudos com 33.354 pessoas com sobrepeso sem diabetes encontrou, para todas as substâncias estudadas, um risco aumentado de náusea, mais forte para a orforglipron, seguida de exenatida, tirzepatida, semaglutida e liraglutida</w:t>
      </w:r>
      <w:r>
        <w:rPr>
          <w:rStyle w:val="FootnoteReference"/>
        </w:rPr>
        <w:footnoteReference w:id="2604"/>
      </w:r>
      <w:r>
        <w:t xml:space="preserve">. Nas substâncias com componente adicional de glucagon, as taxas são particularmente altas: no estudo de esteatose hepática com survodutida, 66% tiveram náusea contra 23% com placebo</w:t>
      </w:r>
      <w:r>
        <w:rPr>
          <w:rStyle w:val="FootnoteReference"/>
        </w:rPr>
        <w:footnoteReference w:id="2605"/>
      </w:r>
      <w:r>
        <w:t xml:space="preserve">. Detalhes estão nos capítulos Survodutida, Mazdutida e Retatrutida.</w:t>
      </w:r>
    </w:p>
    <w:p>
      <w:pPr>
        <w:pStyle w:val="BodyText"/>
      </w:pPr>
      <w:r>
        <w:t xml:space="preserve">Também fora do grupo GLP-1 a náusea é frequente. Com bremelanotida, ela ocorreu nos estudos de fase 3 em 40,0% contra 1,3% com placebo e foi o motivo de abandono mais frequente</w:t>
      </w:r>
      <w:r>
        <w:rPr>
          <w:rStyle w:val="FootnoteReference"/>
        </w:rPr>
        <w:footnoteReference w:id="2606"/>
      </w:r>
      <w:r>
        <w:t xml:space="preserve">. Com pranlintida, 63% relataram náusea, com placebo 36%</w:t>
      </w:r>
      <w:r>
        <w:rPr>
          <w:rStyle w:val="FootnoteReference"/>
        </w:rPr>
        <w:footnoteReference w:id="2607"/>
      </w:r>
      <w:r>
        <w:t xml:space="preserve">. Com setmelanotida, foram 36% em uma metanálise de sete estudos</w:t>
      </w:r>
      <w:r>
        <w:rPr>
          <w:rStyle w:val="FootnoteReference"/>
        </w:rPr>
        <w:footnoteReference w:id="2608"/>
      </w:r>
      <w:r>
        <w:t xml:space="preserve">.</w:t>
      </w:r>
    </w:p>
    <w:p>
      <w:pPr>
        <w:pStyle w:val="BodyText"/>
      </w:pPr>
      <w:r>
        <w:t xml:space="preserve">Mais importante do que a frequência da náusea é a questão dos eventos gastrointestinais</w:t>
      </w:r>
      <w:r>
        <w:t xml:space="preserve"> </w:t>
      </w:r>
      <w:r>
        <w:rPr>
          <w:bCs/>
          <w:b/>
        </w:rPr>
        <w:t xml:space="preserve">graves</w:t>
      </w:r>
      <w:r>
        <w:t xml:space="preserve">. Uma análise de banco de dados de 2023 havia relatado, para agonistas do receptor de GLP-1 usados para perda de peso, um risco aumentado de inflamação do pâncreas, obstrução intestinal e paralisia gástrica</w:t>
      </w:r>
      <w:r>
        <w:rPr>
          <w:rStyle w:val="FootnoteReference"/>
        </w:rPr>
        <w:footnoteReference w:id="2609"/>
      </w:r>
      <w:r>
        <w:t xml:space="preserve">. Uma metanálise de 55 estudos controlados por placebo com 106.395 participantes não confirmou isso para a maioria desses eventos. Estavam aumentados os cálculos biliares (risco relativo 1,46; dois casos adicionais por 1.000 tratados) e provavelmente a doença do refluxo (risco relativo 2,19; quatro casos adicionais por 1.000). Para obstrução intestinal, paralisia gástrica, úlceras ou sangramentos não se encontrou diferença clara</w:t>
      </w:r>
      <w:r>
        <w:rPr>
          <w:rStyle w:val="FootnoteReference"/>
        </w:rPr>
        <w:footnoteReference w:id="2610"/>
      </w:r>
      <w:r>
        <w:t xml:space="preserve">. Em um estudo de coorte com dados de rotina, tirzepatida e semaglutida quase não diferiram quanto a eventos gastrointestinais graves</w:t>
      </w:r>
      <w:r>
        <w:rPr>
          <w:rStyle w:val="FootnoteReference"/>
        </w:rPr>
        <w:footnoteReference w:id="2611"/>
      </w:r>
      <w:r>
        <w:t xml:space="preserve">.</w:t>
      </w:r>
    </w:p>
    <w:p>
      <w:pPr>
        <w:pStyle w:val="BodyText"/>
      </w:pPr>
      <w:r>
        <w:t xml:space="preserve">Na prática, é relevante que vômitos e diarreia persistentes podem levar à perda de líquidos. Nos estudos, as queixas ocorrem sobretudo na fase de aumento da dose; por isso, as bulas profissionais dos medicamentos aprovados preveem um procedimento gradual, que deve ser acompanhado por um médico. Com produtos do mercado cinza, cujo conteúdo é desconhecido, não é possível seguir esse esquema de forma confiável (ver capítulo</w:t>
      </w:r>
      <w:r>
        <w:t xml:space="preserve"> </w:t>
      </w:r>
      <w:r>
        <w:t xml:space="preserve">“</w:t>
      </w:r>
      <w:r>
        <w:t xml:space="preserve">Produtos do mercado cinza</w:t>
      </w:r>
      <w:r>
        <w:t xml:space="preserve">”</w:t>
      </w:r>
      <w:r>
        <w:t xml:space="preserve">).</w:t>
      </w:r>
    </w:p>
    <w:bookmarkEnd w:id="2612"/>
    <w:bookmarkStart w:id="2616" w:name="vesícula-biliar-e-pâncreas"/>
    <w:p>
      <w:pPr>
        <w:pStyle w:val="Heading3"/>
      </w:pPr>
      <w:r>
        <w:t xml:space="preserve">Vesícula biliar e pâncreas</w:t>
      </w:r>
    </w:p>
    <w:p>
      <w:pPr>
        <w:pStyle w:val="FirstParagraph"/>
      </w:pPr>
      <w:r>
        <w:t xml:space="preserve">Para a vesícula biliar, o risco já está bem comprovado. Uma metanálise de 76 estudos randomizados com 103.371 participantes encontrou com agonistas do receptor de GLP-1 um risco relativo 37% maior de doenças da vesícula e das vias biliares. Em estudos de perda de peso, o risco relativo, de 2,29, foi bem maior do que em estudos de diabetes</w:t>
      </w:r>
      <w:r>
        <w:rPr>
          <w:rStyle w:val="FootnoteReference"/>
        </w:rPr>
        <w:footnoteReference w:id="2613"/>
      </w:r>
      <w:r>
        <w:t xml:space="preserve">. Parte do efeito deve se dever à própria perda de peso rápida, que reconhecidamente favorece cálculos biliares. No STEP TEENS, 5 de 133 adolescentes com semaglutida tiveram cálculos biliares, com placebo nenhum</w:t>
      </w:r>
      <w:r>
        <w:rPr>
          <w:rStyle w:val="FootnoteReference"/>
        </w:rPr>
        <w:footnoteReference w:id="2614"/>
      </w:r>
      <w:r>
        <w:t xml:space="preserve">.</w:t>
      </w:r>
    </w:p>
    <w:p>
      <w:pPr>
        <w:pStyle w:val="BodyText"/>
      </w:pPr>
      <w:r>
        <w:t xml:space="preserve">No pâncreas, a situação é menos clara. Uma metanálise de 62 estudos com 66.232 participantes encontrou, no geral, um risco levemente aumentado de inflamação do pâncreas (risco relativo 1,44). Quando os estudos foram separados conforme os participantes tomassem ou não outros medicamentos adicionalmente, a diferença deixou de ser estatisticamente significativa em ambos os grupos</w:t>
      </w:r>
      <w:r>
        <w:rPr>
          <w:rStyle w:val="FootnoteReference"/>
        </w:rPr>
        <w:footnoteReference w:id="2615"/>
      </w:r>
      <w:r>
        <w:t xml:space="preserve">. A frequência absoluta é baixa; nos grandes estudos de desfechos, a pancreatite foi rara. As bulas profissionais a listam como efeito colateral raro. Dor forte e persistente na parte superior do abdome, muitas vezes irradiando para as costas, deve sempre ser avaliada por um médico com esses medicamentos. Sobre a questão do câncer de pâncreas, ver o capítulo seguinte.</w:t>
      </w:r>
    </w:p>
    <w:bookmarkEnd w:id="2616"/>
    <w:bookmarkStart w:id="2618" w:name="tireoide"/>
    <w:p>
      <w:pPr>
        <w:pStyle w:val="Heading3"/>
      </w:pPr>
      <w:r>
        <w:t xml:space="preserve">Tireoide</w:t>
      </w:r>
    </w:p>
    <w:p>
      <w:pPr>
        <w:pStyle w:val="FirstParagraph"/>
      </w:pPr>
      <w:r>
        <w:t xml:space="preserve">A preocupação com a tireoide vem de experimentos com animais: em ratos e camundongos, os agonistas do receptor de GLP-1 levaram a proliferações e tumores das células C, que produzem o hormônio calcitonina. Em humanos, os dados são inconsistentes. Um indício direto de estimulação das células C seria um aumento da calcitonina no sangue. No estudo LEADER, com 9.340 participantes, os valores de calcitonina não diferiram entre liraglutida e placebo após 36 meses, e com liraglutida não ocorreu nenhum carcinoma medular de tireoide</w:t>
      </w:r>
      <w:r>
        <w:rPr>
          <w:rStyle w:val="FootnoteReference"/>
        </w:rPr>
        <w:footnoteReference w:id="2617"/>
      </w:r>
      <w:r>
        <w:t xml:space="preserve">. Como a questão do câncer deve ser avaliada no conjunto é tratado no capítulo</w:t>
      </w:r>
      <w:r>
        <w:t xml:space="preserve"> </w:t>
      </w:r>
      <w:r>
        <w:t xml:space="preserve">“</w:t>
      </w:r>
      <w:r>
        <w:t xml:space="preserve">Risco de câncer e sinais de crescimento</w:t>
      </w:r>
      <w:r>
        <w:t xml:space="preserve">”</w:t>
      </w:r>
      <w:r>
        <w:t xml:space="preserve">. Independentemente disso, as bulas profissionais preveem uma contraindicação em caso de carcinoma medular de tireoide na história pessoal ou familiar e na síndrome MEN 2.</w:t>
      </w:r>
    </w:p>
    <w:bookmarkEnd w:id="2618"/>
    <w:bookmarkStart w:id="2626" w:name="olhos-retina-e-nervo-óptico"/>
    <w:p>
      <w:pPr>
        <w:pStyle w:val="Heading3"/>
      </w:pPr>
      <w:r>
        <w:t xml:space="preserve">Olhos: retina e nervo óptico</w:t>
      </w:r>
    </w:p>
    <w:p>
      <w:pPr>
        <w:pStyle w:val="FirstParagraph"/>
      </w:pPr>
      <w:r>
        <w:t xml:space="preserve">Aqui há duas questões diferentes.</w:t>
      </w:r>
    </w:p>
    <w:p>
      <w:pPr>
        <w:pStyle w:val="BodyText"/>
      </w:pPr>
      <w:r>
        <w:rPr>
          <w:bCs/>
          <w:b/>
        </w:rPr>
        <w:t xml:space="preserve">Retinopatia diabética.</w:t>
      </w:r>
      <w:r>
        <w:t xml:space="preserve"> </w:t>
      </w:r>
      <w:r>
        <w:t xml:space="preserve">No SUSTAIN 6, um estudo cardiovascular com 3.297 pessoas com diabetes tipo 2, complicações de uma retinopatia diabética ocorreram com mais frequência com semaglutida do que com placebo (hazard ratio 1,76)</w:t>
      </w:r>
      <w:r>
        <w:rPr>
          <w:rStyle w:val="FootnoteReference"/>
        </w:rPr>
        <w:footnoteReference w:id="2619"/>
      </w:r>
      <w:r>
        <w:t xml:space="preserve">. Supõe-se que uma redução muito rápida da glicemia piore temporariamente uma retinopatia preexistente – um fenômeno também conhecido com a insulina. Uma metanálise de 78 estudos com 73.640 participantes não encontrou, no geral, risco aumentado de retinopatia diabética (odds ratio 1,04) ou de doenças oculares em geral</w:t>
      </w:r>
      <w:r>
        <w:rPr>
          <w:rStyle w:val="FootnoteReference"/>
        </w:rPr>
        <w:footnoteReference w:id="2620"/>
      </w:r>
      <w:r>
        <w:t xml:space="preserve">. Para pessoas com retinopatia conhecida, o acompanhamento oftalmológico continua sendo recomendável mesmo assim.</w:t>
      </w:r>
    </w:p>
    <w:p>
      <w:pPr>
        <w:pStyle w:val="BodyText"/>
      </w:pPr>
      <w:r>
        <w:rPr>
          <w:bCs/>
          <w:b/>
        </w:rPr>
        <w:t xml:space="preserve">NAION.</w:t>
      </w:r>
      <w:r>
        <w:t xml:space="preserve"> </w:t>
      </w:r>
      <w:r>
        <w:t xml:space="preserve">A neuropatia óptica isquêmica anterior não arterítica é um distúrbio circulatório na cabeça do nervo óptico que, em geral sem dor, leva à perda súbita da visão em um olho. Desde um primeiro estudo de uma clínica neuro-oftalmológica</w:t>
      </w:r>
      <w:r>
        <w:rPr>
          <w:rStyle w:val="FootnoteReference"/>
        </w:rPr>
        <w:footnoteReference w:id="2621"/>
      </w:r>
      <w:r>
        <w:t xml:space="preserve">, muitas outras investigações foram publicadas, com resultados diferentes:</w:t>
      </w:r>
    </w:p>
    <w:p>
      <w:pPr>
        <w:numPr>
          <w:ilvl w:val="0"/>
          <w:numId w:val="1336"/>
        </w:numPr>
        <w:pStyle w:val="Compact"/>
      </w:pPr>
      <w:r>
        <w:t xml:space="preserve">O estudo de registros dinamarquês-norueguês encontrou um risco relativo aumentado (hazard ratio 2,81), em termos absolutos cerca de 1,4 caso adicional por 10.000 pessoas-ano</w:t>
      </w:r>
      <w:r>
        <w:rPr>
          <w:rStyle w:val="FootnoteReference"/>
        </w:rPr>
        <w:footnoteReference w:id="2622"/>
      </w:r>
      <w:r>
        <w:t xml:space="preserve">.</w:t>
      </w:r>
    </w:p>
    <w:p>
      <w:pPr>
        <w:numPr>
          <w:ilvl w:val="0"/>
          <w:numId w:val="1336"/>
        </w:numPr>
        <w:pStyle w:val="Compact"/>
      </w:pPr>
      <w:r>
        <w:t xml:space="preserve">Em uma coorte norte-americana com 159.398 pessoas com diabetes tipo 2, adoeceram em dois anos 0,04% com semaglutida ou tirzepatida e 0,02% no grupo de comparação (hazard ratio 1,76)</w:t>
      </w:r>
      <w:r>
        <w:rPr>
          <w:rStyle w:val="FootnoteReference"/>
        </w:rPr>
        <w:footnoteReference w:id="2623"/>
      </w:r>
      <w:r>
        <w:t xml:space="preserve">.</w:t>
      </w:r>
    </w:p>
    <w:p>
      <w:pPr>
        <w:numPr>
          <w:ilvl w:val="0"/>
          <w:numId w:val="1336"/>
        </w:numPr>
        <w:pStyle w:val="Compact"/>
      </w:pPr>
      <w:r>
        <w:t xml:space="preserve">Um estudo internacional de banco de dados com quase 300.000 pessoas não encontrou relação comprovada</w:t>
      </w:r>
      <w:r>
        <w:rPr>
          <w:rStyle w:val="FootnoteReference"/>
        </w:rPr>
        <w:footnoteReference w:id="2624"/>
      </w:r>
      <w:r>
        <w:t xml:space="preserve">.</w:t>
      </w:r>
    </w:p>
    <w:p>
      <w:pPr>
        <w:numPr>
          <w:ilvl w:val="0"/>
          <w:numId w:val="1336"/>
        </w:numPr>
        <w:pStyle w:val="Compact"/>
      </w:pPr>
      <w:r>
        <w:t xml:space="preserve">Uma metanálise viu o sinal apenas em estudos observacionais no diabetes, não em estudos randomizados e não na obesidade</w:t>
      </w:r>
      <w:r>
        <w:rPr>
          <w:rStyle w:val="FootnoteReference"/>
        </w:rPr>
        <w:footnoteReference w:id="2625"/>
      </w:r>
      <w:r>
        <w:t xml:space="preserve">.</w:t>
      </w:r>
    </w:p>
    <w:p>
      <w:pPr>
        <w:pStyle w:val="FirstParagraph"/>
      </w:pPr>
      <w:r>
        <w:t xml:space="preserve">Em resumo: um pequeno aumento do risco é possível, a frequência absoluta é muito baixa. A Agência Europeia de Medicamentos incluiu em 2025 a NAION como efeito colateral muito raro da semaglutida na bula profissional. Perda súbita da visão é, em qualquer caso, uma emergência. Detalhes no capítulo Semaglutida.</w:t>
      </w:r>
    </w:p>
    <w:bookmarkEnd w:id="2626"/>
    <w:bookmarkStart w:id="2635" w:name="Xc3f402f177e40206e559dff14a92db69e812ccc"/>
    <w:p>
      <w:pPr>
        <w:pStyle w:val="Heading3"/>
      </w:pPr>
      <w:r>
        <w:t xml:space="preserve">Sistema cardiovascular e retenção hídrica</w:t>
      </w:r>
    </w:p>
    <w:p>
      <w:pPr>
        <w:pStyle w:val="FirstParagraph"/>
      </w:pPr>
      <w:r>
        <w:t xml:space="preserve">Nos medicamentos de GLP-1, segundo o conhecimento atual, predomina o benefício para o coração e os vasos: no SUSTAIN 6, eventos cardiovasculares graves foram mais raros com semaglutida (6,6% contra 8,9%)</w:t>
      </w:r>
      <w:r>
        <w:rPr>
          <w:rStyle w:val="FootnoteReference"/>
        </w:rPr>
        <w:footnoteReference w:id="2627"/>
      </w:r>
      <w:r>
        <w:t xml:space="preserve">. Um leve aumento da frequência cardíaca em repouso, porém, é uma característica da classe e, nos novos agonistas múltiplos, às vezes mais pronunciado. Com retatrutida, no TRIUMPH-2, ocorreu além disso pressão arterial baixa em 1 a 6%, com placebo em menos de 1%</w:t>
      </w:r>
      <w:r>
        <w:rPr>
          <w:rStyle w:val="FootnoteReference"/>
        </w:rPr>
        <w:footnoteReference w:id="2628"/>
      </w:r>
      <w:r>
        <w:t xml:space="preserve">. Ver capítulos Retatrutida e Survodutida.</w:t>
      </w:r>
    </w:p>
    <w:p>
      <w:pPr>
        <w:pStyle w:val="BodyText"/>
      </w:pPr>
      <w:r>
        <w:t xml:space="preserve">Um padrão completamente diferente é mostrado pelo</w:t>
      </w:r>
      <w:r>
        <w:t xml:space="preserve"> </w:t>
      </w:r>
      <w:r>
        <w:rPr>
          <w:bCs/>
          <w:b/>
        </w:rPr>
        <w:t xml:space="preserve">eixo do hormônio do crescimento</w:t>
      </w:r>
      <w:r>
        <w:t xml:space="preserve">. O hormônio do crescimento retém água no corpo. Em uma revisão de estudos com idosos saudáveis, ocorreram com hormônio do crescimento com mais frequência inchaço dos tecidos, dores articulares, síndrome do túnel do carpo e aumento das mamas em homens</w:t>
      </w:r>
      <w:r>
        <w:rPr>
          <w:rStyle w:val="FootnoteReference"/>
        </w:rPr>
        <w:footnoteReference w:id="2629"/>
      </w:r>
      <w:r>
        <w:t xml:space="preserve">. Para os liberadores, que estimulam a secreção endógena, é de esperar um padrão semelhante. Ele ficou mais evidente com o ibutamoreno oral: um estudo em idosos após fratura de quadril foi encerrado antecipadamente devido a um sinal de insuficiência cardíaca</w:t>
      </w:r>
      <w:r>
        <w:rPr>
          <w:rStyle w:val="FootnoteReference"/>
        </w:rPr>
        <w:footnoteReference w:id="2630"/>
      </w:r>
      <w:r>
        <w:t xml:space="preserve">. Um coração já enfraquecido lida mal com líquido adicional.</w:t>
      </w:r>
    </w:p>
    <w:p>
      <w:pPr>
        <w:pStyle w:val="BodyText"/>
      </w:pPr>
      <w:r>
        <w:t xml:space="preserve">Outros achados isolados:</w:t>
      </w:r>
    </w:p>
    <w:p>
      <w:pPr>
        <w:numPr>
          <w:ilvl w:val="0"/>
          <w:numId w:val="1337"/>
        </w:numPr>
        <w:pStyle w:val="Compact"/>
      </w:pPr>
      <w:r>
        <w:rPr>
          <w:bCs/>
          <w:b/>
        </w:rPr>
        <w:t xml:space="preserve">Bremelanotida</w:t>
      </w:r>
      <w:r>
        <w:t xml:space="preserve"> </w:t>
      </w:r>
      <w:r>
        <w:t xml:space="preserve">aumentou temporariamente a pressão arterial sistólica após a administração em 2,4 a 3,2 mmHg; os picos duraram em geral menos de 15 minutos, e ao mesmo tempo a frequência cardíaca caiu</w:t>
      </w:r>
      <w:r>
        <w:rPr>
          <w:rStyle w:val="FootnoteReference"/>
        </w:rPr>
        <w:footnoteReference w:id="2631"/>
      </w:r>
      <w:r>
        <w:t xml:space="preserve">.</w:t>
      </w:r>
    </w:p>
    <w:p>
      <w:pPr>
        <w:numPr>
          <w:ilvl w:val="0"/>
          <w:numId w:val="1337"/>
        </w:numPr>
        <w:pStyle w:val="Compact"/>
      </w:pPr>
      <w:r>
        <w:rPr>
          <w:bCs/>
          <w:b/>
        </w:rPr>
        <w:t xml:space="preserve">Macimorelina</w:t>
      </w:r>
      <w:r>
        <w:t xml:space="preserve"> </w:t>
      </w:r>
      <w:r>
        <w:t xml:space="preserve">prolongou, em uma dose única deliberadamente excessiva, o intervalo QT no ECG em média em até 9,61 milissegundos</w:t>
      </w:r>
      <w:r>
        <w:rPr>
          <w:rStyle w:val="FootnoteReference"/>
        </w:rPr>
        <w:footnoteReference w:id="2632"/>
      </w:r>
      <w:r>
        <w:t xml:space="preserve"> </w:t>
      </w:r>
      <w:r>
        <w:t xml:space="preserve">– relevante para pessoas que tomam outros medicamentos que prolongam o QT.</w:t>
      </w:r>
    </w:p>
    <w:p>
      <w:pPr>
        <w:numPr>
          <w:ilvl w:val="0"/>
          <w:numId w:val="1337"/>
        </w:numPr>
        <w:pStyle w:val="Compact"/>
      </w:pPr>
      <w:r>
        <w:rPr>
          <w:bCs/>
          <w:b/>
        </w:rPr>
        <w:t xml:space="preserve">Ocitocina</w:t>
      </w:r>
      <w:r>
        <w:t xml:space="preserve"> </w:t>
      </w:r>
      <w:r>
        <w:t xml:space="preserve">é quimicamente semelhante à vasopressina, hormônio do equilíbrio hídrico. Está descrito um caso de aumento da pressão intracraniana com spray nasal de ocitocina associado a uma ingestão de líquidos muito alta</w:t>
      </w:r>
      <w:r>
        <w:rPr>
          <w:rStyle w:val="FootnoteReference"/>
        </w:rPr>
        <w:footnoteReference w:id="2633"/>
      </w:r>
      <w:r>
        <w:t xml:space="preserve">.</w:t>
      </w:r>
    </w:p>
    <w:p>
      <w:pPr>
        <w:numPr>
          <w:ilvl w:val="0"/>
          <w:numId w:val="1337"/>
        </w:numPr>
        <w:pStyle w:val="Compact"/>
      </w:pPr>
      <w:r>
        <w:rPr>
          <w:bCs/>
          <w:b/>
        </w:rPr>
        <w:t xml:space="preserve">Melanotan II:</w:t>
      </w:r>
      <w:r>
        <w:t xml:space="preserve"> </w:t>
      </w:r>
      <w:r>
        <w:t xml:space="preserve">relatos de caso de rabdomiólise com lesão renal</w:t>
      </w:r>
      <w:r>
        <w:rPr>
          <w:rStyle w:val="FootnoteReference"/>
        </w:rPr>
        <w:footnoteReference w:id="2634"/>
      </w:r>
      <w:r>
        <w:t xml:space="preserve"> </w:t>
      </w:r>
      <w:r>
        <w:t xml:space="preserve">e de um infarto renal; ver capítulo Melanotan II.</w:t>
      </w:r>
    </w:p>
    <w:bookmarkEnd w:id="2635"/>
    <w:bookmarkStart w:id="2640" w:name="psique-e-suicidalidade"/>
    <w:p>
      <w:pPr>
        <w:pStyle w:val="Heading3"/>
      </w:pPr>
      <w:r>
        <w:t xml:space="preserve">Psique e suicidalidade</w:t>
      </w:r>
    </w:p>
    <w:p>
      <w:pPr>
        <w:pStyle w:val="FirstParagraph"/>
      </w:pPr>
      <w:r>
        <w:t xml:space="preserve">Em 2023, notificações isoladas de pensamentos suicidas com semaglutida e liraglutida desencadearam avaliações regulatórias na Europa e nos EUA. Os dados são hoje bem melhores e, em sua maioria, tranquilizadores. Uma metanálise de 86 estudos randomizados com 133.378 participantes não encontrou, com agonistas do receptor de GLP-1, risco aumentado de doenças psiquiátricas em geral (risco relativo 0,96), de depressão (0,88), de suicídio (0,90) ou de transtornos de ansiedade (0,92)</w:t>
      </w:r>
      <w:r>
        <w:rPr>
          <w:rStyle w:val="FootnoteReference"/>
        </w:rPr>
        <w:footnoteReference w:id="2636"/>
      </w:r>
      <w:r>
        <w:t xml:space="preserve">. Em um estudo de registros escandinavo com 124.517 pessoas em uso de agonistas do receptor de GLP-1, o risco de suicídio não foi maior em comparação com outro antidiabético; o limite superior do intervalo de confiança correspondia a no máximo 0,16 morte adicional por 1.000 pessoas-ano</w:t>
      </w:r>
      <w:r>
        <w:rPr>
          <w:rStyle w:val="FootnoteReference"/>
        </w:rPr>
        <w:footnoteReference w:id="2637"/>
      </w:r>
      <w:r>
        <w:t xml:space="preserve">. Nos estudos SURMOUNT, 0,6% relataram pensamentos suicidas tanto com tirzepatida quanto com placebo</w:t>
      </w:r>
      <w:r>
        <w:rPr>
          <w:rStyle w:val="FootnoteReference"/>
        </w:rPr>
        <w:footnoteReference w:id="2638"/>
      </w:r>
      <w:r>
        <w:t xml:space="preserve">. Também em adolescentes uma metanálise não encontrou aumento de comportamento suicida ou depressão</w:t>
      </w:r>
      <w:r>
        <w:rPr>
          <w:rStyle w:val="FootnoteReference"/>
        </w:rPr>
        <w:footnoteReference w:id="2639"/>
      </w:r>
      <w:r>
        <w:t xml:space="preserve">.</w:t>
      </w:r>
    </w:p>
    <w:p>
      <w:pPr>
        <w:pStyle w:val="BodyText"/>
      </w:pPr>
      <w:r>
        <w:t xml:space="preserve">Resta uma ressalva: pessoas com doenças psiquiátricas graves foram excluídas de muitos estudos. Para elas e para pessoas com transtornos alimentares, valem considerações próprias (ver capítulo</w:t>
      </w:r>
      <w:r>
        <w:t xml:space="preserve"> </w:t>
      </w:r>
      <w:r>
        <w:t xml:space="preserve">“</w:t>
      </w:r>
      <w:r>
        <w:t xml:space="preserve">Interações e grupos de risco especiais</w:t>
      </w:r>
      <w:r>
        <w:t xml:space="preserve">”</w:t>
      </w:r>
      <w:r>
        <w:t xml:space="preserve">).</w:t>
      </w:r>
    </w:p>
    <w:p>
      <w:pPr>
        <w:pStyle w:val="BodyText"/>
      </w:pPr>
      <w:r>
        <w:t xml:space="preserve">Outros peptídeos agem de forma mais direta no cérebro. A bula profissional da setmelanotida contém advertências sobre depressão e pensamentos suicidas (capítulo Setmelanotida). Para o Semax, está descrita em pessoas isoladas com cérebro previamente lesionado uma alteração de EEG semelhante a crises (capítulo Semax). Para a maioria dos</w:t>
      </w:r>
      <w:r>
        <w:t xml:space="preserve"> </w:t>
      </w:r>
      <w:r>
        <w:t xml:space="preserve">“</w:t>
      </w:r>
      <w:r>
        <w:t xml:space="preserve">peptídeos nootrópicos</w:t>
      </w:r>
      <w:r>
        <w:t xml:space="preserve">”</w:t>
      </w:r>
      <w:r>
        <w:t xml:space="preserve"> </w:t>
      </w:r>
      <w:r>
        <w:t xml:space="preserve">do grupo D, simplesmente não há dados sistemáticos sobre efeitos colaterais psíquicos.</w:t>
      </w:r>
    </w:p>
    <w:bookmarkEnd w:id="2640"/>
    <w:bookmarkStart w:id="2648" w:name="pele-e-pigmento"/>
    <w:p>
      <w:pPr>
        <w:pStyle w:val="Heading3"/>
      </w:pPr>
      <w:r>
        <w:t xml:space="preserve">Pele e pigmento</w:t>
      </w:r>
    </w:p>
    <w:p>
      <w:pPr>
        <w:pStyle w:val="FirstParagraph"/>
      </w:pPr>
      <w:r>
        <w:t xml:space="preserve">As alterações cutâneas mais marcantes são causadas por peptídeos que agem no</w:t>
      </w:r>
      <w:r>
        <w:t xml:space="preserve"> </w:t>
      </w:r>
      <w:r>
        <w:rPr>
          <w:bCs/>
          <w:b/>
        </w:rPr>
        <w:t xml:space="preserve">receptor de melanocortina 1</w:t>
      </w:r>
      <w:r>
        <w:t xml:space="preserve"> </w:t>
      </w:r>
      <w:r>
        <w:t xml:space="preserve">das células pigmentares. Com a setmelanotida, que na verdade deveria atuar no receptor de melanocortina 4 no cérebro, a pele escureceu em 62% dos tratados em uma metanálise</w:t>
      </w:r>
      <w:r>
        <w:rPr>
          <w:rStyle w:val="FootnoteReference"/>
        </w:rPr>
        <w:footnoteReference w:id="2641"/>
      </w:r>
      <w:r>
        <w:t xml:space="preserve">. Em um acompanhamento de até 46 meses, lábios e pintas também escureceram, e cabelos ruivos ficaram castanhos; alterações cutâneas malignas não ocorreram</w:t>
      </w:r>
      <w:r>
        <w:rPr>
          <w:rStyle w:val="FootnoteReference"/>
        </w:rPr>
        <w:footnoteReference w:id="2642"/>
      </w:r>
      <w:r>
        <w:t xml:space="preserve">. A bremelanotida causou, com administração em até 16 dias consecutivos, manchas escuras circunscritas em mais de um terço dos participantes</w:t>
      </w:r>
      <w:r>
        <w:rPr>
          <w:rStyle w:val="FootnoteReference"/>
        </w:rPr>
        <w:footnoteReference w:id="2643"/>
      </w:r>
      <w:r>
        <w:t xml:space="preserve">.</w:t>
      </w:r>
    </w:p>
    <w:p>
      <w:pPr>
        <w:pStyle w:val="BodyText"/>
      </w:pPr>
      <w:r>
        <w:t xml:space="preserve">Com o Melanotan II, não aprovado, somam-se pintas novas, às vezes atípicas. Uma revisão de todos os casos publicados de pintas de aparecimento súbito, com 179 afetados, citou o melanotan entre os desencadeantes; 16% de todos os casos tinham pelo menos uma pinta histologicamente atípica (displásica)</w:t>
      </w:r>
      <w:r>
        <w:rPr>
          <w:rStyle w:val="FootnoteReference"/>
        </w:rPr>
        <w:footnoteReference w:id="2644"/>
      </w:r>
      <w:r>
        <w:t xml:space="preserve">. Se disso decorre um risco maior de melanoma é tratado no próximo capítulo.</w:t>
      </w:r>
    </w:p>
    <w:p>
      <w:pPr>
        <w:pStyle w:val="BodyText"/>
      </w:pPr>
      <w:r>
        <w:t xml:space="preserve">Nos medicamentos de GLP-1, outros achados cutâneos estão em primeiro plano. Uma revisão sistemática cita reações no local da injeção com mais frequência com tirzepatida (2 a 7%) e sensações anormais na pele (disestesia) sobretudo com semaglutida: com doses padrão em cerca de 5%, com as altas doses para obesidade em até 20%</w:t>
      </w:r>
      <w:r>
        <w:rPr>
          <w:rStyle w:val="FootnoteReference"/>
        </w:rPr>
        <w:footnoteReference w:id="2645"/>
      </w:r>
      <w:r>
        <w:t xml:space="preserve">. Com retatrutida, no TRIUMPH-2, a disestesia ocorreu de forma dependente da dose em 4 a 7%, com placebo em 1%</w:t>
      </w:r>
      <w:r>
        <w:rPr>
          <w:rStyle w:val="FootnoteReference"/>
        </w:rPr>
        <w:footnoteReference w:id="2646"/>
      </w:r>
      <w:r>
        <w:t xml:space="preserve">. Reações no local da injeção e alergias são resumidas no capítulo</w:t>
      </w:r>
      <w:r>
        <w:t xml:space="preserve"> </w:t>
      </w:r>
      <w:r>
        <w:t xml:space="preserve">“</w:t>
      </w:r>
      <w:r>
        <w:t xml:space="preserve">Reações imunológicas e anticorpos</w:t>
      </w:r>
      <w:r>
        <w:t xml:space="preserve">”</w:t>
      </w:r>
      <w:r>
        <w:t xml:space="preserve">.</w:t>
      </w:r>
    </w:p>
    <w:p>
      <w:pPr>
        <w:pStyle w:val="BodyText"/>
      </w:pPr>
      <w:r>
        <w:t xml:space="preserve">Um caso especial é o LL-37: após injeções em metástases cutâneas, surgiram em uma paciente numerosas lesões de pele semelhantes a verrugas, inicialmente tomadas por câncer, que regrediram após a suspensão</w:t>
      </w:r>
      <w:r>
        <w:rPr>
          <w:rStyle w:val="FootnoteReference"/>
        </w:rPr>
        <w:footnoteReference w:id="2647"/>
      </w:r>
      <w:r>
        <w:t xml:space="preserve">. Sobre injeções de glutationa para clareamento da pele, autoridades emitiram alertas várias vezes (capítulo Glutationa).</w:t>
      </w:r>
    </w:p>
    <w:bookmarkEnd w:id="2648"/>
    <w:bookmarkStart w:id="2652" w:name="sistema-hormonal"/>
    <w:p>
      <w:pPr>
        <w:pStyle w:val="Heading3"/>
      </w:pPr>
      <w:r>
        <w:t xml:space="preserve">Sistema hormonal</w:t>
      </w:r>
    </w:p>
    <w:p>
      <w:pPr>
        <w:pStyle w:val="FirstParagraph"/>
      </w:pPr>
      <w:r>
        <w:t xml:space="preserve">Muitos peptídeos são eles próprios hormônios ou imitam hormônios. Não surpreende, portanto, que interfiram em circuitos de regulação que vão além do alvo propriamente dito.</w:t>
      </w:r>
    </w:p>
    <w:p>
      <w:pPr>
        <w:numPr>
          <w:ilvl w:val="0"/>
          <w:numId w:val="1338"/>
        </w:numPr>
        <w:pStyle w:val="Compact"/>
      </w:pPr>
      <w:r>
        <w:rPr>
          <w:bCs/>
          <w:b/>
        </w:rPr>
        <w:t xml:space="preserve">Hormônios do estresse e prolactina:</w:t>
      </w:r>
      <w:r>
        <w:t xml:space="preserve"> </w:t>
      </w:r>
      <w:r>
        <w:t xml:space="preserve">os miméticos da grelina GHRP-2, GHRP-6, hexarelina e macimorelina liberam, além do hormônio do crescimento, também ACTH e cortisol, e alguns adicionalmente prolactina. No GHRP-2, esse efeito é tão confiável que foi estudado como teste do eixo adrenal</w:t>
      </w:r>
      <w:r>
        <w:rPr>
          <w:rStyle w:val="FootnoteReference"/>
        </w:rPr>
        <w:footnoteReference w:id="2649"/>
      </w:r>
      <w:r>
        <w:t xml:space="preserve">. O que uma estimulação repetida ao longo de meses provoca não foi investigado (capítulos GHRP-2, GHRP-6, Hexarelina).</w:t>
      </w:r>
    </w:p>
    <w:p>
      <w:pPr>
        <w:numPr>
          <w:ilvl w:val="0"/>
          <w:numId w:val="1338"/>
        </w:numPr>
        <w:pStyle w:val="Compact"/>
      </w:pPr>
      <w:r>
        <w:rPr>
          <w:bCs/>
          <w:b/>
        </w:rPr>
        <w:t xml:space="preserve">Supressão em vez de estimulação:</w:t>
      </w:r>
      <w:r>
        <w:t xml:space="preserve"> </w:t>
      </w:r>
      <w:r>
        <w:t xml:space="preserve">hormônios que o corpo secreta em pulsos frequentemente têm efeito oposto quando administrados continuamente. Com o análogo de kisspeptina TAK-448, a testosterona de homens saudáveis caiu até a faixa de castração durante uma infusão contínua de 14 dias</w:t>
      </w:r>
      <w:r>
        <w:rPr>
          <w:rStyle w:val="FootnoteReference"/>
        </w:rPr>
        <w:footnoteReference w:id="2650"/>
      </w:r>
      <w:r>
        <w:t xml:space="preserve">. O mesmo princípio vale para a gonadorelina quando não é administrada no ritmo certo (capítulos Kisspeptina, Gonadorelina).</w:t>
      </w:r>
    </w:p>
    <w:p>
      <w:pPr>
        <w:numPr>
          <w:ilvl w:val="0"/>
          <w:numId w:val="1338"/>
        </w:numPr>
        <w:pStyle w:val="Compact"/>
      </w:pPr>
      <w:r>
        <w:rPr>
          <w:bCs/>
          <w:b/>
        </w:rPr>
        <w:t xml:space="preserve">Aumento das mamas em homens</w:t>
      </w:r>
      <w:r>
        <w:t xml:space="preserve"> </w:t>
      </w:r>
      <w:r>
        <w:t xml:space="preserve">é uma consequência conhecida de um efeito aumentado do hormônio do crescimento</w:t>
      </w:r>
      <w:r>
        <w:rPr>
          <w:rStyle w:val="FootnoteReference"/>
        </w:rPr>
        <w:footnoteReference w:id="2651"/>
      </w:r>
      <w:r>
        <w:t xml:space="preserve">.</w:t>
      </w:r>
    </w:p>
    <w:p>
      <w:pPr>
        <w:numPr>
          <w:ilvl w:val="0"/>
          <w:numId w:val="1338"/>
        </w:numPr>
        <w:pStyle w:val="Compact"/>
      </w:pPr>
      <w:r>
        <w:rPr>
          <w:bCs/>
          <w:b/>
        </w:rPr>
        <w:t xml:space="preserve">Função sexual:</w:t>
      </w:r>
      <w:r>
        <w:t xml:space="preserve"> </w:t>
      </w:r>
      <w:r>
        <w:t xml:space="preserve">agonistas de melanocortina podem provocar ereções espontâneas; com Melanotan II estão descritos casos de priapismo, uma ereção prolongada e dolorosa (capítulos Melanotan II, Setmelanotida).</w:t>
      </w:r>
    </w:p>
    <w:bookmarkEnd w:id="2652"/>
    <w:bookmarkStart w:id="2658" w:name="glicemia"/>
    <w:p>
      <w:pPr>
        <w:pStyle w:val="Heading3"/>
      </w:pPr>
      <w:r>
        <w:t xml:space="preserve">Glicemia</w:t>
      </w:r>
    </w:p>
    <w:p>
      <w:pPr>
        <w:pStyle w:val="FirstParagraph"/>
      </w:pPr>
      <w:r>
        <w:t xml:space="preserve">Peptídeos podem deslocar a glicemia nas duas direções – e ambas as direções são relevantes.</w:t>
      </w:r>
    </w:p>
    <w:p>
      <w:pPr>
        <w:pStyle w:val="BodyText"/>
      </w:pPr>
      <w:r>
        <w:rPr>
          <w:bCs/>
          <w:b/>
        </w:rPr>
        <w:t xml:space="preserve">Hipoglicemia.</w:t>
      </w:r>
      <w:r>
        <w:t xml:space="preserve"> </w:t>
      </w:r>
      <w:r>
        <w:t xml:space="preserve">O maior risco é o da mecasermina, ou seja, IGF-1 como medicamento: em um estudo de longo prazo com 76 crianças, a hipoglicemia foi, com 49%, o efeito colateral mais frequente</w:t>
      </w:r>
      <w:r>
        <w:rPr>
          <w:rStyle w:val="FootnoteReference"/>
        </w:rPr>
        <w:footnoteReference w:id="2653"/>
      </w:r>
      <w:r>
        <w:t xml:space="preserve">. Para o preparado de laboratório IGF-1 LR3, um risco semelhante ou maior é biologicamente plausível, mas nunca foi medido (capítulo IGF-1 LR3). A pranlintida intensifica o efeito da insulina injetada ao mesmo tempo; hipoglicemias graves foram mais frequentes do que com placebo em um estudo (0,57 contra 0,30 evento por paciente-ano)</w:t>
      </w:r>
      <w:r>
        <w:rPr>
          <w:rStyle w:val="FootnoteReference"/>
        </w:rPr>
        <w:footnoteReference w:id="2654"/>
      </w:r>
      <w:r>
        <w:t xml:space="preserve">. Medicamentos de GLP-1 isoladamente quase não baixam a glicemia até a faixa perigosa, porque seu efeito está acoplado à glicemia. Em combinação com sulfonilureias ou insulina, porém, o risco aumenta: com exenatida em associação a metformina e uma sulfonilureia, ocorreram hipoglicemias leves a moderadas em 28% e 19%, respectivamente, com placebo em 13%</w:t>
      </w:r>
      <w:r>
        <w:rPr>
          <w:rStyle w:val="FootnoteReference"/>
        </w:rPr>
        <w:footnoteReference w:id="2655"/>
      </w:r>
      <w:r>
        <w:t xml:space="preserve">. Mais sobre isso no capítulo</w:t>
      </w:r>
      <w:r>
        <w:t xml:space="preserve"> </w:t>
      </w:r>
      <w:r>
        <w:t xml:space="preserve">“</w:t>
      </w:r>
      <w:r>
        <w:t xml:space="preserve">Interações e grupos de risco especiais</w:t>
      </w:r>
      <w:r>
        <w:t xml:space="preserve">”</w:t>
      </w:r>
      <w:r>
        <w:t xml:space="preserve">.</w:t>
      </w:r>
    </w:p>
    <w:p>
      <w:pPr>
        <w:pStyle w:val="BodyText"/>
      </w:pPr>
      <w:r>
        <w:t xml:space="preserve">Uma hipoglicemia grave após uma suposta</w:t>
      </w:r>
      <w:r>
        <w:t xml:space="preserve"> </w:t>
      </w:r>
      <w:r>
        <w:t xml:space="preserve">“</w:t>
      </w:r>
      <w:r>
        <w:t xml:space="preserve">injeção para emagrecer</w:t>
      </w:r>
      <w:r>
        <w:t xml:space="preserve">”</w:t>
      </w:r>
      <w:r>
        <w:t xml:space="preserve"> </w:t>
      </w:r>
      <w:r>
        <w:t xml:space="preserve">em uma pessoa sem diabetes é um sinal de alerta de falsificação com insulina. Os casos estão descritos na Parte I, no capítulo</w:t>
      </w:r>
      <w:r>
        <w:t xml:space="preserve"> </w:t>
      </w:r>
      <w:r>
        <w:t xml:space="preserve">“</w:t>
      </w:r>
      <w:r>
        <w:t xml:space="preserve">O mercado cinza</w:t>
      </w:r>
      <w:r>
        <w:t xml:space="preserve">”</w:t>
      </w:r>
      <w:r>
        <w:t xml:space="preserve">.</w:t>
      </w:r>
    </w:p>
    <w:p>
      <w:pPr>
        <w:pStyle w:val="BodyText"/>
      </w:pPr>
      <w:r>
        <w:rPr>
          <w:bCs/>
          <w:b/>
        </w:rPr>
        <w:t xml:space="preserve">Glicemia mais alta.</w:t>
      </w:r>
      <w:r>
        <w:t xml:space="preserve"> </w:t>
      </w:r>
      <w:r>
        <w:t xml:space="preserve">O hormônio do crescimento age em oposição à insulina. Com ibutamoreno, a glicemia de jejum de idosos saudáveis aumentou em média 0,3 mmol/l, e o peso corporal 2,7 kg contra 0,8 kg com placebo</w:t>
      </w:r>
      <w:r>
        <w:rPr>
          <w:rStyle w:val="FootnoteReference"/>
        </w:rPr>
        <w:footnoteReference w:id="2656"/>
      </w:r>
      <w:r>
        <w:t xml:space="preserve">. Na revisão sobre hormônio do crescimento em idosos, ocorreram um pouco mais frequentemente um diabetes novo e uma glicemia de jejum alterada</w:t>
      </w:r>
      <w:r>
        <w:rPr>
          <w:rStyle w:val="FootnoteReference"/>
        </w:rPr>
        <w:footnoteReference w:id="2657"/>
      </w:r>
      <w:r>
        <w:t xml:space="preserve">. Com tesamorelina, a glicemia de jejum aumentou temporariamente nas primeiras semanas (capítulo Tesamorelina). Para pessoas com diabetes ou pré-diabetes, o eixo do hormônio do crescimento é, por isso, particularmente delicado.</w:t>
      </w:r>
    </w:p>
    <w:bookmarkEnd w:id="2658"/>
    <w:bookmarkStart w:id="2659" w:name="o-que-resulta-da-comparação"/>
    <w:p>
      <w:pPr>
        <w:pStyle w:val="Heading3"/>
      </w:pPr>
      <w:r>
        <w:t xml:space="preserve">O que resulta da comparação</w:t>
      </w:r>
    </w:p>
    <w:p>
      <w:pPr>
        <w:pStyle w:val="FirstParagraph"/>
      </w:pPr>
      <w:r>
        <w:t xml:space="preserve">Em todos os sistemas de órgãos, aparecem três padrões.</w:t>
      </w:r>
    </w:p>
    <w:p>
      <w:pPr>
        <w:pStyle w:val="BodyText"/>
      </w:pPr>
      <w:r>
        <w:t xml:space="preserve">Primeiro: os peptídeos mais bem estudados – os medicamentos de GLP-1 aprovados – têm os efeitos colaterais mais bem conhecidos. Isso não se deve a eles serem particularmente perigosos, mas ao fato de centenas de milhares de pessoas terem sido observadas em estudos e registros. Queixas frequentes afetam o trato gastrointestinal e costumam ser passageiras; riscos mais sérios, como cálculos biliares, estão comprovados, mas são raros em números absolutos; sinais como a NAION são muito raros e continuam sendo investigados.</w:t>
      </w:r>
    </w:p>
    <w:p>
      <w:pPr>
        <w:pStyle w:val="BodyText"/>
      </w:pPr>
      <w:r>
        <w:t xml:space="preserve">Segundo: os peptídeos do eixo do hormônio do crescimento compartilham um perfil comum de retenção hídrica, glicemia mais alta e aumento dos hormônios do estresse. Para um uso ao longo de meses ou anos em pessoas saudáveis, praticamente não há dados.</w:t>
      </w:r>
    </w:p>
    <w:p>
      <w:pPr>
        <w:pStyle w:val="BodyText"/>
      </w:pPr>
      <w:r>
        <w:t xml:space="preserve">Terceiro: para a maioria dos peptídeos dos grupos B e D, os riscos para os órgãos nem podem ser descritos, porque ninguém os procurou sistematicamente. Ali, o maior risco prático não está na substância, mas no produto – mais sobre isso no capítulo</w:t>
      </w:r>
      <w:r>
        <w:t xml:space="preserve"> </w:t>
      </w:r>
      <w:r>
        <w:t xml:space="preserve">“</w:t>
      </w:r>
      <w:r>
        <w:t xml:space="preserve">Produtos do mercado cinza</w:t>
      </w:r>
      <w:r>
        <w:t xml:space="preserve">”</w:t>
      </w:r>
      <w:r>
        <w:t xml:space="preserve">.</w:t>
      </w:r>
    </w:p>
    <w:bookmarkEnd w:id="2659"/>
    <w:bookmarkEnd w:id="2660"/>
    <w:bookmarkStart w:id="2701" w:name="risco-de-câncer-e-sinais-de-crescimento"/>
    <w:p>
      <w:pPr>
        <w:pStyle w:val="Heading2"/>
      </w:pPr>
      <w:r>
        <w:t xml:space="preserve">Risco de câncer e sinais de crescimento</w:t>
      </w:r>
    </w:p>
    <w:p>
      <w:pPr>
        <w:pStyle w:val="FirstParagraph"/>
      </w:pPr>
      <w:r>
        <w:t xml:space="preserve">Muitos peptídeos são promovidos justamente porque supostamente estimulam o crescimento: de músculos, tendões, vasos sanguíneos, células nervosas ou cabelos. Mas o crescimento não é seletivo. As vias de sinalização pelas quais os tecidos cicatrizam e se renovam também são usadas por células cancerosas. Por isso, em quase todo peptídeo de</w:t>
      </w:r>
      <w:r>
        <w:t xml:space="preserve"> </w:t>
      </w:r>
      <w:r>
        <w:t xml:space="preserve">“</w:t>
      </w:r>
      <w:r>
        <w:t xml:space="preserve">cicatrização</w:t>
      </w:r>
      <w:r>
        <w:t xml:space="preserve">”</w:t>
      </w:r>
      <w:r>
        <w:t xml:space="preserve">,</w:t>
      </w:r>
      <w:r>
        <w:t xml:space="preserve"> </w:t>
      </w:r>
      <w:r>
        <w:t xml:space="preserve">“</w:t>
      </w:r>
      <w:r>
        <w:t xml:space="preserve">antienvelhecimento</w:t>
      </w:r>
      <w:r>
        <w:t xml:space="preserve">”</w:t>
      </w:r>
      <w:r>
        <w:t xml:space="preserve"> </w:t>
      </w:r>
      <w:r>
        <w:t xml:space="preserve">ou de hormônio do crescimento, surge a mesma pergunta: ele pode favorecer o câncer?</w:t>
      </w:r>
    </w:p>
    <w:p>
      <w:pPr>
        <w:pStyle w:val="BodyText"/>
      </w:pPr>
      <w:r>
        <w:t xml:space="preserve">Este capítulo resume o que se sabe a respeito – separado pelos quatro mecanismos que aparecem repetidamente na Parte II: o eixo hormônio do crescimento–IGF-1, a formação de novos vasos sanguíneos, a estimulação das células pigmentares e o efeito dos medicamentos de GLP-1 sobre a tireoide e o pâncreas. No final, há uma visão geral das análises grandes mais recentes sobre medicamentos de GLP-1 e câncer.</w:t>
      </w:r>
    </w:p>
    <w:bookmarkStart w:id="2662" w:name="como-avaliar-a-questão-do-câncer"/>
    <w:p>
      <w:pPr>
        <w:pStyle w:val="Heading3"/>
      </w:pPr>
      <w:r>
        <w:t xml:space="preserve">Como avaliar a questão do câncer</w:t>
      </w:r>
    </w:p>
    <w:p>
      <w:pPr>
        <w:pStyle w:val="FirstParagraph"/>
      </w:pPr>
      <w:r>
        <w:t xml:space="preserve">Quatro pontos ajudam a ler os dados a seguir.</w:t>
      </w:r>
    </w:p>
    <w:p>
      <w:pPr>
        <w:pStyle w:val="BodyText"/>
      </w:pPr>
      <w:r>
        <w:rPr>
          <w:bCs/>
          <w:b/>
        </w:rPr>
        <w:t xml:space="preserve">Desencadear ou favorecer.</w:t>
      </w:r>
      <w:r>
        <w:t xml:space="preserve"> </w:t>
      </w:r>
      <w:r>
        <w:t xml:space="preserve">Uma substância pode desencadear câncer ao danificar o material genético. Mais discutida nos peptídeos, porém, é outra possibilidade: um sinal de crescimento poderia fazer um tumor já existente, ainda não descoberto, crescer mais rápido – assim como o adubo faz crescer uma planta que já está na terra. Para essa segunda possibilidade, basta que a substância estimule a divisão celular, a sobrevivência celular ou a formação de novos vasos.</w:t>
      </w:r>
    </w:p>
    <w:p>
      <w:pPr>
        <w:pStyle w:val="BodyText"/>
      </w:pPr>
      <w:r>
        <w:rPr>
          <w:bCs/>
          <w:b/>
        </w:rPr>
        <w:t xml:space="preserve">Tempo.</w:t>
      </w:r>
      <w:r>
        <w:t xml:space="preserve"> </w:t>
      </w:r>
      <w:r>
        <w:t xml:space="preserve">O câncer se desenvolve ao longo de anos a décadas. A maioria dos estudos com peptídeos dura de semanas a poucos anos. Mesmo grandes estudos de aprovação dificilmente conseguem captar um risco que surge lentamente. Para isso são necessários registros e estudos observacionais ao longo de períodos longos – que, por sua vez, são suscetíveis a vieses.</w:t>
      </w:r>
    </w:p>
    <w:p>
      <w:pPr>
        <w:pStyle w:val="BodyText"/>
      </w:pPr>
      <w:r>
        <w:rPr>
          <w:bCs/>
          <w:b/>
        </w:rPr>
        <w:t xml:space="preserve">Viés diagnóstico.</w:t>
      </w:r>
      <w:r>
        <w:t xml:space="preserve"> </w:t>
      </w:r>
      <w:r>
        <w:t xml:space="preserve">Quem é examinado com mais frequência por causa de um medicamento também tem tumores encontrados com mais frequência. Um exemplo: uma metanálise encontrou, em estudos de GLP-1 mais curtos, um pouco mais de diagnósticos de câncer colorretal e supôs como explicação que as queixas gastrointestinais levaram a mais colonoscopias</w:t>
      </w:r>
      <w:r>
        <w:rPr>
          <w:rStyle w:val="FootnoteReference"/>
        </w:rPr>
        <w:footnoteReference w:id="2661"/>
      </w:r>
      <w:r>
        <w:t xml:space="preserve">.</w:t>
      </w:r>
    </w:p>
    <w:p>
      <w:pPr>
        <w:pStyle w:val="BodyText"/>
      </w:pPr>
      <w:r>
        <w:rPr>
          <w:bCs/>
          <w:b/>
        </w:rPr>
        <w:t xml:space="preserve">A direção oposta.</w:t>
      </w:r>
      <w:r>
        <w:t xml:space="preserve"> </w:t>
      </w:r>
      <w:r>
        <w:t xml:space="preserve">O excesso de peso aumenta o risco de pelo menos 13 tipos de câncer. Um medicamento que reduz muito o peso poderia, por isso, diminuir o risco de câncer no geral, mesmo que haja um pequeno sinal em um órgão isolado. As duas coisas só podem ser consideradas separadamente.</w:t>
      </w:r>
    </w:p>
    <w:bookmarkEnd w:id="2662"/>
    <w:bookmarkStart w:id="2672" w:name="hormônio-do-crescimento-e-igf-1"/>
    <w:p>
      <w:pPr>
        <w:pStyle w:val="Heading3"/>
      </w:pPr>
      <w:r>
        <w:t xml:space="preserve">Hormônio do crescimento e IGF-1</w:t>
      </w:r>
    </w:p>
    <w:p>
      <w:pPr>
        <w:pStyle w:val="FirstParagraph"/>
      </w:pPr>
      <w:r>
        <w:t xml:space="preserve">O hormônio do crescimento age em grande parte por meio do IGF-1, o fator de crescimento semelhante à insulina tipo 1. O IGF-1 estimula as células a se dividirem e as protege da morte celular programada. Todos os peptídeos do grupo C – sermorelina, tesamorelina, CJC-1295, ipamorelina, a família GHRP, mecasermina e IGF-1 LR3 – bem como o ibutamoreno, discutido para comparação, aumentam o IGF-1 direta ou indiretamente. As evidências sobre a questão do câncer vêm de cinco fontes.</w:t>
      </w:r>
    </w:p>
    <w:p>
      <w:pPr>
        <w:pStyle w:val="BodyText"/>
      </w:pPr>
      <w:r>
        <w:rPr>
          <w:bCs/>
          <w:b/>
        </w:rPr>
        <w:t xml:space="preserve">Níveis de IGF-1 naturalmente mais altos.</w:t>
      </w:r>
      <w:r>
        <w:t xml:space="preserve"> </w:t>
      </w:r>
      <w:r>
        <w:t xml:space="preserve">Uma metanálise de 21 estudos encontrou, em pessoas com valores altos de IGF-1, um risco maior de câncer de próstata (odds ratio 1,49 na comparação de um valor de IGF-1 no percentil 75 com um no percentil 25) e de câncer de mama antes da menopausa (1,65); os autores chamaram as associações expressamente de</w:t>
      </w:r>
      <w:r>
        <w:t xml:space="preserve"> </w:t>
      </w:r>
      <w:r>
        <w:t xml:space="preserve">“</w:t>
      </w:r>
      <w:r>
        <w:t xml:space="preserve">moderadas</w:t>
      </w:r>
      <w:r>
        <w:t xml:space="preserve">”</w:t>
      </w:r>
      <w:r>
        <w:rPr>
          <w:rStyle w:val="FootnoteReference"/>
        </w:rPr>
        <w:footnoteReference w:id="2663"/>
      </w:r>
      <w:r>
        <w:t xml:space="preserve">. No UK Biobank, com 206.263 mulheres, o risco de câncer de mama aumentou 11% a cada 5 nmol/l a mais de IGF-1</w:t>
      </w:r>
      <w:r>
        <w:rPr>
          <w:rStyle w:val="FootnoteReference"/>
        </w:rPr>
        <w:footnoteReference w:id="2664"/>
      </w:r>
      <w:r>
        <w:t xml:space="preserve">; para o câncer colorretal, o mesmo grupo encontrou uma associação semelhante em quase 400.000 participantes</w:t>
      </w:r>
      <w:r>
        <w:rPr>
          <w:rStyle w:val="FootnoteReference"/>
        </w:rPr>
        <w:footnoteReference w:id="2665"/>
      </w:r>
      <w:r>
        <w:t xml:space="preserve">.</w:t>
      </w:r>
    </w:p>
    <w:p>
      <w:pPr>
        <w:pStyle w:val="BodyText"/>
      </w:pPr>
      <w:r>
        <w:rPr>
          <w:bCs/>
          <w:b/>
        </w:rPr>
        <w:t xml:space="preserve">Análises genéticas.</w:t>
      </w:r>
      <w:r>
        <w:t xml:space="preserve"> </w:t>
      </w:r>
      <w:r>
        <w:t xml:space="preserve">A chamada randomização mendeliana usa variantes genéticas que elevam levemente o nível de IGF-1 ao longo da vida como experimento natural. Também aqui um IGF-1 geneticamente mais alto esteve associado a um pouco mais de câncer de mama (odds ratio 1,05 por 5 nmol/l)</w:t>
      </w:r>
      <w:r>
        <w:rPr>
          <w:rStyle w:val="FootnoteReference"/>
        </w:rPr>
        <w:footnoteReference w:id="2666"/>
      </w:r>
      <w:r>
        <w:t xml:space="preserve">. Isso indica que a associação não se baseia apenas em circunstâncias concomitantes.</w:t>
      </w:r>
    </w:p>
    <w:p>
      <w:pPr>
        <w:pStyle w:val="BodyText"/>
      </w:pPr>
      <w:r>
        <w:rPr>
          <w:bCs/>
          <w:b/>
        </w:rPr>
        <w:t xml:space="preserve">Excesso de hormônio do crescimento por doença.</w:t>
      </w:r>
      <w:r>
        <w:t xml:space="preserve"> </w:t>
      </w:r>
      <w:r>
        <w:t xml:space="preserve">Na acromegalia, uma superprodução de hormônio do crescimento por um tumor da hipófise, uma metanálise de 23 estudos resultou em uma taxa de câncer cerca de metade maior (razão padronizada 1,5), com valores particularmente altos para câncer colorretal e de tireoide. Estudos menores e mais antigos, no entanto, mostraram valores mais altos do que os grandes, o que indica viés de seleção</w:t>
      </w:r>
      <w:r>
        <w:rPr>
          <w:rStyle w:val="FootnoteReference"/>
        </w:rPr>
        <w:footnoteReference w:id="2667"/>
      </w:r>
      <w:r>
        <w:t xml:space="preserve">.</w:t>
      </w:r>
    </w:p>
    <w:p>
      <w:pPr>
        <w:pStyle w:val="BodyText"/>
      </w:pPr>
      <w:r>
        <w:rPr>
          <w:bCs/>
          <w:b/>
        </w:rPr>
        <w:t xml:space="preserve">Falta de IGF-1 por doença.</w:t>
      </w:r>
      <w:r>
        <w:t xml:space="preserve"> </w:t>
      </w:r>
      <w:r>
        <w:t xml:space="preserve">Em pessoas com síndrome de Laron, que por um defeito genético quase não produzem IGF-1, ocorreu no Equador, ao longo de 22 anos de observação, apenas um único câncer, não fatal; entre parentes não afetados, a proporção foi de 17%</w:t>
      </w:r>
      <w:r>
        <w:rPr>
          <w:rStyle w:val="FootnoteReference"/>
        </w:rPr>
        <w:footnoteReference w:id="2668"/>
      </w:r>
      <w:r>
        <w:t xml:space="preserve">.</w:t>
      </w:r>
    </w:p>
    <w:p>
      <w:pPr>
        <w:pStyle w:val="BodyText"/>
      </w:pPr>
      <w:r>
        <w:rPr>
          <w:bCs/>
          <w:b/>
        </w:rPr>
        <w:t xml:space="preserve">Hormônio do crescimento como medicamento.</w:t>
      </w:r>
      <w:r>
        <w:t xml:space="preserve"> </w:t>
      </w:r>
      <w:r>
        <w:t xml:space="preserve">Em 23.984 crianças tratadas com hormônio do crescimento em oito países europeus, não se encontrou, sem doença prévia grave, um risco de câncer claramente aumentado. Chamaram a atenção alguns tipos de câncer isolados (ossos, bexiga) e um aumento da mortalidade por câncer com dose diária mais alta em crianças que já haviam tido câncer antes</w:t>
      </w:r>
      <w:r>
        <w:rPr>
          <w:rStyle w:val="FootnoteReference"/>
        </w:rPr>
        <w:footnoteReference w:id="2669"/>
      </w:r>
      <w:r>
        <w:t xml:space="preserve">. Em 8.418 adultos tratados com hipopituitarismo, o risco de câncer não estava aumentado; a taxa de câncer ficou até abaixo da média da população</w:t>
      </w:r>
      <w:r>
        <w:rPr>
          <w:rStyle w:val="FootnoteReference"/>
        </w:rPr>
        <w:footnoteReference w:id="2670"/>
      </w:r>
      <w:r>
        <w:t xml:space="preserve">.</w:t>
      </w:r>
    </w:p>
    <w:p>
      <w:pPr>
        <w:pStyle w:val="BodyText"/>
      </w:pPr>
      <w:r>
        <w:t xml:space="preserve">O que resulta disso? Quem tem uma deficiência real e recebe a reposição de um hormônio ausente não tem, segundo o conhecimento atual, um risco de câncer claramente aumentado. Quem, por outro lado, eleva um nível normal por anos se desloca para a faixa em que os estudos observacionais e genéticos mostram um risco moderadamente maior. Para exatamente essa situação – adultos saudáveis que usam liberadores para melhorar o desempenho ou para</w:t>
      </w:r>
      <w:r>
        <w:t xml:space="preserve"> </w:t>
      </w:r>
      <w:r>
        <w:t xml:space="preserve">“</w:t>
      </w:r>
      <w:r>
        <w:t xml:space="preserve">rejuvenescer</w:t>
      </w:r>
      <w:r>
        <w:t xml:space="preserve">”</w:t>
      </w:r>
      <w:r>
        <w:t xml:space="preserve"> </w:t>
      </w:r>
      <w:r>
        <w:t xml:space="preserve">– não há estudos de longo prazo. O ibutamoreno, por exemplo, elevou o IGF-1 em idosos saudáveis ao nível de adultos jovens</w:t>
      </w:r>
      <w:r>
        <w:rPr>
          <w:rStyle w:val="FootnoteReference"/>
        </w:rPr>
        <w:footnoteReference w:id="2671"/>
      </w:r>
      <w:r>
        <w:t xml:space="preserve">; nenhum sinal de câncer foi relatado, mas para isso o estudo não era nem grande nem longo o suficiente.</w:t>
      </w:r>
    </w:p>
    <w:p>
      <w:pPr>
        <w:pStyle w:val="BodyText"/>
      </w:pPr>
      <w:r>
        <w:t xml:space="preserve">Dois casos especiais merecem menção. Com a mecasermina aprovada, foram notificadas após a comercialização neoplasias benignas e malignas em crianças tratadas; as bulas profissionais contêm advertências correspondentes, e ela não deve ser usada em caso de câncer ativo (situação em 2026, verificar atualização; capítulo Mecasermina). O preparado de laboratório IGF-1 LR3 foi modificado de forma a não se ligar mais às proteínas de ligação do sangue que normalmente tamponam o IGF-1. Por isso, age de forma mais forte e mais prolongada no receptor – teoricamente exatamente na direção desfavorável. Isso nunca foi estudado em humanos (capítulo IGF-1 LR3).</w:t>
      </w:r>
    </w:p>
    <w:bookmarkEnd w:id="2672"/>
    <w:bookmarkStart w:id="2682" w:name="X47dffd94016a5e11308a1063793f3c1ae76962a"/>
    <w:p>
      <w:pPr>
        <w:pStyle w:val="Heading3"/>
      </w:pPr>
      <w:r>
        <w:t xml:space="preserve">Formação de novos vasos e outros sinais de crescimento</w:t>
      </w:r>
    </w:p>
    <w:p>
      <w:pPr>
        <w:pStyle w:val="FirstParagraph"/>
      </w:pPr>
      <w:r>
        <w:t xml:space="preserve">Um tumor que queira crescer além de poucos milímetros precisa de vasos sanguíneos próprios. Esse processo é chamado de angiogênese. Alguns medicamentos oncológicos aprovados agem justamente bloqueando a principal via de sinalização da formação de novos vasos, o sistema VEGF. Inversamente, substâncias que favorecem a formação de novos vasos estão sob suspeita de favorecer tumores.</w:t>
      </w:r>
    </w:p>
    <w:p>
      <w:pPr>
        <w:pStyle w:val="BodyText"/>
      </w:pPr>
      <w:r>
        <w:rPr>
          <w:bCs/>
          <w:b/>
        </w:rPr>
        <w:t xml:space="preserve">BPC-157.</w:t>
      </w:r>
      <w:r>
        <w:t xml:space="preserve"> </w:t>
      </w:r>
      <w:r>
        <w:t xml:space="preserve">Em experimentos de laboratório, o BPC-157 aumentou a densidade vascular em membranas de ovo de galinha, acelerou em ratos a circulação de uma perna com irrigação deficiente e aumentou, em células vasculares humanas, a quantidade do receptor 2 de VEGF</w:t>
      </w:r>
      <w:r>
        <w:rPr>
          <w:rStyle w:val="FootnoteReference"/>
        </w:rPr>
        <w:footnoteReference w:id="2673"/>
      </w:r>
      <w:r>
        <w:t xml:space="preserve">. O grupo de trabalho de Zagreb, do qual vem a maioria dos estudos com BPC-157, contesta: o BPC-157 regularia a formação de vasos em vez de impulsioná-la cegamente e teria mostrado até efeitos antitumorais em experimentos com animais e células</w:t>
      </w:r>
      <w:r>
        <w:rPr>
          <w:rStyle w:val="FootnoteReference"/>
        </w:rPr>
        <w:footnoteReference w:id="2674"/>
      </w:r>
      <w:r>
        <w:t xml:space="preserve">. Estudos de longo prazo sobre carcinogênese, como os exigidos para medicamentos, não foram publicados para o BPC-157. A questão está em aberto. Ver capítulo BPC-157.</w:t>
      </w:r>
    </w:p>
    <w:p>
      <w:pPr>
        <w:pStyle w:val="BodyText"/>
      </w:pPr>
      <w:r>
        <w:rPr>
          <w:bCs/>
          <w:b/>
        </w:rPr>
        <w:t xml:space="preserve">TB-500 e timosina beta-4.</w:t>
      </w:r>
      <w:r>
        <w:t xml:space="preserve"> </w:t>
      </w:r>
      <w:r>
        <w:t xml:space="preserve">A timosina beta-4 favorece a migração celular e a formação de novos vasos. Em amostras de tecido de 138 pessoas com câncer de bexiga, uma forte produção de timosina beta-4 esteve associada a estágio avançado, comprometimento de linfonodos e sobrevida mais curta</w:t>
      </w:r>
      <w:r>
        <w:rPr>
          <w:rStyle w:val="FootnoteReference"/>
        </w:rPr>
        <w:footnoteReference w:id="2675"/>
      </w:r>
      <w:r>
        <w:t xml:space="preserve">. Em culturas de células de câncer de mama, a timosina beta-4 adicionada aumentou o número de células</w:t>
      </w:r>
      <w:r>
        <w:rPr>
          <w:rStyle w:val="FootnoteReference"/>
        </w:rPr>
        <w:footnoteReference w:id="2676"/>
      </w:r>
      <w:r>
        <w:t xml:space="preserve">. Isso não prova que o TB-500 administrado externamente favoreça o câncer, mas é um motivo de cautela em pessoas com câncer ou alto risco de câncer. Ver capítulo TB-500.</w:t>
      </w:r>
    </w:p>
    <w:p>
      <w:pPr>
        <w:pStyle w:val="BodyText"/>
      </w:pPr>
      <w:r>
        <w:rPr>
          <w:bCs/>
          <w:b/>
        </w:rPr>
        <w:t xml:space="preserve">Outros peptídeos com sinais de crescimento.</w:t>
      </w:r>
      <w:r>
        <w:t xml:space="preserve"> </w:t>
      </w:r>
      <w:r>
        <w:t xml:space="preserve">Em vários peptídeos da Parte II surgem questões semelhantes a partir do mecanismo de ação ou de dados laboratoriais: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Mecanismo</w:t>
            </w:r>
          </w:p>
        </w:tc>
        <w:tc>
          <w:tcPr/>
          <w:p>
            <w:pPr>
              <w:pStyle w:val="Compact"/>
              <w:jc w:val="left"/>
            </w:pPr>
            <w:r>
              <w:t xml:space="preserve">Tipo de indício</w:t>
            </w:r>
          </w:p>
        </w:tc>
        <w:tc>
          <w:tcPr/>
          <w:p>
            <w:pPr>
              <w:pStyle w:val="Compact"/>
              <w:jc w:val="left"/>
            </w:pPr>
            <w:r>
              <w:t xml:space="preserve">Capítulo</w:t>
            </w:r>
          </w:p>
        </w:tc>
      </w:tr>
      <w:tr>
        <w:tc>
          <w:tcPr/>
          <w:p>
            <w:pPr>
              <w:pStyle w:val="Compact"/>
              <w:jc w:val="left"/>
            </w:pPr>
            <w:r>
              <w:t xml:space="preserve">Dihexa</w:t>
            </w:r>
          </w:p>
        </w:tc>
        <w:tc>
          <w:tcPr/>
          <w:p>
            <w:pPr>
              <w:pStyle w:val="Compact"/>
              <w:jc w:val="left"/>
            </w:pPr>
            <w:r>
              <w:t xml:space="preserve">intensifica o sinal c-Met, um conhecido impulsionador de câncer</w:t>
            </w:r>
          </w:p>
        </w:tc>
        <w:tc>
          <w:tcPr/>
          <w:p>
            <w:pPr>
              <w:pStyle w:val="Compact"/>
              <w:jc w:val="left"/>
            </w:pPr>
            <w:r>
              <w:t xml:space="preserve">apenas teórico, sem dados em humanos</w:t>
            </w:r>
          </w:p>
        </w:tc>
        <w:tc>
          <w:tcPr/>
          <w:p>
            <w:pPr>
              <w:pStyle w:val="Compact"/>
              <w:jc w:val="left"/>
            </w:pPr>
            <w:r>
              <w:t xml:space="preserve">Dihexa</w:t>
            </w:r>
          </w:p>
        </w:tc>
      </w:tr>
      <w:tr>
        <w:tc>
          <w:tcPr/>
          <w:p>
            <w:pPr>
              <w:pStyle w:val="Compact"/>
              <w:jc w:val="left"/>
            </w:pPr>
            <w:r>
              <w:t xml:space="preserve">Epitalon</w:t>
            </w:r>
          </w:p>
        </w:tc>
        <w:tc>
          <w:tcPr/>
          <w:p>
            <w:pPr>
              <w:pStyle w:val="Compact"/>
              <w:jc w:val="left"/>
            </w:pPr>
            <w:r>
              <w:t xml:space="preserve">supostamente ativa a telomerase</w:t>
            </w:r>
          </w:p>
        </w:tc>
        <w:tc>
          <w:tcPr/>
          <w:p>
            <w:pPr>
              <w:pStyle w:val="Compact"/>
              <w:jc w:val="left"/>
            </w:pPr>
            <w:r>
              <w:t xml:space="preserve">cultura de células: também alongou telômeros de células de câncer de mama</w:t>
            </w:r>
          </w:p>
        </w:tc>
        <w:tc>
          <w:tcPr/>
          <w:p>
            <w:pPr>
              <w:pStyle w:val="Compact"/>
              <w:jc w:val="left"/>
            </w:pPr>
            <w:r>
              <w:t xml:space="preserve">Epitalon</w:t>
            </w:r>
          </w:p>
        </w:tc>
      </w:tr>
      <w:tr>
        <w:tc>
          <w:tcPr/>
          <w:p>
            <w:pPr>
              <w:pStyle w:val="Compact"/>
              <w:jc w:val="left"/>
            </w:pPr>
            <w:r>
              <w:t xml:space="preserve">Humanina</w:t>
            </w:r>
          </w:p>
        </w:tc>
        <w:tc>
          <w:tcPr/>
          <w:p>
            <w:pPr>
              <w:pStyle w:val="Compact"/>
              <w:jc w:val="left"/>
            </w:pPr>
            <w:r>
              <w:t xml:space="preserve">protege células da morte celular</w:t>
            </w:r>
          </w:p>
        </w:tc>
        <w:tc>
          <w:tcPr/>
          <w:p>
            <w:pPr>
              <w:pStyle w:val="Compact"/>
              <w:jc w:val="left"/>
            </w:pPr>
            <w:r>
              <w:t xml:space="preserve">camundongos: crescimento tumoral mais rápido, mais metástases</w:t>
            </w:r>
          </w:p>
        </w:tc>
        <w:tc>
          <w:tcPr/>
          <w:p>
            <w:pPr>
              <w:pStyle w:val="Compact"/>
              <w:jc w:val="left"/>
            </w:pPr>
            <w:r>
              <w:t xml:space="preserve">Humanina</w:t>
            </w:r>
          </w:p>
        </w:tc>
      </w:tr>
      <w:tr>
        <w:tc>
          <w:tcPr/>
          <w:p>
            <w:pPr>
              <w:pStyle w:val="Compact"/>
              <w:jc w:val="left"/>
            </w:pPr>
            <w:r>
              <w:t xml:space="preserve">LL-37</w:t>
            </w:r>
          </w:p>
        </w:tc>
        <w:tc>
          <w:tcPr/>
          <w:p>
            <w:pPr>
              <w:pStyle w:val="Compact"/>
              <w:jc w:val="left"/>
            </w:pPr>
            <w:r>
              <w:t xml:space="preserve">sinais inflamatórios e de crescimento</w:t>
            </w:r>
          </w:p>
        </w:tc>
        <w:tc>
          <w:tcPr/>
          <w:p>
            <w:pPr>
              <w:pStyle w:val="Compact"/>
              <w:jc w:val="left"/>
            </w:pPr>
            <w:r>
              <w:t xml:space="preserve">laboratório: favorecedor ou inibidor conforme o tipo de câncer</w:t>
            </w:r>
          </w:p>
        </w:tc>
        <w:tc>
          <w:tcPr/>
          <w:p>
            <w:pPr>
              <w:pStyle w:val="Compact"/>
              <w:jc w:val="left"/>
            </w:pPr>
            <w:r>
              <w:t xml:space="preserve">LL-37</w:t>
            </w:r>
          </w:p>
        </w:tc>
      </w:tr>
      <w:tr>
        <w:tc>
          <w:tcPr/>
          <w:p>
            <w:pPr>
              <w:pStyle w:val="Compact"/>
              <w:jc w:val="left"/>
            </w:pPr>
            <w:r>
              <w:t xml:space="preserve">GHK-Cu</w:t>
            </w:r>
          </w:p>
        </w:tc>
        <w:tc>
          <w:tcPr/>
          <w:p>
            <w:pPr>
              <w:pStyle w:val="Compact"/>
              <w:jc w:val="left"/>
            </w:pPr>
            <w:r>
              <w:t xml:space="preserve">formação de novos vasos em experimento animal</w:t>
            </w:r>
          </w:p>
        </w:tc>
        <w:tc>
          <w:tcPr/>
          <w:p>
            <w:pPr>
              <w:pStyle w:val="Compact"/>
              <w:jc w:val="left"/>
            </w:pPr>
            <w:r>
              <w:t xml:space="preserve">apenas teórico</w:t>
            </w:r>
          </w:p>
        </w:tc>
        <w:tc>
          <w:tcPr/>
          <w:p>
            <w:pPr>
              <w:pStyle w:val="Compact"/>
              <w:jc w:val="left"/>
            </w:pPr>
            <w:r>
              <w:t xml:space="preserve">GHK-Cu</w:t>
            </w:r>
          </w:p>
        </w:tc>
      </w:tr>
      <w:tr>
        <w:tc>
          <w:tcPr/>
          <w:p>
            <w:pPr>
              <w:pStyle w:val="Compact"/>
              <w:jc w:val="left"/>
            </w:pPr>
            <w:r>
              <w:t xml:space="preserve">ARA-290</w:t>
            </w:r>
          </w:p>
        </w:tc>
        <w:tc>
          <w:tcPr/>
          <w:p>
            <w:pPr>
              <w:pStyle w:val="Compact"/>
              <w:jc w:val="left"/>
            </w:pPr>
            <w:r>
              <w:t xml:space="preserve">age no receptor de EPO</w:t>
            </w:r>
          </w:p>
        </w:tc>
        <w:tc>
          <w:tcPr/>
          <w:p>
            <w:pPr>
              <w:pStyle w:val="Compact"/>
              <w:jc w:val="left"/>
            </w:pPr>
            <w:r>
              <w:t xml:space="preserve">teórico, por analogia com a EPO</w:t>
            </w:r>
          </w:p>
        </w:tc>
        <w:tc>
          <w:tcPr/>
          <w:p>
            <w:pPr>
              <w:pStyle w:val="Compact"/>
              <w:jc w:val="left"/>
            </w:pPr>
            <w:r>
              <w:t xml:space="preserve">ARA-290</w:t>
            </w:r>
          </w:p>
        </w:tc>
      </w:tr>
    </w:tbl>
    <w:p>
      <w:pPr>
        <w:pStyle w:val="BodyText"/>
      </w:pPr>
      <w:r>
        <w:t xml:space="preserve">Alguns desses indícios são concretos. Em camundongos com câncer de mama triplo-negativo, a humanina administrada reduziu a morte celular no tumor, enfraqueceu a quimioterapia e acelerou o crescimento tumoral e as metástases pulmonares</w:t>
      </w:r>
      <w:r>
        <w:rPr>
          <w:rStyle w:val="FootnoteReference"/>
        </w:rPr>
        <w:footnoteReference w:id="2677"/>
      </w:r>
      <w:r>
        <w:t xml:space="preserve">. O Epitalon alongou em culturas de células os telômeros de células saudáveis por meio da enzima telomerase, e em células de câncer de mama por outra via</w:t>
      </w:r>
      <w:r>
        <w:rPr>
          <w:rStyle w:val="FootnoteReference"/>
        </w:rPr>
        <w:footnoteReference w:id="2678"/>
      </w:r>
      <w:r>
        <w:t xml:space="preserve">; em um estudo com camundongos, por outro lado, o número de tumores espontâneos não aumentou</w:t>
      </w:r>
      <w:r>
        <w:rPr>
          <w:rStyle w:val="FootnoteReference"/>
        </w:rPr>
        <w:footnoteReference w:id="2679"/>
      </w:r>
      <w:r>
        <w:t xml:space="preserve">. Para o LL-37, uma revisão descreve efeitos favorecedores sobre tumores de ovário, pulmão, mama, próstata, pâncreas e pele, mas inibidores sobre câncer colorretal e gástrico</w:t>
      </w:r>
      <w:r>
        <w:rPr>
          <w:rStyle w:val="FootnoteReference"/>
        </w:rPr>
        <w:footnoteReference w:id="2680"/>
      </w:r>
      <w:r>
        <w:t xml:space="preserve">. Para a Dihexa, a ligação com o sistema c-Met está descrita</w:t>
      </w:r>
      <w:r>
        <w:rPr>
          <w:rStyle w:val="FootnoteReference"/>
        </w:rPr>
        <w:footnoteReference w:id="2681"/>
      </w:r>
      <w:r>
        <w:t xml:space="preserve">; não há investigações sobre carcinogênese.</w:t>
      </w:r>
    </w:p>
    <w:p>
      <w:pPr>
        <w:pStyle w:val="BodyText"/>
      </w:pPr>
      <w:r>
        <w:t xml:space="preserve">Todos esses achados vêm de experimentos com animais, culturas de células ou do mecanismo de ação. Nenhum prova um risco de câncer em humanos. Mas mostram que</w:t>
      </w:r>
      <w:r>
        <w:t xml:space="preserve"> </w:t>
      </w:r>
      <w:r>
        <w:t xml:space="preserve">“</w:t>
      </w:r>
      <w:r>
        <w:t xml:space="preserve">natural</w:t>
      </w:r>
      <w:r>
        <w:t xml:space="preserve">”</w:t>
      </w:r>
      <w:r>
        <w:t xml:space="preserve">,</w:t>
      </w:r>
      <w:r>
        <w:t xml:space="preserve"> </w:t>
      </w:r>
      <w:r>
        <w:t xml:space="preserve">“</w:t>
      </w:r>
      <w:r>
        <w:t xml:space="preserve">endógeno</w:t>
      </w:r>
      <w:r>
        <w:t xml:space="preserve">”</w:t>
      </w:r>
      <w:r>
        <w:t xml:space="preserve"> </w:t>
      </w:r>
      <w:r>
        <w:t xml:space="preserve">ou</w:t>
      </w:r>
      <w:r>
        <w:t xml:space="preserve"> </w:t>
      </w:r>
      <w:r>
        <w:t xml:space="preserve">“</w:t>
      </w:r>
      <w:r>
        <w:t xml:space="preserve">regenerativo</w:t>
      </w:r>
      <w:r>
        <w:t xml:space="preserve">”</w:t>
      </w:r>
      <w:r>
        <w:t xml:space="preserve"> </w:t>
      </w:r>
      <w:r>
        <w:t xml:space="preserve">não significa automaticamente</w:t>
      </w:r>
      <w:r>
        <w:t xml:space="preserve"> </w:t>
      </w:r>
      <w:r>
        <w:t xml:space="preserve">“</w:t>
      </w:r>
      <w:r>
        <w:t xml:space="preserve">inofensivo</w:t>
      </w:r>
      <w:r>
        <w:t xml:space="preserve">”</w:t>
      </w:r>
      <w:r>
        <w:t xml:space="preserve"> </w:t>
      </w:r>
      <w:r>
        <w:t xml:space="preserve">– e que, para nenhuma dessas substâncias, existem os dados de longo prazo com os quais a pergunta poderia ser respondida.</w:t>
      </w:r>
    </w:p>
    <w:bookmarkEnd w:id="2682"/>
    <w:bookmarkStart w:id="2687" w:name="X06b42b08fa6d09da9c15ddec9085799c403a469"/>
    <w:p>
      <w:pPr>
        <w:pStyle w:val="Heading3"/>
      </w:pPr>
      <w:r>
        <w:t xml:space="preserve">Células pigmentares: melanotan, setmelanotida e afamelanotida</w:t>
      </w:r>
    </w:p>
    <w:p>
      <w:pPr>
        <w:pStyle w:val="FirstParagraph"/>
      </w:pPr>
      <w:r>
        <w:t xml:space="preserve">Os peptídeos de melanocortina estimulam as células pigmentares (melanócitos) da pele. Na afamelanotida, esse é o efeito desejado; na setmelanotida e na bremelanotida, um efeito colateral; e no Melanotan II, o verdadeiro motivo de venda. Como o melanoma surge de células pigmentares, a pergunta sobre câncer de pele é óbvia.</w:t>
      </w:r>
    </w:p>
    <w:p>
      <w:pPr>
        <w:pStyle w:val="BodyText"/>
      </w:pPr>
      <w:r>
        <w:t xml:space="preserve">Para o</w:t>
      </w:r>
      <w:r>
        <w:t xml:space="preserve"> </w:t>
      </w:r>
      <w:r>
        <w:rPr>
          <w:bCs/>
          <w:b/>
        </w:rPr>
        <w:t xml:space="preserve">Melanotan II</w:t>
      </w:r>
      <w:r>
        <w:t xml:space="preserve">, não aprovado, há vários relatos de caso de melanomas descobertos durante ou logo após o uso. Uma revisão contou quatro casos em que melanomas surgiram de pintas preexistentes e ressalta, ao mesmo tempo, que falta uma prova conclusiva de uma relação</w:t>
      </w:r>
      <w:r>
        <w:rPr>
          <w:rStyle w:val="FootnoteReference"/>
        </w:rPr>
        <w:footnoteReference w:id="2683"/>
      </w:r>
      <w:r>
        <w:t xml:space="preserve">. Entre 179 casos publicados de pintas de aparecimento súbito, parte dos quais foi atribuída ao melanotan, cinco estavam associados a um melanoma</w:t>
      </w:r>
      <w:r>
        <w:rPr>
          <w:rStyle w:val="FootnoteReference"/>
        </w:rPr>
        <w:footnoteReference w:id="2684"/>
      </w:r>
      <w:r>
        <w:t xml:space="preserve">. A interpretação é difícil: muitos afetados usavam ao mesmo tempo câmaras de bronzeamento ou se expunham intensamente ao sol, o que aumenta o risco de melanoma de forma independente. E relatos de caso não podem fornecer uma frequência. Ver capítulo Melanotan II.</w:t>
      </w:r>
    </w:p>
    <w:p>
      <w:pPr>
        <w:pStyle w:val="BodyText"/>
      </w:pPr>
      <w:r>
        <w:t xml:space="preserve">Para a</w:t>
      </w:r>
      <w:r>
        <w:t xml:space="preserve"> </w:t>
      </w:r>
      <w:r>
        <w:rPr>
          <w:bCs/>
          <w:b/>
        </w:rPr>
        <w:t xml:space="preserve">afamelanotida</w:t>
      </w:r>
      <w:r>
        <w:t xml:space="preserve"> </w:t>
      </w:r>
      <w:r>
        <w:t xml:space="preserve">aprovada, há dados mais sistemáticos. Em um estudo com 15 tratados e 103 pintas, apareceram à dermatoscopia alterações temporárias que haviam regredido após um ano; não se encontraram indícios de malignidade nem pintas novas</w:t>
      </w:r>
      <w:r>
        <w:rPr>
          <w:rStyle w:val="FootnoteReference"/>
        </w:rPr>
        <w:footnoteReference w:id="2685"/>
      </w:r>
      <w:r>
        <w:t xml:space="preserve">. Com</w:t>
      </w:r>
      <w:r>
        <w:t xml:space="preserve"> </w:t>
      </w:r>
      <w:r>
        <w:rPr>
          <w:bCs/>
          <w:b/>
        </w:rPr>
        <w:t xml:space="preserve">setmelanotida</w:t>
      </w:r>
      <w:r>
        <w:t xml:space="preserve">, não ocorreram alterações cutâneas malignas em um acompanhamento de até 46 meses</w:t>
      </w:r>
      <w:r>
        <w:rPr>
          <w:rStyle w:val="FootnoteReference"/>
        </w:rPr>
        <w:footnoteReference w:id="2686"/>
      </w:r>
      <w:r>
        <w:t xml:space="preserve">. Esses dados são tranquilizadores, mas pequenos e curtos em relação ao tempo de desenvolvimento de um melanoma. As bulas profissionais preveem controles regulares da pele. Eles não podem ser transferidos para o Melanotan II: substância diferente, produtos não testados, frequentemente combinados com radiação UV.</w:t>
      </w:r>
    </w:p>
    <w:bookmarkEnd w:id="2687"/>
    <w:bookmarkStart w:id="2694" w:name="glp-1-e-as-células-c-da-tireoide"/>
    <w:p>
      <w:pPr>
        <w:pStyle w:val="Heading3"/>
      </w:pPr>
      <w:r>
        <w:t xml:space="preserve">GLP-1 e as células C da tireoide</w:t>
      </w:r>
    </w:p>
    <w:p>
      <w:pPr>
        <w:pStyle w:val="FirstParagraph"/>
      </w:pPr>
      <w:r>
        <w:t xml:space="preserve">Em ratos e camundongos, os agonistas do receptor de GLP-1 levaram, em experimentos de longo prazo, a proliferações e tumores das células C da tireoide. O mecanismo é bem compreendido: as células C dos roedores possuem o receptor de GLP-1; sua ativação aumenta a secreção de calcitonina e a divisão celular. Em humanos e macacos, o receptor é bem mais raro nas células C. Macacos que receberam liraglutida por 20 meses em concentração mais de 60 vezes maior do que em humanos não desenvolveram proliferação de células C</w:t>
      </w:r>
      <w:r>
        <w:rPr>
          <w:rStyle w:val="FootnoteReference"/>
        </w:rPr>
        <w:footnoteReference w:id="2688"/>
      </w:r>
      <w:r>
        <w:t xml:space="preserve">.</w:t>
      </w:r>
    </w:p>
    <w:p>
      <w:pPr>
        <w:pStyle w:val="BodyText"/>
      </w:pPr>
      <w:r>
        <w:t xml:space="preserve">Com isso, um efeito em humanos não está totalmente descartado. Em tecido tireoidiano humano, uma investigação encontrou o receptor de GLP-1 em todas as amostras de carcinomas medulares de tireoide e de proliferações de células C, em 18% dos carcinomas papilíferos e em parte das células C de tireoides saudáveis</w:t>
      </w:r>
      <w:r>
        <w:rPr>
          <w:rStyle w:val="FootnoteReference"/>
        </w:rPr>
        <w:footnoteReference w:id="2689"/>
      </w:r>
      <w:r>
        <w:t xml:space="preserve">.</w:t>
      </w:r>
    </w:p>
    <w:p>
      <w:pPr>
        <w:pStyle w:val="BodyText"/>
      </w:pPr>
      <w:r>
        <w:t xml:space="preserve">Os estudos em humanos não produzem um quadro uniforme:</w:t>
      </w:r>
    </w:p>
    <w:p>
      <w:pPr>
        <w:numPr>
          <w:ilvl w:val="0"/>
          <w:numId w:val="1339"/>
        </w:numPr>
        <w:pStyle w:val="Compact"/>
      </w:pPr>
      <w:r>
        <w:t xml:space="preserve">No estudo LEADER, a calcitonina não aumentou com liraglutida ao longo de até cinco anos, e não ocorreram carcinomas medulares</w:t>
      </w:r>
      <w:r>
        <w:rPr>
          <w:rStyle w:val="FootnoteReference"/>
        </w:rPr>
        <w:footnoteReference w:id="2690"/>
      </w:r>
      <w:r>
        <w:t xml:space="preserve">.</w:t>
      </w:r>
    </w:p>
    <w:p>
      <w:pPr>
        <w:numPr>
          <w:ilvl w:val="0"/>
          <w:numId w:val="1339"/>
        </w:numPr>
        <w:pStyle w:val="Compact"/>
      </w:pPr>
      <w:r>
        <w:t xml:space="preserve">Um estudo caso-controle francês com 2.562 casos encontrou, após um a três anos de tratamento, um risco aumentado de câncer de tireoide em geral (hazard ratio 1,58) e de carcinoma medular (1,78)</w:t>
      </w:r>
      <w:r>
        <w:rPr>
          <w:rStyle w:val="FootnoteReference"/>
        </w:rPr>
        <w:footnoteReference w:id="2691"/>
      </w:r>
      <w:r>
        <w:t xml:space="preserve">.</w:t>
      </w:r>
    </w:p>
    <w:p>
      <w:pPr>
        <w:numPr>
          <w:ilvl w:val="0"/>
          <w:numId w:val="1339"/>
        </w:numPr>
        <w:pStyle w:val="Compact"/>
      </w:pPr>
      <w:r>
        <w:t xml:space="preserve">Um estudo de coorte escandinavo com 145.410 pessoas em uso de agonistas do receptor de GLP-1 não encontrou risco aumentado (hazard ratio 0,93; 1,33 contra 1,46 caso por 10.000 pessoas-ano). Para o raro carcinoma medular, a estimativa foi muito incerta (hazard ratio 1,19; intervalo de confiança 0,37 a 3,86)</w:t>
      </w:r>
      <w:r>
        <w:rPr>
          <w:rStyle w:val="FootnoteReference"/>
        </w:rPr>
        <w:footnoteReference w:id="2692"/>
      </w:r>
      <w:r>
        <w:t xml:space="preserve">.</w:t>
      </w:r>
    </w:p>
    <w:p>
      <w:pPr>
        <w:numPr>
          <w:ilvl w:val="0"/>
          <w:numId w:val="1339"/>
        </w:numPr>
        <w:pStyle w:val="Compact"/>
      </w:pPr>
      <w:r>
        <w:t xml:space="preserve">Uma metanálise de 50 estudos randomizados com duração de pelo menos um ano mostrou um sinal para câncer de tireoide (odds ratio 1,55), que foi mais nítido em estudos mais longos</w:t>
      </w:r>
      <w:r>
        <w:rPr>
          <w:rStyle w:val="FootnoteReference"/>
        </w:rPr>
        <w:footnoteReference w:id="2693"/>
      </w:r>
      <w:r>
        <w:t xml:space="preserve">.</w:t>
      </w:r>
    </w:p>
    <w:p>
      <w:pPr>
        <w:pStyle w:val="FirstParagraph"/>
      </w:pPr>
      <w:r>
        <w:t xml:space="preserve">Como isso se encaixa? Parte do sinal poderia se dever a exames mais frequentes: quem é acompanhado de perto por causa de diabetes ou obesidade faz ultrassom com mais frequência, no qual são descobertos pequenos carcinomas papilíferos inofensivos. Mas um pequeno risco real não pode ser descartado. Por isso, para pessoas com carcinoma medular de tireoide na história pessoal ou familiar ou com síndrome MEN 2, continua valendo uma contraindicação. Ver capítulo Liraglutida.</w:t>
      </w:r>
    </w:p>
    <w:bookmarkEnd w:id="2694"/>
    <w:bookmarkStart w:id="2698" w:name="pâncreas"/>
    <w:p>
      <w:pPr>
        <w:pStyle w:val="Heading3"/>
      </w:pPr>
      <w:r>
        <w:t xml:space="preserve">Pâncreas</w:t>
      </w:r>
    </w:p>
    <w:p>
      <w:pPr>
        <w:pStyle w:val="FirstParagraph"/>
      </w:pPr>
      <w:r>
        <w:t xml:space="preserve">Após as primeiras notificações de inflamações do pâncreas com exenatida e liraglutida, também se temeu um risco aumentado de câncer de pâncreas. Os dados até agora não confirmaram isso. Uma metanálise de 62 estudos randomizados não encontrou risco comprovadamente aumentado (risco relativo 1,30; intervalo de confiança 0,86 a 1,97); em um subgrupo de estudos com medicamentos adicionais ele estava aumentado, sem medicamentos adicionais não</w:t>
      </w:r>
      <w:r>
        <w:rPr>
          <w:rStyle w:val="FootnoteReference"/>
        </w:rPr>
        <w:footnoteReference w:id="2695"/>
      </w:r>
      <w:r>
        <w:t xml:space="preserve">. Os autores apontam que muitos estudos sem nenhum evento nem entraram no cálculo. Em um grande estudo de coorte norte-americano, o câncer de pâncreas foi até mais raro com agonistas do receptor de GLP-1 do que com insulina (hazard ratio 0,41)</w:t>
      </w:r>
      <w:r>
        <w:rPr>
          <w:rStyle w:val="FootnoteReference"/>
        </w:rPr>
        <w:footnoteReference w:id="2696"/>
      </w:r>
      <w:r>
        <w:t xml:space="preserve"> </w:t>
      </w:r>
      <w:r>
        <w:t xml:space="preserve">– sendo que a insulina é frequentemente usada em diabetes mais antigo e mais grave.</w:t>
      </w:r>
    </w:p>
    <w:p>
      <w:pPr>
        <w:pStyle w:val="BodyText"/>
      </w:pPr>
      <w:r>
        <w:t xml:space="preserve">Para tumores neuroendócrinos, um grupo raro de tumores que surgem, entre outros locais, no pâncreas e que em parte possuem o receptor de GLP-1, uma revisão conclui que os dados disponíveis não mostram um aumento geral, mas que existem lacunas importantes, por exemplo na predisposição hereditária</w:t>
      </w:r>
      <w:r>
        <w:rPr>
          <w:rStyle w:val="FootnoteReference"/>
        </w:rPr>
        <w:footnoteReference w:id="2697"/>
      </w:r>
      <w:r>
        <w:t xml:space="preserve">.</w:t>
      </w:r>
    </w:p>
    <w:bookmarkEnd w:id="2698"/>
    <w:bookmarkStart w:id="2699" w:name="X94df693656699c10bfeea6c5eb61dfb0a6a7d66"/>
    <w:p>
      <w:pPr>
        <w:pStyle w:val="Heading3"/>
      </w:pPr>
      <w:r>
        <w:t xml:space="preserve">O que novas metanálises e grandes coortes mostram sobre GLP-1 e câncer</w:t>
      </w:r>
    </w:p>
    <w:p>
      <w:pPr>
        <w:pStyle w:val="FirstParagraph"/>
      </w:pPr>
      <w:r>
        <w:t xml:space="preserve">Com a ampla difusão dos medicamentos de GLP-1, várias análises muito grandes foram publicadas desde 2024. Elas traçam um quadro predominantemente tranquilizador, mas pouco claro em pontos isolados.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Dados</w:t>
            </w:r>
          </w:p>
        </w:tc>
        <w:tc>
          <w:tcPr/>
          <w:p>
            <w:pPr>
              <w:pStyle w:val="Compact"/>
              <w:jc w:val="left"/>
            </w:pPr>
            <w:r>
              <w:t xml:space="preserve">Resultado para câncer em geral</w:t>
            </w:r>
          </w:p>
        </w:tc>
        <w:tc>
          <w:tcPr/>
          <w:p>
            <w:pPr>
              <w:pStyle w:val="Compact"/>
              <w:jc w:val="left"/>
            </w:pPr>
            <w:r>
              <w:t xml:space="preserve">Particularidades</w:t>
            </w:r>
          </w:p>
        </w:tc>
      </w:tr>
      <w:tr>
        <w:tc>
          <w:tcPr/>
          <w:p>
            <w:pPr>
              <w:pStyle w:val="Compact"/>
              <w:jc w:val="left"/>
            </w:pPr>
            <w:r>
              <w:t xml:space="preserve">Silverii 2025, PMID 40437949</w:t>
            </w:r>
          </w:p>
        </w:tc>
        <w:tc>
          <w:tcPr/>
          <w:p>
            <w:pPr>
              <w:pStyle w:val="Compact"/>
              <w:jc w:val="left"/>
            </w:pPr>
            <w:r>
              <w:t xml:space="preserve">50 ECRs, mín. 52 semanas</w:t>
            </w:r>
          </w:p>
        </w:tc>
        <w:tc>
          <w:tcPr/>
          <w:p>
            <w:pPr>
              <w:pStyle w:val="Compact"/>
              <w:jc w:val="left"/>
            </w:pPr>
            <w:r>
              <w:t xml:space="preserve">nenhuma diferença (odds ratio 1,05)</w:t>
            </w:r>
          </w:p>
        </w:tc>
        <w:tc>
          <w:tcPr/>
          <w:p>
            <w:pPr>
              <w:pStyle w:val="Compact"/>
              <w:jc w:val="left"/>
            </w:pPr>
            <w:r>
              <w:t xml:space="preserve">tireoide 1,55; útero na obesidade 0,24</w:t>
            </w:r>
          </w:p>
        </w:tc>
      </w:tr>
      <w:tr>
        <w:tc>
          <w:tcPr/>
          <w:p>
            <w:pPr>
              <w:pStyle w:val="Compact"/>
              <w:jc w:val="left"/>
            </w:pPr>
            <w:r>
              <w:t xml:space="preserve">Wang 2024, PMID 38967919</w:t>
            </w:r>
          </w:p>
        </w:tc>
        <w:tc>
          <w:tcPr/>
          <w:p>
            <w:pPr>
              <w:pStyle w:val="Compact"/>
              <w:jc w:val="left"/>
            </w:pPr>
            <w:r>
              <w:t xml:space="preserve">1.651.452 pessoas com diabetes tipo 2</w:t>
            </w:r>
          </w:p>
        </w:tc>
        <w:tc>
          <w:tcPr/>
          <w:p>
            <w:pPr>
              <w:pStyle w:val="Compact"/>
              <w:jc w:val="left"/>
            </w:pPr>
            <w:r>
              <w:t xml:space="preserve">vs. insulina, menos em 10 de 13 tipos de câncer</w:t>
            </w:r>
          </w:p>
        </w:tc>
        <w:tc>
          <w:tcPr/>
          <w:p>
            <w:pPr>
              <w:pStyle w:val="Compact"/>
              <w:jc w:val="left"/>
            </w:pPr>
            <w:r>
              <w:t xml:space="preserve">vs. metformina, mais câncer renal (1,54)</w:t>
            </w:r>
          </w:p>
        </w:tc>
      </w:tr>
      <w:tr>
        <w:tc>
          <w:tcPr/>
          <w:p>
            <w:pPr>
              <w:pStyle w:val="Compact"/>
              <w:jc w:val="left"/>
            </w:pPr>
            <w:r>
              <w:t xml:space="preserve">Dai 2025, PMID 40839273</w:t>
            </w:r>
          </w:p>
        </w:tc>
        <w:tc>
          <w:tcPr/>
          <w:p>
            <w:pPr>
              <w:pStyle w:val="Compact"/>
              <w:jc w:val="left"/>
            </w:pPr>
            <w:r>
              <w:t xml:space="preserve">86.632 adultos com obesidade</w:t>
            </w:r>
          </w:p>
        </w:tc>
        <w:tc>
          <w:tcPr/>
          <w:p>
            <w:pPr>
              <w:pStyle w:val="Compact"/>
              <w:jc w:val="left"/>
            </w:pPr>
            <w:r>
              <w:t xml:space="preserve">menos câncer (hazard ratio 0,83)</w:t>
            </w:r>
          </w:p>
        </w:tc>
        <w:tc>
          <w:tcPr/>
          <w:p>
            <w:pPr>
              <w:pStyle w:val="Compact"/>
              <w:jc w:val="left"/>
            </w:pPr>
            <w:r>
              <w:t xml:space="preserve">câncer renal no limite do aumento (1,38)</w:t>
            </w:r>
          </w:p>
        </w:tc>
      </w:tr>
      <w:tr>
        <w:tc>
          <w:tcPr/>
          <w:p>
            <w:pPr>
              <w:pStyle w:val="Compact"/>
              <w:jc w:val="left"/>
            </w:pPr>
            <w:r>
              <w:t xml:space="preserve">Hsu 2026, PMID 42252247</w:t>
            </w:r>
          </w:p>
        </w:tc>
        <w:tc>
          <w:tcPr/>
          <w:p>
            <w:pPr>
              <w:pStyle w:val="Compact"/>
              <w:jc w:val="left"/>
            </w:pPr>
            <w:r>
              <w:t xml:space="preserve">161.798 adultos com obesidade sem diabetes</w:t>
            </w:r>
          </w:p>
        </w:tc>
        <w:tc>
          <w:tcPr/>
          <w:p>
            <w:pPr>
              <w:pStyle w:val="Compact"/>
              <w:jc w:val="left"/>
            </w:pPr>
            <w:r>
              <w:t xml:space="preserve">menos cânceres relacionados ao excesso de peso (0,59)</w:t>
            </w:r>
          </w:p>
        </w:tc>
        <w:tc>
          <w:tcPr/>
          <w:p>
            <w:pPr>
              <w:pStyle w:val="Compact"/>
              <w:jc w:val="left"/>
            </w:pPr>
            <w:r>
              <w:t xml:space="preserve">acompanhamento mediano de 2 anos</w:t>
            </w:r>
          </w:p>
        </w:tc>
      </w:tr>
    </w:tbl>
    <w:p>
      <w:pPr>
        <w:pStyle w:val="BodyText"/>
      </w:pPr>
      <w:r>
        <w:t xml:space="preserve">Como ler esses números?</w:t>
      </w:r>
    </w:p>
    <w:p>
      <w:pPr>
        <w:numPr>
          <w:ilvl w:val="0"/>
          <w:numId w:val="1340"/>
        </w:numPr>
        <w:pStyle w:val="Compact"/>
      </w:pPr>
      <w:r>
        <w:rPr>
          <w:bCs/>
          <w:b/>
        </w:rPr>
        <w:t xml:space="preserve">Os estudos randomizados</w:t>
      </w:r>
      <w:r>
        <w:t xml:space="preserve"> </w:t>
      </w:r>
      <w:r>
        <w:t xml:space="preserve">não mostram, no geral, influência sobre o risco de câncer. Esse é o resultado mais confiável, mas os estudos são curtos demais para câncer.</w:t>
      </w:r>
    </w:p>
    <w:p>
      <w:pPr>
        <w:numPr>
          <w:ilvl w:val="0"/>
          <w:numId w:val="1340"/>
        </w:numPr>
        <w:pStyle w:val="Compact"/>
      </w:pPr>
      <w:r>
        <w:rPr>
          <w:bCs/>
          <w:b/>
        </w:rPr>
        <w:t xml:space="preserve">Os grandes estudos observacionais</w:t>
      </w:r>
      <w:r>
        <w:t xml:space="preserve"> </w:t>
      </w:r>
      <w:r>
        <w:t xml:space="preserve">mostram, antes, menos câncer com medicamentos de GLP-1. Isso se encaixa na ideia de que a perda de peso reduz os cânceres relacionados ao excesso de peso. Mas pode também se dever ao fato de que pessoas que recebem esses medicamentos diferem em muitos aspectos dos grupos de comparação. Um acompanhamento de dois anos é muito curto para uma afirmação sobre prevenção do câncer.</w:t>
      </w:r>
    </w:p>
    <w:p>
      <w:pPr>
        <w:numPr>
          <w:ilvl w:val="0"/>
          <w:numId w:val="1340"/>
        </w:numPr>
        <w:pStyle w:val="Compact"/>
      </w:pPr>
      <w:r>
        <w:rPr>
          <w:bCs/>
          <w:b/>
        </w:rPr>
        <w:t xml:space="preserve">O câncer renal</w:t>
      </w:r>
      <w:r>
        <w:t xml:space="preserve"> </w:t>
      </w:r>
      <w:r>
        <w:t xml:space="preserve">aparece em dois estudos de coorte como possível sinal. Se é um efeito real, ainda está por se ver.</w:t>
      </w:r>
    </w:p>
    <w:p>
      <w:pPr>
        <w:numPr>
          <w:ilvl w:val="0"/>
          <w:numId w:val="1340"/>
        </w:numPr>
        <w:pStyle w:val="Compact"/>
      </w:pPr>
      <w:r>
        <w:rPr>
          <w:bCs/>
          <w:b/>
        </w:rPr>
        <w:t xml:space="preserve">O câncer de tireoide</w:t>
      </w:r>
      <w:r>
        <w:t xml:space="preserve"> </w:t>
      </w:r>
      <w:r>
        <w:t xml:space="preserve">continua sendo a questão em aberto, como descrito acima.</w:t>
      </w:r>
    </w:p>
    <w:p>
      <w:pPr>
        <w:pStyle w:val="FirstParagraph"/>
      </w:pPr>
      <w:r>
        <w:t xml:space="preserve">Se os medicamentos de GLP-1 realmente protegem contra o câncer não pode ser dito com os dados disponíveis. Para a questão de se eles causam câncer, vale segundo o conhecimento atual: para a maioria dos tipos de câncer, não; para tireoide e rins, a questão não está definitivamente esclarecida. Para os novos agonistas múltiplos, como retatrutida, survodutida ou mazdutida, ainda há poucos anos de tratamento para fazer afirmações próprias.</w:t>
      </w:r>
    </w:p>
    <w:bookmarkEnd w:id="2699"/>
    <w:bookmarkStart w:id="2700" w:name="o-essencial-em-resumo-5"/>
    <w:p>
      <w:pPr>
        <w:pStyle w:val="Heading3"/>
      </w:pPr>
      <w:r>
        <w:t xml:space="preserve">O essencial em resumo</w:t>
      </w:r>
    </w:p>
    <w:p>
      <w:pPr>
        <w:numPr>
          <w:ilvl w:val="0"/>
          <w:numId w:val="1341"/>
        </w:numPr>
        <w:pStyle w:val="Compact"/>
      </w:pPr>
      <w:r>
        <w:t xml:space="preserve">Os melhores dados sobre risco de câncer existem justamente para os peptídeos em que a preocupação parece menos fundamentada: os medicamentos de GLP-1 aprovados. Para a maioria dos tipos de câncer, eles não mostram risco aumentado; o sinal da tireoide não está esclarecido.</w:t>
      </w:r>
    </w:p>
    <w:p>
      <w:pPr>
        <w:numPr>
          <w:ilvl w:val="0"/>
          <w:numId w:val="1341"/>
        </w:numPr>
        <w:pStyle w:val="Compact"/>
      </w:pPr>
      <w:r>
        <w:t xml:space="preserve">No eixo hormônio do crescimento–IGF-1, uma associação moderada entre níveis de IGF-1 permanentemente mais altos e alguns tipos de câncer está bem comprovada. Para pessoas saudáveis que elevam artificialmente o IGF-1 por anos, faltam estudos.</w:t>
      </w:r>
    </w:p>
    <w:p>
      <w:pPr>
        <w:numPr>
          <w:ilvl w:val="0"/>
          <w:numId w:val="1341"/>
        </w:numPr>
        <w:pStyle w:val="Compact"/>
      </w:pPr>
      <w:r>
        <w:t xml:space="preserve">Para BPC-157, TB-500, Epitalon, humanina, Dihexa e substâncias semelhantes, há apenas indícios teóricos e de experimentos com animais – nas duas direções. Não existem dados de longo prazo sobre carcinogênese.</w:t>
      </w:r>
    </w:p>
    <w:p>
      <w:pPr>
        <w:numPr>
          <w:ilvl w:val="0"/>
          <w:numId w:val="1341"/>
        </w:numPr>
        <w:pStyle w:val="Compact"/>
      </w:pPr>
      <w:r>
        <w:t xml:space="preserve">Com Melanotan II, há relatos de caso de melanoma, mas nenhum dado de frequência. Com a afamelanotida aprovada, pequenos estudos não encontraram alterações malignas.</w:t>
      </w:r>
    </w:p>
    <w:p>
      <w:pPr>
        <w:numPr>
          <w:ilvl w:val="0"/>
          <w:numId w:val="1341"/>
        </w:numPr>
        <w:pStyle w:val="Compact"/>
      </w:pPr>
      <w:r>
        <w:t xml:space="preserve">Para pessoas com câncer ativo ou prévio, todos os peptídeos que favorecem o crescimento são particularmente problemáticos sem acompanhamento médico.</w:t>
      </w:r>
    </w:p>
    <w:bookmarkEnd w:id="2700"/>
    <w:bookmarkEnd w:id="2701"/>
    <w:bookmarkStart w:id="2732" w:name="reações-imunológicas-e-anticorpos"/>
    <w:p>
      <w:pPr>
        <w:pStyle w:val="Heading2"/>
      </w:pPr>
      <w:r>
        <w:t xml:space="preserve">Reações imunológicas e anticorpos</w:t>
      </w:r>
    </w:p>
    <w:p>
      <w:pPr>
        <w:pStyle w:val="FirstParagraph"/>
      </w:pPr>
      <w:r>
        <w:t xml:space="preserve">O sistema imunológico tem a tarefa de reconhecer o que é estranho. Os peptídeos estão, nesse aspecto, em uma fronteira: muitos são cópias de mensageiros do próprio corpo, mas quimicamente modificados para agir por mais tempo. Outros vêm de animais, de bactérias ou do laboratório. Soma-se a isso que a maioria dos peptídeos é injetada sob a pele – um local onde um número especialmente grande de células de defesa aguarda invasores.</w:t>
      </w:r>
    </w:p>
    <w:p>
      <w:pPr>
        <w:pStyle w:val="BodyText"/>
      </w:pPr>
      <w:r>
        <w:t xml:space="preserve">As reações imunológicas a peptídeos vão de vermelhidões inofensivas no local da injeção, passando por anticorpos que só se percebem no laboratório, até raras reações alérgicas potencialmente fatais. Este capítulo organiza essas reações, compara os peptídeos e mostra o papel das impurezas.</w:t>
      </w:r>
    </w:p>
    <w:bookmarkStart w:id="2703" w:name="X961a60ddf253133601399504f4ccc2cd369eddc"/>
    <w:p>
      <w:pPr>
        <w:pStyle w:val="Heading3"/>
      </w:pPr>
      <w:r>
        <w:t xml:space="preserve">Por que peptídeos podem desencadear uma reação imunológica</w:t>
      </w:r>
    </w:p>
    <w:p>
      <w:pPr>
        <w:pStyle w:val="FirstParagraph"/>
      </w:pPr>
      <w:r>
        <w:t xml:space="preserve">Se o sistema imunológico classifica um peptídeo como estranho depende de vários fatores:</w:t>
      </w:r>
    </w:p>
    <w:p>
      <w:pPr>
        <w:numPr>
          <w:ilvl w:val="0"/>
          <w:numId w:val="1342"/>
        </w:numPr>
        <w:pStyle w:val="Compact"/>
      </w:pPr>
      <w:r>
        <w:rPr>
          <w:bCs/>
          <w:b/>
        </w:rPr>
        <w:t xml:space="preserve">Origem e semelhança com o que é do próprio corpo.</w:t>
      </w:r>
      <w:r>
        <w:t xml:space="preserve"> </w:t>
      </w:r>
      <w:r>
        <w:t xml:space="preserve">A exenatida foi desenvolvida a partir de um peptídeo da saliva de um lagarto e difere claramente do GLP-1 humano. A liraglutida e a semaglutida, por outro lado, são em grande parte cópias do hormônio humano.</w:t>
      </w:r>
    </w:p>
    <w:p>
      <w:pPr>
        <w:numPr>
          <w:ilvl w:val="0"/>
          <w:numId w:val="1342"/>
        </w:numPr>
        <w:pStyle w:val="Compact"/>
      </w:pPr>
      <w:r>
        <w:rPr>
          <w:bCs/>
          <w:b/>
        </w:rPr>
        <w:t xml:space="preserve">Tamanho e modificações.</w:t>
      </w:r>
      <w:r>
        <w:t xml:space="preserve"> </w:t>
      </w:r>
      <w:r>
        <w:t xml:space="preserve">Moléculas mais longas, ácidos graxos acoplados, ligantes ou componentes de anticorpos (como na maridebarte cafraglutida) oferecem mais superfície de ataque.</w:t>
      </w:r>
    </w:p>
    <w:p>
      <w:pPr>
        <w:numPr>
          <w:ilvl w:val="0"/>
          <w:numId w:val="1342"/>
        </w:numPr>
        <w:pStyle w:val="Compact"/>
      </w:pPr>
      <w:r>
        <w:rPr>
          <w:bCs/>
          <w:b/>
        </w:rPr>
        <w:t xml:space="preserve">Agregação.</w:t>
      </w:r>
      <w:r>
        <w:t xml:space="preserve"> </w:t>
      </w:r>
      <w:r>
        <w:t xml:space="preserve">Peptídeos podem se agrupar em agregados maiores, que o sistema imunológico reconhece com mais facilidade.</w:t>
      </w:r>
    </w:p>
    <w:p>
      <w:pPr>
        <w:numPr>
          <w:ilvl w:val="0"/>
          <w:numId w:val="1342"/>
        </w:numPr>
        <w:pStyle w:val="Compact"/>
      </w:pPr>
      <w:r>
        <w:rPr>
          <w:bCs/>
          <w:b/>
        </w:rPr>
        <w:t xml:space="preserve">Impurezas.</w:t>
      </w:r>
      <w:r>
        <w:t xml:space="preserve"> </w:t>
      </w:r>
      <w:r>
        <w:t xml:space="preserve">Mesmo pequenas quantidades de fragmentos de peptídeos fabricados com defeito ou de componentes bacterianos podem desencadear uma reação de defesa (mais sobre isso abaixo).</w:t>
      </w:r>
    </w:p>
    <w:p>
      <w:pPr>
        <w:numPr>
          <w:ilvl w:val="0"/>
          <w:numId w:val="1342"/>
        </w:numPr>
        <w:pStyle w:val="Compact"/>
      </w:pPr>
      <w:r>
        <w:rPr>
          <w:bCs/>
          <w:b/>
        </w:rPr>
        <w:t xml:space="preserve">Frequência e duração do uso.</w:t>
      </w:r>
      <w:r>
        <w:t xml:space="preserve"> </w:t>
      </w:r>
      <w:r>
        <w:t xml:space="preserve">Quem injeta um peptídeo repetidamente por meses dá ao sistema imunológico muitas oportunidades de reagir a ele.</w:t>
      </w:r>
    </w:p>
    <w:p>
      <w:pPr>
        <w:pStyle w:val="FirstParagraph"/>
      </w:pPr>
      <w:r>
        <w:t xml:space="preserve">Para a avaliação de anticorpos contra medicamentos – os especialistas falam de anticorpos antidroga (ADA) – estabeleceu-se uma linguagem padronizada</w:t>
      </w:r>
      <w:r>
        <w:rPr>
          <w:rStyle w:val="FootnoteReference"/>
        </w:rPr>
        <w:footnoteReference w:id="2702"/>
      </w:r>
      <w:r>
        <w:t xml:space="preserve">. Quatro perguntas são importantes: quantos tratados formam anticorpos? Qual é a quantidade (o título)? Os anticorpos inibem o efeito (anticorpos neutralizantes)? E reagem também com o hormônio do próprio corpo (reatividade cruzada)? O último ponto seria o mais preocupante: anticorpos que bloqueiam não só o medicamento, mas também o próprio hormônio, poderiam deixar um distúrbio permanente.</w:t>
      </w:r>
    </w:p>
    <w:bookmarkEnd w:id="2703"/>
    <w:bookmarkStart w:id="2706" w:name="X9bb202806b37116e6504293c1f3cd6ceeb5f177"/>
    <w:p>
      <w:pPr>
        <w:pStyle w:val="Heading3"/>
      </w:pPr>
      <w:r>
        <w:t xml:space="preserve">Anticorpos antidroga: o que os estudos mostram</w:t>
      </w:r>
    </w:p>
    <w:p>
      <w:pPr>
        <w:pStyle w:val="FirstParagraph"/>
      </w:pPr>
      <w:r>
        <w:t xml:space="preserve">Para os medicamentos de GLP-1 aprovados, há investigações sistemáticas. Elas mostram com que frequência variável os anticorpos surgem – e que uma frequência alta não significa automaticamente um problema clínico.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Substância</w:t>
            </w:r>
          </w:p>
        </w:tc>
        <w:tc>
          <w:tcPr/>
          <w:p>
            <w:pPr>
              <w:pStyle w:val="Compact"/>
              <w:jc w:val="left"/>
            </w:pPr>
            <w:r>
              <w:t xml:space="preserve">Anticorpos em</w:t>
            </w:r>
          </w:p>
        </w:tc>
        <w:tc>
          <w:tcPr/>
          <w:p>
            <w:pPr>
              <w:pStyle w:val="Compact"/>
              <w:jc w:val="left"/>
            </w:pPr>
            <w:r>
              <w:t xml:space="preserve">Consequências</w:t>
            </w:r>
          </w:p>
        </w:tc>
        <w:tc>
          <w:tcPr/>
          <w:p>
            <w:pPr>
              <w:pStyle w:val="Compact"/>
              <w:jc w:val="left"/>
            </w:pPr>
            <w:r>
              <w:t xml:space="preserve">Fonte</w:t>
            </w:r>
          </w:p>
        </w:tc>
      </w:tr>
      <w:tr>
        <w:tc>
          <w:tcPr/>
          <w:p>
            <w:pPr>
              <w:pStyle w:val="Compact"/>
              <w:jc w:val="left"/>
            </w:pPr>
            <w:r>
              <w:t xml:space="preserve">Exenatida</w:t>
            </w:r>
          </w:p>
        </w:tc>
        <w:tc>
          <w:tcPr/>
          <w:p>
            <w:pPr>
              <w:pStyle w:val="Compact"/>
              <w:jc w:val="left"/>
            </w:pPr>
            <w:r>
              <w:t xml:space="preserve">61% após 26 semanas (LEAD-6)</w:t>
            </w:r>
          </w:p>
        </w:tc>
        <w:tc>
          <w:tcPr/>
          <w:p>
            <w:pPr>
              <w:pStyle w:val="Compact"/>
              <w:jc w:val="left"/>
            </w:pPr>
            <w:r>
              <w:t xml:space="preserve">títulos altos: menor redução da HbA1c</w:t>
            </w:r>
          </w:p>
        </w:tc>
        <w:tc>
          <w:tcPr/>
          <w:p>
            <w:pPr>
              <w:pStyle w:val="Compact"/>
              <w:jc w:val="left"/>
            </w:pPr>
            <w:r>
              <w:t xml:space="preserve">Buse 2011, PMID 21450987</w:t>
            </w:r>
          </w:p>
        </w:tc>
      </w:tr>
      <w:tr>
        <w:tc>
          <w:tcPr/>
          <w:p>
            <w:pPr>
              <w:pStyle w:val="Compact"/>
              <w:jc w:val="left"/>
            </w:pPr>
            <w:r>
              <w:t xml:space="preserve">Liraglutida</w:t>
            </w:r>
          </w:p>
        </w:tc>
        <w:tc>
          <w:tcPr/>
          <w:p>
            <w:pPr>
              <w:pStyle w:val="Compact"/>
              <w:jc w:val="left"/>
            </w:pPr>
            <w:r>
              <w:t xml:space="preserve">8,3 a 8,7%, títulos baixos</w:t>
            </w:r>
          </w:p>
        </w:tc>
        <w:tc>
          <w:tcPr/>
          <w:p>
            <w:pPr>
              <w:pStyle w:val="Compact"/>
              <w:jc w:val="left"/>
            </w:pPr>
            <w:r>
              <w:t xml:space="preserve">nenhuma atenuação do efeito</w:t>
            </w:r>
          </w:p>
        </w:tc>
        <w:tc>
          <w:tcPr/>
          <w:p>
            <w:pPr>
              <w:pStyle w:val="Compact"/>
              <w:jc w:val="left"/>
            </w:pPr>
            <w:r>
              <w:t xml:space="preserve">Buse 2011, PMID 21450987</w:t>
            </w:r>
          </w:p>
        </w:tc>
      </w:tr>
      <w:tr>
        <w:tc>
          <w:tcPr/>
          <w:p>
            <w:pPr>
              <w:pStyle w:val="Compact"/>
              <w:jc w:val="left"/>
            </w:pPr>
            <w:r>
              <w:t xml:space="preserve">Dulaglutida</w:t>
            </w:r>
          </w:p>
        </w:tc>
        <w:tc>
          <w:tcPr/>
          <w:p>
            <w:pPr>
              <w:pStyle w:val="Compact"/>
              <w:jc w:val="left"/>
            </w:pPr>
            <w:r>
              <w:t xml:space="preserve">1,6%, neutralizantes 0,9%</w:t>
            </w:r>
          </w:p>
        </w:tc>
        <w:tc>
          <w:tcPr/>
          <w:p>
            <w:pPr>
              <w:pStyle w:val="Compact"/>
              <w:jc w:val="left"/>
            </w:pPr>
            <w:r>
              <w:t xml:space="preserve">nenhuma hipersensibilidade nos positivos para anticorpos</w:t>
            </w:r>
          </w:p>
        </w:tc>
        <w:tc>
          <w:tcPr/>
          <w:p>
            <w:pPr>
              <w:pStyle w:val="Compact"/>
              <w:jc w:val="left"/>
            </w:pPr>
            <w:r>
              <w:t xml:space="preserve">Milicevic 2016, PMID 26847401</w:t>
            </w:r>
          </w:p>
        </w:tc>
      </w:tr>
      <w:tr>
        <w:tc>
          <w:tcPr/>
          <w:p>
            <w:pPr>
              <w:pStyle w:val="Compact"/>
              <w:jc w:val="left"/>
            </w:pPr>
            <w:r>
              <w:t xml:space="preserve">Tirzepatida</w:t>
            </w:r>
          </w:p>
        </w:tc>
        <w:tc>
          <w:tcPr/>
          <w:p>
            <w:pPr>
              <w:pStyle w:val="Compact"/>
              <w:jc w:val="left"/>
            </w:pPr>
            <w:r>
              <w:t xml:space="preserve">51,1%, neutralizantes cerca de 2%</w:t>
            </w:r>
          </w:p>
        </w:tc>
        <w:tc>
          <w:tcPr/>
          <w:p>
            <w:pPr>
              <w:pStyle w:val="Compact"/>
              <w:jc w:val="left"/>
            </w:pPr>
            <w:r>
              <w:t xml:space="preserve">nenhuma atenuação do efeito; mais reações cutâneas e alérgicas</w:t>
            </w:r>
          </w:p>
        </w:tc>
        <w:tc>
          <w:tcPr/>
          <w:p>
            <w:pPr>
              <w:pStyle w:val="Compact"/>
              <w:jc w:val="left"/>
            </w:pPr>
            <w:r>
              <w:t xml:space="preserve">Mullins 2024, PMID 37700637</w:t>
            </w:r>
          </w:p>
        </w:tc>
      </w:tr>
      <w:tr>
        <w:tc>
          <w:tcPr/>
          <w:p>
            <w:pPr>
              <w:pStyle w:val="Compact"/>
              <w:jc w:val="left"/>
            </w:pPr>
            <w:r>
              <w:t xml:space="preserve">Sermorelina</w:t>
            </w:r>
          </w:p>
        </w:tc>
        <w:tc>
          <w:tcPr/>
          <w:p>
            <w:pPr>
              <w:pStyle w:val="Compact"/>
              <w:jc w:val="left"/>
            </w:pPr>
            <w:r>
              <w:t xml:space="preserve">14 de 18 crianças</w:t>
            </w:r>
          </w:p>
        </w:tc>
        <w:tc>
          <w:tcPr/>
          <w:p>
            <w:pPr>
              <w:pStyle w:val="Compact"/>
              <w:jc w:val="left"/>
            </w:pPr>
            <w:r>
              <w:t xml:space="preserve">nenhuma consequência perceptível</w:t>
            </w:r>
          </w:p>
        </w:tc>
        <w:tc>
          <w:tcPr/>
          <w:p>
            <w:pPr>
              <w:pStyle w:val="Compact"/>
              <w:jc w:val="left"/>
            </w:pPr>
            <w:r>
              <w:t xml:space="preserve">Ross 1987, PMID 2879138</w:t>
            </w:r>
          </w:p>
        </w:tc>
      </w:tr>
      <w:tr>
        <w:tc>
          <w:tcPr/>
          <w:p>
            <w:pPr>
              <w:pStyle w:val="Compact"/>
              <w:jc w:val="left"/>
            </w:pPr>
            <w:r>
              <w:t xml:space="preserve">ARA-290</w:t>
            </w:r>
          </w:p>
        </w:tc>
        <w:tc>
          <w:tcPr/>
          <w:p>
            <w:pPr>
              <w:pStyle w:val="Compact"/>
              <w:jc w:val="left"/>
            </w:pPr>
            <w:r>
              <w:t xml:space="preserve">nenhum em 12 semanas</w:t>
            </w:r>
          </w:p>
        </w:tc>
        <w:tc>
          <w:tcPr/>
          <w:p>
            <w:pPr>
              <w:pStyle w:val="Compact"/>
              <w:jc w:val="left"/>
            </w:pPr>
            <w:r>
              <w:t xml:space="preserve">–</w:t>
            </w:r>
          </w:p>
        </w:tc>
        <w:tc>
          <w:tcPr/>
          <w:p>
            <w:pPr>
              <w:pStyle w:val="Compact"/>
              <w:jc w:val="left"/>
            </w:pPr>
            <w:r>
              <w:t xml:space="preserve">Lois 2020, PMID 32674280</w:t>
            </w:r>
          </w:p>
        </w:tc>
      </w:tr>
    </w:tbl>
    <w:p>
      <w:pPr>
        <w:pStyle w:val="BodyText"/>
      </w:pPr>
      <w:r>
        <w:t xml:space="preserve">A</w:t>
      </w:r>
      <w:r>
        <w:t xml:space="preserve"> </w:t>
      </w:r>
      <w:r>
        <w:rPr>
          <w:bCs/>
          <w:b/>
        </w:rPr>
        <w:t xml:space="preserve">exenatida</w:t>
      </w:r>
      <w:r>
        <w:t xml:space="preserve"> </w:t>
      </w:r>
      <w:r>
        <w:t xml:space="preserve">é o exemplo clássico de um peptídeo que, por sua origem não humana, provoca anticorpos com frequência. No estudo LEAD-6, após 26 semanas, 113 de 185 tratados tinham anticorpos contra a exenatida; níveis altos de anticorpos estiveram associados a uma redução significativamente menor da glicemia de longo prazo. Após a troca para liraglutida, esses anticorpos não prejudicaram o efeito subsequente</w:t>
      </w:r>
      <w:r>
        <w:rPr>
          <w:rStyle w:val="FootnoteReference"/>
        </w:rPr>
        <w:footnoteReference w:id="2704"/>
      </w:r>
      <w:r>
        <w:t xml:space="preserve">.</w:t>
      </w:r>
    </w:p>
    <w:p>
      <w:pPr>
        <w:pStyle w:val="BodyText"/>
      </w:pPr>
      <w:r>
        <w:t xml:space="preserve">A</w:t>
      </w:r>
      <w:r>
        <w:t xml:space="preserve"> </w:t>
      </w:r>
      <w:r>
        <w:rPr>
          <w:bCs/>
          <w:b/>
        </w:rPr>
        <w:t xml:space="preserve">tirzepatida</w:t>
      </w:r>
      <w:r>
        <w:t xml:space="preserve"> </w:t>
      </w:r>
      <w:r>
        <w:t xml:space="preserve">mostra que também um peptídeo copiado do humano pode ser reconhecido com frequência. Em sete estudos de fase 3 com 5.025 participantes avaliáveis, 51,1% formaram anticorpos durante o tratamento. Anticorpos neutralizantes contra o efeito no receptor de GIP e no de GLP-1 foram encontrados em 1,9% e 2,1%, respectivamente, e aqueles que também neutralizavam os hormônios do próprio corpo em menos de 1%. Isso não teve influência sobre os níveis sanguíneos nem sobre o efeito. No entanto, participantes positivos para anticorpos tiveram com mais frequência reações de hipersensibilidade e reações no local da injeção, em geral leves a moderadas</w:t>
      </w:r>
      <w:r>
        <w:rPr>
          <w:rStyle w:val="FootnoteReference"/>
        </w:rPr>
        <w:footnoteReference w:id="2705"/>
      </w:r>
      <w:r>
        <w:t xml:space="preserve">.</w:t>
      </w:r>
    </w:p>
    <w:p>
      <w:pPr>
        <w:pStyle w:val="BodyText"/>
      </w:pPr>
      <w:r>
        <w:t xml:space="preserve">Para as substâncias mais novas – retatrutida, survodutida, mazdutida, cagrilintida, amicretina e a maridebarte cafraglutida, baseada em anticorpo – análises consolidadas comparáveis ainda não foram publicadas. Na maridebarte cafraglutida, isso é particularmente relevante, porque medicamentos à base de anticorpos podem ter uma imunogenicidade própria (capítulo Maridebarte cafraglutida).</w:t>
      </w:r>
    </w:p>
    <w:p>
      <w:pPr>
        <w:pStyle w:val="BodyText"/>
      </w:pPr>
      <w:r>
        <w:t xml:space="preserve">Para a maioria dos peptídeos do mercado cinza, não há absolutamente nenhum dado sobre anticorpos. Isso vale para BPC-157, TB-500, CJC-1295, ipamorelina, MOTS-c, humanina, Epitalon e muitos outros. Nos capítulos sobre MOTS-c, humanina e FOXO4-DRI, aponta-se que anticorpos são concebíveis com injeções repetidas, mas nunca foram investigados. Quem injeta essas substâncias por meses não pode, portanto, saber se o seu corpo forma anticorpos e o que eles provocam.</w:t>
      </w:r>
    </w:p>
    <w:bookmarkEnd w:id="2706"/>
    <w:bookmarkStart w:id="2710" w:name="reações-no-local-da-injeção"/>
    <w:p>
      <w:pPr>
        <w:pStyle w:val="Heading3"/>
      </w:pPr>
      <w:r>
        <w:t xml:space="preserve">Reações no local da injeção</w:t>
      </w:r>
    </w:p>
    <w:p>
      <w:pPr>
        <w:pStyle w:val="FirstParagraph"/>
      </w:pPr>
      <w:r>
        <w:t xml:space="preserve">Vermelhidão, coceira, inchaço, pequenos hematomas ou nódulos palpáveis no local da injeção são as reações imunológicas e teciduais mais frequentes a peptídeos injetados. Uma metanálise de 14 estudos randomizados com 4.861 participantes encontrou, com agonistas do receptor de GLP-1, um risco cerca de três vezes e meia maior de tais reações em comparação com os grupos de comparação (risco relativo 3,55). No banco de dados de notificações dos EUA, chamaram a atenção sobretudo a exenatida e a dulaglutida, com sangramentos no local da injeção</w:t>
      </w:r>
      <w:r>
        <w:rPr>
          <w:rStyle w:val="FootnoteReference"/>
        </w:rPr>
        <w:footnoteReference w:id="2707"/>
      </w:r>
      <w:r>
        <w:t xml:space="preserve">.</w:t>
      </w:r>
    </w:p>
    <w:p>
      <w:pPr>
        <w:pStyle w:val="BodyText"/>
      </w:pPr>
      <w:r>
        <w:t xml:space="preserve">A frequência difere consideravelmente entre os peptídeos: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Peptídeo</w:t>
            </w:r>
          </w:p>
        </w:tc>
        <w:tc>
          <w:tcPr/>
          <w:p>
            <w:pPr>
              <w:pStyle w:val="Compact"/>
              <w:jc w:val="left"/>
            </w:pPr>
            <w:r>
              <w:t xml:space="preserve">Reações no local da injeção</w:t>
            </w:r>
          </w:p>
        </w:tc>
        <w:tc>
          <w:tcPr/>
          <w:p>
            <w:pPr>
              <w:pStyle w:val="Compact"/>
              <w:jc w:val="left"/>
            </w:pPr>
            <w:r>
              <w:t xml:space="preserve">Fonte</w:t>
            </w:r>
          </w:p>
        </w:tc>
      </w:tr>
      <w:tr>
        <w:tc>
          <w:tcPr/>
          <w:p>
            <w:pPr>
              <w:pStyle w:val="Compact"/>
              <w:jc w:val="left"/>
            </w:pPr>
            <w:r>
              <w:t xml:space="preserve">Setmelanotida</w:t>
            </w:r>
          </w:p>
        </w:tc>
        <w:tc>
          <w:tcPr/>
          <w:p>
            <w:pPr>
              <w:pStyle w:val="Compact"/>
              <w:jc w:val="left"/>
            </w:pPr>
            <w:r>
              <w:t xml:space="preserve">96% (metanálise, 7 estudos)</w:t>
            </w:r>
          </w:p>
        </w:tc>
        <w:tc>
          <w:tcPr/>
          <w:p>
            <w:pPr>
              <w:pStyle w:val="Compact"/>
              <w:jc w:val="left"/>
            </w:pPr>
            <w:r>
              <w:t xml:space="preserve">Sridharan 2026, PMID 39924461</w:t>
            </w:r>
          </w:p>
        </w:tc>
      </w:tr>
      <w:tr>
        <w:tc>
          <w:tcPr/>
          <w:p>
            <w:pPr>
              <w:pStyle w:val="Compact"/>
              <w:jc w:val="left"/>
            </w:pPr>
            <w:r>
              <w:t xml:space="preserve">Elamipretida (SS-31)</w:t>
            </w:r>
          </w:p>
        </w:tc>
        <w:tc>
          <w:tcPr/>
          <w:p>
            <w:pPr>
              <w:pStyle w:val="Compact"/>
              <w:jc w:val="left"/>
            </w:pPr>
            <w:r>
              <w:t xml:space="preserve">80%, em geral leves</w:t>
            </w:r>
          </w:p>
        </w:tc>
        <w:tc>
          <w:tcPr/>
          <w:p>
            <w:pPr>
              <w:pStyle w:val="Compact"/>
              <w:jc w:val="left"/>
            </w:pPr>
            <w:r>
              <w:t xml:space="preserve">Karaa 2020, PMID 32096613</w:t>
            </w:r>
          </w:p>
        </w:tc>
      </w:tr>
      <w:tr>
        <w:tc>
          <w:tcPr/>
          <w:p>
            <w:pPr>
              <w:pStyle w:val="Compact"/>
              <w:jc w:val="left"/>
            </w:pPr>
            <w:r>
              <w:t xml:space="preserve">Mecasermina</w:t>
            </w:r>
          </w:p>
        </w:tc>
        <w:tc>
          <w:tcPr/>
          <w:p>
            <w:pPr>
              <w:pStyle w:val="Compact"/>
              <w:jc w:val="left"/>
            </w:pPr>
            <w:r>
              <w:t xml:space="preserve">alterações do tecido adiposo em 32%</w:t>
            </w:r>
          </w:p>
        </w:tc>
        <w:tc>
          <w:tcPr/>
          <w:p>
            <w:pPr>
              <w:pStyle w:val="Compact"/>
              <w:jc w:val="left"/>
            </w:pPr>
            <w:r>
              <w:t xml:space="preserve">Chernausek 2007, PMID 17192294</w:t>
            </w:r>
          </w:p>
        </w:tc>
      </w:tr>
      <w:tr>
        <w:tc>
          <w:tcPr/>
          <w:p>
            <w:pPr>
              <w:pStyle w:val="Compact"/>
              <w:jc w:val="left"/>
            </w:pPr>
            <w:r>
              <w:t xml:space="preserve">Tirzepatida</w:t>
            </w:r>
          </w:p>
        </w:tc>
        <w:tc>
          <w:tcPr/>
          <w:p>
            <w:pPr>
              <w:pStyle w:val="Compact"/>
              <w:jc w:val="left"/>
            </w:pPr>
            <w:r>
              <w:t xml:space="preserve">2 a 7%</w:t>
            </w:r>
          </w:p>
        </w:tc>
        <w:tc>
          <w:tcPr/>
          <w:p>
            <w:pPr>
              <w:pStyle w:val="Compact"/>
              <w:jc w:val="left"/>
            </w:pPr>
            <w:r>
              <w:t xml:space="preserve">Gupta 2026, PMID 42930571</w:t>
            </w:r>
          </w:p>
        </w:tc>
      </w:tr>
      <w:tr>
        <w:tc>
          <w:tcPr/>
          <w:p>
            <w:pPr>
              <w:pStyle w:val="Compact"/>
              <w:jc w:val="left"/>
            </w:pPr>
            <w:r>
              <w:t xml:space="preserve">Bremelanotida</w:t>
            </w:r>
          </w:p>
        </w:tc>
        <w:tc>
          <w:tcPr/>
          <w:p>
            <w:pPr>
              <w:pStyle w:val="Compact"/>
              <w:jc w:val="left"/>
            </w:pPr>
            <w:r>
              <w:t xml:space="preserve">5,4% vs. 0,5% com placebo</w:t>
            </w:r>
          </w:p>
        </w:tc>
        <w:tc>
          <w:tcPr/>
          <w:p>
            <w:pPr>
              <w:pStyle w:val="Compact"/>
              <w:jc w:val="left"/>
            </w:pPr>
            <w:r>
              <w:t xml:space="preserve">Clayton 2022, PMID 35147466</w:t>
            </w:r>
          </w:p>
        </w:tc>
      </w:tr>
    </w:tbl>
    <w:p>
      <w:pPr>
        <w:pStyle w:val="BodyText"/>
      </w:pPr>
      <w:r>
        <w:t xml:space="preserve">Na forma semanal da exenatida, formam-se frequentemente pequenos nódulos, porque as microesferas que liberam a substância lentamente são degradadas sob a pele. Na análise de cinco anos do DURATION-1, essas reações se tornaram mais raras com o tempo</w:t>
      </w:r>
      <w:r>
        <w:rPr>
          <w:rStyle w:val="FootnoteReference"/>
        </w:rPr>
        <w:footnoteReference w:id="2708"/>
      </w:r>
      <w:r>
        <w:t xml:space="preserve">. Na mecasermina, tratava-se de um espessamento do tecido adiposo no local da injeção (lipo-hipertrofia).</w:t>
      </w:r>
    </w:p>
    <w:p>
      <w:pPr>
        <w:pStyle w:val="BodyText"/>
      </w:pPr>
      <w:r>
        <w:t xml:space="preserve">Importante é a distinção da</w:t>
      </w:r>
      <w:r>
        <w:t xml:space="preserve"> </w:t>
      </w:r>
      <w:r>
        <w:rPr>
          <w:bCs/>
          <w:b/>
        </w:rPr>
        <w:t xml:space="preserve">infecção</w:t>
      </w:r>
      <w:r>
        <w:t xml:space="preserve">. Uma vermelhidão que aumenta ao longo de dias, fica quente, dói, supura ou vem acompanhada de febre não é uma reação inofensiva. Após injeções de Argireline na testa e nas têmporas, uma mulher de 45 anos desenvolveu nódulos e abscessos; a causa foi a bactéria de difícil tratamento</w:t>
      </w:r>
      <w:r>
        <w:t xml:space="preserve"> </w:t>
      </w:r>
      <w:r>
        <w:rPr>
          <w:iCs/>
          <w:i/>
        </w:rPr>
        <w:t xml:space="preserve">Mycobacterium abscessus</w:t>
      </w:r>
      <w:r>
        <w:t xml:space="preserve">, e o tratamento durou cinco meses</w:t>
      </w:r>
      <w:r>
        <w:rPr>
          <w:rStyle w:val="FootnoteReference"/>
        </w:rPr>
        <w:footnoteReference w:id="2709"/>
      </w:r>
      <w:r>
        <w:t xml:space="preserve">. Essas infecções em geral não vêm do peptídeo, mas de produtos ou procedimentos não estéreis – mais sobre isso no capítulo</w:t>
      </w:r>
      <w:r>
        <w:t xml:space="preserve"> </w:t>
      </w:r>
      <w:r>
        <w:t xml:space="preserve">“</w:t>
      </w:r>
      <w:r>
        <w:t xml:space="preserve">Produtos do mercado cinza</w:t>
      </w:r>
      <w:r>
        <w:t xml:space="preserve">”</w:t>
      </w:r>
      <w:r>
        <w:t xml:space="preserve">.</w:t>
      </w:r>
    </w:p>
    <w:bookmarkEnd w:id="2710"/>
    <w:bookmarkStart w:id="2719" w:name="reações-alérgicas-e-anafilaxia"/>
    <w:p>
      <w:pPr>
        <w:pStyle w:val="Heading3"/>
      </w:pPr>
      <w:r>
        <w:t xml:space="preserve">Reações alérgicas e anafilaxia</w:t>
      </w:r>
    </w:p>
    <w:p>
      <w:pPr>
        <w:pStyle w:val="FirstParagraph"/>
      </w:pPr>
      <w:r>
        <w:t xml:space="preserve">Uma anafilaxia é uma reação alérgica grave, que afeta o corpo todo, com erupção cutânea, inchaços, falta de ar e colapso circulatório. É rara com medicamentos peptídicos, mas ocorre.</w:t>
      </w:r>
    </w:p>
    <w:p>
      <w:pPr>
        <w:pStyle w:val="BodyText"/>
      </w:pPr>
      <w:r>
        <w:t xml:space="preserve">Para os medicamentos de GLP-1, há grandes estudos de bancos de dados sobre isso. Em três bancos de dados de seguradoras dos EUA, com 696.089 novos usuários, a frequência de anafilaxia ficou, conforme a substância, entre 1,0 (lixisenatida) e 6,0 (exenatida) casos por 10.000 pessoas-ano; os autores avaliam a anafilaxia com medicamentos de GLP-1 como rara</w:t>
      </w:r>
      <w:r>
        <w:rPr>
          <w:rStyle w:val="FootnoteReference"/>
        </w:rPr>
        <w:footnoteReference w:id="2711"/>
      </w:r>
      <w:r>
        <w:t xml:space="preserve">. Um estudo do Reino Unido e dos EUA comparou agonistas do receptor de GLP-1 com dois outros grupos de antidiabéticos. Em relação aos inibidores da DPP-4, o risco não estava comprovadamente aumentado (hazard ratio 1,15); em relação aos inibidores do SGLT2, estava 38% maior (40,7 contra 29,4 casos por 100.000 pessoas-ano)</w:t>
      </w:r>
      <w:r>
        <w:rPr>
          <w:rStyle w:val="FootnoteReference"/>
        </w:rPr>
        <w:footnoteReference w:id="2712"/>
      </w:r>
      <w:r>
        <w:t xml:space="preserve">. É um aumento relativo em uma reação absolutamente muito rara.</w:t>
      </w:r>
    </w:p>
    <w:p>
      <w:pPr>
        <w:pStyle w:val="BodyText"/>
      </w:pPr>
      <w:r>
        <w:t xml:space="preserve">Casos isolados mostram como essas reações podem ser:</w:t>
      </w:r>
    </w:p>
    <w:p>
      <w:pPr>
        <w:numPr>
          <w:ilvl w:val="0"/>
          <w:numId w:val="1343"/>
        </w:numPr>
        <w:pStyle w:val="Compact"/>
      </w:pPr>
      <w:r>
        <w:t xml:space="preserve">Relatos de caso descrevem anafilaxia com a forma semanal da exenatida</w:t>
      </w:r>
      <w:r>
        <w:rPr>
          <w:rStyle w:val="FootnoteReference"/>
        </w:rPr>
        <w:footnoteReference w:id="2713"/>
      </w:r>
      <w:r>
        <w:t xml:space="preserve"> </w:t>
      </w:r>
      <w:r>
        <w:t xml:space="preserve">e uma reação alérgica à exenatida e à lixisenatida, mas não à liraglutida</w:t>
      </w:r>
      <w:r>
        <w:rPr>
          <w:rStyle w:val="FootnoteReference"/>
        </w:rPr>
        <w:footnoteReference w:id="2714"/>
      </w:r>
      <w:r>
        <w:t xml:space="preserve"> </w:t>
      </w:r>
      <w:r>
        <w:t xml:space="preserve">– um indício de que as substâncias derivadas de lagartos são reconhecidas de forma diferente das semelhantes às humanas.</w:t>
      </w:r>
    </w:p>
    <w:p>
      <w:pPr>
        <w:numPr>
          <w:ilvl w:val="0"/>
          <w:numId w:val="1343"/>
        </w:numPr>
        <w:pStyle w:val="Compact"/>
      </w:pPr>
      <w:r>
        <w:t xml:space="preserve">Com tirzepatida, está descrita uma anafilaxia bifásica, em que os sintomas voltaram após uma melhora inicial</w:t>
      </w:r>
      <w:r>
        <w:rPr>
          <w:rStyle w:val="FootnoteReference"/>
        </w:rPr>
        <w:footnoteReference w:id="2715"/>
      </w:r>
      <w:r>
        <w:t xml:space="preserve">.</w:t>
      </w:r>
    </w:p>
    <w:p>
      <w:pPr>
        <w:numPr>
          <w:ilvl w:val="0"/>
          <w:numId w:val="1343"/>
        </w:numPr>
        <w:pStyle w:val="Compact"/>
      </w:pPr>
      <w:r>
        <w:t xml:space="preserve">Uma mulher de 50 anos desenvolveu, quatro horas após sua primeira injeção de semaglutida de uma farmácia de manipulação, um inchaço maciço de lábios, língua e garganta e precisou de ventilação mecânica por quatro dias. Só depois se descobriu que ela havia injetado acidentalmente dez vezes a quantidade</w:t>
      </w:r>
      <w:r>
        <w:rPr>
          <w:rStyle w:val="FootnoteReference"/>
        </w:rPr>
        <w:footnoteReference w:id="2716"/>
      </w:r>
      <w:r>
        <w:t xml:space="preserve">.</w:t>
      </w:r>
    </w:p>
    <w:p>
      <w:pPr>
        <w:numPr>
          <w:ilvl w:val="0"/>
          <w:numId w:val="1343"/>
        </w:numPr>
        <w:pStyle w:val="Compact"/>
      </w:pPr>
      <w:r>
        <w:t xml:space="preserve">Após uma infusão de Cerebrolysin, um homem de 85 anos desenvolveu uma anafilaxia potencialmente fatal, confirmada em laboratório</w:t>
      </w:r>
      <w:r>
        <w:rPr>
          <w:rStyle w:val="FootnoteReference"/>
        </w:rPr>
        <w:footnoteReference w:id="2717"/>
      </w:r>
      <w:r>
        <w:t xml:space="preserve">. O Cerebrolysin é uma mistura de peptídeos de cérebro de porco; extratos animais como este ou o timalina trazem, por princípio, mais proteínas estranhas (capítulos Cerebrolysin, Timalina).</w:t>
      </w:r>
    </w:p>
    <w:p>
      <w:pPr>
        <w:pStyle w:val="FirstParagraph"/>
      </w:pPr>
      <w:r>
        <w:t xml:space="preserve">Também com peptídeos cosméticos alergias são possíveis, ainda que raras. Em um pequeno estudo com um creme que continha, entre outros, palmitoil pentapeptídeo-4, houve suspeita de uma reação alérgica; qual componente foi responsável ficou em aberto</w:t>
      </w:r>
      <w:r>
        <w:rPr>
          <w:rStyle w:val="FootnoteReference"/>
        </w:rPr>
        <w:footnoteReference w:id="2718"/>
      </w:r>
      <w:r>
        <w:t xml:space="preserve">.</w:t>
      </w:r>
    </w:p>
    <w:p>
      <w:pPr>
        <w:pStyle w:val="BodyText"/>
      </w:pPr>
      <w:r>
        <w:t xml:space="preserve">Para peptídeos do mercado cinza, não há dados de frequência. O risco de uma reação alérgica grave, porém, existe ali em grau especial, porque o uso em geral ocorre sem supervisão médica e, em caso de emergência, ninguém está pronto com medicamentos de emergência. Falta de ar, inchaços no rosto ou na garganta e problemas circulatórios após uma injeção são sempre uma emergência.</w:t>
      </w:r>
    </w:p>
    <w:bookmarkEnd w:id="2719"/>
    <w:bookmarkStart w:id="2724" w:name="reações-inflamatórias-e-autoimunes"/>
    <w:p>
      <w:pPr>
        <w:pStyle w:val="Heading3"/>
      </w:pPr>
      <w:r>
        <w:t xml:space="preserve">Reações inflamatórias e autoimunes</w:t>
      </w:r>
    </w:p>
    <w:p>
      <w:pPr>
        <w:pStyle w:val="FirstParagraph"/>
      </w:pPr>
      <w:r>
        <w:t xml:space="preserve">Alguns peptídeos fazem eles próprios parte do sistema imunológico. Isso os torna interessantes, mas também arriscados.</w:t>
      </w:r>
    </w:p>
    <w:p>
      <w:pPr>
        <w:pStyle w:val="BodyText"/>
      </w:pPr>
      <w:r>
        <w:t xml:space="preserve">O</w:t>
      </w:r>
      <w:r>
        <w:t xml:space="preserve"> </w:t>
      </w:r>
      <w:r>
        <w:rPr>
          <w:bCs/>
          <w:b/>
        </w:rPr>
        <w:t xml:space="preserve">LL-37</w:t>
      </w:r>
      <w:r>
        <w:t xml:space="preserve"> </w:t>
      </w:r>
      <w:r>
        <w:t xml:space="preserve">é um peptídeo de defesa do próprio corpo. Na psoríase, ele tem um papel-chave: liga-se ao material genético do próprio corpo e o torna visível para determinadas células imunológicas, que em seguida liberam mensageiros inflamatórios</w:t>
      </w:r>
      <w:r>
        <w:rPr>
          <w:rStyle w:val="FootnoteReference"/>
        </w:rPr>
        <w:footnoteReference w:id="2720"/>
      </w:r>
      <w:r>
        <w:t xml:space="preserve">. Em dois terços das pessoas com psoríase moderada a grave, encontraram-se células T que reconhecem especificamente o LL-37 – ali ele age, portanto, como um autoantígeno</w:t>
      </w:r>
      <w:r>
        <w:rPr>
          <w:rStyle w:val="FootnoteReference"/>
        </w:rPr>
        <w:footnoteReference w:id="2721"/>
      </w:r>
      <w:r>
        <w:t xml:space="preserve">. Após injeções de LL-37 em metástases cutâneas, surgiram em uma paciente lesões cutâneas inflamatórias semelhantes a verrugas</w:t>
      </w:r>
      <w:r>
        <w:rPr>
          <w:rStyle w:val="FootnoteReference"/>
        </w:rPr>
        <w:footnoteReference w:id="2722"/>
      </w:r>
      <w:r>
        <w:t xml:space="preserve">. Para pessoas com psoríase, rosácea ou outras doenças autoimunes, esse é um indício a ser levado a sério (capítulo LL-37).</w:t>
      </w:r>
    </w:p>
    <w:p>
      <w:pPr>
        <w:pStyle w:val="BodyText"/>
      </w:pPr>
      <w:r>
        <w:rPr>
          <w:bCs/>
          <w:b/>
        </w:rPr>
        <w:t xml:space="preserve">Peptídeos imunoestimulantes</w:t>
      </w:r>
      <w:r>
        <w:t xml:space="preserve"> </w:t>
      </w:r>
      <w:r>
        <w:t xml:space="preserve">como a timosina alfa-1 e o timalina supostamente estimulam a defesa. Se isso causa danos em doenças autoimunes ou após transplantes de órgãos não foi investigado (capítulos Timosina alfa-1, Timalina).</w:t>
      </w:r>
    </w:p>
    <w:p>
      <w:pPr>
        <w:pStyle w:val="BodyText"/>
      </w:pPr>
      <w:r>
        <w:t xml:space="preserve">Nos medicamentos de GLP-1, uma revisão sistemática descreve, além das reações cutâneas leves frequentes, doenças imunomediadas raras, mas potencialmente graves, entre elas angioedemas, doenças autoimunes bolhosas, erupções medicamentosas e inflamações vasculares</w:t>
      </w:r>
      <w:r>
        <w:rPr>
          <w:rStyle w:val="FootnoteReference"/>
        </w:rPr>
        <w:footnoteReference w:id="2723"/>
      </w:r>
      <w:r>
        <w:t xml:space="preserve">. Com que frequência ocorrem não pode ser deduzido de relatos de caso.</w:t>
      </w:r>
    </w:p>
    <w:bookmarkEnd w:id="2724"/>
    <w:bookmarkStart w:id="2730" w:name="impurezas-como-desencadeantes"/>
    <w:p>
      <w:pPr>
        <w:pStyle w:val="Heading3"/>
      </w:pPr>
      <w:r>
        <w:t xml:space="preserve">Impurezas como desencadeantes</w:t>
      </w:r>
    </w:p>
    <w:p>
      <w:pPr>
        <w:pStyle w:val="FirstParagraph"/>
      </w:pPr>
      <w:r>
        <w:t xml:space="preserve">Parte das reações imunológicas não se deve ao próprio peptídeo, mas ao que entra adicionalmente no frasco durante sua fabricação.</w:t>
      </w:r>
    </w:p>
    <w:p>
      <w:pPr>
        <w:pStyle w:val="BodyText"/>
      </w:pPr>
      <w:r>
        <w:rPr>
          <w:bCs/>
          <w:b/>
        </w:rPr>
        <w:t xml:space="preserve">Peptídeos defeituosos.</w:t>
      </w:r>
      <w:r>
        <w:t xml:space="preserve"> </w:t>
      </w:r>
      <w:r>
        <w:t xml:space="preserve">Na síntese química, surgem moléculas em que falta um componente, em que ele aparece duplicado ou está quimicamente alterado. Essas impurezas podem conter estruturas novas reconhecidas pelas células T do sistema imunológico. Por isso, a agência norte-americana de medicamentos exige, para genéricos de peptídeos sintéticos, informações sobre cada nova impureza em comparação com o preparado original</w:t>
      </w:r>
      <w:r>
        <w:rPr>
          <w:rStyle w:val="FootnoteReference"/>
        </w:rPr>
        <w:footnoteReference w:id="2725"/>
      </w:r>
      <w:r>
        <w:t xml:space="preserve">. Como é essa avaliação mostra uma investigação de genéricos do peptídeo para osteoporose teriparatida, em que as impurezas foram avaliadas com métodos computacionais, testes de ligação e experimentos com células imunológicas humanas</w:t>
      </w:r>
      <w:r>
        <w:rPr>
          <w:rStyle w:val="FootnoteReference"/>
        </w:rPr>
        <w:footnoteReference w:id="2726"/>
      </w:r>
      <w:r>
        <w:t xml:space="preserve">.</w:t>
      </w:r>
    </w:p>
    <w:p>
      <w:pPr>
        <w:pStyle w:val="BodyText"/>
      </w:pPr>
      <w:r>
        <w:rPr>
          <w:bCs/>
          <w:b/>
        </w:rPr>
        <w:t xml:space="preserve">Genéricos e cópias de GLP-1.</w:t>
      </w:r>
      <w:r>
        <w:t xml:space="preserve"> </w:t>
      </w:r>
      <w:r>
        <w:t xml:space="preserve">Uma análise ligada a um fabricante de 16 cópias injetáveis e 8 orais de semaglutida encontrou novas impurezas, entre elas moléculas proteicas maiores, e novos sítios de reconhecimento pelo sistema imunológico previstos por métodos computacionais; nas cópias de liraglutida, mostrou-se uma tendência maior à agregação</w:t>
      </w:r>
      <w:r>
        <w:rPr>
          <w:rStyle w:val="FootnoteReference"/>
        </w:rPr>
        <w:footnoteReference w:id="2727"/>
      </w:r>
      <w:r>
        <w:t xml:space="preserve">. Se essas diferenças de fato provocam mais anticorpos em humanos não foi medido. Que um genérico sintético fabricado com cuidado não é automaticamente mais problemático é mostrado por outra investigação: um genérico sintético de liraglutida não estimulou células imunológicas humanas no laboratório mais do que o original produzido por engenharia genética</w:t>
      </w:r>
      <w:r>
        <w:rPr>
          <w:rStyle w:val="FootnoteReference"/>
        </w:rPr>
        <w:footnoteReference w:id="2728"/>
      </w:r>
      <w:r>
        <w:t xml:space="preserve">. Decisivo, portanto, não é o tipo de fabricação, mas o controle de qualidade.</w:t>
      </w:r>
    </w:p>
    <w:p>
      <w:pPr>
        <w:pStyle w:val="BodyText"/>
      </w:pPr>
      <w:r>
        <w:rPr>
          <w:bCs/>
          <w:b/>
        </w:rPr>
        <w:t xml:space="preserve">Endotoxinas e germes.</w:t>
      </w:r>
      <w:r>
        <w:t xml:space="preserve"> </w:t>
      </w:r>
      <w:r>
        <w:t xml:space="preserve">Endotoxinas, componentes da parede celular de bactérias, ativam diretamente o sistema imunológico inato e podem desencadear febre, calafrios e reações circulatórias. Em compras de teste de semaglutida em farmácias online ilegais, elas foram detectáveis em todas as amostras (Ashraf 2024, PMID 39509151; detalhes na Parte I). Um laboratório de controle detectou em dois preparados peptídicos ilegais para injeção a bactéria</w:t>
      </w:r>
      <w:r>
        <w:t xml:space="preserve"> </w:t>
      </w:r>
      <w:r>
        <w:rPr>
          <w:iCs/>
          <w:i/>
        </w:rPr>
        <w:t xml:space="preserve">Bacillus cereus</w:t>
      </w:r>
      <w:r>
        <w:t xml:space="preserve">, que pode destruir glóbulos vermelhos</w:t>
      </w:r>
      <w:r>
        <w:rPr>
          <w:rStyle w:val="FootnoteReference"/>
        </w:rPr>
        <w:footnoteReference w:id="2729"/>
      </w:r>
      <w:r>
        <w:t xml:space="preserve">.</w:t>
      </w:r>
    </w:p>
    <w:p>
      <w:pPr>
        <w:pStyle w:val="BodyText"/>
      </w:pPr>
      <w:r>
        <w:t xml:space="preserve">Para o mercado cinza, isso significa: mesmo que um peptídeo em si seja pouco imunogênico, o produto pode sê-lo. E como, para a mercadoria do mercado cinza, não são verificados nem perfis de impurezas nem limites de endotoxinas, dificilmente é possível atribuir posteriormente uma reação a um componente.</w:t>
      </w:r>
    </w:p>
    <w:bookmarkEnd w:id="2730"/>
    <w:bookmarkStart w:id="2731" w:name="o-que-isso-significa-na-prática"/>
    <w:p>
      <w:pPr>
        <w:pStyle w:val="Heading3"/>
      </w:pPr>
      <w:r>
        <w:t xml:space="preserve">O que isso significa na prática</w:t>
      </w:r>
    </w:p>
    <w:p>
      <w:pPr>
        <w:numPr>
          <w:ilvl w:val="0"/>
          <w:numId w:val="1344"/>
        </w:numPr>
        <w:pStyle w:val="Compact"/>
      </w:pPr>
      <w:r>
        <w:t xml:space="preserve">Anticorpos contra medicamentos peptídicos são frequentes, mas em geral sem consequências. Na exenatida, títulos altos podem atenuar o efeito; na tirzepatida, estão associados a um pouco mais de reações cutâneas e de hipersensibilidade.</w:t>
      </w:r>
    </w:p>
    <w:p>
      <w:pPr>
        <w:numPr>
          <w:ilvl w:val="0"/>
          <w:numId w:val="1344"/>
        </w:numPr>
        <w:pStyle w:val="Compact"/>
      </w:pPr>
      <w:r>
        <w:t xml:space="preserve">Reações no local da injeção são a reação imunológica mais frequente, em alguns peptídeos quase a regra. Vermelhidão crescente, calor, pus ou febre, por outro lado, indicam uma infecção.</w:t>
      </w:r>
    </w:p>
    <w:p>
      <w:pPr>
        <w:numPr>
          <w:ilvl w:val="0"/>
          <w:numId w:val="1344"/>
        </w:numPr>
        <w:pStyle w:val="Compact"/>
      </w:pPr>
      <w:r>
        <w:t xml:space="preserve">A anafilaxia é muito rara com medicamentos de GLP-1 aprovados – na ordem de poucos casos por 10.000 anos de tratamento. Há relatos de caso também com tirzepatida, Cerebrolysin e com uma superdosagem acidental.</w:t>
      </w:r>
    </w:p>
    <w:p>
      <w:pPr>
        <w:numPr>
          <w:ilvl w:val="0"/>
          <w:numId w:val="1344"/>
        </w:numPr>
        <w:pStyle w:val="Compact"/>
      </w:pPr>
      <w:r>
        <w:t xml:space="preserve">Para a maioria dos peptídeos do mercado cinza, faltam completamente dados sobre anticorpos e alergias. Impurezas e endotoxinas são ali um risco adicional e incalculável.</w:t>
      </w:r>
    </w:p>
    <w:p>
      <w:pPr>
        <w:numPr>
          <w:ilvl w:val="0"/>
          <w:numId w:val="1344"/>
        </w:numPr>
        <w:pStyle w:val="Compact"/>
      </w:pPr>
      <w:r>
        <w:t xml:space="preserve">Quem já reagiu alergicamente a um peptídeo deve informar isso em todo tratamento médico. Se substâncias aparentadas são toleradas só pode ser esclarecido pelo médico.</w:t>
      </w:r>
    </w:p>
    <w:bookmarkEnd w:id="2731"/>
    <w:bookmarkEnd w:id="2732"/>
    <w:bookmarkStart w:id="2776" w:name="X768d46680b29e74830241d12ae8d5abdb04d9d9"/>
    <w:p>
      <w:pPr>
        <w:pStyle w:val="Heading2"/>
      </w:pPr>
      <w:r>
        <w:t xml:space="preserve">Produtos do mercado cinza: o que as análises laboratoriais mostram</w:t>
      </w:r>
    </w:p>
    <w:p>
      <w:pPr>
        <w:pStyle w:val="FirstParagraph"/>
      </w:pPr>
      <w:r>
        <w:t xml:space="preserve">A Parte I descreveu, no capítulo</w:t>
      </w:r>
      <w:r>
        <w:t xml:space="preserve"> </w:t>
      </w:r>
      <w:r>
        <w:t xml:space="preserve">“</w:t>
      </w:r>
      <w:r>
        <w:t xml:space="preserve">O mercado cinza</w:t>
      </w:r>
      <w:r>
        <w:t xml:space="preserve">”</w:t>
      </w:r>
      <w:r>
        <w:t xml:space="preserve">, o que são os</w:t>
      </w:r>
      <w:r>
        <w:t xml:space="preserve"> </w:t>
      </w:r>
      <w:r>
        <w:t xml:space="preserve">“</w:t>
      </w:r>
      <w:r>
        <w:t xml:space="preserve">research peptides</w:t>
      </w:r>
      <w:r>
        <w:t xml:space="preserve">”</w:t>
      </w:r>
      <w:r>
        <w:t xml:space="preserve"> </w:t>
      </w:r>
      <w:r>
        <w:t xml:space="preserve">e apresentou achados isolados de grande repercussão: pó de semaglutida com pureza de 7,7 a 14,4%, frascos de melanotan com menos da metade da quantidade declarada, Ozempic falsificado com insulina. Este capítulo vai um passo além. Pergunta quem analisa esses produtos, quais tipos de falha se repetem ao longo de muitas investigações, o que essas análises não conseguem mostrar – e o que os dados dos centros de informação toxicológica revelam sobre as consequências de erros de dose com medicamentos de GLP-1.</w:t>
      </w:r>
    </w:p>
    <w:bookmarkStart w:id="2734" w:name="quem-analisa-produtos-do-mercado-cinza"/>
    <w:p>
      <w:pPr>
        <w:pStyle w:val="Heading3"/>
      </w:pPr>
      <w:r>
        <w:t xml:space="preserve">Quem analisa produtos do mercado cinza</w:t>
      </w:r>
    </w:p>
    <w:p>
      <w:pPr>
        <w:pStyle w:val="FirstParagraph"/>
      </w:pPr>
      <w:r>
        <w:t xml:space="preserve">A maioria dos dados vem de três fontes.</w:t>
      </w:r>
    </w:p>
    <w:p>
      <w:pPr>
        <w:pStyle w:val="BodyText"/>
      </w:pPr>
      <w:r>
        <w:rPr>
          <w:bCs/>
          <w:b/>
        </w:rPr>
        <w:t xml:space="preserve">Laboratórios oficiais de controle de medicamentos.</w:t>
      </w:r>
      <w:r>
        <w:t xml:space="preserve"> </w:t>
      </w:r>
      <w:r>
        <w:t xml:space="preserve">Na Europa, eles trabalham em uma rede coordenada pela Direção Europeia da Qualidade dos Medicamentos. Analisam amostras apreendidas pela alfândega, pela polícia ou por autoridades sanitárias. Um laboratório belga desenvolveu, por exemplo, um método de triagem com o qual 25 peptídeos diferentes podem ser identificados de uma só vez em preparados injetáveis desconhecidos – entre eles também alguns que ainda nem haviam sido apreendidos, mas já eram discutidos em fóruns da internet</w:t>
      </w:r>
      <w:r>
        <w:rPr>
          <w:rStyle w:val="FootnoteReference"/>
        </w:rPr>
        <w:footnoteReference w:id="2733"/>
      </w:r>
      <w:r>
        <w:t xml:space="preserve">.</w:t>
      </w:r>
    </w:p>
    <w:p>
      <w:pPr>
        <w:pStyle w:val="BodyText"/>
      </w:pPr>
      <w:r>
        <w:rPr>
          <w:bCs/>
          <w:b/>
        </w:rPr>
        <w:t xml:space="preserve">Laboratórios antidoping e forenses.</w:t>
      </w:r>
      <w:r>
        <w:t xml:space="preserve"> </w:t>
      </w:r>
      <w:r>
        <w:t xml:space="preserve">Eles analisam mercadorias apreendidas no meio esportivo para manter seus métodos de detecção atualizados. Os achados de Colônia, da Noruega e da Dinamarca da Parte I vêm dessa fonte.</w:t>
      </w:r>
    </w:p>
    <w:p>
      <w:pPr>
        <w:pStyle w:val="BodyText"/>
      </w:pPr>
      <w:r>
        <w:rPr>
          <w:bCs/>
          <w:b/>
        </w:rPr>
        <w:t xml:space="preserve">Compras de teste por grupos de pesquisa.</w:t>
      </w:r>
      <w:r>
        <w:t xml:space="preserve"> </w:t>
      </w:r>
      <w:r>
        <w:t xml:space="preserve">Eles compram de forma direcionada produtos de fornecedores online e verificam o que chega. Essas investigações são mais raras, mas são as que mais se aproximam da situação dos compradores.</w:t>
      </w:r>
    </w:p>
    <w:p>
      <w:pPr>
        <w:pStyle w:val="BodyText"/>
      </w:pPr>
      <w:r>
        <w:t xml:space="preserve">São usados métodos que respondem a perguntas diferentes: a espectrometria de massas mostra</w:t>
      </w:r>
      <w:r>
        <w:t xml:space="preserve"> </w:t>
      </w:r>
      <w:r>
        <w:rPr>
          <w:iCs/>
          <w:i/>
        </w:rPr>
        <w:t xml:space="preserve">qual</w:t>
      </w:r>
      <w:r>
        <w:t xml:space="preserve"> </w:t>
      </w:r>
      <w:r>
        <w:t xml:space="preserve">substância está presente; a cromatografia líquida mede</w:t>
      </w:r>
      <w:r>
        <w:t xml:space="preserve"> </w:t>
      </w:r>
      <w:r>
        <w:rPr>
          <w:iCs/>
          <w:i/>
        </w:rPr>
        <w:t xml:space="preserve">quanto</w:t>
      </w:r>
      <w:r>
        <w:t xml:space="preserve"> </w:t>
      </w:r>
      <w:r>
        <w:t xml:space="preserve">e</w:t>
      </w:r>
      <w:r>
        <w:t xml:space="preserve"> </w:t>
      </w:r>
      <w:r>
        <w:rPr>
          <w:iCs/>
          <w:i/>
        </w:rPr>
        <w:t xml:space="preserve">com que pureza</w:t>
      </w:r>
      <w:r>
        <w:t xml:space="preserve">; métodos especiais detectam metais, resíduos de solventes, bactérias ou endotoxinas. Nenhum laboratório verifica tudo rotineiramente. Se um relatório determina apenas a identidade, ele nada diz sobre germes, e vice-versa.</w:t>
      </w:r>
    </w:p>
    <w:bookmarkEnd w:id="2734"/>
    <w:bookmarkStart w:id="2754" w:name="Xd0a8a4adbac98b9196690e3d34dce63b82e43d1"/>
    <w:p>
      <w:pPr>
        <w:pStyle w:val="Heading3"/>
      </w:pPr>
      <w:r>
        <w:t xml:space="preserve">Quatro tipos de falha que sempre se repetem</w:t>
      </w:r>
    </w:p>
    <w:p>
      <w:pPr>
        <w:pStyle w:val="FirstParagraph"/>
      </w:pPr>
      <w:r>
        <w:t xml:space="preserve">Considerando as análises em conjunto, os achados podem ser organizados em quatro grupos.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 de falha</w:t>
            </w:r>
          </w:p>
        </w:tc>
        <w:tc>
          <w:tcPr/>
          <w:p>
            <w:pPr>
              <w:pStyle w:val="Compact"/>
              <w:jc w:val="left"/>
            </w:pPr>
            <w:r>
              <w:t xml:space="preserve">Exemplos de análises</w:t>
            </w:r>
          </w:p>
        </w:tc>
        <w:tc>
          <w:tcPr/>
          <w:p>
            <w:pPr>
              <w:pStyle w:val="Compact"/>
              <w:jc w:val="left"/>
            </w:pPr>
            <w:r>
              <w:t xml:space="preserve">Fonte</w:t>
            </w:r>
          </w:p>
        </w:tc>
      </w:tr>
      <w:tr>
        <w:tc>
          <w:tcPr/>
          <w:p>
            <w:pPr>
              <w:pStyle w:val="Compact"/>
              <w:jc w:val="left"/>
            </w:pPr>
            <w:r>
              <w:t xml:space="preserve">Substância errada ou ausente</w:t>
            </w:r>
          </w:p>
        </w:tc>
        <w:tc>
          <w:tcPr/>
          <w:p>
            <w:pPr>
              <w:pStyle w:val="Compact"/>
              <w:jc w:val="left"/>
            </w:pPr>
            <w:r>
              <w:t xml:space="preserve">9 de 36 amostras apreendidas sem peptídeo ou proteína</w:t>
            </w:r>
          </w:p>
        </w:tc>
        <w:tc>
          <w:tcPr/>
          <w:p>
            <w:pPr>
              <w:pStyle w:val="Compact"/>
              <w:jc w:val="left"/>
            </w:pPr>
            <w:r>
              <w:t xml:space="preserve">Høj 2021, PMID 33686802</w:t>
            </w:r>
          </w:p>
        </w:tc>
      </w:tr>
      <w:tr>
        <w:tc>
          <w:tcPr/>
          <w:p>
            <w:pPr>
              <w:pStyle w:val="Compact"/>
              <w:jc w:val="left"/>
            </w:pPr>
            <w:r>
              <w:t xml:space="preserve">Quantidade errada</w:t>
            </w:r>
          </w:p>
        </w:tc>
        <w:tc>
          <w:tcPr/>
          <w:p>
            <w:pPr>
              <w:pStyle w:val="Compact"/>
              <w:jc w:val="left"/>
            </w:pPr>
            <w:r>
              <w:t xml:space="preserve">apenas 41% de 44 produtos da internet com quantidade correta de substância</w:t>
            </w:r>
          </w:p>
        </w:tc>
        <w:tc>
          <w:tcPr/>
          <w:p>
            <w:pPr>
              <w:pStyle w:val="Compact"/>
              <w:jc w:val="left"/>
            </w:pPr>
            <w:r>
              <w:t xml:space="preserve">Van Wagoner 2017, PMID 29183075</w:t>
            </w:r>
          </w:p>
        </w:tc>
      </w:tr>
      <w:tr>
        <w:tc>
          <w:tcPr/>
          <w:p>
            <w:pPr>
              <w:pStyle w:val="Compact"/>
              <w:jc w:val="left"/>
            </w:pPr>
            <w:r>
              <w:t xml:space="preserve">Baixa pureza, produtos de degradação</w:t>
            </w:r>
          </w:p>
        </w:tc>
        <w:tc>
          <w:tcPr/>
          <w:p>
            <w:pPr>
              <w:pStyle w:val="Compact"/>
              <w:jc w:val="left"/>
            </w:pPr>
            <w:r>
              <w:t xml:space="preserve">pureza de 5 a 75% em determinados peptídeos</w:t>
            </w:r>
          </w:p>
        </w:tc>
        <w:tc>
          <w:tcPr/>
          <w:p>
            <w:pPr>
              <w:pStyle w:val="Compact"/>
              <w:jc w:val="left"/>
            </w:pPr>
            <w:r>
              <w:t xml:space="preserve">Janvier 2018, PMID 30029448</w:t>
            </w:r>
          </w:p>
        </w:tc>
      </w:tr>
      <w:tr>
        <w:tc>
          <w:tcPr/>
          <w:p>
            <w:pPr>
              <w:pStyle w:val="Compact"/>
              <w:jc w:val="left"/>
            </w:pPr>
            <w:r>
              <w:t xml:space="preserve">Substâncias acompanhantes perigosas</w:t>
            </w:r>
          </w:p>
        </w:tc>
        <w:tc>
          <w:tcPr/>
          <w:p>
            <w:pPr>
              <w:pStyle w:val="Compact"/>
              <w:jc w:val="left"/>
            </w:pPr>
            <w:r>
              <w:t xml:space="preserve">arsênio e chumbo, em parte até dez vezes o limite</w:t>
            </w:r>
          </w:p>
        </w:tc>
        <w:tc>
          <w:tcPr/>
          <w:p>
            <w:pPr>
              <w:pStyle w:val="Compact"/>
              <w:jc w:val="left"/>
            </w:pPr>
            <w:r>
              <w:t xml:space="preserve">Janvier 2018, PMID 30029448</w:t>
            </w:r>
          </w:p>
        </w:tc>
      </w:tr>
    </w:tbl>
    <w:bookmarkStart w:id="2740" w:name="substância-errada-ou-nenhuma-substância"/>
    <w:p>
      <w:pPr>
        <w:pStyle w:val="Heading4"/>
      </w:pPr>
      <w:r>
        <w:t xml:space="preserve">Substância errada ou nenhuma substância</w:t>
      </w:r>
    </w:p>
    <w:p>
      <w:pPr>
        <w:pStyle w:val="FirstParagraph"/>
      </w:pPr>
      <w:r>
        <w:t xml:space="preserve">Um laboratório forense dinamarquês recebeu em 2019 36 amostras apreendidas em que se suspeitava haver peptídeos ou proteínas. 15 continham uma substância dopante proibida, 12 uma substância que não constava da lista de doping dinamarquesa, e 9 não continham nenhum peptídeo ou proteína</w:t>
      </w:r>
      <w:r>
        <w:rPr>
          <w:rStyle w:val="FootnoteReference"/>
        </w:rPr>
        <w:footnoteReference w:id="2735"/>
      </w:r>
      <w:r>
        <w:t xml:space="preserve">. Em uma operação aduaneira em toda a Europa, os laboratórios relataram, entre os preparados injetáveis apreendidos, hormônio do crescimento, sermorelina, Melanotan II e preparados sem nenhuma substância ativa; as remessas eram, em média, grandes demais para uso próprio e provavelmente destinadas em parte à revenda</w:t>
      </w:r>
      <w:r>
        <w:rPr>
          <w:rStyle w:val="FootnoteReference"/>
        </w:rPr>
        <w:footnoteReference w:id="2736"/>
      </w:r>
      <w:r>
        <w:t xml:space="preserve">. Em um caso belga, um preparado que se supunha ser IGF-1 continha, em vez disso, outro fator de crescimento, o fator de crescimento epidérmico EGF</w:t>
      </w:r>
      <w:r>
        <w:rPr>
          <w:rStyle w:val="FootnoteReference"/>
        </w:rPr>
        <w:footnoteReference w:id="2737"/>
      </w:r>
      <w:r>
        <w:t xml:space="preserve">.</w:t>
      </w:r>
    </w:p>
    <w:p>
      <w:pPr>
        <w:pStyle w:val="BodyText"/>
      </w:pPr>
      <w:r>
        <w:t xml:space="preserve">Um laboratório de doping equino analisou produtos oferecidos na internet com as denominações</w:t>
      </w:r>
      <w:r>
        <w:t xml:space="preserve"> </w:t>
      </w:r>
      <w:r>
        <w:t xml:space="preserve">“</w:t>
      </w:r>
      <w:r>
        <w:t xml:space="preserve">TB500</w:t>
      </w:r>
      <w:r>
        <w:t xml:space="preserve">”</w:t>
      </w:r>
      <w:r>
        <w:t xml:space="preserve">,</w:t>
      </w:r>
      <w:r>
        <w:t xml:space="preserve"> </w:t>
      </w:r>
      <w:r>
        <w:t xml:space="preserve">“</w:t>
      </w:r>
      <w:r>
        <w:t xml:space="preserve">TB1000</w:t>
      </w:r>
      <w:r>
        <w:t xml:space="preserve">”</w:t>
      </w:r>
      <w:r>
        <w:t xml:space="preserve"> </w:t>
      </w:r>
      <w:r>
        <w:t xml:space="preserve">e</w:t>
      </w:r>
      <w:r>
        <w:t xml:space="preserve"> </w:t>
      </w:r>
      <w:r>
        <w:t xml:space="preserve">“</w:t>
      </w:r>
      <w:r>
        <w:t xml:space="preserve">SGF1000</w:t>
      </w:r>
      <w:r>
        <w:t xml:space="preserve">”</w:t>
      </w:r>
      <w:r>
        <w:t xml:space="preserve">. O conteúdo dos produtos TB não correspondia sempre às descrições anteriores. O</w:t>
      </w:r>
      <w:r>
        <w:t xml:space="preserve"> </w:t>
      </w:r>
      <w:r>
        <w:t xml:space="preserve">“</w:t>
      </w:r>
      <w:r>
        <w:t xml:space="preserve">SGF1000</w:t>
      </w:r>
      <w:r>
        <w:t xml:space="preserve">”</w:t>
      </w:r>
      <w:r>
        <w:t xml:space="preserve"> </w:t>
      </w:r>
      <w:r>
        <w:t xml:space="preserve">consistia predominantemente em proteínas do tecido conjuntivo e do sangue de ovelhas; os supostos componentes promotores de crescimento estavam extremamente diluídos</w:t>
      </w:r>
      <w:r>
        <w:rPr>
          <w:rStyle w:val="FootnoteReference"/>
        </w:rPr>
        <w:footnoteReference w:id="2738"/>
      </w:r>
      <w:r>
        <w:t xml:space="preserve">.</w:t>
      </w:r>
    </w:p>
    <w:p>
      <w:pPr>
        <w:pStyle w:val="BodyText"/>
      </w:pPr>
      <w:r>
        <w:t xml:space="preserve">Com que frequência rótulo e conteúdo divergem é mostrado por uma investigação norte-americana que não tratava de peptídeos, mas dos chamados SARMs, que usam o mesmo canal de venda: de 44 produtos da internet, apenas 52% continham alguma substância do grupo promovido. 39% continham outras substâncias não aprovadas, entre elas o liberador de hormônio do crescimento ibutamoreno, 9% não continham nenhuma substância ativa, e 25% continham substâncias não declaradas</w:t>
      </w:r>
      <w:r>
        <w:rPr>
          <w:rStyle w:val="FootnoteReference"/>
        </w:rPr>
        <w:footnoteReference w:id="2739"/>
      </w:r>
      <w:r>
        <w:t xml:space="preserve">.</w:t>
      </w:r>
    </w:p>
    <w:bookmarkEnd w:id="2740"/>
    <w:bookmarkStart w:id="2744" w:name="quantidade-errada"/>
    <w:p>
      <w:pPr>
        <w:pStyle w:val="Heading4"/>
      </w:pPr>
      <w:r>
        <w:t xml:space="preserve">Quantidade errada</w:t>
      </w:r>
    </w:p>
    <w:p>
      <w:pPr>
        <w:pStyle w:val="FirstParagraph"/>
      </w:pPr>
      <w:r>
        <w:t xml:space="preserve">Mesmo quando a substância certa está no frasco, a quantidade muitas vezes não confere. Na análise norte-americana citada, a quantidade de substância medida correspondia ao declarado no rótulo em apenas 18 de 44 produtos (41%)</w:t>
      </w:r>
      <w:r>
        <w:rPr>
          <w:rStyle w:val="FootnoteReference"/>
        </w:rPr>
        <w:footnoteReference w:id="2741"/>
      </w:r>
      <w:r>
        <w:t xml:space="preserve">. Um laboratório toxicológico francês analisou 75 medicamentos do meio do fisiculturismo apreendidos no mercado negro: 33% eram de qualidade inferior, ou seja, com dose errada, 32% falsificados, isto é, com conteúdo diferente do declarado, e apenas 19% correspondiam integralmente ao original</w:t>
      </w:r>
      <w:r>
        <w:rPr>
          <w:rStyle w:val="FootnoteReference"/>
        </w:rPr>
        <w:footnoteReference w:id="2742"/>
      </w:r>
      <w:r>
        <w:t xml:space="preserve">. Uma vigilância de mercado europeia de cinco anos, com 324 amostras de 13 países, concluiu, a partir das informações limitadas sobre quantidades, que a maioria das amostras continha quantidades eficazes e algumas estavam até superdosadas</w:t>
      </w:r>
      <w:r>
        <w:rPr>
          <w:rStyle w:val="FootnoteReference"/>
        </w:rPr>
        <w:footnoteReference w:id="2743"/>
      </w:r>
      <w:r>
        <w:t xml:space="preserve">.</w:t>
      </w:r>
    </w:p>
    <w:p>
      <w:pPr>
        <w:pStyle w:val="BodyText"/>
      </w:pPr>
      <w:r>
        <w:t xml:space="preserve">Ambos são perigosos: substância de menos leva a</w:t>
      </w:r>
      <w:r>
        <w:t xml:space="preserve"> </w:t>
      </w:r>
      <w:r>
        <w:t xml:space="preserve">“</w:t>
      </w:r>
      <w:r>
        <w:t xml:space="preserve">reforçar a dose</w:t>
      </w:r>
      <w:r>
        <w:t xml:space="preserve">”</w:t>
      </w:r>
      <w:r>
        <w:t xml:space="preserve">; substância demais leva diretamente a efeitos colaterais mais fortes. Nos medicamentos de GLP-1, cuja tolerabilidade depende muito do aumento lento da dose, uma quantidade desconhecida é particularmente problemática.</w:t>
      </w:r>
    </w:p>
    <w:bookmarkEnd w:id="2744"/>
    <w:bookmarkStart w:id="2749" w:name="X873ab25392986e8149f5967107bb1dae9fff611"/>
    <w:p>
      <w:pPr>
        <w:pStyle w:val="Heading4"/>
      </w:pPr>
      <w:r>
        <w:t xml:space="preserve">Baixa pureza, produtos de degradação e variantes de designer</w:t>
      </w:r>
    </w:p>
    <w:p>
      <w:pPr>
        <w:pStyle w:val="FirstParagraph"/>
      </w:pPr>
      <w:r>
        <w:t xml:space="preserve">A investigação sistemática mais abrangente vem da Bélgica. O laboratório de controle comprou os dez medicamentos peptídicos mais falsificados do mercado belga em três farmácias online supostamente ilegais e os analisou quanto à substância ativa, impurezas peptídicas, pequenas substâncias orgânicas estranhas, metais e resíduos de solventes. A quantidade por frasco variou muito, e em peptídeos com o aminoácido cisteína a pureza ficou entre 5 e 75%</w:t>
      </w:r>
      <w:r>
        <w:rPr>
          <w:rStyle w:val="FootnoteReference"/>
        </w:rPr>
        <w:footnoteReference w:id="2745"/>
      </w:r>
      <w:r>
        <w:t xml:space="preserve">.</w:t>
      </w:r>
    </w:p>
    <w:p>
      <w:pPr>
        <w:pStyle w:val="BodyText"/>
      </w:pPr>
      <w:r>
        <w:t xml:space="preserve">Outros laboratórios encontraram, em produtos do mercado negro de variantes de IGF-1, numerosas formas peptídicas oxidadas, ou seja, quimicamente alteradas</w:t>
      </w:r>
      <w:r>
        <w:rPr>
          <w:rStyle w:val="FootnoteReference"/>
        </w:rPr>
        <w:footnoteReference w:id="2746"/>
      </w:r>
      <w:r>
        <w:t xml:space="preserve">, e, em uma amostra apreendida de Melanotan II, uma pureza de 30%</w:t>
      </w:r>
      <w:r>
        <w:rPr>
          <w:rStyle w:val="FootnoteReference"/>
        </w:rPr>
        <w:footnoteReference w:id="2747"/>
      </w:r>
      <w:r>
        <w:t xml:space="preserve">. Em preparados apreendidos pela alfândega dinamarquesa, encontraram-se variantes de GHRP-2, GHRP-6, ipamorelina e de um fragmento de GHRH, a cada uma das quais havia sido acrescentado um aminoácido glicina no início</w:t>
      </w:r>
      <w:r>
        <w:rPr>
          <w:rStyle w:val="FootnoteReference"/>
        </w:rPr>
        <w:footnoteReference w:id="2748"/>
      </w:r>
      <w:r>
        <w:t xml:space="preserve">. Essas</w:t>
      </w:r>
      <w:r>
        <w:t xml:space="preserve"> </w:t>
      </w:r>
      <w:r>
        <w:t xml:space="preserve">“</w:t>
      </w:r>
      <w:r>
        <w:t xml:space="preserve">variantes de designer</w:t>
      </w:r>
      <w:r>
        <w:t xml:space="preserve">”</w:t>
      </w:r>
      <w:r>
        <w:t xml:space="preserve"> </w:t>
      </w:r>
      <w:r>
        <w:t xml:space="preserve">provavelmente têm o objetivo de burlar testes antidoping. Seu efeito e sua segurança em humanos são completamente desconhecidos.</w:t>
      </w:r>
    </w:p>
    <w:bookmarkEnd w:id="2749"/>
    <w:bookmarkStart w:id="2753" w:name="substâncias-acompanhantes-perigosas"/>
    <w:p>
      <w:pPr>
        <w:pStyle w:val="Heading4"/>
      </w:pPr>
      <w:r>
        <w:t xml:space="preserve">Substâncias acompanhantes perigosas</w:t>
      </w:r>
    </w:p>
    <w:p>
      <w:pPr>
        <w:pStyle w:val="FirstParagraph"/>
      </w:pPr>
      <w:r>
        <w:t xml:space="preserve">Na investigação belga, encontraram-se os elementos tóxicos arsênio e chumbo. Uma amostra estava contaminada com chumbo, várias continham arsênio em concentrações de até dez vezes o limite internacional para medicamentos injetáveis. A análise mais detalhada mostrou que o arsênio estava inteiramente na forma inorgânica, mais tóxica. Os autores apontam que o arsênio é cancerígeno e que o chumbo se acumula no corpo – com uso repetido ao longo de meses, um risco adicional e insidioso</w:t>
      </w:r>
      <w:r>
        <w:rPr>
          <w:rStyle w:val="FootnoteReference"/>
        </w:rPr>
        <w:footnoteReference w:id="2750"/>
      </w:r>
      <w:r>
        <w:t xml:space="preserve">.</w:t>
      </w:r>
    </w:p>
    <w:p>
      <w:pPr>
        <w:pStyle w:val="BodyText"/>
      </w:pPr>
      <w:r>
        <w:t xml:space="preserve">Somam-se germes e componentes bacterianos. O mesmo laboratório detectou em dois preparados peptídicos ilegais para injeção a bactéria</w:t>
      </w:r>
      <w:r>
        <w:t xml:space="preserve"> </w:t>
      </w:r>
      <w:r>
        <w:rPr>
          <w:iCs/>
          <w:i/>
        </w:rPr>
        <w:t xml:space="preserve">Bacillus cereus</w:t>
      </w:r>
      <w:r>
        <w:rPr>
          <w:rStyle w:val="FootnoteReference"/>
        </w:rPr>
        <w:footnoteReference w:id="2751"/>
      </w:r>
      <w:r>
        <w:t xml:space="preserve">. Nas compras de teste de semaglutida da Parte I, endotoxinas foram detectáveis em todas as amostras</w:t>
      </w:r>
      <w:r>
        <w:rPr>
          <w:rStyle w:val="FootnoteReference"/>
        </w:rPr>
        <w:footnoteReference w:id="2752"/>
      </w:r>
      <w:r>
        <w:t xml:space="preserve">. Por que isso é relevante para o sistema imunológico é descrito no capítulo</w:t>
      </w:r>
      <w:r>
        <w:t xml:space="preserve"> </w:t>
      </w:r>
      <w:r>
        <w:t xml:space="preserve">“</w:t>
      </w:r>
      <w:r>
        <w:t xml:space="preserve">Reações imunológicas e anticorpos</w:t>
      </w:r>
      <w:r>
        <w:t xml:space="preserve">”</w:t>
      </w:r>
      <w:r>
        <w:t xml:space="preserve">.</w:t>
      </w:r>
    </w:p>
    <w:bookmarkEnd w:id="2753"/>
    <w:bookmarkEnd w:id="2754"/>
    <w:bookmarkStart w:id="2760" w:name="sempre-novas-substâncias"/>
    <w:p>
      <w:pPr>
        <w:pStyle w:val="Heading3"/>
      </w:pPr>
      <w:r>
        <w:t xml:space="preserve">Sempre novas substâncias</w:t>
      </w:r>
    </w:p>
    <w:p>
      <w:pPr>
        <w:pStyle w:val="FirstParagraph"/>
      </w:pPr>
      <w:r>
        <w:t xml:space="preserve">O mercado cinza reage rapidamente às tendências. Uma vigilância de mercado europeia com 1.104 casos notificados de 16 países entre 2017 e 2019 constatou que 11% das amostras continham moléculas biológicas, sobretudo</w:t>
      </w:r>
      <w:r>
        <w:t xml:space="preserve"> </w:t>
      </w:r>
      <w:r>
        <w:t xml:space="preserve">“</w:t>
      </w:r>
      <w:r>
        <w:t xml:space="preserve">research peptides</w:t>
      </w:r>
      <w:r>
        <w:t xml:space="preserve">”</w:t>
      </w:r>
      <w:r>
        <w:t xml:space="preserve">; essa foi a segunda categoria mais frequente de todas</w:t>
      </w:r>
      <w:r>
        <w:rPr>
          <w:rStyle w:val="FootnoteReference"/>
        </w:rPr>
        <w:footnoteReference w:id="2755"/>
      </w:r>
      <w:r>
        <w:t xml:space="preserve">. Laboratórios belgas identificaram em preparados apreendidos o</w:t>
      </w:r>
      <w:r>
        <w:t xml:space="preserve"> </w:t>
      </w:r>
      <w:r>
        <w:t xml:space="preserve">“</w:t>
      </w:r>
      <w:r>
        <w:t xml:space="preserve">peptídeo antienvelhecimento</w:t>
      </w:r>
      <w:r>
        <w:t xml:space="preserve">”</w:t>
      </w:r>
      <w:r>
        <w:t xml:space="preserve"> </w:t>
      </w:r>
      <w:r>
        <w:t xml:space="preserve">Epitalon</w:t>
      </w:r>
      <w:r>
        <w:rPr>
          <w:rStyle w:val="FootnoteReference"/>
        </w:rPr>
        <w:footnoteReference w:id="2756"/>
      </w:r>
      <w:r>
        <w:t xml:space="preserve">, bem como os peptídeos nootrópicos Selank e Semax; o laboratório desenvolveu então um método de detecção próprio para dez desses peptídeos oferecidos na internet</w:t>
      </w:r>
      <w:r>
        <w:rPr>
          <w:rStyle w:val="FootnoteReference"/>
        </w:rPr>
        <w:footnoteReference w:id="2757"/>
      </w:r>
      <w:r>
        <w:t xml:space="preserve">. Hoje também são oferecidas substâncias que ainda estão em estudos clínicos, como retatrutida e amicretina (capítulos Retatrutida, Amicretina).</w:t>
      </w:r>
    </w:p>
    <w:p>
      <w:pPr>
        <w:pStyle w:val="BodyText"/>
      </w:pPr>
      <w:r>
        <w:t xml:space="preserve">Para os laboratórios de controle, isso significa uma corrida: uma substância para a qual ainda não existe substância de referência não pode ser identificada com segurança. Para os compradores, significa que, nos produtos mais novos, é onde menos se sabe sobre conteúdo e qualidade.</w:t>
      </w:r>
    </w:p>
    <w:p>
      <w:pPr>
        <w:pStyle w:val="BodyText"/>
      </w:pPr>
      <w:r>
        <w:t xml:space="preserve">Cada vez mais, produtos do mercado cinza também aparecem em formas que parecem mais inofensivas do que uma injeção. Uma investigação norte-americana encontrou 24 adesivos vendidos como suplemento alimentar e um gel, promovidos como</w:t>
      </w:r>
      <w:r>
        <w:t xml:space="preserve"> </w:t>
      </w:r>
      <w:r>
        <w:t xml:space="preserve">“</w:t>
      </w:r>
      <w:r>
        <w:t xml:space="preserve">GLP-1 natural</w:t>
      </w:r>
      <w:r>
        <w:t xml:space="preserve">”</w:t>
      </w:r>
      <w:r>
        <w:t xml:space="preserve">. Nenhum apresentou certificado de análise, muitos faziam publicidade enganosa; segundo a lei norte-americana, a venda desses adesivos como suplemento alimentar é proibida</w:t>
      </w:r>
      <w:r>
        <w:rPr>
          <w:rStyle w:val="FootnoteReference"/>
        </w:rPr>
        <w:footnoteReference w:id="2758"/>
      </w:r>
      <w:r>
        <w:t xml:space="preserve">. Na vigilância de mercado europeia, 24% dos preparados para ganho muscular eram apresentados como suplementos alimentares – quem os compra muitas vezes não sabe que está tomando um medicamento não aprovado</w:t>
      </w:r>
      <w:r>
        <w:rPr>
          <w:rStyle w:val="FootnoteReference"/>
        </w:rPr>
        <w:footnoteReference w:id="2759"/>
      </w:r>
      <w:r>
        <w:t xml:space="preserve">.</w:t>
      </w:r>
    </w:p>
    <w:bookmarkEnd w:id="2760"/>
    <w:bookmarkStart w:id="2761" w:name="o-que-as-análises-não-mostram"/>
    <w:p>
      <w:pPr>
        <w:pStyle w:val="Heading3"/>
      </w:pPr>
      <w:r>
        <w:t xml:space="preserve">O que as análises não mostram</w:t>
      </w:r>
    </w:p>
    <w:p>
      <w:pPr>
        <w:pStyle w:val="FirstParagraph"/>
      </w:pPr>
      <w:r>
        <w:t xml:space="preserve">Por mais claros que sejam os achados, eles têm limites.</w:t>
      </w:r>
    </w:p>
    <w:p>
      <w:pPr>
        <w:numPr>
          <w:ilvl w:val="0"/>
          <w:numId w:val="1345"/>
        </w:numPr>
        <w:pStyle w:val="Compact"/>
      </w:pPr>
      <w:r>
        <w:rPr>
          <w:bCs/>
          <w:b/>
        </w:rPr>
        <w:t xml:space="preserve">Nenhuma amostra representativa.</w:t>
      </w:r>
      <w:r>
        <w:t xml:space="preserve"> </w:t>
      </w:r>
      <w:r>
        <w:t xml:space="preserve">Mercadorias apreendidas são uma seleção do que chama a atenção da alfândega. Compras de teste abrangem em geral poucos fornecedores. Qual a proporção de produtos defeituosos no mercado como um todo não pode ser calculada a partir disso.</w:t>
      </w:r>
    </w:p>
    <w:p>
      <w:pPr>
        <w:numPr>
          <w:ilvl w:val="0"/>
          <w:numId w:val="1345"/>
        </w:numPr>
        <w:pStyle w:val="Compact"/>
      </w:pPr>
      <w:r>
        <w:rPr>
          <w:bCs/>
          <w:b/>
        </w:rPr>
        <w:t xml:space="preserve">Retratos instantâneos.</w:t>
      </w:r>
      <w:r>
        <w:t xml:space="preserve"> </w:t>
      </w:r>
      <w:r>
        <w:t xml:space="preserve">Um fornecedor cuja mercadoria está correta hoje pode entregar outro lote amanhã. Bons resultados de uma análise não valem para o próximo frasco.</w:t>
      </w:r>
    </w:p>
    <w:p>
      <w:pPr>
        <w:numPr>
          <w:ilvl w:val="0"/>
          <w:numId w:val="1345"/>
        </w:numPr>
        <w:pStyle w:val="Compact"/>
      </w:pPr>
      <w:r>
        <w:rPr>
          <w:bCs/>
          <w:b/>
        </w:rPr>
        <w:t xml:space="preserve">Nem tudo é verificado.</w:t>
      </w:r>
      <w:r>
        <w:t xml:space="preserve"> </w:t>
      </w:r>
      <w:r>
        <w:t xml:space="preserve">Muitos relatórios determinam apenas a identidade da substância. Se um produto com conteúdo</w:t>
      </w:r>
      <w:r>
        <w:t xml:space="preserve"> </w:t>
      </w:r>
      <w:r>
        <w:t xml:space="preserve">“</w:t>
      </w:r>
      <w:r>
        <w:t xml:space="preserve">correto</w:t>
      </w:r>
      <w:r>
        <w:t xml:space="preserve">”</w:t>
      </w:r>
      <w:r>
        <w:t xml:space="preserve"> </w:t>
      </w:r>
      <w:r>
        <w:t xml:space="preserve">era estéril e livre de endotoxinas fica, então, em aberto.</w:t>
      </w:r>
    </w:p>
    <w:p>
      <w:pPr>
        <w:numPr>
          <w:ilvl w:val="0"/>
          <w:numId w:val="1345"/>
        </w:numPr>
        <w:pStyle w:val="Compact"/>
      </w:pPr>
      <w:r>
        <w:rPr>
          <w:bCs/>
          <w:b/>
        </w:rPr>
        <w:t xml:space="preserve">Nenhuma afirmação sobre efeito e segurança.</w:t>
      </w:r>
      <w:r>
        <w:t xml:space="preserve"> </w:t>
      </w:r>
      <w:r>
        <w:t xml:space="preserve">Mesmo um produto puro só é tão seguro quanto a própria substância. Para a maioria dos peptídeos do mercado cinza, faltam estudos em humanos sobre isso (ver Parte II).</w:t>
      </w:r>
    </w:p>
    <w:bookmarkEnd w:id="2761"/>
    <w:bookmarkStart w:id="2773" w:name="Xf27c3e958dee11180c5667993a9ee15f68da771"/>
    <w:p>
      <w:pPr>
        <w:pStyle w:val="Heading3"/>
      </w:pPr>
      <w:r>
        <w:t xml:space="preserve">Medicamentos de GLP-1: o que os centros de informação toxicológica relatam</w:t>
      </w:r>
    </w:p>
    <w:p>
      <w:pPr>
        <w:pStyle w:val="FirstParagraph"/>
      </w:pPr>
      <w:r>
        <w:t xml:space="preserve">Para os medicamentos de GLP-1, há uma fonte de dados adicional que mostra o que de fato dá errado no uso: as ligações para centros de informação toxicológica. Nos EUA, elas são reunidas em um banco de dados nacional. Esses dados nem sempre distinguem entre original, medicamento manipulado e mercadoria do mercado cinza, mas mostram a ordem de grandeza dos problemas.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Estudo</w:t>
            </w:r>
          </w:p>
        </w:tc>
        <w:tc>
          <w:tcPr/>
          <w:p>
            <w:pPr>
              <w:pStyle w:val="Compact"/>
              <w:jc w:val="left"/>
            </w:pPr>
            <w:r>
              <w:t xml:space="preserve">Período e abrangência</w:t>
            </w:r>
          </w:p>
        </w:tc>
        <w:tc>
          <w:tcPr/>
          <w:p>
            <w:pPr>
              <w:pStyle w:val="Compact"/>
              <w:jc w:val="left"/>
            </w:pPr>
            <w:r>
              <w:t xml:space="preserve">Principais achados</w:t>
            </w:r>
          </w:p>
        </w:tc>
      </w:tr>
      <w:tr>
        <w:tc>
          <w:tcPr/>
          <w:p>
            <w:pPr>
              <w:pStyle w:val="Compact"/>
              <w:jc w:val="left"/>
            </w:pPr>
            <w:r>
              <w:t xml:space="preserve">Gaw 2024, PMID 38421490</w:t>
            </w:r>
          </w:p>
        </w:tc>
        <w:tc>
          <w:tcPr/>
          <w:p>
            <w:pPr>
              <w:pStyle w:val="Compact"/>
              <w:jc w:val="left"/>
            </w:pPr>
            <w:r>
              <w:t xml:space="preserve">EUA, 2017–2022, 5.713 casos</w:t>
            </w:r>
          </w:p>
        </w:tc>
        <w:tc>
          <w:tcPr/>
          <w:p>
            <w:pPr>
              <w:pStyle w:val="Compact"/>
              <w:jc w:val="left"/>
            </w:pPr>
            <w:r>
              <w:t xml:space="preserve">79,9% erros de uso; 6,2% evoluções graves, uma morte</w:t>
            </w:r>
          </w:p>
        </w:tc>
      </w:tr>
      <w:tr>
        <w:tc>
          <w:tcPr/>
          <w:p>
            <w:pPr>
              <w:pStyle w:val="Compact"/>
              <w:jc w:val="left"/>
            </w:pPr>
            <w:r>
              <w:t xml:space="preserve">Miller 2026, PMID 41634285</w:t>
            </w:r>
          </w:p>
        </w:tc>
        <w:tc>
          <w:tcPr/>
          <w:p>
            <w:pPr>
              <w:pStyle w:val="Compact"/>
              <w:jc w:val="left"/>
            </w:pPr>
            <w:r>
              <w:t xml:space="preserve">EUA, 2012–2023, 10.033 casos</w:t>
            </w:r>
          </w:p>
        </w:tc>
        <w:tc>
          <w:tcPr/>
          <w:p>
            <w:pPr>
              <w:pStyle w:val="Compact"/>
              <w:jc w:val="left"/>
            </w:pPr>
            <w:r>
              <w:t xml:space="preserve">após a aprovação para obesidade, mais casos; proporção com contato médico ou hospitalar de 23,0 para 33,5%</w:t>
            </w:r>
          </w:p>
        </w:tc>
      </w:tr>
      <w:tr>
        <w:tc>
          <w:tcPr/>
          <w:p>
            <w:pPr>
              <w:pStyle w:val="Compact"/>
              <w:jc w:val="left"/>
            </w:pPr>
            <w:r>
              <w:t xml:space="preserve">Senthilkumar 2026, PMID 41784916</w:t>
            </w:r>
          </w:p>
        </w:tc>
        <w:tc>
          <w:tcPr/>
          <w:p>
            <w:pPr>
              <w:pStyle w:val="Compact"/>
              <w:jc w:val="left"/>
            </w:pPr>
            <w:r>
              <w:t xml:space="preserve">EUA, 2017–2024, 13.924 casos</w:t>
            </w:r>
          </w:p>
        </w:tc>
        <w:tc>
          <w:tcPr/>
          <w:p>
            <w:pPr>
              <w:pStyle w:val="Compact"/>
              <w:jc w:val="left"/>
            </w:pPr>
            <w:r>
              <w:t xml:space="preserve">91,7% sem consequências ou com consequências leves; 42 evoluções graves, duas mortes</w:t>
            </w:r>
          </w:p>
        </w:tc>
      </w:tr>
      <w:tr>
        <w:tc>
          <w:tcPr/>
          <w:p>
            <w:pPr>
              <w:pStyle w:val="Compact"/>
              <w:jc w:val="left"/>
            </w:pPr>
            <w:r>
              <w:t xml:space="preserve">Ho 2025, PMID 40371098</w:t>
            </w:r>
          </w:p>
        </w:tc>
        <w:tc>
          <w:tcPr/>
          <w:p>
            <w:pPr>
              <w:pStyle w:val="Compact"/>
              <w:jc w:val="left"/>
            </w:pPr>
            <w:r>
              <w:t xml:space="preserve">Califórnia, 2017–2023, 1.047 casos</w:t>
            </w:r>
          </w:p>
        </w:tc>
        <w:tc>
          <w:tcPr/>
          <w:p>
            <w:pPr>
              <w:pStyle w:val="Compact"/>
              <w:jc w:val="left"/>
            </w:pPr>
            <w:r>
              <w:t xml:space="preserve">21,0% no pronto-socorro, 4,4% internados; hipoglicemia em 3,8%</w:t>
            </w:r>
          </w:p>
        </w:tc>
      </w:tr>
    </w:tbl>
    <w:p>
      <w:pPr>
        <w:pStyle w:val="BodyText"/>
      </w:pPr>
      <w:r>
        <w:t xml:space="preserve">Vários padrões chamam a atenção:</w:t>
      </w:r>
    </w:p>
    <w:p>
      <w:pPr>
        <w:pStyle w:val="BodyText"/>
      </w:pPr>
      <w:r>
        <w:rPr>
          <w:bCs/>
          <w:b/>
        </w:rPr>
        <w:t xml:space="preserve">O número de casos aumentou fortemente com a difusão.</w:t>
      </w:r>
      <w:r>
        <w:t xml:space="preserve"> </w:t>
      </w:r>
      <w:r>
        <w:t xml:space="preserve">De 2021 para 2022, a taxa de casos notificados por milhão de habitantes aumentou 80,9%</w:t>
      </w:r>
      <w:r>
        <w:rPr>
          <w:rStyle w:val="FootnoteReference"/>
        </w:rPr>
        <w:footnoteReference w:id="2762"/>
      </w:r>
      <w:r>
        <w:t xml:space="preserve">. Entre 2017 e 2024, ela aumentou no total 1.830,8%</w:t>
      </w:r>
      <w:r>
        <w:rPr>
          <w:rStyle w:val="FootnoteReference"/>
        </w:rPr>
        <w:footnoteReference w:id="2763"/>
      </w:r>
      <w:r>
        <w:t xml:space="preserve">.</w:t>
      </w:r>
    </w:p>
    <w:p>
      <w:pPr>
        <w:pStyle w:val="BodyText"/>
      </w:pPr>
      <w:r>
        <w:rPr>
          <w:bCs/>
          <w:b/>
        </w:rPr>
        <w:t xml:space="preserve">A maioria dos casos são erros de uso.</w:t>
      </w:r>
      <w:r>
        <w:t xml:space="preserve"> </w:t>
      </w:r>
      <w:r>
        <w:t xml:space="preserve">Em todas as análises, predominaram erros não intencionais no uso, como uma dose duplicada ou medida incorretamente</w:t>
      </w:r>
      <w:r>
        <w:rPr>
          <w:rStyle w:val="FootnoteReference"/>
        </w:rPr>
        <w:footnoteReference w:id="2764"/>
      </w:r>
      <w:r>
        <w:t xml:space="preserve">. Em uma análise de um único centro, 21% dos casos se deveram a erros no primeiro uso da caneta preenchida</w:t>
      </w:r>
      <w:r>
        <w:rPr>
          <w:rStyle w:val="FootnoteReference"/>
        </w:rPr>
        <w:footnoteReference w:id="2765"/>
      </w:r>
      <w:r>
        <w:t xml:space="preserve">. Erros acontecem, portanto, também com produtos aprovados. Na análise californiana, 36 casos envolveram medicamentos manipulados; neles, erros ao medir ou injetar foram a causa em 91,7%</w:t>
      </w:r>
      <w:r>
        <w:rPr>
          <w:rStyle w:val="FootnoteReference"/>
        </w:rPr>
        <w:footnoteReference w:id="2766"/>
      </w:r>
      <w:r>
        <w:t xml:space="preserve">. Isso se encaixa nos relatos de caso, descritos na Parte I, sobre confusões entre mililitros,</w:t>
      </w:r>
      <w:r>
        <w:t xml:space="preserve"> </w:t>
      </w:r>
      <w:r>
        <w:t xml:space="preserve">“</w:t>
      </w:r>
      <w:r>
        <w:t xml:space="preserve">unidades</w:t>
      </w:r>
      <w:r>
        <w:t xml:space="preserve">”</w:t>
      </w:r>
      <w:r>
        <w:t xml:space="preserve"> </w:t>
      </w:r>
      <w:r>
        <w:t xml:space="preserve">e miligramas em frascos.</w:t>
      </w:r>
    </w:p>
    <w:p>
      <w:pPr>
        <w:pStyle w:val="BodyText"/>
      </w:pPr>
      <w:r>
        <w:rPr>
          <w:bCs/>
          <w:b/>
        </w:rPr>
        <w:t xml:space="preserve">As consequências são em geral leves, mas nem sempre.</w:t>
      </w:r>
      <w:r>
        <w:t xml:space="preserve"> </w:t>
      </w:r>
      <w:r>
        <w:t xml:space="preserve">Náusea e vômitos estão em primeiro plano. Uma minoria considerável, porém, precisa de tratamento médico, e houve mortes</w:t>
      </w:r>
      <w:r>
        <w:rPr>
          <w:rStyle w:val="FootnoteReference"/>
        </w:rPr>
        <w:footnoteReference w:id="2767"/>
      </w:r>
      <w:r>
        <w:t xml:space="preserve">. Hipoglicemias ocorreram em 3,4%</w:t>
      </w:r>
      <w:r>
        <w:rPr>
          <w:rStyle w:val="FootnoteReference"/>
        </w:rPr>
        <w:footnoteReference w:id="2768"/>
      </w:r>
      <w:r>
        <w:t xml:space="preserve"> </w:t>
      </w:r>
      <w:r>
        <w:t xml:space="preserve">a 3,8%</w:t>
      </w:r>
      <w:r>
        <w:rPr>
          <w:rStyle w:val="FootnoteReference"/>
        </w:rPr>
        <w:footnoteReference w:id="2769"/>
      </w:r>
      <w:r>
        <w:t xml:space="preserve"> </w:t>
      </w:r>
      <w:r>
        <w:t xml:space="preserve">dos casos; em outra análise, ela foi rara, mas ocorreu também após o uso isolado de um medicamento de GLP-1</w:t>
      </w:r>
      <w:r>
        <w:rPr>
          <w:rStyle w:val="FootnoteReference"/>
        </w:rPr>
        <w:footnoteReference w:id="2770"/>
      </w:r>
      <w:r>
        <w:t xml:space="preserve">. Quão grave pode ser uma superdosagem é mostrado pelo caso, descrito no capítulo</w:t>
      </w:r>
      <w:r>
        <w:t xml:space="preserve"> </w:t>
      </w:r>
      <w:r>
        <w:t xml:space="preserve">“</w:t>
      </w:r>
      <w:r>
        <w:t xml:space="preserve">Reações imunológicas</w:t>
      </w:r>
      <w:r>
        <w:t xml:space="preserve">”</w:t>
      </w:r>
      <w:r>
        <w:t xml:space="preserve">, de uma mulher que, após uma dose acidentalmente dez vezes maior de uma farmácia de manipulação, precisou de ventilação mecânica devido a um inchaço maciço na garganta e desenvolveu adicionalmente uma hipoglicemia</w:t>
      </w:r>
      <w:r>
        <w:rPr>
          <w:rStyle w:val="FootnoteReference"/>
        </w:rPr>
        <w:footnoteReference w:id="2771"/>
      </w:r>
      <w:r>
        <w:t xml:space="preserve">.</w:t>
      </w:r>
    </w:p>
    <w:p>
      <w:pPr>
        <w:pStyle w:val="BodyText"/>
      </w:pPr>
      <w:r>
        <w:rPr>
          <w:bCs/>
          <w:b/>
        </w:rPr>
        <w:t xml:space="preserve">Adolescentes são um grupo de risco próprio.</w:t>
      </w:r>
      <w:r>
        <w:t xml:space="preserve"> </w:t>
      </w:r>
      <w:r>
        <w:t xml:space="preserve">Em crianças e adolescentes entre 6 e 17 anos, a taxa de casos foi a que mais aumentou entre 2017 e 2024. Eles foram internados com mais frequência do que adultos (risco relativo 2,66), e seus casos se deveram com muito mais frequência a uso indevido intencional (risco relativo 8,12)</w:t>
      </w:r>
      <w:r>
        <w:rPr>
          <w:rStyle w:val="FootnoteReference"/>
        </w:rPr>
        <w:footnoteReference w:id="2772"/>
      </w:r>
      <w:r>
        <w:t xml:space="preserve">. Mais sobre isso no capítulo seguinte.</w:t>
      </w:r>
    </w:p>
    <w:bookmarkEnd w:id="2773"/>
    <w:bookmarkStart w:id="2774" w:name="o-que-resulta-disso"/>
    <w:p>
      <w:pPr>
        <w:pStyle w:val="Heading3"/>
      </w:pPr>
      <w:r>
        <w:t xml:space="preserve">O que resulta disso</w:t>
      </w:r>
    </w:p>
    <w:p>
      <w:pPr>
        <w:pStyle w:val="FirstParagraph"/>
      </w:pPr>
      <w:r>
        <w:t xml:space="preserve">As análises laboratoriais e os dados dos centros de informação toxicológica descrevem dois lados do mesmo problema. As análises mostram que produtos do mercado cinza podem divergir do rótulo em todos os aspectos imagináveis: na substância, na quantidade, na pureza e em substâncias acompanhantes tóxicas. Os dados dos centros toxicológicos mostram que, mesmo com produtos verificados, erros de medição são frequentes – e que frascos que primeiro precisam ser dissolvidos e convertidos são particularmente propensos a erros.</w:t>
      </w:r>
    </w:p>
    <w:p>
      <w:pPr>
        <w:pStyle w:val="BodyText"/>
      </w:pPr>
      <w:r>
        <w:t xml:space="preserve">Combinando ambos, resulta um risco que nenhum estudo sobre uma substância consegue descrever: quem injeta um peptídeo do mercado cinza não conhece nem o conteúdo nem a quantidade, e qualquer desvio é ainda amplificado por possíveis erros de cálculo próprios. Os dados de segurança dos estudos de aprovação, descritos na Parte II, não valem para esses produtos.</w:t>
      </w:r>
    </w:p>
    <w:bookmarkEnd w:id="2774"/>
    <w:bookmarkStart w:id="2775" w:name="o-essencial-em-resumo-6"/>
    <w:p>
      <w:pPr>
        <w:pStyle w:val="Heading3"/>
      </w:pPr>
      <w:r>
        <w:t xml:space="preserve">O essencial em resumo</w:t>
      </w:r>
    </w:p>
    <w:p>
      <w:pPr>
        <w:numPr>
          <w:ilvl w:val="0"/>
          <w:numId w:val="1346"/>
        </w:numPr>
        <w:pStyle w:val="Compact"/>
      </w:pPr>
      <w:r>
        <w:t xml:space="preserve">Laboratórios oficiais, forenses e antidoping encontram regularmente em peptídeos do mercado cinza substâncias erradas, quantidades erradas, baixa pureza e variantes de designer.</w:t>
      </w:r>
    </w:p>
    <w:p>
      <w:pPr>
        <w:numPr>
          <w:ilvl w:val="0"/>
          <w:numId w:val="1346"/>
        </w:numPr>
        <w:pStyle w:val="Compact"/>
      </w:pPr>
      <w:r>
        <w:t xml:space="preserve">Uma análise sistemática belga encontrou adicionalmente arsênio e chumbo, em parte até dez vezes o limite para injetáveis, bem como bactérias em preparados injetáveis.</w:t>
      </w:r>
    </w:p>
    <w:p>
      <w:pPr>
        <w:numPr>
          <w:ilvl w:val="0"/>
          <w:numId w:val="1346"/>
        </w:numPr>
        <w:pStyle w:val="Compact"/>
      </w:pPr>
      <w:r>
        <w:t xml:space="preserve">Novos</w:t>
      </w:r>
      <w:r>
        <w:t xml:space="preserve"> </w:t>
      </w:r>
      <w:r>
        <w:t xml:space="preserve">“</w:t>
      </w:r>
      <w:r>
        <w:t xml:space="preserve">research peptides</w:t>
      </w:r>
      <w:r>
        <w:t xml:space="preserve">”</w:t>
      </w:r>
      <w:r>
        <w:t xml:space="preserve"> </w:t>
      </w:r>
      <w:r>
        <w:t xml:space="preserve">surgem mais rápido do que os laboratórios de controle conseguem desenvolver métodos de detecção.</w:t>
      </w:r>
    </w:p>
    <w:p>
      <w:pPr>
        <w:numPr>
          <w:ilvl w:val="0"/>
          <w:numId w:val="1346"/>
        </w:numPr>
        <w:pStyle w:val="Compact"/>
      </w:pPr>
      <w:r>
        <w:t xml:space="preserve">Análises são retratos instantâneos; um bom resultado não vale para o próximo lote.</w:t>
      </w:r>
    </w:p>
    <w:p>
      <w:pPr>
        <w:numPr>
          <w:ilvl w:val="0"/>
          <w:numId w:val="1346"/>
        </w:numPr>
        <w:pStyle w:val="Compact"/>
      </w:pPr>
      <w:r>
        <w:t xml:space="preserve">Nos EUA, o número de ligações para centros toxicológicos por causa de medicamentos de GLP-1 aumentou fortemente. A maioria dos casos são erros de uso com consequências leves; uma minoria tem evolução grave. Nos preparados manipulados, quase todos os casos se deveram a erros de medição.</w:t>
      </w:r>
    </w:p>
    <w:bookmarkEnd w:id="2775"/>
    <w:bookmarkEnd w:id="2776"/>
    <w:bookmarkStart w:id="2821" w:name="interações-e-grupos-de-risco-especiais"/>
    <w:p>
      <w:pPr>
        <w:pStyle w:val="Heading2"/>
      </w:pPr>
      <w:r>
        <w:t xml:space="preserve">Interações e grupos de risco especiais</w:t>
      </w:r>
    </w:p>
    <w:p>
      <w:pPr>
        <w:pStyle w:val="FirstParagraph"/>
      </w:pPr>
      <w:r>
        <w:t xml:space="preserve">Os estudos em que se baseia a aprovação de um medicamento quase sempre excluem determinadas pessoas: gestantes, crianças, pessoas muito idosas ou com várias doenças, pessoas com transtornos alimentares ou doenças psiquiátricas graves. O que vale para os participantes dos estudos só pode, por isso, ser transferido a esses grupos com ressalvas. Somam-se interações com outros medicamentos e situações como uma anestesia, em que um efeito normalmente inofensivo pode de repente se tornar perigoso.</w:t>
      </w:r>
    </w:p>
    <w:p>
      <w:pPr>
        <w:pStyle w:val="BodyText"/>
      </w:pPr>
      <w:r>
        <w:t xml:space="preserve">Este capítulo reúne essas questões. Ele não substitui uma orientação médica nem a bula profissional. Nos medicamentos aprovados, a bula profissional regula de forma vinculante contraindicações e interações; nos peptídeos não aprovados, em regra não há absolutamente nenhum dado sobre esses grupos.</w:t>
      </w:r>
    </w:p>
    <w:bookmarkStart w:id="2782" w:name="gravidez-e-amamentação"/>
    <w:p>
      <w:pPr>
        <w:pStyle w:val="Heading3"/>
      </w:pPr>
      <w:r>
        <w:t xml:space="preserve">Gravidez e amamentação</w:t>
      </w:r>
    </w:p>
    <w:p>
      <w:pPr>
        <w:pStyle w:val="FirstParagraph"/>
      </w:pPr>
      <w:r>
        <w:t xml:space="preserve">Para quase todos os peptídeos deste livro, vale: na gravidez, eles não foram estudados ou não são indicados. As bulas profissionais dos medicamentos de GLP-1 preveem não usá-los na gravidez e suspendê-los com antecedência antes de uma gravidez planejada (capítulos Semaglutida, Tirzepatida). Na maridebarte cafraglutida, isso é particularmente importante, porque seu efeito persistiu em um estudo inicial por até 150 dias após a última dose (capítulo Maridebarte cafraglutida).</w:t>
      </w:r>
    </w:p>
    <w:p>
      <w:pPr>
        <w:pStyle w:val="BodyText"/>
      </w:pPr>
      <w:r>
        <w:t xml:space="preserve">Como os medicamentos de GLP-1 são usados por muitas mulheres em idade fértil e a perda de peso pode melhorar a fertilidade, ocorrem mesmo assim gestações não planejadas durante o tratamento. Para essa situação já há dados, predominantemente tranquilizadores:</w:t>
      </w:r>
    </w:p>
    <w:p>
      <w:pPr>
        <w:numPr>
          <w:ilvl w:val="0"/>
          <w:numId w:val="1347"/>
        </w:numPr>
        <w:pStyle w:val="Compact"/>
      </w:pPr>
      <w:r>
        <w:t xml:space="preserve">Em um grande estudo de quatro países nórdicos, dos EUA e de Israel, a taxa de malformações graves em filhos de mulheres com diabetes tipo 2 que haviam recebido agonistas do receptor de GLP-1 próximo à concepção não foi maior do que com insulina (risco relativo ajustado 0,95)</w:t>
      </w:r>
      <w:r>
        <w:rPr>
          <w:rStyle w:val="FootnoteReference"/>
        </w:rPr>
        <w:footnoteReference w:id="2777"/>
      </w:r>
      <w:r>
        <w:t xml:space="preserve">.</w:t>
      </w:r>
    </w:p>
    <w:p>
      <w:pPr>
        <w:numPr>
          <w:ilvl w:val="0"/>
          <w:numId w:val="1347"/>
        </w:numPr>
        <w:pStyle w:val="Compact"/>
      </w:pPr>
      <w:r>
        <w:t xml:space="preserve">Uma análise de seis serviços de informação sobre medicamentos na gravidez encontrou, em 168 gestações com exposição a GLP-1 no primeiro trimestre, malformações graves em 2,6%, nos grupos de comparação em 2,3% e 3,9%</w:t>
      </w:r>
      <w:r>
        <w:rPr>
          <w:rStyle w:val="FootnoteReference"/>
        </w:rPr>
        <w:footnoteReference w:id="2778"/>
      </w:r>
      <w:r>
        <w:t xml:space="preserve">.</w:t>
      </w:r>
    </w:p>
    <w:p>
      <w:pPr>
        <w:numPr>
          <w:ilvl w:val="0"/>
          <w:numId w:val="1347"/>
        </w:numPr>
        <w:pStyle w:val="Compact"/>
      </w:pPr>
      <w:r>
        <w:t xml:space="preserve">Um estudo norte-americano com 3.572 gestações comparou mulheres que continuaram a obter o medicamento no primeiro trimestre com mulheres que o suspenderam. Não se encontrou um risco claramente aumentado de aborto espontâneo ou natimorto, distúrbios de crescimento ou malformações; as estimativas para malformações, porém, eram tão imprecisas que também uma diferença relevante não pode ser descartada</w:t>
      </w:r>
      <w:r>
        <w:rPr>
          <w:rStyle w:val="FootnoteReference"/>
        </w:rPr>
        <w:footnoteReference w:id="2779"/>
      </w:r>
      <w:r>
        <w:t xml:space="preserve">.</w:t>
      </w:r>
    </w:p>
    <w:p>
      <w:pPr>
        <w:numPr>
          <w:ilvl w:val="0"/>
          <w:numId w:val="1347"/>
        </w:numPr>
        <w:pStyle w:val="Compact"/>
      </w:pPr>
      <w:r>
        <w:t xml:space="preserve">Uma metanálise de sete estudos de coorte com mais de 40.000 gestações expostas não encontrou aumento estatisticamente comprovado de malformações graves; um sinal para malformações das vias urinárias baseava-se apenas em dados não ajustados. Os autores avaliam a certeza da evidência como baixa</w:t>
      </w:r>
      <w:r>
        <w:rPr>
          <w:rStyle w:val="FootnoteReference"/>
        </w:rPr>
        <w:footnoteReference w:id="2780"/>
      </w:r>
      <w:r>
        <w:t xml:space="preserve">.</w:t>
      </w:r>
    </w:p>
    <w:p>
      <w:pPr>
        <w:pStyle w:val="FirstParagraph"/>
      </w:pPr>
      <w:r>
        <w:t xml:space="preserve">Esses dados ajudam na avaliação de uma exposição</w:t>
      </w:r>
      <w:r>
        <w:t xml:space="preserve"> </w:t>
      </w:r>
      <w:r>
        <w:rPr>
          <w:iCs/>
          <w:i/>
        </w:rPr>
        <w:t xml:space="preserve">acidental</w:t>
      </w:r>
      <w:r>
        <w:t xml:space="preserve">. Não são prova de que um uso planejado na gravidez seria seguro. Para a amamentação, os dados são ainda mais escassos; sobre a passagem da bremelanotida para o leite materno, foi concluído um pequeno estudo com dez mulheres</w:t>
      </w:r>
      <w:r>
        <w:rPr>
          <w:rStyle w:val="FootnoteReference"/>
        </w:rPr>
        <w:footnoteReference w:id="2781"/>
      </w:r>
      <w:r>
        <w:t xml:space="preserve">.</w:t>
      </w:r>
    </w:p>
    <w:p>
      <w:pPr>
        <w:pStyle w:val="BodyText"/>
      </w:pPr>
      <w:r>
        <w:t xml:space="preserve">Alguns peptídeos são perigosos na gravidez pelo seu próprio princípio de ação. A ocitocina desencadeia contrações; um uso como spray nasal fora de controle médico é arriscado na gravidez (capítulo Ocitocina). Para peptídeos do mercado cinza como BPC-157, TB-500, Epitalon ou os liberadores de hormônio do crescimento, não há nenhum dado sobre gravidez e amamentação.</w:t>
      </w:r>
    </w:p>
    <w:bookmarkEnd w:id="2782"/>
    <w:bookmarkStart w:id="2787" w:name="Xf495dab99153c38bdf7ddac3a4e200465edf76f"/>
    <w:p>
      <w:pPr>
        <w:pStyle w:val="Heading3"/>
      </w:pPr>
      <w:r>
        <w:t xml:space="preserve">Contracepção oral e esvaziamento gástrico</w:t>
      </w:r>
    </w:p>
    <w:p>
      <w:pPr>
        <w:pStyle w:val="FirstParagraph"/>
      </w:pPr>
      <w:r>
        <w:t xml:space="preserve">Medicamentos de GLP-1, análogos de amilina como a pranlintida e também a bremelanotida retardam o esvaziamento do estômago. Com isso, comprimidos tomados ao mesmo tempo podem chegar ao sangue mais tarde ou em quantidade diferente. Isso afeta sobretudo medicamentos em que importam um início de ação rápido ou um nível sanguíneo uniforme.</w:t>
      </w:r>
    </w:p>
    <w:p>
      <w:pPr>
        <w:pStyle w:val="BodyText"/>
      </w:pPr>
      <w:r>
        <w:t xml:space="preserve">A pílula anticoncepcional foi estudada com especial cuidado. Para a semaglutida, um estudo com 43 mulheres não encontrou absorção reduzida dos dois hormônios de uma pílula combinada comum; o nível do progestagênio foi até 20% mais alto com semaglutida</w:t>
      </w:r>
      <w:r>
        <w:rPr>
          <w:rStyle w:val="FootnoteReference"/>
        </w:rPr>
        <w:footnoteReference w:id="2783"/>
      </w:r>
      <w:r>
        <w:t xml:space="preserve">. Com a tirzepatida é diferente: uma revisão de seis estudos encontrou apenas com a tirzepatida uma redução significativa da quantidade de hormônio absorvida, com os demais agonistas do receptor de GLP-1 não. Como explicação, os autores citam o retardo mais forte do esvaziamento gástrico após a primeira dose e após aumentos de dose</w:t>
      </w:r>
      <w:r>
        <w:rPr>
          <w:rStyle w:val="FootnoteReference"/>
        </w:rPr>
        <w:footnoteReference w:id="2784"/>
      </w:r>
      <w:r>
        <w:t xml:space="preserve">. A bula profissional da tirzepatida contém, por isso, uma advertência própria sobre a contracepção com comprimidos; os detalhes estão ali e devem ser discutidos com o médico.</w:t>
      </w:r>
    </w:p>
    <w:p>
      <w:pPr>
        <w:pStyle w:val="BodyText"/>
      </w:pPr>
      <w:r>
        <w:t xml:space="preserve">Independentemente da substância, vale: vômitos ou diarreia intensos – frequentes com medicamentos de GLP-1 – podem prejudicar a absorção de qualquer comprimido, inclusive o da pílula.</w:t>
      </w:r>
    </w:p>
    <w:p>
      <w:pPr>
        <w:pStyle w:val="BodyText"/>
      </w:pPr>
      <w:r>
        <w:t xml:space="preserve">Outras interações conhecidas em visão geral: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Peptídeo</w:t>
            </w:r>
          </w:p>
        </w:tc>
        <w:tc>
          <w:tcPr/>
          <w:p>
            <w:pPr>
              <w:pStyle w:val="Compact"/>
              <w:jc w:val="left"/>
            </w:pPr>
            <w:r>
              <w:t xml:space="preserve">Interação</w:t>
            </w:r>
          </w:p>
        </w:tc>
        <w:tc>
          <w:tcPr/>
          <w:p>
            <w:pPr>
              <w:pStyle w:val="Compact"/>
              <w:jc w:val="left"/>
            </w:pPr>
            <w:r>
              <w:t xml:space="preserve">Relevância</w:t>
            </w:r>
          </w:p>
        </w:tc>
        <w:tc>
          <w:tcPr/>
          <w:p>
            <w:pPr>
              <w:pStyle w:val="Compact"/>
              <w:jc w:val="left"/>
            </w:pPr>
            <w:r>
              <w:t xml:space="preserve">Capítulo</w:t>
            </w:r>
          </w:p>
        </w:tc>
      </w:tr>
      <w:tr>
        <w:tc>
          <w:tcPr/>
          <w:p>
            <w:pPr>
              <w:pStyle w:val="Compact"/>
              <w:jc w:val="left"/>
            </w:pPr>
            <w:r>
              <w:t xml:space="preserve">Medicamentos de GLP-1, pranlintida</w:t>
            </w:r>
          </w:p>
        </w:tc>
        <w:tc>
          <w:tcPr/>
          <w:p>
            <w:pPr>
              <w:pStyle w:val="Compact"/>
              <w:jc w:val="left"/>
            </w:pPr>
            <w:r>
              <w:t xml:space="preserve">absorção retardada de comprimidos</w:t>
            </w:r>
          </w:p>
        </w:tc>
        <w:tc>
          <w:tcPr/>
          <w:p>
            <w:pPr>
              <w:pStyle w:val="Compact"/>
              <w:jc w:val="left"/>
            </w:pPr>
            <w:r>
              <w:t xml:space="preserve">atenção em medicamentos de margem terapêutica estreita</w:t>
            </w:r>
          </w:p>
        </w:tc>
        <w:tc>
          <w:tcPr/>
          <w:p>
            <w:pPr>
              <w:pStyle w:val="Compact"/>
              <w:jc w:val="left"/>
            </w:pPr>
            <w:r>
              <w:t xml:space="preserve">Semaglutida, Pranlintida</w:t>
            </w:r>
          </w:p>
        </w:tc>
      </w:tr>
      <w:tr>
        <w:tc>
          <w:tcPr/>
          <w:p>
            <w:pPr>
              <w:pStyle w:val="Compact"/>
              <w:jc w:val="left"/>
            </w:pPr>
            <w:r>
              <w:t xml:space="preserve">Tirzepatida</w:t>
            </w:r>
          </w:p>
        </w:tc>
        <w:tc>
          <w:tcPr/>
          <w:p>
            <w:pPr>
              <w:pStyle w:val="Compact"/>
              <w:jc w:val="left"/>
            </w:pPr>
            <w:r>
              <w:t xml:space="preserve">menos hormônio da pílula</w:t>
            </w:r>
          </w:p>
        </w:tc>
        <w:tc>
          <w:tcPr/>
          <w:p>
            <w:pPr>
              <w:pStyle w:val="Compact"/>
              <w:jc w:val="left"/>
            </w:pPr>
            <w:r>
              <w:t xml:space="preserve">advertência na bula profissional</w:t>
            </w:r>
          </w:p>
        </w:tc>
        <w:tc>
          <w:tcPr/>
          <w:p>
            <w:pPr>
              <w:pStyle w:val="Compact"/>
              <w:jc w:val="left"/>
            </w:pPr>
            <w:r>
              <w:t xml:space="preserve">Tirzepatida</w:t>
            </w:r>
          </w:p>
        </w:tc>
      </w:tr>
      <w:tr>
        <w:tc>
          <w:tcPr/>
          <w:p>
            <w:pPr>
              <w:pStyle w:val="Compact"/>
              <w:jc w:val="left"/>
            </w:pPr>
            <w:r>
              <w:t xml:space="preserve">Bremelanotida</w:t>
            </w:r>
          </w:p>
        </w:tc>
        <w:tc>
          <w:tcPr/>
          <w:p>
            <w:pPr>
              <w:pStyle w:val="Compact"/>
              <w:jc w:val="left"/>
            </w:pPr>
            <w:r>
              <w:t xml:space="preserve">níveis mais baixos de indometacina e naltrexona</w:t>
            </w:r>
          </w:p>
        </w:tc>
        <w:tc>
          <w:tcPr/>
          <w:p>
            <w:pPr>
              <w:pStyle w:val="Compact"/>
              <w:jc w:val="left"/>
            </w:pPr>
            <w:r>
              <w:t xml:space="preserve">o efeito desses medicamentos pode diminuir</w:t>
            </w:r>
          </w:p>
        </w:tc>
        <w:tc>
          <w:tcPr/>
          <w:p>
            <w:pPr>
              <w:pStyle w:val="Compact"/>
              <w:jc w:val="left"/>
            </w:pPr>
            <w:r>
              <w:t xml:space="preserve">Bremelanotida</w:t>
            </w:r>
          </w:p>
        </w:tc>
      </w:tr>
      <w:tr>
        <w:tc>
          <w:tcPr/>
          <w:p>
            <w:pPr>
              <w:pStyle w:val="Compact"/>
              <w:jc w:val="left"/>
            </w:pPr>
            <w:r>
              <w:t xml:space="preserve">Macimorelina</w:t>
            </w:r>
          </w:p>
        </w:tc>
        <w:tc>
          <w:tcPr/>
          <w:p>
            <w:pPr>
              <w:pStyle w:val="Compact"/>
              <w:jc w:val="left"/>
            </w:pPr>
            <w:r>
              <w:t xml:space="preserve">prolonga o intervalo QT</w:t>
            </w:r>
          </w:p>
        </w:tc>
        <w:tc>
          <w:tcPr/>
          <w:p>
            <w:pPr>
              <w:pStyle w:val="Compact"/>
              <w:jc w:val="left"/>
            </w:pPr>
            <w:r>
              <w:t xml:space="preserve">cautela com outros medicamentos que prolongam o QT</w:t>
            </w:r>
          </w:p>
        </w:tc>
        <w:tc>
          <w:tcPr/>
          <w:p>
            <w:pPr>
              <w:pStyle w:val="Compact"/>
              <w:jc w:val="left"/>
            </w:pPr>
            <w:r>
              <w:t xml:space="preserve">Macimorelina</w:t>
            </w:r>
          </w:p>
        </w:tc>
      </w:tr>
      <w:tr>
        <w:tc>
          <w:tcPr/>
          <w:p>
            <w:pPr>
              <w:pStyle w:val="Compact"/>
              <w:jc w:val="left"/>
            </w:pPr>
            <w:r>
              <w:t xml:space="preserve">Orforglipron</w:t>
            </w:r>
          </w:p>
        </w:tc>
        <w:tc>
          <w:tcPr/>
          <w:p>
            <w:pPr>
              <w:pStyle w:val="Compact"/>
              <w:jc w:val="left"/>
            </w:pPr>
            <w:r>
              <w:t xml:space="preserve">metabolização por enzimas hepáticas</w:t>
            </w:r>
          </w:p>
        </w:tc>
        <w:tc>
          <w:tcPr/>
          <w:p>
            <w:pPr>
              <w:pStyle w:val="Compact"/>
              <w:jc w:val="left"/>
            </w:pPr>
            <w:r>
              <w:t xml:space="preserve">interações com outros medicamentos possíveis</w:t>
            </w:r>
          </w:p>
        </w:tc>
        <w:tc>
          <w:tcPr/>
          <w:p>
            <w:pPr>
              <w:pStyle w:val="Compact"/>
              <w:jc w:val="left"/>
            </w:pPr>
            <w:r>
              <w:t xml:space="preserve">Orforglipron</w:t>
            </w:r>
          </w:p>
        </w:tc>
      </w:tr>
      <w:tr>
        <w:tc>
          <w:tcPr/>
          <w:p>
            <w:pPr>
              <w:pStyle w:val="Compact"/>
              <w:jc w:val="left"/>
            </w:pPr>
            <w:r>
              <w:t xml:space="preserve">Selank, DSIP</w:t>
            </w:r>
          </w:p>
        </w:tc>
        <w:tc>
          <w:tcPr/>
          <w:p>
            <w:pPr>
              <w:pStyle w:val="Compact"/>
              <w:jc w:val="left"/>
            </w:pPr>
            <w:r>
              <w:t xml:space="preserve">sedativos e hipnóticos, álcool</w:t>
            </w:r>
          </w:p>
        </w:tc>
        <w:tc>
          <w:tcPr/>
          <w:p>
            <w:pPr>
              <w:pStyle w:val="Compact"/>
              <w:jc w:val="left"/>
            </w:pPr>
            <w:r>
              <w:t xml:space="preserve">não estudado</w:t>
            </w:r>
          </w:p>
        </w:tc>
        <w:tc>
          <w:tcPr/>
          <w:p>
            <w:pPr>
              <w:pStyle w:val="Compact"/>
              <w:jc w:val="left"/>
            </w:pPr>
            <w:r>
              <w:t xml:space="preserve">Selank, DSIP</w:t>
            </w:r>
          </w:p>
        </w:tc>
      </w:tr>
      <w:tr>
        <w:tc>
          <w:tcPr/>
          <w:p>
            <w:pPr>
              <w:pStyle w:val="Compact"/>
              <w:jc w:val="left"/>
            </w:pPr>
            <w:r>
              <w:t xml:space="preserve">BPC-157</w:t>
            </w:r>
          </w:p>
        </w:tc>
        <w:tc>
          <w:tcPr/>
          <w:p>
            <w:pPr>
              <w:pStyle w:val="Compact"/>
              <w:jc w:val="left"/>
            </w:pPr>
            <w:r>
              <w:t xml:space="preserve">coagulação sanguínea (apenas dados em animais)</w:t>
            </w:r>
          </w:p>
        </w:tc>
        <w:tc>
          <w:tcPr/>
          <w:p>
            <w:pPr>
              <w:pStyle w:val="Compact"/>
              <w:jc w:val="left"/>
            </w:pPr>
            <w:r>
              <w:t xml:space="preserve">com anticoagulantes, desconhecido</w:t>
            </w:r>
          </w:p>
        </w:tc>
        <w:tc>
          <w:tcPr/>
          <w:p>
            <w:pPr>
              <w:pStyle w:val="Compact"/>
              <w:jc w:val="left"/>
            </w:pPr>
            <w:r>
              <w:t xml:space="preserve">BPC-157</w:t>
            </w:r>
          </w:p>
        </w:tc>
      </w:tr>
    </w:tbl>
    <w:p>
      <w:pPr>
        <w:pStyle w:val="BodyText"/>
      </w:pPr>
      <w:r>
        <w:t xml:space="preserve">A interação da bremelanotida com indometacina e naltrexona está descrita nos dados de aprovação</w:t>
      </w:r>
      <w:r>
        <w:rPr>
          <w:rStyle w:val="FootnoteReference"/>
        </w:rPr>
        <w:footnoteReference w:id="2785"/>
      </w:r>
      <w:r>
        <w:t xml:space="preserve">. O prolongamento do QT pela macimorelina foi medido em um estudo de ECG detalhado</w:t>
      </w:r>
      <w:r>
        <w:rPr>
          <w:rStyle w:val="FootnoteReference"/>
        </w:rPr>
        <w:footnoteReference w:id="2786"/>
      </w:r>
      <w:r>
        <w:t xml:space="preserve">.</w:t>
      </w:r>
    </w:p>
    <w:bookmarkEnd w:id="2787"/>
    <w:bookmarkStart w:id="2792" w:name="Xf5a79fc93ccfe90a66fd2fd89c3a788f5145bf9"/>
    <w:p>
      <w:pPr>
        <w:pStyle w:val="Heading3"/>
      </w:pPr>
      <w:r>
        <w:t xml:space="preserve">Anestesia, endoscopia digestiva e aspiração</w:t>
      </w:r>
    </w:p>
    <w:p>
      <w:pPr>
        <w:pStyle w:val="FirstParagraph"/>
      </w:pPr>
      <w:r>
        <w:t xml:space="preserve">Antes de uma anestesia, o estômago deve estar vazio. O motivo: se conteúdo gástrico chegar às vias respiratórias durante a anestesia (aspiração), pode se seguir uma pneumonia grave. Como os medicamentos de GLP-1 retardam o esvaziamento gástrico, o estômago pode ainda conter restos de alimentos apesar do jejum prescrito.</w:t>
      </w:r>
    </w:p>
    <w:p>
      <w:pPr>
        <w:pStyle w:val="BodyText"/>
      </w:pPr>
      <w:r>
        <w:t xml:space="preserve">Os estudos sobre o tema traçam um quadro dividido:</w:t>
      </w:r>
    </w:p>
    <w:p>
      <w:pPr>
        <w:numPr>
          <w:ilvl w:val="0"/>
          <w:numId w:val="1348"/>
        </w:numPr>
        <w:pStyle w:val="Compact"/>
      </w:pPr>
      <w:r>
        <w:rPr>
          <w:bCs/>
          <w:b/>
        </w:rPr>
        <w:t xml:space="preserve">Mais conteúdo residual no estômago está bem comprovado.</w:t>
      </w:r>
      <w:r>
        <w:t xml:space="preserve"> </w:t>
      </w:r>
      <w:r>
        <w:t xml:space="preserve">Uma metanálise de 23 estudos observacionais com 262.018 pessoas submetidas a endoscopia digestiva alta encontrou com agonistas do receptor de GLP-1 um risco cerca de quatro vezes e meia maior de restos alimentares no estômago (odds ratio 4,54) e, da mesma forma, exames interrompidos precocemente com mais frequência. A pneumonia aspirativa não ocorreu com mais frequência (odds ratio 0,96)</w:t>
      </w:r>
      <w:r>
        <w:rPr>
          <w:rStyle w:val="FootnoteReference"/>
        </w:rPr>
        <w:footnoteReference w:id="2788"/>
      </w:r>
      <w:r>
        <w:t xml:space="preserve">.</w:t>
      </w:r>
    </w:p>
    <w:p>
      <w:pPr>
        <w:numPr>
          <w:ilvl w:val="0"/>
          <w:numId w:val="1348"/>
        </w:numPr>
        <w:pStyle w:val="Compact"/>
      </w:pPr>
      <w:r>
        <w:t xml:space="preserve">Em um estudo com ultrassom gástrico antes de cirurgias programadas, 49% das pessoas em uso de semaglutida tinham um</w:t>
      </w:r>
      <w:r>
        <w:t xml:space="preserve"> </w:t>
      </w:r>
      <w:r>
        <w:t xml:space="preserve">“</w:t>
      </w:r>
      <w:r>
        <w:t xml:space="preserve">estômago cheio</w:t>
      </w:r>
      <w:r>
        <w:t xml:space="preserve">”</w:t>
      </w:r>
      <w:r>
        <w:t xml:space="preserve">, mas apenas 18% dos controles comparáveis; restos alimentares sólidos foram encontrados em 42% contra 7%. Isso valeu mesmo quando uma dose antes da cirurgia havia sido omitida</w:t>
      </w:r>
      <w:r>
        <w:rPr>
          <w:rStyle w:val="FootnoteReference"/>
        </w:rPr>
        <w:footnoteReference w:id="2789"/>
      </w:r>
      <w:r>
        <w:t xml:space="preserve">.</w:t>
      </w:r>
    </w:p>
    <w:p>
      <w:pPr>
        <w:numPr>
          <w:ilvl w:val="0"/>
          <w:numId w:val="1348"/>
        </w:numPr>
        <w:pStyle w:val="Compact"/>
      </w:pPr>
      <w:r>
        <w:rPr>
          <w:bCs/>
          <w:b/>
        </w:rPr>
        <w:t xml:space="preserve">Aspirações reais são raras.</w:t>
      </w:r>
      <w:r>
        <w:t xml:space="preserve"> </w:t>
      </w:r>
      <w:r>
        <w:t xml:space="preserve">Em um grande estudo de banco de dados norte-americano com 296.389 pares de pessoas com diabetes tipo 2, complicações respiratórias após cirurgias foram até mais raras com agonistas do receptor de GLP-1 (0,09% contra 0,34%), aspirações em 0,01% contra 0,03%. Os autores ressaltam que não está claro se, nesses casos, já haviam sido tomadas medidas de precaução</w:t>
      </w:r>
      <w:r>
        <w:rPr>
          <w:rStyle w:val="FootnoteReference"/>
        </w:rPr>
        <w:footnoteReference w:id="2790"/>
      </w:r>
      <w:r>
        <w:t xml:space="preserve">.</w:t>
      </w:r>
    </w:p>
    <w:p>
      <w:pPr>
        <w:pStyle w:val="FirstParagraph"/>
      </w:pPr>
      <w:r>
        <w:t xml:space="preserve">Possivelmente as taxas de aspiração são baixas porque as equipes de anestesia conhecem o risco e adaptam sua conduta. Se uma pausa do medicamento antes de uma endoscopia reduz o problema deverá ser esclarecido por um grande estudo na China</w:t>
      </w:r>
      <w:r>
        <w:rPr>
          <w:rStyle w:val="FootnoteReference"/>
        </w:rPr>
        <w:footnoteReference w:id="2791"/>
      </w:r>
      <w:r>
        <w:t xml:space="preserve">. Para os pacientes, isso significa sobretudo: antes de qualquer cirurgia, anestesia ou endoscopia, informar que usa um medicamento de GLP-1 – mesmo que ele venha de uma farmácia de manipulação ou do mercado cinza. Como lidar com o medicamento antes do procedimento é decidido pela equipe de tratamento de acordo com as recomendações vigentes. Quem não considera um produto do mercado cinza como medicamento e por isso não o menciona tira essa possibilidade da equipe de anestesia.</w:t>
      </w:r>
    </w:p>
    <w:bookmarkEnd w:id="2792"/>
    <w:bookmarkStart w:id="2795" w:name="X819ea2d003f4e59f2b8f7cea8b2c02cbd21ecc2"/>
    <w:p>
      <w:pPr>
        <w:pStyle w:val="Heading3"/>
      </w:pPr>
      <w:r>
        <w:t xml:space="preserve">Combinação com antidiabéticos e hipoglicemia</w:t>
      </w:r>
    </w:p>
    <w:p>
      <w:pPr>
        <w:pStyle w:val="FirstParagraph"/>
      </w:pPr>
      <w:r>
        <w:t xml:space="preserve">Como descrito no capítulo</w:t>
      </w:r>
      <w:r>
        <w:t xml:space="preserve"> </w:t>
      </w:r>
      <w:r>
        <w:t xml:space="preserve">“</w:t>
      </w:r>
      <w:r>
        <w:t xml:space="preserve">Efeitos colaterais por sistemas de órgãos</w:t>
      </w:r>
      <w:r>
        <w:t xml:space="preserve">”</w:t>
      </w:r>
      <w:r>
        <w:t xml:space="preserve">, medicamentos de GLP-1 isoladamente quase não causam hipoglicemias perigosas. Isso muda em combinação com insulina ou sulfonilureias, que baixam a glicemia independentemente do valor atual. Em um estudo com exenatida em associação a metformina e uma sulfonilureia, hipoglicemias leves a moderadas ocorreram em até 28%, com placebo em 13%; com sulfonilureia em dose baixa, foram mais raras</w:t>
      </w:r>
      <w:r>
        <w:rPr>
          <w:rStyle w:val="FootnoteReference"/>
        </w:rPr>
        <w:footnoteReference w:id="2793"/>
      </w:r>
      <w:r>
        <w:t xml:space="preserve">. Com a pranlintida, usada junto com insulina, hipoglicemias graves ocorreram com mais frequência do que com placebo</w:t>
      </w:r>
      <w:r>
        <w:rPr>
          <w:rStyle w:val="FootnoteReference"/>
        </w:rPr>
        <w:footnoteReference w:id="2794"/>
      </w:r>
      <w:r>
        <w:t xml:space="preserve">. Por isso, as bulas profissionais preveem revisar a dose dos outros antidiabéticos no início; a execução cabe ao médico.</w:t>
      </w:r>
    </w:p>
    <w:p>
      <w:pPr>
        <w:pStyle w:val="BodyText"/>
      </w:pPr>
      <w:r>
        <w:t xml:space="preserve">Para vários peptídeos não aprovados, uma redução adicional da glicemia é teoricamente concebível, por exemplo para MOTS-c ou IGF-1 LR3 (capítulos MOTS-c, IGF-1 LR3). Isso não foi estudado. Inversamente, os peptídeos do eixo do hormônio do crescimento podem elevar a glicemia e desequilibrar um tratamento de diabetes existente (capítulos Ibutamoreno, Tesamorelina).</w:t>
      </w:r>
    </w:p>
    <w:bookmarkEnd w:id="2795"/>
    <w:bookmarkStart w:id="2800" w:name="crianças-e-adolescentes-3"/>
    <w:p>
      <w:pPr>
        <w:pStyle w:val="Heading3"/>
      </w:pPr>
      <w:r>
        <w:t xml:space="preserve">Crianças e adolescentes</w:t>
      </w:r>
    </w:p>
    <w:p>
      <w:pPr>
        <w:pStyle w:val="FirstParagraph"/>
      </w:pPr>
      <w:r>
        <w:t xml:space="preserve">Semaglutida e liraglutida estão aprovadas na UE e nos EUA também para adolescentes a partir de doze anos com obesidade. Os estudos de aprovação mostram um perfil de efeitos colaterais semelhante ao de adultos: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w:t>
            </w:r>
          </w:p>
        </w:tc>
        <w:tc>
          <w:tcPr/>
          <w:p>
            <w:pPr>
              <w:pStyle w:val="Compact"/>
              <w:jc w:val="left"/>
            </w:pPr>
            <w:r>
              <w:t xml:space="preserve">Queixas gastrointestinais</w:t>
            </w:r>
          </w:p>
        </w:tc>
        <w:tc>
          <w:tcPr/>
          <w:p>
            <w:pPr>
              <w:pStyle w:val="Compact"/>
              <w:jc w:val="left"/>
            </w:pPr>
            <w:r>
              <w:t xml:space="preserve">Outros achados</w:t>
            </w:r>
          </w:p>
        </w:tc>
      </w:tr>
      <w:tr>
        <w:tc>
          <w:tcPr/>
          <w:p>
            <w:pPr>
              <w:pStyle w:val="Compact"/>
              <w:jc w:val="left"/>
            </w:pPr>
            <w:r>
              <w:t xml:space="preserve">STEP TEENS (Weghuber 2022), PMID 36322838</w:t>
            </w:r>
          </w:p>
        </w:tc>
        <w:tc>
          <w:tcPr/>
          <w:p>
            <w:pPr>
              <w:pStyle w:val="Compact"/>
              <w:jc w:val="left"/>
            </w:pPr>
            <w:r>
              <w:t xml:space="preserve">201 adolescentes, semaglutida, 68 semanas</w:t>
            </w:r>
          </w:p>
        </w:tc>
        <w:tc>
          <w:tcPr/>
          <w:p>
            <w:pPr>
              <w:pStyle w:val="Compact"/>
              <w:jc w:val="left"/>
            </w:pPr>
            <w:r>
              <w:t xml:space="preserve">62% vs. 42%</w:t>
            </w:r>
          </w:p>
        </w:tc>
        <w:tc>
          <w:tcPr/>
          <w:p>
            <w:pPr>
              <w:pStyle w:val="Compact"/>
              <w:jc w:val="left"/>
            </w:pPr>
            <w:r>
              <w:t xml:space="preserve">cálculos biliares em 4%; eventos graves 11% vs. 9%</w:t>
            </w:r>
          </w:p>
        </w:tc>
      </w:tr>
      <w:tr>
        <w:tc>
          <w:tcPr/>
          <w:p>
            <w:pPr>
              <w:pStyle w:val="Compact"/>
              <w:jc w:val="left"/>
            </w:pPr>
            <w:r>
              <w:t xml:space="preserve">SCALE Teens (Kelly 2020), PMID 32233338</w:t>
            </w:r>
          </w:p>
        </w:tc>
        <w:tc>
          <w:tcPr/>
          <w:p>
            <w:pPr>
              <w:pStyle w:val="Compact"/>
              <w:jc w:val="left"/>
            </w:pPr>
            <w:r>
              <w:t xml:space="preserve">251 adolescentes, liraglutida, 56 semanas</w:t>
            </w:r>
          </w:p>
        </w:tc>
        <w:tc>
          <w:tcPr/>
          <w:p>
            <w:pPr>
              <w:pStyle w:val="Compact"/>
              <w:jc w:val="left"/>
            </w:pPr>
            <w:r>
              <w:t xml:space="preserve">64,8% vs. 36,5%</w:t>
            </w:r>
          </w:p>
        </w:tc>
        <w:tc>
          <w:tcPr/>
          <w:p>
            <w:pPr>
              <w:pStyle w:val="Compact"/>
              <w:jc w:val="left"/>
            </w:pPr>
            <w:r>
              <w:t xml:space="preserve">abandono por efeitos colaterais 10,4% vs. 0%</w:t>
            </w:r>
          </w:p>
        </w:tc>
      </w:tr>
    </w:tbl>
    <w:p>
      <w:pPr>
        <w:pStyle w:val="BodyText"/>
      </w:pPr>
      <w:r>
        <w:t xml:space="preserve">No estudo com liraglutida, o IMC voltou a subir mais após a suspensão do que com placebo, e houve um suicídio no grupo da liraglutida, que os investigadores classificaram como provavelmente não relacionado ao tratamento</w:t>
      </w:r>
      <w:r>
        <w:rPr>
          <w:rStyle w:val="FootnoteReference"/>
        </w:rPr>
        <w:footnoteReference w:id="2796"/>
      </w:r>
      <w:r>
        <w:t xml:space="preserve">. Uma metanálise de nove estudos randomizados e dois observacionais com adolescentes não encontrou, no geral, aumento de comportamento suicida ou depressão</w:t>
      </w:r>
      <w:r>
        <w:rPr>
          <w:rStyle w:val="FootnoteReference"/>
        </w:rPr>
        <w:footnoteReference w:id="2797"/>
      </w:r>
      <w:r>
        <w:t xml:space="preserve">.</w:t>
      </w:r>
    </w:p>
    <w:p>
      <w:pPr>
        <w:pStyle w:val="BodyText"/>
      </w:pPr>
      <w:r>
        <w:t xml:space="preserve">Os dados dos centros de informação toxicológica dos EUA mostram outro quadro. Em crianças e adolescentes entre 6 e 17 anos, os casos notificados com medicamentos de GLP-1 foram os que mais aumentaram entre 2017 e 2024. Eles foram internados com mais frequência do que adultos (risco relativo 2,66), vomitaram com mais frequência, e seus casos se deveram cerca de oito vezes mais a uso indevido intencional</w:t>
      </w:r>
      <w:r>
        <w:rPr>
          <w:rStyle w:val="FootnoteReference"/>
        </w:rPr>
        <w:footnoteReference w:id="2798"/>
      </w:r>
      <w:r>
        <w:t xml:space="preserve">. Isso indica que adolescentes usam esses medicamentos em parte fora de um tratamento médico.</w:t>
      </w:r>
    </w:p>
    <w:p>
      <w:pPr>
        <w:pStyle w:val="BodyText"/>
      </w:pPr>
      <w:r>
        <w:t xml:space="preserve">Para os peptídeos do meio fitness e do fisiculturismo, não está claro quão difundidos eles estão entre adolescentes. Uma revisão aponta publicidade nas redes sociais e indícios de uso crescente também por praticantes recreativos mais jovens, mas ressalta que faltam estudos sobre a frequência</w:t>
      </w:r>
      <w:r>
        <w:rPr>
          <w:rStyle w:val="FootnoteReference"/>
        </w:rPr>
        <w:footnoteReference w:id="2799"/>
      </w:r>
      <w:r>
        <w:t xml:space="preserve">. Para adolescentes, cujo crescimento e sistema hormonal ainda não estão concluídos, a intervenção no eixo do hormônio do crescimento ou dos hormônios sexuais com substâncias não aprovadas é particularmente arriscada. Os peptídeos aprovados para crianças – como a mecasermina na deficiência grave de IGF-1 – são usados exclusivamente sob controle de especialistas (capítulo Mecasermina).</w:t>
      </w:r>
    </w:p>
    <w:bookmarkEnd w:id="2800"/>
    <w:bookmarkStart w:id="2803" w:name="idosos"/>
    <w:p>
      <w:pPr>
        <w:pStyle w:val="Heading3"/>
      </w:pPr>
      <w:r>
        <w:t xml:space="preserve">Idosos</w:t>
      </w:r>
    </w:p>
    <w:p>
      <w:pPr>
        <w:pStyle w:val="FirstParagraph"/>
      </w:pPr>
      <w:r>
        <w:t xml:space="preserve">Com a idade, aumenta o risco de que efeitos colaterais evoluam de forma mais grave. Para idosos, quatro pontos são especialmente importantes com peptídeos:</w:t>
      </w:r>
    </w:p>
    <w:p>
      <w:pPr>
        <w:numPr>
          <w:ilvl w:val="0"/>
          <w:numId w:val="1349"/>
        </w:numPr>
        <w:pStyle w:val="Compact"/>
      </w:pPr>
      <w:r>
        <w:rPr>
          <w:bCs/>
          <w:b/>
        </w:rPr>
        <w:t xml:space="preserve">Perda de líquidos.</w:t>
      </w:r>
      <w:r>
        <w:t xml:space="preserve"> </w:t>
      </w:r>
      <w:r>
        <w:t xml:space="preserve">Vômitos e diarreia com medicamentos de GLP-1 podem levar mais rapidamente, em idosos, à desidratação e a problemas renais.</w:t>
      </w:r>
    </w:p>
    <w:p>
      <w:pPr>
        <w:numPr>
          <w:ilvl w:val="0"/>
          <w:numId w:val="1349"/>
        </w:numPr>
        <w:pStyle w:val="Compact"/>
      </w:pPr>
      <w:r>
        <w:rPr>
          <w:bCs/>
          <w:b/>
        </w:rPr>
        <w:t xml:space="preserve">Massa muscular.</w:t>
      </w:r>
      <w:r>
        <w:t xml:space="preserve"> </w:t>
      </w:r>
      <w:r>
        <w:t xml:space="preserve">Quem já tem pouca musculatura tolera mal uma perda adicional (ver a seção seguinte).</w:t>
      </w:r>
    </w:p>
    <w:p>
      <w:pPr>
        <w:numPr>
          <w:ilvl w:val="0"/>
          <w:numId w:val="1349"/>
        </w:numPr>
        <w:pStyle w:val="Compact"/>
      </w:pPr>
      <w:r>
        <w:rPr>
          <w:bCs/>
          <w:b/>
        </w:rPr>
        <w:t xml:space="preserve">Retenção hídrica e coração.</w:t>
      </w:r>
      <w:r>
        <w:t xml:space="preserve"> </w:t>
      </w:r>
      <w:r>
        <w:t xml:space="preserve">O hormônio do crescimento levou em idosos saudáveis com mais frequência a inchaço dos tecidos, dores articulares e síndrome do túnel do carpo</w:t>
      </w:r>
      <w:r>
        <w:rPr>
          <w:rStyle w:val="FootnoteReference"/>
        </w:rPr>
        <w:footnoteReference w:id="2801"/>
      </w:r>
      <w:r>
        <w:t xml:space="preserve">. Um estudo com ibutamoreno em idosos após fratura de quadril foi interrompido devido a um sinal de insuficiência cardíaca</w:t>
      </w:r>
      <w:r>
        <w:rPr>
          <w:rStyle w:val="FootnoteReference"/>
        </w:rPr>
        <w:footnoteReference w:id="2802"/>
      </w:r>
      <w:r>
        <w:t xml:space="preserve">. Justamente os peptídeos promovidos como</w:t>
      </w:r>
      <w:r>
        <w:t xml:space="preserve"> </w:t>
      </w:r>
      <w:r>
        <w:t xml:space="preserve">“</w:t>
      </w:r>
      <w:r>
        <w:t xml:space="preserve">antienvelhecimento</w:t>
      </w:r>
      <w:r>
        <w:t xml:space="preserve">”</w:t>
      </w:r>
      <w:r>
        <w:t xml:space="preserve"> </w:t>
      </w:r>
      <w:r>
        <w:t xml:space="preserve">são, portanto, antes uma sobrecarga para corações idosos.</w:t>
      </w:r>
    </w:p>
    <w:p>
      <w:pPr>
        <w:numPr>
          <w:ilvl w:val="0"/>
          <w:numId w:val="1349"/>
        </w:numPr>
        <w:pStyle w:val="Compact"/>
      </w:pPr>
      <w:r>
        <w:rPr>
          <w:bCs/>
          <w:b/>
        </w:rPr>
        <w:t xml:space="preserve">Vários medicamentos.</w:t>
      </w:r>
      <w:r>
        <w:t xml:space="preserve"> </w:t>
      </w:r>
      <w:r>
        <w:t xml:space="preserve">Idosos frequentemente tomam muitos medicamentos ao mesmo tempo. O esvaziamento gástrico retardado pode alterar a absorção deles, e combinações com medicamentos hipoglicemiantes aumentam o risco de hipoglicemia e quedas.</w:t>
      </w:r>
    </w:p>
    <w:bookmarkEnd w:id="2803"/>
    <w:bookmarkStart w:id="2808" w:name="perda-muscular-na-perda-de-peso-intensa"/>
    <w:p>
      <w:pPr>
        <w:pStyle w:val="Heading3"/>
      </w:pPr>
      <w:r>
        <w:t xml:space="preserve">Perda muscular na perda de peso intensa</w:t>
      </w:r>
    </w:p>
    <w:p>
      <w:pPr>
        <w:pStyle w:val="FirstParagraph"/>
      </w:pPr>
      <w:r>
        <w:t xml:space="preserve">Em toda perda de peso, perde-se, além de gordura, também massa magra, que inclui músculos, órgãos e água. Nos medicamentos de GLP-1 muito eficazes, a questão é se essa proporção é anormalmente alta e se ela causa danos.</w:t>
      </w:r>
    </w:p>
    <w:p>
      <w:pPr>
        <w:numPr>
          <w:ilvl w:val="0"/>
          <w:numId w:val="1350"/>
        </w:numPr>
        <w:pStyle w:val="Compact"/>
      </w:pPr>
      <w:r>
        <w:t xml:space="preserve">Em um subestudo do SURMOUNT-1 com 160 participantes, o peso perdido com tirzepatida consistiu em cerca de 75% de gordura e 25% de massa magra – na mesma proporção que com placebo, apenas com uma perda total bem maior. Essas proporções permaneceram semelhantes na maioria dos subgrupos, também separados por idade</w:t>
      </w:r>
      <w:r>
        <w:rPr>
          <w:rStyle w:val="FootnoteReference"/>
        </w:rPr>
        <w:footnoteReference w:id="2804"/>
      </w:r>
      <w:r>
        <w:t xml:space="preserve">.</w:t>
      </w:r>
    </w:p>
    <w:p>
      <w:pPr>
        <w:numPr>
          <w:ilvl w:val="0"/>
          <w:numId w:val="1350"/>
        </w:numPr>
        <w:pStyle w:val="Compact"/>
      </w:pPr>
      <w:r>
        <w:t xml:space="preserve">Uma metanálise em rede de 22 estudos também constatou que cerca de 25% da perda de peso correspondeu a massa magra. Semaglutida e tirzepatida levaram à maior perda de peso, mas também estavam entre as substâncias com as quais mais massa magra foi perdida</w:t>
      </w:r>
      <w:r>
        <w:rPr>
          <w:rStyle w:val="FootnoteReference"/>
        </w:rPr>
        <w:footnoteReference w:id="2805"/>
      </w:r>
      <w:r>
        <w:t xml:space="preserve">.</w:t>
      </w:r>
    </w:p>
    <w:p>
      <w:pPr>
        <w:numPr>
          <w:ilvl w:val="0"/>
          <w:numId w:val="1350"/>
        </w:numPr>
        <w:pStyle w:val="Compact"/>
      </w:pPr>
      <w:r>
        <w:t xml:space="preserve">Uma revisão sistemática de 35 estudos chegou a uma proporção um pouco maior: na mediana, 28,3% da perda de peso correspondeu a medidas relacionadas ao músculo, e em 65% dos estudos a proporção ficou acima de um valor de referência de cerca de 25%. Nenhum estudo havia medido objetivamente o desempenho físico</w:t>
      </w:r>
      <w:r>
        <w:rPr>
          <w:rStyle w:val="FootnoteReference"/>
        </w:rPr>
        <w:footnoteReference w:id="2806"/>
      </w:r>
      <w:r>
        <w:t xml:space="preserve">.</w:t>
      </w:r>
    </w:p>
    <w:p>
      <w:pPr>
        <w:numPr>
          <w:ilvl w:val="0"/>
          <w:numId w:val="1350"/>
        </w:numPr>
        <w:pStyle w:val="Compact"/>
      </w:pPr>
      <w:r>
        <w:t xml:space="preserve">Outra metanálise ressalta o outro lado: como a gordura diminui mais do que os músculos, a</w:t>
      </w:r>
      <w:r>
        <w:t xml:space="preserve"> </w:t>
      </w:r>
      <w:r>
        <w:rPr>
          <w:iCs/>
          <w:i/>
        </w:rPr>
        <w:t xml:space="preserve">proporção</w:t>
      </w:r>
      <w:r>
        <w:t xml:space="preserve"> </w:t>
      </w:r>
      <w:r>
        <w:t xml:space="preserve">de massa magra no peso corporal aumentou 1,81 ponto percentual. Os autores recomendam acompanhar o tratamento com programas de nutrição e atividade física</w:t>
      </w:r>
      <w:r>
        <w:rPr>
          <w:rStyle w:val="FootnoteReference"/>
        </w:rPr>
        <w:footnoteReference w:id="2807"/>
      </w:r>
      <w:r>
        <w:t xml:space="preserve">.</w:t>
      </w:r>
    </w:p>
    <w:p>
      <w:pPr>
        <w:pStyle w:val="FirstParagraph"/>
      </w:pPr>
      <w:r>
        <w:t xml:space="preserve">Em resumo: a perda muscular com medicamentos de GLP-1 não parece ser substancialmente maior, em relação à perda total, do que em outras formas de redução de peso – mas, em quilogramas absolutos, é considerável devido à grande perda. Se isso tem consequências para força, quedas ou independência não foi estudado. Para idosos, pessoas com pouca massa muscular e pessoas com fragilidade, essa é uma questão em aberto. Se combinações com cagrilintida influenciam a perda muscular está sendo investigado atualmente (capítulo Cagrilintida).</w:t>
      </w:r>
    </w:p>
    <w:bookmarkEnd w:id="2808"/>
    <w:bookmarkStart w:id="2813" w:name="transtornos-alimentares"/>
    <w:p>
      <w:pPr>
        <w:pStyle w:val="Heading3"/>
      </w:pPr>
      <w:r>
        <w:t xml:space="preserve">Transtornos alimentares</w:t>
      </w:r>
    </w:p>
    <w:p>
      <w:pPr>
        <w:pStyle w:val="FirstParagraph"/>
      </w:pPr>
      <w:r>
        <w:t xml:space="preserve">Medicamentos de GLP-1 reduzem o apetite e a sensação de fome. Para pessoas com anorexia nervosa ou bulimia, justamente esse efeito pode ser perigoso: ele pode reforçar o comportamento alimentar restritivo e agravar a doença. Um relato de caso descreve o abuso de semaglutida em uma anorexia atípica</w:t>
      </w:r>
      <w:r>
        <w:rPr>
          <w:rStyle w:val="FootnoteReference"/>
        </w:rPr>
        <w:footnoteReference w:id="2809"/>
      </w:r>
      <w:r>
        <w:t xml:space="preserve">, e um estudo transversal norte-americano investigou quão difundidos são o uso e o abuso de medicamentos de GLP-1 entre pessoas com transtornos alimentares</w:t>
      </w:r>
      <w:r>
        <w:rPr>
          <w:rStyle w:val="FootnoteReference"/>
        </w:rPr>
        <w:footnoteReference w:id="2810"/>
      </w:r>
      <w:r>
        <w:t xml:space="preserve">.</w:t>
      </w:r>
    </w:p>
    <w:p>
      <w:pPr>
        <w:pStyle w:val="BodyText"/>
      </w:pPr>
      <w:r>
        <w:t xml:space="preserve">Um painel de 45 especialistas e pessoas afetadas elaborou em 2026 recomendações por processo de consenso. Segundo elas, antes do início de um tratamento com GLP-1 deve-se perguntar, com um questionário breve e validado, sobre transtornos alimentares atuais e passados; os sintomas devem ser observados ao longo do tratamento; e, na anorexia ativa, na anorexia atípica ou na bulimia com forte restrição alimentar, esses medicamentos em regra não devem ser usados. Também em transtornos alimentares passados seria necessária cautela</w:t>
      </w:r>
      <w:r>
        <w:rPr>
          <w:rStyle w:val="FootnoteReference"/>
        </w:rPr>
        <w:footnoteReference w:id="2811"/>
      </w:r>
      <w:r>
        <w:t xml:space="preserve">.</w:t>
      </w:r>
    </w:p>
    <w:p>
      <w:pPr>
        <w:pStyle w:val="BodyText"/>
      </w:pPr>
      <w:r>
        <w:t xml:space="preserve">Para o transtorno de compulsão alimentar, em que ocorrem episódios de compulsão sem medidas compensatórias, há por outro lado primeiros indícios de que medicamentos de GLP-1 poderiam reduzir os episódios</w:t>
      </w:r>
      <w:r>
        <w:rPr>
          <w:rStyle w:val="FootnoteReference"/>
        </w:rPr>
        <w:footnoteReference w:id="2812"/>
      </w:r>
      <w:r>
        <w:t xml:space="preserve">. Isso mostra quão importante é um diagnóstico preciso. Pelo mercado cinza e por fornecedores online com pouco acompanhamento médico, justamente essa investigação deixa de acontecer.</w:t>
      </w:r>
    </w:p>
    <w:bookmarkEnd w:id="2813"/>
    <w:bookmarkStart w:id="2819" w:name="X82bafa0bed3788919808d124610f65a19cb20d3"/>
    <w:p>
      <w:pPr>
        <w:pStyle w:val="Heading3"/>
      </w:pPr>
      <w:r>
        <w:t xml:space="preserve">Esporte de alto rendimento e controles antidoping</w:t>
      </w:r>
    </w:p>
    <w:p>
      <w:pPr>
        <w:pStyle w:val="FirstParagraph"/>
      </w:pPr>
      <w:r>
        <w:t xml:space="preserve">Para atletas sujeitos a controles antidoping, a situação com peptídeos é particularmente delicada. Segundo a lista de substâncias proibidas da Agência Mundial Antidoping (WADA), vale em linhas gerais:</w:t>
      </w:r>
    </w:p>
    <w:p>
      <w:pPr>
        <w:numPr>
          <w:ilvl w:val="0"/>
          <w:numId w:val="1351"/>
        </w:numPr>
        <w:pStyle w:val="Compact"/>
      </w:pPr>
      <w:r>
        <w:rPr>
          <w:bCs/>
          <w:b/>
        </w:rPr>
        <w:t xml:space="preserve">Proibidos (S2, hormônios peptídicos e fatores de crescimento):</w:t>
      </w:r>
      <w:r>
        <w:t xml:space="preserve"> </w:t>
      </w:r>
      <w:r>
        <w:t xml:space="preserve">todos os liberadores de hormônio do crescimento e variantes de IGF-1, timosina beta-4 e TB-500, ARA-290, em homens a gonadorelina e liberadores de LH como a kisspeptina.</w:t>
      </w:r>
    </w:p>
    <w:p>
      <w:pPr>
        <w:numPr>
          <w:ilvl w:val="0"/>
          <w:numId w:val="1351"/>
        </w:numPr>
        <w:pStyle w:val="Compact"/>
      </w:pPr>
      <w:r>
        <w:rPr>
          <w:bCs/>
          <w:b/>
        </w:rPr>
        <w:t xml:space="preserve">Proibidos (S0, substâncias não aprovadas):</w:t>
      </w:r>
      <w:r>
        <w:t xml:space="preserve"> </w:t>
      </w:r>
      <w:r>
        <w:t xml:space="preserve">substâncias sem aprovação como medicamento de uso humano, como BPC-157, Melanotan II e os agonistas múltiplos de GLP-1 ainda em estudo, como a retatrutida.</w:t>
      </w:r>
    </w:p>
    <w:p>
      <w:pPr>
        <w:numPr>
          <w:ilvl w:val="0"/>
          <w:numId w:val="1351"/>
        </w:numPr>
        <w:pStyle w:val="Compact"/>
      </w:pPr>
      <w:r>
        <w:rPr>
          <w:bCs/>
          <w:b/>
        </w:rPr>
        <w:t xml:space="preserve">Proibido (S4):</w:t>
      </w:r>
      <w:r>
        <w:t xml:space="preserve"> </w:t>
      </w:r>
      <w:r>
        <w:t xml:space="preserve">MOTS-c, como ativador da enzima AMPK.</w:t>
      </w:r>
    </w:p>
    <w:p>
      <w:pPr>
        <w:numPr>
          <w:ilvl w:val="0"/>
          <w:numId w:val="1351"/>
        </w:numPr>
        <w:pStyle w:val="Compact"/>
      </w:pPr>
      <w:r>
        <w:rPr>
          <w:bCs/>
          <w:b/>
        </w:rPr>
        <w:t xml:space="preserve">Não proibidos:</w:t>
      </w:r>
      <w:r>
        <w:t xml:space="preserve"> </w:t>
      </w:r>
      <w:r>
        <w:t xml:space="preserve">os medicamentos de GLP-1 aprovados. A semaglutida e a tirzepatida, porém, foram incluídas no programa de monitoramento da WADA para detectar um possível abuso; laboratórios já desenvolveram métodos de detecção para sangue e gotas de sangue seco</w:t>
      </w:r>
      <w:r>
        <w:rPr>
          <w:rStyle w:val="FootnoteReference"/>
        </w:rPr>
        <w:footnoteReference w:id="2814"/>
      </w:r>
      <w:r>
        <w:t xml:space="preserve">.</w:t>
      </w:r>
    </w:p>
    <w:p>
      <w:pPr>
        <w:pStyle w:val="FirstParagraph"/>
      </w:pPr>
      <w:r>
        <w:t xml:space="preserve">Os detalhes estão nos respectivos capítulos. Três pontos são importantes para todos os peptídeos.</w:t>
      </w:r>
    </w:p>
    <w:p>
      <w:pPr>
        <w:pStyle w:val="BodyText"/>
      </w:pPr>
      <w:r>
        <w:rPr>
          <w:bCs/>
          <w:b/>
        </w:rPr>
        <w:t xml:space="preserve">Produtos contaminados.</w:t>
      </w:r>
      <w:r>
        <w:t xml:space="preserve"> </w:t>
      </w:r>
      <w:r>
        <w:t xml:space="preserve">Um atleta é responsável por qualquer substância proibida em seu corpo – mesmo que ela venha de um produto rotulado incorretamente. As análises laboratoriais no capítulo</w:t>
      </w:r>
      <w:r>
        <w:t xml:space="preserve"> </w:t>
      </w:r>
      <w:r>
        <w:t xml:space="preserve">“</w:t>
      </w:r>
      <w:r>
        <w:t xml:space="preserve">Produtos do mercado cinza</w:t>
      </w:r>
      <w:r>
        <w:t xml:space="preserve">”</w:t>
      </w:r>
      <w:r>
        <w:t xml:space="preserve"> </w:t>
      </w:r>
      <w:r>
        <w:t xml:space="preserve">mostram que a mercadoria do mercado cinza frequentemente contém substâncias diferentes ou adicionais e que substâncias proibidas aparecem também em produtos apresentados como suplementos alimentares</w:t>
      </w:r>
      <w:r>
        <w:rPr>
          <w:rStyle w:val="FootnoteReference"/>
        </w:rPr>
        <w:footnoteReference w:id="2815"/>
      </w:r>
      <w:r>
        <w:t xml:space="preserve">.</w:t>
      </w:r>
    </w:p>
    <w:p>
      <w:pPr>
        <w:pStyle w:val="BodyText"/>
      </w:pPr>
      <w:r>
        <w:rPr>
          <w:bCs/>
          <w:b/>
        </w:rPr>
        <w:t xml:space="preserve">Variantes de designer.</w:t>
      </w:r>
      <w:r>
        <w:t xml:space="preserve"> </w:t>
      </w:r>
      <w:r>
        <w:t xml:space="preserve">Peptídeos modificados como Gly-GHRP-2 ou Gly-ipamorelina provavelmente têm o objetivo de burlar testes</w:t>
      </w:r>
      <w:r>
        <w:rPr>
          <w:rStyle w:val="FootnoteReference"/>
        </w:rPr>
        <w:footnoteReference w:id="2816"/>
      </w:r>
      <w:r>
        <w:t xml:space="preserve">. Seu efeito e sua segurança são completamente desconhecidos. A experiência mostra que os laboratórios antidoping atualizam seus métodos; além disso, as amostras são armazenadas a longo prazo e podem ser reanalisadas posteriormente.</w:t>
      </w:r>
    </w:p>
    <w:p>
      <w:pPr>
        <w:pStyle w:val="BodyText"/>
      </w:pPr>
      <w:r>
        <w:rPr>
          <w:bCs/>
          <w:b/>
        </w:rPr>
        <w:t xml:space="preserve">Benefício questionável.</w:t>
      </w:r>
      <w:r>
        <w:t xml:space="preserve"> </w:t>
      </w:r>
      <w:r>
        <w:t xml:space="preserve">Uma revisão sobre medicamentos à base de incretinas no esporte conclui que estudos clínicos não mostram uma melhora uniforme do desempenho físico em humanos e que 20 a 30% da perda de peso corresponde a massa magra</w:t>
      </w:r>
      <w:r>
        <w:rPr>
          <w:rStyle w:val="FootnoteReference"/>
        </w:rPr>
        <w:footnoteReference w:id="2817"/>
      </w:r>
      <w:r>
        <w:t xml:space="preserve">. Para os peptídeos regenerativos e os liberadores de hormônio do crescimento, uma revisão de medicina esportiva conclui que eles permanecem experimentais, com perfil de segurança incerto, qualidade de produto questionável e amplas proibições antidoping</w:t>
      </w:r>
      <w:r>
        <w:rPr>
          <w:rStyle w:val="FootnoteReference"/>
        </w:rPr>
        <w:footnoteReference w:id="2818"/>
      </w:r>
      <w:r>
        <w:t xml:space="preserve">.</w:t>
      </w:r>
    </w:p>
    <w:bookmarkEnd w:id="2819"/>
    <w:bookmarkStart w:id="2820" w:name="o-essencial-em-resumo-7"/>
    <w:p>
      <w:pPr>
        <w:pStyle w:val="Heading3"/>
      </w:pPr>
      <w:r>
        <w:t xml:space="preserve">O essencial em resumo</w:t>
      </w:r>
    </w:p>
    <w:p>
      <w:pPr>
        <w:numPr>
          <w:ilvl w:val="0"/>
          <w:numId w:val="1352"/>
        </w:numPr>
        <w:pStyle w:val="Compact"/>
      </w:pPr>
      <w:r>
        <w:t xml:space="preserve">Na gravidez, quase todos os peptídeos não foram estudados ou não são indicados. Para uma exposição acidental a medicamentos de GLP-1, os dados são predominantemente tranquilizadores, mas incertos.</w:t>
      </w:r>
    </w:p>
    <w:p>
      <w:pPr>
        <w:numPr>
          <w:ilvl w:val="0"/>
          <w:numId w:val="1352"/>
        </w:numPr>
        <w:pStyle w:val="Compact"/>
      </w:pPr>
      <w:r>
        <w:t xml:space="preserve">A tirzepatida pode reduzir a absorção da pílula; com a semaglutida isso não foi encontrado. Vômitos e diarreia prejudicam a ingestão de qualquer comprimido.</w:t>
      </w:r>
    </w:p>
    <w:p>
      <w:pPr>
        <w:numPr>
          <w:ilvl w:val="0"/>
          <w:numId w:val="1352"/>
        </w:numPr>
        <w:pStyle w:val="Compact"/>
      </w:pPr>
      <w:r>
        <w:t xml:space="preserve">Com medicamentos de GLP-1, o estômago permanece cheio com mais frequência. Antes de anestesias e endoscopias, a equipe de tratamento precisa saber disso.</w:t>
      </w:r>
    </w:p>
    <w:p>
      <w:pPr>
        <w:numPr>
          <w:ilvl w:val="0"/>
          <w:numId w:val="1352"/>
        </w:numPr>
        <w:pStyle w:val="Compact"/>
      </w:pPr>
      <w:r>
        <w:t xml:space="preserve">Em combinação com insulina ou sulfonilureias, o risco de hipoglicemia aumenta.</w:t>
      </w:r>
    </w:p>
    <w:p>
      <w:pPr>
        <w:numPr>
          <w:ilvl w:val="0"/>
          <w:numId w:val="1352"/>
        </w:numPr>
        <w:pStyle w:val="Compact"/>
      </w:pPr>
      <w:r>
        <w:t xml:space="preserve">Adolescentes chamam a atenção nos dados dos centros toxicológicos por uso indevido intencional; em transtornos alimentares, medicamentos de GLP-1 em regra não devem ser usados.</w:t>
      </w:r>
    </w:p>
    <w:p>
      <w:pPr>
        <w:numPr>
          <w:ilvl w:val="0"/>
          <w:numId w:val="1352"/>
        </w:numPr>
        <w:pStyle w:val="Compact"/>
      </w:pPr>
      <w:r>
        <w:t xml:space="preserve">Cerca de um quarto da perda de peso com medicamentos de GLP-1 corresponde a massa magra; se isso tem consequências funcionais está em aberto.</w:t>
      </w:r>
    </w:p>
    <w:p>
      <w:pPr>
        <w:numPr>
          <w:ilvl w:val="0"/>
          <w:numId w:val="1352"/>
        </w:numPr>
        <w:pStyle w:val="Compact"/>
      </w:pPr>
      <w:r>
        <w:t xml:space="preserve">Para atletas, a maioria dos peptídeos é proibida, e produtos do mercado cinza trazem ainda o risco de substâncias dopantes não declaradas.</w:t>
      </w:r>
    </w:p>
    <w:bookmarkEnd w:id="2820"/>
    <w:bookmarkEnd w:id="2821"/>
    <w:bookmarkEnd w:id="2822"/>
    <w:bookmarkStart w:id="2974" w:name="parte-v-futuro"/>
    <w:p>
      <w:pPr>
        <w:pStyle w:val="Heading1"/>
      </w:pPr>
      <w:r>
        <w:t xml:space="preserve">Parte V – Futuro</w:t>
      </w:r>
    </w:p>
    <w:p>
      <w:pPr>
        <w:pStyle w:val="FirstParagraph"/>
      </w:pPr>
      <w:r>
        <w:t xml:space="preserve">As partes anteriores descreveram o que se sabe hoje sobre peptídeos. Esta última parte olha para a frente: quais substâncias estão nos grandes estudos que terminam nos próximos anos? As injeções serão substituídas por comprimidos? O que significam as patentes que expiram para os preços e o abastecimento? E quais desenvolvimentos são de esperar até 2035?</w:t>
      </w:r>
    </w:p>
    <w:p>
      <w:pPr>
        <w:pStyle w:val="BodyText"/>
      </w:pPr>
      <w:r>
        <w:t xml:space="preserve">Afirmações sobre o futuro são rigorosamente separadas neste livro.</w:t>
      </w:r>
      <w:r>
        <w:t xml:space="preserve"> </w:t>
      </w:r>
      <w:r>
        <w:rPr>
          <w:bCs/>
          <w:b/>
        </w:rPr>
        <w:t xml:space="preserve">Assegurado</w:t>
      </w:r>
      <w:r>
        <w:t xml:space="preserve"> </w:t>
      </w:r>
      <w:r>
        <w:t xml:space="preserve">é o que está inscrito em um registro de estudos, publicado em um estudo revisado por pares ou decidido por autoridades. Também isso é apenas um retrato instantâneo: estudos são prolongados, reduzidos ou interrompidos, e datas de término planejadas frequentemente se deslocam por anos. Todo o resto é</w:t>
      </w:r>
      <w:r>
        <w:t xml:space="preserve"> </w:t>
      </w:r>
      <w:r>
        <w:rPr>
          <w:bCs/>
          <w:b/>
        </w:rPr>
        <w:t xml:space="preserve">avaliação do autor</w:t>
      </w:r>
      <w:r>
        <w:t xml:space="preserve"> </w:t>
      </w:r>
      <w:r>
        <w:t xml:space="preserve">e é expressamente identificado como tal. A pesquisa reflete a situação de outubro de 2026.</w:t>
      </w:r>
    </w:p>
    <w:bookmarkStart w:id="2864" w:name="o-pipeline-o-que-está-em-fase-2-e-3"/>
    <w:p>
      <w:pPr>
        <w:pStyle w:val="Heading2"/>
      </w:pPr>
      <w:r>
        <w:t xml:space="preserve">O pipeline: o que está em fase 2 e 3</w:t>
      </w:r>
    </w:p>
    <w:p>
      <w:pPr>
        <w:pStyle w:val="FirstParagraph"/>
      </w:pPr>
      <w:r>
        <w:t xml:space="preserve">A indústria farmacêutica chama de</w:t>
      </w:r>
      <w:r>
        <w:t xml:space="preserve"> </w:t>
      </w:r>
      <w:r>
        <w:t xml:space="preserve">“</w:t>
      </w:r>
      <w:r>
        <w:t xml:space="preserve">pipeline</w:t>
      </w:r>
      <w:r>
        <w:t xml:space="preserve">”</w:t>
      </w:r>
      <w:r>
        <w:t xml:space="preserve"> </w:t>
      </w:r>
      <w:r>
        <w:t xml:space="preserve">o conjunto das substâncias em desenvolvimento. As etapas são explicadas na Parte I: na</w:t>
      </w:r>
      <w:r>
        <w:t xml:space="preserve"> </w:t>
      </w:r>
      <w:r>
        <w:rPr>
          <w:bCs/>
          <w:b/>
        </w:rPr>
        <w:t xml:space="preserve">fase 1</w:t>
      </w:r>
      <w:r>
        <w:t xml:space="preserve">, uma substância é em geral testada quanto à tolerabilidade em poucas pessoas saudáveis; na</w:t>
      </w:r>
      <w:r>
        <w:t xml:space="preserve"> </w:t>
      </w:r>
      <w:r>
        <w:rPr>
          <w:bCs/>
          <w:b/>
        </w:rPr>
        <w:t xml:space="preserve">fase 2</w:t>
      </w:r>
      <w:r>
        <w:t xml:space="preserve">, em algumas centenas de doentes quanto à eficácia e à dose adequada; na</w:t>
      </w:r>
      <w:r>
        <w:t xml:space="preserve"> </w:t>
      </w:r>
      <w:r>
        <w:rPr>
          <w:bCs/>
          <w:b/>
        </w:rPr>
        <w:t xml:space="preserve">fase 3</w:t>
      </w:r>
      <w:r>
        <w:t xml:space="preserve">, em milhares, para a aprovação. A</w:t>
      </w:r>
      <w:r>
        <w:t xml:space="preserve"> </w:t>
      </w:r>
      <w:r>
        <w:rPr>
          <w:bCs/>
          <w:b/>
        </w:rPr>
        <w:t xml:space="preserve">fase 4</w:t>
      </w:r>
      <w:r>
        <w:t xml:space="preserve"> </w:t>
      </w:r>
      <w:r>
        <w:t xml:space="preserve">designa estudos com medicamentos já aprovados. Quem quer saber o que pode chegar ao mercado nos próximos cinco anos precisa olhar sobretudo para a fase 3.</w:t>
      </w:r>
    </w:p>
    <w:bookmarkStart w:id="2825" w:name="como-a-análise-foi-feita"/>
    <w:p>
      <w:pPr>
        <w:pStyle w:val="Heading3"/>
      </w:pPr>
      <w:r>
        <w:t xml:space="preserve">Como a análise foi feita</w:t>
      </w:r>
    </w:p>
    <w:p>
      <w:pPr>
        <w:pStyle w:val="FirstParagraph"/>
      </w:pPr>
      <w:r>
        <w:t xml:space="preserve">A base são as listas de registros do ClinicalTrials.gov, consultadas em outubro de 2026 para as 58 substâncias deste livro (ver Metodologia no apêndice). Um pequeno programa de análise filtrou delas todos os registros que</w:t>
      </w:r>
    </w:p>
    <w:p>
      <w:pPr>
        <w:numPr>
          <w:ilvl w:val="0"/>
          <w:numId w:val="1353"/>
        </w:numPr>
        <w:pStyle w:val="Compact"/>
      </w:pPr>
      <w:r>
        <w:t xml:space="preserve">descrevem um estudo</w:t>
      </w:r>
      <w:r>
        <w:t xml:space="preserve"> </w:t>
      </w:r>
      <w:r>
        <w:rPr>
          <w:bCs/>
          <w:b/>
        </w:rPr>
        <w:t xml:space="preserve">intervencional</w:t>
      </w:r>
      <w:r>
        <w:t xml:space="preserve">, ou seja, um estudo em que uma substância é administrada de forma intencional (não mera observação), e</w:t>
      </w:r>
    </w:p>
    <w:p>
      <w:pPr>
        <w:numPr>
          <w:ilvl w:val="0"/>
          <w:numId w:val="1353"/>
        </w:numPr>
        <w:pStyle w:val="Compact"/>
      </w:pPr>
      <w:r>
        <w:t xml:space="preserve">estão marcados como</w:t>
      </w:r>
      <w:r>
        <w:t xml:space="preserve"> </w:t>
      </w:r>
      <w:r>
        <w:rPr>
          <w:bCs/>
          <w:b/>
        </w:rPr>
        <w:t xml:space="preserve">em andamento</w:t>
      </w:r>
      <w:r>
        <w:t xml:space="preserve">: recrutando, ativo sem novo recrutamento, ainda não recrutando ou participação apenas por convite.</w:t>
      </w:r>
    </w:p>
    <w:p>
      <w:pPr>
        <w:pStyle w:val="FirstParagraph"/>
      </w:pPr>
      <w:r>
        <w:t xml:space="preserve">Estudos que aparecem em várias substâncias – como uma comparação de retatrutida com tirzepatida – foram contados apenas uma vez.</w:t>
      </w:r>
    </w:p>
    <w:p>
      <w:pPr>
        <w:pStyle w:val="BodyText"/>
      </w:pPr>
      <w:r>
        <w:rPr>
          <w:bCs/>
          <w:b/>
        </w:rPr>
        <w:t xml:space="preserve">O que foi excluído – e por quê:</w:t>
      </w:r>
    </w:p>
    <w:p>
      <w:pPr>
        <w:numPr>
          <w:ilvl w:val="0"/>
          <w:numId w:val="1354"/>
        </w:numPr>
        <w:pStyle w:val="Compact"/>
      </w:pPr>
      <w:r>
        <w:rPr>
          <w:bCs/>
          <w:b/>
        </w:rPr>
        <w:t xml:space="preserve">Oito registros do patrocinador</w:t>
      </w:r>
      <w:r>
        <w:rPr>
          <w:bCs/>
          <w:b/>
        </w:rPr>
        <w:t xml:space="preserve"> </w:t>
      </w:r>
      <w:r>
        <w:rPr>
          <w:bCs/>
          <w:b/>
        </w:rPr>
        <w:t xml:space="preserve">“</w:t>
      </w:r>
      <w:r>
        <w:rPr>
          <w:bCs/>
          <w:b/>
        </w:rPr>
        <w:t xml:space="preserve">Hudson Biotech</w:t>
      </w:r>
      <w:r>
        <w:rPr>
          <w:bCs/>
          <w:b/>
        </w:rPr>
        <w:t xml:space="preserve">”</w:t>
      </w:r>
      <w:r>
        <w:t xml:space="preserve"> </w:t>
      </w:r>
      <w:r>
        <w:t xml:space="preserve">(um para cada uma destas: BPC-157, GHK-Cu, Melanotan II, MOTS-c, retatrutida, TB-500, tesamorelina e tirzepatida). Um registro desse patrocinador se descreve, em sua própria descrição, como exemplo fictício (ver capítulos BPC-157 e TB-500). Nenhum desses registros é considerado neste livro como estudo real.</w:t>
      </w:r>
    </w:p>
    <w:p>
      <w:pPr>
        <w:numPr>
          <w:ilvl w:val="0"/>
          <w:numId w:val="1354"/>
        </w:numPr>
        <w:pStyle w:val="Compact"/>
      </w:pPr>
      <w:r>
        <w:rPr>
          <w:bCs/>
          <w:b/>
        </w:rPr>
        <w:t xml:space="preserve">Todos os 1.000 resultados para o termo de busca</w:t>
      </w:r>
      <w:r>
        <w:rPr>
          <w:bCs/>
          <w:b/>
        </w:rPr>
        <w:t xml:space="preserve"> </w:t>
      </w:r>
      <w:r>
        <w:rPr>
          <w:bCs/>
          <w:b/>
        </w:rPr>
        <w:t xml:space="preserve">“</w:t>
      </w:r>
      <w:r>
        <w:rPr>
          <w:bCs/>
          <w:b/>
        </w:rPr>
        <w:t xml:space="preserve">gonadorelina</w:t>
      </w:r>
      <w:r>
        <w:rPr>
          <w:bCs/>
          <w:b/>
        </w:rPr>
        <w:t xml:space="preserve">”</w:t>
      </w:r>
      <w:r>
        <w:rPr>
          <w:bCs/>
          <w:b/>
        </w:rPr>
        <w:t xml:space="preserve">.</w:t>
      </w:r>
      <w:r>
        <w:t xml:space="preserve"> </w:t>
      </w:r>
      <w:r>
        <w:t xml:space="preserve">Eles se referem, em sua grande maioria, a variantes sintéticas do hormônio GnRH (como leuprorrelina ou triptorrelina) no tratamento do câncer de próstata e de mama ou na medicina reprodutiva – ou seja, outros medicamentos. Os poucos registros sobre GnRH natural são discutidos no capítulo Gonadorelina; nenhum deles é um estudo de fase 3 em andamento.</w:t>
      </w:r>
    </w:p>
    <w:p>
      <w:pPr>
        <w:pStyle w:val="FirstParagraph"/>
      </w:pPr>
      <w:r>
        <w:rPr>
          <w:bCs/>
          <w:b/>
        </w:rPr>
        <w:t xml:space="preserve">O que não foi excluído, mas foi verificado:</w:t>
      </w:r>
      <w:r>
        <w:t xml:space="preserve"> </w:t>
      </w:r>
      <w:r>
        <w:t xml:space="preserve">para glutationa, colágeno e carnosina, os termos de busca são tão gerais que muitos resultados citam a substância apenas como componente de uma mistura, como comparador ou como variável medida. Assim, sob glutationa aparece um grande estudo sobre dengue, porque nele se testa a N-acetilcisteína – um precursor da glutationa</w:t>
      </w:r>
      <w:r>
        <w:rPr>
          <w:rStyle w:val="FootnoteReference"/>
        </w:rPr>
        <w:footnoteReference w:id="2823"/>
      </w:r>
      <w:r>
        <w:t xml:space="preserve">. Sob larazotida aparecem dois estudos sobre uma substância completamente diferente contra a doença de Fabry</w:t>
      </w:r>
      <w:r>
        <w:rPr>
          <w:rStyle w:val="FootnoteReference"/>
        </w:rPr>
        <w:footnoteReference w:id="2824"/>
      </w:r>
      <w:r>
        <w:t xml:space="preserve">. Esses resultados estão incluídos nos números totais, mas não foram contados na avaliação como estudos com peptídeos.</w:t>
      </w:r>
    </w:p>
    <w:p>
      <w:pPr>
        <w:pStyle w:val="BodyText"/>
      </w:pPr>
      <w:r>
        <w:rPr>
          <w:bCs/>
          <w:b/>
        </w:rPr>
        <w:t xml:space="preserve">Dois limites da análise:</w:t>
      </w:r>
      <w:r>
        <w:t xml:space="preserve"> </w:t>
      </w:r>
      <w:r>
        <w:t xml:space="preserve">primeiro, nem todos os patrocinadores informam a conclusão de seu estudo em tempo hábil; alguns registros com data de término em 2025 ainda constam como</w:t>
      </w:r>
      <w:r>
        <w:t xml:space="preserve"> </w:t>
      </w:r>
      <w:r>
        <w:t xml:space="preserve">“</w:t>
      </w:r>
      <w:r>
        <w:t xml:space="preserve">em andamento</w:t>
      </w:r>
      <w:r>
        <w:t xml:space="preserve">”</w:t>
      </w:r>
      <w:r>
        <w:t xml:space="preserve"> </w:t>
      </w:r>
      <w:r>
        <w:t xml:space="preserve">no registro. Segundo, a consulta abrange apenas as 58 substâncias deste livro. Moléculas novas sem capítulo próprio só aparecem quando competem com uma dessas substâncias. Por isso, para os novos princípios de ação mais abaixo, fez-se uma busca direcionada adicional.</w:t>
      </w:r>
    </w:p>
    <w:bookmarkEnd w:id="2825"/>
    <w:bookmarkStart w:id="2833" w:name="o-resultado-em-números"/>
    <w:p>
      <w:pPr>
        <w:pStyle w:val="Heading3"/>
      </w:pPr>
      <w:r>
        <w:t xml:space="preserve">O resultado em números</w:t>
      </w:r>
    </w:p>
    <w:p>
      <w:pPr>
        <w:pStyle w:val="FirstParagraph"/>
      </w:pPr>
      <w:r>
        <w:t xml:space="preserve">Após as exclusões, restaram 730 estudos intervencionais em andamento. Deles, 568 – bem mais de três quartos – referem-se a substâncias do grupo A (metabolismo e peso).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estudos em andamento no total</w:t>
            </w:r>
          </w:p>
        </w:tc>
        <w:tc>
          <w:tcPr/>
          <w:p>
            <w:pPr>
              <w:pStyle w:val="Compact"/>
              <w:jc w:val="left"/>
            </w:pPr>
            <w:r>
              <w:t xml:space="preserve">dos quais grupo A</w:t>
            </w:r>
          </w:p>
        </w:tc>
      </w:tr>
      <w:tr>
        <w:tc>
          <w:tcPr/>
          <w:p>
            <w:pPr>
              <w:pStyle w:val="Compact"/>
              <w:jc w:val="left"/>
            </w:pPr>
            <w:r>
              <w:t xml:space="preserve">Fase 1</w:t>
            </w:r>
          </w:p>
        </w:tc>
        <w:tc>
          <w:tcPr/>
          <w:p>
            <w:pPr>
              <w:pStyle w:val="Compact"/>
              <w:jc w:val="left"/>
            </w:pPr>
            <w:r>
              <w:t xml:space="preserve">80</w:t>
            </w:r>
          </w:p>
        </w:tc>
        <w:tc>
          <w:tcPr/>
          <w:p>
            <w:pPr>
              <w:pStyle w:val="Compact"/>
              <w:jc w:val="left"/>
            </w:pPr>
            <w:r>
              <w:t xml:space="preserve">55</w:t>
            </w:r>
          </w:p>
        </w:tc>
      </w:tr>
      <w:tr>
        <w:tc>
          <w:tcPr/>
          <w:p>
            <w:pPr>
              <w:pStyle w:val="Compact"/>
              <w:jc w:val="left"/>
            </w:pPr>
            <w:r>
              <w:t xml:space="preserve">Fase 1/2</w:t>
            </w:r>
          </w:p>
        </w:tc>
        <w:tc>
          <w:tcPr/>
          <w:p>
            <w:pPr>
              <w:pStyle w:val="Compact"/>
              <w:jc w:val="left"/>
            </w:pPr>
            <w:r>
              <w:t xml:space="preserve">19</w:t>
            </w:r>
          </w:p>
        </w:tc>
        <w:tc>
          <w:tcPr/>
          <w:p>
            <w:pPr>
              <w:pStyle w:val="Compact"/>
              <w:jc w:val="left"/>
            </w:pPr>
            <w:r>
              <w:t xml:space="preserve">16</w:t>
            </w:r>
          </w:p>
        </w:tc>
      </w:tr>
      <w:tr>
        <w:tc>
          <w:tcPr/>
          <w:p>
            <w:pPr>
              <w:pStyle w:val="Compact"/>
              <w:jc w:val="left"/>
            </w:pPr>
            <w:r>
              <w:t xml:space="preserve">Fase 2</w:t>
            </w:r>
          </w:p>
        </w:tc>
        <w:tc>
          <w:tcPr/>
          <w:p>
            <w:pPr>
              <w:pStyle w:val="Compact"/>
              <w:jc w:val="left"/>
            </w:pPr>
            <w:r>
              <w:t xml:space="preserve">179</w:t>
            </w:r>
          </w:p>
        </w:tc>
        <w:tc>
          <w:tcPr/>
          <w:p>
            <w:pPr>
              <w:pStyle w:val="Compact"/>
              <w:jc w:val="left"/>
            </w:pPr>
            <w:r>
              <w:t xml:space="preserve">125</w:t>
            </w:r>
          </w:p>
        </w:tc>
      </w:tr>
      <w:tr>
        <w:tc>
          <w:tcPr/>
          <w:p>
            <w:pPr>
              <w:pStyle w:val="Compact"/>
              <w:jc w:val="left"/>
            </w:pPr>
            <w:r>
              <w:t xml:space="preserve">Fase 2/3</w:t>
            </w:r>
          </w:p>
        </w:tc>
        <w:tc>
          <w:tcPr/>
          <w:p>
            <w:pPr>
              <w:pStyle w:val="Compact"/>
              <w:jc w:val="left"/>
            </w:pPr>
            <w:r>
              <w:t xml:space="preserve">19</w:t>
            </w:r>
          </w:p>
        </w:tc>
        <w:tc>
          <w:tcPr/>
          <w:p>
            <w:pPr>
              <w:pStyle w:val="Compact"/>
              <w:jc w:val="left"/>
            </w:pPr>
            <w:r>
              <w:t xml:space="preserve">15</w:t>
            </w:r>
          </w:p>
        </w:tc>
      </w:tr>
      <w:tr>
        <w:tc>
          <w:tcPr/>
          <w:p>
            <w:pPr>
              <w:pStyle w:val="Compact"/>
              <w:jc w:val="left"/>
            </w:pPr>
            <w:r>
              <w:t xml:space="preserve">Fase 3</w:t>
            </w:r>
          </w:p>
        </w:tc>
        <w:tc>
          <w:tcPr/>
          <w:p>
            <w:pPr>
              <w:pStyle w:val="Compact"/>
              <w:jc w:val="left"/>
            </w:pPr>
            <w:r>
              <w:t xml:space="preserve">157</w:t>
            </w:r>
          </w:p>
        </w:tc>
        <w:tc>
          <w:tcPr/>
          <w:p>
            <w:pPr>
              <w:pStyle w:val="Compact"/>
              <w:jc w:val="left"/>
            </w:pPr>
            <w:r>
              <w:t xml:space="preserve">142</w:t>
            </w:r>
          </w:p>
        </w:tc>
      </w:tr>
      <w:tr>
        <w:tc>
          <w:tcPr/>
          <w:p>
            <w:pPr>
              <w:pStyle w:val="Compact"/>
              <w:jc w:val="left"/>
            </w:pPr>
            <w:r>
              <w:t xml:space="preserve">Fase 4</w:t>
            </w:r>
          </w:p>
        </w:tc>
        <w:tc>
          <w:tcPr/>
          <w:p>
            <w:pPr>
              <w:pStyle w:val="Compact"/>
              <w:jc w:val="left"/>
            </w:pPr>
            <w:r>
              <w:t xml:space="preserve">140</w:t>
            </w:r>
          </w:p>
        </w:tc>
        <w:tc>
          <w:tcPr/>
          <w:p>
            <w:pPr>
              <w:pStyle w:val="Compact"/>
              <w:jc w:val="left"/>
            </w:pPr>
            <w:r>
              <w:t xml:space="preserve">132</w:t>
            </w:r>
          </w:p>
        </w:tc>
      </w:tr>
      <w:tr>
        <w:tc>
          <w:tcPr/>
          <w:p>
            <w:pPr>
              <w:pStyle w:val="Compact"/>
              <w:jc w:val="left"/>
            </w:pPr>
            <w:r>
              <w:t xml:space="preserve">sem indicação de fase</w:t>
            </w:r>
          </w:p>
        </w:tc>
        <w:tc>
          <w:tcPr/>
          <w:p>
            <w:pPr>
              <w:pStyle w:val="Compact"/>
              <w:jc w:val="left"/>
            </w:pPr>
            <w:r>
              <w:t xml:space="preserve">136</w:t>
            </w:r>
          </w:p>
        </w:tc>
        <w:tc>
          <w:tcPr/>
          <w:p>
            <w:pPr>
              <w:pStyle w:val="Compact"/>
              <w:jc w:val="left"/>
            </w:pPr>
            <w:r>
              <w:t xml:space="preserve">83</w:t>
            </w:r>
          </w:p>
        </w:tc>
      </w:tr>
      <w:tr>
        <w:tc>
          <w:tcPr/>
          <w:p>
            <w:pPr>
              <w:pStyle w:val="Compact"/>
              <w:jc w:val="left"/>
            </w:pPr>
            <w:r>
              <w:rPr>
                <w:bCs/>
                <w:b/>
              </w:rPr>
              <w:t xml:space="preserve">Total</w:t>
            </w:r>
          </w:p>
        </w:tc>
        <w:tc>
          <w:tcPr/>
          <w:p>
            <w:pPr>
              <w:pStyle w:val="Compact"/>
              <w:jc w:val="left"/>
            </w:pPr>
            <w:r>
              <w:rPr>
                <w:bCs/>
                <w:b/>
              </w:rPr>
              <w:t xml:space="preserve">730</w:t>
            </w:r>
          </w:p>
        </w:tc>
        <w:tc>
          <w:tcPr/>
          <w:p>
            <w:pPr>
              <w:pStyle w:val="Compact"/>
              <w:jc w:val="left"/>
            </w:pPr>
            <w:r>
              <w:rPr>
                <w:bCs/>
                <w:b/>
              </w:rPr>
              <w:t xml:space="preserve">568</w:t>
            </w:r>
          </w:p>
        </w:tc>
      </w:tr>
    </w:tbl>
    <w:p>
      <w:pPr>
        <w:pStyle w:val="BodyText"/>
      </w:pPr>
      <w:r>
        <w:t xml:space="preserve">Dos 157 estudos de fase 3 em andamento, 68 ainda estavam recrutando, 54 estavam ativos sem novas inclusões e 35 ainda não haviam começado. Somando os estudos combinados de fase 2/3, há 176 estudos tardios; 157 deles (142 em fase 3, 15 em fase 2/3) – quase nove em cada dez – pertencem ao grupo A.</w:t>
      </w:r>
    </w:p>
    <w:p>
      <w:pPr>
        <w:pStyle w:val="BodyText"/>
      </w:pPr>
      <w:r>
        <w:t xml:space="preserve">No grupo A, aproximadamente um em cada três desses estudos tardios é conduzido por universidades e hospitais, os demais por empresas. As datas de término planejadas distribuem-se assim: 21 estudos devem terminar em 2026, 49 em 2027, 41 em 2028 e 44 entre 2029 e 2033. A verdadeira onda de novos resultados está, portanto, por vir em 2027 e 2028.</w:t>
      </w:r>
    </w:p>
    <w:p>
      <w:pPr>
        <w:pStyle w:val="BodyText"/>
      </w:pPr>
      <w:r>
        <w:rPr>
          <w:bCs/>
          <w:b/>
        </w:rPr>
        <w:t xml:space="preserve">Os grupos B a F</w:t>
      </w:r>
      <w:r>
        <w:t xml:space="preserve"> </w:t>
      </w:r>
      <w:r>
        <w:t xml:space="preserve">têm um aspecto completamente diferente. Após a revisão dos registros, restam apenas cinco estudos de fase 3 em andamento em que uma substância deste livro é de fato a substância testada: timosina alfa-1 após cirurgia de câncer colorretal</w:t>
      </w:r>
      <w:r>
        <w:rPr>
          <w:rStyle w:val="FootnoteReference"/>
        </w:rPr>
        <w:footnoteReference w:id="2826"/>
      </w:r>
      <w:r>
        <w:t xml:space="preserve">, colírio de timosina beta-4 na ceratopatia neurotrófica</w:t>
      </w:r>
      <w:r>
        <w:rPr>
          <w:rStyle w:val="FootnoteReference"/>
        </w:rPr>
        <w:footnoteReference w:id="2827"/>
      </w:r>
      <w:r>
        <w:t xml:space="preserve">, elamipretida na degeneração macular seca</w:t>
      </w:r>
      <w:r>
        <w:rPr>
          <w:rStyle w:val="FootnoteReference"/>
        </w:rPr>
        <w:footnoteReference w:id="2828"/>
      </w:r>
      <w:r>
        <w:t xml:space="preserve">, afamelanotida no vitiligo</w:t>
      </w:r>
      <w:r>
        <w:rPr>
          <w:rStyle w:val="FootnoteReference"/>
        </w:rPr>
        <w:footnoteReference w:id="2829"/>
      </w:r>
      <w:r>
        <w:t xml:space="preserve"> </w:t>
      </w:r>
      <w:r>
        <w:t xml:space="preserve">e ibutamoreno, que não é peptídeo, em crianças com deficiência de hormônio do crescimento</w:t>
      </w:r>
      <w:r>
        <w:rPr>
          <w:rStyle w:val="FootnoteReference"/>
        </w:rPr>
        <w:footnoteReference w:id="2830"/>
      </w:r>
      <w:r>
        <w:t xml:space="preserve">. Somam-se alguns estudos combinados de fase 2/3, como sobre spray nasal de ocitocina na dor crônica</w:t>
      </w:r>
      <w:r>
        <w:rPr>
          <w:rStyle w:val="FootnoteReference"/>
        </w:rPr>
        <w:footnoteReference w:id="2831"/>
      </w:r>
      <w:r>
        <w:t xml:space="preserve"> </w:t>
      </w:r>
      <w:r>
        <w:t xml:space="preserve">e sobre timosina alfa-1 na falha repetida de implantação após fertilização in vitro</w:t>
      </w:r>
      <w:r>
        <w:rPr>
          <w:rStyle w:val="FootnoteReference"/>
        </w:rPr>
        <w:footnoteReference w:id="2832"/>
      </w:r>
      <w:r>
        <w:t xml:space="preserve">. Para os</w:t>
      </w:r>
      <w:r>
        <w:t xml:space="preserve"> </w:t>
      </w:r>
      <w:r>
        <w:t xml:space="preserve">“</w:t>
      </w:r>
      <w:r>
        <w:t xml:space="preserve">peptídeos de pesquisa</w:t>
      </w:r>
      <w:r>
        <w:t xml:space="preserve">”</w:t>
      </w:r>
      <w:r>
        <w:t xml:space="preserve"> </w:t>
      </w:r>
      <w:r>
        <w:t xml:space="preserve">mais populares na internet – BPC-157, CJC-1295, ipamorelina, Epitalon, Semax, Selank – não há nenhum estudo de fase 3 em andamento.</w:t>
      </w:r>
    </w:p>
    <w:bookmarkEnd w:id="2833"/>
    <w:bookmarkStart w:id="2834" w:name="X972637188199d00b0d4a8dad9e001126e140e71"/>
    <w:p>
      <w:pPr>
        <w:pStyle w:val="Heading3"/>
      </w:pPr>
      <w:r>
        <w:t xml:space="preserve">Os principais estudos de fase 3 em andamento</w:t>
      </w:r>
    </w:p>
    <w:p>
      <w:pPr>
        <w:pStyle w:val="FirstParagraph"/>
      </w:pPr>
      <w:r>
        <w:t xml:space="preserve">As tabelas a seguir mostram uma seleção por tamanho e importância.</w:t>
      </w:r>
      <w:r>
        <w:t xml:space="preserve"> </w:t>
      </w:r>
      <w:r>
        <w:t xml:space="preserve">“</w:t>
      </w:r>
      <w:r>
        <w:t xml:space="preserve">Término previsto</w:t>
      </w:r>
      <w:r>
        <w:t xml:space="preserve">”</w:t>
      </w:r>
      <w:r>
        <w:t xml:space="preserve"> </w:t>
      </w:r>
      <w:r>
        <w:t xml:space="preserve">é o término do estudo indicado no registro (situação em outubro de 2026); o desfecho principal é frequentemente analisado alguns meses antes, e as publicações costumam vir de meio ano a um ano depois.</w:t>
      </w:r>
    </w:p>
    <w:p>
      <w:pPr>
        <w:pStyle w:val="BodyText"/>
      </w:pPr>
      <w:r>
        <w:rPr>
          <w:bCs/>
          <w:b/>
        </w:rPr>
        <w:t xml:space="preserve">Metabolismo e peso (grupo 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 / NCT</w:t>
            </w:r>
          </w:p>
        </w:tc>
        <w:tc>
          <w:tcPr/>
          <w:p>
            <w:pPr>
              <w:pStyle w:val="Compact"/>
              <w:jc w:val="left"/>
            </w:pPr>
            <w:r>
              <w:t xml:space="preserve">Substância</w:t>
            </w:r>
          </w:p>
        </w:tc>
        <w:tc>
          <w:tcPr/>
          <w:p>
            <w:pPr>
              <w:pStyle w:val="Compact"/>
              <w:jc w:val="left"/>
            </w:pPr>
            <w:r>
              <w:t xml:space="preserve">Questão</w:t>
            </w:r>
          </w:p>
        </w:tc>
        <w:tc>
          <w:tcPr/>
          <w:p>
            <w:pPr>
              <w:pStyle w:val="Compact"/>
              <w:jc w:val="left"/>
            </w:pPr>
            <w:r>
              <w:t xml:space="preserve">Término previsto</w:t>
            </w:r>
          </w:p>
        </w:tc>
      </w:tr>
      <w:tr>
        <w:tc>
          <w:tcPr/>
          <w:p>
            <w:pPr>
              <w:pStyle w:val="Compact"/>
              <w:jc w:val="left"/>
            </w:pPr>
            <w:r>
              <w:t xml:space="preserve">TRIUMPH-5, NCT06662383</w:t>
            </w:r>
          </w:p>
        </w:tc>
        <w:tc>
          <w:tcPr/>
          <w:p>
            <w:pPr>
              <w:pStyle w:val="Compact"/>
              <w:jc w:val="left"/>
            </w:pPr>
            <w:r>
              <w:t xml:space="preserve">Retatrutida vs. tirzepatida</w:t>
            </w:r>
          </w:p>
        </w:tc>
        <w:tc>
          <w:tcPr/>
          <w:p>
            <w:pPr>
              <w:pStyle w:val="Compact"/>
              <w:jc w:val="left"/>
            </w:pPr>
            <w:r>
              <w:t xml:space="preserve">perda de peso, 800 adultos</w:t>
            </w:r>
          </w:p>
        </w:tc>
        <w:tc>
          <w:tcPr/>
          <w:p>
            <w:pPr>
              <w:pStyle w:val="Compact"/>
              <w:jc w:val="left"/>
            </w:pPr>
            <w:r>
              <w:t xml:space="preserve">dezembro de 2026</w:t>
            </w:r>
          </w:p>
        </w:tc>
      </w:tr>
      <w:tr>
        <w:tc>
          <w:tcPr/>
          <w:p>
            <w:pPr>
              <w:pStyle w:val="Compact"/>
              <w:jc w:val="left"/>
            </w:pPr>
            <w:r>
              <w:t xml:space="preserve">MARITIME-1, NCT06858839</w:t>
            </w:r>
          </w:p>
        </w:tc>
        <w:tc>
          <w:tcPr/>
          <w:p>
            <w:pPr>
              <w:pStyle w:val="Compact"/>
              <w:jc w:val="left"/>
            </w:pPr>
            <w:r>
              <w:t xml:space="preserve">Maridebarte cafraglutida</w:t>
            </w:r>
          </w:p>
        </w:tc>
        <w:tc>
          <w:tcPr/>
          <w:p>
            <w:pPr>
              <w:pStyle w:val="Compact"/>
              <w:jc w:val="left"/>
            </w:pPr>
            <w:r>
              <w:t xml:space="preserve">perda de peso sem diabetes, 3.853 participantes</w:t>
            </w:r>
          </w:p>
        </w:tc>
        <w:tc>
          <w:tcPr/>
          <w:p>
            <w:pPr>
              <w:pStyle w:val="Compact"/>
              <w:jc w:val="left"/>
            </w:pPr>
            <w:r>
              <w:t xml:space="preserve">abril de 2027</w:t>
            </w:r>
          </w:p>
        </w:tc>
      </w:tr>
      <w:tr>
        <w:tc>
          <w:tcPr/>
          <w:p>
            <w:pPr>
              <w:pStyle w:val="Compact"/>
              <w:jc w:val="left"/>
            </w:pPr>
            <w:r>
              <w:t xml:space="preserve">SURMOUNT-MMO, NCT05556512</w:t>
            </w:r>
          </w:p>
        </w:tc>
        <w:tc>
          <w:tcPr/>
          <w:p>
            <w:pPr>
              <w:pStyle w:val="Compact"/>
              <w:jc w:val="left"/>
            </w:pPr>
            <w:r>
              <w:t xml:space="preserve">Tirzepatida</w:t>
            </w:r>
          </w:p>
        </w:tc>
        <w:tc>
          <w:tcPr/>
          <w:p>
            <w:pPr>
              <w:pStyle w:val="Compact"/>
              <w:jc w:val="left"/>
            </w:pPr>
            <w:r>
              <w:t xml:space="preserve">eventos cardiovasculares e morte, 15.374 participantes</w:t>
            </w:r>
          </w:p>
        </w:tc>
        <w:tc>
          <w:tcPr/>
          <w:p>
            <w:pPr>
              <w:pStyle w:val="Compact"/>
              <w:jc w:val="left"/>
            </w:pPr>
            <w:r>
              <w:t xml:space="preserve">outubro de 2027</w:t>
            </w:r>
          </w:p>
        </w:tc>
      </w:tr>
      <w:tr>
        <w:tc>
          <w:tcPr/>
          <w:p>
            <w:pPr>
              <w:pStyle w:val="Compact"/>
              <w:jc w:val="left"/>
            </w:pPr>
            <w:r>
              <w:t xml:space="preserve">REDEFINE 3, NCT05669755</w:t>
            </w:r>
          </w:p>
        </w:tc>
        <w:tc>
          <w:tcPr/>
          <w:p>
            <w:pPr>
              <w:pStyle w:val="Compact"/>
              <w:jc w:val="left"/>
            </w:pPr>
            <w:r>
              <w:t xml:space="preserve">CagriSema</w:t>
            </w:r>
          </w:p>
        </w:tc>
        <w:tc>
          <w:tcPr/>
          <w:p>
            <w:pPr>
              <w:pStyle w:val="Compact"/>
              <w:jc w:val="left"/>
            </w:pPr>
            <w:r>
              <w:t xml:space="preserve">eventos cardiovasculares, 7.101 participantes</w:t>
            </w:r>
          </w:p>
        </w:tc>
        <w:tc>
          <w:tcPr/>
          <w:p>
            <w:pPr>
              <w:pStyle w:val="Compact"/>
              <w:jc w:val="left"/>
            </w:pPr>
            <w:r>
              <w:t xml:space="preserve">outubro de 2027</w:t>
            </w:r>
          </w:p>
        </w:tc>
      </w:tr>
      <w:tr>
        <w:tc>
          <w:tcPr/>
          <w:p>
            <w:pPr>
              <w:pStyle w:val="Compact"/>
              <w:jc w:val="left"/>
            </w:pPr>
            <w:r>
              <w:t xml:space="preserve">NCT07564414</w:t>
            </w:r>
          </w:p>
        </w:tc>
        <w:tc>
          <w:tcPr/>
          <w:p>
            <w:pPr>
              <w:pStyle w:val="Compact"/>
              <w:jc w:val="left"/>
            </w:pPr>
            <w:r>
              <w:t xml:space="preserve">CagriSema (doses mais altas) vs. semaglutida</w:t>
            </w:r>
          </w:p>
        </w:tc>
        <w:tc>
          <w:tcPr/>
          <w:p>
            <w:pPr>
              <w:pStyle w:val="Compact"/>
              <w:jc w:val="left"/>
            </w:pPr>
            <w:r>
              <w:t xml:space="preserve">perda de peso, 2.500 participantes</w:t>
            </w:r>
          </w:p>
        </w:tc>
        <w:tc>
          <w:tcPr/>
          <w:p>
            <w:pPr>
              <w:pStyle w:val="Compact"/>
              <w:jc w:val="left"/>
            </w:pPr>
            <w:r>
              <w:t xml:space="preserve">abril de 2028</w:t>
            </w:r>
          </w:p>
        </w:tc>
      </w:tr>
      <w:tr>
        <w:tc>
          <w:tcPr/>
          <w:p>
            <w:pPr>
              <w:pStyle w:val="Compact"/>
              <w:jc w:val="left"/>
            </w:pPr>
            <w:r>
              <w:t xml:space="preserve">TRIUMPH-6, NCT06859268</w:t>
            </w:r>
          </w:p>
        </w:tc>
        <w:tc>
          <w:tcPr/>
          <w:p>
            <w:pPr>
              <w:pStyle w:val="Compact"/>
              <w:jc w:val="left"/>
            </w:pPr>
            <w:r>
              <w:t xml:space="preserve">Retatrutida</w:t>
            </w:r>
          </w:p>
        </w:tc>
        <w:tc>
          <w:tcPr/>
          <w:p>
            <w:pPr>
              <w:pStyle w:val="Compact"/>
              <w:jc w:val="left"/>
            </w:pPr>
            <w:r>
              <w:t xml:space="preserve">manutenção do peso após a perda, 643 participantes</w:t>
            </w:r>
          </w:p>
        </w:tc>
        <w:tc>
          <w:tcPr/>
          <w:p>
            <w:pPr>
              <w:pStyle w:val="Compact"/>
              <w:jc w:val="left"/>
            </w:pPr>
            <w:r>
              <w:t xml:space="preserve">abril de 2028</w:t>
            </w:r>
          </w:p>
        </w:tc>
      </w:tr>
      <w:tr>
        <w:tc>
          <w:tcPr/>
          <w:p>
            <w:pPr>
              <w:pStyle w:val="Compact"/>
              <w:jc w:val="left"/>
            </w:pPr>
            <w:r>
              <w:t xml:space="preserve">TRIUMPH-Outcomes, NCT06383390</w:t>
            </w:r>
          </w:p>
        </w:tc>
        <w:tc>
          <w:tcPr/>
          <w:p>
            <w:pPr>
              <w:pStyle w:val="Compact"/>
              <w:jc w:val="left"/>
            </w:pPr>
            <w:r>
              <w:t xml:space="preserve">Retatrutida</w:t>
            </w:r>
          </w:p>
        </w:tc>
        <w:tc>
          <w:tcPr/>
          <w:p>
            <w:pPr>
              <w:pStyle w:val="Compact"/>
              <w:jc w:val="left"/>
            </w:pPr>
            <w:r>
              <w:t xml:space="preserve">eventos cardíacos e renais, 10.000 participantes</w:t>
            </w:r>
          </w:p>
        </w:tc>
        <w:tc>
          <w:tcPr/>
          <w:p>
            <w:pPr>
              <w:pStyle w:val="Compact"/>
              <w:jc w:val="left"/>
            </w:pPr>
            <w:r>
              <w:t xml:space="preserve">fevereiro de 2029</w:t>
            </w:r>
          </w:p>
        </w:tc>
      </w:tr>
      <w:tr>
        <w:tc>
          <w:tcPr/>
          <w:p>
            <w:pPr>
              <w:pStyle w:val="Compact"/>
              <w:jc w:val="left"/>
            </w:pPr>
            <w:r>
              <w:t xml:space="preserve">ESSENCE, NCT04822181</w:t>
            </w:r>
          </w:p>
        </w:tc>
        <w:tc>
          <w:tcPr/>
          <w:p>
            <w:pPr>
              <w:pStyle w:val="Compact"/>
              <w:jc w:val="left"/>
            </w:pPr>
            <w:r>
              <w:t xml:space="preserve">Semaglutida</w:t>
            </w:r>
          </w:p>
        </w:tc>
        <w:tc>
          <w:tcPr/>
          <w:p>
            <w:pPr>
              <w:pStyle w:val="Compact"/>
              <w:jc w:val="left"/>
            </w:pPr>
            <w:r>
              <w:t xml:space="preserve">esteatose hepática (MASH), 1.205 participantes</w:t>
            </w:r>
          </w:p>
        </w:tc>
        <w:tc>
          <w:tcPr/>
          <w:p>
            <w:pPr>
              <w:pStyle w:val="Compact"/>
              <w:jc w:val="left"/>
            </w:pPr>
            <w:r>
              <w:t xml:space="preserve">abril de 2029</w:t>
            </w:r>
          </w:p>
        </w:tc>
      </w:tr>
      <w:tr>
        <w:tc>
          <w:tcPr/>
          <w:p>
            <w:pPr>
              <w:pStyle w:val="Compact"/>
              <w:jc w:val="left"/>
            </w:pPr>
            <w:r>
              <w:t xml:space="preserve">LIVERAGE-Cirrhosis, NCT06632457</w:t>
            </w:r>
          </w:p>
        </w:tc>
        <w:tc>
          <w:tcPr/>
          <w:p>
            <w:pPr>
              <w:pStyle w:val="Compact"/>
              <w:jc w:val="left"/>
            </w:pPr>
            <w:r>
              <w:t xml:space="preserve">Survodutida</w:t>
            </w:r>
          </w:p>
        </w:tc>
        <w:tc>
          <w:tcPr/>
          <w:p>
            <w:pPr>
              <w:pStyle w:val="Compact"/>
              <w:jc w:val="left"/>
            </w:pPr>
            <w:r>
              <w:t xml:space="preserve">complicações hepáticas na cirrose, 1.590 participantes</w:t>
            </w:r>
          </w:p>
        </w:tc>
        <w:tc>
          <w:tcPr/>
          <w:p>
            <w:pPr>
              <w:pStyle w:val="Compact"/>
              <w:jc w:val="left"/>
            </w:pPr>
            <w:r>
              <w:t xml:space="preserve">junho de 2029</w:t>
            </w:r>
          </w:p>
        </w:tc>
      </w:tr>
      <w:tr>
        <w:tc>
          <w:tcPr/>
          <w:p>
            <w:pPr>
              <w:pStyle w:val="Compact"/>
              <w:jc w:val="left"/>
            </w:pPr>
            <w:r>
              <w:t xml:space="preserve">AMAZE 1, NCT07339423</w:t>
            </w:r>
          </w:p>
        </w:tc>
        <w:tc>
          <w:tcPr/>
          <w:p>
            <w:pPr>
              <w:pStyle w:val="Compact"/>
              <w:jc w:val="left"/>
            </w:pPr>
            <w:r>
              <w:t xml:space="preserve">Amicretina (zenagamtida)</w:t>
            </w:r>
          </w:p>
        </w:tc>
        <w:tc>
          <w:tcPr/>
          <w:p>
            <w:pPr>
              <w:pStyle w:val="Compact"/>
              <w:jc w:val="left"/>
            </w:pPr>
            <w:r>
              <w:t xml:space="preserve">perda de peso, 1.150 participantes</w:t>
            </w:r>
          </w:p>
        </w:tc>
        <w:tc>
          <w:tcPr/>
          <w:p>
            <w:pPr>
              <w:pStyle w:val="Compact"/>
              <w:jc w:val="left"/>
            </w:pPr>
            <w:r>
              <w:t xml:space="preserve">agosto de 2029</w:t>
            </w:r>
          </w:p>
        </w:tc>
      </w:tr>
      <w:tr>
        <w:tc>
          <w:tcPr/>
          <w:p>
            <w:pPr>
              <w:pStyle w:val="Compact"/>
              <w:jc w:val="left"/>
            </w:pPr>
            <w:r>
              <w:t xml:space="preserve">MARITIME-CV, NCT07037433</w:t>
            </w:r>
          </w:p>
        </w:tc>
        <w:tc>
          <w:tcPr/>
          <w:p>
            <w:pPr>
              <w:pStyle w:val="Compact"/>
              <w:jc w:val="left"/>
            </w:pPr>
            <w:r>
              <w:t xml:space="preserve">Maridebarte cafraglutida</w:t>
            </w:r>
          </w:p>
        </w:tc>
        <w:tc>
          <w:tcPr/>
          <w:p>
            <w:pPr>
              <w:pStyle w:val="Compact"/>
              <w:jc w:val="left"/>
            </w:pPr>
            <w:r>
              <w:t xml:space="preserve">eventos cardiovasculares, 12.800 participantes</w:t>
            </w:r>
          </w:p>
        </w:tc>
        <w:tc>
          <w:tcPr/>
          <w:p>
            <w:pPr>
              <w:pStyle w:val="Compact"/>
              <w:jc w:val="left"/>
            </w:pPr>
            <w:r>
              <w:t xml:space="preserve">setembro de 2030</w:t>
            </w:r>
          </w:p>
        </w:tc>
      </w:tr>
      <w:tr>
        <w:tc>
          <w:tcPr/>
          <w:p>
            <w:pPr>
              <w:pStyle w:val="Compact"/>
              <w:jc w:val="left"/>
            </w:pPr>
            <w:r>
              <w:t xml:space="preserve">MARITIME-HF, NCT07037459</w:t>
            </w:r>
          </w:p>
        </w:tc>
        <w:tc>
          <w:tcPr/>
          <w:p>
            <w:pPr>
              <w:pStyle w:val="Compact"/>
              <w:jc w:val="left"/>
            </w:pPr>
            <w:r>
              <w:t xml:space="preserve">Maridebarte cafraglutida</w:t>
            </w:r>
          </w:p>
        </w:tc>
        <w:tc>
          <w:tcPr/>
          <w:p>
            <w:pPr>
              <w:pStyle w:val="Compact"/>
              <w:jc w:val="left"/>
            </w:pPr>
            <w:r>
              <w:t xml:space="preserve">insuficiência cardíaca com obesidade, 5.056 participantes</w:t>
            </w:r>
          </w:p>
        </w:tc>
        <w:tc>
          <w:tcPr/>
          <w:p>
            <w:pPr>
              <w:pStyle w:val="Compact"/>
              <w:jc w:val="left"/>
            </w:pPr>
            <w:r>
              <w:t xml:space="preserve">setembro de 2030</w:t>
            </w:r>
          </w:p>
        </w:tc>
      </w:tr>
      <w:tr>
        <w:tc>
          <w:tcPr/>
          <w:p>
            <w:pPr>
              <w:pStyle w:val="Compact"/>
              <w:jc w:val="left"/>
            </w:pPr>
            <w:r>
              <w:t xml:space="preserve">AMBIENCE, NCT07861100</w:t>
            </w:r>
          </w:p>
        </w:tc>
        <w:tc>
          <w:tcPr/>
          <w:p>
            <w:pPr>
              <w:pStyle w:val="Compact"/>
              <w:jc w:val="left"/>
            </w:pPr>
            <w:r>
              <w:t xml:space="preserve">Amicretina (zenagamtida)</w:t>
            </w:r>
          </w:p>
        </w:tc>
        <w:tc>
          <w:tcPr/>
          <w:p>
            <w:pPr>
              <w:pStyle w:val="Compact"/>
              <w:jc w:val="left"/>
            </w:pPr>
            <w:r>
              <w:t xml:space="preserve">eventos cardiovasculares, 8.500 planejados</w:t>
            </w:r>
          </w:p>
        </w:tc>
        <w:tc>
          <w:tcPr/>
          <w:p>
            <w:pPr>
              <w:pStyle w:val="Compact"/>
              <w:jc w:val="left"/>
            </w:pPr>
            <w:r>
              <w:t xml:space="preserve">setembro de 2030</w:t>
            </w:r>
          </w:p>
        </w:tc>
      </w:tr>
      <w:tr>
        <w:tc>
          <w:tcPr/>
          <w:p>
            <w:pPr>
              <w:pStyle w:val="Compact"/>
              <w:jc w:val="left"/>
            </w:pPr>
            <w:r>
              <w:t xml:space="preserve">ATTAIN-Outcomes, NCT07241390</w:t>
            </w:r>
          </w:p>
        </w:tc>
        <w:tc>
          <w:tcPr/>
          <w:p>
            <w:pPr>
              <w:pStyle w:val="Compact"/>
              <w:jc w:val="left"/>
            </w:pPr>
            <w:r>
              <w:t xml:space="preserve">Orforglipron (não é peptídeo)</w:t>
            </w:r>
          </w:p>
        </w:tc>
        <w:tc>
          <w:tcPr/>
          <w:p>
            <w:pPr>
              <w:pStyle w:val="Compact"/>
              <w:jc w:val="left"/>
            </w:pPr>
            <w:r>
              <w:t xml:space="preserve">eventos cardiovasculares, 7.140 participantes</w:t>
            </w:r>
          </w:p>
        </w:tc>
        <w:tc>
          <w:tcPr/>
          <w:p>
            <w:pPr>
              <w:pStyle w:val="Compact"/>
              <w:jc w:val="left"/>
            </w:pPr>
            <w:r>
              <w:t xml:space="preserve">agosto de 2031</w:t>
            </w:r>
          </w:p>
        </w:tc>
      </w:tr>
      <w:tr>
        <w:tc>
          <w:tcPr/>
          <w:p>
            <w:pPr>
              <w:pStyle w:val="Compact"/>
              <w:jc w:val="left"/>
            </w:pPr>
            <w:r>
              <w:t xml:space="preserve">LIVERAGE, NCT06632444</w:t>
            </w:r>
          </w:p>
        </w:tc>
        <w:tc>
          <w:tcPr/>
          <w:p>
            <w:pPr>
              <w:pStyle w:val="Compact"/>
              <w:jc w:val="left"/>
            </w:pPr>
            <w:r>
              <w:t xml:space="preserve">Survodutida</w:t>
            </w:r>
          </w:p>
        </w:tc>
        <w:tc>
          <w:tcPr/>
          <w:p>
            <w:pPr>
              <w:pStyle w:val="Compact"/>
              <w:jc w:val="left"/>
            </w:pPr>
            <w:r>
              <w:t xml:space="preserve">MASH com fibrose, 1.800 participantes</w:t>
            </w:r>
          </w:p>
        </w:tc>
        <w:tc>
          <w:tcPr/>
          <w:p>
            <w:pPr>
              <w:pStyle w:val="Compact"/>
              <w:jc w:val="left"/>
            </w:pPr>
            <w:r>
              <w:t xml:space="preserve">dezembro de 2031</w:t>
            </w:r>
          </w:p>
        </w:tc>
      </w:tr>
      <w:tr>
        <w:tc>
          <w:tcPr/>
          <w:p>
            <w:pPr>
              <w:pStyle w:val="Compact"/>
              <w:jc w:val="left"/>
            </w:pPr>
            <w:r>
              <w:t xml:space="preserve">SYNERGY-Outcomes, NCT07165028</w:t>
            </w:r>
          </w:p>
        </w:tc>
        <w:tc>
          <w:tcPr/>
          <w:p>
            <w:pPr>
              <w:pStyle w:val="Compact"/>
              <w:jc w:val="left"/>
            </w:pPr>
            <w:r>
              <w:t xml:space="preserve">Tirzepatida e retatrutida</w:t>
            </w:r>
          </w:p>
        </w:tc>
        <w:tc>
          <w:tcPr/>
          <w:p>
            <w:pPr>
              <w:pStyle w:val="Compact"/>
              <w:jc w:val="left"/>
            </w:pPr>
            <w:r>
              <w:t xml:space="preserve">eventos hepáticos graves, 4.500 participantes</w:t>
            </w:r>
          </w:p>
        </w:tc>
        <w:tc>
          <w:tcPr/>
          <w:p>
            <w:pPr>
              <w:pStyle w:val="Compact"/>
              <w:jc w:val="left"/>
            </w:pPr>
            <w:r>
              <w:t xml:space="preserve">agosto de 2032</w:t>
            </w:r>
          </w:p>
        </w:tc>
      </w:tr>
    </w:tbl>
    <w:p>
      <w:pPr>
        <w:pStyle w:val="BodyText"/>
      </w:pPr>
      <w:r>
        <w:rPr>
          <w:bCs/>
          <w:b/>
        </w:rPr>
        <w:t xml:space="preserve">Outros grupos: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 / NCT</w:t>
            </w:r>
          </w:p>
        </w:tc>
        <w:tc>
          <w:tcPr/>
          <w:p>
            <w:pPr>
              <w:pStyle w:val="Compact"/>
              <w:jc w:val="left"/>
            </w:pPr>
            <w:r>
              <w:t xml:space="preserve">Substância</w:t>
            </w:r>
          </w:p>
        </w:tc>
        <w:tc>
          <w:tcPr/>
          <w:p>
            <w:pPr>
              <w:pStyle w:val="Compact"/>
              <w:jc w:val="left"/>
            </w:pPr>
            <w:r>
              <w:t xml:space="preserve">Questão</w:t>
            </w:r>
          </w:p>
        </w:tc>
        <w:tc>
          <w:tcPr/>
          <w:p>
            <w:pPr>
              <w:pStyle w:val="Compact"/>
              <w:jc w:val="left"/>
            </w:pPr>
            <w:r>
              <w:t xml:space="preserve">Término previsto</w:t>
            </w:r>
          </w:p>
        </w:tc>
      </w:tr>
      <w:tr>
        <w:tc>
          <w:tcPr/>
          <w:p>
            <w:pPr>
              <w:pStyle w:val="Compact"/>
              <w:jc w:val="left"/>
            </w:pPr>
            <w:r>
              <w:t xml:space="preserve">SEER-2, NCT05555589</w:t>
            </w:r>
          </w:p>
        </w:tc>
        <w:tc>
          <w:tcPr/>
          <w:p>
            <w:pPr>
              <w:pStyle w:val="Compact"/>
              <w:jc w:val="left"/>
            </w:pPr>
            <w:r>
              <w:t xml:space="preserve">Timosina beta-4 (colírio)</w:t>
            </w:r>
          </w:p>
        </w:tc>
        <w:tc>
          <w:tcPr/>
          <w:p>
            <w:pPr>
              <w:pStyle w:val="Compact"/>
              <w:jc w:val="left"/>
            </w:pPr>
            <w:r>
              <w:t xml:space="preserve">cicatrização da córnea, 70 participantes</w:t>
            </w:r>
          </w:p>
        </w:tc>
        <w:tc>
          <w:tcPr/>
          <w:p>
            <w:pPr>
              <w:pStyle w:val="Compact"/>
              <w:jc w:val="left"/>
            </w:pPr>
            <w:r>
              <w:t xml:space="preserve">maio de 2026 (resultado pendente)</w:t>
            </w:r>
          </w:p>
        </w:tc>
      </w:tr>
      <w:tr>
        <w:tc>
          <w:tcPr/>
          <w:p>
            <w:pPr>
              <w:pStyle w:val="Compact"/>
              <w:jc w:val="left"/>
            </w:pPr>
            <w:r>
              <w:t xml:space="preserve">NCT06109649</w:t>
            </w:r>
          </w:p>
        </w:tc>
        <w:tc>
          <w:tcPr/>
          <w:p>
            <w:pPr>
              <w:pStyle w:val="Compact"/>
              <w:jc w:val="left"/>
            </w:pPr>
            <w:r>
              <w:t xml:space="preserve">Afamelanotida</w:t>
            </w:r>
          </w:p>
        </w:tc>
        <w:tc>
          <w:tcPr/>
          <w:p>
            <w:pPr>
              <w:pStyle w:val="Compact"/>
              <w:jc w:val="left"/>
            </w:pPr>
            <w:r>
              <w:t xml:space="preserve">vitiligo com fototerapia, 200 participantes</w:t>
            </w:r>
          </w:p>
        </w:tc>
        <w:tc>
          <w:tcPr/>
          <w:p>
            <w:pPr>
              <w:pStyle w:val="Compact"/>
              <w:jc w:val="left"/>
            </w:pPr>
            <w:r>
              <w:t xml:space="preserve">junho de 2026 (resultado pendente)</w:t>
            </w:r>
          </w:p>
        </w:tc>
      </w:tr>
      <w:tr>
        <w:tc>
          <w:tcPr/>
          <w:p>
            <w:pPr>
              <w:pStyle w:val="Compact"/>
              <w:jc w:val="left"/>
            </w:pPr>
            <w:r>
              <w:t xml:space="preserve">NCT05086614</w:t>
            </w:r>
          </w:p>
        </w:tc>
        <w:tc>
          <w:tcPr/>
          <w:p>
            <w:pPr>
              <w:pStyle w:val="Compact"/>
              <w:jc w:val="left"/>
            </w:pPr>
            <w:r>
              <w:t xml:space="preserve">Timosina alfa-1</w:t>
            </w:r>
          </w:p>
        </w:tc>
        <w:tc>
          <w:tcPr/>
          <w:p>
            <w:pPr>
              <w:pStyle w:val="Compact"/>
              <w:jc w:val="left"/>
            </w:pPr>
            <w:r>
              <w:t xml:space="preserve">sobrevida livre de doença após câncer colorretal, 2.500 participantes</w:t>
            </w:r>
          </w:p>
        </w:tc>
        <w:tc>
          <w:tcPr/>
          <w:p>
            <w:pPr>
              <w:pStyle w:val="Compact"/>
              <w:jc w:val="left"/>
            </w:pPr>
            <w:r>
              <w:t xml:space="preserve">março de 2027</w:t>
            </w:r>
          </w:p>
        </w:tc>
      </w:tr>
      <w:tr>
        <w:tc>
          <w:tcPr/>
          <w:p>
            <w:pPr>
              <w:pStyle w:val="Compact"/>
              <w:jc w:val="left"/>
            </w:pPr>
            <w:r>
              <w:t xml:space="preserve">ReNEW, NCT06373731</w:t>
            </w:r>
          </w:p>
        </w:tc>
        <w:tc>
          <w:tcPr/>
          <w:p>
            <w:pPr>
              <w:pStyle w:val="Compact"/>
              <w:jc w:val="left"/>
            </w:pPr>
            <w:r>
              <w:t xml:space="preserve">Elamipretida (SS-31)</w:t>
            </w:r>
          </w:p>
        </w:tc>
        <w:tc>
          <w:tcPr/>
          <w:p>
            <w:pPr>
              <w:pStyle w:val="Compact"/>
              <w:jc w:val="left"/>
            </w:pPr>
            <w:r>
              <w:t xml:space="preserve">degeneração macular seca, 313 participantes</w:t>
            </w:r>
          </w:p>
        </w:tc>
        <w:tc>
          <w:tcPr/>
          <w:p>
            <w:pPr>
              <w:pStyle w:val="Compact"/>
              <w:jc w:val="left"/>
            </w:pPr>
            <w:r>
              <w:t xml:space="preserve">setembro de 2027</w:t>
            </w:r>
          </w:p>
        </w:tc>
      </w:tr>
      <w:tr>
        <w:tc>
          <w:tcPr/>
          <w:p>
            <w:pPr>
              <w:pStyle w:val="Compact"/>
              <w:jc w:val="left"/>
            </w:pPr>
            <w:r>
              <w:t xml:space="preserve">NCT06948214</w:t>
            </w:r>
          </w:p>
        </w:tc>
        <w:tc>
          <w:tcPr/>
          <w:p>
            <w:pPr>
              <w:pStyle w:val="Compact"/>
              <w:jc w:val="left"/>
            </w:pPr>
            <w:r>
              <w:t xml:space="preserve">Ibutamoreno (LUM-201, não é peptídeo)</w:t>
            </w:r>
          </w:p>
        </w:tc>
        <w:tc>
          <w:tcPr/>
          <w:p>
            <w:pPr>
              <w:pStyle w:val="Compact"/>
              <w:jc w:val="left"/>
            </w:pPr>
            <w:r>
              <w:t xml:space="preserve">crescimento em crianças com deficiência hormonal, 150 participantes</w:t>
            </w:r>
          </w:p>
        </w:tc>
        <w:tc>
          <w:tcPr/>
          <w:p>
            <w:pPr>
              <w:pStyle w:val="Compact"/>
              <w:jc w:val="left"/>
            </w:pPr>
            <w:r>
              <w:t xml:space="preserve">janeiro de 2028</w:t>
            </w:r>
          </w:p>
        </w:tc>
      </w:tr>
    </w:tbl>
    <w:p>
      <w:pPr>
        <w:pStyle w:val="BodyText"/>
      </w:pPr>
      <w:r>
        <w:t xml:space="preserve">Detalhes sobre cada estudo estão na seção</w:t>
      </w:r>
      <w:r>
        <w:t xml:space="preserve"> </w:t>
      </w:r>
      <w:r>
        <w:t xml:space="preserve">“</w:t>
      </w:r>
      <w:r>
        <w:t xml:space="preserve">Estudos em andamento e perspectivas</w:t>
      </w:r>
      <w:r>
        <w:t xml:space="preserve">”</w:t>
      </w:r>
      <w:r>
        <w:t xml:space="preserve"> </w:t>
      </w:r>
      <w:r>
        <w:t xml:space="preserve">do respectivo capítulo.</w:t>
      </w:r>
    </w:p>
    <w:bookmarkEnd w:id="2834"/>
    <w:bookmarkStart w:id="2844" w:name="o-que-o-registro-revela-sobre-a-direção"/>
    <w:p>
      <w:pPr>
        <w:pStyle w:val="Heading3"/>
      </w:pPr>
      <w:r>
        <w:t xml:space="preserve">O que o registro revela sobre a direção</w:t>
      </w:r>
    </w:p>
    <w:p>
      <w:pPr>
        <w:pStyle w:val="FirstParagraph"/>
      </w:pPr>
      <w:r>
        <w:rPr>
          <w:bCs/>
          <w:b/>
        </w:rPr>
        <w:t xml:space="preserve">Da balança aos desfechos duros.</w:t>
      </w:r>
      <w:r>
        <w:t xml:space="preserve"> </w:t>
      </w:r>
      <w:r>
        <w:t xml:space="preserve">A primeira geração de estudos de emagrecimento media sobretudo quilogramas. Os grandes estudos dos próximos anos perguntam se infartos, AVCs, insuficiência cardíaca, insuficiência renal ou cirrose hepática se tornarão mais raros. Todos os seis estudos de fase 3 em andamento do grupo A com mais de 5.000 participantes cada são estudos de desfechos desse tipo. Para os planos e sistemas de saúde que decidem sobre o reembolso, esses resultados são mais importantes do que qualquer recorde de perda de peso.</w:t>
      </w:r>
    </w:p>
    <w:p>
      <w:pPr>
        <w:pStyle w:val="BodyText"/>
      </w:pPr>
      <w:r>
        <w:rPr>
          <w:bCs/>
          <w:b/>
        </w:rPr>
        <w:t xml:space="preserve">Comparações diretas.</w:t>
      </w:r>
      <w:r>
        <w:t xml:space="preserve"> </w:t>
      </w:r>
      <w:r>
        <w:t xml:space="preserve">Novas substâncias precisam cada vez mais se medir com as estabelecidas, não apenas com placebo: retatrutida contra tirzepatida</w:t>
      </w:r>
      <w:r>
        <w:rPr>
          <w:rStyle w:val="FootnoteReference"/>
        </w:rPr>
        <w:footnoteReference w:id="2835"/>
      </w:r>
      <w:r>
        <w:t xml:space="preserve">, zenagamtida contra semaglutida (AMAZE 7, NCT07668414), maridebarte cafraglutida contra semaglutida no diabetes tipo 2 (MARITIME-T2D-3, NCT07866066). Também novos fornecedores competem diretamente: a Roche testa o agonista duplo GLP-1/GIP enicepatida contra a tirzepatida</w:t>
      </w:r>
      <w:r>
        <w:rPr>
          <w:rStyle w:val="FootnoteReference"/>
        </w:rPr>
        <w:footnoteReference w:id="2836"/>
      </w:r>
      <w:r>
        <w:t xml:space="preserve">, a empresa Kailera a substância ribupatida contra a semaglutida (KaiNETIC-3, NCT07284979), a AstraZeneca a substância de uso diário elecogliprona contra a semaglutida em comprimido (Eluminate-2, NCT07662213).</w:t>
      </w:r>
    </w:p>
    <w:p>
      <w:pPr>
        <w:pStyle w:val="BodyText"/>
      </w:pPr>
      <w:r>
        <w:rPr>
          <w:bCs/>
          <w:b/>
        </w:rPr>
        <w:t xml:space="preserve">Manter o peso em vez de apenas perdê-lo.</w:t>
      </w:r>
      <w:r>
        <w:t xml:space="preserve"> </w:t>
      </w:r>
      <w:r>
        <w:t xml:space="preserve">Vários estudos testam expressamente o período após a perda de peso: retatrutida para manutenção do peso (TRIUMPH-6, NCT06859268), um estudo de longo prazo com CagriSema por dois anos mais extensão</w:t>
      </w:r>
      <w:r>
        <w:rPr>
          <w:rStyle w:val="FootnoteReference"/>
        </w:rPr>
        <w:footnoteReference w:id="2837"/>
      </w:r>
      <w:r>
        <w:t xml:space="preserve">, a troca de outros medicamentos de GLP-1 para a maridebarte cafraglutida, administrada mensalmente</w:t>
      </w:r>
      <w:r>
        <w:rPr>
          <w:rStyle w:val="FootnoteReference"/>
        </w:rPr>
        <w:footnoteReference w:id="2838"/>
      </w:r>
      <w:r>
        <w:t xml:space="preserve">, ou para a berobenatida, uma substância experimental da Pfizer de injeção mensal</w:t>
      </w:r>
      <w:r>
        <w:rPr>
          <w:rStyle w:val="FootnoteReference"/>
        </w:rPr>
        <w:footnoteReference w:id="2839"/>
      </w:r>
      <w:r>
        <w:t xml:space="preserve">. O pano de fundo são estudos como o SURMOUNT-4: quem suspendeu a tirzepatida após 36 semanas recuperou no ano seguinte, em média, 14,0% do peso, enquanto, com o tratamento continuado, o peso caiu mais 5,5%</w:t>
      </w:r>
      <w:r>
        <w:rPr>
          <w:rStyle w:val="FootnoteReference"/>
        </w:rPr>
        <w:footnoteReference w:id="2840"/>
      </w:r>
      <w:r>
        <w:t xml:space="preserve">.</w:t>
      </w:r>
    </w:p>
    <w:p>
      <w:pPr>
        <w:pStyle w:val="BodyText"/>
      </w:pPr>
      <w:r>
        <w:rPr>
          <w:bCs/>
          <w:b/>
        </w:rPr>
        <w:t xml:space="preserve">Novos países, novas moléculas.</w:t>
      </w:r>
      <w:r>
        <w:t xml:space="preserve"> </w:t>
      </w:r>
      <w:r>
        <w:t xml:space="preserve">Grande parte dos novos estudos de fase 3 vem de empresas chinesas que testam substâncias próprias baseadas em GLP-1 contra semaglutida ou dulaglutida – como a bofanglutida, injetada a cada duas semanas (BALANCE-OBS, NCT07622810), ou a proteína de fusão de exendina-4 JY09</w:t>
      </w:r>
      <w:r>
        <w:rPr>
          <w:rStyle w:val="FootnoteReference"/>
        </w:rPr>
        <w:footnoteReference w:id="2841"/>
      </w:r>
      <w:r>
        <w:t xml:space="preserve">. O mercado se torna, portanto, mais amplo, não apenas mais potente.</w:t>
      </w:r>
    </w:p>
    <w:p>
      <w:pPr>
        <w:pStyle w:val="BodyText"/>
      </w:pPr>
      <w:r>
        <w:rPr>
          <w:bCs/>
          <w:b/>
        </w:rPr>
        <w:t xml:space="preserve">Crianças e adolescentes.</w:t>
      </w:r>
      <w:r>
        <w:t xml:space="preserve"> </w:t>
      </w:r>
      <w:r>
        <w:t xml:space="preserve">Para quase todas as grandes substâncias há estudos em andamento em adolescentes, em parte também em crianças, como para tirzepatida</w:t>
      </w:r>
      <w:r>
        <w:rPr>
          <w:rStyle w:val="FootnoteReference"/>
        </w:rPr>
        <w:footnoteReference w:id="2842"/>
      </w:r>
      <w:r>
        <w:t xml:space="preserve">, orforglipron</w:t>
      </w:r>
      <w:r>
        <w:rPr>
          <w:rStyle w:val="FootnoteReference"/>
        </w:rPr>
        <w:footnoteReference w:id="2843"/>
      </w:r>
      <w:r>
        <w:t xml:space="preserve"> </w:t>
      </w:r>
      <w:r>
        <w:t xml:space="preserve">e CagriSema (NCT07253285, término previsto para 2033).</w:t>
      </w:r>
    </w:p>
    <w:p>
      <w:pPr>
        <w:pStyle w:val="BodyText"/>
      </w:pPr>
      <w:r>
        <w:rPr>
          <w:bCs/>
          <w:b/>
        </w:rPr>
        <w:t xml:space="preserve">E fora do metabolismo?</w:t>
      </w:r>
      <w:r>
        <w:t xml:space="preserve"> </w:t>
      </w:r>
      <w:r>
        <w:t xml:space="preserve">Aqui o pipeline é escasso. Onde um peptídeo não é patenteável, já é vendido como suplemento alimentar ou só existe no mercado cinza, quase ninguém financia estudos de aprovação caros. Isso explica por que justamente os peptídeos mais discutidos na internet praticamente não aparecem nos registros.</w:t>
      </w:r>
    </w:p>
    <w:bookmarkEnd w:id="2844"/>
    <w:bookmarkStart w:id="2862" w:name="novos-princípios-de-ação"/>
    <w:p>
      <w:pPr>
        <w:pStyle w:val="Heading3"/>
      </w:pPr>
      <w:r>
        <w:t xml:space="preserve">Novos princípios de ação</w:t>
      </w:r>
    </w:p>
    <w:bookmarkStart w:id="2848" w:name="agonistas-triplos"/>
    <w:p>
      <w:pPr>
        <w:pStyle w:val="Heading4"/>
      </w:pPr>
      <w:r>
        <w:t xml:space="preserve">Agonistas triplos</w:t>
      </w:r>
    </w:p>
    <w:p>
      <w:pPr>
        <w:pStyle w:val="FirstParagraph"/>
      </w:pPr>
      <w:r>
        <w:t xml:space="preserve">A retatrutida ativa três receptores ao mesmo tempo: GLP-1, GIP e glucagon. O componente de glucagon deve aumentar o gasto energético e a degradação de gordura no fígado. No estudo de fase 2 com 338 adultos, o peso caiu após 48 semanas, na dose mais alta estudada, 24,2%, com placebo 2,1%</w:t>
      </w:r>
      <w:r>
        <w:rPr>
          <w:rStyle w:val="FootnoteReference"/>
        </w:rPr>
        <w:footnoteReference w:id="2845"/>
      </w:r>
      <w:r>
        <w:t xml:space="preserve">. O primeiro estudo de fase 3, TRIUMPH-1, com 2.339 adultos, confirmou isso: após 80 semanas, a perda de peso foi, conforme a dose, de 17,6 a 25,0%, com placebo 3,9%. Em participantes com artrose de joelho, as dores diminuíram; na apneia do sono, o número de pausas respiratórias</w:t>
      </w:r>
      <w:r>
        <w:rPr>
          <w:rStyle w:val="FootnoteReference"/>
        </w:rPr>
        <w:footnoteReference w:id="2846"/>
      </w:r>
      <w:r>
        <w:t xml:space="preserve">. Se essa perda de peso adicional também leva a menos eventos cardíacos e renais deverá ser mostrado pelo TRIUMPH-Outcomes até 2029</w:t>
      </w:r>
      <w:r>
        <w:rPr>
          <w:rStyle w:val="FootnoteReference"/>
        </w:rPr>
        <w:footnoteReference w:id="2847"/>
      </w:r>
      <w:r>
        <w:t xml:space="preserve">. Detalhes e efeitos colaterais são descritos no capítulo Retatrutida.</w:t>
      </w:r>
    </w:p>
    <w:bookmarkEnd w:id="2848"/>
    <w:bookmarkStart w:id="2853" w:name="amilina-a-quarta-via-hormonal"/>
    <w:p>
      <w:pPr>
        <w:pStyle w:val="Heading4"/>
      </w:pPr>
      <w:r>
        <w:t xml:space="preserve">Amilina: a quarta via hormonal</w:t>
      </w:r>
    </w:p>
    <w:p>
      <w:pPr>
        <w:pStyle w:val="FirstParagraph"/>
      </w:pPr>
      <w:r>
        <w:t xml:space="preserve">A amilina é secretada junto com a insulina e age no tronco cerebral promovendo saciedade. Há três linhas de desenvolvimento a distinguir:</w:t>
      </w:r>
    </w:p>
    <w:p>
      <w:pPr>
        <w:numPr>
          <w:ilvl w:val="0"/>
          <w:numId w:val="1355"/>
        </w:numPr>
        <w:pStyle w:val="Compact"/>
      </w:pPr>
      <w:r>
        <w:rPr>
          <w:bCs/>
          <w:b/>
        </w:rPr>
        <w:t xml:space="preserve">Combinação em uma injeção:</w:t>
      </w:r>
      <w:r>
        <w:t xml:space="preserve"> </w:t>
      </w:r>
      <w:r>
        <w:t xml:space="preserve">o CagriSema une o análogo de amilina cagrilintida à semaglutida. No REDEFINE 1, com 3.417 adultos, o peso caiu após 68 semanas 20,4%, com placebo 3,0%; queixas gastrointestinais ocorreram em 79,6% contra 39,9%</w:t>
      </w:r>
      <w:r>
        <w:rPr>
          <w:rStyle w:val="FootnoteReference"/>
        </w:rPr>
        <w:footnoteReference w:id="2849"/>
      </w:r>
      <w:r>
        <w:t xml:space="preserve">.</w:t>
      </w:r>
    </w:p>
    <w:p>
      <w:pPr>
        <w:numPr>
          <w:ilvl w:val="0"/>
          <w:numId w:val="1355"/>
        </w:numPr>
        <w:pStyle w:val="Compact"/>
      </w:pPr>
      <w:r>
        <w:rPr>
          <w:bCs/>
          <w:b/>
        </w:rPr>
        <w:t xml:space="preserve">Uma molécula para dois receptores:</w:t>
      </w:r>
      <w:r>
        <w:t xml:space="preserve"> </w:t>
      </w:r>
      <w:r>
        <w:t xml:space="preserve">a amicretina, desde 2026 zenagamtida, ativa ao mesmo tempo receptores de GLP-1 e de amilina. Em um pequeno estudo de fase 1b/2a com 125 participantes, o peso caiu, no nível de dose mais alto, 24,3% após 36 semanas</w:t>
      </w:r>
      <w:r>
        <w:rPr>
          <w:rStyle w:val="FootnoteReference"/>
        </w:rPr>
        <w:footnoteReference w:id="2850"/>
      </w:r>
      <w:r>
        <w:t xml:space="preserve">. O programa de fase 3 AMAZE está em andamento desde 2026.</w:t>
      </w:r>
    </w:p>
    <w:p>
      <w:pPr>
        <w:numPr>
          <w:ilvl w:val="0"/>
          <w:numId w:val="1355"/>
        </w:numPr>
        <w:pStyle w:val="Compact"/>
      </w:pPr>
      <w:r>
        <w:rPr>
          <w:bCs/>
          <w:b/>
        </w:rPr>
        <w:t xml:space="preserve">Amilina isolada:</w:t>
      </w:r>
      <w:r>
        <w:t xml:space="preserve"> </w:t>
      </w:r>
      <w:r>
        <w:t xml:space="preserve">aqui a esperança é uma tolerabilidade melhor. A eloralintida, um agonista seletivo do receptor de amilina da Lilly, levou em um estudo de fase 2 com 263 adultos, após 48 semanas, a 9 a 20% de perda de peso contra 0,4% com placebo; náusea e cansaço foram, conforme a dose, claramente mais frequentes do que com placebo</w:t>
      </w:r>
      <w:r>
        <w:rPr>
          <w:rStyle w:val="FootnoteReference"/>
        </w:rPr>
        <w:footnoteReference w:id="2851"/>
      </w:r>
      <w:r>
        <w:t xml:space="preserve">. A petrelintida, da Zealand Pharma, reduziu o peso no estudo de fase 2 ZUPREME 1, com 493 participantes, em 7,9 a 9,8% após 28 semanas (placebo 1,7%). Náusea ocorreu em 20% contra 6%, mas vômitos não foram mais frequentes do que com placebo</w:t>
      </w:r>
      <w:r>
        <w:rPr>
          <w:rStyle w:val="FootnoteReference"/>
        </w:rPr>
        <w:footnoteReference w:id="2852"/>
      </w:r>
      <w:r>
        <w:t xml:space="preserve">.</w:t>
      </w:r>
    </w:p>
    <w:p>
      <w:pPr>
        <w:pStyle w:val="FirstParagraph"/>
      </w:pPr>
      <w:r>
        <w:t xml:space="preserve">As duas substâncias de amilina pura já estão em fase 3: a eloralintida no ENLIGHTEN-1, com 1.980 participantes planejados (NCT07321886, término em julho de 2030), a petrelintida no ZUPREME-3, com 3.900 participantes planejados, sob a liderança da Roche (NCT07843498, término em março de 2029). A Lilly testa ainda uma combinação de eloralintida e tirzepatida (AMPLIFY-1, NCT07881432, 2.115 participantes planejados).</w:t>
      </w:r>
    </w:p>
    <w:bookmarkEnd w:id="2853"/>
    <w:bookmarkStart w:id="2856" w:name="conjugados-anticorpo-peptídeo"/>
    <w:p>
      <w:pPr>
        <w:pStyle w:val="Heading4"/>
      </w:pPr>
      <w:r>
        <w:t xml:space="preserve">Conjugados anticorpo-peptídeo</w:t>
      </w:r>
    </w:p>
    <w:p>
      <w:pPr>
        <w:pStyle w:val="FirstParagraph"/>
      </w:pPr>
      <w:r>
        <w:t xml:space="preserve">Peptídeos são degradados rapidamente no corpo e eliminados pelos rins. Uma solução é acoplá-los a um anticorpo, que permanece semanas no sangue. Uma revisão descreve esses conjugados anticorpo-peptídeo como uma classe de substâncias nova e própria: diferentemente das proteínas de fusão, o peptídeo é produzido quimicamente e só depois ligado ao anticorpo, de modo que pode conter também componentes incomuns</w:t>
      </w:r>
      <w:r>
        <w:rPr>
          <w:rStyle w:val="FootnoteReference"/>
        </w:rPr>
        <w:footnoteReference w:id="2854"/>
      </w:r>
      <w:r>
        <w:t xml:space="preserve">.</w:t>
      </w:r>
    </w:p>
    <w:p>
      <w:pPr>
        <w:pStyle w:val="BodyText"/>
      </w:pPr>
      <w:r>
        <w:t xml:space="preserve">O exemplo mais conhecido é a maridebarte cafraglutida (MariTide). Ela une um anticorpo que bloqueia o receptor de GIP a peptídeos semelhantes ao GLP-1, que ativam o receptor de GLP-1. No estudo de fase 2 com 592 participantes, foi injetada a cada quatro ou oito semanas. Após 52 semanas, a perda de peso sem diabetes foi de 12,3 a 16,2% (placebo 2,5%), com diabetes tipo 2 de 8,4 a 12,3% (placebo 1,7%). Queixas gastrointestinais foram frequentes, mas mais raras quando a dose foi aumentada lentamente</w:t>
      </w:r>
      <w:r>
        <w:rPr>
          <w:rStyle w:val="FootnoteReference"/>
        </w:rPr>
        <w:footnoteReference w:id="2855"/>
      </w:r>
      <w:r>
        <w:t xml:space="preserve">. O conceito é: menos injeções em vez de efeito máximo.</w:t>
      </w:r>
    </w:p>
    <w:bookmarkEnd w:id="2856"/>
    <w:bookmarkStart w:id="2860" w:name="poupar-os-músculos-ao-emagrecer"/>
    <w:p>
      <w:pPr>
        <w:pStyle w:val="Heading4"/>
      </w:pPr>
      <w:r>
        <w:t xml:space="preserve">Poupar os músculos ao emagrecer</w:t>
      </w:r>
    </w:p>
    <w:p>
      <w:pPr>
        <w:pStyle w:val="FirstParagraph"/>
      </w:pPr>
      <w:r>
        <w:t xml:space="preserve">Em toda perda de peso intensa, perde-se também massa muscular e óssea. Uma abordagem é o anticorpo</w:t>
      </w:r>
      <w:r>
        <w:t xml:space="preserve"> </w:t>
      </w:r>
      <w:r>
        <w:rPr>
          <w:bCs/>
          <w:b/>
        </w:rPr>
        <w:t xml:space="preserve">bimagrumabe</w:t>
      </w:r>
      <w:r>
        <w:t xml:space="preserve">, que bloqueia os receptores de ativina tipo II – interruptores que freiam o crescimento muscular. O bimagrumabe não é um peptídeo, mas é combinado de forma direcionada com medicamentos peptídicos.</w:t>
      </w:r>
    </w:p>
    <w:p>
      <w:pPr>
        <w:numPr>
          <w:ilvl w:val="0"/>
          <w:numId w:val="1356"/>
        </w:numPr>
        <w:pStyle w:val="Compact"/>
      </w:pPr>
      <w:r>
        <w:t xml:space="preserve">Em um estudo de fase 2 com 75 adultos com diabetes tipo 2 e sobrepeso, a massa gorda caiu com bimagrumabe isolado, após 48 semanas, 20,5%, enquanto a massa magra aumentou 3,6% (placebo −0,5% e −0,8%)</w:t>
      </w:r>
      <w:r>
        <w:rPr>
          <w:rStyle w:val="FootnoteReference"/>
        </w:rPr>
        <w:footnoteReference w:id="2857"/>
      </w:r>
      <w:r>
        <w:t xml:space="preserve">.</w:t>
      </w:r>
    </w:p>
    <w:p>
      <w:pPr>
        <w:numPr>
          <w:ilvl w:val="0"/>
          <w:numId w:val="1356"/>
        </w:numPr>
        <w:pStyle w:val="Compact"/>
      </w:pPr>
      <w:r>
        <w:t xml:space="preserve">Em um estudo de fase 2 com 507 adultos com obesidade, a perda de peso após 48 semanas foi de 9,3 kg com bimagrumabe isolado, 14,2 kg com semaglutida isolada e 17,8 kg com a combinação (placebo 3,3 kg). Efeitos colaterais frequentes do bimagrumabe foram cãibras musculares, diarreia e acne</w:t>
      </w:r>
      <w:r>
        <w:rPr>
          <w:rStyle w:val="FootnoteReference"/>
        </w:rPr>
        <w:footnoteReference w:id="2858"/>
      </w:r>
      <w:r>
        <w:t xml:space="preserve">.</w:t>
      </w:r>
    </w:p>
    <w:p>
      <w:pPr>
        <w:pStyle w:val="FirstParagraph"/>
      </w:pPr>
      <w:r>
        <w:t xml:space="preserve">A Lilly testa agora o bimagrumabe com tirzepatida (NCT06643728, 252 participantes, término em janeiro de 2027). Um estudo menor no Massachusetts General Hospital investiga a mesma combinação com foco na composição corporal e nos ossos</w:t>
      </w:r>
      <w:r>
        <w:rPr>
          <w:rStyle w:val="FootnoteReference"/>
        </w:rPr>
        <w:footnoteReference w:id="2859"/>
      </w:r>
      <w:r>
        <w:t xml:space="preserve">. Se mais massa muscular no exame de imagem significa também mais força, menos quedas ou menos fraturas ainda não está comprovado. Estudos de fase 3 não constam do registro.</w:t>
      </w:r>
    </w:p>
    <w:bookmarkEnd w:id="2860"/>
    <w:bookmarkStart w:id="2861" w:name="comprimidos"/>
    <w:p>
      <w:pPr>
        <w:pStyle w:val="Heading4"/>
      </w:pPr>
      <w:r>
        <w:t xml:space="preserve">Comprimidos</w:t>
      </w:r>
    </w:p>
    <w:p>
      <w:pPr>
        <w:pStyle w:val="FirstParagraph"/>
      </w:pPr>
      <w:r>
        <w:t xml:space="preserve">Talvez a mudança de maiores consequências não diga respeito ao receptor, mas à via de entrada no corpo: comprimidos com peptídeos e pequenas moléculas que agem como peptídeos. A esse tema é dedicado o próximo capítulo.</w:t>
      </w:r>
    </w:p>
    <w:bookmarkEnd w:id="2861"/>
    <w:bookmarkEnd w:id="2862"/>
    <w:bookmarkStart w:id="2863" w:name="o-essencial-em-resumo-8"/>
    <w:p>
      <w:pPr>
        <w:pStyle w:val="Heading3"/>
      </w:pPr>
      <w:r>
        <w:t xml:space="preserve">O essencial em resumo</w:t>
      </w:r>
    </w:p>
    <w:p>
      <w:pPr>
        <w:numPr>
          <w:ilvl w:val="0"/>
          <w:numId w:val="1357"/>
        </w:numPr>
        <w:pStyle w:val="Compact"/>
      </w:pPr>
      <w:r>
        <w:t xml:space="preserve">Após a exclusão de registros fictícios e alheios ao tema, estão em andamento 730 estudos intervencionais com as substâncias deste livro, entre eles 157 em fase 3.</w:t>
      </w:r>
    </w:p>
    <w:p>
      <w:pPr>
        <w:numPr>
          <w:ilvl w:val="0"/>
          <w:numId w:val="1357"/>
        </w:numPr>
        <w:pStyle w:val="Compact"/>
      </w:pPr>
      <w:r>
        <w:t xml:space="preserve">Quase nove em cada dez estudos tardios referem-se a metabolismo e peso. Para os populares peptídeos do mercado cinza, não há nenhum estudo de fase 3 em andamento.</w:t>
      </w:r>
    </w:p>
    <w:p>
      <w:pPr>
        <w:numPr>
          <w:ilvl w:val="0"/>
          <w:numId w:val="1357"/>
        </w:numPr>
        <w:pStyle w:val="Compact"/>
      </w:pPr>
      <w:r>
        <w:t xml:space="preserve">Os grandes estudos cardiovasculares, renais e hepáticos terminam entre 2027 e 2032. Só eles mostrarão se as novas substâncias fazem mais do que reduzir o peso.</w:t>
      </w:r>
    </w:p>
    <w:p>
      <w:pPr>
        <w:numPr>
          <w:ilvl w:val="0"/>
          <w:numId w:val="1357"/>
        </w:numPr>
        <w:pStyle w:val="Compact"/>
      </w:pPr>
      <w:r>
        <w:t xml:space="preserve">Novos princípios de ação – agonistas triplos, amilina, conjugados anticorpo-peptídeo, proteção muscular – estão comprovados em estudos de fase 2, e a maioria está em fase 3. Uma aprovação não está assegurada para nenhuma dessas novas substâncias.</w:t>
      </w:r>
    </w:p>
    <w:bookmarkEnd w:id="2863"/>
    <w:bookmarkEnd w:id="2864"/>
    <w:bookmarkStart w:id="2900" w:name="comprimidos-em-vez-de-injeções"/>
    <w:p>
      <w:pPr>
        <w:pStyle w:val="Heading2"/>
      </w:pPr>
      <w:r>
        <w:t xml:space="preserve">Comprimidos em vez de injeções</w:t>
      </w:r>
    </w:p>
    <w:p>
      <w:pPr>
        <w:pStyle w:val="FirstParagraph"/>
      </w:pPr>
      <w:r>
        <w:t xml:space="preserve">Quase todos os medicamentos peptídicos deste livro são injetados. Há uma razão simples para isso: o trato gastrointestinal é feito para decompor proteínas e peptídeos em seus componentes. O que faz sentido para a alimentação torna um peptídeo inutilizável como medicamento antes de ele chegar ao sangue. A Parte I descreveu esses obstáculos em detalhe (capítulo</w:t>
      </w:r>
      <w:r>
        <w:t xml:space="preserve"> </w:t>
      </w:r>
      <w:r>
        <w:t xml:space="preserve">“</w:t>
      </w:r>
      <w:r>
        <w:t xml:space="preserve">Como os peptídeos entram no corpo</w:t>
      </w:r>
      <w:r>
        <w:t xml:space="preserve">”</w:t>
      </w:r>
      <w:r>
        <w:t xml:space="preserve">).</w:t>
      </w:r>
    </w:p>
    <w:p>
      <w:pPr>
        <w:pStyle w:val="BodyText"/>
      </w:pPr>
      <w:r>
        <w:t xml:space="preserve">Que mesmo assim se pesquise intensamente em comprimidos tem vários motivos. Muitas pessoas não gostam de se injetar. Injeções geralmente precisam ser refrigeradas, e canetas são caras de fabricar. E como os medicamentos contra a obesidade, segundo o conhecimento atual, precisam ser tomados de forma contínua para fazer efeito, toda facilidade para o tratamento de longo prazo conta. Uma revisão descreve que formas orais de insulina, calcitonina, paratormônio e vasopressina já foram testadas em estudos clínicos e que somente a semaglutida trouxe o avanço para uma substância de uso amplo</w:t>
      </w:r>
      <w:r>
        <w:rPr>
          <w:rStyle w:val="FootnoteReference"/>
        </w:rPr>
        <w:footnoteReference w:id="2865"/>
      </w:r>
      <w:r>
        <w:t xml:space="preserve">.</w:t>
      </w:r>
    </w:p>
    <w:p>
      <w:pPr>
        <w:pStyle w:val="BodyText"/>
      </w:pPr>
      <w:r>
        <w:t xml:space="preserve">Hoje há dois caminhos fundamentalmente diferentes para o comprimido: protege-se um</w:t>
      </w:r>
      <w:r>
        <w:t xml:space="preserve"> </w:t>
      </w:r>
      <w:r>
        <w:rPr>
          <w:bCs/>
          <w:b/>
        </w:rPr>
        <w:t xml:space="preserve">peptídeo</w:t>
      </w:r>
      <w:r>
        <w:t xml:space="preserve"> </w:t>
      </w:r>
      <w:r>
        <w:t xml:space="preserve">de modo que ao menos uma pequena parte seja absorvida – ou substitui-se o peptídeo por uma</w:t>
      </w:r>
      <w:r>
        <w:t xml:space="preserve"> </w:t>
      </w:r>
      <w:r>
        <w:rPr>
          <w:bCs/>
          <w:b/>
        </w:rPr>
        <w:t xml:space="preserve">pequena molécula</w:t>
      </w:r>
      <w:r>
        <w:t xml:space="preserve">, que passa do intestino para o sangue como um medicamento comum e ainda assim age no mesmo receptor.</w:t>
      </w:r>
    </w:p>
    <w:bookmarkStart w:id="2880" w:name="Xe32a5d58a6aade5ffbb6b6ef7f04502b485febc"/>
    <w:p>
      <w:pPr>
        <w:pStyle w:val="Heading3"/>
      </w:pPr>
      <w:r>
        <w:t xml:space="preserve">Caminho 1: peptídeo mais intensificador de absorção</w:t>
      </w:r>
    </w:p>
    <w:bookmarkStart w:id="2867" w:name="o-princípio"/>
    <w:p>
      <w:pPr>
        <w:pStyle w:val="Heading4"/>
      </w:pPr>
      <w:r>
        <w:t xml:space="preserve">O princípio</w:t>
      </w:r>
    </w:p>
    <w:p>
      <w:pPr>
        <w:pStyle w:val="FirstParagraph"/>
      </w:pPr>
      <w:r>
        <w:t xml:space="preserve">Um</w:t>
      </w:r>
      <w:r>
        <w:t xml:space="preserve"> </w:t>
      </w:r>
      <w:r>
        <w:rPr>
          <w:bCs/>
          <w:b/>
        </w:rPr>
        <w:t xml:space="preserve">intensificador de absorção</w:t>
      </w:r>
      <w:r>
        <w:t xml:space="preserve"> </w:t>
      </w:r>
      <w:r>
        <w:t xml:space="preserve">(termo técnico: intensificador de permeação) é um excipiente que torna a mucosa temporariamente mais permeável ou protege o peptídeo da degradação. No comprimido de semaglutida, esse é o excipiente</w:t>
      </w:r>
      <w:r>
        <w:t xml:space="preserve"> </w:t>
      </w:r>
      <w:r>
        <w:rPr>
          <w:bCs/>
          <w:b/>
        </w:rPr>
        <w:t xml:space="preserve">SNAC</w:t>
      </w:r>
      <w:r>
        <w:t xml:space="preserve">. Ele eleva o pH no entorno imediato do comprimido, atenua a ativação da enzima digestiva pepsina e faz com que a semaglutida esteja presente como molécula isolada, que é absorvida mais facilmente. Mesmo assim, segundo uma revisão, apenas cerca de 0,4 a 1% da substância chega ao sangue – e isso apenas em jejum e com pouca água. Após uma refeição, praticamente não se detecta semaglutida no sangue</w:t>
      </w:r>
      <w:r>
        <w:rPr>
          <w:rStyle w:val="FootnoteReference"/>
        </w:rPr>
        <w:footnoteReference w:id="2866"/>
      </w:r>
      <w:r>
        <w:t xml:space="preserve">. Daí resultam as regras rígidas de tomada que constam da bula profissional.</w:t>
      </w:r>
    </w:p>
    <w:bookmarkEnd w:id="2867"/>
    <w:bookmarkStart w:id="2869" w:name="o-comprimido-de-semaglutida-na-obesidade"/>
    <w:p>
      <w:pPr>
        <w:pStyle w:val="Heading4"/>
      </w:pPr>
      <w:r>
        <w:t xml:space="preserve">O comprimido de semaglutida na obesidade</w:t>
      </w:r>
    </w:p>
    <w:p>
      <w:pPr>
        <w:pStyle w:val="FirstParagraph"/>
      </w:pPr>
      <w:r>
        <w:t xml:space="preserve">Para o diabetes tipo 2, o comprimido de semaglutida (Rybelsus) está aprovado na UE desde 2020. Para a obesidade, foram testadas doses mais altas: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Participantes e desenho</w:t>
            </w:r>
          </w:p>
        </w:tc>
        <w:tc>
          <w:tcPr/>
          <w:p>
            <w:pPr>
              <w:pStyle w:val="Compact"/>
              <w:jc w:val="left"/>
            </w:pPr>
            <w:r>
              <w:t xml:space="preserve">Duração</w:t>
            </w:r>
          </w:p>
        </w:tc>
        <w:tc>
          <w:tcPr/>
          <w:p>
            <w:pPr>
              <w:pStyle w:val="Compact"/>
              <w:jc w:val="left"/>
            </w:pPr>
            <w:r>
              <w:t xml:space="preserve">Resultado</w:t>
            </w:r>
          </w:p>
        </w:tc>
      </w:tr>
      <w:tr>
        <w:tc>
          <w:tcPr/>
          <w:p>
            <w:pPr>
              <w:pStyle w:val="Compact"/>
              <w:jc w:val="left"/>
            </w:pPr>
            <w:r>
              <w:t xml:space="preserve">OASIS 1 (Knop 2023), PMID 37385278</w:t>
            </w:r>
          </w:p>
        </w:tc>
        <w:tc>
          <w:tcPr/>
          <w:p>
            <w:pPr>
              <w:pStyle w:val="Compact"/>
              <w:jc w:val="left"/>
            </w:pPr>
            <w:r>
              <w:t xml:space="preserve">667 adultos sem diabetes, comprimido contra placebo</w:t>
            </w:r>
          </w:p>
        </w:tc>
        <w:tc>
          <w:tcPr/>
          <w:p>
            <w:pPr>
              <w:pStyle w:val="Compact"/>
              <w:jc w:val="left"/>
            </w:pPr>
            <w:r>
              <w:t xml:space="preserve">68 semanas</w:t>
            </w:r>
          </w:p>
        </w:tc>
        <w:tc>
          <w:tcPr/>
          <w:p>
            <w:pPr>
              <w:pStyle w:val="Compact"/>
              <w:jc w:val="left"/>
            </w:pPr>
            <w:r>
              <w:t xml:space="preserve">−15,1% de peso vs. −2,4%</w:t>
            </w:r>
          </w:p>
        </w:tc>
      </w:tr>
      <w:tr>
        <w:tc>
          <w:tcPr/>
          <w:p>
            <w:pPr>
              <w:pStyle w:val="Compact"/>
              <w:jc w:val="left"/>
            </w:pPr>
            <w:r>
              <w:t xml:space="preserve">OASIS 4 (Wharton 2025), PMID 40934115</w:t>
            </w:r>
          </w:p>
        </w:tc>
        <w:tc>
          <w:tcPr/>
          <w:p>
            <w:pPr>
              <w:pStyle w:val="Compact"/>
              <w:jc w:val="left"/>
            </w:pPr>
            <w:r>
              <w:t xml:space="preserve">307 adultos sem diabetes, dose de comprimido mais baixa contra placebo</w:t>
            </w:r>
          </w:p>
        </w:tc>
        <w:tc>
          <w:tcPr/>
          <w:p>
            <w:pPr>
              <w:pStyle w:val="Compact"/>
              <w:jc w:val="left"/>
            </w:pPr>
            <w:r>
              <w:t xml:space="preserve">64 semanas</w:t>
            </w:r>
          </w:p>
        </w:tc>
        <w:tc>
          <w:tcPr/>
          <w:p>
            <w:pPr>
              <w:pStyle w:val="Compact"/>
              <w:jc w:val="left"/>
            </w:pPr>
            <w:r>
              <w:t xml:space="preserve">−13,6% vs. −2,2%</w:t>
            </w:r>
          </w:p>
        </w:tc>
      </w:tr>
      <w:tr>
        <w:tc>
          <w:tcPr/>
          <w:p>
            <w:pPr>
              <w:pStyle w:val="Compact"/>
              <w:jc w:val="left"/>
            </w:pPr>
            <w:r>
              <w:t xml:space="preserve">Para comparação: STEP 1 (Wilding 2021), PMID 33567185</w:t>
            </w:r>
          </w:p>
        </w:tc>
        <w:tc>
          <w:tcPr/>
          <w:p>
            <w:pPr>
              <w:pStyle w:val="Compact"/>
              <w:jc w:val="left"/>
            </w:pPr>
            <w:r>
              <w:t xml:space="preserve">1.961 adultos sem diabetes, injeção semanal contra placebo</w:t>
            </w:r>
          </w:p>
        </w:tc>
        <w:tc>
          <w:tcPr/>
          <w:p>
            <w:pPr>
              <w:pStyle w:val="Compact"/>
              <w:jc w:val="left"/>
            </w:pPr>
            <w:r>
              <w:t xml:space="preserve">68 semanas</w:t>
            </w:r>
          </w:p>
        </w:tc>
        <w:tc>
          <w:tcPr/>
          <w:p>
            <w:pPr>
              <w:pStyle w:val="Compact"/>
              <w:jc w:val="left"/>
            </w:pPr>
            <w:r>
              <w:t xml:space="preserve">−14,9% vs. −2,4%</w:t>
            </w:r>
          </w:p>
        </w:tc>
      </w:tr>
    </w:tbl>
    <w:p>
      <w:pPr>
        <w:pStyle w:val="BodyText"/>
      </w:pPr>
      <w:r>
        <w:t xml:space="preserve">Nos dois estudos com comprimido, queixas gastrointestinais foram frequentes: 80% contra 46% com placebo no OASIS 1, 74,0% contra 42,2% no OASIS 4. O estudo OASIS 4 é, segundo o capítulo Semaglutida, a base do comprimido de Wegovy aprovado nos EUA (verificar a situação atual da aprovação). Outro estudo de fase 3 com o comprimido está em andamento (OASIS 5, NCT07770841, término em abril de 2028).</w:t>
      </w:r>
    </w:p>
    <w:p>
      <w:pPr>
        <w:pStyle w:val="BodyText"/>
      </w:pPr>
      <w:r>
        <w:t xml:space="preserve">Os números ficam próximos dos da injeção. Falta, no entanto, uma grande comparação direta entre comprimido e injeção na obesidade, e comparações cruzadas entre estudos são apenas uma orientação aproximada.</w:t>
      </w:r>
    </w:p>
    <w:p>
      <w:pPr>
        <w:pStyle w:val="BodyText"/>
      </w:pPr>
      <w:r>
        <w:rPr>
          <w:bCs/>
          <w:b/>
        </w:rPr>
        <w:t xml:space="preserve">Uma desvantagem raramente mencionada:</w:t>
      </w:r>
      <w:r>
        <w:t xml:space="preserve"> </w:t>
      </w:r>
      <w:r>
        <w:t xml:space="preserve">como apenas uma fração é absorvida, o comprimido precisa de muitas vezes mais substância. Uma estimativa de custos para genéricos após a expiração da patente chegou, para a semaglutida injetável, a 28 a 140 dólares americanos por pessoa por ano, e para o comprimido a 186 a 380 dólares americanos</w:t>
      </w:r>
      <w:r>
        <w:rPr>
          <w:rStyle w:val="FootnoteReference"/>
        </w:rPr>
        <w:footnoteReference w:id="2868"/>
      </w:r>
      <w:r>
        <w:t xml:space="preserve">. O comprimido não é, portanto, automaticamente a solução mais barata (mais sobre isso no capítulo</w:t>
      </w:r>
      <w:r>
        <w:t xml:space="preserve"> </w:t>
      </w:r>
      <w:r>
        <w:t xml:space="preserve">“</w:t>
      </w:r>
      <w:r>
        <w:t xml:space="preserve">Patentes, genéricos e preços</w:t>
      </w:r>
      <w:r>
        <w:t xml:space="preserve">”</w:t>
      </w:r>
      <w:r>
        <w:t xml:space="preserve">).</w:t>
      </w:r>
    </w:p>
    <w:bookmarkEnd w:id="2869"/>
    <w:bookmarkStart w:id="2871" w:name="desfechos-duros-soul"/>
    <w:p>
      <w:pPr>
        <w:pStyle w:val="Heading4"/>
      </w:pPr>
      <w:r>
        <w:t xml:space="preserve">Desfechos duros: SOUL</w:t>
      </w:r>
    </w:p>
    <w:p>
      <w:pPr>
        <w:pStyle w:val="FirstParagraph"/>
      </w:pPr>
      <w:r>
        <w:t xml:space="preserve">Para o diabetes tipo 2, o benefício do comprimido de semaglutida para além da glicemia está comprovado. No SOUL, com 9.650 pessoas com diabetes tipo 2 e doença vascular ou renal, eventos cardiovasculares graves ocorreram, ao longo de um tempo médio de acompanhamento de cerca de quatro anos, em 12,0% com o comprimido e em 13,8% com placebo (hazard ratio 0,86). Os desfechos renais confirmatórios não diferiram significativamente</w:t>
      </w:r>
      <w:r>
        <w:rPr>
          <w:rStyle w:val="FootnoteReference"/>
        </w:rPr>
        <w:footnoteReference w:id="2870"/>
      </w:r>
      <w:r>
        <w:t xml:space="preserve">. Para pessoas com obesidade sem diabetes, ainda não há um estudo desse tipo com o comprimido.</w:t>
      </w:r>
    </w:p>
    <w:bookmarkEnd w:id="2871"/>
    <w:bookmarkStart w:id="2874" w:name="amilina-e-glp-1-em-comprimido"/>
    <w:p>
      <w:pPr>
        <w:pStyle w:val="Heading4"/>
      </w:pPr>
      <w:r>
        <w:t xml:space="preserve">Amilina e GLP-1 em comprimido</w:t>
      </w:r>
    </w:p>
    <w:p>
      <w:pPr>
        <w:pStyle w:val="FirstParagraph"/>
      </w:pPr>
      <w:r>
        <w:t xml:space="preserve">A Novo Nordisk desenvolve também a amicretina (desde 2026 zenagamtida) em comprimido. Segundo a publicação do estudo, o peptídeo age nos receptores de GLP-1, de amilina e de calcitonina. Em um estudo de fase 2 com 186 adultos com diabetes tipo 2, a HbA1c caiu após 36 semanas, nos três grupos de dose, de 0,5 a 1,1 ponto percentual a mais do que com placebo. Queixas gastrointestinais ocorreram, conforme a dose, em 26 a 47% (placebo 23%); eventos adversos graves afetaram 4% com zenagamtida e ninguém com placebo</w:t>
      </w:r>
      <w:r>
        <w:rPr>
          <w:rStyle w:val="FootnoteReference"/>
        </w:rPr>
        <w:footnoteReference w:id="2872"/>
      </w:r>
      <w:r>
        <w:t xml:space="preserve">. O estudo de fase 3 AMAZE 9 testa o comprimido no sobrepeso com 950 participantes (NCT07720271, término em agosto de 2028). Um estudo de fase 1 investiga expressamente como a quantidade de água e o momento da refeição influenciam a absorção</w:t>
      </w:r>
      <w:r>
        <w:rPr>
          <w:rStyle w:val="FootnoteReference"/>
        </w:rPr>
        <w:footnoteReference w:id="2873"/>
      </w:r>
      <w:r>
        <w:t xml:space="preserve"> </w:t>
      </w:r>
      <w:r>
        <w:t xml:space="preserve">– um indício de que também esse comprimido deverá estar sujeito a regras de tomada.</w:t>
      </w:r>
    </w:p>
    <w:bookmarkEnd w:id="2874"/>
    <w:bookmarkStart w:id="2879" w:name="peptídeos-orais-fora-do-metabolismo"/>
    <w:p>
      <w:pPr>
        <w:pStyle w:val="Heading4"/>
      </w:pPr>
      <w:r>
        <w:t xml:space="preserve">Peptídeos orais fora do metabolismo</w:t>
      </w:r>
    </w:p>
    <w:p>
      <w:pPr>
        <w:pStyle w:val="FirstParagraph"/>
      </w:pPr>
      <w:r>
        <w:t xml:space="preserve">O avanço não se limita aos emagrecedores. Dois exemplos mostram que os peptídeos orais estão se tornando uma classe de medicamentos própria:</w:t>
      </w:r>
    </w:p>
    <w:p>
      <w:pPr>
        <w:numPr>
          <w:ilvl w:val="0"/>
          <w:numId w:val="1358"/>
        </w:numPr>
        <w:pStyle w:val="Compact"/>
      </w:pPr>
      <w:r>
        <w:t xml:space="preserve">A</w:t>
      </w:r>
      <w:r>
        <w:t xml:space="preserve"> </w:t>
      </w:r>
      <w:r>
        <w:rPr>
          <w:bCs/>
          <w:b/>
        </w:rPr>
        <w:t xml:space="preserve">enlicitida</w:t>
      </w:r>
      <w:r>
        <w:t xml:space="preserve"> </w:t>
      </w:r>
      <w:r>
        <w:t xml:space="preserve">é um peptídeo em forma de anel (macrocíclico) que inibe a proteína PCSK9 e, assim, reduz o colesterol LDL. Até agora, esses inibidores só existiam como injeção (anticorpos). A substância foi encontrada com um método que vasculha bibliotecas muito grandes de peptídeos em busca de parceiros de ligação adequados e, em seguida, otimizada quimicamente de forma direcionada</w:t>
      </w:r>
      <w:r>
        <w:rPr>
          <w:rStyle w:val="FootnoteReference"/>
        </w:rPr>
        <w:footnoteReference w:id="2875"/>
      </w:r>
      <w:r>
        <w:t xml:space="preserve">. No estudo de fase 3 CORALreef Lipids, com 2.909 participantes, o colesterol LDL caiu 57,1% após 24 semanas; com placebo, subiu 3,0%. Eventos adversos ocorreram com frequência semelhante nos dois grupos</w:t>
      </w:r>
      <w:r>
        <w:rPr>
          <w:rStyle w:val="FootnoteReference"/>
        </w:rPr>
        <w:footnoteReference w:id="2876"/>
      </w:r>
      <w:r>
        <w:t xml:space="preserve">. Se isso também previne infartos e AVCs deverá ser mostrado pelo CORALreef Outcomes, com 14.550 participantes (NCT06008756, término em novembro de 2031).</w:t>
      </w:r>
    </w:p>
    <w:p>
      <w:pPr>
        <w:numPr>
          <w:ilvl w:val="0"/>
          <w:numId w:val="1358"/>
        </w:numPr>
        <w:pStyle w:val="Compact"/>
      </w:pPr>
      <w:r>
        <w:t xml:space="preserve">O</w:t>
      </w:r>
      <w:r>
        <w:t xml:space="preserve"> </w:t>
      </w:r>
      <w:r>
        <w:rPr>
          <w:bCs/>
          <w:b/>
        </w:rPr>
        <w:t xml:space="preserve">icotrokinra</w:t>
      </w:r>
      <w:r>
        <w:t xml:space="preserve"> </w:t>
      </w:r>
      <w:r>
        <w:t xml:space="preserve">é um peptídeo oral que bloqueia o receptor do mensageiro inflamatório interleucina-23. No estudo de fase 3 ICONIC-LEAD, com 684 adultos e adolescentes com psoríase moderada a grave, 65% alcançaram após 16 semanas uma pele (quase) sem lesões, contra 8% com placebo; eventos adversos foram igualmente frequentes nos dois grupos (49%)</w:t>
      </w:r>
      <w:r>
        <w:rPr>
          <w:rStyle w:val="FootnoteReference"/>
        </w:rPr>
        <w:footnoteReference w:id="2877"/>
      </w:r>
      <w:r>
        <w:t xml:space="preserve">. Em março de 2026, o icotrokinra foi aprovado nos EUA; na UE, a avaliação estava em andamento (Keam 2026, PMID 42243571; verificar a situação atual). Notável é o caminho até lá: segundo uma investigação farmacológica, o icotrokinra dispensa intensificadores de absorção. Em experimentos com animais, apenas 0,1 a 0,3% chegaram ao sangue, e ainda assim um efeito em todo o corpo foi mensurável, porque o peptídeo é muito estável e muito potente</w:t>
      </w:r>
      <w:r>
        <w:rPr>
          <w:rStyle w:val="FootnoteReference"/>
        </w:rPr>
        <w:footnoteReference w:id="2878"/>
      </w:r>
      <w:r>
        <w:t xml:space="preserve">. Estudos na colite ulcerativa estão em andamento (ICONIC-UC, NCT07196748).</w:t>
      </w:r>
    </w:p>
    <w:p>
      <w:pPr>
        <w:pStyle w:val="FirstParagraph"/>
      </w:pPr>
      <w:r>
        <w:t xml:space="preserve">Nenhuma das duas substâncias é um peptídeo do mercado cinza; são moléculas projetadas de forma direcionada, testadas por anos em grandes estudos. Com os peptídeos</w:t>
      </w:r>
      <w:r>
        <w:t xml:space="preserve"> </w:t>
      </w:r>
      <w:r>
        <w:t xml:space="preserve">“</w:t>
      </w:r>
      <w:r>
        <w:t xml:space="preserve">orais</w:t>
      </w:r>
      <w:r>
        <w:t xml:space="preserve">”</w:t>
      </w:r>
      <w:r>
        <w:t xml:space="preserve"> </w:t>
      </w:r>
      <w:r>
        <w:t xml:space="preserve">oferecidos na internet, não têm nada em comum.</w:t>
      </w:r>
    </w:p>
    <w:bookmarkEnd w:id="2879"/>
    <w:bookmarkEnd w:id="2880"/>
    <w:bookmarkStart w:id="2889" w:name="Xb31955930a5c277ba557ec487dbe607dc894add"/>
    <w:p>
      <w:pPr>
        <w:pStyle w:val="Heading3"/>
      </w:pPr>
      <w:r>
        <w:t xml:space="preserve">Caminho 2: pequenas moléculas em vez de peptídeos</w:t>
      </w:r>
    </w:p>
    <w:bookmarkStart w:id="2886" w:name="orforglipron"/>
    <w:p>
      <w:pPr>
        <w:pStyle w:val="Heading4"/>
      </w:pPr>
      <w:r>
        <w:t xml:space="preserve">Orforglipron</w:t>
      </w:r>
    </w:p>
    <w:p>
      <w:pPr>
        <w:pStyle w:val="FirstParagraph"/>
      </w:pPr>
      <w:r>
        <w:t xml:space="preserve">A orforglipron não é um peptídeo, mas uma pequena molécula produzida quimicamente que ativa o receptor de GLP-1 (em detalhe no capítulo Orforglipron, na Parte II · A). Ela é tomada como um comprimido comum, uma vez ao dia, segundo os estudos sem levar em conta refeições ou quantidade de água</w:t>
      </w:r>
      <w:r>
        <w:rPr>
          <w:rStyle w:val="FootnoteReference"/>
        </w:rPr>
        <w:footnoteReference w:id="2881"/>
      </w:r>
      <w:r>
        <w:t xml:space="preserve">.</w:t>
      </w:r>
    </w:p>
    <w:p>
      <w:pPr>
        <w:numPr>
          <w:ilvl w:val="0"/>
          <w:numId w:val="1359"/>
        </w:numPr>
        <w:pStyle w:val="Compact"/>
      </w:pPr>
      <w:r>
        <w:rPr>
          <w:bCs/>
          <w:b/>
        </w:rPr>
        <w:t xml:space="preserve">Peso:</w:t>
      </w:r>
      <w:r>
        <w:t xml:space="preserve"> </w:t>
      </w:r>
      <w:r>
        <w:t xml:space="preserve">no ATTAIN-1, com 3.127 adultos com obesidade, o peso caiu após 72 semanas, na dose mais alta, 11,2%, com placebo 2,1%. Por efeitos colaterais, abandonaram 5,3 a 10,3% (placebo 2,7%)</w:t>
      </w:r>
      <w:r>
        <w:rPr>
          <w:rStyle w:val="FootnoteReference"/>
        </w:rPr>
        <w:footnoteReference w:id="2882"/>
      </w:r>
      <w:r>
        <w:t xml:space="preserve">.</w:t>
      </w:r>
    </w:p>
    <w:p>
      <w:pPr>
        <w:numPr>
          <w:ilvl w:val="0"/>
          <w:numId w:val="1359"/>
        </w:numPr>
        <w:pStyle w:val="Compact"/>
      </w:pPr>
      <w:r>
        <w:rPr>
          <w:bCs/>
          <w:b/>
        </w:rPr>
        <w:t xml:space="preserve">Glicemia:</w:t>
      </w:r>
      <w:r>
        <w:t xml:space="preserve"> </w:t>
      </w:r>
      <w:r>
        <w:t xml:space="preserve">na comparação aberta com o comprimido de semaglutida (ACHIEVE-3, 1.698 participantes), a orforglipron reduziu mais a HbA1c após 52 semanas, nas doses mais altas de cada um, 1,91 contra 1,47 ponto percentual</w:t>
      </w:r>
      <w:r>
        <w:rPr>
          <w:rStyle w:val="FootnoteReference"/>
        </w:rPr>
        <w:footnoteReference w:id="2883"/>
      </w:r>
      <w:r>
        <w:t xml:space="preserve">.</w:t>
      </w:r>
    </w:p>
    <w:p>
      <w:pPr>
        <w:numPr>
          <w:ilvl w:val="0"/>
          <w:numId w:val="1359"/>
        </w:numPr>
        <w:pStyle w:val="Compact"/>
      </w:pPr>
      <w:r>
        <w:rPr>
          <w:bCs/>
          <w:b/>
        </w:rPr>
        <w:t xml:space="preserve">Manter o peso:</w:t>
      </w:r>
      <w:r>
        <w:t xml:space="preserve"> </w:t>
      </w:r>
      <w:r>
        <w:t xml:space="preserve">no ATTAIN-MAINTAIN, participantes passaram, após uma perda de peso com tirzepatida ou semaglutida injetáveis, para orforglipron ou placebo. Após 52 semanas, mantiveram com orforglipron 74,7% e 79,3%, respectivamente, da sua perda de peso, com placebo 49,2% e 37,6%. Não houve um grupo que simplesmente continuasse recebendo a injeção; os próprios autores citam isso como limitação</w:t>
      </w:r>
      <w:r>
        <w:rPr>
          <w:rStyle w:val="FootnoteReference"/>
        </w:rPr>
        <w:footnoteReference w:id="2884"/>
      </w:r>
      <w:r>
        <w:t xml:space="preserve">.</w:t>
      </w:r>
    </w:p>
    <w:p>
      <w:pPr>
        <w:numPr>
          <w:ilvl w:val="0"/>
          <w:numId w:val="1359"/>
        </w:numPr>
        <w:pStyle w:val="Compact"/>
      </w:pPr>
      <w:r>
        <w:rPr>
          <w:bCs/>
          <w:b/>
        </w:rPr>
        <w:t xml:space="preserve">Fígado:</w:t>
      </w:r>
      <w:r>
        <w:t xml:space="preserve"> </w:t>
      </w:r>
      <w:r>
        <w:t xml:space="preserve">em pequenas moléculas de GLP-1, os valores hepáticos eram uma preocupação especial. Uma análise agrupada de sete estudos de fase 3 com 11.220 participantes não encontrou, para a orforglipron, nenhum caso que preenchesse os critérios de lesão hepática induzida por medicamento</w:t>
      </w:r>
      <w:r>
        <w:rPr>
          <w:rStyle w:val="FootnoteReference"/>
        </w:rPr>
        <w:footnoteReference w:id="2885"/>
      </w:r>
      <w:r>
        <w:t xml:space="preserve">.</w:t>
      </w:r>
    </w:p>
    <w:bookmarkEnd w:id="2886"/>
    <w:bookmarkStart w:id="2888" w:name="nem-toda-pequena-molécula-chega-lá"/>
    <w:p>
      <w:pPr>
        <w:pStyle w:val="Heading4"/>
      </w:pPr>
      <w:r>
        <w:t xml:space="preserve">Nem toda pequena molécula chega lá</w:t>
      </w:r>
    </w:p>
    <w:p>
      <w:pPr>
        <w:pStyle w:val="FirstParagraph"/>
      </w:pPr>
      <w:r>
        <w:t xml:space="preserve">Que o caminho é difícil mostra a</w:t>
      </w:r>
      <w:r>
        <w:t xml:space="preserve"> </w:t>
      </w:r>
      <w:r>
        <w:rPr>
          <w:bCs/>
          <w:b/>
        </w:rPr>
        <w:t xml:space="preserve">danugliprona</w:t>
      </w:r>
      <w:r>
        <w:t xml:space="preserve">, da Pfizer. Em um estudo de fase 2b com 628 adultos com obesidade, em que os comprimidos eram tomados duas vezes ao dia, o peso caiu, é verdade, bem mais do que com placebo, mas apenas 39,3% concluíram o tratamento; cerca de 38% abandonaram por efeitos colaterais</w:t>
      </w:r>
      <w:r>
        <w:rPr>
          <w:rStyle w:val="FootnoteReference"/>
        </w:rPr>
        <w:footnoteReference w:id="2887"/>
      </w:r>
      <w:r>
        <w:t xml:space="preserve">. Segundo comunicados do fabricante, o desenvolvimento foi interrompido. Outras empresas desenvolvem comprimidos próprios; a AstraZeneca, por exemplo, testa a substância elecogliprona em um estudo de fase 3 contra o comprimido de semaglutida (Eluminate-2, NCT07662213).</w:t>
      </w:r>
    </w:p>
    <w:bookmarkEnd w:id="2888"/>
    <w:bookmarkEnd w:id="2889"/>
    <w:bookmarkStart w:id="2891" w:name="X3e06df08970ee610d7bb862f8b8cd9b6bb59d2e"/>
    <w:p>
      <w:pPr>
        <w:pStyle w:val="Heading3"/>
      </w:pPr>
      <w:r>
        <w:t xml:space="preserve">Comprimido peptídico ou pequena molécula: uma comparação</w:t>
      </w:r>
    </w:p>
    <w:p>
      <w:pPr>
        <w:pStyle w:val="FirstParagraph"/>
      </w:pPr>
      <w:r>
        <w:t xml:space="preserve">Falta uma comparação direta do comprimido de semaglutida com a orforglipron na obesidade. Uma análise comparou as duas indiretamente, cotejando os dados individuais do OASIS 4 com os dados agregados publicados do ATTAIN-1. Segundo ela, a perda de peso com o comprimido de semaglutida foi cerca de 3 pontos percentuais maior, e abandonos por efeitos colaterais foram mais frequentes com orforglipron</w:t>
      </w:r>
      <w:r>
        <w:rPr>
          <w:rStyle w:val="FootnoteReference"/>
        </w:rPr>
        <w:footnoteReference w:id="2890"/>
      </w:r>
      <w:r>
        <w:t xml:space="preserve">. Essas comparações indiretas devem ser lidas com cautela: apenas para um dos dois estudos havia dados individuais disponíveis, e eram os do programa da semaglutida.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Característica</w:t>
            </w:r>
          </w:p>
        </w:tc>
        <w:tc>
          <w:tcPr/>
          <w:p>
            <w:pPr>
              <w:pStyle w:val="Compact"/>
              <w:jc w:val="left"/>
            </w:pPr>
            <w:r>
              <w:t xml:space="preserve">Injeção peptídica</w:t>
            </w:r>
          </w:p>
        </w:tc>
        <w:tc>
          <w:tcPr/>
          <w:p>
            <w:pPr>
              <w:pStyle w:val="Compact"/>
              <w:jc w:val="left"/>
            </w:pPr>
            <w:r>
              <w:t xml:space="preserve">Comprimido peptídico</w:t>
            </w:r>
          </w:p>
        </w:tc>
        <w:tc>
          <w:tcPr/>
          <w:p>
            <w:pPr>
              <w:pStyle w:val="Compact"/>
              <w:jc w:val="left"/>
            </w:pPr>
            <w:r>
              <w:t xml:space="preserve">Pequena molécula</w:t>
            </w:r>
          </w:p>
        </w:tc>
      </w:tr>
      <w:tr>
        <w:tc>
          <w:tcPr/>
          <w:p>
            <w:pPr>
              <w:pStyle w:val="Compact"/>
              <w:jc w:val="left"/>
            </w:pPr>
            <w:r>
              <w:t xml:space="preserve">Exemplo</w:t>
            </w:r>
          </w:p>
        </w:tc>
        <w:tc>
          <w:tcPr/>
          <w:p>
            <w:pPr>
              <w:pStyle w:val="Compact"/>
              <w:jc w:val="left"/>
            </w:pPr>
            <w:r>
              <w:t xml:space="preserve">Semaglutida, tirzepatida</w:t>
            </w:r>
          </w:p>
        </w:tc>
        <w:tc>
          <w:tcPr/>
          <w:p>
            <w:pPr>
              <w:pStyle w:val="Compact"/>
              <w:jc w:val="left"/>
            </w:pPr>
            <w:r>
              <w:t xml:space="preserve">Comprimido de semaglutida, comprimido de zenagamtida</w:t>
            </w:r>
          </w:p>
        </w:tc>
        <w:tc>
          <w:tcPr/>
          <w:p>
            <w:pPr>
              <w:pStyle w:val="Compact"/>
              <w:jc w:val="left"/>
            </w:pPr>
            <w:r>
              <w:t xml:space="preserve">Orforglipron</w:t>
            </w:r>
          </w:p>
        </w:tc>
      </w:tr>
      <w:tr>
        <w:tc>
          <w:tcPr/>
          <w:p>
            <w:pPr>
              <w:pStyle w:val="Compact"/>
              <w:jc w:val="left"/>
            </w:pPr>
            <w:r>
              <w:t xml:space="preserve">Tomada</w:t>
            </w:r>
          </w:p>
        </w:tc>
        <w:tc>
          <w:tcPr/>
          <w:p>
            <w:pPr>
              <w:pStyle w:val="Compact"/>
              <w:jc w:val="left"/>
            </w:pPr>
            <w:r>
              <w:t xml:space="preserve">semanal a mensal</w:t>
            </w:r>
          </w:p>
        </w:tc>
        <w:tc>
          <w:tcPr/>
          <w:p>
            <w:pPr>
              <w:pStyle w:val="Compact"/>
              <w:jc w:val="left"/>
            </w:pPr>
            <w:r>
              <w:t xml:space="preserve">diária, em jejum, com regras de tomada</w:t>
            </w:r>
          </w:p>
        </w:tc>
        <w:tc>
          <w:tcPr/>
          <w:p>
            <w:pPr>
              <w:pStyle w:val="Compact"/>
              <w:jc w:val="left"/>
            </w:pPr>
            <w:r>
              <w:t xml:space="preserve">diária, sem regras alimentares</w:t>
            </w:r>
          </w:p>
        </w:tc>
      </w:tr>
      <w:tr>
        <w:tc>
          <w:tcPr/>
          <w:p>
            <w:pPr>
              <w:pStyle w:val="Compact"/>
              <w:jc w:val="left"/>
            </w:pPr>
            <w:r>
              <w:t xml:space="preserve">Necessidade de substância</w:t>
            </w:r>
          </w:p>
        </w:tc>
        <w:tc>
          <w:tcPr/>
          <w:p>
            <w:pPr>
              <w:pStyle w:val="Compact"/>
              <w:jc w:val="left"/>
            </w:pPr>
            <w:r>
              <w:t xml:space="preserve">baixa</w:t>
            </w:r>
          </w:p>
        </w:tc>
        <w:tc>
          <w:tcPr/>
          <w:p>
            <w:pPr>
              <w:pStyle w:val="Compact"/>
              <w:jc w:val="left"/>
            </w:pPr>
            <w:r>
              <w:t xml:space="preserve">muito alta (absorção de cerca de 1%)</w:t>
            </w:r>
          </w:p>
        </w:tc>
        <w:tc>
          <w:tcPr/>
          <w:p>
            <w:pPr>
              <w:pStyle w:val="Compact"/>
              <w:jc w:val="left"/>
            </w:pPr>
            <w:r>
              <w:t xml:space="preserve">normal para comprimidos</w:t>
            </w:r>
          </w:p>
        </w:tc>
      </w:tr>
      <w:tr>
        <w:tc>
          <w:tcPr/>
          <w:p>
            <w:pPr>
              <w:pStyle w:val="Compact"/>
              <w:jc w:val="left"/>
            </w:pPr>
            <w:r>
              <w:t xml:space="preserve">Perda de peso nos estudos</w:t>
            </w:r>
          </w:p>
        </w:tc>
        <w:tc>
          <w:tcPr/>
          <w:p>
            <w:pPr>
              <w:pStyle w:val="Compact"/>
              <w:jc w:val="left"/>
            </w:pPr>
            <w:r>
              <w:t xml:space="preserve">a mais alta</w:t>
            </w:r>
          </w:p>
        </w:tc>
        <w:tc>
          <w:tcPr/>
          <w:p>
            <w:pPr>
              <w:pStyle w:val="Compact"/>
              <w:jc w:val="left"/>
            </w:pPr>
            <w:r>
              <w:t xml:space="preserve">semelhante à da injeção de semaglutida</w:t>
            </w:r>
          </w:p>
        </w:tc>
        <w:tc>
          <w:tcPr/>
          <w:p>
            <w:pPr>
              <w:pStyle w:val="Compact"/>
              <w:jc w:val="left"/>
            </w:pPr>
            <w:r>
              <w:t xml:space="preserve">um pouco menor</w:t>
            </w:r>
          </w:p>
        </w:tc>
      </w:tr>
      <w:tr>
        <w:tc>
          <w:tcPr/>
          <w:p>
            <w:pPr>
              <w:pStyle w:val="Compact"/>
              <w:jc w:val="left"/>
            </w:pPr>
            <w:r>
              <w:t xml:space="preserve">Degradação, interações</w:t>
            </w:r>
          </w:p>
        </w:tc>
        <w:tc>
          <w:tcPr/>
          <w:p>
            <w:pPr>
              <w:pStyle w:val="Compact"/>
              <w:jc w:val="left"/>
            </w:pPr>
            <w:r>
              <w:t xml:space="preserve">como proteína, quase sem interações</w:t>
            </w:r>
          </w:p>
        </w:tc>
        <w:tc>
          <w:tcPr/>
          <w:p>
            <w:pPr>
              <w:pStyle w:val="Compact"/>
              <w:jc w:val="left"/>
            </w:pPr>
            <w:r>
              <w:t xml:space="preserve">como proteína</w:t>
            </w:r>
          </w:p>
        </w:tc>
        <w:tc>
          <w:tcPr/>
          <w:p>
            <w:pPr>
              <w:pStyle w:val="Compact"/>
              <w:jc w:val="left"/>
            </w:pPr>
            <w:r>
              <w:t xml:space="preserve">por enzimas hepáticas, interações possíveis</w:t>
            </w:r>
          </w:p>
        </w:tc>
      </w:tr>
      <w:tr>
        <w:tc>
          <w:tcPr/>
          <w:p>
            <w:pPr>
              <w:pStyle w:val="Compact"/>
              <w:jc w:val="left"/>
            </w:pPr>
            <w:r>
              <w:t xml:space="preserve">Desfechos duros</w:t>
            </w:r>
          </w:p>
        </w:tc>
        <w:tc>
          <w:tcPr/>
          <w:p>
            <w:pPr>
              <w:pStyle w:val="Compact"/>
              <w:jc w:val="left"/>
            </w:pPr>
            <w:r>
              <w:t xml:space="preserve">comprovados para várias substâncias</w:t>
            </w:r>
          </w:p>
        </w:tc>
        <w:tc>
          <w:tcPr/>
          <w:p>
            <w:pPr>
              <w:pStyle w:val="Compact"/>
              <w:jc w:val="left"/>
            </w:pPr>
            <w:r>
              <w:t xml:space="preserve">comprovados no diabetes tipo 2 (SOUL)</w:t>
            </w:r>
          </w:p>
        </w:tc>
        <w:tc>
          <w:tcPr/>
          <w:p>
            <w:pPr>
              <w:pStyle w:val="Compact"/>
              <w:jc w:val="left"/>
            </w:pPr>
            <w:r>
              <w:t xml:space="preserve">estudo de desfechos em andamento até 2031</w:t>
            </w:r>
          </w:p>
        </w:tc>
      </w:tr>
    </w:tbl>
    <w:p>
      <w:pPr>
        <w:pStyle w:val="BodyText"/>
      </w:pPr>
      <w:r>
        <w:t xml:space="preserve">O ponto</w:t>
      </w:r>
      <w:r>
        <w:t xml:space="preserve"> </w:t>
      </w:r>
      <w:r>
        <w:t xml:space="preserve">“</w:t>
      </w:r>
      <w:r>
        <w:t xml:space="preserve">interações</w:t>
      </w:r>
      <w:r>
        <w:t xml:space="preserve">”</w:t>
      </w:r>
      <w:r>
        <w:t xml:space="preserve"> </w:t>
      </w:r>
      <w:r>
        <w:t xml:space="preserve">merece uma explicação: peptídeos são degradados no corpo como outras proteínas. Pequenas moléculas como a orforglipron, por outro lado, são metabolizadas por enzimas hepáticas, pelas quais passam também muitos outros medicamentos. Por isso, foram realizados numerosos estudos de interação para a orforglipron (ver capítulo Orforglipron).</w:t>
      </w:r>
    </w:p>
    <w:bookmarkEnd w:id="2891"/>
    <w:bookmarkStart w:id="2897" w:name="questões-em-aberto"/>
    <w:p>
      <w:pPr>
        <w:pStyle w:val="Heading3"/>
      </w:pPr>
      <w:r>
        <w:t xml:space="preserve">Questões em aberto</w:t>
      </w:r>
    </w:p>
    <w:p>
      <w:pPr>
        <w:pStyle w:val="FirstParagraph"/>
      </w:pPr>
      <w:r>
        <w:rPr>
          <w:bCs/>
          <w:b/>
        </w:rPr>
        <w:t xml:space="preserve">Toma-se um comprimido diário com mais regularidade do que uma injeção semanal?</w:t>
      </w:r>
      <w:r>
        <w:t xml:space="preserve"> </w:t>
      </w:r>
      <w:r>
        <w:t xml:space="preserve">Isso não está de forma alguma decidido. Quem troca uma injeção por semana por sete comprimidos tem sete oportunidades por semana de esquecer uma dose. No comprimido de semaglutida, soma-se que uma refeição cedo demais pode praticamente impedir a absorção</w:t>
      </w:r>
      <w:r>
        <w:rPr>
          <w:rStyle w:val="FootnoteReference"/>
        </w:rPr>
        <w:footnoteReference w:id="2892"/>
      </w:r>
      <w:r>
        <w:t xml:space="preserve">. Como isso afeta o efeito no dia a dia, os estudos de aprovação, com seus participantes acompanhados de perto, não mostram.</w:t>
      </w:r>
    </w:p>
    <w:p>
      <w:pPr>
        <w:pStyle w:val="BodyText"/>
      </w:pPr>
      <w:r>
        <w:rPr>
          <w:bCs/>
          <w:b/>
        </w:rPr>
        <w:t xml:space="preserve">Há desfechos duros para comprimidos na obesidade?</w:t>
      </w:r>
      <w:r>
        <w:t xml:space="preserve"> </w:t>
      </w:r>
      <w:r>
        <w:t xml:space="preserve">Ainda não. O SOUL envolveu pessoas com diabetes tipo 2. O estudo cardiovascular com orforglipron vai até 2031</w:t>
      </w:r>
      <w:r>
        <w:rPr>
          <w:rStyle w:val="FootnoteReference"/>
        </w:rPr>
        <w:footnoteReference w:id="2893"/>
      </w:r>
      <w:r>
        <w:t xml:space="preserve">, e a orforglipron está sendo testada até em pessoas com sobrepeso, para impedir a progressão para obesidade ou para doenças decorrentes (ATTAIN-NOW, NCT07794579, 2.001 participantes, término em setembro de 2030).</w:t>
      </w:r>
    </w:p>
    <w:p>
      <w:pPr>
        <w:pStyle w:val="BodyText"/>
      </w:pPr>
      <w:r>
        <w:rPr>
          <w:bCs/>
          <w:b/>
        </w:rPr>
        <w:t xml:space="preserve">O comprimido é o recurso para a manutenção?</w:t>
      </w:r>
      <w:r>
        <w:t xml:space="preserve"> </w:t>
      </w:r>
      <w:r>
        <w:t xml:space="preserve">O ATTAIN-MAINTAIN sugere que a troca da injeção por um comprimido pode manter grande parte da perda de peso. Se isso é tão bom quanto continuar com a injeção não foi testado.</w:t>
      </w:r>
    </w:p>
    <w:p>
      <w:pPr>
        <w:pStyle w:val="BodyText"/>
      </w:pPr>
      <w:r>
        <w:rPr>
          <w:bCs/>
          <w:b/>
        </w:rPr>
        <w:t xml:space="preserve">Os comprimidos ficarão mais baratos?</w:t>
      </w:r>
      <w:r>
        <w:t xml:space="preserve"> </w:t>
      </w:r>
      <w:r>
        <w:t xml:space="preserve">Para pequenas moléculas, isso é plausível, porque são produzidas com procedimentos padrão da química. Para comprimidos peptídicos, a estimativa de custos aponta antes no sentido contrário, porque eles precisam de muito mais substância</w:t>
      </w:r>
      <w:r>
        <w:rPr>
          <w:rStyle w:val="FootnoteReference"/>
        </w:rPr>
        <w:footnoteReference w:id="2894"/>
      </w:r>
      <w:r>
        <w:t xml:space="preserve">. Preços concretos na Europa estão em aberto.</w:t>
      </w:r>
    </w:p>
    <w:p>
      <w:pPr>
        <w:pStyle w:val="BodyText"/>
      </w:pPr>
      <w:r>
        <w:rPr>
          <w:bCs/>
          <w:b/>
        </w:rPr>
        <w:t xml:space="preserve">E as gotas, comprimidos orodispersíveis e sprays nasais da internet?</w:t>
      </w:r>
      <w:r>
        <w:t xml:space="preserve"> </w:t>
      </w:r>
      <w:r>
        <w:t xml:space="preserve">Aqui, cautela é recomendável. Uma investigação de preparações magistrais produzidas nos EUA encontrou preparações de semaglutida ou tirzepatida para uso sublingual e como comprimidos orodispersíveis, para as quais não há evidências de eficácia e segurança</w:t>
      </w:r>
      <w:r>
        <w:rPr>
          <w:rStyle w:val="FootnoteReference"/>
        </w:rPr>
        <w:footnoteReference w:id="2895"/>
      </w:r>
      <w:r>
        <w:t xml:space="preserve">. Cópias de semaglutida oral continham, em uma análise laboratorial, em parte bem menos substância do que o declarado e liberavam a substância e o SNAC de forma diferente do original</w:t>
      </w:r>
      <w:r>
        <w:rPr>
          <w:rStyle w:val="FootnoteReference"/>
        </w:rPr>
        <w:footnoteReference w:id="2896"/>
      </w:r>
      <w:r>
        <w:t xml:space="preserve">. Um peptídeo vendido</w:t>
      </w:r>
      <w:r>
        <w:t xml:space="preserve"> </w:t>
      </w:r>
      <w:r>
        <w:t xml:space="preserve">“</w:t>
      </w:r>
      <w:r>
        <w:t xml:space="preserve">em comprimido</w:t>
      </w:r>
      <w:r>
        <w:t xml:space="preserve">”</w:t>
      </w:r>
      <w:r>
        <w:t xml:space="preserve"> </w:t>
      </w:r>
      <w:r>
        <w:t xml:space="preserve">dificilmente é absorvido sem uma formulação testada – isso vale para a semaglutida tanto quanto para o BPC-157 ou outros peptídeos do mercado cinza.</w:t>
      </w:r>
    </w:p>
    <w:bookmarkEnd w:id="2897"/>
    <w:bookmarkStart w:id="2898" w:name="avaliação-do-autor"/>
    <w:p>
      <w:pPr>
        <w:pStyle w:val="Heading3"/>
      </w:pPr>
      <w:r>
        <w:t xml:space="preserve">Avaliação do autor</w:t>
      </w:r>
    </w:p>
    <w:p>
      <w:pPr>
        <w:pStyle w:val="FirstParagraph"/>
      </w:pPr>
      <w:r>
        <w:t xml:space="preserve">A injeção não vai desaparecer, mas seu monopólio acabou. Para a fase de perda de peso intensa, as substâncias injetáveis devem continuar à frente nos próximos anos, porque são as que mais produzem efeito nos estudos e os dados cardiovasculares até agora existem quase exclusivamente para elas. Para a manutenção ao longo de anos, para pessoas com medo de agulhas e para países sem cadeia de frio confiável, os comprimidos, por outro lado, são um avanço real. Se vão se impor mais os comprimidos peptídicos ou as pequenas moléculas será decidido menos pelo efeito do que pelo preço, pela comodidade de uso e pela segurança a longo prazo. Isso é uma avaliação; assegurado é apenas que os dois caminhos estão sendo testados em grandes estudos de fase 3.</w:t>
      </w:r>
    </w:p>
    <w:bookmarkEnd w:id="2898"/>
    <w:bookmarkStart w:id="2899" w:name="o-essencial-em-resumo-9"/>
    <w:p>
      <w:pPr>
        <w:pStyle w:val="Heading3"/>
      </w:pPr>
      <w:r>
        <w:t xml:space="preserve">O essencial em resumo</w:t>
      </w:r>
    </w:p>
    <w:p>
      <w:pPr>
        <w:numPr>
          <w:ilvl w:val="0"/>
          <w:numId w:val="1360"/>
        </w:numPr>
        <w:pStyle w:val="Compact"/>
      </w:pPr>
      <w:r>
        <w:t xml:space="preserve">Peptídeos em comprimido só funcionam com grande esforço técnico. No comprimido de semaglutida, cerca de 1% da substância chega ao sangue; mesmo assim, ele alcança nos estudos perdas de peso semelhantes às da injeção.</w:t>
      </w:r>
    </w:p>
    <w:p>
      <w:pPr>
        <w:numPr>
          <w:ilvl w:val="0"/>
          <w:numId w:val="1360"/>
        </w:numPr>
        <w:pStyle w:val="Compact"/>
      </w:pPr>
      <w:r>
        <w:t xml:space="preserve">Pequenas moléculas como a orforglipron contornam o problema, mas produziram nos estudos um pouco menos de perda de peso e são degradadas por enzimas hepáticas.</w:t>
      </w:r>
    </w:p>
    <w:p>
      <w:pPr>
        <w:numPr>
          <w:ilvl w:val="0"/>
          <w:numId w:val="1360"/>
        </w:numPr>
        <w:pStyle w:val="Compact"/>
      </w:pPr>
      <w:r>
        <w:t xml:space="preserve">Peptídeos orais estão se tornando uma classe de medicamentos própria também fora do metabolismo, por exemplo contra o colesterol alto (enlicitida) e a psoríase (icotrokinra).</w:t>
      </w:r>
    </w:p>
    <w:p>
      <w:pPr>
        <w:numPr>
          <w:ilvl w:val="0"/>
          <w:numId w:val="1360"/>
        </w:numPr>
        <w:pStyle w:val="Compact"/>
      </w:pPr>
      <w:r>
        <w:t xml:space="preserve">Em aberto estão os dados de longo prazo, os desfechos duros na obesidade, a adesão ao tratamento no dia a dia e os preços.</w:t>
      </w:r>
    </w:p>
    <w:p>
      <w:pPr>
        <w:numPr>
          <w:ilvl w:val="0"/>
          <w:numId w:val="1360"/>
        </w:numPr>
        <w:pStyle w:val="Compact"/>
      </w:pPr>
      <w:r>
        <w:t xml:space="preserve">Medicamentos devem ser usados apenas com acompanhamento médico e conforme a bula profissional; peptídeos</w:t>
      </w:r>
      <w:r>
        <w:t xml:space="preserve"> </w:t>
      </w:r>
      <w:r>
        <w:t xml:space="preserve">“</w:t>
      </w:r>
      <w:r>
        <w:t xml:space="preserve">orais</w:t>
      </w:r>
      <w:r>
        <w:t xml:space="preserve">”</w:t>
      </w:r>
      <w:r>
        <w:t xml:space="preserve"> </w:t>
      </w:r>
      <w:r>
        <w:t xml:space="preserve">do mercado cinza não têm nada a ver com esses desenvolvimentos.</w:t>
      </w:r>
    </w:p>
    <w:bookmarkEnd w:id="2899"/>
    <w:bookmarkEnd w:id="2900"/>
    <w:bookmarkStart w:id="2927" w:name="patentes-genéricos-e-preços"/>
    <w:p>
      <w:pPr>
        <w:pStyle w:val="Heading2"/>
      </w:pPr>
      <w:r>
        <w:t xml:space="preserve">Patentes, genéricos e preços</w:t>
      </w:r>
    </w:p>
    <w:p>
      <w:pPr>
        <w:pStyle w:val="FirstParagraph"/>
      </w:pPr>
      <w:r>
        <w:t xml:space="preserve">Se um medicamento funciona é decidido pelos estudos. Se ele chega às pessoas é decidido por patentes, preços, cadeias de suprimento e planos de saúde. Nos medicamentos de GLP-1, essa segunda parte da história é quase tão dramática quanto a primeira: falta de abastecimento, um mercado de cópias de farmácias nos EUA, falsificações no mundo todo – e, em 2026, a expiração das primeiras patentes de semaglutida em grandes países.</w:t>
      </w:r>
    </w:p>
    <w:p>
      <w:pPr>
        <w:pStyle w:val="BodyText"/>
      </w:pPr>
      <w:r>
        <w:rPr>
          <w:bCs/>
          <w:b/>
        </w:rPr>
        <w:t xml:space="preserve">Uma observação importante antes de tudo:</w:t>
      </w:r>
      <w:r>
        <w:t xml:space="preserve"> </w:t>
      </w:r>
      <w:r>
        <w:t xml:space="preserve">preços, prazos de patentes e regras de reembolso mudam rapidamente e só estão parcialmente documentados em trabalhos científicos. Onde este capítulo faz afirmações sem comprovação em estudos, elas estão identificadas com</w:t>
      </w:r>
      <w:r>
        <w:t xml:space="preserve"> </w:t>
      </w:r>
      <w:r>
        <w:t xml:space="preserve">“</w:t>
      </w:r>
      <w:r>
        <w:t xml:space="preserve">situação em 2026, verificar</w:t>
      </w:r>
      <w:r>
        <w:t xml:space="preserve">”</w:t>
      </w:r>
      <w:r>
        <w:t xml:space="preserve">. Preços concretos em euros deliberadamente não são citados, porque variam conforme o país, a embalagem e o momento.</w:t>
      </w:r>
    </w:p>
    <w:bookmarkStart w:id="2902" w:name="Xd6cf4ff6e7c5ffbdcdd9d6afed4f7753b80bbc3"/>
    <w:p>
      <w:pPr>
        <w:pStyle w:val="Heading3"/>
      </w:pPr>
      <w:r>
        <w:t xml:space="preserve">Patentes, genéricos e biossimilares: os conceitos</w:t>
      </w:r>
    </w:p>
    <w:p>
      <w:pPr>
        <w:pStyle w:val="FirstParagraph"/>
      </w:pPr>
      <w:r>
        <w:t xml:space="preserve">Uma</w:t>
      </w:r>
      <w:r>
        <w:t xml:space="preserve"> </w:t>
      </w:r>
      <w:r>
        <w:rPr>
          <w:bCs/>
          <w:b/>
        </w:rPr>
        <w:t xml:space="preserve">patente</w:t>
      </w:r>
      <w:r>
        <w:t xml:space="preserve"> </w:t>
      </w:r>
      <w:r>
        <w:t xml:space="preserve">dá ao fabricante, por um tempo limitado, o direito exclusivo de vender uma substância. Na UE e nos EUA, o prazo básico é de 20 anos a partir do depósito; como o desenvolvimento leva muitos anos, ele pode ser prorrogado em até cinco anos para medicamentos por meio de um certificado complementar de proteção. Além da patente da própria substância, há frequentemente outras patentes sobre processos de fabricação, formas farmacêuticas ou canetas.</w:t>
      </w:r>
    </w:p>
    <w:p>
      <w:pPr>
        <w:pStyle w:val="BodyText"/>
      </w:pPr>
      <w:r>
        <w:t xml:space="preserve">Após o fim da proteção, outros fabricantes podem oferecer cópias:</w:t>
      </w:r>
    </w:p>
    <w:p>
      <w:pPr>
        <w:numPr>
          <w:ilvl w:val="0"/>
          <w:numId w:val="1361"/>
        </w:numPr>
        <w:pStyle w:val="Compact"/>
      </w:pPr>
      <w:r>
        <w:rPr>
          <w:bCs/>
          <w:b/>
        </w:rPr>
        <w:t xml:space="preserve">Genéricos</w:t>
      </w:r>
      <w:r>
        <w:t xml:space="preserve"> </w:t>
      </w:r>
      <w:r>
        <w:t xml:space="preserve">são cópias de substâncias produzidas quimicamente. Precisam demonstrar que contêm a mesma substância e que ela tem a mesma disponibilidade no corpo; novos grandes estudos de eficácia não são necessários.</w:t>
      </w:r>
    </w:p>
    <w:p>
      <w:pPr>
        <w:numPr>
          <w:ilvl w:val="0"/>
          <w:numId w:val="1361"/>
        </w:numPr>
        <w:pStyle w:val="Compact"/>
      </w:pPr>
      <w:r>
        <w:rPr>
          <w:bCs/>
          <w:b/>
        </w:rPr>
        <w:t xml:space="preserve">Biossimilares</w:t>
      </w:r>
      <w:r>
        <w:t xml:space="preserve"> </w:t>
      </w:r>
      <w:r>
        <w:t xml:space="preserve">são sucessores de substâncias produzidas biologicamente, como anticorpos ou proteínas de fusão. Como a produção biológica nunca fornece moléculas totalmente idênticas, sua aprovação é mais trabalhosa.</w:t>
      </w:r>
    </w:p>
    <w:p>
      <w:pPr>
        <w:pStyle w:val="FirstParagraph"/>
      </w:pPr>
      <w:r>
        <w:t xml:space="preserve">Peptídeos curtos como a liraglutida ou a semaglutida ficam no meio: podem ser produzidos por engenharia genética ou quimicamente. Isso tem consequências práticas. Uma análise laboratorial comparou 16 cópias injetáveis e 8 orais de semaglutida, bem como 2 cópias de liraglutida, com os originais. Encontrou novas impurezas, em vários comprimidos de semaglutida bem menos substância do que o declarado e, na liraglutida, uma tendência maior à agregação</w:t>
      </w:r>
      <w:r>
        <w:rPr>
          <w:rStyle w:val="FootnoteReference"/>
        </w:rPr>
        <w:footnoteReference w:id="2901"/>
      </w:r>
      <w:r>
        <w:t xml:space="preserve">. Se as diferenças têm significado clínico é, segundo os autores, desconhecido. Mas a análise mostra por que as autoridades examinam com atenção as cópias de peptídeos.</w:t>
      </w:r>
    </w:p>
    <w:bookmarkEnd w:id="2902"/>
    <w:bookmarkStart w:id="2904" w:name="liraglutida-o-primeiro-genérico-de-glp-1"/>
    <w:p>
      <w:pPr>
        <w:pStyle w:val="Heading3"/>
      </w:pPr>
      <w:r>
        <w:t xml:space="preserve">Liraglutida: o primeiro genérico de GLP-1</w:t>
      </w:r>
    </w:p>
    <w:p>
      <w:pPr>
        <w:pStyle w:val="FirstParagraph"/>
      </w:pPr>
      <w:r>
        <w:t xml:space="preserve">A liraglutida é a primeira substância de GLP-1 cuja proteção expirou em grandes mercados. Nos EUA, há desde 2024 genéricos da forma para diabetes (Victoza) e desde 2025 também da forma para obesidade (Saxenda) no mercado. Na Europa, cópias vêm sendo acrescentadas aos poucos; a situação difere conforme o país (ver capítulo Liraglutida).</w:t>
      </w:r>
    </w:p>
    <w:p>
      <w:pPr>
        <w:pStyle w:val="BodyText"/>
      </w:pPr>
      <w:r>
        <w:t xml:space="preserve">Para o abastecimento, isso tem dois lados. Por um lado, uma substância com benefício cardiovascular comprovado no diabetes tipo 2 fica mais barata. Por outro, a liraglutida precisa ser injetada diariamente e age bem menos sobre o peso do que a semaglutida: no STEP 8, o peso caiu em média 15,8% com semaglutida semanal e 6,4% com liraglutida diária; pelo menos um quinto do peso foi perdido por 38,5% contra 6,0%</w:t>
      </w:r>
      <w:r>
        <w:rPr>
          <w:rStyle w:val="FootnoteReference"/>
        </w:rPr>
        <w:footnoteReference w:id="2903"/>
      </w:r>
      <w:r>
        <w:t xml:space="preserve">. Para pessoas que não podem pagar o medicamento mais novo, um medicamento mais antigo e barato pode ainda assim ser a melhor escolha do que nenhum.</w:t>
      </w:r>
    </w:p>
    <w:bookmarkEnd w:id="2904"/>
    <w:bookmarkStart w:id="2909" w:name="semaglutida-2026-como-ano-de-virada"/>
    <w:p>
      <w:pPr>
        <w:pStyle w:val="Heading3"/>
      </w:pPr>
      <w:r>
        <w:t xml:space="preserve">Semaglutida: 2026 como ano de virada</w:t>
      </w:r>
    </w:p>
    <w:p>
      <w:pPr>
        <w:pStyle w:val="FirstParagraph"/>
      </w:pPr>
      <w:r>
        <w:t xml:space="preserve">Para a semaglutida, as patentes expiram em 2026 em vários grandes países fora da UE e dos EUA, entre eles, segundo o capítulo Semaglutida, Canadá, China, Índia e Brasil. Uma análise de bancos de dados de patentes chegou ao seguinte quadro</w:t>
      </w:r>
      <w:r>
        <w:rPr>
          <w:rStyle w:val="FootnoteReference"/>
        </w:rPr>
        <w:footnoteReference w:id="2905"/>
      </w:r>
      <w:r>
        <w:t xml:space="preserve">:</w:t>
      </w:r>
    </w:p>
    <w:p>
      <w:pPr>
        <w:numPr>
          <w:ilvl w:val="0"/>
          <w:numId w:val="1362"/>
        </w:numPr>
        <w:pStyle w:val="Compact"/>
      </w:pPr>
      <w:r>
        <w:t xml:space="preserve">Em doze países, a proteção patentária termina em 2026. Neles vivem 47% das pessoas com obesidade e 49% das pessoas com diabetes tipo 2 no mundo.</w:t>
      </w:r>
    </w:p>
    <w:p>
      <w:pPr>
        <w:numPr>
          <w:ilvl w:val="0"/>
          <w:numId w:val="1362"/>
        </w:numPr>
        <w:pStyle w:val="Compact"/>
      </w:pPr>
      <w:r>
        <w:t xml:space="preserve">Em 150 outros países, os autores não encontraram nenhum depósito de patente.</w:t>
      </w:r>
    </w:p>
    <w:p>
      <w:pPr>
        <w:numPr>
          <w:ilvl w:val="0"/>
          <w:numId w:val="1362"/>
        </w:numPr>
        <w:pStyle w:val="Compact"/>
      </w:pPr>
      <w:r>
        <w:t xml:space="preserve">Até o final de 2026, cópias injetáveis de semaglutida poderiam, assim, estar disponíveis em 162 países, nos quais vivem 69% das pessoas com diabetes tipo 2 e 84% das pessoas com obesidade clínica.</w:t>
      </w:r>
    </w:p>
    <w:p>
      <w:pPr>
        <w:numPr>
          <w:ilvl w:val="0"/>
          <w:numId w:val="1362"/>
        </w:numPr>
        <w:pStyle w:val="Compact"/>
      </w:pPr>
      <w:r>
        <w:t xml:space="preserve">A partir de dados sobre remessas de substância ativa da Índia, estimaram os custos de produção: um ano de semaglutida injetável poderia ser oferecido como genérico por 28 a 140 dólares americanos por pessoa, o comprimido por 186 a 380 dólares americanos. A caneta representava uma parte desproporcionalmente grande dos custos.</w:t>
      </w:r>
    </w:p>
    <w:p>
      <w:pPr>
        <w:pStyle w:val="FirstParagraph"/>
      </w:pPr>
      <w:r>
        <w:t xml:space="preserve">Os próprios autores ressaltam que os custos da caneta, outras patentes e sistemas de saúde frágeis podem, mesmo assim, limitar o acesso. Quanto os genéricos podem baixar os preços mostra uma análise da Índia: ali, os preços de inibidores do SGLT2 e de agonistas do receptor de GLP-1 caíram cerca de 60 a 90% após a expiração da patente. Entre preços de genéricos indianos e preços de tabela norte-americanos, os autores encontraram diferenças de 15 a 65 vezes. Mas apontam também que genéricos de diferentes fabricantes podem diferir em qualidade e em absorção no corpo</w:t>
      </w:r>
      <w:r>
        <w:rPr>
          <w:rStyle w:val="FootnoteReference"/>
        </w:rPr>
        <w:footnoteReference w:id="2906"/>
      </w:r>
      <w:r>
        <w:t xml:space="preserve">.</w:t>
      </w:r>
    </w:p>
    <w:p>
      <w:pPr>
        <w:pStyle w:val="BodyText"/>
      </w:pPr>
      <w:r>
        <w:rPr>
          <w:bCs/>
          <w:b/>
        </w:rPr>
        <w:t xml:space="preserve">Na UE e nos EUA,</w:t>
      </w:r>
      <w:r>
        <w:t xml:space="preserve"> </w:t>
      </w:r>
      <w:r>
        <w:t xml:space="preserve">genéricos de semaglutida só são esperados por volta de 2031/2032. Para leitores na Áustria e na Alemanha, isso significa: um genérico de semaglutida vendido legalmente no Canadá ou na Índia não é ali um medicamento aprovado. As regras de importação para uso pessoal são estritas (ver capítulo</w:t>
      </w:r>
      <w:r>
        <w:t xml:space="preserve"> </w:t>
      </w:r>
      <w:r>
        <w:t xml:space="preserve">“</w:t>
      </w:r>
      <w:r>
        <w:t xml:space="preserve">Marco legal</w:t>
      </w:r>
      <w:r>
        <w:t xml:space="preserve">”</w:t>
      </w:r>
      <w:r>
        <w:t xml:space="preserve"> </w:t>
      </w:r>
      <w:r>
        <w:t xml:space="preserve">na Parte I), e ofertas online que invocam esses genéricos são uma porta de entrada típica para falsificações (ver capítulo</w:t>
      </w:r>
      <w:r>
        <w:t xml:space="preserve"> </w:t>
      </w:r>
      <w:r>
        <w:t xml:space="preserve">“</w:t>
      </w:r>
      <w:r>
        <w:t xml:space="preserve">O mercado cinza</w:t>
      </w:r>
      <w:r>
        <w:t xml:space="preserve">”</w:t>
      </w:r>
      <w:r>
        <w:t xml:space="preserve">).</w:t>
      </w:r>
    </w:p>
    <w:p>
      <w:pPr>
        <w:pStyle w:val="BodyText"/>
      </w:pPr>
      <w:r>
        <w:rPr>
          <w:bCs/>
          <w:b/>
        </w:rPr>
        <w:t xml:space="preserve">Um sinal político:</w:t>
      </w:r>
      <w:r>
        <w:t xml:space="preserve"> </w:t>
      </w:r>
      <w:r>
        <w:t xml:space="preserve">a Organização Mundial da Saúde incluiu semaglutida, liraglutida, dulaglutida e tirzepatida em setembro de 2025 em sua lista de medicamentos essenciais. Uma análise vê nisso um passo que deve facilitar negociações de preço e o desenvolvimento de genéricos em países de baixa e média renda; ao mesmo tempo, cita a falta de recursos, a infraestrutura frágil e o risco de uso acrítico como obstáculos</w:t>
      </w:r>
      <w:r>
        <w:rPr>
          <w:rStyle w:val="FootnoteReference"/>
        </w:rPr>
        <w:footnoteReference w:id="2907"/>
      </w:r>
      <w:r>
        <w:t xml:space="preserve">. Em sua primeira diretriz sobre terapias com GLP-1 na obesidade, a OMS faz uma recomendação condicional para o tratamento de longo prazo junto com terapia comportamental intensiva. Como razões para a restrição, cita, entre outras, dados de longo prazo limitados, custos e a questão do acesso equitativo</w:t>
      </w:r>
      <w:r>
        <w:rPr>
          <w:rStyle w:val="FootnoteReference"/>
        </w:rPr>
        <w:footnoteReference w:id="2908"/>
      </w:r>
      <w:r>
        <w:t xml:space="preserve">.</w:t>
      </w:r>
    </w:p>
    <w:bookmarkEnd w:id="2909"/>
    <w:bookmarkStart w:id="2910" w:name="tirzepatida-e-os-sucessores"/>
    <w:p>
      <w:pPr>
        <w:pStyle w:val="Heading3"/>
      </w:pPr>
      <w:r>
        <w:t xml:space="preserve">Tirzepatida e os sucessores</w:t>
      </w:r>
    </w:p>
    <w:p>
      <w:pPr>
        <w:pStyle w:val="FirstParagraph"/>
      </w:pPr>
      <w:r>
        <w:t xml:space="preserve">Para a tirzepatida e todas as substâncias mais novas – retatrutida, CagriSema, amicretina, maridebarte cafraglutida, orforglipron – não se espera uma expiração de patente nesta década. Para a tirzepatida, segundo informações do setor, genéricos são esperados no mínimo na segunda metade da década de 2030. Disso resulta um padrão previsível: as substâncias mais antigas ficam mais baratas, as mais potentes continuam caras.</w:t>
      </w:r>
    </w:p>
    <w:bookmarkEnd w:id="2910"/>
    <w:bookmarkStart w:id="2914" w:name="o-fim-do-compounding-nos-eua"/>
    <w:p>
      <w:pPr>
        <w:pStyle w:val="Heading3"/>
      </w:pPr>
      <w:r>
        <w:t xml:space="preserve">O fim do compounding nos EUA</w:t>
      </w:r>
    </w:p>
    <w:p>
      <w:pPr>
        <w:pStyle w:val="FirstParagraph"/>
      </w:pPr>
      <w:r>
        <w:t xml:space="preserve">Durante as faltas oficiais de abastecimento, farmácias norte-americanas puderam preparar elas próprias semaglutida e tirzepatida (</w:t>
      </w:r>
      <w:r>
        <w:t xml:space="preserve">“</w:t>
      </w:r>
      <w:r>
        <w:t xml:space="preserve">compounding</w:t>
      </w:r>
      <w:r>
        <w:t xml:space="preserve">”</w:t>
      </w:r>
      <w:r>
        <w:t xml:space="preserve">, ver Parte I). Disso surgiu um grande mercado. Uma investigação no estado norte-americano do Colorado encontrou, na primavera de 2024, 93 empresas com 188 unidades que promoviam esses preparados – em geral como spas médicos ou serviços de emagrecimento. 41 desses sites faziam referência, nas descrições dos produtos, à aprovação da FDA, embora os preparados não a tivessem. Um fornecedor promovia uma mistura com BPC-157, substância que a FDA classificou como inadequada para compounding</w:t>
      </w:r>
      <w:r>
        <w:rPr>
          <w:rStyle w:val="FootnoteReference"/>
        </w:rPr>
        <w:footnoteReference w:id="2911"/>
      </w:r>
      <w:r>
        <w:t xml:space="preserve">.</w:t>
      </w:r>
    </w:p>
    <w:p>
      <w:pPr>
        <w:pStyle w:val="BodyText"/>
      </w:pPr>
      <w:r>
        <w:t xml:space="preserve">Depois que a FDA declarou encerradas as faltas de abastecimento – para a tirzepatida no final de 2024, para a semaglutida no início de 2025 –, os prazos de transição para cópias dos preparados aprovados expiraram ao longo de 2025. Desde então, só são permitidas preparações que diferem dos preparados aprovados. Uma análise encontrou 33 desses produtos, entre eles misturas com vitamina B12, glicina ou um laxante, além de gotas e comprimidos orodispersíveis, cujo benefício e segurança são em grande parte desconhecidos</w:t>
      </w:r>
      <w:r>
        <w:rPr>
          <w:rStyle w:val="FootnoteReference"/>
        </w:rPr>
        <w:footnoteReference w:id="2912"/>
      </w:r>
      <w:r>
        <w:t xml:space="preserve">. Um laboratório encontrou em misturas de tirzepatida com B12 de diferentes fornecedores uma impureza até então desconhecida, que surge de uma reação química entre a tirzepatida e determinadas formas de B12; que consequências ela tem para a saúde é desconhecido</w:t>
      </w:r>
      <w:r>
        <w:rPr>
          <w:rStyle w:val="FootnoteReference"/>
        </w:rPr>
        <w:footnoteReference w:id="2913"/>
      </w:r>
      <w:r>
        <w:t xml:space="preserve">.</w:t>
      </w:r>
    </w:p>
    <w:p>
      <w:pPr>
        <w:pStyle w:val="BodyText"/>
      </w:pPr>
      <w:r>
        <w:t xml:space="preserve">O compounding, portanto, não desapareceu, mas se deslocou para um nicho em que aditivos</w:t>
      </w:r>
      <w:r>
        <w:t xml:space="preserve"> </w:t>
      </w:r>
      <w:r>
        <w:t xml:space="preserve">“</w:t>
      </w:r>
      <w:r>
        <w:t xml:space="preserve">personalizados</w:t>
      </w:r>
      <w:r>
        <w:t xml:space="preserve">”</w:t>
      </w:r>
      <w:r>
        <w:t xml:space="preserve"> </w:t>
      </w:r>
      <w:r>
        <w:t xml:space="preserve">fornecem a base legal. Na Europa, não existe um sistema comparável.</w:t>
      </w:r>
    </w:p>
    <w:bookmarkEnd w:id="2914"/>
    <w:bookmarkStart w:id="2917" w:name="falta-de-abastecimento"/>
    <w:p>
      <w:pPr>
        <w:pStyle w:val="Heading3"/>
      </w:pPr>
      <w:r>
        <w:t xml:space="preserve">Falta de abastecimento</w:t>
      </w:r>
    </w:p>
    <w:p>
      <w:pPr>
        <w:pStyle w:val="FirstParagraph"/>
      </w:pPr>
      <w:r>
        <w:t xml:space="preserve">A partir de 2022, a demanda por semaglutida e, mais tarde, por tirzepatida superou a produção. Pessoas com diabetes tipo 2 temporariamente não conseguiam obter seus medicamentos. Na Alemanha e na Áustria, autoridades e sociedades médicas pediram que o Ozempic fosse reservado a pessoas com diabetes tipo 2 e não prescrito para mera perda de peso.</w:t>
      </w:r>
    </w:p>
    <w:p>
      <w:pPr>
        <w:pStyle w:val="BodyText"/>
      </w:pPr>
      <w:r>
        <w:t xml:space="preserve">Qual era a proporção de prescrições fora da aprovação? Um estudo de registros nacional da Dinamarca dá uma resposta. O número de novos usuários de Ozempic aumentou fortemente a partir de 2022, até um pico de 10 por 1.000 adultos por ano no início de 2023. Em 2022, um terço dos novos usuários não tinha diabetes tipo 2 documentado; em 2023, essa proporção voltou a cair. Os autores concluem que as prescrições para perda de peso explicam apenas uma parte menor da falta</w:t>
      </w:r>
      <w:r>
        <w:rPr>
          <w:rStyle w:val="FootnoteReference"/>
        </w:rPr>
        <w:footnoteReference w:id="2915"/>
      </w:r>
      <w:r>
        <w:t xml:space="preserve">.</w:t>
      </w:r>
    </w:p>
    <w:p>
      <w:pPr>
        <w:pStyle w:val="BodyText"/>
      </w:pPr>
      <w:r>
        <w:t xml:space="preserve">Faltas de abastecimento têm consequências diretas para o tratamento. Em uma investigação norte-americana com 288 pessoas que suspenderam semaglutida ou tirzepatida para perda de peso no primeiro ano, 11,8% citaram a falta de abastecimento como motivo principal. Os motivos mais frequentes, porém, foram problemas de custo ou de seguro (47,6%), seguidos de efeitos colaterais (14,6%); 2,4% mudaram para um preparado de farmácia de manipulação</w:t>
      </w:r>
      <w:r>
        <w:rPr>
          <w:rStyle w:val="FootnoteReference"/>
        </w:rPr>
        <w:footnoteReference w:id="2916"/>
      </w:r>
      <w:r>
        <w:t xml:space="preserve">.</w:t>
      </w:r>
    </w:p>
    <w:p>
      <w:pPr>
        <w:pStyle w:val="BodyText"/>
      </w:pPr>
      <w:r>
        <w:t xml:space="preserve">Os fabricantes ampliaram fortemente desde então sua capacidade de produção, e as faltas oficiais são consideradas encerradas nos EUA. Na Europa, a situação varia conforme o preparado e o país.</w:t>
      </w:r>
    </w:p>
    <w:bookmarkEnd w:id="2917"/>
    <w:bookmarkStart w:id="2922" w:name="X706bb7a21014179179a43f1f266e9af8d859026"/>
    <w:p>
      <w:pPr>
        <w:pStyle w:val="Heading3"/>
      </w:pPr>
      <w:r>
        <w:t xml:space="preserve">Preços: quanto vale um medicamento para emagrecer?</w:t>
      </w:r>
    </w:p>
    <w:p>
      <w:pPr>
        <w:pStyle w:val="FirstParagraph"/>
      </w:pPr>
      <w:r>
        <w:t xml:space="preserve">Nos EUA, os preços de tabela dos medicamentos de GLP-1 são bem mais altos do que na Europa. Trabalhos de economia da saúde dos EUA perguntam, por isso, se o benefício justifica o preço:</w:t>
      </w:r>
    </w:p>
    <w:p>
      <w:pPr>
        <w:numPr>
          <w:ilvl w:val="0"/>
          <w:numId w:val="1363"/>
        </w:numPr>
        <w:pStyle w:val="Compact"/>
      </w:pPr>
      <w:r>
        <w:t xml:space="preserve">Um modelo para adultos norte-americanos concluiu que tirzepatida e semaglutida evitariam, ao longo da vida, muitos casos de diabetes e doenças cardiovasculares, mas não eram custo-efetivas aos preços líquidos da época. Para atingir um limiar usual, os preços teriam de cair mais 30,5% (tirzepatida) e 81,9% (semaglutida), respectivamente</w:t>
      </w:r>
      <w:r>
        <w:rPr>
          <w:rStyle w:val="FootnoteReference"/>
        </w:rPr>
        <w:footnoteReference w:id="2918"/>
      </w:r>
      <w:r>
        <w:t xml:space="preserve">.</w:t>
      </w:r>
    </w:p>
    <w:p>
      <w:pPr>
        <w:numPr>
          <w:ilvl w:val="0"/>
          <w:numId w:val="1363"/>
        </w:numPr>
        <w:pStyle w:val="Compact"/>
      </w:pPr>
      <w:r>
        <w:t xml:space="preserve">Uma metanálise de nove estudos de economia da saúde de países de alta renda concluiu que os agonistas do receptor de GLP-1 para o tratamento da obesidade sem diabetes em geral não são custo-efetivos do ponto de vista dos pagadores; em subgrupos e em períodos mais longos, isso poderia ser diferente</w:t>
      </w:r>
      <w:r>
        <w:rPr>
          <w:rStyle w:val="FootnoteReference"/>
        </w:rPr>
        <w:footnoteReference w:id="2919"/>
      </w:r>
      <w:r>
        <w:t xml:space="preserve">.</w:t>
      </w:r>
    </w:p>
    <w:p>
      <w:pPr>
        <w:numPr>
          <w:ilvl w:val="0"/>
          <w:numId w:val="1363"/>
        </w:numPr>
        <w:pStyle w:val="Compact"/>
      </w:pPr>
      <w:r>
        <w:t xml:space="preserve">Para pessoas sem diabetes que já tiveram um infarto ou AVC, um modelo foi mais favorável: ao preço pago por quem pagava do próprio bolso nos EUA no momento da análise, a semaglutida seria custo-efetiva nesse grupo</w:t>
      </w:r>
      <w:r>
        <w:rPr>
          <w:rStyle w:val="FootnoteReference"/>
        </w:rPr>
        <w:footnoteReference w:id="2920"/>
      </w:r>
      <w:r>
        <w:t xml:space="preserve">.</w:t>
      </w:r>
    </w:p>
    <w:p>
      <w:pPr>
        <w:pStyle w:val="FirstParagraph"/>
      </w:pPr>
      <w:r>
        <w:t xml:space="preserve">Esses cálculos dependem muito das premissas de preço, e os preços estão mudando. Nos EUA, os fabricantes introduziram desde 2025 ofertas diretas bem mais baratas para quem paga do próprio bolso e firmaram acordos de preço com o governo; a semaglutida é, além disso, objeto das negociações estatais de preço do programa para aposentados Medicare. O quanto a cobertura dos custos influencia o uso mostra uma análise norte-americana: depois que o Wegovy foi aprovado em março de 2024 para a redução do risco cardiovascular e coberto pelo Medicare para essa aplicação, o número de embalagens de Wegovy dispensadas pelo Medicare aumentou, em termos relativos, 598,1%</w:t>
      </w:r>
      <w:r>
        <w:rPr>
          <w:rStyle w:val="FootnoteReference"/>
        </w:rPr>
        <w:footnoteReference w:id="2921"/>
      </w:r>
      <w:r>
        <w:t xml:space="preserve">.</w:t>
      </w:r>
    </w:p>
    <w:p>
      <w:pPr>
        <w:pStyle w:val="BodyText"/>
      </w:pPr>
      <w:r>
        <w:rPr>
          <w:bCs/>
          <w:b/>
        </w:rPr>
        <w:t xml:space="preserve">Avaliação do autor:</w:t>
      </w:r>
      <w:r>
        <w:t xml:space="preserve"> </w:t>
      </w:r>
      <w:r>
        <w:t xml:space="preserve">os preços dos medicamentos baseados em GLP-1 vão cair nos próximos anos – por meio de genéricos de substâncias mais antigas, da concorrência entre fabricantes, de comprimidos de pequenas moléculas e de pressão política. Isso será mais perceptível em países com expiração precoce de patentes. Na UE, a grande queda de preços deverá vir apenas com os genéricos de semaglutida no início da década de 2030.</w:t>
      </w:r>
    </w:p>
    <w:bookmarkEnd w:id="2922"/>
    <w:bookmarkStart w:id="2923" w:name="reembolso-na-alemanha-e-na-áustria"/>
    <w:p>
      <w:pPr>
        <w:pStyle w:val="Heading3"/>
      </w:pPr>
      <w:r>
        <w:t xml:space="preserve">Reembolso na Alemanha e na Áustria</w:t>
      </w:r>
    </w:p>
    <w:p>
      <w:pPr>
        <w:pStyle w:val="FirstParagraph"/>
      </w:pPr>
      <w:r>
        <w:rPr>
          <w:bCs/>
          <w:b/>
        </w:rPr>
        <w:t xml:space="preserve">Alemanha:</w:t>
      </w:r>
      <w:r>
        <w:t xml:space="preserve"> </w:t>
      </w:r>
      <w:r>
        <w:t xml:space="preserve">no diabetes tipo 2, o seguro de saúde obrigatório cobre os custos de medicamentos de GLP-1 aprovados, como Ozempic, Rybelsus, Trulicity ou Mounjaro, dentro dos limites da aprovação. Medicamentos que servem predominantemente à redução de peso, por outro lado, estão excluídos do reembolso pelo § 34 SGB V; Wegovy, Saxenda e Mounjaro para controle do peso precisam, por isso, em regra ser pagos pelos próprios segurados do sistema obrigatório. Se essa regra será alterada para pessoas com alto risco cardiovascular é discutido no âmbito político e da autogestão. Seguros de saúde privados decidem segundo suas próprias condições contratuais.</w:t>
      </w:r>
    </w:p>
    <w:p>
      <w:pPr>
        <w:pStyle w:val="BodyText"/>
      </w:pPr>
      <w:r>
        <w:rPr>
          <w:bCs/>
          <w:b/>
        </w:rPr>
        <w:t xml:space="preserve">Áustria:</w:t>
      </w:r>
      <w:r>
        <w:t xml:space="preserve"> </w:t>
      </w:r>
      <w:r>
        <w:t xml:space="preserve">para o diabetes tipo 2, os medicamentos de GLP-1 são reembolsáveis, mas a cobertura está em parte vinculada a condições ou a uma autorização do plano de saúde. Para o mero controle do peso, os custos em regra não são cobertos, ou apenas em casos excepcionais.</w:t>
      </w:r>
    </w:p>
    <w:p>
      <w:pPr>
        <w:pStyle w:val="BodyText"/>
      </w:pPr>
      <w:r>
        <w:t xml:space="preserve">Nos dois países vale: se um tratamento é reembolsado depende da indicação, dos achados clínicos e da situação legal atual. O médico responsável e o plano de saúde são os interlocutores certos. Uma prescrição para perda de peso com um preparado aprovado apenas para diabetes é um uso fora da aprovação e não é reembolsada.</w:t>
      </w:r>
    </w:p>
    <w:bookmarkEnd w:id="2923"/>
    <w:bookmarkStart w:id="2925" w:name="o-que-isso-significa-para-os-pacientes"/>
    <w:p>
      <w:pPr>
        <w:pStyle w:val="Heading3"/>
      </w:pPr>
      <w:r>
        <w:t xml:space="preserve">O que isso significa para os pacientes</w:t>
      </w:r>
    </w:p>
    <w:p>
      <w:pPr>
        <w:numPr>
          <w:ilvl w:val="0"/>
          <w:numId w:val="1364"/>
        </w:numPr>
        <w:pStyle w:val="Compact"/>
      </w:pPr>
      <w:r>
        <w:rPr>
          <w:bCs/>
          <w:b/>
        </w:rPr>
        <w:t xml:space="preserve">Mais barato não significa mercado cinza.</w:t>
      </w:r>
      <w:r>
        <w:t xml:space="preserve"> </w:t>
      </w:r>
      <w:r>
        <w:t xml:space="preserve">Com a expiração de patentes em outros países, vão aumentar as ofertas que invocam</w:t>
      </w:r>
      <w:r>
        <w:t xml:space="preserve"> </w:t>
      </w:r>
      <w:r>
        <w:t xml:space="preserve">“</w:t>
      </w:r>
      <w:r>
        <w:t xml:space="preserve">genéricos</w:t>
      </w:r>
      <w:r>
        <w:t xml:space="preserve">”</w:t>
      </w:r>
      <w:r>
        <w:t xml:space="preserve">. Para a Áustria e a Alemanha, apenas preparados aprovados ali e vindos de farmácias são medicamentos verificados.</w:t>
      </w:r>
    </w:p>
    <w:p>
      <w:pPr>
        <w:numPr>
          <w:ilvl w:val="0"/>
          <w:numId w:val="1364"/>
        </w:numPr>
        <w:pStyle w:val="Compact"/>
      </w:pPr>
      <w:r>
        <w:rPr>
          <w:bCs/>
          <w:b/>
        </w:rPr>
        <w:t xml:space="preserve">Suspender por motivos de custo é frequente – e tem consequências.</w:t>
      </w:r>
      <w:r>
        <w:t xml:space="preserve"> </w:t>
      </w:r>
      <w:r>
        <w:t xml:space="preserve">Na extensão do STEP 1, os participantes recuperaram, um ano após a suspensão da semaglutida, em média dois terços da perda de peso, e as melhoras na pressão arterial e nos exames de sangue regrediram em grande parte</w:t>
      </w:r>
      <w:r>
        <w:rPr>
          <w:rStyle w:val="FootnoteReference"/>
        </w:rPr>
        <w:footnoteReference w:id="2924"/>
      </w:r>
      <w:r>
        <w:t xml:space="preserve">. Quem pensa em suspender por motivos de custo deve discutir isso com o médico.</w:t>
      </w:r>
    </w:p>
    <w:p>
      <w:pPr>
        <w:numPr>
          <w:ilvl w:val="0"/>
          <w:numId w:val="1364"/>
        </w:numPr>
        <w:pStyle w:val="Compact"/>
      </w:pPr>
      <w:r>
        <w:rPr>
          <w:bCs/>
          <w:b/>
        </w:rPr>
        <w:t xml:space="preserve">Substâncias mais antigas não são inúteis.</w:t>
      </w:r>
      <w:r>
        <w:t xml:space="preserve"> </w:t>
      </w:r>
      <w:r>
        <w:t xml:space="preserve">Liraglutida ou dulaglutida são bem estudadas e têm, no diabetes tipo 2, um benefício cardiovascular comprovado. Qual substância é adequada em cada caso é uma decisão médica.</w:t>
      </w:r>
    </w:p>
    <w:bookmarkEnd w:id="2925"/>
    <w:bookmarkStart w:id="2926" w:name="o-essencial-em-resumo-10"/>
    <w:p>
      <w:pPr>
        <w:pStyle w:val="Heading3"/>
      </w:pPr>
      <w:r>
        <w:t xml:space="preserve">O essencial em resumo</w:t>
      </w:r>
    </w:p>
    <w:p>
      <w:pPr>
        <w:numPr>
          <w:ilvl w:val="0"/>
          <w:numId w:val="1365"/>
        </w:numPr>
        <w:pStyle w:val="Compact"/>
      </w:pPr>
      <w:r>
        <w:t xml:space="preserve">Em 2026, a proteção patentária da semaglutida termina em países onde vive quase metade das pessoas com obesidade. Genéricos poderiam custar ali uma fração dos preços atuais; na UE e nos EUA, eles só são esperados por volta de 2031/2032 (verificar).</w:t>
      </w:r>
    </w:p>
    <w:p>
      <w:pPr>
        <w:numPr>
          <w:ilvl w:val="0"/>
          <w:numId w:val="1365"/>
        </w:numPr>
        <w:pStyle w:val="Compact"/>
      </w:pPr>
      <w:r>
        <w:t xml:space="preserve">Para a liraglutida já existem genéricos; a tirzepatida e todas as substâncias mais novas devem continuar protegidas por patente até bem dentro da década de 2030.</w:t>
      </w:r>
    </w:p>
    <w:p>
      <w:pPr>
        <w:numPr>
          <w:ilvl w:val="0"/>
          <w:numId w:val="1365"/>
        </w:numPr>
        <w:pStyle w:val="Compact"/>
      </w:pPr>
      <w:r>
        <w:t xml:space="preserve">O compounding norte-americano com cópias de preparados aprovados está em grande parte encerrado após o fim das faltas; restam preparações modificadas com aditivos não testados.</w:t>
      </w:r>
    </w:p>
    <w:p>
      <w:pPr>
        <w:numPr>
          <w:ilvl w:val="0"/>
          <w:numId w:val="1365"/>
        </w:numPr>
        <w:pStyle w:val="Compact"/>
      </w:pPr>
      <w:r>
        <w:t xml:space="preserve">Os custos são, nos estudos, o motivo mais frequente para interromper um tratamento. Na Alemanha, medicamentos para emagrecer estão excluídos do reembolso; na Áustria, o reembolso é apenas restrito.</w:t>
      </w:r>
    </w:p>
    <w:bookmarkEnd w:id="2926"/>
    <w:bookmarkEnd w:id="2927"/>
    <w:bookmarkStart w:id="2973" w:name="prognósticos-de-2030-a-2035"/>
    <w:p>
      <w:pPr>
        <w:pStyle w:val="Heading2"/>
      </w:pPr>
      <w:r>
        <w:t xml:space="preserve">Prognósticos de 2030 a 2035</w:t>
      </w:r>
    </w:p>
    <w:p>
      <w:pPr>
        <w:pStyle w:val="FirstParagraph"/>
      </w:pPr>
      <w:r>
        <w:t xml:space="preserve">Previsões na medicina têm um histórico de acertos ruim. Este livro também conhece exemplos: experimentos com animais e dados observacionais davam esperança de que os medicamentos de GLP-1 freassem o declínio cognitivo no Alzheimer. Nos dois estudos de fase 3 evoke e evoke+, com um total de 3.808 participantes, porém, a doença progrediu com comprimidos de semaglutida tão rapidamente quanto com placebo</w:t>
      </w:r>
      <w:r>
        <w:rPr>
          <w:rStyle w:val="FootnoteReference"/>
        </w:rPr>
        <w:footnoteReference w:id="2928"/>
      </w:r>
      <w:r>
        <w:t xml:space="preserve">. No Parkinson, o estudo de fase 3 Exenatide-PD3, com 194 participantes, não encontrou indício de que a exenatida retarde a progressão</w:t>
      </w:r>
      <w:r>
        <w:rPr>
          <w:rStyle w:val="FootnoteReference"/>
        </w:rPr>
        <w:footnoteReference w:id="2929"/>
      </w:r>
      <w:r>
        <w:t xml:space="preserve">.</w:t>
      </w:r>
    </w:p>
    <w:p>
      <w:pPr>
        <w:pStyle w:val="BodyText"/>
      </w:pPr>
      <w:r>
        <w:t xml:space="preserve">Este capítulo separa, por isso, rigorosamente em cada seção:</w:t>
      </w:r>
    </w:p>
    <w:p>
      <w:pPr>
        <w:numPr>
          <w:ilvl w:val="0"/>
          <w:numId w:val="1366"/>
        </w:numPr>
        <w:pStyle w:val="Compact"/>
      </w:pPr>
      <w:r>
        <w:rPr>
          <w:bCs/>
          <w:b/>
        </w:rPr>
        <w:t xml:space="preserve">Assegurado:</w:t>
      </w:r>
      <w:r>
        <w:t xml:space="preserve"> </w:t>
      </w:r>
      <w:r>
        <w:t xml:space="preserve">o que está inscrito em registros de estudos (com data de término planejada), o que está publicado em estudos revisados por pares e o que foi decidido por autoridades. Também o que está assegurado pode mudar – datas de término se deslocam, estudos são interrompidos.</w:t>
      </w:r>
    </w:p>
    <w:p>
      <w:pPr>
        <w:numPr>
          <w:ilvl w:val="0"/>
          <w:numId w:val="1366"/>
        </w:numPr>
        <w:pStyle w:val="Compact"/>
      </w:pPr>
      <w:r>
        <w:rPr>
          <w:bCs/>
          <w:b/>
        </w:rPr>
        <w:t xml:space="preserve">Avaliação do autor:</w:t>
      </w:r>
      <w:r>
        <w:t xml:space="preserve"> </w:t>
      </w:r>
      <w:r>
        <w:t xml:space="preserve">uma expectativa fundamentada que pode estar errada. Ela é identificada como tal e fundamentada em cada caso.</w:t>
      </w:r>
    </w:p>
    <w:p>
      <w:pPr>
        <w:pStyle w:val="FirstParagraph"/>
      </w:pPr>
      <w:r>
        <w:t xml:space="preserve">Os dados de registro refletem a situação de outubro de 2026.</w:t>
      </w:r>
    </w:p>
    <w:bookmarkStart w:id="2939" w:name="grupo-a-metabolismo-e-peso"/>
    <w:p>
      <w:pPr>
        <w:pStyle w:val="Heading3"/>
      </w:pPr>
      <w:r>
        <w:t xml:space="preserve">Grupo A – Metabolismo e peso</w:t>
      </w:r>
    </w:p>
    <w:p>
      <w:pPr>
        <w:pStyle w:val="FirstParagraph"/>
      </w:pPr>
      <w:r>
        <w:rPr>
          <w:bCs/>
          <w:b/>
        </w:rPr>
        <w:t xml:space="preserve">Assegurado:</w:t>
      </w:r>
    </w:p>
    <w:p>
      <w:pPr>
        <w:numPr>
          <w:ilvl w:val="0"/>
          <w:numId w:val="1367"/>
        </w:numPr>
        <w:pStyle w:val="Compact"/>
      </w:pPr>
      <w:r>
        <w:t xml:space="preserve">Até 2032 terminam pelo menos nove grandes estudos de desfechos e hepáticos: SURMOUNT-MMO, sobre tirzepatida</w:t>
      </w:r>
      <w:r>
        <w:rPr>
          <w:rStyle w:val="FootnoteReference"/>
        </w:rPr>
        <w:footnoteReference w:id="2930"/>
      </w:r>
      <w:r>
        <w:t xml:space="preserve">, e REDEFINE 3, sobre CagriSema</w:t>
      </w:r>
      <w:r>
        <w:rPr>
          <w:rStyle w:val="FootnoteReference"/>
        </w:rPr>
        <w:footnoteReference w:id="2931"/>
      </w:r>
      <w:r>
        <w:t xml:space="preserve">, em 2027; TRIUMPH-Outcomes, sobre retatrutida</w:t>
      </w:r>
      <w:r>
        <w:rPr>
          <w:rStyle w:val="FootnoteReference"/>
        </w:rPr>
        <w:footnoteReference w:id="2932"/>
      </w:r>
      <w:r>
        <w:t xml:space="preserve">, e LIVERAGE-Cirrhosis, sobre survodutida</w:t>
      </w:r>
      <w:r>
        <w:rPr>
          <w:rStyle w:val="FootnoteReference"/>
        </w:rPr>
        <w:footnoteReference w:id="2933"/>
      </w:r>
      <w:r>
        <w:t xml:space="preserve">, em 2029; MARITIME-CV e MARITIME-HF, sobre maridebarte cafraglutida</w:t>
      </w:r>
      <w:r>
        <w:rPr>
          <w:rStyle w:val="FootnoteReference"/>
        </w:rPr>
        <w:footnoteReference w:id="2934"/>
      </w:r>
      <w:r>
        <w:t xml:space="preserve">, bem como AMBIENCE, sobre zenagamtida</w:t>
      </w:r>
      <w:r>
        <w:rPr>
          <w:rStyle w:val="FootnoteReference"/>
        </w:rPr>
        <w:footnoteReference w:id="2935"/>
      </w:r>
      <w:r>
        <w:t xml:space="preserve">, em 2030; ATTAIN-Outcomes, sobre orforglipron</w:t>
      </w:r>
      <w:r>
        <w:rPr>
          <w:rStyle w:val="FootnoteReference"/>
        </w:rPr>
        <w:footnoteReference w:id="2936"/>
      </w:r>
      <w:r>
        <w:t xml:space="preserve">, em 2031; e SYNERGY-Outcomes, sobre tirzepatida e retatrutida</w:t>
      </w:r>
      <w:r>
        <w:rPr>
          <w:rStyle w:val="FootnoteReference"/>
        </w:rPr>
        <w:footnoteReference w:id="2937"/>
      </w:r>
      <w:r>
        <w:t xml:space="preserve">, em 2032.</w:t>
      </w:r>
    </w:p>
    <w:p>
      <w:pPr>
        <w:numPr>
          <w:ilvl w:val="0"/>
          <w:numId w:val="1367"/>
        </w:numPr>
        <w:pStyle w:val="Compact"/>
      </w:pPr>
      <w:r>
        <w:t xml:space="preserve">Substâncias de amilina pura estão em fase 3: eloralintida (ENLIGHTEN-1, NCT07321886, término em 2030) e petrelintida (ZUPREME-3, NCT07843498, término em 2029).</w:t>
      </w:r>
    </w:p>
    <w:p>
      <w:pPr>
        <w:numPr>
          <w:ilvl w:val="0"/>
          <w:numId w:val="1367"/>
        </w:numPr>
        <w:pStyle w:val="Compact"/>
      </w:pPr>
      <w:r>
        <w:t xml:space="preserve">Para CagriSema e orforglipron, segundo os respectivos capítulos, pedidos de aprovação foram apresentados ou anunciados; para a retatrutida, são esperados após a conclusão do TRIUMPH-1 e do TRIUMPH-2 (situação em outubro de 2026, verificar).</w:t>
      </w:r>
    </w:p>
    <w:p>
      <w:pPr>
        <w:numPr>
          <w:ilvl w:val="0"/>
          <w:numId w:val="1367"/>
        </w:numPr>
        <w:pStyle w:val="Compact"/>
      </w:pPr>
      <w:r>
        <w:t xml:space="preserve">Em doze países, a proteção patentária da semaglutida termina em 2026, entre eles grandes mercados fora da UE e dos EUA</w:t>
      </w:r>
      <w:r>
        <w:rPr>
          <w:rStyle w:val="FootnoteReference"/>
        </w:rPr>
        <w:footnoteReference w:id="2938"/>
      </w:r>
      <w:r>
        <w:t xml:space="preserve">. Na UE e nos EUA, genéricos são esperados por volta de 2031/2032.</w:t>
      </w:r>
    </w:p>
    <w:p>
      <w:pPr>
        <w:pStyle w:val="FirstParagraph"/>
      </w:pPr>
      <w:r>
        <w:rPr>
          <w:bCs/>
          <w:b/>
        </w:rPr>
        <w:t xml:space="preserve">Avaliação do autor:</w:t>
      </w:r>
      <w:r>
        <w:t xml:space="preserve"> </w:t>
      </w:r>
      <w:r>
        <w:t xml:space="preserve">até 2030, várias novas classes de substâncias deverão estar aprovadas na UE – pelo menos uma combinação com amilina, um agonista triplo e uma pequena molécula em comprimido. Justificativa: os programas de fase 3 estão bem avançados, os resultados publicados até agora são claramente positivos, e os fabricantes apresentaram ou anunciaram pedidos de aprovação. Uma perda de peso média de 20 a 25% em estudos não deverá mais ser exceção. Mais importante do que um novo recorde, porém, será a pergunta sobre qual substância é adequada para qual pessoa: quem precisa sobretudo de proteção cardíaca, quem tem esteatose hepática, quem quer evitar injeções, quem tolera mal efeitos colaterais. Entre 2030 e 2035, espero preços claramente mais baixos para a semaglutida na Europa por meio de genéricos, enquanto as substâncias mais novas continuarão caras. Considero real o risco de um atendimento de duas classes – os medicamentos mais potentes para quem paga do próprio bolso, os mais antigos para todos os demais.</w:t>
      </w:r>
    </w:p>
    <w:bookmarkEnd w:id="2939"/>
    <w:bookmarkStart w:id="2942" w:name="X30581d2b51d17be6088b9f5f6b1d8868efe8367"/>
    <w:p>
      <w:pPr>
        <w:pStyle w:val="Heading3"/>
      </w:pPr>
      <w:r>
        <w:t xml:space="preserve">Grupo B – Cura, regeneração e sistema imunológico</w:t>
      </w:r>
    </w:p>
    <w:p>
      <w:pPr>
        <w:pStyle w:val="FirstParagraph"/>
      </w:pPr>
      <w:r>
        <w:rPr>
          <w:bCs/>
          <w:b/>
        </w:rPr>
        <w:t xml:space="preserve">Assegurado:</w:t>
      </w:r>
    </w:p>
    <w:p>
      <w:pPr>
        <w:numPr>
          <w:ilvl w:val="0"/>
          <w:numId w:val="1368"/>
        </w:numPr>
        <w:pStyle w:val="Compact"/>
      </w:pPr>
      <w:r>
        <w:t xml:space="preserve">O estudo de fase 3 sobre timosina alfa-1 após cirurgia de câncer colorretal, com 2.500 participantes, deve terminar em março de 2027</w:t>
      </w:r>
      <w:r>
        <w:rPr>
          <w:rStyle w:val="FootnoteReference"/>
        </w:rPr>
        <w:footnoteReference w:id="2940"/>
      </w:r>
      <w:r>
        <w:t xml:space="preserve">.</w:t>
      </w:r>
    </w:p>
    <w:p>
      <w:pPr>
        <w:numPr>
          <w:ilvl w:val="0"/>
          <w:numId w:val="1368"/>
        </w:numPr>
        <w:pStyle w:val="Compact"/>
      </w:pPr>
      <w:r>
        <w:t xml:space="preserve">O estudo de fase 3 SEER-2, com colírio de timosina beta-4 na ceratopatia neurotrófica, estava concluído em maio de 2026 segundo o registro; resultados não estavam disponíveis em outubro de 2026</w:t>
      </w:r>
      <w:r>
        <w:rPr>
          <w:rStyle w:val="FootnoteReference"/>
        </w:rPr>
        <w:footnoteReference w:id="2941"/>
      </w:r>
      <w:r>
        <w:t xml:space="preserve">.</w:t>
      </w:r>
    </w:p>
    <w:p>
      <w:pPr>
        <w:numPr>
          <w:ilvl w:val="0"/>
          <w:numId w:val="1368"/>
        </w:numPr>
        <w:pStyle w:val="Compact"/>
      </w:pPr>
      <w:r>
        <w:t xml:space="preserve">Um estudo chinês de fase 2 com timosina beta-4 recombinante após infarto do miocárdio está planejado (NCT07586865, 189 participantes, término em maio de 2028).</w:t>
      </w:r>
    </w:p>
    <w:p>
      <w:pPr>
        <w:numPr>
          <w:ilvl w:val="0"/>
          <w:numId w:val="1368"/>
        </w:numPr>
        <w:pStyle w:val="Compact"/>
      </w:pPr>
      <w:r>
        <w:t xml:space="preserve">Para o BPC-157, está registrado um pequeno estudo randomizado com 30 participantes após cirurgias de ombro, que ainda não começou (NCT07803250, término planejado para agosto de 2027).</w:t>
      </w:r>
    </w:p>
    <w:p>
      <w:pPr>
        <w:pStyle w:val="FirstParagraph"/>
      </w:pPr>
      <w:r>
        <w:rPr>
          <w:bCs/>
          <w:b/>
        </w:rPr>
        <w:t xml:space="preserve">Avaliação do autor:</w:t>
      </w:r>
      <w:r>
        <w:t xml:space="preserve"> </w:t>
      </w:r>
      <w:r>
        <w:t xml:space="preserve">até 2035, considero muito improvável uma aprovação de BPC-157, TB-500 ou KPV na UE. Justificativa: não há programas de fase 2 ou fase 3, nenhum fabricante com interesse perceptível em aprovação, e mesmo um resultado positivo do pequeno estudo de ombro seria apenas um primeiro indício. Mais realista é uma aprovação de nicho para colírio de timosina beta-4 em uma doença rara da córnea, caso o SEER-2 seja positivo. A timosina alfa-1 poderia ter um papel maior no acompanhamento oncológico na China se o estudo de câncer colorretal for positivo – mas, devido à falta de duplo-cegamento, com ressalvas.</w:t>
      </w:r>
    </w:p>
    <w:bookmarkEnd w:id="2942"/>
    <w:bookmarkStart w:id="2944" w:name="grupo-c-eixo-do-hormônio-do-crescimento"/>
    <w:p>
      <w:pPr>
        <w:pStyle w:val="Heading3"/>
      </w:pPr>
      <w:r>
        <w:t xml:space="preserve">Grupo C – Eixo do hormônio do crescimento</w:t>
      </w:r>
    </w:p>
    <w:p>
      <w:pPr>
        <w:pStyle w:val="FirstParagraph"/>
      </w:pPr>
      <w:r>
        <w:rPr>
          <w:bCs/>
          <w:b/>
        </w:rPr>
        <w:t xml:space="preserve">Assegurado:</w:t>
      </w:r>
    </w:p>
    <w:p>
      <w:pPr>
        <w:numPr>
          <w:ilvl w:val="0"/>
          <w:numId w:val="1369"/>
        </w:numPr>
        <w:pStyle w:val="Compact"/>
      </w:pPr>
      <w:r>
        <w:t xml:space="preserve">O ibutamoreno (não é peptídeo) está sendo testado como LUM-201 em um estudo de fase 3 com 150 crianças com deficiência de hormônio do crescimento (NCT06948214, término em janeiro de 2028). Um estudo de fase 2 com 202 idosos com obesidade deverá investigar o LUM-201 em associação à semaglutida (NCT07754045, término em fevereiro de 2028).</w:t>
      </w:r>
    </w:p>
    <w:p>
      <w:pPr>
        <w:numPr>
          <w:ilvl w:val="0"/>
          <w:numId w:val="1369"/>
        </w:numPr>
        <w:pStyle w:val="Compact"/>
      </w:pPr>
      <w:r>
        <w:t xml:space="preserve">O registro de longo prazo da mecasermina segue até o final de 2027</w:t>
      </w:r>
      <w:r>
        <w:rPr>
          <w:rStyle w:val="FootnoteReference"/>
        </w:rPr>
        <w:footnoteReference w:id="2943"/>
      </w:r>
      <w:r>
        <w:t xml:space="preserve">.</w:t>
      </w:r>
    </w:p>
    <w:p>
      <w:pPr>
        <w:numPr>
          <w:ilvl w:val="0"/>
          <w:numId w:val="1369"/>
        </w:numPr>
        <w:pStyle w:val="Compact"/>
      </w:pPr>
      <w:r>
        <w:t xml:space="preserve">Para sermorelina, CJC-1295, ipamorelina, GHRP-2, GHRP-6, hexarelina e IGF-1 LR3, nenhum estudo em andamento está registrado (ver os respectivos capítulos).</w:t>
      </w:r>
    </w:p>
    <w:p>
      <w:pPr>
        <w:pStyle w:val="FirstParagraph"/>
      </w:pPr>
      <w:r>
        <w:rPr>
          <w:bCs/>
          <w:b/>
        </w:rPr>
        <w:t xml:space="preserve">Avaliação do autor:</w:t>
      </w:r>
      <w:r>
        <w:t xml:space="preserve"> </w:t>
      </w:r>
      <w:r>
        <w:t xml:space="preserve">considero improvável, até 2035, uma nova aprovação de um peptídeo liberador de hormônio do crescimento para adultos. Justificativa: as substâncias são antigas, quase não patenteáveis, e as questões de segurança em torno de níveis de IGF-1 permanentemente elevados (ver Parte IV) tornam grandes estudos caros e arriscados. Interessante é outra tendência: como a perda de peso intensa também custa músculos, o eixo do hormônio do crescimento poderia receber nova atenção como possível proteção muscular – o estudo com LUM-201 e semaglutida é um primeiro exemplo. Se disso surgirá um benefício está completamente em aberto.</w:t>
      </w:r>
    </w:p>
    <w:bookmarkEnd w:id="2944"/>
    <w:bookmarkStart w:id="2948" w:name="grupo-d-cérebro-sono-e-longevidade"/>
    <w:p>
      <w:pPr>
        <w:pStyle w:val="Heading3"/>
      </w:pPr>
      <w:r>
        <w:t xml:space="preserve">Grupo D – Cérebro, sono e longevidade</w:t>
      </w:r>
    </w:p>
    <w:p>
      <w:pPr>
        <w:pStyle w:val="FirstParagraph"/>
      </w:pPr>
      <w:r>
        <w:rPr>
          <w:bCs/>
          <w:b/>
        </w:rPr>
        <w:t xml:space="preserve">Assegurado:</w:t>
      </w:r>
    </w:p>
    <w:p>
      <w:pPr>
        <w:numPr>
          <w:ilvl w:val="0"/>
          <w:numId w:val="1370"/>
        </w:numPr>
        <w:pStyle w:val="Compact"/>
      </w:pPr>
      <w:r>
        <w:t xml:space="preserve">A elamipretida (SS-31) está aprovada nos EUA desde setembro de 2025, de forma acelerada, para a síndrome de Barth, vinculada a um estudo confirmatório (4TAZPower, NCT07531251, término em novembro de 2029). O estudo de fase 3 ReNEW, na degeneração macular seca, deve terminar em setembro de 2027</w:t>
      </w:r>
      <w:r>
        <w:rPr>
          <w:rStyle w:val="FootnoteReference"/>
        </w:rPr>
        <w:footnoteReference w:id="2945"/>
      </w:r>
      <w:r>
        <w:t xml:space="preserve">.</w:t>
      </w:r>
    </w:p>
    <w:p>
      <w:pPr>
        <w:numPr>
          <w:ilvl w:val="0"/>
          <w:numId w:val="1370"/>
        </w:numPr>
        <w:pStyle w:val="Compact"/>
      </w:pPr>
      <w:r>
        <w:t xml:space="preserve">Sobre o Cerebrolysin, há apenas estudos menores em andamento, como no CADASIL</w:t>
      </w:r>
      <w:r>
        <w:rPr>
          <w:rStyle w:val="FootnoteReference"/>
        </w:rPr>
        <w:footnoteReference w:id="2946"/>
      </w:r>
      <w:r>
        <w:t xml:space="preserve">.</w:t>
      </w:r>
    </w:p>
    <w:p>
      <w:pPr>
        <w:numPr>
          <w:ilvl w:val="0"/>
          <w:numId w:val="1370"/>
        </w:numPr>
        <w:pStyle w:val="Compact"/>
      </w:pPr>
      <w:r>
        <w:t xml:space="preserve">Para Semax, Selank, Dihexa, DSIP, Pinealon, humanina, FOXO4-DRI e MOTS-c, nenhum estudo confiavelmente registrado com administração da substância consta do registro. Para o Epitalon, há apenas um estudo não controlado em que ele é um de cinco componentes de um sérum para a pele</w:t>
      </w:r>
      <w:r>
        <w:rPr>
          <w:rStyle w:val="FootnoteReference"/>
        </w:rPr>
        <w:footnoteReference w:id="2947"/>
      </w:r>
      <w:r>
        <w:t xml:space="preserve">.</w:t>
      </w:r>
    </w:p>
    <w:p>
      <w:pPr>
        <w:numPr>
          <w:ilvl w:val="0"/>
          <w:numId w:val="1370"/>
        </w:numPr>
        <w:pStyle w:val="Compact"/>
      </w:pPr>
      <w:r>
        <w:t xml:space="preserve">Nos EUA, a classificação de vários desses peptídeos para preparações magistrais está sendo reavaliada (ver capítulos Semax e Dihexa; Willis 2026, PMID 42752426).</w:t>
      </w:r>
    </w:p>
    <w:p>
      <w:pPr>
        <w:pStyle w:val="FirstParagraph"/>
      </w:pPr>
      <w:r>
        <w:rPr>
          <w:bCs/>
          <w:b/>
        </w:rPr>
        <w:t xml:space="preserve">Avaliação do autor:</w:t>
      </w:r>
      <w:r>
        <w:t xml:space="preserve"> </w:t>
      </w:r>
      <w:r>
        <w:t xml:space="preserve">os peptídeos da longevidade deverão permanecer até 2035 o que são hoje: substâncias com dados interessantes em animais e grande demanda online, mas sem comprovação de benefício em humanos. Justificativa: estudos sobre</w:t>
      </w:r>
      <w:r>
        <w:t xml:space="preserve"> </w:t>
      </w:r>
      <w:r>
        <w:t xml:space="preserve">“</w:t>
      </w:r>
      <w:r>
        <w:t xml:space="preserve">envelhecimento saudável</w:t>
      </w:r>
      <w:r>
        <w:t xml:space="preserve">”</w:t>
      </w:r>
      <w:r>
        <w:t xml:space="preserve"> </w:t>
      </w:r>
      <w:r>
        <w:t xml:space="preserve">precisam de muitos anos e de desfechos claros, que ainda quase não existem para isso; nenhum fabricante tem um programa perceptível. Se autoridades norte-americanas liberarem peptídeos isolados para preparações magistrais, isso aumentaria a difusão sem melhorar os dados. A elamipretida é a única substância deste grupo com um caminho realista para uma aprovação mais ampla, e isso apenas se o ReNEW for positivo.</w:t>
      </w:r>
    </w:p>
    <w:bookmarkEnd w:id="2948"/>
    <w:bookmarkStart w:id="2950" w:name="Xfcd7f4dcec7b36735a25fa86b3f41f02803c218"/>
    <w:p>
      <w:pPr>
        <w:pStyle w:val="Heading3"/>
      </w:pPr>
      <w:r>
        <w:t xml:space="preserve">Grupo E – Hormônios, sexualidade e pigmentação</w:t>
      </w:r>
    </w:p>
    <w:p>
      <w:pPr>
        <w:pStyle w:val="FirstParagraph"/>
      </w:pPr>
      <w:r>
        <w:rPr>
          <w:bCs/>
          <w:b/>
        </w:rPr>
        <w:t xml:space="preserve">Assegurado:</w:t>
      </w:r>
    </w:p>
    <w:p>
      <w:pPr>
        <w:numPr>
          <w:ilvl w:val="0"/>
          <w:numId w:val="1371"/>
        </w:numPr>
        <w:pStyle w:val="Compact"/>
      </w:pPr>
      <w:r>
        <w:t xml:space="preserve">O estudo de fase 3 sobre afamelanotida no vitiligo, com 200 participantes, estava concluído em junho de 2026 segundo o registro; resultados revisados por pares não estavam disponíveis em outubro de 2026</w:t>
      </w:r>
      <w:r>
        <w:rPr>
          <w:rStyle w:val="FootnoteReference"/>
        </w:rPr>
        <w:footnoteReference w:id="2949"/>
      </w:r>
      <w:r>
        <w:t xml:space="preserve">.</w:t>
      </w:r>
    </w:p>
    <w:p>
      <w:pPr>
        <w:numPr>
          <w:ilvl w:val="0"/>
          <w:numId w:val="1371"/>
        </w:numPr>
        <w:pStyle w:val="Compact"/>
      </w:pPr>
      <w:r>
        <w:t xml:space="preserve">A kisspeptina está sendo investigada em pequenos estudos de fase 2 na deficiência hormonal congênita (NCT05896293, término em maio de 2028) e na amenorreia hipotalâmica (NCT07224438, término em maio de 2030).</w:t>
      </w:r>
    </w:p>
    <w:p>
      <w:pPr>
        <w:numPr>
          <w:ilvl w:val="0"/>
          <w:numId w:val="1371"/>
        </w:numPr>
        <w:pStyle w:val="Compact"/>
      </w:pPr>
      <w:r>
        <w:t xml:space="preserve">O spray nasal de ocitocina está sendo testado como complemento de uma terapia de casal no transtorno de estresse pós-traumático, com 240 participantes (NCT06194851, término em setembro de 2028).</w:t>
      </w:r>
    </w:p>
    <w:p>
      <w:pPr>
        <w:pStyle w:val="FirstParagraph"/>
      </w:pPr>
      <w:r>
        <w:rPr>
          <w:bCs/>
          <w:b/>
        </w:rPr>
        <w:t xml:space="preserve">Avaliação do autor:</w:t>
      </w:r>
      <w:r>
        <w:t xml:space="preserve"> </w:t>
      </w:r>
      <w:r>
        <w:t xml:space="preserve">o mais provável até 2030 é uma ampliação da aprovação da afamelanotida para o vitiligo – caso o estudo de fase 3 seja positivo. A kisspeptina deverá continuar sendo uma ferramenta de pesquisa e diagnóstico; uma aprovação até 2035 pressupõe estudos comparativos maiores, que até agora faltam. Para o spray nasal de ocitocina, não espero aprovação para autismo ou ansiedade social, no máximo evidências para aplicações bem delimitadas em combinação com psicoterapia. O Melanotan II continuará sendo um produto do mercado cinza.</w:t>
      </w:r>
    </w:p>
    <w:bookmarkEnd w:id="2950"/>
    <w:bookmarkStart w:id="2951" w:name="grupo-f-colágeno-nutrição-e-cosmética"/>
    <w:p>
      <w:pPr>
        <w:pStyle w:val="Heading3"/>
      </w:pPr>
      <w:r>
        <w:t xml:space="preserve">Grupo F – Colágeno, nutrição e cosmética</w:t>
      </w:r>
    </w:p>
    <w:p>
      <w:pPr>
        <w:pStyle w:val="FirstParagraph"/>
      </w:pPr>
      <w:r>
        <w:rPr>
          <w:bCs/>
          <w:b/>
        </w:rPr>
        <w:t xml:space="preserve">Assegurado:</w:t>
      </w:r>
    </w:p>
    <w:p>
      <w:pPr>
        <w:numPr>
          <w:ilvl w:val="0"/>
          <w:numId w:val="1372"/>
        </w:numPr>
        <w:pStyle w:val="Compact"/>
      </w:pPr>
      <w:r>
        <w:t xml:space="preserve">Um estudo controlado por placebo com 204 participantes testa hidrolisado de colágeno na artrose de joelho; o desfecho principal é a dor (NCT04998188, término em dezembro de 2027).</w:t>
      </w:r>
    </w:p>
    <w:p>
      <w:pPr>
        <w:numPr>
          <w:ilvl w:val="0"/>
          <w:numId w:val="1372"/>
        </w:numPr>
        <w:pStyle w:val="Compact"/>
      </w:pPr>
      <w:r>
        <w:t xml:space="preserve">Um estudo de fase 1/2 com 144 participantes investiga a carnosina na doença arterial obstrutiva periférica; o desfecho principal é a distância percorrida em seis minutos (NCT06480760, término em outubro de 2028).</w:t>
      </w:r>
    </w:p>
    <w:p>
      <w:pPr>
        <w:numPr>
          <w:ilvl w:val="0"/>
          <w:numId w:val="1372"/>
        </w:numPr>
        <w:pStyle w:val="Compact"/>
      </w:pPr>
      <w:r>
        <w:t xml:space="preserve">Para lactotripeptídeos, Matrixyl e Argireline, nenhum estudo em andamento está registrado.</w:t>
      </w:r>
    </w:p>
    <w:p>
      <w:pPr>
        <w:pStyle w:val="FirstParagraph"/>
      </w:pPr>
      <w:r>
        <w:rPr>
          <w:bCs/>
          <w:b/>
        </w:rPr>
        <w:t xml:space="preserve">Avaliação do autor:</w:t>
      </w:r>
      <w:r>
        <w:t xml:space="preserve"> </w:t>
      </w:r>
      <w:r>
        <w:t xml:space="preserve">este grupo continuará sendo alimento e cosmético; aprovações como medicamento não são de esperar, porque os produtos já são de venda livre e ninguém teria de arcar com os custos de um programa de aprovação. O que poderia mudar é a qualidade das evidências: estudos com financiamento independente e registro prévio, como o da artrose de joelho, mostrarão se os pequenos efeitos de estudos financiados por fabricantes se sustentam. Espero que os efeitos nesses estudos sejam antes menores.</w:t>
      </w:r>
    </w:p>
    <w:bookmarkEnd w:id="2951"/>
    <w:bookmarkStart w:id="2970" w:name="temas-transversais"/>
    <w:p>
      <w:pPr>
        <w:pStyle w:val="Heading3"/>
      </w:pPr>
      <w:r>
        <w:t xml:space="preserve">Temas transversais</w:t>
      </w:r>
    </w:p>
    <w:bookmarkStart w:id="2953" w:name="dados-de-longo-prazo"/>
    <w:p>
      <w:pPr>
        <w:pStyle w:val="Heading4"/>
      </w:pPr>
      <w:r>
        <w:t xml:space="preserve">Dados de longo prazo</w:t>
      </w:r>
    </w:p>
    <w:p>
      <w:pPr>
        <w:pStyle w:val="FirstParagraph"/>
      </w:pPr>
      <w:r>
        <w:rPr>
          <w:bCs/>
          <w:b/>
        </w:rPr>
        <w:t xml:space="preserve">Assegurado:</w:t>
      </w:r>
      <w:r>
        <w:t xml:space="preserve"> </w:t>
      </w:r>
      <w:r>
        <w:t xml:space="preserve">a diretriz da OMS sobre terapias com GLP-1 na obesidade faz apenas uma recomendação condicional e cita dados de longo prazo limitados como um dos motivos</w:t>
      </w:r>
      <w:r>
        <w:rPr>
          <w:rStyle w:val="FootnoteReference"/>
        </w:rPr>
        <w:footnoteReference w:id="2952"/>
      </w:r>
      <w:r>
        <w:t xml:space="preserve">. Os estudos de desfechos em andamento acompanham seus participantes por vários anos, mas quase nenhum por mais de dez anos.</w:t>
      </w:r>
    </w:p>
    <w:p>
      <w:pPr>
        <w:pStyle w:val="BodyText"/>
      </w:pPr>
      <w:r>
        <w:rPr>
          <w:bCs/>
          <w:b/>
        </w:rPr>
        <w:t xml:space="preserve">Avaliação do autor:</w:t>
      </w:r>
      <w:r>
        <w:t xml:space="preserve"> </w:t>
      </w:r>
      <w:r>
        <w:t xml:space="preserve">até 2035, dados de dez anos virão sobretudo de registros nacionais e de dados de planos de saúde, não de estudos randomizados. Eles captarão melhor os efeitos colaterais raros, mas terão mais dificuldade em separar causa e efeito. Em crianças e adolescentes, para os quais vários estudos vão até o início da década de 2030, a questão das consequências de longo prazo é particularmente urgente.</w:t>
      </w:r>
    </w:p>
    <w:bookmarkEnd w:id="2953"/>
    <w:bookmarkStart w:id="2958" w:name="terapia-de-manutenção"/>
    <w:p>
      <w:pPr>
        <w:pStyle w:val="Heading4"/>
      </w:pPr>
      <w:r>
        <w:t xml:space="preserve">Terapia de manutenção</w:t>
      </w:r>
    </w:p>
    <w:p>
      <w:pPr>
        <w:pStyle w:val="FirstParagraph"/>
      </w:pPr>
      <w:r>
        <w:rPr>
          <w:bCs/>
          <w:b/>
        </w:rPr>
        <w:t xml:space="preserve">Assegurado:</w:t>
      </w:r>
      <w:r>
        <w:t xml:space="preserve"> </w:t>
      </w:r>
      <w:r>
        <w:t xml:space="preserve">após a suspensão, grande parte do peso perdido volta. Na extensão do STEP 1, foram em média dois terços um ano após o fim do tratamento com semaglutida</w:t>
      </w:r>
      <w:r>
        <w:rPr>
          <w:rStyle w:val="FootnoteReference"/>
        </w:rPr>
        <w:footnoteReference w:id="2954"/>
      </w:r>
      <w:r>
        <w:t xml:space="preserve">. No SURMOUNT-4, participantes recuperaram, após a troca de tirzepatida por placebo, 14,0% do peso no ano seguinte</w:t>
      </w:r>
      <w:r>
        <w:rPr>
          <w:rStyle w:val="FootnoteReference"/>
        </w:rPr>
        <w:footnoteReference w:id="2955"/>
      </w:r>
      <w:r>
        <w:t xml:space="preserve">. A troca da injeção pela orforglipron manteve, no ATTAIN-MAINTAIN, grande parte da perda de peso</w:t>
      </w:r>
      <w:r>
        <w:rPr>
          <w:rStyle w:val="FootnoteReference"/>
        </w:rPr>
        <w:footnoteReference w:id="2956"/>
      </w:r>
      <w:r>
        <w:t xml:space="preserve">. Outros estudos sobre manutenção do peso estão em andamento (TRIUMPH-6, NCT06859268; troca por substâncias mensais, NCT07575399, NCT07845500). Modelos sugerem que administrações menos frequentes poderiam manter parte do efeito; isso ainda não foi testado em estudos e não é base para alterações do tratamento por conta própria</w:t>
      </w:r>
      <w:r>
        <w:rPr>
          <w:rStyle w:val="FootnoteReference"/>
        </w:rPr>
        <w:footnoteReference w:id="2957"/>
      </w:r>
      <w:r>
        <w:t xml:space="preserve">.</w:t>
      </w:r>
    </w:p>
    <w:p>
      <w:pPr>
        <w:pStyle w:val="BodyText"/>
      </w:pPr>
      <w:r>
        <w:rPr>
          <w:bCs/>
          <w:b/>
        </w:rPr>
        <w:t xml:space="preserve">Avaliação do autor:</w:t>
      </w:r>
      <w:r>
        <w:t xml:space="preserve"> </w:t>
      </w:r>
      <w:r>
        <w:t xml:space="preserve">até 2030, um modelo em etapas vai se impor: primeiro uma fase com uma substância muito eficaz, depois uma manutenção com um comprimido, uma preparação mensal ou uma intensidade menor. Justificativa: vários fabricantes testam exatamente essa sequência, e ela é atraente para os pagadores. Se a manutenção será necessária por toda a vida ou se, em algumas pessoas, uma suspensão sem grande recuperação de peso será possível continuará sendo uma das questões em aberto mais importantes.</w:t>
      </w:r>
    </w:p>
    <w:bookmarkEnd w:id="2958"/>
    <w:bookmarkStart w:id="2960" w:name="personalização"/>
    <w:p>
      <w:pPr>
        <w:pStyle w:val="Heading4"/>
      </w:pPr>
      <w:r>
        <w:t xml:space="preserve">Personalização</w:t>
      </w:r>
    </w:p>
    <w:p>
      <w:pPr>
        <w:pStyle w:val="FirstParagraph"/>
      </w:pPr>
      <w:r>
        <w:rPr>
          <w:bCs/>
          <w:b/>
        </w:rPr>
        <w:t xml:space="preserve">Assegurado:</w:t>
      </w:r>
      <w:r>
        <w:t xml:space="preserve"> </w:t>
      </w:r>
      <w:r>
        <w:t xml:space="preserve">a medicina de precisão na obesidade já existe para formas genéticas raras: a setmelanotida está aprovada apenas para determinados defeitos genéticos (ver capítulo Setmelanotida). A orforglipron está sendo testada em um estudo com 2.001 participantes com sobrepeso para impedir a progressão para obesidade ou para doenças decorrentes (ATTAIN-NOW, NCT07794579, término em setembro de 2030). A OMS anuncia que vai elaborar a seguir critérios sobre quem deve ser tratado primeiro quando os recursos forem limitados</w:t>
      </w:r>
      <w:r>
        <w:rPr>
          <w:rStyle w:val="FootnoteReference"/>
        </w:rPr>
        <w:footnoteReference w:id="2959"/>
      </w:r>
      <w:r>
        <w:t xml:space="preserve">.</w:t>
      </w:r>
    </w:p>
    <w:p>
      <w:pPr>
        <w:pStyle w:val="BodyText"/>
      </w:pPr>
      <w:r>
        <w:rPr>
          <w:bCs/>
          <w:b/>
        </w:rPr>
        <w:t xml:space="preserve">Avaliação do autor:</w:t>
      </w:r>
      <w:r>
        <w:t xml:space="preserve"> </w:t>
      </w:r>
      <w:r>
        <w:t xml:space="preserve">um teste confiável que diga de antemão quem responde bem a qual substância não está à vista até 2030. A personalização será, de início, pragmática: segundo doenças associadas, tolerabilidade, disposição para injeções e custos. A questão de se medicamentos devem ser usados já antes do surgimento da obesidade continuará sendo controversa do ponto de vista ético e econômico.</w:t>
      </w:r>
    </w:p>
    <w:bookmarkEnd w:id="2960"/>
    <w:bookmarkStart w:id="2964" w:name="regulação-do-mercado-cinza"/>
    <w:p>
      <w:pPr>
        <w:pStyle w:val="Heading4"/>
      </w:pPr>
      <w:r>
        <w:t xml:space="preserve">Regulação do mercado cinza</w:t>
      </w:r>
    </w:p>
    <w:p>
      <w:pPr>
        <w:pStyle w:val="FirstParagraph"/>
      </w:pPr>
      <w:r>
        <w:rPr>
          <w:bCs/>
          <w:b/>
        </w:rPr>
        <w:t xml:space="preserve">Assegurado:</w:t>
      </w:r>
      <w:r>
        <w:t xml:space="preserve"> </w:t>
      </w:r>
      <w:r>
        <w:t xml:space="preserve">as análises laboratoriais e os relatos de caso das Partes I e IV mostram falsificações, erros de dose e impurezas. Hoje também substâncias não aprovadas como retatrutida e zenagamtida são vendidas online</w:t>
      </w:r>
      <w:r>
        <w:rPr>
          <w:rStyle w:val="FootnoteReference"/>
        </w:rPr>
        <w:footnoteReference w:id="2961"/>
      </w:r>
      <w:r>
        <w:t xml:space="preserve">. Nos EUA, cópias de farmácia de semaglutida e tirzepatida foram em grande parte encerradas após o fim das faltas de abastecimento; preparações modificadas continuam existindo</w:t>
      </w:r>
      <w:r>
        <w:rPr>
          <w:rStyle w:val="FootnoteReference"/>
        </w:rPr>
        <w:footnoteReference w:id="2962"/>
      </w:r>
      <w:r>
        <w:t xml:space="preserve">. A classificação de peptídeos para preparações magistrais está sendo renegociada nos EUA</w:t>
      </w:r>
      <w:r>
        <w:rPr>
          <w:rStyle w:val="FootnoteReference"/>
        </w:rPr>
        <w:footnoteReference w:id="2963"/>
      </w:r>
      <w:r>
        <w:t xml:space="preserve">.</w:t>
      </w:r>
    </w:p>
    <w:p>
      <w:pPr>
        <w:pStyle w:val="BodyText"/>
      </w:pPr>
      <w:r>
        <w:rPr>
          <w:bCs/>
          <w:b/>
        </w:rPr>
        <w:t xml:space="preserve">Avaliação do autor:</w:t>
      </w:r>
      <w:r>
        <w:t xml:space="preserve"> </w:t>
      </w:r>
      <w:r>
        <w:t xml:space="preserve">o mercado cinza não desaparecerá até 2035, mas vai mudar. Preços em queda para medicamentos aprovados deverão reduzir o incentivo a falsificações de semaglutida. Ao mesmo tempo, toda nova substância que causar sensação em estudos será oferecida como</w:t>
      </w:r>
      <w:r>
        <w:t xml:space="preserve"> </w:t>
      </w:r>
      <w:r>
        <w:t xml:space="preserve">“</w:t>
      </w:r>
      <w:r>
        <w:t xml:space="preserve">research peptide</w:t>
      </w:r>
      <w:r>
        <w:t xml:space="preserve">”</w:t>
      </w:r>
      <w:r>
        <w:t xml:space="preserve"> </w:t>
      </w:r>
      <w:r>
        <w:t xml:space="preserve">já antes de sua aprovação. Espero controles mais rigorosos de comerciantes online e de meios de pagamento na UE, mas nenhuma solução eficaz enquanto forem possíveis encomendas de países com fiscalização fraca.</w:t>
      </w:r>
    </w:p>
    <w:bookmarkEnd w:id="2964"/>
    <w:bookmarkStart w:id="2969" w:name="X4d53fe752cc6770ec98bc8dc72b7d886f71d2e2"/>
    <w:p>
      <w:pPr>
        <w:pStyle w:val="Heading4"/>
      </w:pPr>
      <w:r>
        <w:t xml:space="preserve">Inteligência artificial no design de peptídeos</w:t>
      </w:r>
    </w:p>
    <w:p>
      <w:pPr>
        <w:pStyle w:val="FirstParagraph"/>
      </w:pPr>
      <w:r>
        <w:rPr>
          <w:bCs/>
          <w:b/>
        </w:rPr>
        <w:t xml:space="preserve">Assegurado:</w:t>
      </w:r>
      <w:r>
        <w:t xml:space="preserve"> </w:t>
      </w:r>
      <w:r>
        <w:t xml:space="preserve">até agora, todas as evidências publicadas vêm de experimentos de laboratório e com animais. Uma equipe de pesquisa projetou, com métodos de aprendizado de máquina, 10.000 novos agonistas do receptor de GLP-1, selecionou 60 no computador e os testou em laboratório; dois candidatos agiram em camundongos cerca de três vezes mais tempo do que a semaglutida</w:t>
      </w:r>
      <w:r>
        <w:rPr>
          <w:rStyle w:val="FootnoteReference"/>
        </w:rPr>
        <w:footnoteReference w:id="2965"/>
      </w:r>
      <w:r>
        <w:t xml:space="preserve">. Outro método projetou peptídeos em forma de anel que se ligam de forma direcionada a proteínas predefinidas; as estruturas determinadas em laboratório coincidiram de perto com os modelos computacionais</w:t>
      </w:r>
      <w:r>
        <w:rPr>
          <w:rStyle w:val="FootnoteReference"/>
        </w:rPr>
        <w:footnoteReference w:id="2966"/>
      </w:r>
      <w:r>
        <w:t xml:space="preserve">. Com um modelo de aprendizado, foram derivados de peptídeos bacterianos novos peptídeos antimicrobianos, um dos quais reduziu em mais de 95% a carga bacteriana em camundongos com uma infecção da coxa</w:t>
      </w:r>
      <w:r>
        <w:rPr>
          <w:rStyle w:val="FootnoteReference"/>
        </w:rPr>
        <w:footnoteReference w:id="2967"/>
      </w:r>
      <w:r>
        <w:t xml:space="preserve">. O peptídeo oral anti-PCSK9 enlicitida foi encontrado com outro método de alto rendimento e já está em fase 3</w:t>
      </w:r>
      <w:r>
        <w:rPr>
          <w:rStyle w:val="FootnoteReference"/>
        </w:rPr>
        <w:footnoteReference w:id="2968"/>
      </w:r>
      <w:r>
        <w:t xml:space="preserve">.</w:t>
      </w:r>
    </w:p>
    <w:p>
      <w:pPr>
        <w:pStyle w:val="BodyText"/>
      </w:pPr>
      <w:r>
        <w:rPr>
          <w:bCs/>
          <w:b/>
        </w:rPr>
        <w:t xml:space="preserve">Avaliação do autor:</w:t>
      </w:r>
      <w:r>
        <w:t xml:space="preserve"> </w:t>
      </w:r>
      <w:r>
        <w:t xml:space="preserve">até 2030, os primeiros peptídeos projetados com métodos de IA estarão em estudos iniciais em humanos; uma aprovação até 2035 é possível, mas não provável, porque mesmo uma molécula encontrada rapidamente precisa passar por todas as fases clínicas. A IA encurta a busca por candidatos, não o teste em humanos. Para os leitores, isso significa: ofertas que prometem</w:t>
      </w:r>
      <w:r>
        <w:t xml:space="preserve"> </w:t>
      </w:r>
      <w:r>
        <w:t xml:space="preserve">“</w:t>
      </w:r>
      <w:r>
        <w:t xml:space="preserve">peptídeos otimizados por IA</w:t>
      </w:r>
      <w:r>
        <w:t xml:space="preserve">”</w:t>
      </w:r>
      <w:r>
        <w:t xml:space="preserve"> </w:t>
      </w:r>
      <w:r>
        <w:t xml:space="preserve">são publicidade, não comprovação de eficácia.</w:t>
      </w:r>
    </w:p>
    <w:bookmarkEnd w:id="2969"/>
    <w:bookmarkEnd w:id="2970"/>
    <w:bookmarkStart w:id="2971" w:name="Xa99152bfaf05fa2d4533b0dc5ee7b8220e7d8fb"/>
    <w:p>
      <w:pPr>
        <w:pStyle w:val="Heading3"/>
      </w:pPr>
      <w:r>
        <w:t xml:space="preserve">Linha do tempo: o que está anunciado no registro até 2032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Período</w:t>
            </w:r>
          </w:p>
        </w:tc>
        <w:tc>
          <w:tcPr/>
          <w:p>
            <w:pPr>
              <w:pStyle w:val="Compact"/>
              <w:jc w:val="left"/>
            </w:pPr>
            <w:r>
              <w:t xml:space="preserve">Evento esperado segundo o registro</w:t>
            </w:r>
          </w:p>
        </w:tc>
        <w:tc>
          <w:tcPr/>
          <w:p>
            <w:pPr>
              <w:pStyle w:val="Compact"/>
              <w:jc w:val="left"/>
            </w:pPr>
            <w:r>
              <w:t xml:space="preserve">Substância</w:t>
            </w:r>
          </w:p>
        </w:tc>
        <w:tc>
          <w:tcPr/>
          <w:p>
            <w:pPr>
              <w:pStyle w:val="Compact"/>
              <w:jc w:val="left"/>
            </w:pPr>
            <w:r>
              <w:t xml:space="preserve">Estudo</w:t>
            </w:r>
          </w:p>
        </w:tc>
      </w:tr>
      <w:tr>
        <w:tc>
          <w:tcPr/>
          <w:p>
            <w:pPr>
              <w:pStyle w:val="Compact"/>
              <w:jc w:val="left"/>
            </w:pPr>
            <w:r>
              <w:t xml:space="preserve">2026/2027</w:t>
            </w:r>
          </w:p>
        </w:tc>
        <w:tc>
          <w:tcPr/>
          <w:p>
            <w:pPr>
              <w:pStyle w:val="Compact"/>
              <w:jc w:val="left"/>
            </w:pPr>
            <w:r>
              <w:t xml:space="preserve">resultados da comparação direta com tirzepatida</w:t>
            </w:r>
          </w:p>
        </w:tc>
        <w:tc>
          <w:tcPr/>
          <w:p>
            <w:pPr>
              <w:pStyle w:val="Compact"/>
              <w:jc w:val="left"/>
            </w:pPr>
            <w:r>
              <w:t xml:space="preserve">Retatrutida</w:t>
            </w:r>
          </w:p>
        </w:tc>
        <w:tc>
          <w:tcPr/>
          <w:p>
            <w:pPr>
              <w:pStyle w:val="Compact"/>
              <w:jc w:val="left"/>
            </w:pPr>
            <w:r>
              <w:t xml:space="preserve">NCT06662383</w:t>
            </w:r>
          </w:p>
        </w:tc>
      </w:tr>
      <w:tr>
        <w:tc>
          <w:tcPr/>
          <w:p>
            <w:pPr>
              <w:pStyle w:val="Compact"/>
              <w:jc w:val="left"/>
            </w:pPr>
            <w:r>
              <w:t xml:space="preserve">2027</w:t>
            </w:r>
          </w:p>
        </w:tc>
        <w:tc>
          <w:tcPr/>
          <w:p>
            <w:pPr>
              <w:pStyle w:val="Compact"/>
              <w:jc w:val="left"/>
            </w:pPr>
            <w:r>
              <w:t xml:space="preserve">resultados cardiovasculares sem diabetes</w:t>
            </w:r>
          </w:p>
        </w:tc>
        <w:tc>
          <w:tcPr/>
          <w:p>
            <w:pPr>
              <w:pStyle w:val="Compact"/>
              <w:jc w:val="left"/>
            </w:pPr>
            <w:r>
              <w:t xml:space="preserve">Tirzepatida</w:t>
            </w:r>
          </w:p>
        </w:tc>
        <w:tc>
          <w:tcPr/>
          <w:p>
            <w:pPr>
              <w:pStyle w:val="Compact"/>
              <w:jc w:val="left"/>
            </w:pPr>
            <w:r>
              <w:t xml:space="preserve">NCT05556512</w:t>
            </w:r>
          </w:p>
        </w:tc>
      </w:tr>
      <w:tr>
        <w:tc>
          <w:tcPr/>
          <w:p>
            <w:pPr>
              <w:pStyle w:val="Compact"/>
              <w:jc w:val="left"/>
            </w:pPr>
            <w:r>
              <w:t xml:space="preserve">2027</w:t>
            </w:r>
          </w:p>
        </w:tc>
        <w:tc>
          <w:tcPr/>
          <w:p>
            <w:pPr>
              <w:pStyle w:val="Compact"/>
              <w:jc w:val="left"/>
            </w:pPr>
            <w:r>
              <w:t xml:space="preserve">resultados cardiovasculares</w:t>
            </w:r>
          </w:p>
        </w:tc>
        <w:tc>
          <w:tcPr/>
          <w:p>
            <w:pPr>
              <w:pStyle w:val="Compact"/>
              <w:jc w:val="left"/>
            </w:pPr>
            <w:r>
              <w:t xml:space="preserve">CagriSema</w:t>
            </w:r>
          </w:p>
        </w:tc>
        <w:tc>
          <w:tcPr/>
          <w:p>
            <w:pPr>
              <w:pStyle w:val="Compact"/>
              <w:jc w:val="left"/>
            </w:pPr>
            <w:r>
              <w:t xml:space="preserve">NCT05669755</w:t>
            </w:r>
          </w:p>
        </w:tc>
      </w:tr>
      <w:tr>
        <w:tc>
          <w:tcPr/>
          <w:p>
            <w:pPr>
              <w:pStyle w:val="Compact"/>
              <w:jc w:val="left"/>
            </w:pPr>
            <w:r>
              <w:t xml:space="preserve">2027</w:t>
            </w:r>
          </w:p>
        </w:tc>
        <w:tc>
          <w:tcPr/>
          <w:p>
            <w:pPr>
              <w:pStyle w:val="Compact"/>
              <w:jc w:val="left"/>
            </w:pPr>
            <w:r>
              <w:t xml:space="preserve">acompanhamento após câncer colorretal</w:t>
            </w:r>
          </w:p>
        </w:tc>
        <w:tc>
          <w:tcPr/>
          <w:p>
            <w:pPr>
              <w:pStyle w:val="Compact"/>
              <w:jc w:val="left"/>
            </w:pPr>
            <w:r>
              <w:t xml:space="preserve">Timosina alfa-1</w:t>
            </w:r>
          </w:p>
        </w:tc>
        <w:tc>
          <w:tcPr/>
          <w:p>
            <w:pPr>
              <w:pStyle w:val="Compact"/>
              <w:jc w:val="left"/>
            </w:pPr>
            <w:r>
              <w:t xml:space="preserve">NCT05086614</w:t>
            </w:r>
          </w:p>
        </w:tc>
      </w:tr>
      <w:tr>
        <w:tc>
          <w:tcPr/>
          <w:p>
            <w:pPr>
              <w:pStyle w:val="Compact"/>
              <w:jc w:val="left"/>
            </w:pPr>
            <w:r>
              <w:t xml:space="preserve">2027</w:t>
            </w:r>
          </w:p>
        </w:tc>
        <w:tc>
          <w:tcPr/>
          <w:p>
            <w:pPr>
              <w:pStyle w:val="Compact"/>
              <w:jc w:val="left"/>
            </w:pPr>
            <w:r>
              <w:t xml:space="preserve">degeneração macular</w:t>
            </w:r>
          </w:p>
        </w:tc>
        <w:tc>
          <w:tcPr/>
          <w:p>
            <w:pPr>
              <w:pStyle w:val="Compact"/>
              <w:jc w:val="left"/>
            </w:pPr>
            <w:r>
              <w:t xml:space="preserve">Elamipretida</w:t>
            </w:r>
          </w:p>
        </w:tc>
        <w:tc>
          <w:tcPr/>
          <w:p>
            <w:pPr>
              <w:pStyle w:val="Compact"/>
              <w:jc w:val="left"/>
            </w:pPr>
            <w:r>
              <w:t xml:space="preserve">NCT06373731</w:t>
            </w:r>
          </w:p>
        </w:tc>
      </w:tr>
      <w:tr>
        <w:tc>
          <w:tcPr/>
          <w:p>
            <w:pPr>
              <w:pStyle w:val="Compact"/>
              <w:jc w:val="left"/>
            </w:pPr>
            <w:r>
              <w:t xml:space="preserve">2028</w:t>
            </w:r>
          </w:p>
        </w:tc>
        <w:tc>
          <w:tcPr/>
          <w:p>
            <w:pPr>
              <w:pStyle w:val="Compact"/>
              <w:jc w:val="left"/>
            </w:pPr>
            <w:r>
              <w:t xml:space="preserve">crescimento em crianças</w:t>
            </w:r>
          </w:p>
        </w:tc>
        <w:tc>
          <w:tcPr/>
          <w:p>
            <w:pPr>
              <w:pStyle w:val="Compact"/>
              <w:jc w:val="left"/>
            </w:pPr>
            <w:r>
              <w:t xml:space="preserve">Ibutamoreno (LUM-201)</w:t>
            </w:r>
          </w:p>
        </w:tc>
        <w:tc>
          <w:tcPr/>
          <w:p>
            <w:pPr>
              <w:pStyle w:val="Compact"/>
              <w:jc w:val="left"/>
            </w:pPr>
            <w:r>
              <w:t xml:space="preserve">NCT06948214</w:t>
            </w:r>
          </w:p>
        </w:tc>
      </w:tr>
      <w:tr>
        <w:tc>
          <w:tcPr/>
          <w:p>
            <w:pPr>
              <w:pStyle w:val="Compact"/>
              <w:jc w:val="left"/>
            </w:pPr>
            <w:r>
              <w:t xml:space="preserve">2029</w:t>
            </w:r>
          </w:p>
        </w:tc>
        <w:tc>
          <w:tcPr/>
          <w:p>
            <w:pPr>
              <w:pStyle w:val="Compact"/>
              <w:jc w:val="left"/>
            </w:pPr>
            <w:r>
              <w:t xml:space="preserve">eventos cardíacos e renais</w:t>
            </w:r>
          </w:p>
        </w:tc>
        <w:tc>
          <w:tcPr/>
          <w:p>
            <w:pPr>
              <w:pStyle w:val="Compact"/>
              <w:jc w:val="left"/>
            </w:pPr>
            <w:r>
              <w:t xml:space="preserve">Retatrutida</w:t>
            </w:r>
          </w:p>
        </w:tc>
        <w:tc>
          <w:tcPr/>
          <w:p>
            <w:pPr>
              <w:pStyle w:val="Compact"/>
              <w:jc w:val="left"/>
            </w:pPr>
            <w:r>
              <w:t xml:space="preserve">NCT06383390</w:t>
            </w:r>
          </w:p>
        </w:tc>
      </w:tr>
      <w:tr>
        <w:tc>
          <w:tcPr/>
          <w:p>
            <w:pPr>
              <w:pStyle w:val="Compact"/>
              <w:jc w:val="left"/>
            </w:pPr>
            <w:r>
              <w:t xml:space="preserve">2030</w:t>
            </w:r>
          </w:p>
        </w:tc>
        <w:tc>
          <w:tcPr/>
          <w:p>
            <w:pPr>
              <w:pStyle w:val="Compact"/>
              <w:jc w:val="left"/>
            </w:pPr>
            <w:r>
              <w:t xml:space="preserve">resultados cardiovasculares, insuficiência cardíaca</w:t>
            </w:r>
          </w:p>
        </w:tc>
        <w:tc>
          <w:tcPr/>
          <w:p>
            <w:pPr>
              <w:pStyle w:val="Compact"/>
              <w:jc w:val="left"/>
            </w:pPr>
            <w:r>
              <w:t xml:space="preserve">Maridebarte cafraglutida</w:t>
            </w:r>
          </w:p>
        </w:tc>
        <w:tc>
          <w:tcPr/>
          <w:p>
            <w:pPr>
              <w:pStyle w:val="Compact"/>
              <w:jc w:val="left"/>
            </w:pPr>
            <w:r>
              <w:t xml:space="preserve">NCT07037433, NCT07037459</w:t>
            </w:r>
          </w:p>
        </w:tc>
      </w:tr>
      <w:tr>
        <w:tc>
          <w:tcPr/>
          <w:p>
            <w:pPr>
              <w:pStyle w:val="Compact"/>
              <w:jc w:val="left"/>
            </w:pPr>
            <w:r>
              <w:t xml:space="preserve">2030</w:t>
            </w:r>
          </w:p>
        </w:tc>
        <w:tc>
          <w:tcPr/>
          <w:p>
            <w:pPr>
              <w:pStyle w:val="Compact"/>
              <w:jc w:val="left"/>
            </w:pPr>
            <w:r>
              <w:t xml:space="preserve">resultados cardiovasculares</w:t>
            </w:r>
          </w:p>
        </w:tc>
        <w:tc>
          <w:tcPr/>
          <w:p>
            <w:pPr>
              <w:pStyle w:val="Compact"/>
              <w:jc w:val="left"/>
            </w:pPr>
            <w:r>
              <w:t xml:space="preserve">Zenagamtida</w:t>
            </w:r>
          </w:p>
        </w:tc>
        <w:tc>
          <w:tcPr/>
          <w:p>
            <w:pPr>
              <w:pStyle w:val="Compact"/>
              <w:jc w:val="left"/>
            </w:pPr>
            <w:r>
              <w:t xml:space="preserve">NCT07861100</w:t>
            </w:r>
          </w:p>
        </w:tc>
      </w:tr>
      <w:tr>
        <w:tc>
          <w:tcPr/>
          <w:p>
            <w:pPr>
              <w:pStyle w:val="Compact"/>
              <w:jc w:val="left"/>
            </w:pPr>
            <w:r>
              <w:t xml:space="preserve">2031</w:t>
            </w:r>
          </w:p>
        </w:tc>
        <w:tc>
          <w:tcPr/>
          <w:p>
            <w:pPr>
              <w:pStyle w:val="Compact"/>
              <w:jc w:val="left"/>
            </w:pPr>
            <w:r>
              <w:t xml:space="preserve">resultados cardiovasculares</w:t>
            </w:r>
          </w:p>
        </w:tc>
        <w:tc>
          <w:tcPr/>
          <w:p>
            <w:pPr>
              <w:pStyle w:val="Compact"/>
              <w:jc w:val="left"/>
            </w:pPr>
            <w:r>
              <w:t xml:space="preserve">Orforglipron</w:t>
            </w:r>
          </w:p>
        </w:tc>
        <w:tc>
          <w:tcPr/>
          <w:p>
            <w:pPr>
              <w:pStyle w:val="Compact"/>
              <w:jc w:val="left"/>
            </w:pPr>
            <w:r>
              <w:t xml:space="preserve">NCT07241390</w:t>
            </w:r>
          </w:p>
        </w:tc>
      </w:tr>
      <w:tr>
        <w:tc>
          <w:tcPr/>
          <w:p>
            <w:pPr>
              <w:pStyle w:val="Compact"/>
              <w:jc w:val="left"/>
            </w:pPr>
            <w:r>
              <w:t xml:space="preserve">2031</w:t>
            </w:r>
          </w:p>
        </w:tc>
        <w:tc>
          <w:tcPr/>
          <w:p>
            <w:pPr>
              <w:pStyle w:val="Compact"/>
              <w:jc w:val="left"/>
            </w:pPr>
            <w:r>
              <w:t xml:space="preserve">resultados cardiovasculares</w:t>
            </w:r>
          </w:p>
        </w:tc>
        <w:tc>
          <w:tcPr/>
          <w:p>
            <w:pPr>
              <w:pStyle w:val="Compact"/>
              <w:jc w:val="left"/>
            </w:pPr>
            <w:r>
              <w:t xml:space="preserve">Enlicitida (peptídeo oral)</w:t>
            </w:r>
          </w:p>
        </w:tc>
        <w:tc>
          <w:tcPr/>
          <w:p>
            <w:pPr>
              <w:pStyle w:val="Compact"/>
              <w:jc w:val="left"/>
            </w:pPr>
            <w:r>
              <w:t xml:space="preserve">NCT06008756</w:t>
            </w:r>
          </w:p>
        </w:tc>
      </w:tr>
      <w:tr>
        <w:tc>
          <w:tcPr/>
          <w:p>
            <w:pPr>
              <w:pStyle w:val="Compact"/>
              <w:jc w:val="left"/>
            </w:pPr>
            <w:r>
              <w:t xml:space="preserve">2032</w:t>
            </w:r>
          </w:p>
        </w:tc>
        <w:tc>
          <w:tcPr/>
          <w:p>
            <w:pPr>
              <w:pStyle w:val="Compact"/>
              <w:jc w:val="left"/>
            </w:pPr>
            <w:r>
              <w:t xml:space="preserve">eventos hepáticos graves</w:t>
            </w:r>
          </w:p>
        </w:tc>
        <w:tc>
          <w:tcPr/>
          <w:p>
            <w:pPr>
              <w:pStyle w:val="Compact"/>
              <w:jc w:val="left"/>
            </w:pPr>
            <w:r>
              <w:t xml:space="preserve">Tirzepatida, retatrutida</w:t>
            </w:r>
          </w:p>
        </w:tc>
        <w:tc>
          <w:tcPr/>
          <w:p>
            <w:pPr>
              <w:pStyle w:val="Compact"/>
              <w:jc w:val="left"/>
            </w:pPr>
            <w:r>
              <w:t xml:space="preserve">NCT07165028</w:t>
            </w:r>
          </w:p>
        </w:tc>
      </w:tr>
    </w:tbl>
    <w:p>
      <w:pPr>
        <w:pStyle w:val="BodyText"/>
      </w:pPr>
      <w:r>
        <w:t xml:space="preserve">Os anos são os términos de estudo indicados no registro. As publicações costumam vir depois, e adiamentos são frequentes.</w:t>
      </w:r>
    </w:p>
    <w:bookmarkEnd w:id="2971"/>
    <w:bookmarkStart w:id="2972" w:name="conclusão-do-livro"/>
    <w:p>
      <w:pPr>
        <w:pStyle w:val="Heading3"/>
      </w:pPr>
      <w:r>
        <w:t xml:space="preserve">Conclusão do livro</w:t>
      </w:r>
    </w:p>
    <w:p>
      <w:pPr>
        <w:pStyle w:val="FirstParagraph"/>
      </w:pPr>
      <w:r>
        <w:t xml:space="preserve">Dos peptídeos deste livro, apenas poucos comprovaram em grandes estudos em humanos o que são capazes de fazer – à frente de todos, os medicamentos baseados em GLP-1, cujo benefício está comprovado até a redução de eventos cardiovasculares. Para a maioria dos peptídeos promovidos na internet como remédios milagrosos para cicatrização, músculos ou vida longa, por outro lado, há apenas experimentos com animais, estudos pequenos ou nenhum dado – e também nenhum grande estudo em andamento que vá mudar isso em breve. O futuro da medicina com peptídeos não se decide, portanto, em lojas online, mas nos estudos de desfechos que terminam entre 2027 e 2032. Quem se interessa por um peptídeo faz bem em se orientar por três perguntas: existem estudos randomizados em humanos, o produto é um medicamento verificado e há um médico acompanhando o uso?</w:t>
      </w:r>
    </w:p>
    <w:bookmarkEnd w:id="2972"/>
    <w:bookmarkEnd w:id="2973"/>
    <w:bookmarkEnd w:id="2974"/>
    <w:bookmarkStart w:id="2994" w:name="glossário"/>
    <w:p>
      <w:pPr>
        <w:pStyle w:val="Heading1"/>
      </w:pPr>
      <w:r>
        <w:t xml:space="preserve">Glossário</w:t>
      </w:r>
    </w:p>
    <w:p>
      <w:pPr>
        <w:pStyle w:val="FirstParagraph"/>
      </w:pPr>
      <w:r>
        <w:t xml:space="preserve">As explicações a seguir são deliberadamente breves. Apresentações mais detalhadas estão nos capítulos da Parte I, em especial em</w:t>
      </w:r>
      <w:r>
        <w:t xml:space="preserve"> </w:t>
      </w:r>
      <w:r>
        <w:t xml:space="preserve">“</w:t>
      </w:r>
      <w:r>
        <w:t xml:space="preserve">O que são peptídeos – e o que não são</w:t>
      </w:r>
      <w:r>
        <w:t xml:space="preserve">”</w:t>
      </w:r>
      <w:r>
        <w:t xml:space="preserve"> </w:t>
      </w:r>
      <w:r>
        <w:t xml:space="preserve">e</w:t>
      </w:r>
      <w:r>
        <w:t xml:space="preserve"> </w:t>
      </w:r>
      <w:r>
        <w:t xml:space="preserve">“</w:t>
      </w:r>
      <w:r>
        <w:t xml:space="preserve">Como ler estudos corretamente</w:t>
      </w:r>
      <w:r>
        <w:t xml:space="preserve">”</w:t>
      </w:r>
      <w:r>
        <w:t xml:space="preserve">.</w:t>
      </w:r>
    </w:p>
    <w:bookmarkStart w:id="2975" w:name="a"/>
    <w:p>
      <w:pPr>
        <w:pStyle w:val="Heading3"/>
      </w:pPr>
      <w:r>
        <w:t xml:space="preserve">A</w:t>
      </w:r>
    </w:p>
    <w:p>
      <w:pPr>
        <w:pStyle w:val="FirstParagraph"/>
      </w:pPr>
      <w:r>
        <w:rPr>
          <w:bCs/>
          <w:b/>
        </w:rPr>
        <w:t xml:space="preserve">Acromegalia</w:t>
      </w:r>
      <w:r>
        <w:t xml:space="preserve">: doença causada por uma superprodução permanente de hormônio do crescimento na idade adulta, em geral por um tumor benigno da hipófise. São típicos o aumento das mãos, dos pés e dos traços faciais.</w:t>
      </w:r>
    </w:p>
    <w:p>
      <w:pPr>
        <w:pStyle w:val="BodyText"/>
      </w:pPr>
      <w:r>
        <w:rPr>
          <w:bCs/>
          <w:b/>
        </w:rPr>
        <w:t xml:space="preserve">Agonista</w:t>
      </w:r>
      <w:r>
        <w:t xml:space="preserve">: uma substância que se liga a um receptor e o ativa, ou seja, desencadeia um sinal. A semaglutida, por exemplo, é um agonista do receptor de GLP-1.</w:t>
      </w:r>
    </w:p>
    <w:p>
      <w:pPr>
        <w:pStyle w:val="BodyText"/>
      </w:pPr>
      <w:r>
        <w:rPr>
          <w:bCs/>
          <w:b/>
        </w:rPr>
        <w:t xml:space="preserve">Agonista do receptor de GLP-1</w:t>
      </w:r>
      <w:r>
        <w:t xml:space="preserve">: uma substância que ativa o receptor de GLP-1, por exemplo exenatida, liraglutida, dulaglutida ou semaglutida.</w:t>
      </w:r>
    </w:p>
    <w:p>
      <w:pPr>
        <w:pStyle w:val="BodyText"/>
      </w:pPr>
      <w:r>
        <w:rPr>
          <w:bCs/>
          <w:b/>
        </w:rPr>
        <w:t xml:space="preserve">Albumina</w:t>
      </w:r>
      <w:r>
        <w:t xml:space="preserve">: a proteína mais abundante do plasma sanguíneo. Alguns medicamentos peptídicos são construídos de modo a se ligar à albumina e, com isso, permanecer mais tempo no corpo.</w:t>
      </w:r>
    </w:p>
    <w:p>
      <w:pPr>
        <w:pStyle w:val="BodyText"/>
      </w:pPr>
      <w:r>
        <w:rPr>
          <w:bCs/>
          <w:b/>
        </w:rPr>
        <w:t xml:space="preserve">Amilina</w:t>
      </w:r>
      <w:r>
        <w:t xml:space="preserve">: um hormônio peptídico secretado pelo pâncreas junto com a insulina, que influencia, entre outros, a saciedade e o esvaziamento gástrico. Variantes como a pranlintida e a cagrilintida são usadas ou pesquisadas como medicamentos.</w:t>
      </w:r>
    </w:p>
    <w:p>
      <w:pPr>
        <w:pStyle w:val="BodyText"/>
      </w:pPr>
      <w:r>
        <w:rPr>
          <w:bCs/>
          <w:b/>
        </w:rPr>
        <w:t xml:space="preserve">Aminoácido</w:t>
      </w:r>
      <w:r>
        <w:t xml:space="preserve">: componente básico de peptídeos e proteínas. O ser humano usa essencialmente 20 aminoácidos padrão, que são unidos em cadeias por ligações peptídicas.</w:t>
      </w:r>
    </w:p>
    <w:p>
      <w:pPr>
        <w:pStyle w:val="BodyText"/>
      </w:pPr>
      <w:r>
        <w:rPr>
          <w:bCs/>
          <w:b/>
        </w:rPr>
        <w:t xml:space="preserve">Análise por intenção de tratar</w:t>
      </w:r>
      <w:r>
        <w:t xml:space="preserve">: análise de um estudo em que todos os participantes são contados no grupo para o qual foram designados – mesmo que tenham interrompido o tratamento. É considerada uma estimativa mais realista do efeito no dia a dia.</w:t>
      </w:r>
    </w:p>
    <w:p>
      <w:pPr>
        <w:pStyle w:val="BodyText"/>
      </w:pPr>
      <w:r>
        <w:rPr>
          <w:bCs/>
          <w:b/>
        </w:rPr>
        <w:t xml:space="preserve">Análogo</w:t>
      </w:r>
      <w:r>
        <w:t xml:space="preserve">: uma molécula que imita um modelo natural, mas foi modificada de forma direcionada – por exemplo, para torná-la mais estável ou de ação mais longa.</w:t>
      </w:r>
    </w:p>
    <w:p>
      <w:pPr>
        <w:pStyle w:val="BodyText"/>
      </w:pPr>
      <w:r>
        <w:rPr>
          <w:bCs/>
          <w:b/>
        </w:rPr>
        <w:t xml:space="preserve">Angiogênese</w:t>
      </w:r>
      <w:r>
        <w:t xml:space="preserve">: formação de novos vasos sanguíneos. É importante para a cicatrização de feridas, mas também pode favorecer o crescimento de tumores.</w:t>
      </w:r>
    </w:p>
    <w:p>
      <w:pPr>
        <w:pStyle w:val="BodyText"/>
      </w:pPr>
      <w:r>
        <w:rPr>
          <w:bCs/>
          <w:b/>
        </w:rPr>
        <w:t xml:space="preserve">Antagonista</w:t>
      </w:r>
      <w:r>
        <w:t xml:space="preserve">: uma substância que se liga a um receptor sem ativá-lo e, com isso, bloqueia o efeito de mensageiros do próprio corpo.</w:t>
      </w:r>
    </w:p>
    <w:p>
      <w:pPr>
        <w:pStyle w:val="BodyText"/>
      </w:pPr>
      <w:r>
        <w:rPr>
          <w:bCs/>
          <w:b/>
        </w:rPr>
        <w:t xml:space="preserve">Anticorpos</w:t>
      </w:r>
      <w:r>
        <w:t xml:space="preserve">: moléculas proteicas do sistema imunológico que se ligam de forma específica a estruturas estranhas. Anticorpos formados contra medicamentos peptídicos podem atenuar seu efeito ou desencadear reações.</w:t>
      </w:r>
    </w:p>
    <w:p>
      <w:pPr>
        <w:pStyle w:val="BodyText"/>
      </w:pPr>
      <w:r>
        <w:rPr>
          <w:bCs/>
          <w:b/>
        </w:rPr>
        <w:t xml:space="preserve">Aprovação</w:t>
      </w:r>
      <w:r>
        <w:t xml:space="preserve">: a autorização oficial para colocar um medicamento no mercado, após a avaliação de qualidade, eficácia e segurança.</w:t>
      </w:r>
    </w:p>
    <w:p>
      <w:pPr>
        <w:pStyle w:val="BodyText"/>
      </w:pPr>
      <w:r>
        <w:rPr>
          <w:bCs/>
          <w:b/>
        </w:rPr>
        <w:t xml:space="preserve">Autorização de uso terapêutico (TUE)</w:t>
      </w:r>
      <w:r>
        <w:t xml:space="preserve">: uma autorização médica excepcional no esporte, que permite o uso de um medicamento proibido, mas clinicamente necessário.</w:t>
      </w:r>
    </w:p>
    <w:bookmarkEnd w:id="2975"/>
    <w:bookmarkStart w:id="2976" w:name="b"/>
    <w:p>
      <w:pPr>
        <w:pStyle w:val="Heading3"/>
      </w:pPr>
      <w:r>
        <w:t xml:space="preserve">B</w:t>
      </w:r>
    </w:p>
    <w:p>
      <w:pPr>
        <w:pStyle w:val="FirstParagraph"/>
      </w:pPr>
      <w:r>
        <w:rPr>
          <w:bCs/>
          <w:b/>
        </w:rPr>
        <w:t xml:space="preserve">Biodisponibilidade</w:t>
      </w:r>
      <w:r>
        <w:t xml:space="preserve">: a proporção de uma substância administrada que chega inalterada à circulação sanguínea. Em uma infusão na veia, ela é de 100%; em comprimidos de peptídeos, muitas vezes de apenas poucos por cento ou menos.</w:t>
      </w:r>
    </w:p>
    <w:p>
      <w:pPr>
        <w:pStyle w:val="BodyText"/>
      </w:pPr>
      <w:r>
        <w:rPr>
          <w:bCs/>
          <w:b/>
        </w:rPr>
        <w:t xml:space="preserve">Biossimilar</w:t>
      </w:r>
      <w:r>
        <w:t xml:space="preserve">: uma preparação sucessora de um medicamento biológico após o fim da proteção patentária. Precisa ser comprovadamente muito semelhante ao original em qualidade, eficácia e segurança.</w:t>
      </w:r>
    </w:p>
    <w:p>
      <w:pPr>
        <w:pStyle w:val="BodyText"/>
      </w:pPr>
      <w:r>
        <w:rPr>
          <w:bCs/>
          <w:b/>
        </w:rPr>
        <w:t xml:space="preserve">Bula profissional</w:t>
      </w:r>
      <w:r>
        <w:t xml:space="preserve">: a informação aprovada pelas autoridades sobre um medicamento aprovado, destinada a médicos e farmácias, com indicações, posologia, contraindicações e efeitos colaterais.</w:t>
      </w:r>
    </w:p>
    <w:bookmarkEnd w:id="2976"/>
    <w:bookmarkStart w:id="2977" w:name="c"/>
    <w:p>
      <w:pPr>
        <w:pStyle w:val="Heading3"/>
      </w:pPr>
      <w:r>
        <w:t xml:space="preserve">C</w:t>
      </w:r>
    </w:p>
    <w:p>
      <w:pPr>
        <w:pStyle w:val="FirstParagraph"/>
      </w:pPr>
      <w:r>
        <w:rPr>
          <w:bCs/>
          <w:b/>
        </w:rPr>
        <w:t xml:space="preserve">C-terminal</w:t>
      </w:r>
      <w:r>
        <w:t xml:space="preserve">: a extremidade de uma cadeia peptídica com o grupo ácido livre. As sequências de peptídeos são escritas do N-terminal para o C-terminal.</w:t>
      </w:r>
    </w:p>
    <w:p>
      <w:pPr>
        <w:pStyle w:val="BodyText"/>
      </w:pPr>
      <w:r>
        <w:rPr>
          <w:bCs/>
          <w:b/>
        </w:rPr>
        <w:t xml:space="preserve">Cegamento</w:t>
      </w:r>
      <w:r>
        <w:t xml:space="preserve">: a ocultação da distribuição entre os grupos para participantes e/ou equipe do estudo, a fim de evitar efeitos de expectativa.</w:t>
      </w:r>
    </w:p>
    <w:p>
      <w:pPr>
        <w:pStyle w:val="BodyText"/>
      </w:pPr>
      <w:r>
        <w:rPr>
          <w:bCs/>
          <w:b/>
        </w:rPr>
        <w:t xml:space="preserve">Compounding</w:t>
      </w:r>
      <w:r>
        <w:t xml:space="preserve">: nos EUA, a preparação de medicamentos pelas próprias farmácias, por exemplo em caso de falta de abastecimento. Essas preparações não são medicamentos industrializados aprovados.</w:t>
      </w:r>
    </w:p>
    <w:p>
      <w:pPr>
        <w:pStyle w:val="BodyText"/>
      </w:pPr>
      <w:r>
        <w:rPr>
          <w:bCs/>
          <w:b/>
        </w:rPr>
        <w:t xml:space="preserve">Conflito de interesses</w:t>
      </w:r>
      <w:r>
        <w:t xml:space="preserve">: uma situação em que interesses financeiros ou de outro tipo poderiam influenciar o julgamento de pesquisadores ou autores, por exemplo pelo financiamento de um estudo pelo fabricante.</w:t>
      </w:r>
    </w:p>
    <w:p>
      <w:pPr>
        <w:pStyle w:val="BodyText"/>
      </w:pPr>
      <w:r>
        <w:rPr>
          <w:bCs/>
          <w:b/>
        </w:rPr>
        <w:t xml:space="preserve">Cosmético</w:t>
      </w:r>
      <w:r>
        <w:t xml:space="preserve">: um produto de uso externo que limpa, cuida, protege ou altera a aparência. Não pode reivindicar efeito medicamentoso e não precisa de aprovação na UE.</w:t>
      </w:r>
    </w:p>
    <w:bookmarkEnd w:id="2977"/>
    <w:bookmarkStart w:id="2978" w:name="d"/>
    <w:p>
      <w:pPr>
        <w:pStyle w:val="Heading3"/>
      </w:pPr>
      <w:r>
        <w:t xml:space="preserve">D</w:t>
      </w:r>
    </w:p>
    <w:p>
      <w:pPr>
        <w:pStyle w:val="FirstParagraph"/>
      </w:pPr>
      <w:r>
        <w:rPr>
          <w:bCs/>
          <w:b/>
        </w:rPr>
        <w:t xml:space="preserve">Dalton</w:t>
      </w:r>
      <w:r>
        <w:t xml:space="preserve">: unidade de medida da massa de moléculas. Um aminoácido em uma cadeia peptídica pesa em média um pouco mais de 100 daltons.</w:t>
      </w:r>
    </w:p>
    <w:p>
      <w:pPr>
        <w:pStyle w:val="BodyText"/>
      </w:pPr>
      <w:r>
        <w:rPr>
          <w:bCs/>
          <w:b/>
        </w:rPr>
        <w:t xml:space="preserve">Desfecho</w:t>
      </w:r>
      <w:r>
        <w:t xml:space="preserve">: a característica pela qual se mede, em um estudo, o sucesso de um tratamento, como perda de peso, glicemia ou infartos. O mais importante é definido como desfecho primário antes do início do estudo.</w:t>
      </w:r>
    </w:p>
    <w:p>
      <w:pPr>
        <w:pStyle w:val="BodyText"/>
      </w:pPr>
      <w:r>
        <w:rPr>
          <w:bCs/>
          <w:b/>
        </w:rPr>
        <w:t xml:space="preserve">Desfecho duro</w:t>
      </w:r>
      <w:r>
        <w:t xml:space="preserve">: um resultado de estudo que importa diretamente para os pacientes, como morte, infarto, AVC ou fratura óssea.</w:t>
      </w:r>
    </w:p>
    <w:p>
      <w:pPr>
        <w:pStyle w:val="BodyText"/>
      </w:pPr>
      <w:r>
        <w:rPr>
          <w:bCs/>
          <w:b/>
        </w:rPr>
        <w:t xml:space="preserve">Desfecho substituto</w:t>
      </w:r>
      <w:r>
        <w:t xml:space="preserve">: um valor medido usado em lugar de um evento clinicamente relevante, por exemplo a glicemia em vez do infarto. Melhoras de um desfecho substituto não significam automaticamente um benefício para os pacientes.</w:t>
      </w:r>
    </w:p>
    <w:p>
      <w:pPr>
        <w:pStyle w:val="BodyText"/>
      </w:pPr>
      <w:r>
        <w:rPr>
          <w:bCs/>
          <w:b/>
        </w:rPr>
        <w:t xml:space="preserve">Diabetes tipo 2</w:t>
      </w:r>
      <w:r>
        <w:t xml:space="preserve">: a forma mais comum de diabetes, em que o corpo usa a insulina de forma menos eficaz e o pâncreas não produz o suficiente para compensar. Frequentemente associado ao excesso de peso.</w:t>
      </w:r>
    </w:p>
    <w:p>
      <w:pPr>
        <w:pStyle w:val="BodyText"/>
      </w:pPr>
      <w:r>
        <w:rPr>
          <w:bCs/>
          <w:b/>
        </w:rPr>
        <w:t xml:space="preserve">Dipeptidil peptidase-4 (DPP-4)</w:t>
      </w:r>
      <w:r>
        <w:t xml:space="preserve">: uma enzima que degrada rapidamente, entre outros, o hormônio intestinal GLP-1. Inibidores dessa enzima (gliptinas) são usados como comprimidos para diabetes.</w:t>
      </w:r>
    </w:p>
    <w:p>
      <w:pPr>
        <w:pStyle w:val="BodyText"/>
      </w:pPr>
      <w:r>
        <w:rPr>
          <w:bCs/>
          <w:b/>
        </w:rPr>
        <w:t xml:space="preserve">Duplo-cego</w:t>
      </w:r>
      <w:r>
        <w:t xml:space="preserve">: um estudo em que nem os participantes nem a equipe do estudo sabem quem recebe a substância ativa e quem recebe placebo. Isso reduz a influência das expectativas sobre os resultados.</w:t>
      </w:r>
    </w:p>
    <w:bookmarkEnd w:id="2978"/>
    <w:bookmarkStart w:id="2979" w:name="e"/>
    <w:p>
      <w:pPr>
        <w:pStyle w:val="Heading3"/>
      </w:pPr>
      <w:r>
        <w:t xml:space="preserve">E</w:t>
      </w:r>
    </w:p>
    <w:p>
      <w:pPr>
        <w:pStyle w:val="FirstParagraph"/>
      </w:pPr>
      <w:r>
        <w:rPr>
          <w:bCs/>
          <w:b/>
        </w:rPr>
        <w:t xml:space="preserve">ECR (ensaio clínico randomizado)</w:t>
      </w:r>
      <w:r>
        <w:t xml:space="preserve">: um estudo com distribuição aleatória entre um grupo de tratamento e um grupo controle. É considerado o caminho mais confiável para comprovar o efeito de um tratamento.</w:t>
      </w:r>
    </w:p>
    <w:p>
      <w:pPr>
        <w:pStyle w:val="BodyText"/>
      </w:pPr>
      <w:r>
        <w:rPr>
          <w:bCs/>
          <w:b/>
        </w:rPr>
        <w:t xml:space="preserve">Efeito placebo</w:t>
      </w:r>
      <w:r>
        <w:t xml:space="preserve">: uma melhora de queixas que não se deve a uma substância ativa, mas a expectativas, atenção recebida ou à evolução natural.</w:t>
      </w:r>
    </w:p>
    <w:p>
      <w:pPr>
        <w:pStyle w:val="BodyText"/>
      </w:pPr>
      <w:r>
        <w:rPr>
          <w:bCs/>
          <w:b/>
        </w:rPr>
        <w:t xml:space="preserve">Endotoxinas</w:t>
      </w:r>
      <w:r>
        <w:t xml:space="preserve">: componentes termoestáveis da parede celular de determinadas bactérias. Se chegam ao sangue, podem desencadear febre, inflamações e reações circulatórias; continuam ativas mesmo depois que as bactérias foram mortas.</w:t>
      </w:r>
    </w:p>
    <w:p>
      <w:pPr>
        <w:pStyle w:val="BodyText"/>
      </w:pPr>
      <w:r>
        <w:rPr>
          <w:bCs/>
          <w:b/>
        </w:rPr>
        <w:t xml:space="preserve">Espectrometria de massas</w:t>
      </w:r>
      <w:r>
        <w:t xml:space="preserve">: um método de medição que determina moléculas pela sua massa. Com ele, peptídeos em produtos e em líquidos corporais podem ser identificados de forma inequívoca, por exemplo em controles antidoping.</w:t>
      </w:r>
    </w:p>
    <w:p>
      <w:pPr>
        <w:pStyle w:val="BodyText"/>
      </w:pPr>
      <w:r>
        <w:rPr>
          <w:bCs/>
          <w:b/>
        </w:rPr>
        <w:t xml:space="preserve">Esterilidade</w:t>
      </w:r>
      <w:r>
        <w:t xml:space="preserve">: ausência de microrganismos vivos. Um produto estéril pode, ainda assim, conter endotoxinas.</w:t>
      </w:r>
    </w:p>
    <w:p>
      <w:pPr>
        <w:pStyle w:val="BodyText"/>
      </w:pPr>
      <w:r>
        <w:rPr>
          <w:bCs/>
          <w:b/>
        </w:rPr>
        <w:t xml:space="preserve">Estimando</w:t>
      </w:r>
      <w:r>
        <w:t xml:space="preserve">: uma descrição precisa de qual efeito do tratamento é estimado em um estudo – por exemplo, independentemente de os participantes interromperem o tratamento, ou apenas para o período de uso efetivo.</w:t>
      </w:r>
    </w:p>
    <w:p>
      <w:pPr>
        <w:pStyle w:val="BodyText"/>
      </w:pPr>
      <w:r>
        <w:rPr>
          <w:bCs/>
          <w:b/>
        </w:rPr>
        <w:t xml:space="preserve">Estudo aberto</w:t>
      </w:r>
      <w:r>
        <w:t xml:space="preserve">: um estudo sem cegamento, em que participantes e equipe do estudo sabem qual tratamento é administrado.</w:t>
      </w:r>
    </w:p>
    <w:p>
      <w:pPr>
        <w:pStyle w:val="BodyText"/>
      </w:pPr>
      <w:r>
        <w:rPr>
          <w:bCs/>
          <w:b/>
        </w:rPr>
        <w:t xml:space="preserve">Estudo de coorte</w:t>
      </w:r>
      <w:r>
        <w:t xml:space="preserve">: um estudo observacional que acompanha um grupo de pessoas por um período mais longo e compara com que frequência determinados eventos ocorrem conforme diferentes características ou tratamentos.</w:t>
      </w:r>
    </w:p>
    <w:p>
      <w:pPr>
        <w:pStyle w:val="BodyText"/>
      </w:pPr>
      <w:r>
        <w:rPr>
          <w:bCs/>
          <w:b/>
        </w:rPr>
        <w:t xml:space="preserve">Estudos pré-clínicos</w:t>
      </w:r>
      <w:r>
        <w:t xml:space="preserve">: investigações em laboratório e em animais realizadas antes dos primeiros estudos em humanos.</w:t>
      </w:r>
    </w:p>
    <w:p>
      <w:pPr>
        <w:pStyle w:val="BodyText"/>
      </w:pPr>
      <w:r>
        <w:rPr>
          <w:bCs/>
          <w:b/>
        </w:rPr>
        <w:t xml:space="preserve">EudraVigilance</w:t>
      </w:r>
      <w:r>
        <w:t xml:space="preserve">: o banco de dados da Agência Europeia de Medicamentos para notificações de suspeitas de efeitos colaterais.</w:t>
      </w:r>
    </w:p>
    <w:p>
      <w:pPr>
        <w:pStyle w:val="BodyText"/>
      </w:pPr>
      <w:r>
        <w:rPr>
          <w:bCs/>
          <w:b/>
        </w:rPr>
        <w:t xml:space="preserve">Evento adverso</w:t>
      </w:r>
      <w:r>
        <w:t xml:space="preserve">: qualquer problema de saúde que ocorra durante um estudo, independentemente de ter sido causado pelo tratamento. Só a comparação com o grupo controle mostra se uma relação é provável.</w:t>
      </w:r>
    </w:p>
    <w:bookmarkEnd w:id="2979"/>
    <w:bookmarkStart w:id="2980" w:name="f"/>
    <w:p>
      <w:pPr>
        <w:pStyle w:val="Heading3"/>
      </w:pPr>
      <w:r>
        <w:t xml:space="preserve">F</w:t>
      </w:r>
    </w:p>
    <w:p>
      <w:pPr>
        <w:pStyle w:val="FirstParagraph"/>
      </w:pPr>
      <w:r>
        <w:rPr>
          <w:bCs/>
          <w:b/>
        </w:rPr>
        <w:t xml:space="preserve">FAERS</w:t>
      </w:r>
      <w:r>
        <w:t xml:space="preserve">: o sistema de notificação da agência norte-americana de medicamentos FDA para suspeitas de efeitos colaterais.</w:t>
      </w:r>
    </w:p>
    <w:p>
      <w:pPr>
        <w:pStyle w:val="BodyText"/>
      </w:pPr>
      <w:r>
        <w:rPr>
          <w:bCs/>
          <w:b/>
        </w:rPr>
        <w:t xml:space="preserve">Farmacocinética</w:t>
      </w:r>
      <w:r>
        <w:t xml:space="preserve">: o estudo do que o corpo faz com uma substância – absorção, distribuição, degradação e eliminação.</w:t>
      </w:r>
    </w:p>
    <w:p>
      <w:pPr>
        <w:pStyle w:val="BodyText"/>
      </w:pPr>
      <w:r>
        <w:rPr>
          <w:bCs/>
          <w:b/>
        </w:rPr>
        <w:t xml:space="preserve">Farmacodinâmica</w:t>
      </w:r>
      <w:r>
        <w:t xml:space="preserve">: o estudo do que uma substância provoca no corpo – ou seja, seus efeitos e mecanismos de ação.</w:t>
      </w:r>
    </w:p>
    <w:p>
      <w:pPr>
        <w:pStyle w:val="BodyText"/>
      </w:pPr>
      <w:r>
        <w:rPr>
          <w:bCs/>
          <w:b/>
        </w:rPr>
        <w:t xml:space="preserve">Farmacovigilância</w:t>
      </w:r>
      <w:r>
        <w:t xml:space="preserve">: o monitoramento sistemático de medicamentos após a aprovação, para reconhecer e avaliar efeitos colaterais.</w:t>
      </w:r>
    </w:p>
    <w:p>
      <w:pPr>
        <w:pStyle w:val="BodyText"/>
      </w:pPr>
      <w:r>
        <w:rPr>
          <w:bCs/>
          <w:b/>
        </w:rPr>
        <w:t xml:space="preserve">Fases do estudo</w:t>
      </w:r>
      <w:r>
        <w:t xml:space="preserve">: as etapas do teste de medicamentos em humanos, da fase 1 (tolerabilidade em poucas pessoas) à fase 3 (grandes estudos comparativos) e à fase 4 (observação após a aprovação).</w:t>
      </w:r>
    </w:p>
    <w:p>
      <w:pPr>
        <w:pStyle w:val="BodyText"/>
      </w:pPr>
      <w:r>
        <w:rPr>
          <w:bCs/>
          <w:b/>
        </w:rPr>
        <w:t xml:space="preserve">Fator de confusão (confounding)</w:t>
      </w:r>
      <w:r>
        <w:t xml:space="preserve">: um fator relacionado tanto a um tratamento quanto a um resultado e que, assim, pode gerar uma associação aparente. Problema típico dos estudos observacionais.</w:t>
      </w:r>
    </w:p>
    <w:bookmarkEnd w:id="2980"/>
    <w:bookmarkStart w:id="2981" w:name="g"/>
    <w:p>
      <w:pPr>
        <w:pStyle w:val="Heading3"/>
      </w:pPr>
      <w:r>
        <w:t xml:space="preserve">G</w:t>
      </w:r>
    </w:p>
    <w:p>
      <w:pPr>
        <w:pStyle w:val="FirstParagraph"/>
      </w:pPr>
      <w:r>
        <w:rPr>
          <w:bCs/>
          <w:b/>
        </w:rPr>
        <w:t xml:space="preserve">GHRH (hormônio liberador do hormônio do crescimento)</w:t>
      </w:r>
      <w:r>
        <w:t xml:space="preserve">: um hormônio do hipotálamo que estimula a hipófise a secretar hormônio do crescimento. Sermorelina, tesamorelina e CJC-1295 derivam dele.</w:t>
      </w:r>
    </w:p>
    <w:p>
      <w:pPr>
        <w:pStyle w:val="BodyText"/>
      </w:pPr>
      <w:r>
        <w:rPr>
          <w:bCs/>
          <w:b/>
        </w:rPr>
        <w:t xml:space="preserve">GHRP (peptídeos liberadores do hormônio do crescimento)</w:t>
      </w:r>
      <w:r>
        <w:t xml:space="preserve">: um grupo de peptídeos sintéticos que aumentam a secreção de hormônio do crescimento por meio do receptor de grelina, como GHRP-2, GHRP-6, hexarelina e ipamorelina.</w:t>
      </w:r>
    </w:p>
    <w:p>
      <w:pPr>
        <w:pStyle w:val="BodyText"/>
      </w:pPr>
      <w:r>
        <w:rPr>
          <w:bCs/>
          <w:b/>
        </w:rPr>
        <w:t xml:space="preserve">GIP (polipeptídeo insulinotrópico dependente de glicose)</w:t>
      </w:r>
      <w:r>
        <w:t xml:space="preserve">: um hormônio intestinal do grupo das incretinas. A tirzepatida ativa, além do receptor de GLP-1, também o receptor de GIP.</w:t>
      </w:r>
    </w:p>
    <w:p>
      <w:pPr>
        <w:pStyle w:val="BodyText"/>
      </w:pPr>
      <w:r>
        <w:rPr>
          <w:bCs/>
          <w:b/>
        </w:rPr>
        <w:t xml:space="preserve">GLP-1 (peptídeo semelhante ao glucagon 1)</w:t>
      </w:r>
      <w:r>
        <w:t xml:space="preserve">: um hormônio intestinal secretado após as refeições, que aumenta a liberação de insulina de forma dependente da glicemia, retarda o esvaziamento gástrico e influencia a sensação de saciedade.</w:t>
      </w:r>
    </w:p>
    <w:p>
      <w:pPr>
        <w:pStyle w:val="BodyText"/>
      </w:pPr>
      <w:r>
        <w:rPr>
          <w:bCs/>
          <w:b/>
        </w:rPr>
        <w:t xml:space="preserve">Glucagon</w:t>
      </w:r>
      <w:r>
        <w:t xml:space="preserve">: um hormônio peptídico do pâncreas que eleva a glicemia. Algumas substâncias novas ativam adicionalmente o receptor de glucagon.</w:t>
      </w:r>
    </w:p>
    <w:p>
      <w:pPr>
        <w:pStyle w:val="BodyText"/>
      </w:pPr>
      <w:r>
        <w:rPr>
          <w:bCs/>
          <w:b/>
        </w:rPr>
        <w:t xml:space="preserve">GnRH (hormônio liberador de gonadotrofinas)</w:t>
      </w:r>
      <w:r>
        <w:t xml:space="preserve">: um hormônio do hipotálamo que regula a secreção de LH e FSH, os hormônios que controlam os hormônios sexuais. A gonadorelina é uma forma sintética.</w:t>
      </w:r>
    </w:p>
    <w:p>
      <w:pPr>
        <w:pStyle w:val="BodyText"/>
      </w:pPr>
      <w:r>
        <w:rPr>
          <w:bCs/>
          <w:b/>
        </w:rPr>
        <w:t xml:space="preserve">Grelina</w:t>
      </w:r>
      <w:r>
        <w:t xml:space="preserve">: um hormônio peptídico produzido sobretudo no estômago, que desencadeia a fome e estimula a secreção de hormônio do crescimento.</w:t>
      </w:r>
    </w:p>
    <w:p>
      <w:pPr>
        <w:pStyle w:val="BodyText"/>
      </w:pPr>
      <w:r>
        <w:rPr>
          <w:bCs/>
          <w:b/>
        </w:rPr>
        <w:t xml:space="preserve">Grupo controle</w:t>
      </w:r>
      <w:r>
        <w:t xml:space="preserve">: o grupo de comparação em um estudo, que não recebe substância ativa, recebe um placebo ou um tratamento padrão.</w:t>
      </w:r>
    </w:p>
    <w:bookmarkEnd w:id="2981"/>
    <w:bookmarkStart w:id="2982" w:name="h"/>
    <w:p>
      <w:pPr>
        <w:pStyle w:val="Heading3"/>
      </w:pPr>
      <w:r>
        <w:t xml:space="preserve">H</w:t>
      </w:r>
    </w:p>
    <w:p>
      <w:pPr>
        <w:pStyle w:val="FirstParagraph"/>
      </w:pPr>
      <w:r>
        <w:rPr>
          <w:bCs/>
          <w:b/>
        </w:rPr>
        <w:t xml:space="preserve">Hazard ratio (razão de risco)</w:t>
      </w:r>
      <w:r>
        <w:t xml:space="preserve">: uma medida de como o risco de um evento ao longo do tempo difere entre dois grupos. Um valor de 0,80 significa um risco relativo cerca de 20% menor.</w:t>
      </w:r>
    </w:p>
    <w:p>
      <w:pPr>
        <w:pStyle w:val="BodyText"/>
      </w:pPr>
      <w:r>
        <w:rPr>
          <w:bCs/>
          <w:b/>
        </w:rPr>
        <w:t xml:space="preserve">HbA1c</w:t>
      </w:r>
      <w:r>
        <w:t xml:space="preserve">: a proporção do pigmento vermelho do sangue à qual o açúcar está ligado. Reflete a glicemia média dos últimos dois a três meses e é um importante desfecho substituto em estudos de diabetes.</w:t>
      </w:r>
    </w:p>
    <w:p>
      <w:pPr>
        <w:pStyle w:val="BodyText"/>
      </w:pPr>
      <w:r>
        <w:rPr>
          <w:bCs/>
          <w:b/>
        </w:rPr>
        <w:t xml:space="preserve">Hidrolisado</w:t>
      </w:r>
      <w:r>
        <w:t xml:space="preserve">: uma mistura de fragmentos que surge quando proteínas são clivadas com enzimas ou ácido. Os peptídeos de colágeno são obtidos dessa forma.</w:t>
      </w:r>
    </w:p>
    <w:p>
      <w:pPr>
        <w:pStyle w:val="BodyText"/>
      </w:pPr>
      <w:r>
        <w:rPr>
          <w:bCs/>
          <w:b/>
        </w:rPr>
        <w:t xml:space="preserve">Hipófise</w:t>
      </w:r>
      <w:r>
        <w:t xml:space="preserve">: uma pequena glândula hormonal na base do crânio que secreta, entre outros, o hormônio do crescimento e os hormônios de controle da tireoide, das suprarrenais e das gônadas.</w:t>
      </w:r>
    </w:p>
    <w:p>
      <w:pPr>
        <w:pStyle w:val="BodyText"/>
      </w:pPr>
      <w:r>
        <w:rPr>
          <w:bCs/>
          <w:b/>
        </w:rPr>
        <w:t xml:space="preserve">Hipoglicemia</w:t>
      </w:r>
      <w:r>
        <w:t xml:space="preserve">: nível de açúcar no sangue baixo demais. Pode levar a tremores, sudorese, confusão e perda de consciência e é uma emergência.</w:t>
      </w:r>
    </w:p>
    <w:p>
      <w:pPr>
        <w:pStyle w:val="BodyText"/>
      </w:pPr>
      <w:r>
        <w:rPr>
          <w:bCs/>
          <w:b/>
        </w:rPr>
        <w:t xml:space="preserve">Hipotálamo</w:t>
      </w:r>
      <w:r>
        <w:t xml:space="preserve">: uma região do cérebro que controla a hipófise por meio de hormônios liberadores e participa da regulação da fome, da sede, do sono e da temperatura corporal.</w:t>
      </w:r>
    </w:p>
    <w:p>
      <w:pPr>
        <w:pStyle w:val="BodyText"/>
      </w:pPr>
      <w:r>
        <w:rPr>
          <w:bCs/>
          <w:b/>
        </w:rPr>
        <w:t xml:space="preserve">Hormônio do crescimento (somatotropina)</w:t>
      </w:r>
      <w:r>
        <w:t xml:space="preserve">: uma proteína da hipófise que influencia o crescimento, o metabolismo e a composição corporal. Muitos peptídeos deste livro supostamente aumentam sua secreção.</w:t>
      </w:r>
    </w:p>
    <w:p>
      <w:pPr>
        <w:pStyle w:val="BodyText"/>
      </w:pPr>
      <w:r>
        <w:rPr>
          <w:bCs/>
          <w:b/>
        </w:rPr>
        <w:t xml:space="preserve">HPLC (cromatografia líquida de alta eficiência)</w:t>
      </w:r>
      <w:r>
        <w:t xml:space="preserve">: um método de laboratório com o qual se podem separar misturas de substâncias e determinar a pureza de peptídeos.</w:t>
      </w:r>
    </w:p>
    <w:bookmarkEnd w:id="2982"/>
    <w:bookmarkStart w:id="2983" w:name="i"/>
    <w:p>
      <w:pPr>
        <w:pStyle w:val="Heading3"/>
      </w:pPr>
      <w:r>
        <w:t xml:space="preserve">I</w:t>
      </w:r>
    </w:p>
    <w:p>
      <w:pPr>
        <w:pStyle w:val="FirstParagraph"/>
      </w:pPr>
      <w:r>
        <w:rPr>
          <w:bCs/>
          <w:b/>
        </w:rPr>
        <w:t xml:space="preserve">IGF-1 (fator de crescimento semelhante à insulina tipo 1)</w:t>
      </w:r>
      <w:r>
        <w:t xml:space="preserve">: um fator de crescimento produzido sobretudo no fígado sob a influência do hormônio do crescimento. Medeia muitos efeitos do hormônio do crescimento e serve como exame laboratorial para avaliá-lo.</w:t>
      </w:r>
    </w:p>
    <w:p>
      <w:pPr>
        <w:pStyle w:val="BodyText"/>
      </w:pPr>
      <w:r>
        <w:rPr>
          <w:bCs/>
          <w:b/>
        </w:rPr>
        <w:t xml:space="preserve">IMC (índice de massa corporal)</w:t>
      </w:r>
      <w:r>
        <w:t xml:space="preserve">: peso corporal em quilogramas dividido pelo quadrado da altura em metros. Medida aproximada para baixo peso, peso normal e excesso de peso.</w:t>
      </w:r>
    </w:p>
    <w:p>
      <w:pPr>
        <w:pStyle w:val="BodyText"/>
      </w:pPr>
      <w:r>
        <w:rPr>
          <w:bCs/>
          <w:b/>
        </w:rPr>
        <w:t xml:space="preserve">Impureza</w:t>
      </w:r>
      <w:r>
        <w:t xml:space="preserve">: componentes indesejados de um produto, como cadeias peptídicas defeituosas da síntese, resíduos de solventes, metais ou componentes bacterianos.</w:t>
      </w:r>
    </w:p>
    <w:p>
      <w:pPr>
        <w:pStyle w:val="BodyText"/>
      </w:pPr>
      <w:r>
        <w:rPr>
          <w:bCs/>
          <w:b/>
        </w:rPr>
        <w:t xml:space="preserve">Imunogenicidade</w:t>
      </w:r>
      <w:r>
        <w:t xml:space="preserve">: a propriedade de uma substância de desencadear uma reação do sistema imunológico, como a formação de anticorpos.</w:t>
      </w:r>
    </w:p>
    <w:p>
      <w:pPr>
        <w:pStyle w:val="BodyText"/>
      </w:pPr>
      <w:r>
        <w:rPr>
          <w:bCs/>
          <w:b/>
        </w:rPr>
        <w:t xml:space="preserve">In vitro</w:t>
      </w:r>
      <w:r>
        <w:t xml:space="preserve">:</w:t>
      </w:r>
      <w:r>
        <w:t xml:space="preserve"> </w:t>
      </w:r>
      <w:r>
        <w:t xml:space="preserve">“</w:t>
      </w:r>
      <w:r>
        <w:t xml:space="preserve">no vidro</w:t>
      </w:r>
      <w:r>
        <w:t xml:space="preserve">”</w:t>
      </w:r>
      <w:r>
        <w:t xml:space="preserve"> </w:t>
      </w:r>
      <w:r>
        <w:t xml:space="preserve">– experimentos em laboratório com células, tecidos ou moléculas isoladas, fora de um organismo vivo.</w:t>
      </w:r>
    </w:p>
    <w:p>
      <w:pPr>
        <w:pStyle w:val="BodyText"/>
      </w:pPr>
      <w:r>
        <w:rPr>
          <w:bCs/>
          <w:b/>
        </w:rPr>
        <w:t xml:space="preserve">Incretinas</w:t>
      </w:r>
      <w:r>
        <w:t xml:space="preserve">: hormônios intestinais que aumentam a secreção de insulina após uma refeição. Os mais importantes são o GLP-1 e o GIP.</w:t>
      </w:r>
    </w:p>
    <w:p>
      <w:pPr>
        <w:pStyle w:val="BodyText"/>
      </w:pPr>
      <w:r>
        <w:rPr>
          <w:bCs/>
          <w:b/>
        </w:rPr>
        <w:t xml:space="preserve">Insulina</w:t>
      </w:r>
      <w:r>
        <w:t xml:space="preserve">: um hormônio peptídico do pâncreas com 51 aminoácidos, que reduz a glicemia. Foi, em 1922, o primeiro peptídeo usado como medicamento.</w:t>
      </w:r>
    </w:p>
    <w:p>
      <w:pPr>
        <w:pStyle w:val="BodyText"/>
      </w:pPr>
      <w:r>
        <w:rPr>
          <w:bCs/>
          <w:b/>
        </w:rPr>
        <w:t xml:space="preserve">Intervalo de confiança</w:t>
      </w:r>
      <w:r>
        <w:t xml:space="preserve">: uma faixa em torno de um resultado de estudo na qual o valor verdadeiro se encontra com determinada probabilidade (em geral 95%). Intervalos largos indicam uma estimativa incerta.</w:t>
      </w:r>
    </w:p>
    <w:bookmarkEnd w:id="2983"/>
    <w:bookmarkStart w:id="2984" w:name="l"/>
    <w:p>
      <w:pPr>
        <w:pStyle w:val="Heading3"/>
      </w:pPr>
      <w:r>
        <w:t xml:space="preserve">L</w:t>
      </w:r>
    </w:p>
    <w:p>
      <w:pPr>
        <w:pStyle w:val="FirstParagraph"/>
      </w:pPr>
      <w:r>
        <w:rPr>
          <w:bCs/>
          <w:b/>
        </w:rPr>
        <w:t xml:space="preserve">Ligação peptídica</w:t>
      </w:r>
      <w:r>
        <w:t xml:space="preserve">: a ligação química entre o grupo ácido de um aminoácido e o grupo amino do seguinte, em cuja formação é liberada água.</w:t>
      </w:r>
    </w:p>
    <w:p>
      <w:pPr>
        <w:pStyle w:val="BodyText"/>
      </w:pPr>
      <w:r>
        <w:rPr>
          <w:bCs/>
          <w:b/>
        </w:rPr>
        <w:t xml:space="preserve">Liofilizado</w:t>
      </w:r>
      <w:r>
        <w:t xml:space="preserve">: um pó seco por congelamento. Muitos peptídeos são armazenados nessa forma e precisam ser dissolvidos em um líquido antes do uso.</w:t>
      </w:r>
    </w:p>
    <w:bookmarkEnd w:id="2984"/>
    <w:bookmarkStart w:id="2985" w:name="m"/>
    <w:p>
      <w:pPr>
        <w:pStyle w:val="Heading3"/>
      </w:pPr>
      <w:r>
        <w:t xml:space="preserve">M</w:t>
      </w:r>
    </w:p>
    <w:p>
      <w:pPr>
        <w:pStyle w:val="FirstParagraph"/>
      </w:pPr>
      <w:r>
        <w:rPr>
          <w:bCs/>
          <w:b/>
        </w:rPr>
        <w:t xml:space="preserve">Medicamento</w:t>
      </w:r>
      <w:r>
        <w:t xml:space="preserve">: uma substância ou preparação destinada a curar, aliviar ou prevenir doenças ou que influencia funções do corpo de forma farmacológica, imunológica ou metabólica. Na UE, um medicamento precisa de aprovação antes de ser vendido.</w:t>
      </w:r>
    </w:p>
    <w:p>
      <w:pPr>
        <w:pStyle w:val="BodyText"/>
      </w:pPr>
      <w:r>
        <w:rPr>
          <w:bCs/>
          <w:b/>
        </w:rPr>
        <w:t xml:space="preserve">Medicamento biológico</w:t>
      </w:r>
      <w:r>
        <w:t xml:space="preserve">: um medicamento cuja substância ativa é produzida com a ajuda de células vivas, por exemplo por engenharia genética em bactérias ou em células de mamíferos. Muitos peptídeos maiores e todos os medicamentos à base de anticorpos pertencem a esse grupo.</w:t>
      </w:r>
    </w:p>
    <w:p>
      <w:pPr>
        <w:pStyle w:val="BodyText"/>
      </w:pPr>
      <w:r>
        <w:rPr>
          <w:bCs/>
          <w:b/>
        </w:rPr>
        <w:t xml:space="preserve">Medicamento por apresentação</w:t>
      </w:r>
      <w:r>
        <w:t xml:space="preserve">: termo jurídico para um produto considerado medicamento porque é apresentado ou promovido como remédio contra doenças.</w:t>
      </w:r>
    </w:p>
    <w:p>
      <w:pPr>
        <w:pStyle w:val="BodyText"/>
      </w:pPr>
      <w:r>
        <w:rPr>
          <w:bCs/>
          <w:b/>
        </w:rPr>
        <w:t xml:space="preserve">Medicamento por função</w:t>
      </w:r>
      <w:r>
        <w:t xml:space="preserve">: termo jurídico para um produto considerado medicamento em razão de seu efeito farmacológico, imunológico ou metabólico – independentemente de como é promovido.</w:t>
      </w:r>
    </w:p>
    <w:p>
      <w:pPr>
        <w:pStyle w:val="BodyText"/>
      </w:pPr>
      <w:r>
        <w:rPr>
          <w:bCs/>
          <w:b/>
        </w:rPr>
        <w:t xml:space="preserve">Meia-vida</w:t>
      </w:r>
      <w:r>
        <w:t xml:space="preserve">: o tempo após o qual metade de uma substância foi degradada ou eliminada do corpo. Ela determina em grande parte com que frequência um medicamento precisa ser administrado.</w:t>
      </w:r>
    </w:p>
    <w:p>
      <w:pPr>
        <w:pStyle w:val="BodyText"/>
      </w:pPr>
      <w:r>
        <w:rPr>
          <w:bCs/>
          <w:b/>
        </w:rPr>
        <w:t xml:space="preserve">Metanálise</w:t>
      </w:r>
      <w:r>
        <w:t xml:space="preserve">: um resumo estatístico dos resultados de vários estudos sobre a mesma questão. Ela só é tão boa quanto os estudos que entram nela.</w:t>
      </w:r>
    </w:p>
    <w:p>
      <w:pPr>
        <w:pStyle w:val="BodyText"/>
      </w:pPr>
      <w:r>
        <w:rPr>
          <w:bCs/>
          <w:b/>
        </w:rPr>
        <w:t xml:space="preserve">Mimético</w:t>
      </w:r>
      <w:r>
        <w:t xml:space="preserve">: uma substância que imita o efeito de outra sem ter sua estrutura – por exemplo, uma pequena molécula que ativa um receptor como um hormônio peptídico.</w:t>
      </w:r>
    </w:p>
    <w:bookmarkEnd w:id="2985"/>
    <w:bookmarkStart w:id="2986" w:name="n"/>
    <w:p>
      <w:pPr>
        <w:pStyle w:val="Heading3"/>
      </w:pPr>
      <w:r>
        <w:t xml:space="preserve">N</w:t>
      </w:r>
    </w:p>
    <w:p>
      <w:pPr>
        <w:pStyle w:val="FirstParagraph"/>
      </w:pPr>
      <w:r>
        <w:rPr>
          <w:bCs/>
          <w:b/>
        </w:rPr>
        <w:t xml:space="preserve">N-terminal</w:t>
      </w:r>
      <w:r>
        <w:t xml:space="preserve">: o início de uma cadeia peptídica, com o grupo amino livre.</w:t>
      </w:r>
    </w:p>
    <w:p>
      <w:pPr>
        <w:pStyle w:val="BodyText"/>
      </w:pPr>
      <w:r>
        <w:rPr>
          <w:bCs/>
          <w:b/>
        </w:rPr>
        <w:t xml:space="preserve">Nível de evidência</w:t>
      </w:r>
      <w:r>
        <w:t xml:space="preserve">: neste livro, uma classificação de A a D sobre quão bem o efeito de um peptídeo em humanos está comprovado. A significa vários grandes estudos randomizados e aprovação; D, exclusivamente estudos em animais e de laboratório.</w:t>
      </w:r>
    </w:p>
    <w:p>
      <w:pPr>
        <w:pStyle w:val="BodyText"/>
      </w:pPr>
      <w:r>
        <w:rPr>
          <w:bCs/>
          <w:b/>
        </w:rPr>
        <w:t xml:space="preserve">Novel Food</w:t>
      </w:r>
      <w:r>
        <w:t xml:space="preserve">: na UE, um alimento ou ingrediente que não era consumido em quantidade significativa antes de 15 de maio de 1997. Esses produtos precisam de aprovação antes da venda.</w:t>
      </w:r>
    </w:p>
    <w:p>
      <w:pPr>
        <w:pStyle w:val="BodyText"/>
      </w:pPr>
      <w:r>
        <w:rPr>
          <w:bCs/>
          <w:b/>
        </w:rPr>
        <w:t xml:space="preserve">Número NCT</w:t>
      </w:r>
      <w:r>
        <w:t xml:space="preserve">: o número de identificação de um estudo no registro ClinicalTrials.gov, composto por</w:t>
      </w:r>
      <w:r>
        <w:t xml:space="preserve"> </w:t>
      </w:r>
      <w:r>
        <w:t xml:space="preserve">“</w:t>
      </w:r>
      <w:r>
        <w:t xml:space="preserve">NCT</w:t>
      </w:r>
      <w:r>
        <w:t xml:space="preserve">”</w:t>
      </w:r>
      <w:r>
        <w:t xml:space="preserve"> </w:t>
      </w:r>
      <w:r>
        <w:t xml:space="preserve">e oito dígitos.</w:t>
      </w:r>
    </w:p>
    <w:p>
      <w:pPr>
        <w:pStyle w:val="BodyText"/>
      </w:pPr>
      <w:r>
        <w:rPr>
          <w:bCs/>
          <w:b/>
        </w:rPr>
        <w:t xml:space="preserve">Número necessário para tratar (NNT)</w:t>
      </w:r>
      <w:r>
        <w:t xml:space="preserve">: o número de pessoas que precisam ser tratadas por determinado tempo para que uma pessoa evite um evento. É calculado a partir da redução absoluta do risco.</w:t>
      </w:r>
    </w:p>
    <w:bookmarkEnd w:id="2986"/>
    <w:bookmarkStart w:id="2987" w:name="o"/>
    <w:p>
      <w:pPr>
        <w:pStyle w:val="Heading3"/>
      </w:pPr>
      <w:r>
        <w:t xml:space="preserve">O</w:t>
      </w:r>
    </w:p>
    <w:p>
      <w:pPr>
        <w:pStyle w:val="FirstParagraph"/>
      </w:pPr>
      <w:r>
        <w:rPr>
          <w:bCs/>
          <w:b/>
        </w:rPr>
        <w:t xml:space="preserve">Obesidade</w:t>
      </w:r>
      <w:r>
        <w:t xml:space="preserve">: excesso de peso patológico, em geral definido como índice de massa corporal de 30 ou mais. É considerada uma doença crônica com risco aumentado de diabetes e de doenças cardiovasculares e articulares.</w:t>
      </w:r>
    </w:p>
    <w:p>
      <w:pPr>
        <w:pStyle w:val="BodyText"/>
      </w:pPr>
      <w:r>
        <w:rPr>
          <w:bCs/>
          <w:b/>
        </w:rPr>
        <w:t xml:space="preserve">Oligopeptídeo</w:t>
      </w:r>
      <w:r>
        <w:t xml:space="preserve">: um peptídeo curto, de cerca de dois a dez aminoácidos.</w:t>
      </w:r>
    </w:p>
    <w:bookmarkEnd w:id="2987"/>
    <w:bookmarkStart w:id="2988" w:name="p"/>
    <w:p>
      <w:pPr>
        <w:pStyle w:val="Heading3"/>
      </w:pPr>
      <w:r>
        <w:t xml:space="preserve">P</w:t>
      </w:r>
    </w:p>
    <w:p>
      <w:pPr>
        <w:pStyle w:val="FirstParagraph"/>
      </w:pPr>
      <w:r>
        <w:rPr>
          <w:bCs/>
          <w:b/>
        </w:rPr>
        <w:t xml:space="preserve">Pancreatite</w:t>
      </w:r>
      <w:r>
        <w:t xml:space="preserve">: inflamação do pâncreas. É discutida como possível efeito colateral raro dos medicamentos de GLP-1.</w:t>
      </w:r>
    </w:p>
    <w:p>
      <w:pPr>
        <w:pStyle w:val="BodyText"/>
      </w:pPr>
      <w:r>
        <w:rPr>
          <w:bCs/>
          <w:b/>
        </w:rPr>
        <w:t xml:space="preserve">Peptídeo</w:t>
      </w:r>
      <w:r>
        <w:t xml:space="preserve">: uma cadeia de aminoácidos unidos por ligações peptídicas. A partir de cerca de 50 aminoácidos, fala-se em geral de uma proteína.</w:t>
      </w:r>
    </w:p>
    <w:p>
      <w:pPr>
        <w:pStyle w:val="BodyText"/>
      </w:pPr>
      <w:r>
        <w:rPr>
          <w:bCs/>
          <w:b/>
        </w:rPr>
        <w:t xml:space="preserve">Peptídeo cíclico</w:t>
      </w:r>
      <w:r>
        <w:t xml:space="preserve">: um peptídeo cuja cadeia está fechada em um anel. Estruturas em anel tornam os peptídeos frequentemente mais estáveis frente a enzimas.</w:t>
      </w:r>
    </w:p>
    <w:p>
      <w:pPr>
        <w:pStyle w:val="BodyText"/>
      </w:pPr>
      <w:r>
        <w:rPr>
          <w:bCs/>
          <w:b/>
        </w:rPr>
        <w:t xml:space="preserve">Peptídeos antimicrobianos</w:t>
      </w:r>
      <w:r>
        <w:t xml:space="preserve">: peptídeos do próprio corpo que fazem parte da defesa imunológica inata e podem danificar bactérias, fungos ou vírus. Um exemplo é o LL-37.</w:t>
      </w:r>
    </w:p>
    <w:p>
      <w:pPr>
        <w:pStyle w:val="BodyText"/>
      </w:pPr>
      <w:r>
        <w:rPr>
          <w:bCs/>
          <w:b/>
        </w:rPr>
        <w:t xml:space="preserve">Pirâmide de evidências</w:t>
      </w:r>
      <w:r>
        <w:t xml:space="preserve">: uma hierarquia dos tipos de estudo segundo sua força probatória, de estudos de laboratório e em animais na base até metanálises de estudos randomizados no topo.</w:t>
      </w:r>
    </w:p>
    <w:p>
      <w:pPr>
        <w:pStyle w:val="BodyText"/>
      </w:pPr>
      <w:r>
        <w:rPr>
          <w:bCs/>
          <w:b/>
        </w:rPr>
        <w:t xml:space="preserve">Placebo</w:t>
      </w:r>
      <w:r>
        <w:t xml:space="preserve">: uma preparação simulada sem substância ativa, usada em estudos para comparação.</w:t>
      </w:r>
    </w:p>
    <w:p>
      <w:pPr>
        <w:pStyle w:val="BodyText"/>
      </w:pPr>
      <w:r>
        <w:rPr>
          <w:bCs/>
          <w:b/>
        </w:rPr>
        <w:t xml:space="preserve">PMID</w:t>
      </w:r>
      <w:r>
        <w:t xml:space="preserve">: o número de identificação do PubMed, um número único para cada registro no banco de dados bibliográfico PubMed.</w:t>
      </w:r>
    </w:p>
    <w:p>
      <w:pPr>
        <w:pStyle w:val="BodyText"/>
      </w:pPr>
      <w:r>
        <w:rPr>
          <w:bCs/>
          <w:b/>
        </w:rPr>
        <w:t xml:space="preserve">Polipeptídeo</w:t>
      </w:r>
      <w:r>
        <w:t xml:space="preserve">: uma cadeia peptídica mais longa, em geral com mais de dez aminoácidos.</w:t>
      </w:r>
    </w:p>
    <w:p>
      <w:pPr>
        <w:pStyle w:val="BodyText"/>
      </w:pPr>
      <w:r>
        <w:rPr>
          <w:bCs/>
          <w:b/>
        </w:rPr>
        <w:t xml:space="preserve">Preprint</w:t>
      </w:r>
      <w:r>
        <w:t xml:space="preserve">: um trabalho científico tornado público antes da revisão por especialistas.</w:t>
      </w:r>
    </w:p>
    <w:p>
      <w:pPr>
        <w:pStyle w:val="BodyText"/>
      </w:pPr>
      <w:r>
        <w:rPr>
          <w:bCs/>
          <w:b/>
        </w:rPr>
        <w:t xml:space="preserve">Protease</w:t>
      </w:r>
      <w:r>
        <w:t xml:space="preserve">: uma enzima que cliva ligações peptídicas e, assim, degrada proteínas e peptídeos. Também chamada de peptidase.</w:t>
      </w:r>
    </w:p>
    <w:p>
      <w:pPr>
        <w:pStyle w:val="BodyText"/>
      </w:pPr>
      <w:r>
        <w:rPr>
          <w:bCs/>
          <w:b/>
        </w:rPr>
        <w:t xml:space="preserve">Proteína</w:t>
      </w:r>
      <w:r>
        <w:t xml:space="preserve">: uma grande molécula proteica, em geral com mais de 50 aminoácidos, com um dobramento espacial definido.</w:t>
      </w:r>
    </w:p>
    <w:p>
      <w:pPr>
        <w:pStyle w:val="BodyText"/>
      </w:pPr>
      <w:r>
        <w:rPr>
          <w:bCs/>
          <w:b/>
        </w:rPr>
        <w:t xml:space="preserve">PubMed</w:t>
      </w:r>
      <w:r>
        <w:t xml:space="preserve">: um banco de dados bibliográfico de acesso livre da National Library of Medicine dos EUA, com milhões de registros da pesquisa biomédica.</w:t>
      </w:r>
    </w:p>
    <w:bookmarkEnd w:id="2988"/>
    <w:bookmarkStart w:id="2989" w:name="r"/>
    <w:p>
      <w:pPr>
        <w:pStyle w:val="Heading3"/>
      </w:pPr>
      <w:r>
        <w:t xml:space="preserve">R</w:t>
      </w:r>
    </w:p>
    <w:p>
      <w:pPr>
        <w:pStyle w:val="FirstParagraph"/>
      </w:pPr>
      <w:r>
        <w:rPr>
          <w:bCs/>
          <w:b/>
        </w:rPr>
        <w:t xml:space="preserve">Rabdomiólise</w:t>
      </w:r>
      <w:r>
        <w:t xml:space="preserve">: uma destruição do tecido muscular em que componentes do músculo chegam ao sangue e podem danificar os rins.</w:t>
      </w:r>
    </w:p>
    <w:p>
      <w:pPr>
        <w:pStyle w:val="BodyText"/>
      </w:pPr>
      <w:r>
        <w:rPr>
          <w:bCs/>
          <w:b/>
        </w:rPr>
        <w:t xml:space="preserve">Randomização</w:t>
      </w:r>
      <w:r>
        <w:t xml:space="preserve">: a distribuição aleatória dos participantes entre os grupos de um estudo. Ela garante que os grupos difiram sistematicamente apenas no tratamento.</w:t>
      </w:r>
    </w:p>
    <w:p>
      <w:pPr>
        <w:pStyle w:val="BodyText"/>
      </w:pPr>
      <w:r>
        <w:rPr>
          <w:bCs/>
          <w:b/>
        </w:rPr>
        <w:t xml:space="preserve">Receptor</w:t>
      </w:r>
      <w:r>
        <w:t xml:space="preserve">: uma molécula proteica, em geral na superfície da célula, à qual um mensageiro se liga, desencadeando assim um sinal dentro da célula.</w:t>
      </w:r>
    </w:p>
    <w:p>
      <w:pPr>
        <w:pStyle w:val="BodyText"/>
      </w:pPr>
      <w:r>
        <w:rPr>
          <w:bCs/>
          <w:b/>
        </w:rPr>
        <w:t xml:space="preserve">Receptores de melanocortina</w:t>
      </w:r>
      <w:r>
        <w:t xml:space="preserve">: uma família de receptores que influenciam, entre outros, a pigmentação da pele, o apetite e a função sexual. Afamelanotida, bremelanotida, Melanotan II e setmelanotida agem nesses receptores.</w:t>
      </w:r>
    </w:p>
    <w:p>
      <w:pPr>
        <w:pStyle w:val="BodyText"/>
      </w:pPr>
      <w:r>
        <w:rPr>
          <w:bCs/>
          <w:b/>
        </w:rPr>
        <w:t xml:space="preserve">Recombinante</w:t>
      </w:r>
      <w:r>
        <w:t xml:space="preserve">: produzido por engenharia genética, inserindo-se as instruções de construção de um peptídeo ou proteína em bactérias, leveduras ou outras células.</w:t>
      </w:r>
    </w:p>
    <w:p>
      <w:pPr>
        <w:pStyle w:val="BodyText"/>
      </w:pPr>
      <w:r>
        <w:rPr>
          <w:bCs/>
          <w:b/>
        </w:rPr>
        <w:t xml:space="preserve">Redução absoluta do risco</w:t>
      </w:r>
      <w:r>
        <w:t xml:space="preserve">: a diferença na frequência de um evento entre dois grupos, expressa em pontos percentuais. Se um risco cai de 8% para 6,5%, a redução absoluta do risco é de 1,5 ponto percentual.</w:t>
      </w:r>
    </w:p>
    <w:p>
      <w:pPr>
        <w:pStyle w:val="BodyText"/>
      </w:pPr>
      <w:r>
        <w:rPr>
          <w:bCs/>
          <w:b/>
        </w:rPr>
        <w:t xml:space="preserve">Registro de estudos</w:t>
      </w:r>
      <w:r>
        <w:t xml:space="preserve">: bancos de dados públicos em que estudos clínicos são inscritos antes do início, como o ClinicalTrials.gov ou o registro da UE.</w:t>
      </w:r>
    </w:p>
    <w:p>
      <w:pPr>
        <w:pStyle w:val="BodyText"/>
      </w:pPr>
      <w:r>
        <w:rPr>
          <w:bCs/>
          <w:b/>
        </w:rPr>
        <w:t xml:space="preserve">Relato de caso</w:t>
      </w:r>
      <w:r>
        <w:t xml:space="preserve">: a descrição de um único caso clínico em uma revista especializada. Relatos de caso são importantes para reconhecer efeitos colaterais raros, mas dizem pouco sobre eficácia.</w:t>
      </w:r>
    </w:p>
    <w:p>
      <w:pPr>
        <w:pStyle w:val="BodyText"/>
      </w:pPr>
      <w:r>
        <w:rPr>
          <w:bCs/>
          <w:b/>
        </w:rPr>
        <w:t xml:space="preserve">Research peptides</w:t>
      </w:r>
      <w:r>
        <w:t xml:space="preserve">: peptídeos vendidos com a indicação</w:t>
      </w:r>
      <w:r>
        <w:t xml:space="preserve"> </w:t>
      </w:r>
      <w:r>
        <w:t xml:space="preserve">“</w:t>
      </w:r>
      <w:r>
        <w:t xml:space="preserve">apenas para fins de pesquisa</w:t>
      </w:r>
      <w:r>
        <w:t xml:space="preserve">”</w:t>
      </w:r>
      <w:r>
        <w:t xml:space="preserve"> </w:t>
      </w:r>
      <w:r>
        <w:t xml:space="preserve">ou</w:t>
      </w:r>
      <w:r>
        <w:t xml:space="preserve"> </w:t>
      </w:r>
      <w:r>
        <w:t xml:space="preserve">“</w:t>
      </w:r>
      <w:r>
        <w:t xml:space="preserve">não destinado ao uso humano</w:t>
      </w:r>
      <w:r>
        <w:t xml:space="preserve">”</w:t>
      </w:r>
      <w:r>
        <w:t xml:space="preserve">, mas frequentemente a pessoas físicas. Não são medicamentos verificados.</w:t>
      </w:r>
    </w:p>
    <w:p>
      <w:pPr>
        <w:pStyle w:val="BodyText"/>
      </w:pPr>
      <w:r>
        <w:rPr>
          <w:bCs/>
          <w:b/>
        </w:rPr>
        <w:t xml:space="preserve">Revisão sistemática</w:t>
      </w:r>
      <w:r>
        <w:t xml:space="preserve">: um trabalho que, segundo regras definidas, busca, avalia e resume todos os estudos disponíveis sobre uma questão.</w:t>
      </w:r>
    </w:p>
    <w:p>
      <w:pPr>
        <w:pStyle w:val="BodyText"/>
      </w:pPr>
      <w:r>
        <w:rPr>
          <w:bCs/>
          <w:b/>
        </w:rPr>
        <w:t xml:space="preserve">Risco relativo</w:t>
      </w:r>
      <w:r>
        <w:t xml:space="preserve">: a razão entre a frequência de eventos em dois grupos. Um risco relativo de 0,5 significa uma redução pela metade – independentemente de quão frequente é o evento no geral.</w:t>
      </w:r>
    </w:p>
    <w:bookmarkEnd w:id="2989"/>
    <w:bookmarkStart w:id="2990" w:name="s"/>
    <w:p>
      <w:pPr>
        <w:pStyle w:val="Heading3"/>
      </w:pPr>
      <w:r>
        <w:t xml:space="preserve">S</w:t>
      </w:r>
    </w:p>
    <w:p>
      <w:pPr>
        <w:pStyle w:val="FirstParagraph"/>
      </w:pPr>
      <w:r>
        <w:rPr>
          <w:bCs/>
          <w:b/>
        </w:rPr>
        <w:t xml:space="preserve">Secretagogo</w:t>
      </w:r>
      <w:r>
        <w:t xml:space="preserve">: uma substância que estimula a secreção de outra. Secretagogos do hormônio do crescimento aumentam a liberação de hormônio do crescimento.</w:t>
      </w:r>
    </w:p>
    <w:p>
      <w:pPr>
        <w:pStyle w:val="BodyText"/>
      </w:pPr>
      <w:r>
        <w:rPr>
          <w:bCs/>
          <w:b/>
        </w:rPr>
        <w:t xml:space="preserve">Sequência</w:t>
      </w:r>
      <w:r>
        <w:t xml:space="preserve">: a ordem dos aminoácidos em uma cadeia peptídica. Ela determina as propriedades do peptídeo.</w:t>
      </w:r>
    </w:p>
    <w:p>
      <w:pPr>
        <w:pStyle w:val="BodyText"/>
      </w:pPr>
      <w:r>
        <w:rPr>
          <w:bCs/>
          <w:b/>
        </w:rPr>
        <w:t xml:space="preserve">Significância estatística</w:t>
      </w:r>
      <w:r>
        <w:t xml:space="preserve">: a afirmação de que uma diferença observada provavelmente não surgiu apenas por acaso. Ela nada diz sobre se a diferença é grande ou relevante.</w:t>
      </w:r>
    </w:p>
    <w:p>
      <w:pPr>
        <w:pStyle w:val="BodyText"/>
      </w:pPr>
      <w:r>
        <w:rPr>
          <w:bCs/>
          <w:b/>
        </w:rPr>
        <w:t xml:space="preserve">Síntese de peptídeos em fase sólida</w:t>
      </w:r>
      <w:r>
        <w:t xml:space="preserve">: processo químico em que uma cadeia peptídica é construída, componente por componente, sobre um material de suporte sólido. Base da produção da maioria dos peptídeos curtos.</w:t>
      </w:r>
    </w:p>
    <w:p>
      <w:pPr>
        <w:pStyle w:val="BodyText"/>
      </w:pPr>
      <w:r>
        <w:rPr>
          <w:bCs/>
          <w:b/>
        </w:rPr>
        <w:t xml:space="preserve">SNAC</w:t>
      </w:r>
      <w:r>
        <w:t xml:space="preserve">: um excipiente (N-[8-(2-hidroxibenzoil)amino]caprilato de sódio) que, no comprimido de semaglutida, possibilita a absorção do peptídeo no estômago.</w:t>
      </w:r>
    </w:p>
    <w:p>
      <w:pPr>
        <w:pStyle w:val="BodyText"/>
      </w:pPr>
      <w:r>
        <w:rPr>
          <w:bCs/>
          <w:b/>
        </w:rPr>
        <w:t xml:space="preserve">Subcutâneo</w:t>
      </w:r>
      <w:r>
        <w:t xml:space="preserve">: injetado sob a pele, no tecido adiposo subcutâneo. A via de administração mais comum para medicamentos peptídicos.</w:t>
      </w:r>
    </w:p>
    <w:p>
      <w:pPr>
        <w:pStyle w:val="BodyText"/>
      </w:pPr>
      <w:r>
        <w:rPr>
          <w:bCs/>
          <w:b/>
        </w:rPr>
        <w:t xml:space="preserve">Suplemento alimentar</w:t>
      </w:r>
      <w:r>
        <w:t xml:space="preserve">: um alimento destinado a complementar a alimentação normal com nutrientes ou outras substâncias. Não precisa de aprovação, mas não pode ter efeito farmacológico.</w:t>
      </w:r>
    </w:p>
    <w:bookmarkEnd w:id="2990"/>
    <w:bookmarkStart w:id="2991" w:name="u"/>
    <w:p>
      <w:pPr>
        <w:pStyle w:val="Heading3"/>
      </w:pPr>
      <w:r>
        <w:t xml:space="preserve">U</w:t>
      </w:r>
    </w:p>
    <w:p>
      <w:pPr>
        <w:pStyle w:val="FirstParagraph"/>
      </w:pPr>
      <w:r>
        <w:rPr>
          <w:bCs/>
          <w:b/>
        </w:rPr>
        <w:t xml:space="preserve">Uso off-label</w:t>
      </w:r>
      <w:r>
        <w:t xml:space="preserve">: o uso de um medicamento aprovado fora das indicações, posologias ou grupos de pessoas aprovados.</w:t>
      </w:r>
    </w:p>
    <w:bookmarkEnd w:id="2991"/>
    <w:bookmarkStart w:id="2992" w:name="v"/>
    <w:p>
      <w:pPr>
        <w:pStyle w:val="Heading3"/>
      </w:pPr>
      <w:r>
        <w:t xml:space="preserve">V</w:t>
      </w:r>
    </w:p>
    <w:p>
      <w:pPr>
        <w:pStyle w:val="FirstParagraph"/>
      </w:pPr>
      <w:r>
        <w:rPr>
          <w:bCs/>
          <w:b/>
        </w:rPr>
        <w:t xml:space="preserve">Valor p</w:t>
      </w:r>
      <w:r>
        <w:t xml:space="preserve">: uma medida estatística de quão provável seria uma diferença pelo menos tão grande se na realidade não houvesse efeito. Valores abaixo de 0,05 costumam ser considerados estatisticamente significativos.</w:t>
      </w:r>
    </w:p>
    <w:p>
      <w:pPr>
        <w:pStyle w:val="BodyText"/>
      </w:pPr>
      <w:r>
        <w:rPr>
          <w:bCs/>
          <w:b/>
        </w:rPr>
        <w:t xml:space="preserve">Viés de publicação</w:t>
      </w:r>
      <w:r>
        <w:t xml:space="preserve">: a distorção do quadro geral quando estudos com resultados positivos são publicados com mais frequência do que aqueles com resultados negativos.</w:t>
      </w:r>
    </w:p>
    <w:bookmarkEnd w:id="2992"/>
    <w:bookmarkStart w:id="2993" w:name="w"/>
    <w:p>
      <w:pPr>
        <w:pStyle w:val="Heading3"/>
      </w:pPr>
      <w:r>
        <w:t xml:space="preserve">W</w:t>
      </w:r>
    </w:p>
    <w:p>
      <w:pPr>
        <w:pStyle w:val="FirstParagraph"/>
      </w:pPr>
      <w:r>
        <w:rPr>
          <w:bCs/>
          <w:b/>
        </w:rPr>
        <w:t xml:space="preserve">WADA (Agência Mundial Antidoping)</w:t>
      </w:r>
      <w:r>
        <w:t xml:space="preserve">: a organização internacional que publica anualmente a lista de substâncias e métodos proibidos no esporte.</w:t>
      </w:r>
    </w:p>
    <w:bookmarkEnd w:id="2993"/>
    <w:bookmarkEnd w:id="2994"/>
    <w:bookmarkStart w:id="3010" w:name="metodologia"/>
    <w:p>
      <w:pPr>
        <w:pStyle w:val="Heading1"/>
      </w:pPr>
      <w:r>
        <w:t xml:space="preserve">Metodologia</w:t>
      </w:r>
    </w:p>
    <w:p>
      <w:pPr>
        <w:pStyle w:val="FirstParagraph"/>
      </w:pPr>
      <w:r>
        <w:t xml:space="preserve">Este apêndice descreve como os estudos para este livro foram buscados, selecionados e verificados. Ele deve permitir que você acompanhe a pesquisa e, se necessário, a repita ou atualize por conta própria.</w:t>
      </w:r>
    </w:p>
    <w:bookmarkStart w:id="2995" w:name="bancos-de-dados"/>
    <w:p>
      <w:pPr>
        <w:pStyle w:val="Heading3"/>
      </w:pPr>
      <w:r>
        <w:t xml:space="preserve">Bancos de dados</w:t>
      </w:r>
    </w:p>
    <w:p>
      <w:pPr>
        <w:pStyle w:val="FirstParagraph"/>
      </w:pPr>
      <w:r>
        <w:t xml:space="preserve">A base da pesquisa são dois bancos de dados de acesso livre:</w:t>
      </w:r>
    </w:p>
    <w:p>
      <w:pPr>
        <w:numPr>
          <w:ilvl w:val="0"/>
          <w:numId w:val="1373"/>
        </w:numPr>
        <w:pStyle w:val="Compact"/>
      </w:pPr>
      <w:r>
        <w:rPr>
          <w:bCs/>
          <w:b/>
        </w:rPr>
        <w:t xml:space="preserve">PubMed</w:t>
      </w:r>
      <w:r>
        <w:t xml:space="preserve"> </w:t>
      </w:r>
      <w:r>
        <w:t xml:space="preserve">(pubmed.ncbi.nlm.nih.gov), o banco de dados bibliográfico da National Library of Medicine dos EUA. Ele registra publicações de revistas biomédicas com título, autores, resumo (abstract) e palavras-chave. Cada registro tem um número único, o PMID.</w:t>
      </w:r>
    </w:p>
    <w:p>
      <w:pPr>
        <w:numPr>
          <w:ilvl w:val="0"/>
          <w:numId w:val="1373"/>
        </w:numPr>
        <w:pStyle w:val="Compact"/>
      </w:pPr>
      <w:r>
        <w:rPr>
          <w:bCs/>
          <w:b/>
        </w:rPr>
        <w:t xml:space="preserve">ClinicalTrials.gov</w:t>
      </w:r>
      <w:r>
        <w:t xml:space="preserve"> </w:t>
      </w:r>
      <w:r>
        <w:t xml:space="preserve">(clinicaltrials.gov), o registro de estudos dos National Institutes of Health dos EUA. Aqui, estudos clínicos de todo o mundo são registrados antes de seu início, com desenho, número planejado de participantes, desfechos e status. Cada estudo tem um número NCT.</w:t>
      </w:r>
    </w:p>
    <w:p>
      <w:pPr>
        <w:pStyle w:val="FirstParagraph"/>
      </w:pPr>
      <w:r>
        <w:t xml:space="preserve">Os dois bancos de dados foram consultados por meio de suas interfaces de programação oficiais e de acesso público: o PubMed pelos E-Utilities do National Center for Biotechnology Information, o ClinicalTrials.gov pela interface de programação na versão 2. Outros bancos de dados, como Embase, Cochrane Library, Web of Science, o registro de estudos da UE ou registros nacionais, não foram pesquisados sistematicamente.</w:t>
      </w:r>
    </w:p>
    <w:bookmarkEnd w:id="2995"/>
    <w:bookmarkStart w:id="2996" w:name="período-de-consulta"/>
    <w:p>
      <w:pPr>
        <w:pStyle w:val="Heading3"/>
      </w:pPr>
      <w:r>
        <w:t xml:space="preserve">Período de consulta</w:t>
      </w:r>
    </w:p>
    <w:p>
      <w:pPr>
        <w:pStyle w:val="FirstParagraph"/>
      </w:pPr>
      <w:r>
        <w:t xml:space="preserve">As consultas sistemáticas foram feitas em</w:t>
      </w:r>
      <w:r>
        <w:t xml:space="preserve"> </w:t>
      </w:r>
      <w:r>
        <w:rPr>
          <w:bCs/>
          <w:b/>
        </w:rPr>
        <w:t xml:space="preserve">outubro de 2026</w:t>
      </w:r>
      <w:r>
        <w:t xml:space="preserve">; a contagem dos resultados para todos os peptídeos é de 28 de outubro de 2026. Buscas complementares direcionadas sobre estudos, relatos de caso e revisões específicos foram realizadas no mesmo período. Estudos publicados posteriormente não foram considerados. A situação do livro é de novembro de 2026.</w:t>
      </w:r>
    </w:p>
    <w:bookmarkEnd w:id="2996"/>
    <w:bookmarkStart w:id="2997" w:name="estratégia-de-busca"/>
    <w:p>
      <w:pPr>
        <w:pStyle w:val="Heading3"/>
      </w:pPr>
      <w:r>
        <w:t xml:space="preserve">Estratégia de busca</w:t>
      </w:r>
    </w:p>
    <w:p>
      <w:pPr>
        <w:pStyle w:val="FirstParagraph"/>
      </w:pPr>
      <w:r>
        <w:t xml:space="preserve">Para cada um dos 58 peptídeos e substâncias de comparação, foi definido um termo de busca próprio no PubMed. Ele abrange o nome internacional da substância, bem como designações abreviadas, de código e comerciais usuais, e busca no título e no resumo (marcação</w:t>
      </w:r>
      <w:r>
        <w:t xml:space="preserve"> </w:t>
      </w:r>
      <w:r>
        <w:rPr>
          <w:rStyle w:val="VerbatimChar"/>
        </w:rPr>
        <w:t xml:space="preserve">[tiab]</w:t>
      </w:r>
      <w:r>
        <w:t xml:space="preserve">) ou apenas no título (</w:t>
      </w:r>
      <w:r>
        <w:rPr>
          <w:rStyle w:val="VerbatimChar"/>
        </w:rPr>
        <w:t xml:space="preserve">[ti]</w:t>
      </w:r>
      <w:r>
        <w:t xml:space="preserve">). No caso de termos ambíguos, o termo de busca foi restringido, por exemplo, nos peptídeos de colágeno, a trabalhos sobre ingestão ou, na kisspeptina, a trabalhos sobre administração do peptídeo.</w:t>
      </w:r>
    </w:p>
    <w:p>
      <w:pPr>
        <w:pStyle w:val="BodyText"/>
      </w:pPr>
      <w:r>
        <w:t xml:space="preserve">A esse termo de busca foram aplicados três filtros:</w:t>
      </w:r>
    </w:p>
    <w:p>
      <w:pPr>
        <w:pStyle w:val="BodyText"/>
      </w:pPr>
      <w:r>
        <w:rPr>
          <w:bCs/>
          <w:b/>
        </w:rPr>
        <w:t xml:space="preserve">Estudos em humanos.</w:t>
      </w:r>
      <w:r>
        <w:t xml:space="preserve"> </w:t>
      </w:r>
      <w:r>
        <w:t xml:space="preserve">Para encontrar estudos clínicos em humanos, o termo de busca foi combinado com o seguinte filtro:</w:t>
      </w:r>
    </w:p>
    <w:p>
      <w:pPr>
        <w:pStyle w:val="BodyText"/>
      </w:pPr>
      <w:r>
        <w:rPr>
          <w:rStyle w:val="VerbatimChar"/>
        </w:rPr>
        <w:t xml:space="preserve">(clinical trial[pt] OR randomized controlled trial[pt]) AND humans[mh]</w:t>
      </w:r>
    </w:p>
    <w:p>
      <w:pPr>
        <w:pStyle w:val="BodyText"/>
      </w:pPr>
      <w:r>
        <w:t xml:space="preserve">A parte</w:t>
      </w:r>
      <w:r>
        <w:t xml:space="preserve"> </w:t>
      </w:r>
      <w:r>
        <w:rPr>
          <w:rStyle w:val="VerbatimChar"/>
        </w:rPr>
        <w:t xml:space="preserve">[pt]</w:t>
      </w:r>
      <w:r>
        <w:t xml:space="preserve"> </w:t>
      </w:r>
      <w:r>
        <w:t xml:space="preserve">busca pelo tipo de publicação que o PubMed atribui a cada artigo;</w:t>
      </w:r>
      <w:r>
        <w:t xml:space="preserve"> </w:t>
      </w:r>
      <w:r>
        <w:rPr>
          <w:rStyle w:val="VerbatimChar"/>
        </w:rPr>
        <w:t xml:space="preserve">humans[mh]</w:t>
      </w:r>
      <w:r>
        <w:t xml:space="preserve"> </w:t>
      </w:r>
      <w:r>
        <w:t xml:space="preserve">representa o descritor</w:t>
      </w:r>
      <w:r>
        <w:t xml:space="preserve"> </w:t>
      </w:r>
      <w:r>
        <w:t xml:space="preserve">“</w:t>
      </w:r>
      <w:r>
        <w:t xml:space="preserve">seres humanos</w:t>
      </w:r>
      <w:r>
        <w:t xml:space="preserve">”</w:t>
      </w:r>
      <w:r>
        <w:t xml:space="preserve"> </w:t>
      </w:r>
      <w:r>
        <w:t xml:space="preserve">no sistema de descritores MeSH. Com isso, são encontrados artigos marcados como estudo clínico ou como ensaio clínico randomizado e que se referem a seres humanos.</w:t>
      </w:r>
    </w:p>
    <w:p>
      <w:pPr>
        <w:pStyle w:val="BodyText"/>
      </w:pPr>
      <w:r>
        <w:rPr>
          <w:bCs/>
          <w:b/>
        </w:rPr>
        <w:t xml:space="preserve">Metanálises e revisões.</w:t>
      </w:r>
      <w:r>
        <w:t xml:space="preserve"> </w:t>
      </w:r>
      <w:r>
        <w:t xml:space="preserve">Para trabalhos de síntese, o termo de busca foi combinado com este filtro:</w:t>
      </w:r>
    </w:p>
    <w:p>
      <w:pPr>
        <w:pStyle w:val="BodyText"/>
      </w:pPr>
      <w:r>
        <w:rPr>
          <w:rStyle w:val="VerbatimChar"/>
        </w:rPr>
        <w:t xml:space="preserve">(meta-analysis[pt] OR systematic review[pt])</w:t>
      </w:r>
    </w:p>
    <w:p>
      <w:pPr>
        <w:pStyle w:val="BodyText"/>
      </w:pPr>
      <w:r>
        <w:rPr>
          <w:bCs/>
          <w:b/>
        </w:rPr>
        <w:t xml:space="preserve">Pré-clínica.</w:t>
      </w:r>
      <w:r>
        <w:t xml:space="preserve"> </w:t>
      </w:r>
      <w:r>
        <w:t xml:space="preserve">Para peptídeos com menos de 25 estudos em humanos encontrados, foram avaliados adicionalmente os demais trabalhos mais relevantes sem o filtro de estudos em humanos, para captar estudos em animais e de laboratório, relatos de caso e análises de produtos do mercado cinza.</w:t>
      </w:r>
    </w:p>
    <w:p>
      <w:pPr>
        <w:pStyle w:val="BodyText"/>
      </w:pPr>
      <w:r>
        <w:rPr>
          <w:bCs/>
          <w:b/>
        </w:rPr>
        <w:t xml:space="preserve">Estudos de registro.</w:t>
      </w:r>
      <w:r>
        <w:t xml:space="preserve"> </w:t>
      </w:r>
      <w:r>
        <w:t xml:space="preserve">No ClinicalTrials.gov, foi usado para cada peptídeo um termo de busca próprio, em geral simples, com o nome da substância. Foram incluídos todos os registros, independentemente de status e fase do estudo.</w:t>
      </w:r>
    </w:p>
    <w:p>
      <w:pPr>
        <w:pStyle w:val="BodyText"/>
      </w:pPr>
      <w:r>
        <w:t xml:space="preserve">Além dessas buscas automatizadas, para cada capítulo buscaram-se de forma direcionada os mais importantes estudos de aprovação e de desfechos, grandes metanálises, programas de estudos (por exemplo STEP, SURMOUNT ou SELECT), dados de segurança, relatos de caso e análises laboratoriais de produtos do mercado cinza. Para a Parte I, foram pesquisados ainda trabalhos sobre a história da medicina com peptídeos, as formas farmacêuticas, a metodologia de estudos e o mercado cinza.</w:t>
      </w:r>
    </w:p>
    <w:bookmarkEnd w:id="2997"/>
    <w:bookmarkStart w:id="3004" w:name="termos-de-busca-por-peptídeo"/>
    <w:p>
      <w:pPr>
        <w:pStyle w:val="Heading3"/>
      </w:pPr>
      <w:r>
        <w:t xml:space="preserve">Termos de busca por peptídeo</w:t>
      </w:r>
    </w:p>
    <w:p>
      <w:pPr>
        <w:pStyle w:val="FirstParagraph"/>
      </w:pPr>
      <w:r>
        <w:t xml:space="preserve">As tabelas a seguir reproduzem os termos de busca do PubMed usados na consulta sistemática. A cada termo foram acrescentados os filtros descritos acima. Um asterisco no fim da palavra representa quaisquer terminações,</w:t>
      </w:r>
      <w:r>
        <w:t xml:space="preserve"> </w:t>
      </w:r>
      <w:r>
        <w:rPr>
          <w:rStyle w:val="VerbatimChar"/>
        </w:rPr>
        <w:t xml:space="preserve">OR</w:t>
      </w:r>
      <w:r>
        <w:t xml:space="preserve"> </w:t>
      </w:r>
      <w:r>
        <w:t xml:space="preserve">une designações alternativas,</w:t>
      </w:r>
      <w:r>
        <w:t xml:space="preserve"> </w:t>
      </w:r>
      <w:r>
        <w:rPr>
          <w:rStyle w:val="VerbatimChar"/>
        </w:rPr>
        <w:t xml:space="preserve">AND</w:t>
      </w:r>
      <w:r>
        <w:t xml:space="preserve"> </w:t>
      </w:r>
      <w:r>
        <w:t xml:space="preserve">restringe a busca.</w:t>
      </w:r>
    </w:p>
    <w:bookmarkStart w:id="2998" w:name="a.-metabolismo-e-peso-1"/>
    <w:p>
      <w:pPr>
        <w:pStyle w:val="Heading4"/>
      </w:pPr>
      <w:r>
        <w:t xml:space="preserve">A. Metabolismo e peso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Peptídeo</w:t>
            </w:r>
          </w:p>
        </w:tc>
        <w:tc>
          <w:tcPr/>
          <w:p>
            <w:pPr>
              <w:pStyle w:val="Compact"/>
              <w:jc w:val="left"/>
            </w:pPr>
            <w:r>
              <w:t xml:space="preserve">Termo de busca no PubMed</w:t>
            </w:r>
          </w:p>
        </w:tc>
      </w:tr>
      <w:tr>
        <w:tc>
          <w:tcPr/>
          <w:p>
            <w:pPr>
              <w:pStyle w:val="Compact"/>
              <w:jc w:val="left"/>
            </w:pPr>
            <w:r>
              <w:t xml:space="preserve">Exenatida</w:t>
            </w:r>
          </w:p>
        </w:tc>
        <w:tc>
          <w:tcPr/>
          <w:p>
            <w:pPr>
              <w:pStyle w:val="Compact"/>
              <w:jc w:val="left"/>
            </w:pPr>
            <w:r>
              <w:rPr>
                <w:rStyle w:val="VerbatimChar"/>
              </w:rPr>
              <w:t xml:space="preserve">exenatide[tiab]</w:t>
            </w:r>
          </w:p>
        </w:tc>
      </w:tr>
      <w:tr>
        <w:tc>
          <w:tcPr/>
          <w:p>
            <w:pPr>
              <w:pStyle w:val="Compact"/>
              <w:jc w:val="left"/>
            </w:pPr>
            <w:r>
              <w:t xml:space="preserve">Liraglutida</w:t>
            </w:r>
          </w:p>
        </w:tc>
        <w:tc>
          <w:tcPr/>
          <w:p>
            <w:pPr>
              <w:pStyle w:val="Compact"/>
              <w:jc w:val="left"/>
            </w:pPr>
            <w:r>
              <w:rPr>
                <w:rStyle w:val="VerbatimChar"/>
              </w:rPr>
              <w:t xml:space="preserve">liraglutide[tiab]</w:t>
            </w:r>
          </w:p>
        </w:tc>
      </w:tr>
      <w:tr>
        <w:tc>
          <w:tcPr/>
          <w:p>
            <w:pPr>
              <w:pStyle w:val="Compact"/>
              <w:jc w:val="left"/>
            </w:pPr>
            <w:r>
              <w:t xml:space="preserve">Dulaglutida</w:t>
            </w:r>
          </w:p>
        </w:tc>
        <w:tc>
          <w:tcPr/>
          <w:p>
            <w:pPr>
              <w:pStyle w:val="Compact"/>
              <w:jc w:val="left"/>
            </w:pPr>
            <w:r>
              <w:rPr>
                <w:rStyle w:val="VerbatimChar"/>
              </w:rPr>
              <w:t xml:space="preserve">dulaglutide[tiab]</w:t>
            </w:r>
          </w:p>
        </w:tc>
      </w:tr>
      <w:tr>
        <w:tc>
          <w:tcPr/>
          <w:p>
            <w:pPr>
              <w:pStyle w:val="Compact"/>
              <w:jc w:val="left"/>
            </w:pPr>
            <w:r>
              <w:t xml:space="preserve">Semaglutida</w:t>
            </w:r>
          </w:p>
        </w:tc>
        <w:tc>
          <w:tcPr/>
          <w:p>
            <w:pPr>
              <w:pStyle w:val="Compact"/>
              <w:jc w:val="left"/>
            </w:pPr>
            <w:r>
              <w:rPr>
                <w:rStyle w:val="VerbatimChar"/>
              </w:rPr>
              <w:t xml:space="preserve">semaglutide[tiab]</w:t>
            </w:r>
          </w:p>
        </w:tc>
      </w:tr>
      <w:tr>
        <w:tc>
          <w:tcPr/>
          <w:p>
            <w:pPr>
              <w:pStyle w:val="Compact"/>
              <w:jc w:val="left"/>
            </w:pPr>
            <w:r>
              <w:t xml:space="preserve">Tirzepatida</w:t>
            </w:r>
          </w:p>
        </w:tc>
        <w:tc>
          <w:tcPr/>
          <w:p>
            <w:pPr>
              <w:pStyle w:val="Compact"/>
              <w:jc w:val="left"/>
            </w:pPr>
            <w:r>
              <w:rPr>
                <w:rStyle w:val="VerbatimChar"/>
              </w:rPr>
              <w:t xml:space="preserve">tirzepatide[tiab]</w:t>
            </w:r>
          </w:p>
        </w:tc>
      </w:tr>
      <w:tr>
        <w:tc>
          <w:tcPr/>
          <w:p>
            <w:pPr>
              <w:pStyle w:val="Compact"/>
              <w:jc w:val="left"/>
            </w:pPr>
            <w:r>
              <w:t xml:space="preserve">Retatrutida</w:t>
            </w:r>
          </w:p>
        </w:tc>
        <w:tc>
          <w:tcPr/>
          <w:p>
            <w:pPr>
              <w:pStyle w:val="Compact"/>
              <w:jc w:val="left"/>
            </w:pPr>
            <w:r>
              <w:rPr>
                <w:rStyle w:val="VerbatimChar"/>
              </w:rPr>
              <w:t xml:space="preserve">retatrutide[tiab]</w:t>
            </w:r>
          </w:p>
        </w:tc>
      </w:tr>
      <w:tr>
        <w:tc>
          <w:tcPr/>
          <w:p>
            <w:pPr>
              <w:pStyle w:val="Compact"/>
              <w:jc w:val="left"/>
            </w:pPr>
            <w:r>
              <w:t xml:space="preserve">Survodutida</w:t>
            </w:r>
          </w:p>
        </w:tc>
        <w:tc>
          <w:tcPr/>
          <w:p>
            <w:pPr>
              <w:pStyle w:val="Compact"/>
              <w:jc w:val="left"/>
            </w:pPr>
            <w:r>
              <w:rPr>
                <w:rStyle w:val="VerbatimChar"/>
              </w:rPr>
              <w:t xml:space="preserve">survodutide[tiab]</w:t>
            </w:r>
          </w:p>
        </w:tc>
      </w:tr>
      <w:tr>
        <w:tc>
          <w:tcPr/>
          <w:p>
            <w:pPr>
              <w:pStyle w:val="Compact"/>
              <w:jc w:val="left"/>
            </w:pPr>
            <w:r>
              <w:t xml:space="preserve">Mazdutida</w:t>
            </w:r>
          </w:p>
        </w:tc>
        <w:tc>
          <w:tcPr/>
          <w:p>
            <w:pPr>
              <w:pStyle w:val="Compact"/>
              <w:jc w:val="left"/>
            </w:pPr>
            <w:r>
              <w:rPr>
                <w:rStyle w:val="VerbatimChar"/>
              </w:rPr>
              <w:t xml:space="preserve">mazdutide[tiab]</w:t>
            </w:r>
          </w:p>
        </w:tc>
      </w:tr>
      <w:tr>
        <w:tc>
          <w:tcPr/>
          <w:p>
            <w:pPr>
              <w:pStyle w:val="Compact"/>
              <w:jc w:val="left"/>
            </w:pPr>
            <w:r>
              <w:t xml:space="preserve">Cagrilintida ou CagriSema</w:t>
            </w:r>
          </w:p>
        </w:tc>
        <w:tc>
          <w:tcPr/>
          <w:p>
            <w:pPr>
              <w:pStyle w:val="Compact"/>
              <w:jc w:val="left"/>
            </w:pPr>
            <w:r>
              <w:rPr>
                <w:rStyle w:val="VerbatimChar"/>
              </w:rPr>
              <w:t xml:space="preserve">cagrilintide[tiab]</w:t>
            </w:r>
          </w:p>
        </w:tc>
      </w:tr>
      <w:tr>
        <w:tc>
          <w:tcPr/>
          <w:p>
            <w:pPr>
              <w:pStyle w:val="Compact"/>
              <w:jc w:val="left"/>
            </w:pPr>
            <w:r>
              <w:t xml:space="preserve">Amicretina</w:t>
            </w:r>
          </w:p>
        </w:tc>
        <w:tc>
          <w:tcPr/>
          <w:p>
            <w:pPr>
              <w:pStyle w:val="Compact"/>
              <w:jc w:val="left"/>
            </w:pPr>
            <w:r>
              <w:rPr>
                <w:rStyle w:val="VerbatimChar"/>
              </w:rPr>
              <w:t xml:space="preserve">amycretin[tiab]</w:t>
            </w:r>
          </w:p>
        </w:tc>
      </w:tr>
      <w:tr>
        <w:tc>
          <w:tcPr/>
          <w:p>
            <w:pPr>
              <w:pStyle w:val="Compact"/>
              <w:jc w:val="left"/>
            </w:pPr>
            <w:r>
              <w:t xml:space="preserve">Maridebarte cafraglutida (MariTide)</w:t>
            </w:r>
          </w:p>
        </w:tc>
        <w:tc>
          <w:tcPr/>
          <w:p>
            <w:pPr>
              <w:pStyle w:val="Compact"/>
              <w:jc w:val="left"/>
            </w:pPr>
            <w:r>
              <w:rPr>
                <w:rStyle w:val="VerbatimChar"/>
              </w:rPr>
              <w:t xml:space="preserve">maridebart[tiab] OR AMG 133[tiab]</w:t>
            </w:r>
          </w:p>
        </w:tc>
      </w:tr>
      <w:tr>
        <w:tc>
          <w:tcPr/>
          <w:p>
            <w:pPr>
              <w:pStyle w:val="Compact"/>
              <w:jc w:val="left"/>
            </w:pPr>
            <w:r>
              <w:t xml:space="preserve">Pranlintida</w:t>
            </w:r>
          </w:p>
        </w:tc>
        <w:tc>
          <w:tcPr/>
          <w:p>
            <w:pPr>
              <w:pStyle w:val="Compact"/>
              <w:jc w:val="left"/>
            </w:pPr>
            <w:r>
              <w:rPr>
                <w:rStyle w:val="VerbatimChar"/>
              </w:rPr>
              <w:t xml:space="preserve">pramlintide[tiab]</w:t>
            </w:r>
          </w:p>
        </w:tc>
      </w:tr>
      <w:tr>
        <w:tc>
          <w:tcPr/>
          <w:p>
            <w:pPr>
              <w:pStyle w:val="Compact"/>
              <w:jc w:val="left"/>
            </w:pPr>
            <w:r>
              <w:t xml:space="preserve">Setmelanotida</w:t>
            </w:r>
          </w:p>
        </w:tc>
        <w:tc>
          <w:tcPr/>
          <w:p>
            <w:pPr>
              <w:pStyle w:val="Compact"/>
              <w:jc w:val="left"/>
            </w:pPr>
            <w:r>
              <w:rPr>
                <w:rStyle w:val="VerbatimChar"/>
              </w:rPr>
              <w:t xml:space="preserve">setmelanotide[tiab]</w:t>
            </w:r>
          </w:p>
        </w:tc>
      </w:tr>
      <w:tr>
        <w:tc>
          <w:tcPr/>
          <w:p>
            <w:pPr>
              <w:pStyle w:val="Compact"/>
              <w:jc w:val="left"/>
            </w:pPr>
            <w:r>
              <w:t xml:space="preserve">AOD-9604</w:t>
            </w:r>
          </w:p>
        </w:tc>
        <w:tc>
          <w:tcPr/>
          <w:p>
            <w:pPr>
              <w:pStyle w:val="Compact"/>
              <w:jc w:val="left"/>
            </w:pPr>
            <w:r>
              <w:rPr>
                <w:rStyle w:val="VerbatimChar"/>
              </w:rPr>
              <w:t xml:space="preserve">AOD9604[tiab] OR AOD-9604[tiab]</w:t>
            </w:r>
          </w:p>
        </w:tc>
      </w:tr>
      <w:tr>
        <w:tc>
          <w:tcPr/>
          <w:p>
            <w:pPr>
              <w:pStyle w:val="Compact"/>
              <w:jc w:val="left"/>
            </w:pPr>
            <w:r>
              <w:t xml:space="preserve">Orforglipron (comparação)</w:t>
            </w:r>
          </w:p>
        </w:tc>
        <w:tc>
          <w:tcPr/>
          <w:p>
            <w:pPr>
              <w:pStyle w:val="Compact"/>
              <w:jc w:val="left"/>
            </w:pPr>
            <w:r>
              <w:rPr>
                <w:rStyle w:val="VerbatimChar"/>
              </w:rPr>
              <w:t xml:space="preserve">orforglipron[tiab]</w:t>
            </w:r>
          </w:p>
        </w:tc>
      </w:tr>
    </w:tbl>
    <w:bookmarkEnd w:id="2998"/>
    <w:bookmarkStart w:id="2999" w:name="X050ea5fae4c16254c388d7eac1a2daf58c61776"/>
    <w:p>
      <w:pPr>
        <w:pStyle w:val="Heading4"/>
      </w:pPr>
      <w:r>
        <w:t xml:space="preserve">B. Cura, regeneração e sistema imunológico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Peptídeo</w:t>
            </w:r>
          </w:p>
        </w:tc>
        <w:tc>
          <w:tcPr/>
          <w:p>
            <w:pPr>
              <w:pStyle w:val="Compact"/>
              <w:jc w:val="left"/>
            </w:pPr>
            <w:r>
              <w:t xml:space="preserve">Termo de busca no PubMed</w:t>
            </w:r>
          </w:p>
        </w:tc>
      </w:tr>
      <w:tr>
        <w:tc>
          <w:tcPr/>
          <w:p>
            <w:pPr>
              <w:pStyle w:val="Compact"/>
              <w:jc w:val="left"/>
            </w:pPr>
            <w:r>
              <w:t xml:space="preserve">BPC-157</w:t>
            </w:r>
          </w:p>
        </w:tc>
        <w:tc>
          <w:tcPr/>
          <w:p>
            <w:pPr>
              <w:pStyle w:val="Compact"/>
              <w:jc w:val="left"/>
            </w:pPr>
            <w:r>
              <w:rPr>
                <w:rStyle w:val="VerbatimChar"/>
              </w:rPr>
              <w:t xml:space="preserve">BPC 157[tiab] OR BPC-157[tiab] OR pentadecapeptide BPC[tiab]</w:t>
            </w:r>
          </w:p>
        </w:tc>
      </w:tr>
      <w:tr>
        <w:tc>
          <w:tcPr/>
          <w:p>
            <w:pPr>
              <w:pStyle w:val="Compact"/>
              <w:jc w:val="left"/>
            </w:pPr>
            <w:r>
              <w:t xml:space="preserve">TB-500 ou timosina beta-4</w:t>
            </w:r>
          </w:p>
        </w:tc>
        <w:tc>
          <w:tcPr/>
          <w:p>
            <w:pPr>
              <w:pStyle w:val="Compact"/>
              <w:jc w:val="left"/>
            </w:pPr>
            <w:r>
              <w:rPr>
                <w:rStyle w:val="VerbatimChar"/>
              </w:rPr>
              <w:t xml:space="preserve">thymosin beta-4[tiab] OR thymosin beta4[tiab] OR TB-500[tiab] OR TB500[tiab]</w:t>
            </w:r>
          </w:p>
        </w:tc>
      </w:tr>
      <w:tr>
        <w:tc>
          <w:tcPr/>
          <w:p>
            <w:pPr>
              <w:pStyle w:val="Compact"/>
              <w:jc w:val="left"/>
            </w:pPr>
            <w:r>
              <w:t xml:space="preserve">Timosina alfa-1 (timalfasina)</w:t>
            </w:r>
          </w:p>
        </w:tc>
        <w:tc>
          <w:tcPr/>
          <w:p>
            <w:pPr>
              <w:pStyle w:val="Compact"/>
              <w:jc w:val="left"/>
            </w:pPr>
            <w:r>
              <w:rPr>
                <w:rStyle w:val="VerbatimChar"/>
              </w:rPr>
              <w:t xml:space="preserve">thymosin alpha 1[tiab] OR thymalfasin[tiab] OR thymosin alpha1[tiab]</w:t>
            </w:r>
          </w:p>
        </w:tc>
      </w:tr>
      <w:tr>
        <w:tc>
          <w:tcPr/>
          <w:p>
            <w:pPr>
              <w:pStyle w:val="Compact"/>
              <w:jc w:val="left"/>
            </w:pPr>
            <w:r>
              <w:t xml:space="preserve">KPV</w:t>
            </w:r>
          </w:p>
        </w:tc>
        <w:tc>
          <w:tcPr/>
          <w:p>
            <w:pPr>
              <w:pStyle w:val="Compact"/>
              <w:jc w:val="left"/>
            </w:pPr>
            <w:r>
              <w:rPr>
                <w:rStyle w:val="VerbatimChar"/>
              </w:rPr>
              <w:t xml:space="preserve">KPV[tiab] AND (peptide[tiab] OR tripeptide[tiab])</w:t>
            </w:r>
          </w:p>
        </w:tc>
      </w:tr>
      <w:tr>
        <w:tc>
          <w:tcPr/>
          <w:p>
            <w:pPr>
              <w:pStyle w:val="Compact"/>
              <w:jc w:val="left"/>
            </w:pPr>
            <w:r>
              <w:t xml:space="preserve">LL-37</w:t>
            </w:r>
          </w:p>
        </w:tc>
        <w:tc>
          <w:tcPr/>
          <w:p>
            <w:pPr>
              <w:pStyle w:val="Compact"/>
              <w:jc w:val="left"/>
            </w:pPr>
            <w:r>
              <w:rPr>
                <w:rStyle w:val="VerbatimChar"/>
              </w:rPr>
              <w:t xml:space="preserve">LL-37[tiab] OR cathelicidin[tiab]</w:t>
            </w:r>
          </w:p>
        </w:tc>
      </w:tr>
      <w:tr>
        <w:tc>
          <w:tcPr/>
          <w:p>
            <w:pPr>
              <w:pStyle w:val="Compact"/>
              <w:jc w:val="left"/>
            </w:pPr>
            <w:r>
              <w:t xml:space="preserve">ARA-290 (cibinetida)</w:t>
            </w:r>
          </w:p>
        </w:tc>
        <w:tc>
          <w:tcPr/>
          <w:p>
            <w:pPr>
              <w:pStyle w:val="Compact"/>
              <w:jc w:val="left"/>
            </w:pPr>
            <w:r>
              <w:rPr>
                <w:rStyle w:val="VerbatimChar"/>
              </w:rPr>
              <w:t xml:space="preserve">ARA 290[tiab] OR ARA290[tiab] OR cibinetide[tiab]</w:t>
            </w:r>
          </w:p>
        </w:tc>
      </w:tr>
      <w:tr>
        <w:tc>
          <w:tcPr/>
          <w:p>
            <w:pPr>
              <w:pStyle w:val="Compact"/>
              <w:jc w:val="left"/>
            </w:pPr>
            <w:r>
              <w:t xml:space="preserve">Larazotida</w:t>
            </w:r>
          </w:p>
        </w:tc>
        <w:tc>
          <w:tcPr/>
          <w:p>
            <w:pPr>
              <w:pStyle w:val="Compact"/>
              <w:jc w:val="left"/>
            </w:pPr>
            <w:r>
              <w:rPr>
                <w:rStyle w:val="VerbatimChar"/>
              </w:rPr>
              <w:t xml:space="preserve">larazotide[tiab]</w:t>
            </w:r>
          </w:p>
        </w:tc>
      </w:tr>
      <w:tr>
        <w:tc>
          <w:tcPr/>
          <w:p>
            <w:pPr>
              <w:pStyle w:val="Compact"/>
              <w:jc w:val="left"/>
            </w:pPr>
            <w:r>
              <w:t xml:space="preserve">Timalina ou timogen</w:t>
            </w:r>
          </w:p>
        </w:tc>
        <w:tc>
          <w:tcPr/>
          <w:p>
            <w:pPr>
              <w:pStyle w:val="Compact"/>
              <w:jc w:val="left"/>
            </w:pPr>
            <w:r>
              <w:rPr>
                <w:rStyle w:val="VerbatimChar"/>
              </w:rPr>
              <w:t xml:space="preserve">thymalin[tiab] OR thymogen[tiab]</w:t>
            </w:r>
          </w:p>
        </w:tc>
      </w:tr>
    </w:tbl>
    <w:bookmarkEnd w:id="2999"/>
    <w:bookmarkStart w:id="3000" w:name="c.-eixo-do-hormônio-do-crescimento-1"/>
    <w:p>
      <w:pPr>
        <w:pStyle w:val="Heading4"/>
      </w:pPr>
      <w:r>
        <w:t xml:space="preserve">C. Eixo do hormônio do crescimento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Peptídeo</w:t>
            </w:r>
          </w:p>
        </w:tc>
        <w:tc>
          <w:tcPr/>
          <w:p>
            <w:pPr>
              <w:pStyle w:val="Compact"/>
              <w:jc w:val="left"/>
            </w:pPr>
            <w:r>
              <w:t xml:space="preserve">Termo de busca no PubMed</w:t>
            </w:r>
          </w:p>
        </w:tc>
      </w:tr>
      <w:tr>
        <w:tc>
          <w:tcPr/>
          <w:p>
            <w:pPr>
              <w:pStyle w:val="Compact"/>
              <w:jc w:val="left"/>
            </w:pPr>
            <w:r>
              <w:t xml:space="preserve">Sermorelina</w:t>
            </w:r>
          </w:p>
        </w:tc>
        <w:tc>
          <w:tcPr/>
          <w:p>
            <w:pPr>
              <w:pStyle w:val="Compact"/>
              <w:jc w:val="left"/>
            </w:pPr>
            <w:r>
              <w:rPr>
                <w:rStyle w:val="VerbatimChar"/>
              </w:rPr>
              <w:t xml:space="preserve">sermorelin[tiab]</w:t>
            </w:r>
          </w:p>
        </w:tc>
      </w:tr>
      <w:tr>
        <w:tc>
          <w:tcPr/>
          <w:p>
            <w:pPr>
              <w:pStyle w:val="Compact"/>
              <w:jc w:val="left"/>
            </w:pPr>
            <w:r>
              <w:t xml:space="preserve">Tesamorelina</w:t>
            </w:r>
          </w:p>
        </w:tc>
        <w:tc>
          <w:tcPr/>
          <w:p>
            <w:pPr>
              <w:pStyle w:val="Compact"/>
              <w:jc w:val="left"/>
            </w:pPr>
            <w:r>
              <w:rPr>
                <w:rStyle w:val="VerbatimChar"/>
              </w:rPr>
              <w:t xml:space="preserve">tesamorelin[tiab]</w:t>
            </w:r>
          </w:p>
        </w:tc>
      </w:tr>
      <w:tr>
        <w:tc>
          <w:tcPr/>
          <w:p>
            <w:pPr>
              <w:pStyle w:val="Compact"/>
              <w:jc w:val="left"/>
            </w:pPr>
            <w:r>
              <w:t xml:space="preserve">CJC-1295</w:t>
            </w:r>
          </w:p>
        </w:tc>
        <w:tc>
          <w:tcPr/>
          <w:p>
            <w:pPr>
              <w:pStyle w:val="Compact"/>
              <w:jc w:val="left"/>
            </w:pPr>
            <w:r>
              <w:rPr>
                <w:rStyle w:val="VerbatimChar"/>
              </w:rPr>
              <w:t xml:space="preserve">CJC-1295[tiab] OR CJC 1295[tiab]</w:t>
            </w:r>
          </w:p>
        </w:tc>
      </w:tr>
      <w:tr>
        <w:tc>
          <w:tcPr/>
          <w:p>
            <w:pPr>
              <w:pStyle w:val="Compact"/>
              <w:jc w:val="left"/>
            </w:pPr>
            <w:r>
              <w:t xml:space="preserve">Ipamorelina</w:t>
            </w:r>
          </w:p>
        </w:tc>
        <w:tc>
          <w:tcPr/>
          <w:p>
            <w:pPr>
              <w:pStyle w:val="Compact"/>
              <w:jc w:val="left"/>
            </w:pPr>
            <w:r>
              <w:rPr>
                <w:rStyle w:val="VerbatimChar"/>
              </w:rPr>
              <w:t xml:space="preserve">ipamorelin[tiab]</w:t>
            </w:r>
          </w:p>
        </w:tc>
      </w:tr>
      <w:tr>
        <w:tc>
          <w:tcPr/>
          <w:p>
            <w:pPr>
              <w:pStyle w:val="Compact"/>
              <w:jc w:val="left"/>
            </w:pPr>
            <w:r>
              <w:t xml:space="preserve">GHRP-2 (pralmorelina)</w:t>
            </w:r>
          </w:p>
        </w:tc>
        <w:tc>
          <w:tcPr/>
          <w:p>
            <w:pPr>
              <w:pStyle w:val="Compact"/>
              <w:jc w:val="left"/>
            </w:pPr>
            <w:r>
              <w:rPr>
                <w:rStyle w:val="VerbatimChar"/>
              </w:rPr>
              <w:t xml:space="preserve">GHRP-2[tiab] OR pralmorelin[tiab]</w:t>
            </w:r>
          </w:p>
        </w:tc>
      </w:tr>
      <w:tr>
        <w:tc>
          <w:tcPr/>
          <w:p>
            <w:pPr>
              <w:pStyle w:val="Compact"/>
              <w:jc w:val="left"/>
            </w:pPr>
            <w:r>
              <w:t xml:space="preserve">GHRP-6</w:t>
            </w:r>
          </w:p>
        </w:tc>
        <w:tc>
          <w:tcPr/>
          <w:p>
            <w:pPr>
              <w:pStyle w:val="Compact"/>
              <w:jc w:val="left"/>
            </w:pPr>
            <w:r>
              <w:rPr>
                <w:rStyle w:val="VerbatimChar"/>
              </w:rPr>
              <w:t xml:space="preserve">GHRP-6[tiab]</w:t>
            </w:r>
          </w:p>
        </w:tc>
      </w:tr>
      <w:tr>
        <w:tc>
          <w:tcPr/>
          <w:p>
            <w:pPr>
              <w:pStyle w:val="Compact"/>
              <w:jc w:val="left"/>
            </w:pPr>
            <w:r>
              <w:t xml:space="preserve">Hexarelina</w:t>
            </w:r>
          </w:p>
        </w:tc>
        <w:tc>
          <w:tcPr/>
          <w:p>
            <w:pPr>
              <w:pStyle w:val="Compact"/>
              <w:jc w:val="left"/>
            </w:pPr>
            <w:r>
              <w:rPr>
                <w:rStyle w:val="VerbatimChar"/>
              </w:rPr>
              <w:t xml:space="preserve">hexarelin[tiab]</w:t>
            </w:r>
          </w:p>
        </w:tc>
      </w:tr>
      <w:tr>
        <w:tc>
          <w:tcPr/>
          <w:p>
            <w:pPr>
              <w:pStyle w:val="Compact"/>
              <w:jc w:val="left"/>
            </w:pPr>
            <w:r>
              <w:t xml:space="preserve">Macimorelina</w:t>
            </w:r>
          </w:p>
        </w:tc>
        <w:tc>
          <w:tcPr/>
          <w:p>
            <w:pPr>
              <w:pStyle w:val="Compact"/>
              <w:jc w:val="left"/>
            </w:pPr>
            <w:r>
              <w:rPr>
                <w:rStyle w:val="VerbatimChar"/>
              </w:rPr>
              <w:t xml:space="preserve">macimorelin[tiab]</w:t>
            </w:r>
          </w:p>
        </w:tc>
      </w:tr>
      <w:tr>
        <w:tc>
          <w:tcPr/>
          <w:p>
            <w:pPr>
              <w:pStyle w:val="Compact"/>
              <w:jc w:val="left"/>
            </w:pPr>
            <w:r>
              <w:t xml:space="preserve">Mecasermina (IGF-1)</w:t>
            </w:r>
          </w:p>
        </w:tc>
        <w:tc>
          <w:tcPr/>
          <w:p>
            <w:pPr>
              <w:pStyle w:val="Compact"/>
              <w:jc w:val="left"/>
            </w:pPr>
            <w:r>
              <w:rPr>
                <w:rStyle w:val="VerbatimChar"/>
              </w:rPr>
              <w:t xml:space="preserve">mecasermin[tiab] OR rhIGF-1[tiab]</w:t>
            </w:r>
          </w:p>
        </w:tc>
      </w:tr>
      <w:tr>
        <w:tc>
          <w:tcPr/>
          <w:p>
            <w:pPr>
              <w:pStyle w:val="Compact"/>
              <w:jc w:val="left"/>
            </w:pPr>
            <w:r>
              <w:t xml:space="preserve">IGF-1 LR3</w:t>
            </w:r>
          </w:p>
        </w:tc>
        <w:tc>
          <w:tcPr/>
          <w:p>
            <w:pPr>
              <w:pStyle w:val="Compact"/>
              <w:jc w:val="left"/>
            </w:pPr>
            <w:r>
              <w:rPr>
                <w:rStyle w:val="VerbatimChar"/>
              </w:rPr>
              <w:t xml:space="preserve">LR3-IGF-1[tiab] OR IGF-1 LR3[tiab] OR "Long R3"[tiab]</w:t>
            </w:r>
          </w:p>
        </w:tc>
      </w:tr>
      <w:tr>
        <w:tc>
          <w:tcPr/>
          <w:p>
            <w:pPr>
              <w:pStyle w:val="Compact"/>
              <w:jc w:val="left"/>
            </w:pPr>
            <w:r>
              <w:t xml:space="preserve">Ibutamoreno (MK-677) (comparação)</w:t>
            </w:r>
          </w:p>
        </w:tc>
        <w:tc>
          <w:tcPr/>
          <w:p>
            <w:pPr>
              <w:pStyle w:val="Compact"/>
              <w:jc w:val="left"/>
            </w:pPr>
            <w:r>
              <w:rPr>
                <w:rStyle w:val="VerbatimChar"/>
              </w:rPr>
              <w:t xml:space="preserve">ibutamoreno[tiab] OR MK-677[tiab] OR MK-0677[tiab]</w:t>
            </w:r>
          </w:p>
        </w:tc>
      </w:tr>
    </w:tbl>
    <w:bookmarkEnd w:id="3000"/>
    <w:bookmarkStart w:id="3001" w:name="d.-cérebro-sono-e-longevidade-1"/>
    <w:p>
      <w:pPr>
        <w:pStyle w:val="Heading4"/>
      </w:pPr>
      <w:r>
        <w:t xml:space="preserve">D. Cérebro, sono e longevidade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Peptídeo</w:t>
            </w:r>
          </w:p>
        </w:tc>
        <w:tc>
          <w:tcPr/>
          <w:p>
            <w:pPr>
              <w:pStyle w:val="Compact"/>
              <w:jc w:val="left"/>
            </w:pPr>
            <w:r>
              <w:t xml:space="preserve">Termo de busca no PubMed</w:t>
            </w:r>
          </w:p>
        </w:tc>
      </w:tr>
      <w:tr>
        <w:tc>
          <w:tcPr/>
          <w:p>
            <w:pPr>
              <w:pStyle w:val="Compact"/>
              <w:jc w:val="left"/>
            </w:pPr>
            <w:r>
              <w:t xml:space="preserve">Semax</w:t>
            </w:r>
          </w:p>
        </w:tc>
        <w:tc>
          <w:tcPr/>
          <w:p>
            <w:pPr>
              <w:pStyle w:val="Compact"/>
              <w:jc w:val="left"/>
            </w:pPr>
            <w:r>
              <w:rPr>
                <w:rStyle w:val="VerbatimChar"/>
              </w:rPr>
              <w:t xml:space="preserve">semax[tiab]</w:t>
            </w:r>
          </w:p>
        </w:tc>
      </w:tr>
      <w:tr>
        <w:tc>
          <w:tcPr/>
          <w:p>
            <w:pPr>
              <w:pStyle w:val="Compact"/>
              <w:jc w:val="left"/>
            </w:pPr>
            <w:r>
              <w:t xml:space="preserve">Selank</w:t>
            </w:r>
          </w:p>
        </w:tc>
        <w:tc>
          <w:tcPr/>
          <w:p>
            <w:pPr>
              <w:pStyle w:val="Compact"/>
              <w:jc w:val="left"/>
            </w:pPr>
            <w:r>
              <w:rPr>
                <w:rStyle w:val="VerbatimChar"/>
              </w:rPr>
              <w:t xml:space="preserve">selank[tiab]</w:t>
            </w:r>
          </w:p>
        </w:tc>
      </w:tr>
      <w:tr>
        <w:tc>
          <w:tcPr/>
          <w:p>
            <w:pPr>
              <w:pStyle w:val="Compact"/>
              <w:jc w:val="left"/>
            </w:pPr>
            <w:r>
              <w:t xml:space="preserve">Cerebrolysin</w:t>
            </w:r>
          </w:p>
        </w:tc>
        <w:tc>
          <w:tcPr/>
          <w:p>
            <w:pPr>
              <w:pStyle w:val="Compact"/>
              <w:jc w:val="left"/>
            </w:pPr>
            <w:r>
              <w:rPr>
                <w:rStyle w:val="VerbatimChar"/>
              </w:rPr>
              <w:t xml:space="preserve">cerebrolysin[tiab]</w:t>
            </w:r>
          </w:p>
        </w:tc>
      </w:tr>
      <w:tr>
        <w:tc>
          <w:tcPr/>
          <w:p>
            <w:pPr>
              <w:pStyle w:val="Compact"/>
              <w:jc w:val="left"/>
            </w:pPr>
            <w:r>
              <w:t xml:space="preserve">Dihexa</w:t>
            </w:r>
          </w:p>
        </w:tc>
        <w:tc>
          <w:tcPr/>
          <w:p>
            <w:pPr>
              <w:pStyle w:val="Compact"/>
              <w:jc w:val="left"/>
            </w:pPr>
            <w:r>
              <w:rPr>
                <w:rStyle w:val="VerbatimChar"/>
              </w:rPr>
              <w:t xml:space="preserve">dihexa[tiab]</w:t>
            </w:r>
          </w:p>
        </w:tc>
      </w:tr>
      <w:tr>
        <w:tc>
          <w:tcPr/>
          <w:p>
            <w:pPr>
              <w:pStyle w:val="Compact"/>
              <w:jc w:val="left"/>
            </w:pPr>
            <w:r>
              <w:t xml:space="preserve">DSIP</w:t>
            </w:r>
          </w:p>
        </w:tc>
        <w:tc>
          <w:tcPr/>
          <w:p>
            <w:pPr>
              <w:pStyle w:val="Compact"/>
              <w:jc w:val="left"/>
            </w:pPr>
            <w:r>
              <w:rPr>
                <w:rStyle w:val="VerbatimChar"/>
              </w:rPr>
              <w:t xml:space="preserve">delta sleep-inducing peptide[tiab] OR DSIP[tiab]</w:t>
            </w:r>
          </w:p>
        </w:tc>
      </w:tr>
      <w:tr>
        <w:tc>
          <w:tcPr/>
          <w:p>
            <w:pPr>
              <w:pStyle w:val="Compact"/>
              <w:jc w:val="left"/>
            </w:pPr>
            <w:r>
              <w:t xml:space="preserve">Epitalon (Epithalon)</w:t>
            </w:r>
          </w:p>
        </w:tc>
        <w:tc>
          <w:tcPr/>
          <w:p>
            <w:pPr>
              <w:pStyle w:val="Compact"/>
              <w:jc w:val="left"/>
            </w:pPr>
            <w:r>
              <w:rPr>
                <w:rStyle w:val="VerbatimChar"/>
              </w:rPr>
              <w:t xml:space="preserve">epitalon[tiab] OR epithalon[tiab] OR epithalone[tiab]</w:t>
            </w:r>
          </w:p>
        </w:tc>
      </w:tr>
      <w:tr>
        <w:tc>
          <w:tcPr/>
          <w:p>
            <w:pPr>
              <w:pStyle w:val="Compact"/>
              <w:jc w:val="left"/>
            </w:pPr>
            <w:r>
              <w:t xml:space="preserve">Pinealon</w:t>
            </w:r>
          </w:p>
        </w:tc>
        <w:tc>
          <w:tcPr/>
          <w:p>
            <w:pPr>
              <w:pStyle w:val="Compact"/>
              <w:jc w:val="left"/>
            </w:pPr>
            <w:r>
              <w:rPr>
                <w:rStyle w:val="VerbatimChar"/>
              </w:rPr>
              <w:t xml:space="preserve">pinealon[tiab]</w:t>
            </w:r>
          </w:p>
        </w:tc>
      </w:tr>
      <w:tr>
        <w:tc>
          <w:tcPr/>
          <w:p>
            <w:pPr>
              <w:pStyle w:val="Compact"/>
              <w:jc w:val="left"/>
            </w:pPr>
            <w:r>
              <w:t xml:space="preserve">MOTS-c</w:t>
            </w:r>
          </w:p>
        </w:tc>
        <w:tc>
          <w:tcPr/>
          <w:p>
            <w:pPr>
              <w:pStyle w:val="Compact"/>
              <w:jc w:val="left"/>
            </w:pPr>
            <w:r>
              <w:rPr>
                <w:rStyle w:val="VerbatimChar"/>
              </w:rPr>
              <w:t xml:space="preserve">MOTS-c[tiab]</w:t>
            </w:r>
          </w:p>
        </w:tc>
      </w:tr>
      <w:tr>
        <w:tc>
          <w:tcPr/>
          <w:p>
            <w:pPr>
              <w:pStyle w:val="Compact"/>
              <w:jc w:val="left"/>
            </w:pPr>
            <w:r>
              <w:t xml:space="preserve">Humanina</w:t>
            </w:r>
          </w:p>
        </w:tc>
        <w:tc>
          <w:tcPr/>
          <w:p>
            <w:pPr>
              <w:pStyle w:val="Compact"/>
              <w:jc w:val="left"/>
            </w:pPr>
            <w:r>
              <w:rPr>
                <w:rStyle w:val="VerbatimChar"/>
              </w:rPr>
              <w:t xml:space="preserve">humanin[tiab]</w:t>
            </w:r>
          </w:p>
        </w:tc>
      </w:tr>
      <w:tr>
        <w:tc>
          <w:tcPr/>
          <w:p>
            <w:pPr>
              <w:pStyle w:val="Compact"/>
              <w:jc w:val="left"/>
            </w:pPr>
            <w:r>
              <w:t xml:space="preserve">SS-31 (elamipretida)</w:t>
            </w:r>
          </w:p>
        </w:tc>
        <w:tc>
          <w:tcPr/>
          <w:p>
            <w:pPr>
              <w:pStyle w:val="Compact"/>
              <w:jc w:val="left"/>
            </w:pPr>
            <w:r>
              <w:rPr>
                <w:rStyle w:val="VerbatimChar"/>
              </w:rPr>
              <w:t xml:space="preserve">elamipretide[tiab] OR SS-31[tiab]</w:t>
            </w:r>
          </w:p>
        </w:tc>
      </w:tr>
      <w:tr>
        <w:tc>
          <w:tcPr/>
          <w:p>
            <w:pPr>
              <w:pStyle w:val="Compact"/>
              <w:jc w:val="left"/>
            </w:pPr>
            <w:r>
              <w:t xml:space="preserve">FOXO4-DRI</w:t>
            </w:r>
          </w:p>
        </w:tc>
        <w:tc>
          <w:tcPr/>
          <w:p>
            <w:pPr>
              <w:pStyle w:val="Compact"/>
              <w:jc w:val="left"/>
            </w:pPr>
            <w:r>
              <w:rPr>
                <w:rStyle w:val="VerbatimChar"/>
              </w:rPr>
              <w:t xml:space="preserve">FOXO4-DRI[tiab]</w:t>
            </w:r>
          </w:p>
        </w:tc>
      </w:tr>
      <w:tr>
        <w:tc>
          <w:tcPr/>
          <w:p>
            <w:pPr>
              <w:pStyle w:val="Compact"/>
              <w:jc w:val="left"/>
            </w:pPr>
            <w:r>
              <w:t xml:space="preserve">Glutationa</w:t>
            </w:r>
          </w:p>
        </w:tc>
        <w:tc>
          <w:tcPr/>
          <w:p>
            <w:pPr>
              <w:pStyle w:val="Compact"/>
              <w:jc w:val="left"/>
            </w:pPr>
            <w:r>
              <w:rPr>
                <w:rStyle w:val="VerbatimChar"/>
              </w:rPr>
              <w:t xml:space="preserve">glutathione[ti] AND (supplementation[tiab] OR oral[tiab] OR intravenous[tiab])</w:t>
            </w:r>
          </w:p>
        </w:tc>
      </w:tr>
    </w:tbl>
    <w:bookmarkEnd w:id="3001"/>
    <w:bookmarkStart w:id="3002" w:name="e.-hormônios-sexualidade-e-pigmentação-1"/>
    <w:p>
      <w:pPr>
        <w:pStyle w:val="Heading4"/>
      </w:pPr>
      <w:r>
        <w:t xml:space="preserve">E. Hormônios, sexualidade e pigmentação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Peptídeo</w:t>
            </w:r>
          </w:p>
        </w:tc>
        <w:tc>
          <w:tcPr/>
          <w:p>
            <w:pPr>
              <w:pStyle w:val="Compact"/>
              <w:jc w:val="left"/>
            </w:pPr>
            <w:r>
              <w:t xml:space="preserve">Termo de busca no PubMed</w:t>
            </w:r>
          </w:p>
        </w:tc>
      </w:tr>
      <w:tr>
        <w:tc>
          <w:tcPr/>
          <w:p>
            <w:pPr>
              <w:pStyle w:val="Compact"/>
              <w:jc w:val="left"/>
            </w:pPr>
            <w:r>
              <w:t xml:space="preserve">Bremelanotida (PT-141)</w:t>
            </w:r>
          </w:p>
        </w:tc>
        <w:tc>
          <w:tcPr/>
          <w:p>
            <w:pPr>
              <w:pStyle w:val="Compact"/>
              <w:jc w:val="left"/>
            </w:pPr>
            <w:r>
              <w:rPr>
                <w:rStyle w:val="VerbatimChar"/>
              </w:rPr>
              <w:t xml:space="preserve">bremelanotide[tiab] OR PT-141[tiab]</w:t>
            </w:r>
          </w:p>
        </w:tc>
      </w:tr>
      <w:tr>
        <w:tc>
          <w:tcPr/>
          <w:p>
            <w:pPr>
              <w:pStyle w:val="Compact"/>
              <w:jc w:val="left"/>
            </w:pPr>
            <w:r>
              <w:t xml:space="preserve">Melanotan II</w:t>
            </w:r>
          </w:p>
        </w:tc>
        <w:tc>
          <w:tcPr/>
          <w:p>
            <w:pPr>
              <w:pStyle w:val="Compact"/>
              <w:jc w:val="left"/>
            </w:pPr>
            <w:r>
              <w:rPr>
                <w:rStyle w:val="VerbatimChar"/>
              </w:rPr>
              <w:t xml:space="preserve">melanotan[tiab]</w:t>
            </w:r>
          </w:p>
        </w:tc>
      </w:tr>
      <w:tr>
        <w:tc>
          <w:tcPr/>
          <w:p>
            <w:pPr>
              <w:pStyle w:val="Compact"/>
              <w:jc w:val="left"/>
            </w:pPr>
            <w:r>
              <w:t xml:space="preserve">Afamelanotida</w:t>
            </w:r>
          </w:p>
        </w:tc>
        <w:tc>
          <w:tcPr/>
          <w:p>
            <w:pPr>
              <w:pStyle w:val="Compact"/>
              <w:jc w:val="left"/>
            </w:pPr>
            <w:r>
              <w:rPr>
                <w:rStyle w:val="VerbatimChar"/>
              </w:rPr>
              <w:t xml:space="preserve">afamelanotide[tiab]</w:t>
            </w:r>
          </w:p>
        </w:tc>
      </w:tr>
      <w:tr>
        <w:tc>
          <w:tcPr/>
          <w:p>
            <w:pPr>
              <w:pStyle w:val="Compact"/>
              <w:jc w:val="left"/>
            </w:pPr>
            <w:r>
              <w:t xml:space="preserve">Kisspeptina</w:t>
            </w:r>
          </w:p>
        </w:tc>
        <w:tc>
          <w:tcPr/>
          <w:p>
            <w:pPr>
              <w:pStyle w:val="Compact"/>
              <w:jc w:val="left"/>
            </w:pPr>
            <w:r>
              <w:rPr>
                <w:rStyle w:val="VerbatimChar"/>
              </w:rPr>
              <w:t xml:space="preserve">kisspeptin[tiab] AND (administration[tiab] OR infusion[tiab] OR injection[tiab])</w:t>
            </w:r>
          </w:p>
        </w:tc>
      </w:tr>
      <w:tr>
        <w:tc>
          <w:tcPr/>
          <w:p>
            <w:pPr>
              <w:pStyle w:val="Compact"/>
              <w:jc w:val="left"/>
            </w:pPr>
            <w:r>
              <w:t xml:space="preserve">Ocitocina (intranasal)</w:t>
            </w:r>
          </w:p>
        </w:tc>
        <w:tc>
          <w:tcPr/>
          <w:p>
            <w:pPr>
              <w:pStyle w:val="Compact"/>
              <w:jc w:val="left"/>
            </w:pPr>
            <w:r>
              <w:rPr>
                <w:rStyle w:val="VerbatimChar"/>
              </w:rPr>
              <w:t xml:space="preserve">intranasal oxytocin[tiab]</w:t>
            </w:r>
          </w:p>
        </w:tc>
      </w:tr>
      <w:tr>
        <w:tc>
          <w:tcPr/>
          <w:p>
            <w:pPr>
              <w:pStyle w:val="Compact"/>
              <w:jc w:val="left"/>
            </w:pPr>
            <w:r>
              <w:t xml:space="preserve">Gonadorelina</w:t>
            </w:r>
          </w:p>
        </w:tc>
        <w:tc>
          <w:tcPr/>
          <w:p>
            <w:pPr>
              <w:pStyle w:val="Compact"/>
              <w:jc w:val="left"/>
            </w:pPr>
            <w:r>
              <w:rPr>
                <w:rStyle w:val="VerbatimChar"/>
              </w:rPr>
              <w:t xml:space="preserve">gonadorelin[tiab]</w:t>
            </w:r>
          </w:p>
        </w:tc>
      </w:tr>
    </w:tbl>
    <w:bookmarkEnd w:id="3002"/>
    <w:bookmarkStart w:id="3003" w:name="f.-colágeno-nutrição-e-cosmética-1"/>
    <w:p>
      <w:pPr>
        <w:pStyle w:val="Heading4"/>
      </w:pPr>
      <w:r>
        <w:t xml:space="preserve">F. Colágeno, nutrição e cosmética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Peptídeo</w:t>
            </w:r>
          </w:p>
        </w:tc>
        <w:tc>
          <w:tcPr/>
          <w:p>
            <w:pPr>
              <w:pStyle w:val="Compact"/>
              <w:jc w:val="left"/>
            </w:pPr>
            <w:r>
              <w:t xml:space="preserve">Termo de busca no PubMed</w:t>
            </w:r>
          </w:p>
        </w:tc>
      </w:tr>
      <w:tr>
        <w:tc>
          <w:tcPr/>
          <w:p>
            <w:pPr>
              <w:pStyle w:val="Compact"/>
              <w:jc w:val="left"/>
            </w:pPr>
            <w:r>
              <w:t xml:space="preserve">Hidrolisado de colágeno ou peptídeos de colágeno</w:t>
            </w:r>
          </w:p>
        </w:tc>
        <w:tc>
          <w:tcPr/>
          <w:p>
            <w:pPr>
              <w:pStyle w:val="Compact"/>
              <w:jc w:val="left"/>
            </w:pPr>
            <w:r>
              <w:rPr>
                <w:rStyle w:val="VerbatimChar"/>
              </w:rPr>
              <w:t xml:space="preserve">(collagen hydrolysate[tiab] OR collagen peptide*[tiab]) AND (supplement*[tiab] OR oral[tiab] OR ingestion[tiab])</w:t>
            </w:r>
          </w:p>
        </w:tc>
      </w:tr>
      <w:tr>
        <w:tc>
          <w:tcPr/>
          <w:p>
            <w:pPr>
              <w:pStyle w:val="Compact"/>
              <w:jc w:val="left"/>
            </w:pPr>
            <w:r>
              <w:t xml:space="preserve">Lactotripeptídeos (VPP/IPP)</w:t>
            </w:r>
          </w:p>
        </w:tc>
        <w:tc>
          <w:tcPr/>
          <w:p>
            <w:pPr>
              <w:pStyle w:val="Compact"/>
              <w:jc w:val="left"/>
            </w:pPr>
            <w:r>
              <w:rPr>
                <w:rStyle w:val="VerbatimChar"/>
              </w:rPr>
              <w:t xml:space="preserve">lactotripeptide*[tiab] OR (valyl-prolyl-proline[tiab])</w:t>
            </w:r>
          </w:p>
        </w:tc>
      </w:tr>
      <w:tr>
        <w:tc>
          <w:tcPr/>
          <w:p>
            <w:pPr>
              <w:pStyle w:val="Compact"/>
              <w:jc w:val="left"/>
            </w:pPr>
            <w:r>
              <w:t xml:space="preserve">Carnosina</w:t>
            </w:r>
          </w:p>
        </w:tc>
        <w:tc>
          <w:tcPr/>
          <w:p>
            <w:pPr>
              <w:pStyle w:val="Compact"/>
              <w:jc w:val="left"/>
            </w:pPr>
            <w:r>
              <w:rPr>
                <w:rStyle w:val="VerbatimChar"/>
              </w:rPr>
              <w:t xml:space="preserve">carnosine[ti] AND (supplementation[tiab] OR oral[tiab])</w:t>
            </w:r>
          </w:p>
        </w:tc>
      </w:tr>
      <w:tr>
        <w:tc>
          <w:tcPr/>
          <w:p>
            <w:pPr>
              <w:pStyle w:val="Compact"/>
              <w:jc w:val="left"/>
            </w:pPr>
            <w:r>
              <w:t xml:space="preserve">GHK-Cu (peptídeo de cobre)</w:t>
            </w:r>
          </w:p>
        </w:tc>
        <w:tc>
          <w:tcPr/>
          <w:p>
            <w:pPr>
              <w:pStyle w:val="Compact"/>
              <w:jc w:val="left"/>
            </w:pPr>
            <w:r>
              <w:rPr>
                <w:rStyle w:val="VerbatimChar"/>
              </w:rPr>
              <w:t xml:space="preserve">GHK-Cu[tiab] OR copper tripeptide[tiab] OR copper peptide GHK[tiab]</w:t>
            </w:r>
          </w:p>
        </w:tc>
      </w:tr>
      <w:tr>
        <w:tc>
          <w:tcPr/>
          <w:p>
            <w:pPr>
              <w:pStyle w:val="Compact"/>
              <w:jc w:val="left"/>
            </w:pPr>
            <w:r>
              <w:t xml:space="preserve">Palmitoil pentapeptídeo-4 (Matrixyl)</w:t>
            </w:r>
          </w:p>
        </w:tc>
        <w:tc>
          <w:tcPr/>
          <w:p>
            <w:pPr>
              <w:pStyle w:val="Compact"/>
              <w:jc w:val="left"/>
            </w:pPr>
            <w:r>
              <w:rPr>
                <w:rStyle w:val="VerbatimChar"/>
              </w:rPr>
              <w:t xml:space="preserve">palmitoyl pentapeptide[tiab] OR matrixyl[tiab]</w:t>
            </w:r>
          </w:p>
        </w:tc>
      </w:tr>
      <w:tr>
        <w:tc>
          <w:tcPr/>
          <w:p>
            <w:pPr>
              <w:pStyle w:val="Compact"/>
              <w:jc w:val="left"/>
            </w:pPr>
            <w:r>
              <w:t xml:space="preserve">Acetil hexapeptídeo-8 (Argireline)</w:t>
            </w:r>
          </w:p>
        </w:tc>
        <w:tc>
          <w:tcPr/>
          <w:p>
            <w:pPr>
              <w:pStyle w:val="Compact"/>
              <w:jc w:val="left"/>
            </w:pPr>
            <w:r>
              <w:rPr>
                <w:rStyle w:val="VerbatimChar"/>
              </w:rPr>
              <w:t xml:space="preserve">acetyl hexapeptide[tiab] OR argireline[tiab]</w:t>
            </w:r>
          </w:p>
        </w:tc>
      </w:tr>
    </w:tbl>
    <w:bookmarkEnd w:id="3003"/>
    <w:bookmarkEnd w:id="3004"/>
    <w:bookmarkStart w:id="3005" w:name="volume-de-resultados"/>
    <w:p>
      <w:pPr>
        <w:pStyle w:val="Heading3"/>
      </w:pPr>
      <w:r>
        <w:t xml:space="preserve">Volume de resultados</w:t>
      </w:r>
    </w:p>
    <w:p>
      <w:pPr>
        <w:pStyle w:val="FirstParagraph"/>
      </w:pPr>
      <w:r>
        <w:t xml:space="preserve">No total, as 58 consultas resultaram em 3.216 resultados com o filtro de estudos em humanos e em 1.739 resultados com o filtro de metanálises e revisões. No ClinicalTrials.gov, foram encontrados 4.879 registros. Essas somas contêm contagens múltiplas, porque alguns estudos se referem a vários peptídeos – como estudos comparativos entre semaglutida e tirzepatida. Os números por peptídeo são citados no início da seção</w:t>
      </w:r>
      <w:r>
        <w:t xml:space="preserve"> </w:t>
      </w:r>
      <w:r>
        <w:t xml:space="preserve">“</w:t>
      </w:r>
      <w:r>
        <w:t xml:space="preserve">Estudos em humanos</w:t>
      </w:r>
      <w:r>
        <w:t xml:space="preserve">”</w:t>
      </w:r>
      <w:r>
        <w:t xml:space="preserve"> </w:t>
      </w:r>
      <w:r>
        <w:t xml:space="preserve">de cada capítulo.</w:t>
      </w:r>
    </w:p>
    <w:p>
      <w:pPr>
        <w:pStyle w:val="BodyText"/>
      </w:pPr>
      <w:r>
        <w:t xml:space="preserve">A distribuição é muito desigual: aos medicamentos de GLP-1 aprovados correspondem centenas de estudos em humanos; para muitos peptídeos do mercado cinza, por outro lado, nenhum ou apenas um punhado.</w:t>
      </w:r>
    </w:p>
    <w:bookmarkEnd w:id="3005"/>
    <w:bookmarkStart w:id="3006" w:name="seleção-e-avaliação"/>
    <w:p>
      <w:pPr>
        <w:pStyle w:val="Heading3"/>
      </w:pPr>
      <w:r>
        <w:t xml:space="preserve">Seleção e avaliação</w:t>
      </w:r>
    </w:p>
    <w:p>
      <w:pPr>
        <w:pStyle w:val="FirstParagraph"/>
      </w:pPr>
      <w:r>
        <w:t xml:space="preserve">Para cada peptídeo, todos os resultados com o filtro de estudos em humanos foram registrados como lista resumida (título, ano, revista, primeiro autor ou primeira autora); eles formam a base do índice de estudos no apêndice. Os estudos em humanos e as revisões mais importantes segundo a relevância do PubMed foram lidos e avaliados com seus resumos, complementados pelos trabalhos buscados de forma direcionada.</w:t>
      </w:r>
    </w:p>
    <w:p>
      <w:pPr>
        <w:pStyle w:val="BodyText"/>
      </w:pPr>
      <w:r>
        <w:t xml:space="preserve">Para a apresentação no texto, vale:</w:t>
      </w:r>
    </w:p>
    <w:p>
      <w:pPr>
        <w:numPr>
          <w:ilvl w:val="0"/>
          <w:numId w:val="1374"/>
        </w:numPr>
        <w:pStyle w:val="Compact"/>
      </w:pPr>
      <w:r>
        <w:t xml:space="preserve">Cada estudo citado foi lido com base em seu registro no PubMed ou em seu registro de estudo.</w:t>
      </w:r>
    </w:p>
    <w:p>
      <w:pPr>
        <w:numPr>
          <w:ilvl w:val="0"/>
          <w:numId w:val="1374"/>
        </w:numPr>
        <w:pStyle w:val="Compact"/>
      </w:pPr>
      <w:r>
        <w:t xml:space="preserve">Números – como número de participantes, percentuais, variações de peso ou valores p – vêm exclusivamente do resumo da publicação ou do registro do estudo. O que não está comprovado ali não é citado como número.</w:t>
      </w:r>
    </w:p>
    <w:p>
      <w:pPr>
        <w:numPr>
          <w:ilvl w:val="0"/>
          <w:numId w:val="1374"/>
        </w:numPr>
        <w:pStyle w:val="Compact"/>
      </w:pPr>
      <w:r>
        <w:t xml:space="preserve">Textos completos não foram avaliados sistematicamente. Detalhes que só constam do texto completo, como taxas individuais de efeitos colaterais ou subgrupos, faltam por isso em parte.</w:t>
      </w:r>
    </w:p>
    <w:p>
      <w:pPr>
        <w:numPr>
          <w:ilvl w:val="0"/>
          <w:numId w:val="1374"/>
        </w:numPr>
        <w:pStyle w:val="Compact"/>
      </w:pPr>
      <w:r>
        <w:t xml:space="preserve">Resultados em animais e de laboratório são expressamente identificados como tais.</w:t>
      </w:r>
    </w:p>
    <w:p>
      <w:pPr>
        <w:numPr>
          <w:ilvl w:val="0"/>
          <w:numId w:val="1374"/>
        </w:numPr>
        <w:pStyle w:val="Compact"/>
      </w:pPr>
      <w:r>
        <w:t xml:space="preserve">Para estudos em andamento, relata-se apenas o que consta do registro. Eles são identificados como</w:t>
      </w:r>
      <w:r>
        <w:t xml:space="preserve"> </w:t>
      </w:r>
      <w:r>
        <w:rPr>
          <w:iCs/>
          <w:i/>
        </w:rPr>
        <w:t xml:space="preserve">assegurados</w:t>
      </w:r>
      <w:r>
        <w:t xml:space="preserve"> </w:t>
      </w:r>
      <w:r>
        <w:t xml:space="preserve">(registrados, em andamento), e prognósticos próprios como</w:t>
      </w:r>
      <w:r>
        <w:t xml:space="preserve"> </w:t>
      </w:r>
      <w:r>
        <w:rPr>
          <w:iCs/>
          <w:i/>
        </w:rPr>
        <w:t xml:space="preserve">avaliação</w:t>
      </w:r>
      <w:r>
        <w:t xml:space="preserve">.</w:t>
      </w:r>
    </w:p>
    <w:bookmarkEnd w:id="3006"/>
    <w:bookmarkStart w:id="3007" w:name="níveis-de-evidência"/>
    <w:p>
      <w:pPr>
        <w:pStyle w:val="Heading3"/>
      </w:pPr>
      <w:r>
        <w:t xml:space="preserve">Níveis de evidência</w:t>
      </w:r>
    </w:p>
    <w:p>
      <w:pPr>
        <w:pStyle w:val="FirstParagraph"/>
      </w:pPr>
      <w:r>
        <w:t xml:space="preserve">Cada peptídeo recebeu um nível de evidência segundo os seguintes critérios: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Critério</w:t>
            </w:r>
          </w:p>
        </w:tc>
      </w:tr>
      <w:tr>
        <w:tc>
          <w:tcPr/>
          <w:p>
            <w:pPr>
              <w:pStyle w:val="Compact"/>
              <w:jc w:val="left"/>
            </w:pPr>
            <w:r>
              <w:t xml:space="preserve">A</w:t>
            </w:r>
          </w:p>
        </w:tc>
        <w:tc>
          <w:tcPr/>
          <w:p>
            <w:pPr>
              <w:pStyle w:val="Compact"/>
              <w:jc w:val="left"/>
            </w:pPr>
            <w:r>
              <w:t xml:space="preserve">vários grandes estudos randomizados em humanos, aprovação como medicamento</w:t>
            </w:r>
          </w:p>
        </w:tc>
      </w:tr>
      <w:tr>
        <w:tc>
          <w:tcPr/>
          <w:p>
            <w:pPr>
              <w:pStyle w:val="Compact"/>
              <w:jc w:val="left"/>
            </w:pPr>
            <w:r>
              <w:t xml:space="preserve">B</w:t>
            </w:r>
          </w:p>
        </w:tc>
        <w:tc>
          <w:tcPr/>
          <w:p>
            <w:pPr>
              <w:pStyle w:val="Compact"/>
              <w:jc w:val="left"/>
            </w:pPr>
            <w:r>
              <w:t xml:space="preserve">estudos randomizados isolados em humanos</w:t>
            </w:r>
          </w:p>
        </w:tc>
      </w:tr>
      <w:tr>
        <w:tc>
          <w:tcPr/>
          <w:p>
            <w:pPr>
              <w:pStyle w:val="Compact"/>
              <w:jc w:val="left"/>
            </w:pPr>
            <w:r>
              <w:t xml:space="preserve">C</w:t>
            </w:r>
          </w:p>
        </w:tc>
        <w:tc>
          <w:tcPr/>
          <w:p>
            <w:pPr>
              <w:pStyle w:val="Compact"/>
              <w:jc w:val="left"/>
            </w:pPr>
            <w:r>
              <w:t xml:space="preserve">apenas estudos pequenos ou não controlados em humanos</w:t>
            </w:r>
          </w:p>
        </w:tc>
      </w:tr>
      <w:tr>
        <w:tc>
          <w:tcPr/>
          <w:p>
            <w:pPr>
              <w:pStyle w:val="Compact"/>
              <w:jc w:val="left"/>
            </w:pPr>
            <w:r>
              <w:t xml:space="preserve">D</w:t>
            </w:r>
          </w:p>
        </w:tc>
        <w:tc>
          <w:tcPr/>
          <w:p>
            <w:pPr>
              <w:pStyle w:val="Compact"/>
              <w:jc w:val="left"/>
            </w:pPr>
            <w:r>
              <w:t xml:space="preserve">apenas estudos em animais e de laboratório</w:t>
            </w:r>
          </w:p>
        </w:tc>
      </w:tr>
    </w:tbl>
    <w:p>
      <w:pPr>
        <w:pStyle w:val="BodyText"/>
      </w:pPr>
      <w:r>
        <w:t xml:space="preserve">A classificação refere-se aos dados em humanos como um todo e à aplicação estudada mais importante. É uma avaliação do autor com base nos estudos analisados, e não uma classificação oficial.</w:t>
      </w:r>
    </w:p>
    <w:bookmarkEnd w:id="3007"/>
    <w:bookmarkStart w:id="3008" w:name="limites-da-metodologia"/>
    <w:p>
      <w:pPr>
        <w:pStyle w:val="Heading3"/>
      </w:pPr>
      <w:r>
        <w:t xml:space="preserve">Limites da metodologia</w:t>
      </w:r>
    </w:p>
    <w:p>
      <w:pPr>
        <w:pStyle w:val="FirstParagraph"/>
      </w:pPr>
      <w:r>
        <w:t xml:space="preserve">Como toda pesquisa bibliográfica, também esta tem limites, que você deve considerar na leitura:</w:t>
      </w:r>
    </w:p>
    <w:p>
      <w:pPr>
        <w:pStyle w:val="BodyText"/>
      </w:pPr>
      <w:r>
        <w:rPr>
          <w:bCs/>
          <w:b/>
        </w:rPr>
        <w:t xml:space="preserve">Resultados não equivalem a estudos independentes.</w:t>
      </w:r>
      <w:r>
        <w:t xml:space="preserve"> </w:t>
      </w:r>
      <w:r>
        <w:t xml:space="preserve">Um grande estudo é frequentemente publicado em vários artigos – resultado principal, subgrupos, acompanhamento, qualidade de vida. Cada um desses artigos é um resultado próprio. Inversamente, estudos podem estar reunidos em um único artigo. Os números de resultados refletem, por isso, a ordem de grandeza da pesquisa, não o número exato de estudos independentes.</w:t>
      </w:r>
    </w:p>
    <w:p>
      <w:pPr>
        <w:pStyle w:val="BodyText"/>
      </w:pPr>
      <w:r>
        <w:rPr>
          <w:bCs/>
          <w:b/>
        </w:rPr>
        <w:t xml:space="preserve">Os tipos de publicação nem sempre estão corretos.</w:t>
      </w:r>
      <w:r>
        <w:t xml:space="preserve"> </w:t>
      </w:r>
      <w:r>
        <w:t xml:space="preserve">O filtro de estudos em humanos baseia-se na indexação feita pelo PubMed. Alguns estudos não estão marcados como estudo clínico e por isso faltam; alguns trabalhos marcados como estudo clínico são, examinados mais de perto, estudos observacionais ou trabalhos de laboratório com material humano. Artigos muito recentes muitas vezes ainda não estão completamente indexados.</w:t>
      </w:r>
    </w:p>
    <w:p>
      <w:pPr>
        <w:pStyle w:val="BodyText"/>
      </w:pPr>
      <w:r>
        <w:rPr>
          <w:bCs/>
          <w:b/>
        </w:rPr>
        <w:t xml:space="preserve">Termos de busca podem ter lacunas.</w:t>
      </w:r>
      <w:r>
        <w:t xml:space="preserve"> </w:t>
      </w:r>
      <w:r>
        <w:t xml:space="preserve">Um termo de busca só encontra o que está descrito no título ou no resumo com as palavras escolhidas. Estudos que mencionam uma substância apenas sob um nome de código ou com outra grafia podem faltar. Inversamente, siglas ambíguas como</w:t>
      </w:r>
      <w:r>
        <w:t xml:space="preserve"> </w:t>
      </w:r>
      <w:r>
        <w:t xml:space="preserve">“</w:t>
      </w:r>
      <w:r>
        <w:t xml:space="preserve">KPV</w:t>
      </w:r>
      <w:r>
        <w:t xml:space="preserve">”</w:t>
      </w:r>
      <w:r>
        <w:t xml:space="preserve"> </w:t>
      </w:r>
      <w:r>
        <w:t xml:space="preserve">ou</w:t>
      </w:r>
      <w:r>
        <w:t xml:space="preserve"> </w:t>
      </w:r>
      <w:r>
        <w:t xml:space="preserve">“</w:t>
      </w:r>
      <w:r>
        <w:t xml:space="preserve">SS-31</w:t>
      </w:r>
      <w:r>
        <w:t xml:space="preserve">”</w:t>
      </w:r>
      <w:r>
        <w:t xml:space="preserve"> </w:t>
      </w:r>
      <w:r>
        <w:t xml:space="preserve">podem captar também trabalhos sobre temas completamente diferentes. Para os capítulos, os resultados foram, por isso, revisados e não adotados sem verificação.</w:t>
      </w:r>
    </w:p>
    <w:p>
      <w:pPr>
        <w:pStyle w:val="BodyText"/>
      </w:pPr>
      <w:r>
        <w:rPr>
          <w:bCs/>
          <w:b/>
        </w:rPr>
        <w:t xml:space="preserve">Idiomas.</w:t>
      </w:r>
      <w:r>
        <w:t xml:space="preserve"> </w:t>
      </w:r>
      <w:r>
        <w:t xml:space="preserve">O PubMed registra predominantemente revistas em língua inglesa. Trabalhos publicados apenas em outros idiomas e em revistas não indexadas estão em grande parte ausentes. Isso afeta especialmente alguns peptídeos pesquisados e usados sobretudo na Rússia ou em outros países do Leste Europeu, como Semax, Selank, Epitalon ou timalina. Para eles, a situação real dos estudos é possivelmente mais ampla, mas difícil de verificar para leitores internacionais.</w:t>
      </w:r>
    </w:p>
    <w:p>
      <w:pPr>
        <w:pStyle w:val="BodyText"/>
      </w:pPr>
      <w:r>
        <w:rPr>
          <w:bCs/>
          <w:b/>
        </w:rPr>
        <w:t xml:space="preserve">Estudos não publicados.</w:t>
      </w:r>
      <w:r>
        <w:t xml:space="preserve"> </w:t>
      </w:r>
      <w:r>
        <w:t xml:space="preserve">Estudos que nunca foram publicados não constam do PubMed. O registro ClinicalTrials.gov ajuda a reconhecer essas lacunas, mas não abrange todos os estudos do mundo.</w:t>
      </w:r>
    </w:p>
    <w:p>
      <w:pPr>
        <w:pStyle w:val="BodyText"/>
      </w:pPr>
      <w:r>
        <w:rPr>
          <w:bCs/>
          <w:b/>
        </w:rPr>
        <w:t xml:space="preserve">Apenas resumos.</w:t>
      </w:r>
      <w:r>
        <w:t xml:space="preserve"> </w:t>
      </w:r>
      <w:r>
        <w:t xml:space="preserve">A avaliação baseia-se nos resumos. Eles reproduzem os resultados principais, mas podem apresentar de forma abreviada limitações, efeitos colaterais ou fraquezas metodológicas.</w:t>
      </w:r>
    </w:p>
    <w:p>
      <w:pPr>
        <w:pStyle w:val="BodyText"/>
      </w:pPr>
      <w:r>
        <w:rPr>
          <w:bCs/>
          <w:b/>
        </w:rPr>
        <w:t xml:space="preserve">Retrato instantâneo.</w:t>
      </w:r>
      <w:r>
        <w:t xml:space="preserve"> </w:t>
      </w:r>
      <w:r>
        <w:t xml:space="preserve">A pesquisa reflete a situação de outubro de 2026. Em campos de crescimento rápido, como o dos medicamentos de GLP-1, novos estudos são publicados toda semana.</w:t>
      </w:r>
    </w:p>
    <w:bookmarkEnd w:id="3008"/>
    <w:bookmarkStart w:id="3009" w:name="apoio-de-ia-e-controle-de-qualidade"/>
    <w:p>
      <w:pPr>
        <w:pStyle w:val="Heading3"/>
      </w:pPr>
      <w:r>
        <w:t xml:space="preserve">Apoio de IA e controle de qualidade</w:t>
      </w:r>
    </w:p>
    <w:p>
      <w:pPr>
        <w:pStyle w:val="FirstParagraph"/>
      </w:pPr>
      <w:r>
        <w:t xml:space="preserve">Este livro foi pesquisado e redigido com o apoio de inteligência artificial e revisado pelo autor. A IA foi usada para as seguintes tarefas:</w:t>
      </w:r>
    </w:p>
    <w:p>
      <w:pPr>
        <w:numPr>
          <w:ilvl w:val="0"/>
          <w:numId w:val="1375"/>
        </w:numPr>
        <w:pStyle w:val="Compact"/>
      </w:pPr>
      <w:r>
        <w:t xml:space="preserve">execução das consultas aos bancos de dados pelas interfaces citadas, com programas auxiliares escritos especificamente para isso,</w:t>
      </w:r>
    </w:p>
    <w:p>
      <w:pPr>
        <w:numPr>
          <w:ilvl w:val="0"/>
          <w:numId w:val="1375"/>
        </w:numPr>
        <w:pStyle w:val="Compact"/>
      </w:pPr>
      <w:r>
        <w:t xml:space="preserve">leitura e avaliação dos resumos e registros de estudos,</w:t>
      </w:r>
    </w:p>
    <w:p>
      <w:pPr>
        <w:numPr>
          <w:ilvl w:val="0"/>
          <w:numId w:val="1375"/>
        </w:numPr>
        <w:pStyle w:val="Compact"/>
      </w:pPr>
      <w:r>
        <w:t xml:space="preserve">elaboração de rascunhos de texto segundo regras fixas de estilo e de trabalho.</w:t>
      </w:r>
    </w:p>
    <w:p>
      <w:pPr>
        <w:pStyle w:val="FirstParagraph"/>
      </w:pPr>
      <w:r>
        <w:t xml:space="preserve">Para evitar o risco conhecido de que sistemas de IA inventem fontes ou números, valeram regras obrigatórias: cada estudo no texto é citado com PMID ou número NCT; cada número precisa vir de um resumo ou registro de estudo efetivamente consultado; estudos só podem ser citados se seu registro tiver sido consultado e lido antes.</w:t>
      </w:r>
    </w:p>
    <w:p>
      <w:pPr>
        <w:pStyle w:val="BodyText"/>
      </w:pPr>
      <w:r>
        <w:t xml:space="preserve">Além disso, cada capítulo foi verificado com um programa de controle. Ele consulta, para cada PMID e número NCT citado no texto, o registro no PubMed ou no ClinicalTrials.gov e aponta como erro quando um número não existe. Compara também o primeiro autor ou a primeira autora e o ano de publicação, que constam do texto antes do PMID, com o registro do banco de dados e indica divergências. Por fim, procura formulações inadmissíveis, como promessas de cura, recomendações de dose ou indicações de onde comprar. Um capítulo só era considerado pronto quando essa verificação passava sem erros.</w:t>
      </w:r>
    </w:p>
    <w:p>
      <w:pPr>
        <w:pStyle w:val="BodyText"/>
      </w:pPr>
      <w:r>
        <w:t xml:space="preserve">Essa verificação garante que cada fonte citada existe e está corretamente atribuída. Ela não pode excluir completamente que um resultado esteja reproduzido no texto de forma abreviada ou ambígua. Por isso, todas as fontes estão indicadas de modo que você possa consultá-las por conta própria – como fazer isso está explicado na seção</w:t>
      </w:r>
      <w:r>
        <w:t xml:space="preserve"> </w:t>
      </w:r>
      <w:r>
        <w:t xml:space="preserve">“</w:t>
      </w:r>
      <w:r>
        <w:t xml:space="preserve">Sobre este livro</w:t>
      </w:r>
      <w:r>
        <w:t xml:space="preserve">”</w:t>
      </w:r>
      <w:r>
        <w:t xml:space="preserve">, no início.</w:t>
      </w:r>
    </w:p>
    <w:bookmarkEnd w:id="3009"/>
    <w:bookmarkEnd w:id="3010"/>
    <w:bookmarkStart w:id="3069" w:name="índice-de-estudos"/>
    <w:p>
      <w:pPr>
        <w:pStyle w:val="Heading1"/>
      </w:pPr>
      <w:r>
        <w:t xml:space="preserve">Índice de estudos</w:t>
      </w:r>
    </w:p>
    <w:p>
      <w:pPr>
        <w:pStyle w:val="FirstParagraph"/>
      </w:pPr>
      <w:r>
        <w:t xml:space="preserve">Este índice lista todas as publicações de estudos clínicos em humanos que a pesquisa encontrou no PubMed para cada peptídeo (consulta de outubro de 2026; filtros, ver Metodologia). Títulos e periódicos estão no idioma original. Cada estudo pode ser consultado pelo seu PMID em pubmed.ncbi.nlm.nih.gov. Nem toda entrada é um estudo independente: alguns estudos foram analisados e publicados mais de uma vez.</w:t>
      </w:r>
      <w:r>
        <w:t xml:space="preserve"> </w:t>
      </w:r>
      <w:r>
        <w:t xml:space="preserve">Total: 3.216 entradas.</w:t>
      </w:r>
    </w:p>
    <w:bookmarkStart w:id="3011" w:name="exenatida-437"/>
    <w:p>
      <w:pPr>
        <w:pStyle w:val="Heading2"/>
      </w:pPr>
      <w:r>
        <w:t xml:space="preserve">Exenatida (437)</w:t>
      </w:r>
    </w:p>
    <w:p>
      <w:pPr>
        <w:numPr>
          <w:ilvl w:val="0"/>
          <w:numId w:val="1376"/>
        </w:numPr>
        <w:pStyle w:val="Compact"/>
      </w:pPr>
      <w:r>
        <w:t xml:space="preserve">2026 · Retnakaran R ·</w:t>
      </w:r>
      <w:r>
        <w:t xml:space="preserve"> </w:t>
      </w:r>
      <w:r>
        <w:rPr>
          <w:iCs/>
          <w:i/>
        </w:rPr>
        <w:t xml:space="preserve">Am J Physiol Endocrinol Metab</w:t>
      </w:r>
      <w:r>
        <w:t xml:space="preserve"> </w:t>
      </w:r>
      <w:r>
        <w:t xml:space="preserve">· Glucose-lowering in type 2 diabetes may be mediated by improved proinsulin processing without better β-cell compensation. PMID 42721371</w:t>
      </w:r>
    </w:p>
    <w:p>
      <w:pPr>
        <w:numPr>
          <w:ilvl w:val="0"/>
          <w:numId w:val="1376"/>
        </w:numPr>
        <w:pStyle w:val="Compact"/>
      </w:pPr>
      <w:r>
        <w:t xml:space="preserve">2026 · Corey KM ·</w:t>
      </w:r>
      <w:r>
        <w:t xml:space="preserve"> </w:t>
      </w:r>
      <w:r>
        <w:rPr>
          <w:iCs/>
          <w:i/>
        </w:rPr>
        <w:t xml:space="preserve">JCI Insight</w:t>
      </w:r>
      <w:r>
        <w:t xml:space="preserve"> </w:t>
      </w:r>
      <w:r>
        <w:t xml:space="preserve">· A validated, modifiable proteomic score from the EXSCEL trial predicts cardiovascular events in diabetes. PMID 42390946</w:t>
      </w:r>
    </w:p>
    <w:p>
      <w:pPr>
        <w:numPr>
          <w:ilvl w:val="0"/>
          <w:numId w:val="1376"/>
        </w:numPr>
        <w:pStyle w:val="Compact"/>
      </w:pPr>
      <w:r>
        <w:t xml:space="preserve">2026 · Mikkelsen AD ·</w:t>
      </w:r>
      <w:r>
        <w:t xml:space="preserve"> </w:t>
      </w:r>
      <w:r>
        <w:rPr>
          <w:iCs/>
          <w:i/>
        </w:rPr>
        <w:t xml:space="preserve">Acta Anaesthesiol Scand</w:t>
      </w:r>
      <w:r>
        <w:t xml:space="preserve"> </w:t>
      </w:r>
      <w:r>
        <w:t xml:space="preserve">· Glucagon-Like Peptide-1 Agonist vs. Placebo and Pulmonary Decline After Open-Heart Surgery: A Substudy of the GLORIOUS Randomised Clinical Trial. PMID 42318973</w:t>
      </w:r>
    </w:p>
    <w:p>
      <w:pPr>
        <w:numPr>
          <w:ilvl w:val="0"/>
          <w:numId w:val="1376"/>
        </w:numPr>
        <w:pStyle w:val="Compact"/>
      </w:pPr>
      <w:r>
        <w:t xml:space="preserve">2026 · Wu TH ·</w:t>
      </w:r>
      <w:r>
        <w:t xml:space="preserve"> </w:t>
      </w:r>
      <w:r>
        <w:rPr>
          <w:iCs/>
          <w:i/>
        </w:rPr>
        <w:t xml:space="preserve">J Chin Med Assoc</w:t>
      </w:r>
      <w:r>
        <w:t xml:space="preserve"> </w:t>
      </w:r>
      <w:r>
        <w:t xml:space="preserve">· Effects of insulin and exenatide therapy on glycemic control and β-cell function in patients newly diagnosed with type 2 diabetes and severe hyperglycemia. PMID 42290292</w:t>
      </w:r>
    </w:p>
    <w:p>
      <w:pPr>
        <w:numPr>
          <w:ilvl w:val="0"/>
          <w:numId w:val="1376"/>
        </w:numPr>
        <w:pStyle w:val="Compact"/>
      </w:pPr>
      <w:r>
        <w:t xml:space="preserve">2026 · Kittipibul V ·</w:t>
      </w:r>
      <w:r>
        <w:t xml:space="preserve"> </w:t>
      </w:r>
      <w:r>
        <w:rPr>
          <w:iCs/>
          <w:i/>
        </w:rPr>
        <w:t xml:space="preserve">Am Heart J</w:t>
      </w:r>
      <w:r>
        <w:t xml:space="preserve"> </w:t>
      </w:r>
      <w:r>
        <w:t xml:space="preserve">· Serial assessment of NT-proBNP and high-sensitivity cardiac troponin with glucagon-like peptide-1 receptor agonist therapy in type 2 diabetes: Insights from EXSCEL. PMID 42102896</w:t>
      </w:r>
    </w:p>
    <w:p>
      <w:pPr>
        <w:numPr>
          <w:ilvl w:val="0"/>
          <w:numId w:val="1376"/>
        </w:numPr>
        <w:pStyle w:val="Compact"/>
      </w:pPr>
      <w:r>
        <w:t xml:space="preserve">2026 · Parikh M ·</w:t>
      </w:r>
      <w:r>
        <w:t xml:space="preserve"> </w:t>
      </w:r>
      <w:r>
        <w:rPr>
          <w:iCs/>
          <w:i/>
        </w:rPr>
        <w:t xml:space="preserve">J Clin Endocrinol Metab</w:t>
      </w:r>
      <w:r>
        <w:t xml:space="preserve"> </w:t>
      </w:r>
      <w:r>
        <w:t xml:space="preserve">· Exenatide induces an enhanced endogenous glucagon-like peptide-1 secretory response in patients receiving basal insulin. PMID 41604435</w:t>
      </w:r>
    </w:p>
    <w:p>
      <w:pPr>
        <w:numPr>
          <w:ilvl w:val="0"/>
          <w:numId w:val="1376"/>
        </w:numPr>
        <w:pStyle w:val="Compact"/>
      </w:pPr>
      <w:r>
        <w:t xml:space="preserve">2026 · Goodman J ·</w:t>
      </w:r>
      <w:r>
        <w:t xml:space="preserve"> </w:t>
      </w:r>
      <w:r>
        <w:rPr>
          <w:iCs/>
          <w:i/>
        </w:rPr>
        <w:t xml:space="preserve">Br J Clin Pharmacol</w:t>
      </w:r>
      <w:r>
        <w:t xml:space="preserve"> </w:t>
      </w:r>
      <w:r>
        <w:t xml:space="preserve">· An experimental medicine protocol for exploring the haemodynamic effects of dual agonism at the glucagon-like peptide-1 and glucagon receptor in healthy subjects. PMID 41025322</w:t>
      </w:r>
    </w:p>
    <w:p>
      <w:pPr>
        <w:numPr>
          <w:ilvl w:val="0"/>
          <w:numId w:val="1376"/>
        </w:numPr>
        <w:pStyle w:val="Compact"/>
      </w:pPr>
      <w:r>
        <w:t xml:space="preserve">2025 · Almby KE ·</w:t>
      </w:r>
      <w:r>
        <w:t xml:space="preserve"> </w:t>
      </w:r>
      <w:r>
        <w:rPr>
          <w:iCs/>
          <w:i/>
        </w:rPr>
        <w:t xml:space="preserve">Endocrine</w:t>
      </w:r>
      <w:r>
        <w:t xml:space="preserve"> </w:t>
      </w:r>
      <w:r>
        <w:t xml:space="preserve">· Effects of acute GLP-1 analogue infusion on the glycemic and neurohormonal responses to meal test in non- hypoglycemic subjects after gastric bypass. PMID 41071533</w:t>
      </w:r>
    </w:p>
    <w:p>
      <w:pPr>
        <w:numPr>
          <w:ilvl w:val="0"/>
          <w:numId w:val="1376"/>
        </w:numPr>
        <w:pStyle w:val="Compact"/>
      </w:pPr>
      <w:r>
        <w:t xml:space="preserve">2025 · Coleman RL ·</w:t>
      </w:r>
      <w:r>
        <w:t xml:space="preserve"> </w:t>
      </w:r>
      <w:r>
        <w:rPr>
          <w:iCs/>
          <w:i/>
        </w:rPr>
        <w:t xml:space="preserve">Cardiovasc Diabetol</w:t>
      </w:r>
      <w:r>
        <w:t xml:space="preserve"> </w:t>
      </w:r>
      <w:r>
        <w:t xml:space="preserve">· Impact of changes in conventional risk factors induced by once-weekly GLP-1 receptor agonist exenatide on cardiovascular outcomes: an EXSCEL post hoc analysis. PMID 40849664</w:t>
      </w:r>
    </w:p>
    <w:p>
      <w:pPr>
        <w:numPr>
          <w:ilvl w:val="0"/>
          <w:numId w:val="1376"/>
        </w:numPr>
        <w:pStyle w:val="Compact"/>
      </w:pPr>
      <w:r>
        <w:t xml:space="preserve">2025 · Peters AE ·</w:t>
      </w:r>
      <w:r>
        <w:t xml:space="preserve"> </w:t>
      </w:r>
      <w:r>
        <w:rPr>
          <w:iCs/>
          <w:i/>
        </w:rPr>
        <w:t xml:space="preserve">Sci Rep</w:t>
      </w:r>
      <w:r>
        <w:t xml:space="preserve"> </w:t>
      </w:r>
      <w:r>
        <w:t xml:space="preserve">· Proteomic pathways across the ejection fraction spectrum in patients with heart failure and diabetes mellitus: an EXSCEL trial substudy. PMID 40825966</w:t>
      </w:r>
    </w:p>
    <w:p>
      <w:pPr>
        <w:numPr>
          <w:ilvl w:val="0"/>
          <w:numId w:val="1376"/>
        </w:numPr>
        <w:pStyle w:val="Compact"/>
      </w:pPr>
      <w:r>
        <w:t xml:space="preserve">2025 · Hepprich M ·</w:t>
      </w:r>
      <w:r>
        <w:t xml:space="preserve"> </w:t>
      </w:r>
      <w:r>
        <w:rPr>
          <w:iCs/>
          <w:i/>
        </w:rPr>
        <w:t xml:space="preserve">Eur J Endocrinol</w:t>
      </w:r>
      <w:r>
        <w:t xml:space="preserve"> </w:t>
      </w:r>
      <w:r>
        <w:t xml:space="preserve">· Exenatide for diagnosing endogenous hyperinsulinemic hypoglycemia: a randomized placebo-controlled, double-blind, cross-over proof-of-principle study. PMID 40747712</w:t>
      </w:r>
    </w:p>
    <w:p>
      <w:pPr>
        <w:numPr>
          <w:ilvl w:val="0"/>
          <w:numId w:val="1376"/>
        </w:numPr>
        <w:pStyle w:val="Compact"/>
      </w:pPr>
      <w:r>
        <w:t xml:space="preserve">2025 · Vijiaratnam N ·</w:t>
      </w:r>
      <w:r>
        <w:t xml:space="preserve"> </w:t>
      </w:r>
      <w:r>
        <w:rPr>
          <w:iCs/>
          <w:i/>
        </w:rPr>
        <w:t xml:space="preserve">Ann Neurol</w:t>
      </w:r>
      <w:r>
        <w:t xml:space="preserve"> </w:t>
      </w:r>
      <w:r>
        <w:t xml:space="preserve">· Exenatide Once Weekly in the Treatment of Patients with Multiple System Atrophy. PMID 40727970</w:t>
      </w:r>
    </w:p>
    <w:p>
      <w:pPr>
        <w:numPr>
          <w:ilvl w:val="0"/>
          <w:numId w:val="1376"/>
        </w:numPr>
        <w:pStyle w:val="Compact"/>
      </w:pPr>
      <w:r>
        <w:t xml:space="preserve">2025 · Hviid MEB ·</w:t>
      </w:r>
      <w:r>
        <w:t xml:space="preserve"> </w:t>
      </w:r>
      <w:r>
        <w:rPr>
          <w:iCs/>
          <w:i/>
        </w:rPr>
        <w:t xml:space="preserve">Alcohol Clin Exp Res (Hoboken)</w:t>
      </w:r>
      <w:r>
        <w:t xml:space="preserve"> </w:t>
      </w:r>
      <w:r>
        <w:t xml:space="preserve">· Effect of the GLP-1 receptor agonist exenatide on pro-inflammatory and metabolic biomarkers in individuals with alcohol use disorder: Post hoc results from a randomized, double-blinded, placebo-controlled clinical trial. PMID 40630018</w:t>
      </w:r>
    </w:p>
    <w:p>
      <w:pPr>
        <w:numPr>
          <w:ilvl w:val="0"/>
          <w:numId w:val="1376"/>
        </w:numPr>
        <w:pStyle w:val="Compact"/>
      </w:pPr>
      <w:r>
        <w:t xml:space="preserve">2025 · Triplitt C ·</w:t>
      </w:r>
      <w:r>
        <w:t xml:space="preserve"> </w:t>
      </w:r>
      <w:r>
        <w:rPr>
          <w:iCs/>
          <w:i/>
        </w:rPr>
        <w:t xml:space="preserve">Diabetes Care</w:t>
      </w:r>
      <w:r>
        <w:t xml:space="preserve"> </w:t>
      </w:r>
      <w:r>
        <w:t xml:space="preserve">· Changes in β-Cell Function and Insulin Sensitivity During Treatment With Dapagliflozin Alone or in Combination With Exenatide in Type 2 Diabetes. PMID 40627548</w:t>
      </w:r>
    </w:p>
    <w:p>
      <w:pPr>
        <w:numPr>
          <w:ilvl w:val="0"/>
          <w:numId w:val="1376"/>
        </w:numPr>
        <w:pStyle w:val="Compact"/>
      </w:pPr>
      <w:r>
        <w:t xml:space="preserve">2025 · Goodman J ·</w:t>
      </w:r>
      <w:r>
        <w:t xml:space="preserve"> </w:t>
      </w:r>
      <w:r>
        <w:rPr>
          <w:iCs/>
          <w:i/>
        </w:rPr>
        <w:t xml:space="preserve">Sci Rep</w:t>
      </w:r>
      <w:r>
        <w:t xml:space="preserve"> </w:t>
      </w:r>
      <w:r>
        <w:t xml:space="preserve">· Exenatide and glucagon co-infusion increases myocardial glucose uptake and improves markers of diastolic dysfunction in adults with type 2 diabetes. PMID 40593987</w:t>
      </w:r>
    </w:p>
    <w:p>
      <w:pPr>
        <w:numPr>
          <w:ilvl w:val="0"/>
          <w:numId w:val="1376"/>
        </w:numPr>
        <w:pStyle w:val="Compact"/>
      </w:pPr>
      <w:r>
        <w:t xml:space="preserve">2025 · Abdul-Ghani M ·</w:t>
      </w:r>
      <w:r>
        <w:t xml:space="preserve"> </w:t>
      </w:r>
      <w:r>
        <w:rPr>
          <w:iCs/>
          <w:i/>
        </w:rPr>
        <w:t xml:space="preserve">BMJ Open Diabetes Res Care</w:t>
      </w:r>
      <w:r>
        <w:t xml:space="preserve"> </w:t>
      </w:r>
      <w:r>
        <w:t xml:space="preserve">· Glycemic and non-glycemic benefits of initial triple therapy versus sequential add-on therapy in patients with new-onset diabetes: results from the EDICT study. PMID 40288809</w:t>
      </w:r>
    </w:p>
    <w:p>
      <w:pPr>
        <w:numPr>
          <w:ilvl w:val="0"/>
          <w:numId w:val="1376"/>
        </w:numPr>
        <w:pStyle w:val="Compact"/>
      </w:pPr>
      <w:r>
        <w:t xml:space="preserve">2025 · Kjaergaard J ·</w:t>
      </w:r>
      <w:r>
        <w:t xml:space="preserve"> </w:t>
      </w:r>
      <w:r>
        <w:rPr>
          <w:iCs/>
          <w:i/>
        </w:rPr>
        <w:t xml:space="preserve">Circ Cardiovasc Interv</w:t>
      </w:r>
      <w:r>
        <w:t xml:space="preserve"> </w:t>
      </w:r>
      <w:r>
        <w:t xml:space="preserve">· Efficacy of the Glucagon-Like Peptide-1 Agonist Exenatide in Patients Undergoing CABG or Aortic Valve Replacement: A Randomized Double-Blind Clinical Trial. PMID 40265262</w:t>
      </w:r>
    </w:p>
    <w:p>
      <w:pPr>
        <w:numPr>
          <w:ilvl w:val="0"/>
          <w:numId w:val="1376"/>
        </w:numPr>
        <w:pStyle w:val="Compact"/>
      </w:pPr>
      <w:r>
        <w:t xml:space="preserve">2025 · Patino LR ·</w:t>
      </w:r>
      <w:r>
        <w:t xml:space="preserve"> </w:t>
      </w:r>
      <w:r>
        <w:rPr>
          <w:iCs/>
          <w:i/>
        </w:rPr>
        <w:t xml:space="preserve">J Affect Disord</w:t>
      </w:r>
      <w:r>
        <w:t xml:space="preserve"> </w:t>
      </w:r>
      <w:r>
        <w:t xml:space="preserve">· A double-blind, placebo-controlled trial of exenatide for the treatment of olanzapine-related weight gain in obese and overweight adults. PMID 40203970</w:t>
      </w:r>
    </w:p>
    <w:p>
      <w:pPr>
        <w:numPr>
          <w:ilvl w:val="0"/>
          <w:numId w:val="1376"/>
        </w:numPr>
        <w:pStyle w:val="Compact"/>
      </w:pPr>
      <w:r>
        <w:t xml:space="preserve">2025 · Maddaloni E ·</w:t>
      </w:r>
      <w:r>
        <w:t xml:space="preserve"> </w:t>
      </w:r>
      <w:r>
        <w:rPr>
          <w:iCs/>
          <w:i/>
        </w:rPr>
        <w:t xml:space="preserve">Diabetes Res Clin Pract</w:t>
      </w:r>
      <w:r>
        <w:t xml:space="preserve"> </w:t>
      </w:r>
      <w:r>
        <w:t xml:space="preserve">· Risk factors for bone fractures in type 2 diabetes and the impact of once-weekly exenatide: insights from an EXSCEL post-hoc analysis. PMID 40154887</w:t>
      </w:r>
    </w:p>
    <w:p>
      <w:pPr>
        <w:numPr>
          <w:ilvl w:val="0"/>
          <w:numId w:val="1376"/>
        </w:numPr>
        <w:pStyle w:val="Compact"/>
      </w:pPr>
      <w:r>
        <w:t xml:space="preserve">2025 · Jensen ME ·</w:t>
      </w:r>
      <w:r>
        <w:t xml:space="preserve"> </w:t>
      </w:r>
      <w:r>
        <w:rPr>
          <w:iCs/>
          <w:i/>
        </w:rPr>
        <w:t xml:space="preserve">Alcohol Clin Exp Res (Hoboken)</w:t>
      </w:r>
      <w:r>
        <w:t xml:space="preserve"> </w:t>
      </w:r>
      <w:r>
        <w:t xml:space="preserve">· Blood phosphatidylethanol measurements indicate GLP-1 receptor stimulation causes delayed decreases in alcohol consumption. PMID 40123107</w:t>
      </w:r>
    </w:p>
    <w:p>
      <w:pPr>
        <w:numPr>
          <w:ilvl w:val="0"/>
          <w:numId w:val="1376"/>
        </w:numPr>
        <w:pStyle w:val="Compact"/>
      </w:pPr>
      <w:r>
        <w:t xml:space="preserve">2025 · Vijiaratnam N ·</w:t>
      </w:r>
      <w:r>
        <w:t xml:space="preserve"> </w:t>
      </w:r>
      <w:r>
        <w:rPr>
          <w:iCs/>
          <w:i/>
        </w:rPr>
        <w:t xml:space="preserve">Lancet</w:t>
      </w:r>
      <w:r>
        <w:t xml:space="preserve"> </w:t>
      </w:r>
      <w:r>
        <w:t xml:space="preserve">· Exenatide once a week versus placebo as a potential disease-modifying treatment for people with Parkinson’s disease in the UK: a phase 3, multicentre, double-blind, parallel-group, randomised, placebo-controlled trial. PMID 39919773</w:t>
      </w:r>
    </w:p>
    <w:p>
      <w:pPr>
        <w:numPr>
          <w:ilvl w:val="0"/>
          <w:numId w:val="1376"/>
        </w:numPr>
        <w:pStyle w:val="Compact"/>
      </w:pPr>
      <w:r>
        <w:t xml:space="preserve">2025 · Yammine L ·</w:t>
      </w:r>
      <w:r>
        <w:t xml:space="preserve"> </w:t>
      </w:r>
      <w:r>
        <w:rPr>
          <w:iCs/>
          <w:i/>
        </w:rPr>
        <w:t xml:space="preserve">Nicotine Tob Res</w:t>
      </w:r>
      <w:r>
        <w:t xml:space="preserve"> </w:t>
      </w:r>
      <w:r>
        <w:t xml:space="preserve">· Exploring Predictors of Treatment Response to GLP-1 Receptor Agonists for Smoking Cessation. PMID 39780397</w:t>
      </w:r>
    </w:p>
    <w:p>
      <w:pPr>
        <w:numPr>
          <w:ilvl w:val="0"/>
          <w:numId w:val="1376"/>
        </w:numPr>
        <w:pStyle w:val="Compact"/>
      </w:pPr>
      <w:r>
        <w:t xml:space="preserve">2025 · Maddaloni E ·</w:t>
      </w:r>
      <w:r>
        <w:t xml:space="preserve"> </w:t>
      </w:r>
      <w:r>
        <w:rPr>
          <w:iCs/>
          <w:i/>
        </w:rPr>
        <w:t xml:space="preserve">Diabetes Care</w:t>
      </w:r>
      <w:r>
        <w:t xml:space="preserve"> </w:t>
      </w:r>
      <w:r>
        <w:t xml:space="preserve">· Osteoprotegerin, Osteopontin, and Osteocalcin Are Associated With Cardiovascular Events in Type 2 Diabetes: Insights From EXSCEL. PMID 39576722</w:t>
      </w:r>
    </w:p>
    <w:p>
      <w:pPr>
        <w:numPr>
          <w:ilvl w:val="0"/>
          <w:numId w:val="1376"/>
        </w:numPr>
        <w:pStyle w:val="Compact"/>
      </w:pPr>
      <w:r>
        <w:t xml:space="preserve">2025 · Neves JS ·</w:t>
      </w:r>
      <w:r>
        <w:t xml:space="preserve"> </w:t>
      </w:r>
      <w:r>
        <w:rPr>
          <w:iCs/>
          <w:i/>
        </w:rPr>
        <w:t xml:space="preserve">Eur J Heart Fail</w:t>
      </w:r>
      <w:r>
        <w:t xml:space="preserve"> </w:t>
      </w:r>
      <w:r>
        <w:t xml:space="preserve">· Cardiovascular outcomes with exenatide in type 2 diabetes according to ejection fraction: The EXSCEL trial. PMID 39381950</w:t>
      </w:r>
    </w:p>
    <w:p>
      <w:pPr>
        <w:numPr>
          <w:ilvl w:val="0"/>
          <w:numId w:val="1376"/>
        </w:numPr>
        <w:pStyle w:val="Compact"/>
      </w:pPr>
      <w:r>
        <w:t xml:space="preserve">2024 · Koychev I ·</w:t>
      </w:r>
      <w:r>
        <w:t xml:space="preserve"> </w:t>
      </w:r>
      <w:r>
        <w:rPr>
          <w:iCs/>
          <w:i/>
        </w:rPr>
        <w:t xml:space="preserve">Alzheimers Res Ther</w:t>
      </w:r>
      <w:r>
        <w:t xml:space="preserve"> </w:t>
      </w:r>
      <w:r>
        <w:t xml:space="preserve">· Inflammatory proteins associated with Alzheimer’s disease reduced by a GLP1 receptor agonist: a post hoc analysis of the EXSCEL randomized placebo controlled trial. PMID 39358806</w:t>
      </w:r>
    </w:p>
    <w:p>
      <w:pPr>
        <w:numPr>
          <w:ilvl w:val="0"/>
          <w:numId w:val="1376"/>
        </w:numPr>
        <w:pStyle w:val="Compact"/>
      </w:pPr>
      <w:r>
        <w:t xml:space="preserve">2024 · Oulhaj A ·</w:t>
      </w:r>
      <w:r>
        <w:t xml:space="preserve"> </w:t>
      </w:r>
      <w:r>
        <w:rPr>
          <w:iCs/>
          <w:i/>
        </w:rPr>
        <w:t xml:space="preserve">Diabetes Obes Metab</w:t>
      </w:r>
      <w:r>
        <w:t xml:space="preserve"> </w:t>
      </w:r>
      <w:r>
        <w:t xml:space="preserve">· Estimated glomerular filtration rate slope and risk of primary and secondary major adverse cardiovascular events and heart failure hospitalization in people with type 2 diabetes: An analysis of the EXSCEL trial. PMID 39086032</w:t>
      </w:r>
    </w:p>
    <w:p>
      <w:pPr>
        <w:numPr>
          <w:ilvl w:val="0"/>
          <w:numId w:val="1376"/>
        </w:numPr>
        <w:pStyle w:val="Compact"/>
      </w:pPr>
      <w:r>
        <w:t xml:space="preserve">2024 · Gooding KM ·</w:t>
      </w:r>
      <w:r>
        <w:t xml:space="preserve"> </w:t>
      </w:r>
      <w:r>
        <w:rPr>
          <w:iCs/>
          <w:i/>
        </w:rPr>
        <w:t xml:space="preserve">Diabetes Res Clin Pract</w:t>
      </w:r>
      <w:r>
        <w:t xml:space="preserve"> </w:t>
      </w:r>
      <w:r>
        <w:t xml:space="preserve">· Are the cardiovascular properties of GLP-1 receptor agonists differentially modulated by sulfonylureas? Insights from post-hoc analysis of EXSCEL. PMID 38670496</w:t>
      </w:r>
    </w:p>
    <w:p>
      <w:pPr>
        <w:numPr>
          <w:ilvl w:val="0"/>
          <w:numId w:val="1376"/>
        </w:numPr>
        <w:pStyle w:val="Compact"/>
      </w:pPr>
      <w:r>
        <w:t xml:space="preserve">2024 · Dei Cas A ·</w:t>
      </w:r>
      <w:r>
        <w:t xml:space="preserve"> </w:t>
      </w:r>
      <w:r>
        <w:rPr>
          <w:iCs/>
          <w:i/>
        </w:rPr>
        <w:t xml:space="preserve">J Endocrinol Invest</w:t>
      </w:r>
      <w:r>
        <w:t xml:space="preserve"> </w:t>
      </w:r>
      <w:r>
        <w:t xml:space="preserve">· Long-acting exenatide does not prevent cognitive decline in mild cognitive impairment: a proof-of-concept clinical trial. PMID 38565814</w:t>
      </w:r>
    </w:p>
    <w:p>
      <w:pPr>
        <w:numPr>
          <w:ilvl w:val="0"/>
          <w:numId w:val="1376"/>
        </w:numPr>
        <w:pStyle w:val="Compact"/>
      </w:pPr>
      <w:r>
        <w:t xml:space="preserve">2024 · Gatta-Cherifi B ·</w:t>
      </w:r>
      <w:r>
        <w:t xml:space="preserve"> </w:t>
      </w:r>
      <w:r>
        <w:rPr>
          <w:iCs/>
          <w:i/>
        </w:rPr>
        <w:t xml:space="preserve">Eur J Endocrinol</w:t>
      </w:r>
      <w:r>
        <w:t xml:space="preserve"> </w:t>
      </w:r>
      <w:r>
        <w:t xml:space="preserve">· Impact of exenatide on weight loss and eating behavior in adults with craniopharyngioma-related obesity: the CRANIOEXE randomized placebo-controlled trial. PMID 38450721</w:t>
      </w:r>
    </w:p>
    <w:p>
      <w:pPr>
        <w:numPr>
          <w:ilvl w:val="0"/>
          <w:numId w:val="1376"/>
        </w:numPr>
        <w:pStyle w:val="Compact"/>
      </w:pPr>
      <w:r>
        <w:t xml:space="preserve">2024 · Bensignor MO ·</w:t>
      </w:r>
      <w:r>
        <w:t xml:space="preserve"> </w:t>
      </w:r>
      <w:r>
        <w:rPr>
          <w:iCs/>
          <w:i/>
        </w:rPr>
        <w:t xml:space="preserve">Pediatr Obes</w:t>
      </w:r>
      <w:r>
        <w:t xml:space="preserve"> </w:t>
      </w:r>
      <w:r>
        <w:t xml:space="preserve">· Evaluating appetite/satiety hormones and eating behaviours as predictors of weight loss maintenance with GLP-1RA therapy in adolescents with severe obesity. PMID 38339799</w:t>
      </w:r>
    </w:p>
    <w:p>
      <w:pPr>
        <w:numPr>
          <w:ilvl w:val="0"/>
          <w:numId w:val="1376"/>
        </w:numPr>
        <w:pStyle w:val="Compact"/>
      </w:pPr>
      <w:r>
        <w:t xml:space="preserve">2024 · Grech O ·</w:t>
      </w:r>
      <w:r>
        <w:t xml:space="preserve"> </w:t>
      </w:r>
      <w:r>
        <w:rPr>
          <w:iCs/>
          <w:i/>
        </w:rPr>
        <w:t xml:space="preserve">Eye (Lond)</w:t>
      </w:r>
      <w:r>
        <w:t xml:space="preserve"> </w:t>
      </w:r>
      <w:r>
        <w:t xml:space="preserve">· Effect of glucagon like peptide-1 receptor agonist exenatide, used as an intracranial pressure lowering agent, on cognition in Idiopathic Intracranial Hypertension. PMID 38212401</w:t>
      </w:r>
    </w:p>
    <w:p>
      <w:pPr>
        <w:numPr>
          <w:ilvl w:val="0"/>
          <w:numId w:val="1376"/>
        </w:numPr>
        <w:pStyle w:val="Compact"/>
      </w:pPr>
      <w:r>
        <w:t xml:space="preserve">2024 · McGarry A ·</w:t>
      </w:r>
      <w:r>
        <w:t xml:space="preserve"> </w:t>
      </w:r>
      <w:r>
        <w:rPr>
          <w:iCs/>
          <w:i/>
        </w:rPr>
        <w:t xml:space="preserve">Lancet Neurol</w:t>
      </w:r>
      <w:r>
        <w:t xml:space="preserve"> </w:t>
      </w:r>
      <w:r>
        <w:t xml:space="preserve">· Safety, tolerability, and efficacy of NLY01 in early untreated Parkinson’s disease: a randomised, double-blind, placebo-controlled trial. PMID 38101901</w:t>
      </w:r>
    </w:p>
    <w:p>
      <w:pPr>
        <w:numPr>
          <w:ilvl w:val="0"/>
          <w:numId w:val="1376"/>
        </w:numPr>
        <w:pStyle w:val="Compact"/>
      </w:pPr>
      <w:r>
        <w:t xml:space="preserve">2023 · Santos-Pardo I ·</w:t>
      </w:r>
      <w:r>
        <w:t xml:space="preserve"> </w:t>
      </w:r>
      <w:r>
        <w:rPr>
          <w:iCs/>
          <w:i/>
        </w:rPr>
        <w:t xml:space="preserve">Cardiovasc Diabetol</w:t>
      </w:r>
      <w:r>
        <w:t xml:space="preserve"> </w:t>
      </w:r>
      <w:r>
        <w:t xml:space="preserve">· Effects of exenatide on coronary stent’s endothelialization in subjects with type 2 diabetes: a randomized controlled trial. The Rebuild study. PMID 38066597</w:t>
      </w:r>
    </w:p>
    <w:p>
      <w:pPr>
        <w:numPr>
          <w:ilvl w:val="0"/>
          <w:numId w:val="1376"/>
        </w:numPr>
        <w:pStyle w:val="Compact"/>
      </w:pPr>
      <w:r>
        <w:t xml:space="preserve">2023 · Bladin CF ·</w:t>
      </w:r>
      <w:r>
        <w:t xml:space="preserve"> </w:t>
      </w:r>
      <w:r>
        <w:rPr>
          <w:iCs/>
          <w:i/>
        </w:rPr>
        <w:t xml:space="preserve">Stroke</w:t>
      </w:r>
      <w:r>
        <w:t xml:space="preserve"> </w:t>
      </w:r>
      <w:r>
        <w:t xml:space="preserve">· Management of Poststroke Hyperglycemia: Results of the TEXAIS Randomized Clinical Trial. PMID 38011235</w:t>
      </w:r>
    </w:p>
    <w:p>
      <w:pPr>
        <w:numPr>
          <w:ilvl w:val="0"/>
          <w:numId w:val="1376"/>
        </w:numPr>
        <w:pStyle w:val="Compact"/>
      </w:pPr>
      <w:r>
        <w:t xml:space="preserve">2023 · Stenlid R ·</w:t>
      </w:r>
      <w:r>
        <w:t xml:space="preserve"> </w:t>
      </w:r>
      <w:r>
        <w:rPr>
          <w:iCs/>
          <w:i/>
        </w:rPr>
        <w:t xml:space="preserve">Ann Nutr Metab</w:t>
      </w:r>
      <w:r>
        <w:t xml:space="preserve"> </w:t>
      </w:r>
      <w:r>
        <w:t xml:space="preserve">· Screening for Inflammatory Markers Identifies IL-18Rα as a Potential Link between Exenatide and Its Anti-Inflammatory Effect: New Results from the Combat-JUDO Randomized Controlled Trial. PMID 37883939</w:t>
      </w:r>
    </w:p>
    <w:p>
      <w:pPr>
        <w:numPr>
          <w:ilvl w:val="0"/>
          <w:numId w:val="1376"/>
        </w:numPr>
        <w:pStyle w:val="Compact"/>
      </w:pPr>
      <w:r>
        <w:t xml:space="preserve">2023 · Akyay OZ ·</w:t>
      </w:r>
      <w:r>
        <w:t xml:space="preserve"> </w:t>
      </w:r>
      <w:r>
        <w:rPr>
          <w:iCs/>
          <w:i/>
        </w:rPr>
        <w:t xml:space="preserve">Medicine (Baltimore)</w:t>
      </w:r>
      <w:r>
        <w:t xml:space="preserve"> </w:t>
      </w:r>
      <w:r>
        <w:t xml:space="preserve">· The effects of exenatide and insulin glargine treatments on bone turnover markers and bone mineral density in postmenopausal patients with type 2 diabetes mellitus. PMID 37773814</w:t>
      </w:r>
    </w:p>
    <w:p>
      <w:pPr>
        <w:numPr>
          <w:ilvl w:val="0"/>
          <w:numId w:val="1376"/>
        </w:numPr>
        <w:pStyle w:val="Compact"/>
      </w:pPr>
      <w:r>
        <w:t xml:space="preserve">2023 · Liu L ·</w:t>
      </w:r>
      <w:r>
        <w:t xml:space="preserve"> </w:t>
      </w:r>
      <w:r>
        <w:rPr>
          <w:iCs/>
          <w:i/>
        </w:rPr>
        <w:t xml:space="preserve">Exp Clin Endocrinol Diabetes</w:t>
      </w:r>
      <w:r>
        <w:t xml:space="preserve"> </w:t>
      </w:r>
      <w:r>
        <w:t xml:space="preserve">· Insulin Glargine is More Suitable Than Exenatide in Preventing Muscle Loss in Non-Obese Type 2 Diabetic Patients with NAFLD. PMID 37524110</w:t>
      </w:r>
    </w:p>
    <w:p>
      <w:pPr>
        <w:numPr>
          <w:ilvl w:val="0"/>
          <w:numId w:val="1376"/>
        </w:numPr>
        <w:pStyle w:val="Compact"/>
      </w:pPr>
      <w:r>
        <w:t xml:space="preserve">2023 · Retnakaran R ·</w:t>
      </w:r>
      <w:r>
        <w:t xml:space="preserve"> </w:t>
      </w:r>
      <w:r>
        <w:rPr>
          <w:iCs/>
          <w:i/>
        </w:rPr>
        <w:t xml:space="preserve">Diabetes Obes Metab</w:t>
      </w:r>
      <w:r>
        <w:t xml:space="preserve"> </w:t>
      </w:r>
      <w:r>
        <w:t xml:space="preserve">· Baseline determinants of remission of type 2 diabetes in response to short-term insulin-based therapy: The pivotal role of beta-cell function. PMID 37380623</w:t>
      </w:r>
    </w:p>
    <w:p>
      <w:pPr>
        <w:numPr>
          <w:ilvl w:val="0"/>
          <w:numId w:val="1376"/>
        </w:numPr>
        <w:pStyle w:val="Compact"/>
      </w:pPr>
      <w:r>
        <w:t xml:space="preserve">2023 · Mitchell JL ·</w:t>
      </w:r>
      <w:r>
        <w:t xml:space="preserve"> </w:t>
      </w:r>
      <w:r>
        <w:rPr>
          <w:iCs/>
          <w:i/>
        </w:rPr>
        <w:t xml:space="preserve">Brain</w:t>
      </w:r>
      <w:r>
        <w:t xml:space="preserve"> </w:t>
      </w:r>
      <w:r>
        <w:t xml:space="preserve">· The effect of GLP-1RA exenatide on idiopathic intracranial hypertension: a randomized clinical trial. PMID 36907221</w:t>
      </w:r>
    </w:p>
    <w:p>
      <w:pPr>
        <w:numPr>
          <w:ilvl w:val="0"/>
          <w:numId w:val="1376"/>
        </w:numPr>
        <w:pStyle w:val="Compact"/>
      </w:pPr>
      <w:r>
        <w:t xml:space="preserve">2023 · Retnakaran R ·</w:t>
      </w:r>
      <w:r>
        <w:t xml:space="preserve"> </w:t>
      </w:r>
      <w:r>
        <w:rPr>
          <w:iCs/>
          <w:i/>
        </w:rPr>
        <w:t xml:space="preserve">Cardiovasc Diabetol</w:t>
      </w:r>
      <w:r>
        <w:t xml:space="preserve"> </w:t>
      </w:r>
      <w:r>
        <w:t xml:space="preserve">· The vascular function effects of adding exenatide or meal insulin to basal insulin therapy in early type 2 diabetes. PMID 36894921</w:t>
      </w:r>
    </w:p>
    <w:p>
      <w:pPr>
        <w:numPr>
          <w:ilvl w:val="0"/>
          <w:numId w:val="1376"/>
        </w:numPr>
        <w:pStyle w:val="Compact"/>
      </w:pPr>
      <w:r>
        <w:t xml:space="preserve">2023 · van der Aart-van der Beek AB ·</w:t>
      </w:r>
      <w:r>
        <w:t xml:space="preserve"> </w:t>
      </w:r>
      <w:r>
        <w:rPr>
          <w:iCs/>
          <w:i/>
        </w:rPr>
        <w:t xml:space="preserve">Diabetes Obes Metab</w:t>
      </w:r>
      <w:r>
        <w:t xml:space="preserve"> </w:t>
      </w:r>
      <w:r>
        <w:t xml:space="preserve">· Albuminuria-lowering effect of dapagliflozin, exenatide, and their combination in patients with type 2 diabetes: A randomized cross-over clinical study. PMID 36843215</w:t>
      </w:r>
    </w:p>
    <w:p>
      <w:pPr>
        <w:numPr>
          <w:ilvl w:val="0"/>
          <w:numId w:val="1376"/>
        </w:numPr>
        <w:pStyle w:val="Compact"/>
      </w:pPr>
      <w:r>
        <w:t xml:space="preserve">2023 · Green JB ·</w:t>
      </w:r>
      <w:r>
        <w:t xml:space="preserve"> </w:t>
      </w:r>
      <w:r>
        <w:rPr>
          <w:iCs/>
          <w:i/>
        </w:rPr>
        <w:t xml:space="preserve">Diabetes Obes Metab</w:t>
      </w:r>
      <w:r>
        <w:t xml:space="preserve"> </w:t>
      </w:r>
      <w:r>
        <w:t xml:space="preserve">· Sex differences in the complications, care and clinical outcomes of patients with type 2 diabetes in the Exenatide Study of Cardiovascular Event Lowering (EXSCEL). PMID 36700460</w:t>
      </w:r>
    </w:p>
    <w:p>
      <w:pPr>
        <w:numPr>
          <w:ilvl w:val="0"/>
          <w:numId w:val="1376"/>
        </w:numPr>
        <w:pStyle w:val="Compact"/>
      </w:pPr>
      <w:r>
        <w:t xml:space="preserve">2023 · Oulhaj A ·</w:t>
      </w:r>
      <w:r>
        <w:t xml:space="preserve"> </w:t>
      </w:r>
      <w:r>
        <w:rPr>
          <w:iCs/>
          <w:i/>
        </w:rPr>
        <w:t xml:space="preserve">Diabetes Obes Metab</w:t>
      </w:r>
      <w:r>
        <w:t xml:space="preserve"> </w:t>
      </w:r>
      <w:r>
        <w:t xml:space="preserve">· Joint longitudinal and time-to-event modelling compared with standard Cox modelling in patients with type 2 diabetes with and without established cardiovascular disease: An analysis of the EXSCEL trial. PMID 36635232</w:t>
      </w:r>
    </w:p>
    <w:p>
      <w:pPr>
        <w:numPr>
          <w:ilvl w:val="0"/>
          <w:numId w:val="1376"/>
        </w:numPr>
        <w:pStyle w:val="Compact"/>
      </w:pPr>
      <w:r>
        <w:t xml:space="preserve">2022 · Zhang J ·</w:t>
      </w:r>
      <w:r>
        <w:t xml:space="preserve"> </w:t>
      </w:r>
      <w:r>
        <w:rPr>
          <w:iCs/>
          <w:i/>
        </w:rPr>
        <w:t xml:space="preserve">Int J Clin Pract</w:t>
      </w:r>
      <w:r>
        <w:t xml:space="preserve"> </w:t>
      </w:r>
      <w:r>
        <w:t xml:space="preserve">· Efficacy of Exenatide Administered Twice Daily in Body Mass Index Reduction in Patients with Type 2 Diabetes Mellitus. PMID 37214201</w:t>
      </w:r>
    </w:p>
    <w:p>
      <w:pPr>
        <w:numPr>
          <w:ilvl w:val="0"/>
          <w:numId w:val="1376"/>
        </w:numPr>
        <w:pStyle w:val="Compact"/>
      </w:pPr>
      <w:r>
        <w:t xml:space="preserve">2022 · Retnakaran R ·</w:t>
      </w:r>
      <w:r>
        <w:t xml:space="preserve"> </w:t>
      </w:r>
      <w:r>
        <w:rPr>
          <w:iCs/>
          <w:i/>
        </w:rPr>
        <w:t xml:space="preserve">Nat Commun</w:t>
      </w:r>
      <w:r>
        <w:t xml:space="preserve"> </w:t>
      </w:r>
      <w:r>
        <w:t xml:space="preserve">· The metabolic effects of adding exenatide to basal insulin therapy when targeting remission in early type 2 diabetes in a randomized clinical trial. PMID 36244997</w:t>
      </w:r>
    </w:p>
    <w:p>
      <w:pPr>
        <w:numPr>
          <w:ilvl w:val="0"/>
          <w:numId w:val="1376"/>
        </w:numPr>
        <w:pStyle w:val="Compact"/>
      </w:pPr>
      <w:r>
        <w:t xml:space="preserve">2022 · Klausen MK ·</w:t>
      </w:r>
      <w:r>
        <w:t xml:space="preserve"> </w:t>
      </w:r>
      <w:r>
        <w:rPr>
          <w:iCs/>
          <w:i/>
        </w:rPr>
        <w:t xml:space="preserve">JCI Insight</w:t>
      </w:r>
      <w:r>
        <w:t xml:space="preserve"> </w:t>
      </w:r>
      <w:r>
        <w:t xml:space="preserve">· Exenatide once weekly for alcohol use disorder investigated in a randomized, placebo-controlled clinical trial. PMID 36066977</w:t>
      </w:r>
    </w:p>
    <w:p>
      <w:pPr>
        <w:numPr>
          <w:ilvl w:val="0"/>
          <w:numId w:val="1376"/>
        </w:numPr>
        <w:pStyle w:val="Compact"/>
      </w:pPr>
      <w:r>
        <w:t xml:space="preserve">2022 · Akyay OZ ·</w:t>
      </w:r>
      <w:r>
        <w:t xml:space="preserve"> </w:t>
      </w:r>
      <w:r>
        <w:rPr>
          <w:iCs/>
          <w:i/>
        </w:rPr>
        <w:t xml:space="preserve">Niger J Clin Pract</w:t>
      </w:r>
      <w:r>
        <w:t xml:space="preserve"> </w:t>
      </w:r>
      <w:r>
        <w:t xml:space="preserve">· Comparison of the effects of exenatide and insulin glargine on right and left ventricular myocardial deformation as shown by 2D-speckle-tracking echocardiograms. PMID 35859471</w:t>
      </w:r>
    </w:p>
    <w:p>
      <w:pPr>
        <w:numPr>
          <w:ilvl w:val="0"/>
          <w:numId w:val="1376"/>
        </w:numPr>
        <w:pStyle w:val="Compact"/>
      </w:pPr>
      <w:r>
        <w:t xml:space="preserve">2022 · Li R ·</w:t>
      </w:r>
      <w:r>
        <w:t xml:space="preserve"> </w:t>
      </w:r>
      <w:r>
        <w:rPr>
          <w:iCs/>
          <w:i/>
        </w:rPr>
        <w:t xml:space="preserve">Arch Gynecol Obstet</w:t>
      </w:r>
      <w:r>
        <w:t xml:space="preserve"> </w:t>
      </w:r>
      <w:r>
        <w:t xml:space="preserve">· Effect of metformin and exenatide on pregnancy rate and pregnancy outcomes in overweight or obese infertility PCOS women: long-term follow-up of an RCT. PMID 35829765</w:t>
      </w:r>
    </w:p>
    <w:p>
      <w:pPr>
        <w:numPr>
          <w:ilvl w:val="0"/>
          <w:numId w:val="1376"/>
        </w:numPr>
        <w:pStyle w:val="Compact"/>
      </w:pPr>
      <w:r>
        <w:t xml:space="preserve">2022 · Davis TME ·</w:t>
      </w:r>
      <w:r>
        <w:t xml:space="preserve"> </w:t>
      </w:r>
      <w:r>
        <w:rPr>
          <w:iCs/>
          <w:i/>
        </w:rPr>
        <w:t xml:space="preserve">Cardiovasc Diabetol</w:t>
      </w:r>
      <w:r>
        <w:t xml:space="preserve"> </w:t>
      </w:r>
      <w:r>
        <w:t xml:space="preserve">· Effect of race on cardiometabolic responses to once-weekly exenatide: insights from the Exenatide Study of Cardiovascular Event Lowering (EXSCEL). PMID 35761271</w:t>
      </w:r>
    </w:p>
    <w:p>
      <w:pPr>
        <w:numPr>
          <w:ilvl w:val="0"/>
          <w:numId w:val="1376"/>
        </w:numPr>
        <w:pStyle w:val="Compact"/>
      </w:pPr>
      <w:r>
        <w:t xml:space="preserve">2022 · Zhang J ·</w:t>
      </w:r>
      <w:r>
        <w:t xml:space="preserve"> </w:t>
      </w:r>
      <w:r>
        <w:rPr>
          <w:iCs/>
          <w:i/>
        </w:rPr>
        <w:t xml:space="preserve">J Investig Med</w:t>
      </w:r>
      <w:r>
        <w:t xml:space="preserve"> </w:t>
      </w:r>
      <w:r>
        <w:t xml:space="preserve">· Comparing the effects of twice-daily exenatide and insulin on renal function in patients with type 2 diabetes mellitus: secondary analysis of a randomized controlled trial. PMID 35725020</w:t>
      </w:r>
    </w:p>
    <w:p>
      <w:pPr>
        <w:numPr>
          <w:ilvl w:val="0"/>
          <w:numId w:val="1376"/>
        </w:numPr>
        <w:pStyle w:val="Compact"/>
      </w:pPr>
      <w:r>
        <w:t xml:space="preserve">2022 · Samms RJ ·</w:t>
      </w:r>
      <w:r>
        <w:t xml:space="preserve"> </w:t>
      </w:r>
      <w:r>
        <w:rPr>
          <w:iCs/>
          <w:i/>
        </w:rPr>
        <w:t xml:space="preserve">Am J Physiol Endocrinol Metab</w:t>
      </w:r>
      <w:r>
        <w:t xml:space="preserve"> </w:t>
      </w:r>
      <w:r>
        <w:t xml:space="preserve">· FGF21 contributes to metabolic improvements elicited by combination therapy with exenatide and pioglitazone in patients with type 2 diabetes. PMID 35723225</w:t>
      </w:r>
    </w:p>
    <w:p>
      <w:pPr>
        <w:numPr>
          <w:ilvl w:val="0"/>
          <w:numId w:val="1376"/>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6"/>
        </w:numPr>
        <w:pStyle w:val="Compact"/>
      </w:pPr>
      <w:r>
        <w:t xml:space="preserve">2022 · van Ruiten CC ·</w:t>
      </w:r>
      <w:r>
        <w:t xml:space="preserve"> </w:t>
      </w:r>
      <w:r>
        <w:rPr>
          <w:iCs/>
          <w:i/>
        </w:rPr>
        <w:t xml:space="preserve">Front Endocrinol (Lausanne)</w:t>
      </w:r>
      <w:r>
        <w:t xml:space="preserve"> </w:t>
      </w:r>
      <w:r>
        <w:t xml:space="preserve">· Brain Activation in Response to Low-Calorie Food Pictures: An Explorative Analysis of a Randomized Trial With Dapagliflozin and Exenatide. PMID 35600575</w:t>
      </w:r>
    </w:p>
    <w:p>
      <w:pPr>
        <w:numPr>
          <w:ilvl w:val="0"/>
          <w:numId w:val="1376"/>
        </w:numPr>
        <w:pStyle w:val="Compact"/>
      </w:pPr>
      <w:r>
        <w:t xml:space="preserve">2022 · Toftgaard Pedersen A ·</w:t>
      </w:r>
      <w:r>
        <w:t xml:space="preserve"> </w:t>
      </w:r>
      <w:r>
        <w:rPr>
          <w:iCs/>
          <w:i/>
        </w:rPr>
        <w:t xml:space="preserve">Scand Cardiovasc J</w:t>
      </w:r>
      <w:r>
        <w:t xml:space="preserve"> </w:t>
      </w:r>
      <w:r>
        <w:t xml:space="preserve">· Association between inflammatory markers and survival in comatose, resuscitated out-of-hospital cardiac arrest patients. PMID 35546563</w:t>
      </w:r>
    </w:p>
    <w:p>
      <w:pPr>
        <w:numPr>
          <w:ilvl w:val="0"/>
          <w:numId w:val="1376"/>
        </w:numPr>
        <w:pStyle w:val="Compact"/>
      </w:pPr>
      <w:r>
        <w:t xml:space="preserve">2022 · van Ruiten CC ·</w:t>
      </w:r>
      <w:r>
        <w:t xml:space="preserve"> </w:t>
      </w:r>
      <w:r>
        <w:rPr>
          <w:iCs/>
          <w:i/>
        </w:rPr>
        <w:t xml:space="preserve">Diabetes Obes Metab</w:t>
      </w:r>
      <w:r>
        <w:t xml:space="preserve"> </w:t>
      </w:r>
      <w:r>
        <w:t xml:space="preserve">· Combination therapy with exenatide decreases the dapagliflozin-induced changes in brain responses to anticipation and consumption of palatable food in patients with type 2 diabetes: A randomized controlled trial. PMID 35491524</w:t>
      </w:r>
    </w:p>
    <w:p>
      <w:pPr>
        <w:numPr>
          <w:ilvl w:val="0"/>
          <w:numId w:val="1376"/>
        </w:numPr>
        <w:pStyle w:val="Compact"/>
      </w:pPr>
      <w:r>
        <w:t xml:space="preserve">2022 · van Ruiten CC ·</w:t>
      </w:r>
      <w:r>
        <w:t xml:space="preserve"> </w:t>
      </w:r>
      <w:r>
        <w:rPr>
          <w:iCs/>
          <w:i/>
        </w:rPr>
        <w:t xml:space="preserve">Cardiovasc Diabetol</w:t>
      </w:r>
      <w:r>
        <w:t xml:space="preserve"> </w:t>
      </w:r>
      <w:r>
        <w:t xml:space="preserve">· Mechanisms underlying the blood pressure lowering effects of dapagliflozin, exenatide, and their combination in people with type 2 diabetes: a secondary analysis of a randomized trial. PMID 35484607</w:t>
      </w:r>
    </w:p>
    <w:p>
      <w:pPr>
        <w:numPr>
          <w:ilvl w:val="0"/>
          <w:numId w:val="1376"/>
        </w:numPr>
        <w:pStyle w:val="Compact"/>
      </w:pPr>
      <w:r>
        <w:t xml:space="preserve">2022 · Fox CK ·</w:t>
      </w:r>
      <w:r>
        <w:t xml:space="preserve"> </w:t>
      </w:r>
      <w:r>
        <w:rPr>
          <w:iCs/>
          <w:i/>
        </w:rPr>
        <w:t xml:space="preserve">Obesity (Silver Spring)</w:t>
      </w:r>
      <w:r>
        <w:t xml:space="preserve"> </w:t>
      </w:r>
      <w:r>
        <w:t xml:space="preserve">· Exenatide for weight-loss maintenance in adolescents with severe obesity: A randomized, placebo-controlled trial. PMID 35403350</w:t>
      </w:r>
    </w:p>
    <w:p>
      <w:pPr>
        <w:numPr>
          <w:ilvl w:val="0"/>
          <w:numId w:val="1376"/>
        </w:numPr>
        <w:pStyle w:val="Compact"/>
      </w:pPr>
      <w:r>
        <w:t xml:space="preserve">2022 · López-Cano C ·</w:t>
      </w:r>
      <w:r>
        <w:t xml:space="preserve"> </w:t>
      </w:r>
      <w:r>
        <w:rPr>
          <w:iCs/>
          <w:i/>
        </w:rPr>
        <w:t xml:space="preserve">Sci Rep</w:t>
      </w:r>
      <w:r>
        <w:t xml:space="preserve"> </w:t>
      </w:r>
      <w:r>
        <w:t xml:space="preserve">· Dapagliflozin plus exenatide on patients with type 2 diabetes awaiting bariatric surgery in the DEXBASU study. PMID 35217772</w:t>
      </w:r>
    </w:p>
    <w:p>
      <w:pPr>
        <w:numPr>
          <w:ilvl w:val="0"/>
          <w:numId w:val="1376"/>
        </w:numPr>
        <w:pStyle w:val="Compact"/>
      </w:pPr>
      <w:r>
        <w:t xml:space="preserve">2022 · van Ruiten CC ·</w:t>
      </w:r>
      <w:r>
        <w:t xml:space="preserve"> </w:t>
      </w:r>
      <w:r>
        <w:rPr>
          <w:iCs/>
          <w:i/>
        </w:rPr>
        <w:t xml:space="preserve">J Clin Endocrinol Metab</w:t>
      </w:r>
      <w:r>
        <w:t xml:space="preserve"> </w:t>
      </w:r>
      <w:r>
        <w:t xml:space="preserve">· Effects of Dapagliflozin and Combination Therapy With Exenatide on Food-Cue Induced Brain Activation in Patients With Type 2 Diabetes. PMID 35134184</w:t>
      </w:r>
    </w:p>
    <w:p>
      <w:pPr>
        <w:numPr>
          <w:ilvl w:val="0"/>
          <w:numId w:val="1376"/>
        </w:numPr>
        <w:pStyle w:val="Compact"/>
      </w:pPr>
      <w:r>
        <w:t xml:space="preserve">2022 · Shoemaker AH ·</w:t>
      </w:r>
      <w:r>
        <w:t xml:space="preserve"> </w:t>
      </w:r>
      <w:r>
        <w:rPr>
          <w:iCs/>
          <w:i/>
        </w:rPr>
        <w:t xml:space="preserve">Int J Obes (Lond)</w:t>
      </w:r>
      <w:r>
        <w:t xml:space="preserve"> </w:t>
      </w:r>
      <w:r>
        <w:t xml:space="preserve">· Energy balance in hypothalamic obesity in response to treatment with a once-weekly GLP-1 receptor agonist. PMID 34975146</w:t>
      </w:r>
    </w:p>
    <w:p>
      <w:pPr>
        <w:numPr>
          <w:ilvl w:val="0"/>
          <w:numId w:val="1376"/>
        </w:numPr>
        <w:pStyle w:val="Compact"/>
      </w:pPr>
      <w:r>
        <w:t xml:space="preserve">2022 · Ruff CT ·</w:t>
      </w:r>
      <w:r>
        <w:t xml:space="preserve"> </w:t>
      </w:r>
      <w:r>
        <w:rPr>
          <w:iCs/>
          <w:i/>
        </w:rPr>
        <w:t xml:space="preserve">Nat Med</w:t>
      </w:r>
      <w:r>
        <w:t xml:space="preserve"> </w:t>
      </w:r>
      <w:r>
        <w:t xml:space="preserve">· Subcutaneous infusion of exenatide and cardiovascular outcomes in type 2 diabetes: a non-inferiority randomized controlled trial. PMID 34873344</w:t>
      </w:r>
    </w:p>
    <w:p>
      <w:pPr>
        <w:numPr>
          <w:ilvl w:val="0"/>
          <w:numId w:val="1376"/>
        </w:numPr>
        <w:pStyle w:val="Compact"/>
      </w:pPr>
      <w:r>
        <w:t xml:space="preserve">2022 · Johansen NJ ·</w:t>
      </w:r>
      <w:r>
        <w:t xml:space="preserve"> </w:t>
      </w:r>
      <w:r>
        <w:rPr>
          <w:iCs/>
          <w:i/>
        </w:rPr>
        <w:t xml:space="preserve">Diabetes Obes Metab</w:t>
      </w:r>
      <w:r>
        <w:t xml:space="preserve"> </w:t>
      </w:r>
      <w:r>
        <w:t xml:space="preserve">· Effects of short-acting exenatide added three times daily to insulin therapy on bone metabolism in type 1 diabetes. PMID 34617375</w:t>
      </w:r>
    </w:p>
    <w:p>
      <w:pPr>
        <w:numPr>
          <w:ilvl w:val="0"/>
          <w:numId w:val="1376"/>
        </w:numPr>
        <w:pStyle w:val="Compact"/>
      </w:pPr>
      <w:r>
        <w:t xml:space="preserve">2021 · Rodgers M ·</w:t>
      </w:r>
      <w:r>
        <w:t xml:space="preserve"> </w:t>
      </w:r>
      <w:r>
        <w:rPr>
          <w:iCs/>
          <w:i/>
        </w:rPr>
        <w:t xml:space="preserve">Front Endocrinol (Lausanne)</w:t>
      </w:r>
      <w:r>
        <w:t xml:space="preserve"> </w:t>
      </w:r>
      <w:r>
        <w:t xml:space="preserve">· Weight Loss Outcomes Among Early High Responders to Exenatide Treatment: A Randomized, Placebo Controlled Study in Overweight and Obese Women. PMID 34867786</w:t>
      </w:r>
    </w:p>
    <w:p>
      <w:pPr>
        <w:numPr>
          <w:ilvl w:val="0"/>
          <w:numId w:val="1376"/>
        </w:numPr>
        <w:pStyle w:val="Compact"/>
      </w:pPr>
      <w:r>
        <w:t xml:space="preserve">2021 · Ma RL ·</w:t>
      </w:r>
      <w:r>
        <w:t xml:space="preserve"> </w:t>
      </w:r>
      <w:r>
        <w:rPr>
          <w:iCs/>
          <w:i/>
        </w:rPr>
        <w:t xml:space="preserve">Chin Med J (Engl)</w:t>
      </w:r>
      <w:r>
        <w:t xml:space="preserve"> </w:t>
      </w:r>
      <w:r>
        <w:t xml:space="preserve">· Short-term combined treatment with exenatide and metformin for overweight/obese women with polycystic ovary syndrome. PMID 34732660</w:t>
      </w:r>
    </w:p>
    <w:p>
      <w:pPr>
        <w:numPr>
          <w:ilvl w:val="0"/>
          <w:numId w:val="1376"/>
        </w:numPr>
        <w:pStyle w:val="Compact"/>
      </w:pPr>
      <w:r>
        <w:t xml:space="preserve">2021 · Kang C ·</w:t>
      </w:r>
      <w:r>
        <w:t xml:space="preserve"> </w:t>
      </w:r>
      <w:r>
        <w:rPr>
          <w:iCs/>
          <w:i/>
        </w:rPr>
        <w:t xml:space="preserve">Sci Rep</w:t>
      </w:r>
      <w:r>
        <w:t xml:space="preserve"> </w:t>
      </w:r>
      <w:r>
        <w:t xml:space="preserve">· Effects of exenatide on urinary albumin in overweight/obese patients with T2DM: a randomized clinical trial. PMID 34625598</w:t>
      </w:r>
    </w:p>
    <w:p>
      <w:pPr>
        <w:numPr>
          <w:ilvl w:val="0"/>
          <w:numId w:val="1376"/>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6"/>
        </w:numPr>
        <w:pStyle w:val="Compact"/>
      </w:pPr>
      <w:r>
        <w:t xml:space="preserve">2021 · Abdelgani S ·</w:t>
      </w:r>
      <w:r>
        <w:t xml:space="preserve"> </w:t>
      </w:r>
      <w:r>
        <w:rPr>
          <w:iCs/>
          <w:i/>
        </w:rPr>
        <w:t xml:space="preserve">J Clin Endocrinol Metab</w:t>
      </w:r>
      <w:r>
        <w:t xml:space="preserve"> </w:t>
      </w:r>
      <w:r>
        <w:t xml:space="preserve">· Insulin Secretion Predicts the Response to Antidiabetic Therapy in Patients With New-onset Diabetes. PMID 34343296</w:t>
      </w:r>
    </w:p>
    <w:p>
      <w:pPr>
        <w:numPr>
          <w:ilvl w:val="0"/>
          <w:numId w:val="1376"/>
        </w:numPr>
        <w:pStyle w:val="Compact"/>
      </w:pPr>
      <w:r>
        <w:t xml:space="preserve">2021 · Ekinci EI ·</w:t>
      </w:r>
      <w:r>
        <w:t xml:space="preserve"> </w:t>
      </w:r>
      <w:r>
        <w:rPr>
          <w:iCs/>
          <w:i/>
        </w:rPr>
        <w:t xml:space="preserve">Intern Med J</w:t>
      </w:r>
      <w:r>
        <w:t xml:space="preserve"> </w:t>
      </w:r>
      <w:r>
        <w:t xml:space="preserve">· Feasibility of once weekly exenatide-LAR and enhanced diabetes care in Indigenous Australians with type 2 diabetes (Long-acting-Once-Weekly-Exenatide laR-SUGAR,</w:t>
      </w:r>
      <w:r>
        <w:t xml:space="preserve"> </w:t>
      </w:r>
      <w:r>
        <w:t xml:space="preserve">‘</w:t>
      </w:r>
      <w:r>
        <w:t xml:space="preserve">Lower SUGAR</w:t>
      </w:r>
      <w:r>
        <w:t xml:space="preserve">’</w:t>
      </w:r>
      <w:r>
        <w:t xml:space="preserve"> </w:t>
      </w:r>
      <w:r>
        <w:t xml:space="preserve">study). PMID 34142743</w:t>
      </w:r>
    </w:p>
    <w:p>
      <w:pPr>
        <w:numPr>
          <w:ilvl w:val="0"/>
          <w:numId w:val="1376"/>
        </w:numPr>
        <w:pStyle w:val="Compact"/>
      </w:pPr>
      <w:r>
        <w:t xml:space="preserve">2021 · Elkind-Hirsch KE ·</w:t>
      </w:r>
      <w:r>
        <w:t xml:space="preserve"> </w:t>
      </w:r>
      <w:r>
        <w:rPr>
          <w:iCs/>
          <w:i/>
        </w:rPr>
        <w:t xml:space="preserve">J Clin Endocrinol Metab</w:t>
      </w:r>
      <w:r>
        <w:t xml:space="preserve"> </w:t>
      </w:r>
      <w:r>
        <w:t xml:space="preserve">· Exenatide, Dapagliflozin, or Phentermine/Topiramate Differentially Affect Metabolic Profiles in Polycystic Ovary Syndrome. PMID 34097062</w:t>
      </w:r>
    </w:p>
    <w:p>
      <w:pPr>
        <w:numPr>
          <w:ilvl w:val="0"/>
          <w:numId w:val="1376"/>
        </w:numPr>
        <w:pStyle w:val="Compact"/>
      </w:pPr>
      <w:r>
        <w:t xml:space="preserve">2021 · Ponirakis G ·</w:t>
      </w:r>
      <w:r>
        <w:t xml:space="preserve"> </w:t>
      </w:r>
      <w:r>
        <w:rPr>
          <w:iCs/>
          <w:i/>
        </w:rPr>
        <w:t xml:space="preserve">J Diabetes Investig</w:t>
      </w:r>
      <w:r>
        <w:t xml:space="preserve"> </w:t>
      </w:r>
      <w:r>
        <w:t xml:space="preserve">· Insulin resistance limits corneal nerve regeneration in patients with type 2 diabetes undergoing intensive glycemic control. PMID 34002953</w:t>
      </w:r>
    </w:p>
    <w:p>
      <w:pPr>
        <w:numPr>
          <w:ilvl w:val="0"/>
          <w:numId w:val="1376"/>
        </w:numPr>
        <w:pStyle w:val="Compact"/>
      </w:pPr>
      <w:r>
        <w:t xml:space="preserve">2021 · van Ruiten CC ·</w:t>
      </w:r>
      <w:r>
        <w:t xml:space="preserve"> </w:t>
      </w:r>
      <w:r>
        <w:rPr>
          <w:iCs/>
          <w:i/>
        </w:rPr>
        <w:t xml:space="preserve">Diabetes Obes Metab</w:t>
      </w:r>
      <w:r>
        <w:t xml:space="preserve"> </w:t>
      </w:r>
      <w:r>
        <w:t xml:space="preserve">· Effect of exenatide twice daily and dapagliflozin, alone and in combination, on markers of kidney function in obese patients with type 2 diabetes: A prespecified secondary analysis of a randomized controlled clinical trial. PMID 33908691</w:t>
      </w:r>
    </w:p>
    <w:p>
      <w:pPr>
        <w:numPr>
          <w:ilvl w:val="0"/>
          <w:numId w:val="1376"/>
        </w:numPr>
        <w:pStyle w:val="Compact"/>
      </w:pPr>
      <w:r>
        <w:t xml:space="preserve">2021 · Barbery CE ·</w:t>
      </w:r>
      <w:r>
        <w:t xml:space="preserve"> </w:t>
      </w:r>
      <w:r>
        <w:rPr>
          <w:iCs/>
          <w:i/>
        </w:rPr>
        <w:t xml:space="preserve">Am Heart J</w:t>
      </w:r>
      <w:r>
        <w:t xml:space="preserve"> </w:t>
      </w:r>
      <w:r>
        <w:t xml:space="preserve">· Effect of once-weekly exenatide on hospitalization for acute coronary syndrome or coronary revascularization in patients with type 2 diabetes mellitus. PMID 33905751</w:t>
      </w:r>
    </w:p>
    <w:p>
      <w:pPr>
        <w:numPr>
          <w:ilvl w:val="0"/>
          <w:numId w:val="1376"/>
        </w:numPr>
        <w:pStyle w:val="Compact"/>
      </w:pPr>
      <w:r>
        <w:t xml:space="preserve">2021 · Abdelgani S ·</w:t>
      </w:r>
      <w:r>
        <w:t xml:space="preserve"> </w:t>
      </w:r>
      <w:r>
        <w:rPr>
          <w:iCs/>
          <w:i/>
        </w:rPr>
        <w:t xml:space="preserve">Diabetes Obes Metab</w:t>
      </w:r>
      <w:r>
        <w:t xml:space="preserve"> </w:t>
      </w:r>
      <w:r>
        <w:t xml:space="preserve">· Insulin secretion is a strong predictor for need of insulin therapy in patients with new-onset diabetes and HbA1c of more than 10%: A post hoc analysis of the EDICT study. PMID 33852204</w:t>
      </w:r>
    </w:p>
    <w:p>
      <w:pPr>
        <w:numPr>
          <w:ilvl w:val="0"/>
          <w:numId w:val="1376"/>
        </w:numPr>
        <w:pStyle w:val="Compact"/>
      </w:pPr>
      <w:r>
        <w:t xml:space="preserve">2021 · Chen X ·</w:t>
      </w:r>
      <w:r>
        <w:t xml:space="preserve"> </w:t>
      </w:r>
      <w:r>
        <w:rPr>
          <w:iCs/>
          <w:i/>
        </w:rPr>
        <w:t xml:space="preserve">Endocr Pract</w:t>
      </w:r>
      <w:r>
        <w:t xml:space="preserve"> </w:t>
      </w:r>
      <w:r>
        <w:t xml:space="preserve">· Exenatide Twice Daily Plus Glargine Versus Aspart 70/30 Twice Daily in Patients With Type 2 Diabetes With Inadequate Glycemic Control on Premixed Human Insulin and Metformin. PMID 33831552</w:t>
      </w:r>
    </w:p>
    <w:p>
      <w:pPr>
        <w:numPr>
          <w:ilvl w:val="0"/>
          <w:numId w:val="1376"/>
        </w:numPr>
        <w:pStyle w:val="Compact"/>
      </w:pPr>
      <w:r>
        <w:t xml:space="preserve">2021 · Yammine L ·</w:t>
      </w:r>
      <w:r>
        <w:t xml:space="preserve"> </w:t>
      </w:r>
      <w:r>
        <w:rPr>
          <w:iCs/>
          <w:i/>
        </w:rPr>
        <w:t xml:space="preserve">Nicotine Tob Res</w:t>
      </w:r>
      <w:r>
        <w:t xml:space="preserve"> </w:t>
      </w:r>
      <w:r>
        <w:t xml:space="preserve">· Exenatide Adjunct to Nicotine Patch Facilitates Smoking Cessation and May Reduce Post-Cessation Weight Gain: A Pilot Randomized Controlled Trial. PMID 33831213</w:t>
      </w:r>
    </w:p>
    <w:p>
      <w:pPr>
        <w:numPr>
          <w:ilvl w:val="0"/>
          <w:numId w:val="1376"/>
        </w:numPr>
        <w:pStyle w:val="Compact"/>
      </w:pPr>
      <w:r>
        <w:t xml:space="preserve">2021 · Ponirakis G ·</w:t>
      </w:r>
      <w:r>
        <w:t xml:space="preserve"> </w:t>
      </w:r>
      <w:r>
        <w:rPr>
          <w:iCs/>
          <w:i/>
        </w:rPr>
        <w:t xml:space="preserve">J Diabetes Investig</w:t>
      </w:r>
      <w:r>
        <w:t xml:space="preserve"> </w:t>
      </w:r>
      <w:r>
        <w:t xml:space="preserve">· Painful diabetic neuropathy is associated with increased nerve regeneration in patients with type 2 diabetes undergoing intensive glycemic control. PMID 33714226</w:t>
      </w:r>
    </w:p>
    <w:p>
      <w:pPr>
        <w:numPr>
          <w:ilvl w:val="0"/>
          <w:numId w:val="1376"/>
        </w:numPr>
        <w:pStyle w:val="Compact"/>
      </w:pPr>
      <w:r>
        <w:t xml:space="preserve">2021 · Ji L ·</w:t>
      </w:r>
      <w:r>
        <w:t xml:space="preserve"> </w:t>
      </w:r>
      <w:r>
        <w:rPr>
          <w:iCs/>
          <w:i/>
        </w:rPr>
        <w:t xml:space="preserve">Diabetologia</w:t>
      </w:r>
      <w:r>
        <w:t xml:space="preserve"> </w:t>
      </w:r>
      <w:r>
        <w:t xml:space="preserve">· Efficacy and safety of PEGylated exenatide injection (PB-119) in treatment-naive type 2 diabetes mellitus patients: a Phase II randomised, double-blind, parallel, placebo-controlled study. PMID 33687487</w:t>
      </w:r>
    </w:p>
    <w:p>
      <w:pPr>
        <w:numPr>
          <w:ilvl w:val="0"/>
          <w:numId w:val="1376"/>
        </w:numPr>
        <w:pStyle w:val="Compact"/>
      </w:pPr>
      <w:r>
        <w:t xml:space="preserve">2021 · Perez FA ·</w:t>
      </w:r>
      <w:r>
        <w:t xml:space="preserve"> </w:t>
      </w:r>
      <w:r>
        <w:rPr>
          <w:iCs/>
          <w:i/>
        </w:rPr>
        <w:t xml:space="preserve">Diabetes Obes Metab</w:t>
      </w:r>
      <w:r>
        <w:t xml:space="preserve"> </w:t>
      </w:r>
      <w:r>
        <w:t xml:space="preserve">· MRI measures of hypothalamic injury are associated with glucagon-like peptide-1 receptor agonist treatment response in people with hypothalamic obesity. PMID 33651438</w:t>
      </w:r>
    </w:p>
    <w:p>
      <w:pPr>
        <w:numPr>
          <w:ilvl w:val="0"/>
          <w:numId w:val="1376"/>
        </w:numPr>
        <w:pStyle w:val="Compact"/>
      </w:pPr>
      <w:r>
        <w:t xml:space="preserve">2021 · Angarita GA ·</w:t>
      </w:r>
      <w:r>
        <w:t xml:space="preserve"> </w:t>
      </w:r>
      <w:r>
        <w:rPr>
          <w:iCs/>
          <w:i/>
        </w:rPr>
        <w:t xml:space="preserve">Drug Alcohol Depend</w:t>
      </w:r>
      <w:r>
        <w:t xml:space="preserve"> </w:t>
      </w:r>
      <w:r>
        <w:t xml:space="preserve">· Testing the effects of the GLP-1 receptor agonist exenatide on cocaine self-administration and subjective responses in humans with cocaine use disorder. PMID 33621809</w:t>
      </w:r>
    </w:p>
    <w:p>
      <w:pPr>
        <w:numPr>
          <w:ilvl w:val="0"/>
          <w:numId w:val="1376"/>
        </w:numPr>
        <w:pStyle w:val="Compact"/>
      </w:pPr>
      <w:r>
        <w:t xml:space="preserve">2021 · Cui H ·</w:t>
      </w:r>
      <w:r>
        <w:t xml:space="preserve"> </w:t>
      </w:r>
      <w:r>
        <w:rPr>
          <w:iCs/>
          <w:i/>
        </w:rPr>
        <w:t xml:space="preserve">Eur J Drug Metab Pharmacokinet</w:t>
      </w:r>
      <w:r>
        <w:t xml:space="preserve"> </w:t>
      </w:r>
      <w:r>
        <w:t xml:space="preserve">· Safety, Pharmacokinetics and Pharmacodynamics of Multiple Escalating Doses of PEGylated Exenatide (PB-119) in Healthy Volunteers. PMID 33576936</w:t>
      </w:r>
    </w:p>
    <w:p>
      <w:pPr>
        <w:numPr>
          <w:ilvl w:val="0"/>
          <w:numId w:val="1376"/>
        </w:numPr>
        <w:pStyle w:val="Compact"/>
      </w:pPr>
      <w:r>
        <w:t xml:space="preserve">2021 · García Del Blanco B ·</w:t>
      </w:r>
      <w:r>
        <w:t xml:space="preserve"> </w:t>
      </w:r>
      <w:r>
        <w:rPr>
          <w:iCs/>
          <w:i/>
        </w:rPr>
        <w:t xml:space="preserve">Basic Res Cardiol</w:t>
      </w:r>
      <w:r>
        <w:t xml:space="preserve"> </w:t>
      </w:r>
      <w:r>
        <w:t xml:space="preserve">· Effect of COMBinAtion therapy with remote ischemic conditioning and exenatide on the Myocardial Infarct size: a two-by-two factorial randomized trial (COMBAT-MI). PMID 33495853</w:t>
      </w:r>
    </w:p>
    <w:p>
      <w:pPr>
        <w:numPr>
          <w:ilvl w:val="0"/>
          <w:numId w:val="1376"/>
        </w:numPr>
        <w:pStyle w:val="Compact"/>
      </w:pPr>
      <w:r>
        <w:t xml:space="preserve">2021 · Koska J ·</w:t>
      </w:r>
      <w:r>
        <w:t xml:space="preserve"> </w:t>
      </w:r>
      <w:r>
        <w:rPr>
          <w:iCs/>
          <w:i/>
        </w:rPr>
        <w:t xml:space="preserve">Diabetes Care</w:t>
      </w:r>
      <w:r>
        <w:t xml:space="preserve"> </w:t>
      </w:r>
      <w:r>
        <w:t xml:space="preserve">· The Effect of Exenatide Once Weekly on Carotid Atherosclerosis in Individuals With Type 2 Diabetes: An 18-Month Randomized Placebo-Controlled Study. PMID 33495294</w:t>
      </w:r>
    </w:p>
    <w:p>
      <w:pPr>
        <w:numPr>
          <w:ilvl w:val="0"/>
          <w:numId w:val="1376"/>
        </w:numPr>
        <w:pStyle w:val="Compact"/>
      </w:pPr>
      <w:r>
        <w:t xml:space="preserve">2021 · Harreiter J ·</w:t>
      </w:r>
      <w:r>
        <w:t xml:space="preserve"> </w:t>
      </w:r>
      <w:r>
        <w:rPr>
          <w:iCs/>
          <w:i/>
        </w:rPr>
        <w:t xml:space="preserve">Diabetes Obes Metab</w:t>
      </w:r>
      <w:r>
        <w:t xml:space="preserve"> </w:t>
      </w:r>
      <w:r>
        <w:t xml:space="preserve">· Combined exenatide and dapagliflozin has no additive effects on reduction of hepatocellular lipids despite better glycaemic control in patients with type 2 diabetes mellitus treated with metformin: EXENDA, a 24-week, prospective, randomized, placebo-controlled pilot trial. PMID 33464703</w:t>
      </w:r>
    </w:p>
    <w:p>
      <w:pPr>
        <w:numPr>
          <w:ilvl w:val="0"/>
          <w:numId w:val="1376"/>
        </w:numPr>
        <w:pStyle w:val="Compact"/>
      </w:pPr>
      <w:r>
        <w:t xml:space="preserve">2021 · Yang K ·</w:t>
      </w:r>
      <w:r>
        <w:t xml:space="preserve"> </w:t>
      </w:r>
      <w:r>
        <w:rPr>
          <w:iCs/>
          <w:i/>
        </w:rPr>
        <w:t xml:space="preserve">Acta Diabetol</w:t>
      </w:r>
      <w:r>
        <w:t xml:space="preserve"> </w:t>
      </w:r>
      <w:r>
        <w:t xml:space="preserve">· High baseline FGF21 levels are associated with poor glucose-lowering efficacy of exenatide in patients with type 2 diabetes. PMID 33452595</w:t>
      </w:r>
    </w:p>
    <w:p>
      <w:pPr>
        <w:numPr>
          <w:ilvl w:val="0"/>
          <w:numId w:val="1376"/>
        </w:numPr>
        <w:pStyle w:val="Compact"/>
      </w:pPr>
      <w:r>
        <w:t xml:space="preserve">2021 · Abdul-Ghani M ·</w:t>
      </w:r>
      <w:r>
        <w:t xml:space="preserve"> </w:t>
      </w:r>
      <w:r>
        <w:rPr>
          <w:iCs/>
          <w:i/>
        </w:rPr>
        <w:t xml:space="preserve">Diabetes Care</w:t>
      </w:r>
      <w:r>
        <w:t xml:space="preserve"> </w:t>
      </w:r>
      <w:r>
        <w:t xml:space="preserve">· Durability of Triple Combination Therapy Versus Stepwise Addition Therapy in Patients With New-Onset T2DM: 3-Year Follow-up of EDICT. PMID 33273042</w:t>
      </w:r>
    </w:p>
    <w:p>
      <w:pPr>
        <w:numPr>
          <w:ilvl w:val="0"/>
          <w:numId w:val="1376"/>
        </w:numPr>
        <w:pStyle w:val="Compact"/>
      </w:pPr>
      <w:r>
        <w:t xml:space="preserve">2021 · Östlund Papadogeorgos N ·</w:t>
      </w:r>
      <w:r>
        <w:t xml:space="preserve"> </w:t>
      </w:r>
      <w:r>
        <w:rPr>
          <w:iCs/>
          <w:i/>
        </w:rPr>
        <w:t xml:space="preserve">Microcirculation</w:t>
      </w:r>
      <w:r>
        <w:t xml:space="preserve"> </w:t>
      </w:r>
      <w:r>
        <w:t xml:space="preserve">· Effects of exenatide on microvascular reactivity in patients with type 2 diabetes and coronary artery disease: A randomized controlled study. PMID 33151597</w:t>
      </w:r>
    </w:p>
    <w:p>
      <w:pPr>
        <w:numPr>
          <w:ilvl w:val="0"/>
          <w:numId w:val="1376"/>
        </w:numPr>
        <w:pStyle w:val="Compact"/>
      </w:pPr>
      <w:r>
        <w:t xml:space="preserve">2021 · Joubert M ·</w:t>
      </w:r>
      <w:r>
        <w:t xml:space="preserve"> </w:t>
      </w:r>
      <w:r>
        <w:rPr>
          <w:iCs/>
          <w:i/>
        </w:rPr>
        <w:t xml:space="preserve">Diabetes Obes Metab</w:t>
      </w:r>
      <w:r>
        <w:t xml:space="preserve"> </w:t>
      </w:r>
      <w:r>
        <w:t xml:space="preserve">· Efficacy and safety of exenatide as add-on therapy for patients with type 2 diabetes with an intensive insulin regimen: A randomized double-blind trial. PMID 33043591</w:t>
      </w:r>
    </w:p>
    <w:p>
      <w:pPr>
        <w:numPr>
          <w:ilvl w:val="0"/>
          <w:numId w:val="1376"/>
        </w:numPr>
        <w:pStyle w:val="Compact"/>
      </w:pPr>
      <w:r>
        <w:t xml:space="preserve">2021 · Roth CL ·</w:t>
      </w:r>
      <w:r>
        <w:t xml:space="preserve"> </w:t>
      </w:r>
      <w:r>
        <w:rPr>
          <w:iCs/>
          <w:i/>
        </w:rPr>
        <w:t xml:space="preserve">Diabetes Obes Metab</w:t>
      </w:r>
      <w:r>
        <w:t xml:space="preserve"> </w:t>
      </w:r>
      <w:r>
        <w:t xml:space="preserve">· A phase 3 randomized clinical trial using a once-weekly glucagon-like peptide-1 receptor agonist in adolescents and young adults with hypothalamic obesity. PMID 33026160</w:t>
      </w:r>
    </w:p>
    <w:p>
      <w:pPr>
        <w:numPr>
          <w:ilvl w:val="0"/>
          <w:numId w:val="1376"/>
        </w:numPr>
        <w:pStyle w:val="Compact"/>
      </w:pPr>
      <w:r>
        <w:t xml:space="preserve">2021 · Tao T ·</w:t>
      </w:r>
      <w:r>
        <w:t xml:space="preserve"> </w:t>
      </w:r>
      <w:r>
        <w:rPr>
          <w:iCs/>
          <w:i/>
        </w:rPr>
        <w:t xml:space="preserve">J Clin Endocrinol Metab</w:t>
      </w:r>
      <w:r>
        <w:t xml:space="preserve"> </w:t>
      </w:r>
      <w:r>
        <w:t xml:space="preserve">· Exenatide, Metformin, or Both for Prediabetes in PCOS: A Randomized, Open-label, Parallel-group Controlled Study. PMID 32995892</w:t>
      </w:r>
    </w:p>
    <w:p>
      <w:pPr>
        <w:numPr>
          <w:ilvl w:val="0"/>
          <w:numId w:val="1376"/>
        </w:numPr>
        <w:pStyle w:val="Compact"/>
      </w:pPr>
      <w:r>
        <w:t xml:space="preserve">2020 · Wysham CH ·</w:t>
      </w:r>
      <w:r>
        <w:t xml:space="preserve"> </w:t>
      </w:r>
      <w:r>
        <w:rPr>
          <w:iCs/>
          <w:i/>
        </w:rPr>
        <w:t xml:space="preserve">BMJ Open Diabetes Res Care</w:t>
      </w:r>
      <w:r>
        <w:t xml:space="preserve"> </w:t>
      </w:r>
      <w:r>
        <w:t xml:space="preserve">· Further improvement in glycemic control after switching from exenatide two times per day to exenatide once-weekly autoinjected suspension in patients with type 2 diabetes: 52-week results from the DURATION-NEO-1 study. PMID 33037036</w:t>
      </w:r>
    </w:p>
    <w:p>
      <w:pPr>
        <w:numPr>
          <w:ilvl w:val="0"/>
          <w:numId w:val="1376"/>
        </w:numPr>
        <w:pStyle w:val="Compact"/>
      </w:pPr>
      <w:r>
        <w:t xml:space="preserve">2020 · Wang X ·</w:t>
      </w:r>
      <w:r>
        <w:t xml:space="preserve"> </w:t>
      </w:r>
      <w:r>
        <w:rPr>
          <w:iCs/>
          <w:i/>
        </w:rPr>
        <w:t xml:space="preserve">Am J Nephrol</w:t>
      </w:r>
      <w:r>
        <w:t xml:space="preserve"> </w:t>
      </w:r>
      <w:r>
        <w:t xml:space="preserve">· Exenatide and Renal Outcomes in Patients with Type 2 Diabetes and Diabetic Kidney Disease. PMID 32966971</w:t>
      </w:r>
    </w:p>
    <w:p>
      <w:pPr>
        <w:numPr>
          <w:ilvl w:val="0"/>
          <w:numId w:val="1376"/>
        </w:numPr>
        <w:pStyle w:val="Compact"/>
      </w:pPr>
      <w:r>
        <w:t xml:space="preserve">2020 · Jabbour SA ·</w:t>
      </w:r>
      <w:r>
        <w:t xml:space="preserve"> </w:t>
      </w:r>
      <w:r>
        <w:rPr>
          <w:iCs/>
          <w:i/>
        </w:rPr>
        <w:t xml:space="preserve">Diabetes Care</w:t>
      </w:r>
      <w:r>
        <w:t xml:space="preserve"> </w:t>
      </w:r>
      <w:r>
        <w:t xml:space="preserve">· Efficacy and Safety Over 2 Years of Exenatide Plus Dapagliflozin in the DURATION-8 Study: A Multicenter, Double-Blind, Phase 3, Randomized Controlled Trial. PMID 32816874</w:t>
      </w:r>
    </w:p>
    <w:p>
      <w:pPr>
        <w:numPr>
          <w:ilvl w:val="0"/>
          <w:numId w:val="1376"/>
        </w:numPr>
        <w:pStyle w:val="Compact"/>
      </w:pPr>
      <w:r>
        <w:t xml:space="preserve">2020 · Abdul-Ghani M ·</w:t>
      </w:r>
      <w:r>
        <w:t xml:space="preserve"> </w:t>
      </w:r>
      <w:r>
        <w:rPr>
          <w:iCs/>
          <w:i/>
        </w:rPr>
        <w:t xml:space="preserve">Diabetes Obes Metab</w:t>
      </w:r>
      <w:r>
        <w:t xml:space="preserve"> </w:t>
      </w:r>
      <w:r>
        <w:t xml:space="preserve">· Combination therapy with pioglitazone/exenatide improves beta-cell function and produces superior glycaemic control compared with basal/bolus insulin in poorly controlled type 2 diabetes: A 3-year follow-up of the Qatar study. PMID 32729222</w:t>
      </w:r>
    </w:p>
    <w:p>
      <w:pPr>
        <w:numPr>
          <w:ilvl w:val="0"/>
          <w:numId w:val="1376"/>
        </w:numPr>
        <w:pStyle w:val="Compact"/>
      </w:pPr>
      <w:r>
        <w:t xml:space="preserve">2020 · Ponirakis G ·</w:t>
      </w:r>
      <w:r>
        <w:t xml:space="preserve"> </w:t>
      </w:r>
      <w:r>
        <w:rPr>
          <w:iCs/>
          <w:i/>
        </w:rPr>
        <w:t xml:space="preserve">BMJ Open Diabetes Res Care</w:t>
      </w:r>
      <w:r>
        <w:t xml:space="preserve"> </w:t>
      </w:r>
      <w:r>
        <w:t xml:space="preserve">· Effect of treatment with exenatide and pioglitazone or basal-bolus insulin on diabetic neuropathy: a substudy of the Qatar Study. PMID 32576561</w:t>
      </w:r>
    </w:p>
    <w:p>
      <w:pPr>
        <w:numPr>
          <w:ilvl w:val="0"/>
          <w:numId w:val="1376"/>
        </w:numPr>
        <w:pStyle w:val="Compact"/>
      </w:pPr>
      <w:r>
        <w:t xml:space="preserve">2020 · Herold KC ·</w:t>
      </w:r>
      <w:r>
        <w:t xml:space="preserve"> </w:t>
      </w:r>
      <w:r>
        <w:rPr>
          <w:iCs/>
          <w:i/>
        </w:rPr>
        <w:t xml:space="preserve">Diabetes Obes Metab</w:t>
      </w:r>
      <w:r>
        <w:t xml:space="preserve"> </w:t>
      </w:r>
      <w:r>
        <w:t xml:space="preserve">· Exenatide extended release in patients with type 1 diabetes with and without residual insulin production. PMID 32573927</w:t>
      </w:r>
    </w:p>
    <w:p>
      <w:pPr>
        <w:numPr>
          <w:ilvl w:val="0"/>
          <w:numId w:val="1376"/>
        </w:numPr>
        <w:pStyle w:val="Compact"/>
      </w:pPr>
      <w:r>
        <w:t xml:space="preserve">2020 · Wang X ·</w:t>
      </w:r>
      <w:r>
        <w:t xml:space="preserve"> </w:t>
      </w:r>
      <w:r>
        <w:rPr>
          <w:iCs/>
          <w:i/>
        </w:rPr>
        <w:t xml:space="preserve">J Diabetes Res</w:t>
      </w:r>
      <w:r>
        <w:t xml:space="preserve"> </w:t>
      </w:r>
      <w:r>
        <w:t xml:space="preserve">· Effects of Exenatide and Humalog Mix25 on Fat Distribution, Insulin Sensitivity, and β-Cell Function in Normal BMI Patients with Type 2 Diabetes and Visceral Adiposity. PMID 32566685</w:t>
      </w:r>
    </w:p>
    <w:p>
      <w:pPr>
        <w:numPr>
          <w:ilvl w:val="0"/>
          <w:numId w:val="1376"/>
        </w:numPr>
        <w:pStyle w:val="Compact"/>
      </w:pPr>
      <w:r>
        <w:t xml:space="preserve">2020 · Johansen NJ ·</w:t>
      </w:r>
      <w:r>
        <w:t xml:space="preserve"> </w:t>
      </w:r>
      <w:r>
        <w:rPr>
          <w:iCs/>
          <w:i/>
        </w:rPr>
        <w:t xml:space="preserve">Diabetes Obes Metab</w:t>
      </w:r>
      <w:r>
        <w:t xml:space="preserve"> </w:t>
      </w:r>
      <w:r>
        <w:t xml:space="preserve">· Effect of short-acting exenatide administered three times daily on markers of cardiovascular disease in type 1 diabetes: A randomized double-blind placebo-controlled trial. PMID 32543021</w:t>
      </w:r>
    </w:p>
    <w:p>
      <w:pPr>
        <w:numPr>
          <w:ilvl w:val="0"/>
          <w:numId w:val="1376"/>
        </w:numPr>
        <w:pStyle w:val="Compact"/>
      </w:pPr>
      <w:r>
        <w:t xml:space="preserve">2020 · Li B ·</w:t>
      </w:r>
      <w:r>
        <w:t xml:space="preserve"> </w:t>
      </w:r>
      <w:r>
        <w:rPr>
          <w:iCs/>
          <w:i/>
        </w:rPr>
        <w:t xml:space="preserve">BMC Pharmacol Toxicol</w:t>
      </w:r>
      <w:r>
        <w:t xml:space="preserve"> </w:t>
      </w:r>
      <w:r>
        <w:t xml:space="preserve">· The effect of exenatide on fasting bile acids in newly diagnosed type 2 diabetes mellitus patients, a pilot study. PMID 32539783</w:t>
      </w:r>
    </w:p>
    <w:p>
      <w:pPr>
        <w:numPr>
          <w:ilvl w:val="0"/>
          <w:numId w:val="1376"/>
        </w:numPr>
        <w:pStyle w:val="Compact"/>
      </w:pPr>
      <w:r>
        <w:t xml:space="preserve">2020 · Zhang J ·</w:t>
      </w:r>
      <w:r>
        <w:t xml:space="preserve"> </w:t>
      </w:r>
      <w:r>
        <w:rPr>
          <w:iCs/>
          <w:i/>
        </w:rPr>
        <w:t xml:space="preserve">Cardiovasc Diabetol</w:t>
      </w:r>
      <w:r>
        <w:t xml:space="preserve"> </w:t>
      </w:r>
      <w:r>
        <w:t xml:space="preserve">· Comparison of the effects of twice-daily exenatide and insulin on carotid intima-media thickness in type 2 diabetes mellitus patients: a 52-week randomized, open-label, controlled trial. PMID 32334592</w:t>
      </w:r>
    </w:p>
    <w:p>
      <w:pPr>
        <w:numPr>
          <w:ilvl w:val="0"/>
          <w:numId w:val="1376"/>
        </w:numPr>
        <w:pStyle w:val="Compact"/>
      </w:pPr>
      <w:r>
        <w:t xml:space="preserve">2020 · van der Aart-van der Beek AB ·</w:t>
      </w:r>
      <w:r>
        <w:t xml:space="preserve"> </w:t>
      </w:r>
      <w:r>
        <w:rPr>
          <w:iCs/>
          <w:i/>
        </w:rPr>
        <w:t xml:space="preserve">Diabetes Obes Metab</w:t>
      </w:r>
      <w:r>
        <w:t xml:space="preserve"> </w:t>
      </w:r>
      <w:r>
        <w:t xml:space="preserve">· Exenatide once weekly decreases urinary albumin excretion in patients with type 2 diabetes and elevated albuminuria: Pooled analysis of randomized active controlled clinical trials. PMID 32329160</w:t>
      </w:r>
    </w:p>
    <w:p>
      <w:pPr>
        <w:numPr>
          <w:ilvl w:val="0"/>
          <w:numId w:val="1376"/>
        </w:numPr>
        <w:pStyle w:val="Compact"/>
      </w:pPr>
      <w:r>
        <w:t xml:space="preserve">2020 · Hamidi V ·</w:t>
      </w:r>
      <w:r>
        <w:t xml:space="preserve"> </w:t>
      </w:r>
      <w:r>
        <w:rPr>
          <w:iCs/>
          <w:i/>
        </w:rPr>
        <w:t xml:space="preserve">Metab Syndr Relat Disord</w:t>
      </w:r>
      <w:r>
        <w:t xml:space="preserve"> </w:t>
      </w:r>
      <w:r>
        <w:t xml:space="preserve">· Acute Exenatide Therapy Attenuates Postprandial Vasodilation in Humans with Prediabetes: A Randomized Controlled Trial. PMID 32228379</w:t>
      </w:r>
    </w:p>
    <w:p>
      <w:pPr>
        <w:numPr>
          <w:ilvl w:val="0"/>
          <w:numId w:val="1376"/>
        </w:numPr>
        <w:pStyle w:val="Compact"/>
      </w:pPr>
      <w:r>
        <w:t xml:space="preserve">2020 · Yang J ·</w:t>
      </w:r>
      <w:r>
        <w:t xml:space="preserve"> </w:t>
      </w:r>
      <w:r>
        <w:rPr>
          <w:iCs/>
          <w:i/>
        </w:rPr>
        <w:t xml:space="preserve">Acta Diabetol</w:t>
      </w:r>
      <w:r>
        <w:t xml:space="preserve"> </w:t>
      </w:r>
      <w:r>
        <w:t xml:space="preserve">· Efficacy and safety of generic exenatide injection in Chinese patients with type 2 diabetes: a multicenter, randomized, controlled, non-inferiority trial. PMID 32206903</w:t>
      </w:r>
    </w:p>
    <w:p>
      <w:pPr>
        <w:numPr>
          <w:ilvl w:val="0"/>
          <w:numId w:val="1376"/>
        </w:numPr>
        <w:pStyle w:val="Compact"/>
      </w:pPr>
      <w:r>
        <w:t xml:space="preserve">2020 · Johansen NJ ·</w:t>
      </w:r>
      <w:r>
        <w:t xml:space="preserve"> </w:t>
      </w:r>
      <w:r>
        <w:rPr>
          <w:iCs/>
          <w:i/>
        </w:rPr>
        <w:t xml:space="preserve">Lancet Diabetes Endocrinol</w:t>
      </w:r>
      <w:r>
        <w:t xml:space="preserve"> </w:t>
      </w:r>
      <w:r>
        <w:t xml:space="preserve">· Efficacy and safety of meal-time administration of short-acting exenatide for glycaemic control in type 1 diabetes (MAG1C): a randomised, double-blind, placebo-controlled trial. PMID 32135138</w:t>
      </w:r>
    </w:p>
    <w:p>
      <w:pPr>
        <w:numPr>
          <w:ilvl w:val="0"/>
          <w:numId w:val="1376"/>
        </w:numPr>
        <w:pStyle w:val="Compact"/>
      </w:pPr>
      <w:r>
        <w:t xml:space="preserve">2020 · Bethel MA ·</w:t>
      </w:r>
      <w:r>
        <w:t xml:space="preserve"> </w:t>
      </w:r>
      <w:r>
        <w:rPr>
          <w:iCs/>
          <w:i/>
        </w:rPr>
        <w:t xml:space="preserve">Circulation</w:t>
      </w:r>
      <w:r>
        <w:t xml:space="preserve"> </w:t>
      </w:r>
      <w:r>
        <w:t xml:space="preserve">· Exploring the Possible Impact of Unbalanced Open-Label Drop-In of Glucose-Lowering Medications on EXSCEL Outcomes. PMID 32098501</w:t>
      </w:r>
    </w:p>
    <w:p>
      <w:pPr>
        <w:numPr>
          <w:ilvl w:val="0"/>
          <w:numId w:val="1376"/>
        </w:numPr>
        <w:pStyle w:val="Compact"/>
      </w:pPr>
      <w:r>
        <w:t xml:space="preserve">2020 · Siskind D ·</w:t>
      </w:r>
      <w:r>
        <w:t xml:space="preserve"> </w:t>
      </w:r>
      <w:r>
        <w:rPr>
          <w:iCs/>
          <w:i/>
        </w:rPr>
        <w:t xml:space="preserve">J Psychiatr Res</w:t>
      </w:r>
      <w:r>
        <w:t xml:space="preserve"> </w:t>
      </w:r>
      <w:r>
        <w:t xml:space="preserve">· Metabolic measures 12 months after a randomised controlled trial of treatment of clozapine associated obesity and diabetes with exenatide (CODEX). PMID 32087425</w:t>
      </w:r>
    </w:p>
    <w:p>
      <w:pPr>
        <w:numPr>
          <w:ilvl w:val="0"/>
          <w:numId w:val="1376"/>
        </w:numPr>
        <w:pStyle w:val="Compact"/>
      </w:pPr>
      <w:r>
        <w:t xml:space="preserve">2020 · Weghuber D ·</w:t>
      </w:r>
      <w:r>
        <w:t xml:space="preserve"> </w:t>
      </w:r>
      <w:r>
        <w:rPr>
          <w:iCs/>
          <w:i/>
        </w:rPr>
        <w:t xml:space="preserve">Pediatr Obes</w:t>
      </w:r>
      <w:r>
        <w:t xml:space="preserve"> </w:t>
      </w:r>
      <w:r>
        <w:t xml:space="preserve">· A 6-month randomized, double-blind, placebo-controlled trial of weekly exenatide in adolescents with obesity. PMID 32062862</w:t>
      </w:r>
    </w:p>
    <w:p>
      <w:pPr>
        <w:numPr>
          <w:ilvl w:val="0"/>
          <w:numId w:val="1376"/>
        </w:numPr>
        <w:pStyle w:val="Compact"/>
      </w:pPr>
      <w:r>
        <w:t xml:space="preserve">2020 · Cui H ·</w:t>
      </w:r>
      <w:r>
        <w:t xml:space="preserve"> </w:t>
      </w:r>
      <w:r>
        <w:rPr>
          <w:iCs/>
          <w:i/>
        </w:rPr>
        <w:t xml:space="preserve">Eur J Drug Metab Pharmacokinet</w:t>
      </w:r>
      <w:r>
        <w:t xml:space="preserve"> </w:t>
      </w:r>
      <w:r>
        <w:t xml:space="preserve">· Safety, Tolerability and Pharmacokinetics of Single Dose Polyethylene Glycolated Exenatide Injection (PB-119) in Healthy Volunteers. PMID 32006325</w:t>
      </w:r>
    </w:p>
    <w:p>
      <w:pPr>
        <w:numPr>
          <w:ilvl w:val="0"/>
          <w:numId w:val="1376"/>
        </w:numPr>
        <w:pStyle w:val="Compact"/>
      </w:pPr>
      <w:r>
        <w:t xml:space="preserve">2020 · Janssen LGM ·</w:t>
      </w:r>
      <w:r>
        <w:t xml:space="preserve"> </w:t>
      </w:r>
      <w:r>
        <w:rPr>
          <w:iCs/>
          <w:i/>
        </w:rPr>
        <w:t xml:space="preserve">Metabolism</w:t>
      </w:r>
      <w:r>
        <w:t xml:space="preserve"> </w:t>
      </w:r>
      <w:r>
        <w:t xml:space="preserve">· Twelve weeks of exenatide treatment increases [(18)F]fluorodeoxyglucose uptake by brown adipose tissue without affecting oxidative resting energy expenditure in nondiabetic males. PMID 31982480</w:t>
      </w:r>
    </w:p>
    <w:p>
      <w:pPr>
        <w:numPr>
          <w:ilvl w:val="0"/>
          <w:numId w:val="1376"/>
        </w:numPr>
        <w:pStyle w:val="Compact"/>
      </w:pPr>
      <w:r>
        <w:t xml:space="preserve">2020 · Liu L ·</w:t>
      </w:r>
      <w:r>
        <w:t xml:space="preserve"> </w:t>
      </w:r>
      <w:r>
        <w:rPr>
          <w:iCs/>
          <w:i/>
        </w:rPr>
        <w:t xml:space="preserve">Diabetes Metab Res Rev</w:t>
      </w:r>
      <w:r>
        <w:t xml:space="preserve"> </w:t>
      </w:r>
      <w:r>
        <w:t xml:space="preserve">· Efficacy of exenatide and insulin glargine on nonalcoholic fatty liver disease in patients with type 2 diabetes. PMID 31955491</w:t>
      </w:r>
    </w:p>
    <w:p>
      <w:pPr>
        <w:numPr>
          <w:ilvl w:val="0"/>
          <w:numId w:val="1376"/>
        </w:numPr>
        <w:pStyle w:val="Compact"/>
      </w:pPr>
      <w:r>
        <w:t xml:space="preserve">2020 · Idzerda NMA ·</w:t>
      </w:r>
      <w:r>
        <w:t xml:space="preserve"> </w:t>
      </w:r>
      <w:r>
        <w:rPr>
          <w:iCs/>
          <w:i/>
        </w:rPr>
        <w:t xml:space="preserve">Diabetes Obes Metab</w:t>
      </w:r>
      <w:r>
        <w:t xml:space="preserve"> </w:t>
      </w:r>
      <w:r>
        <w:t xml:space="preserve">· Prediction and validation of exenatide risk marker effects on progression of renal disease: Insights from EXSCEL. PMID 31912603</w:t>
      </w:r>
    </w:p>
    <w:p>
      <w:pPr>
        <w:numPr>
          <w:ilvl w:val="0"/>
          <w:numId w:val="1376"/>
        </w:numPr>
        <w:pStyle w:val="Compact"/>
      </w:pPr>
      <w:r>
        <w:t xml:space="preserve">2020 · Jones KL ·</w:t>
      </w:r>
      <w:r>
        <w:t xml:space="preserve"> </w:t>
      </w:r>
      <w:r>
        <w:rPr>
          <w:iCs/>
          <w:i/>
        </w:rPr>
        <w:t xml:space="preserve">Diabetes Obes Metab</w:t>
      </w:r>
      <w:r>
        <w:t xml:space="preserve"> </w:t>
      </w:r>
      <w:r>
        <w:t xml:space="preserve">· Exenatide once weekly slows gastric emptying of solids and liquids in healthy, overweight people at steady-state concentrations. PMID 31903712</w:t>
      </w:r>
    </w:p>
    <w:p>
      <w:pPr>
        <w:numPr>
          <w:ilvl w:val="0"/>
          <w:numId w:val="1376"/>
        </w:numPr>
        <w:pStyle w:val="Compact"/>
      </w:pPr>
      <w:r>
        <w:t xml:space="preserve">2020 · Standl E ·</w:t>
      </w:r>
      <w:r>
        <w:t xml:space="preserve"> </w:t>
      </w:r>
      <w:r>
        <w:rPr>
          <w:iCs/>
          <w:i/>
        </w:rPr>
        <w:t xml:space="preserve">Diabetes Care</w:t>
      </w:r>
      <w:r>
        <w:t xml:space="preserve"> </w:t>
      </w:r>
      <w:r>
        <w:t xml:space="preserve">· Confirming the Bidirectional Nature of the Association Between Severe Hypoglycemic and Cardiovascular Events in Type 2 Diabetes: Insights From EXSCEL. PMID 31882409</w:t>
      </w:r>
    </w:p>
    <w:p>
      <w:pPr>
        <w:numPr>
          <w:ilvl w:val="0"/>
          <w:numId w:val="1376"/>
        </w:numPr>
        <w:pStyle w:val="Compact"/>
      </w:pPr>
      <w:r>
        <w:t xml:space="preserve">2020 · Reed SD ·</w:t>
      </w:r>
      <w:r>
        <w:t xml:space="preserve"> </w:t>
      </w:r>
      <w:r>
        <w:rPr>
          <w:iCs/>
          <w:i/>
        </w:rPr>
        <w:t xml:space="preserve">Diabetes Care</w:t>
      </w:r>
      <w:r>
        <w:t xml:space="preserve"> </w:t>
      </w:r>
      <w:r>
        <w:t xml:space="preserve">· Within-Trial Evaluation of Medical Resources, Costs, and Quality of Life Among Patients With Type 2 Diabetes Participating in the Exenatide Study of Cardiovascular Event Lowering (EXSCEL). PMID 31806653</w:t>
      </w:r>
    </w:p>
    <w:p>
      <w:pPr>
        <w:numPr>
          <w:ilvl w:val="0"/>
          <w:numId w:val="1376"/>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6"/>
        </w:numPr>
        <w:pStyle w:val="Compact"/>
      </w:pPr>
      <w:r>
        <w:t xml:space="preserve">2020 · Bethel MA ·</w:t>
      </w:r>
      <w:r>
        <w:t xml:space="preserve"> </w:t>
      </w:r>
      <w:r>
        <w:rPr>
          <w:iCs/>
          <w:i/>
        </w:rPr>
        <w:t xml:space="preserve">Diabetes Care</w:t>
      </w:r>
      <w:r>
        <w:t xml:space="preserve"> </w:t>
      </w:r>
      <w:r>
        <w:t xml:space="preserve">· Microvascular and Cardiovascular Outcomes According to Renal Function in Patients Treated With Once-Weekly Exenatide: Insights From the EXSCEL Trial. PMID 31757838</w:t>
      </w:r>
    </w:p>
    <w:p>
      <w:pPr>
        <w:numPr>
          <w:ilvl w:val="0"/>
          <w:numId w:val="1376"/>
        </w:numPr>
        <w:pStyle w:val="Compact"/>
      </w:pPr>
      <w:r>
        <w:t xml:space="preserve">2020 · Gastaldelli A ·</w:t>
      </w:r>
      <w:r>
        <w:t xml:space="preserve"> </w:t>
      </w:r>
      <w:r>
        <w:rPr>
          <w:iCs/>
          <w:i/>
        </w:rPr>
        <w:t xml:space="preserve">Diabetes Obes Metab</w:t>
      </w:r>
      <w:r>
        <w:t xml:space="preserve"> </w:t>
      </w:r>
      <w:r>
        <w:t xml:space="preserve">· Exenatide and dapagliflozin combination improves markers of liver steatosis and fibrosis in patients with type 2 diabetes. PMID 31692226</w:t>
      </w:r>
    </w:p>
    <w:p>
      <w:pPr>
        <w:numPr>
          <w:ilvl w:val="0"/>
          <w:numId w:val="1376"/>
        </w:numPr>
        <w:pStyle w:val="Compact"/>
      </w:pPr>
      <w:r>
        <w:t xml:space="preserve">2020 · Watanabe Y ·</w:t>
      </w:r>
      <w:r>
        <w:t xml:space="preserve"> </w:t>
      </w:r>
      <w:r>
        <w:rPr>
          <w:iCs/>
          <w:i/>
        </w:rPr>
        <w:t xml:space="preserve">J Diabetes Investig</w:t>
      </w:r>
      <w:r>
        <w:t xml:space="preserve"> </w:t>
      </w:r>
      <w:r>
        <w:t xml:space="preserve">· Efficacy and safety of once-weekly exenatide after switching from twice-daily exenatide in patients with type 2 diabetes. PMID 31518492</w:t>
      </w:r>
    </w:p>
    <w:p>
      <w:pPr>
        <w:numPr>
          <w:ilvl w:val="0"/>
          <w:numId w:val="1376"/>
        </w:numPr>
        <w:pStyle w:val="Compact"/>
      </w:pPr>
      <w:r>
        <w:t xml:space="preserve">2020 · Ferrannini E ·</w:t>
      </w:r>
      <w:r>
        <w:t xml:space="preserve"> </w:t>
      </w:r>
      <w:r>
        <w:rPr>
          <w:iCs/>
          <w:i/>
        </w:rPr>
        <w:t xml:space="preserve">Diabetes Obes Metab</w:t>
      </w:r>
      <w:r>
        <w:t xml:space="preserve"> </w:t>
      </w:r>
      <w:r>
        <w:t xml:space="preserve">· Hormone-substrate changes with exenatide plus dapagliflozin versus each drug alone: The randomized, active-controlled DURATION-8 study. PMID 31469220</w:t>
      </w:r>
    </w:p>
    <w:p>
      <w:pPr>
        <w:numPr>
          <w:ilvl w:val="0"/>
          <w:numId w:val="1376"/>
        </w:numPr>
        <w:pStyle w:val="Compact"/>
      </w:pPr>
      <w:r>
        <w:t xml:space="preserve">2019 · Badjatiya A ·</w:t>
      </w:r>
      <w:r>
        <w:t xml:space="preserve"> </w:t>
      </w:r>
      <w:r>
        <w:rPr>
          <w:iCs/>
          <w:i/>
        </w:rPr>
        <w:t xml:space="preserve">Circ Cardiovasc Interv</w:t>
      </w:r>
      <w:r>
        <w:t xml:space="preserve"> </w:t>
      </w:r>
      <w:r>
        <w:t xml:space="preserve">· Clinical Outcomes in Patients With Type 2 Diabetes Mellitus and Peripheral Artery Disease: Results From the EXSCEL Trial. PMID 31752517</w:t>
      </w:r>
    </w:p>
    <w:p>
      <w:pPr>
        <w:numPr>
          <w:ilvl w:val="0"/>
          <w:numId w:val="1376"/>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6"/>
        </w:numPr>
        <w:pStyle w:val="Compact"/>
      </w:pPr>
      <w:r>
        <w:t xml:space="preserve">2019 · Larsson M ·</w:t>
      </w:r>
      <w:r>
        <w:t xml:space="preserve"> </w:t>
      </w:r>
      <w:r>
        <w:rPr>
          <w:iCs/>
          <w:i/>
        </w:rPr>
        <w:t xml:space="preserve">Acta Neurol Scand</w:t>
      </w:r>
      <w:r>
        <w:t xml:space="preserve"> </w:t>
      </w:r>
      <w:r>
        <w:t xml:space="preserve">· Prehospital exenatide in hyperglycemic stroke-A randomized trial. PMID 31518433</w:t>
      </w:r>
    </w:p>
    <w:p>
      <w:pPr>
        <w:numPr>
          <w:ilvl w:val="0"/>
          <w:numId w:val="1376"/>
        </w:numPr>
        <w:pStyle w:val="Compact"/>
      </w:pPr>
      <w:r>
        <w:t xml:space="preserve">2019 · Mullins RJ ·</w:t>
      </w:r>
      <w:r>
        <w:t xml:space="preserve"> </w:t>
      </w:r>
      <w:r>
        <w:rPr>
          <w:iCs/>
          <w:i/>
        </w:rPr>
        <w:t xml:space="preserve">Curr Alzheimer Res</w:t>
      </w:r>
      <w:r>
        <w:t xml:space="preserve"> </w:t>
      </w:r>
      <w:r>
        <w:t xml:space="preserve">· A Pilot Study of Exenatide Actions in Alzheimer’s Disease. PMID 31518224</w:t>
      </w:r>
    </w:p>
    <w:p>
      <w:pPr>
        <w:numPr>
          <w:ilvl w:val="0"/>
          <w:numId w:val="1376"/>
        </w:numPr>
        <w:pStyle w:val="Compact"/>
      </w:pPr>
      <w:r>
        <w:t xml:space="preserve">2019 · Muskiet MHA ·</w:t>
      </w:r>
      <w:r>
        <w:t xml:space="preserve"> </w:t>
      </w:r>
      <w:r>
        <w:rPr>
          <w:iCs/>
          <w:i/>
        </w:rPr>
        <w:t xml:space="preserve">Microcirculation</w:t>
      </w:r>
      <w:r>
        <w:t xml:space="preserve"> </w:t>
      </w:r>
      <w:r>
        <w:t xml:space="preserve">· Assessment of real-time and quantitative changes in renal hemodynamics in healthy overweight males: Contrast-enhanced ultrasonography vs para-aminohippuric acid clearance. PMID 31313410</w:t>
      </w:r>
    </w:p>
    <w:p>
      <w:pPr>
        <w:numPr>
          <w:ilvl w:val="0"/>
          <w:numId w:val="1376"/>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6"/>
        </w:numPr>
        <w:pStyle w:val="Compact"/>
      </w:pPr>
      <w:r>
        <w:t xml:space="preserve">2019 · Almby KE ·</w:t>
      </w:r>
      <w:r>
        <w:t xml:space="preserve"> </w:t>
      </w:r>
      <w:r>
        <w:rPr>
          <w:iCs/>
          <w:i/>
        </w:rPr>
        <w:t xml:space="preserve">Eur J Endocrinol</w:t>
      </w:r>
      <w:r>
        <w:t xml:space="preserve"> </w:t>
      </w:r>
      <w:r>
        <w:t xml:space="preserve">· Effects of GLP-1 on counter-regulatory responses during hypoglycemia after GBP surgery. PMID 31176298</w:t>
      </w:r>
    </w:p>
    <w:p>
      <w:pPr>
        <w:numPr>
          <w:ilvl w:val="0"/>
          <w:numId w:val="1376"/>
        </w:numPr>
        <w:pStyle w:val="Compact"/>
      </w:pPr>
      <w:r>
        <w:t xml:space="preserve">2019 · Muskiet MHA ·</w:t>
      </w:r>
      <w:r>
        <w:t xml:space="preserve"> </w:t>
      </w:r>
      <w:r>
        <w:rPr>
          <w:iCs/>
          <w:i/>
        </w:rPr>
        <w:t xml:space="preserve">Diabetes Res Clin Pract</w:t>
      </w:r>
      <w:r>
        <w:t xml:space="preserve"> </w:t>
      </w:r>
      <w:r>
        <w:t xml:space="preserve">· Exenatide twice-daily does not affect renal function or albuminuria compared to titrated insulin glargine in patients with type 2 diabetes mellitus: A post-hoc analysis of a 52-week randomised trial. PMID 31078666</w:t>
      </w:r>
    </w:p>
    <w:p>
      <w:pPr>
        <w:numPr>
          <w:ilvl w:val="0"/>
          <w:numId w:val="1376"/>
        </w:numPr>
        <w:pStyle w:val="Compact"/>
      </w:pPr>
      <w:r>
        <w:t xml:space="preserve">2019 · Bethel MA ·</w:t>
      </w:r>
      <w:r>
        <w:t xml:space="preserve"> </w:t>
      </w:r>
      <w:r>
        <w:rPr>
          <w:iCs/>
          <w:i/>
        </w:rPr>
        <w:t xml:space="preserve">Diabetes Care</w:t>
      </w:r>
      <w:r>
        <w:t xml:space="preserve"> </w:t>
      </w:r>
      <w:r>
        <w:t xml:space="preserve">· Changes in Serum Calcitonin Concentrations, Incidence of Medullary Thyroid Carcinoma, and Impact of Routine Calcitonin Concentration Monitoring in the EXenatide Study of Cardiovascular Event Lowering (EXSCEL). PMID 31010875</w:t>
      </w:r>
    </w:p>
    <w:p>
      <w:pPr>
        <w:numPr>
          <w:ilvl w:val="0"/>
          <w:numId w:val="1376"/>
        </w:numPr>
        <w:pStyle w:val="Compact"/>
      </w:pPr>
      <w:r>
        <w:t xml:space="preserve">2019 · Carlson AL ·</w:t>
      </w:r>
      <w:r>
        <w:t xml:space="preserve"> </w:t>
      </w:r>
      <w:r>
        <w:rPr>
          <w:iCs/>
          <w:i/>
        </w:rPr>
        <w:t xml:space="preserve">Endocr Pract</w:t>
      </w:r>
      <w:r>
        <w:t xml:space="preserve"> </w:t>
      </w:r>
      <w:r>
        <w:t xml:space="preserve">· EVALUATION OF INSULIN GLARGINE AND EXENATIDE ALONE AND IN COMBINATION: A RANDOMIZED CLINICAL TRIAL WITH CONTINUOUS GLUCOSE MONITORING AND AMBULATORY GLUCOSE PROFILE ANALYSIS. PMID 30995433</w:t>
      </w:r>
    </w:p>
    <w:p>
      <w:pPr>
        <w:numPr>
          <w:ilvl w:val="0"/>
          <w:numId w:val="1376"/>
        </w:numPr>
        <w:pStyle w:val="Compact"/>
      </w:pPr>
      <w:r>
        <w:t xml:space="preserve">2019 · Zheng S ·</w:t>
      </w:r>
      <w:r>
        <w:t xml:space="preserve"> </w:t>
      </w:r>
      <w:r>
        <w:rPr>
          <w:iCs/>
          <w:i/>
        </w:rPr>
        <w:t xml:space="preserve">Endocr J</w:t>
      </w:r>
      <w:r>
        <w:t xml:space="preserve"> </w:t>
      </w:r>
      <w:r>
        <w:t xml:space="preserve">· Circulating zinc-α2-glycoprotein is reduced in women with polycystic ovary syndrome, but can be increased by exenatide or metformin treatment. PMID 30918134</w:t>
      </w:r>
    </w:p>
    <w:p>
      <w:pPr>
        <w:numPr>
          <w:ilvl w:val="0"/>
          <w:numId w:val="1376"/>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6"/>
        </w:numPr>
        <w:pStyle w:val="Compact"/>
      </w:pPr>
      <w:r>
        <w:t xml:space="preserve">2019 · Fayfman M ·</w:t>
      </w:r>
      <w:r>
        <w:t xml:space="preserve"> </w:t>
      </w:r>
      <w:r>
        <w:rPr>
          <w:iCs/>
          <w:i/>
        </w:rPr>
        <w:t xml:space="preserve">Diabetes Care</w:t>
      </w:r>
      <w:r>
        <w:t xml:space="preserve"> </w:t>
      </w:r>
      <w:r>
        <w:t xml:space="preserve">· A Randomized Controlled Trial on the Safety and Efficacy of Exenatide Therapy for the Inpatient Management of General Medicine and Surgery Patients With Type 2 Diabetes. PMID 30679302</w:t>
      </w:r>
    </w:p>
    <w:p>
      <w:pPr>
        <w:numPr>
          <w:ilvl w:val="0"/>
          <w:numId w:val="1376"/>
        </w:numPr>
        <w:pStyle w:val="Compact"/>
      </w:pPr>
      <w:r>
        <w:t xml:space="preserve">2019 · Athauda D ·</w:t>
      </w:r>
      <w:r>
        <w:t xml:space="preserve"> </w:t>
      </w:r>
      <w:r>
        <w:rPr>
          <w:iCs/>
          <w:i/>
        </w:rPr>
        <w:t xml:space="preserve">JAMA Neurol</w:t>
      </w:r>
      <w:r>
        <w:t xml:space="preserve"> </w:t>
      </w:r>
      <w:r>
        <w:t xml:space="preserve">· Utility of Neuronal-Derived Exosomes to Examine Molecular Mechanisms That Affect Motor Function in Patients With Parkinson Disease: A Secondary Analysis of the Exenatide-PD Trial. PMID 30640362</w:t>
      </w:r>
    </w:p>
    <w:p>
      <w:pPr>
        <w:numPr>
          <w:ilvl w:val="0"/>
          <w:numId w:val="1376"/>
        </w:numPr>
        <w:pStyle w:val="Compact"/>
      </w:pPr>
      <w:r>
        <w:t xml:space="preserve">2019 · Philis-Tsimikas A ·</w:t>
      </w:r>
      <w:r>
        <w:t xml:space="preserve"> </w:t>
      </w:r>
      <w:r>
        <w:rPr>
          <w:iCs/>
          <w:i/>
        </w:rPr>
        <w:t xml:space="preserve">J Diabetes Complications</w:t>
      </w:r>
      <w:r>
        <w:t xml:space="preserve"> </w:t>
      </w:r>
      <w:r>
        <w:t xml:space="preserve">· Efficacy and tolerability of exenatide once weekly over 7 years in patients with type 2 diabetes: An open-label extension of the DURATION-1 study. PMID 30600137</w:t>
      </w:r>
    </w:p>
    <w:p>
      <w:pPr>
        <w:numPr>
          <w:ilvl w:val="0"/>
          <w:numId w:val="1376"/>
        </w:numPr>
        <w:pStyle w:val="Compact"/>
      </w:pPr>
      <w:r>
        <w:t xml:space="preserve">2019 · Clegg LE ·</w:t>
      </w:r>
      <w:r>
        <w:t xml:space="preserve"> </w:t>
      </w:r>
      <w:r>
        <w:rPr>
          <w:iCs/>
          <w:i/>
        </w:rPr>
        <w:t xml:space="preserve">Diabetes Care</w:t>
      </w:r>
      <w:r>
        <w:t xml:space="preserve"> </w:t>
      </w:r>
      <w:r>
        <w:t xml:space="preserve">· Reduction of Cardiovascular Risk and Improved Estimated Glomerular Filtration Rate by SGLT2 Inhibitors, Including Dapagliflozin, Is Consistent Across the Class: An Analysis of the Placebo Arm of EXSCEL. PMID 30523029</w:t>
      </w:r>
    </w:p>
    <w:p>
      <w:pPr>
        <w:numPr>
          <w:ilvl w:val="0"/>
          <w:numId w:val="1376"/>
        </w:numPr>
        <w:pStyle w:val="Compact"/>
      </w:pPr>
      <w:r>
        <w:t xml:space="preserve">2019 · Guerci B ·</w:t>
      </w:r>
      <w:r>
        <w:t xml:space="preserve"> </w:t>
      </w:r>
      <w:r>
        <w:rPr>
          <w:iCs/>
          <w:i/>
        </w:rPr>
        <w:t xml:space="preserve">Diabetes Obes Metab</w:t>
      </w:r>
      <w:r>
        <w:t xml:space="preserve"> </w:t>
      </w:r>
      <w:r>
        <w:t xml:space="preserve">· Predictive factors associated with three years of response to HbA1c goals with exenatide QW or insulin glargine: Post-hoc analysis of the DURATION-3 study. PMID 30520252</w:t>
      </w:r>
    </w:p>
    <w:p>
      <w:pPr>
        <w:numPr>
          <w:ilvl w:val="0"/>
          <w:numId w:val="1376"/>
        </w:numPr>
        <w:pStyle w:val="Compact"/>
      </w:pPr>
      <w:r>
        <w:t xml:space="preserve">2019 · Deng H ·</w:t>
      </w:r>
      <w:r>
        <w:t xml:space="preserve"> </w:t>
      </w:r>
      <w:r>
        <w:rPr>
          <w:iCs/>
          <w:i/>
        </w:rPr>
        <w:t xml:space="preserve">J Diabetes</w:t>
      </w:r>
      <w:r>
        <w:t xml:space="preserve"> </w:t>
      </w:r>
      <w:r>
        <w:t xml:space="preserve">· Effect of baseline body mass index on glycemic control and weight change with exenatide monotherapy in Chinese drug-naïve type 2 diabetic patients. PMID 30520243</w:t>
      </w:r>
    </w:p>
    <w:p>
      <w:pPr>
        <w:numPr>
          <w:ilvl w:val="0"/>
          <w:numId w:val="1376"/>
        </w:numPr>
        <w:pStyle w:val="Compact"/>
      </w:pPr>
      <w:r>
        <w:t xml:space="preserve">2019 · Geyer MC ·</w:t>
      </w:r>
      <w:r>
        <w:t xml:space="preserve"> </w:t>
      </w:r>
      <w:r>
        <w:rPr>
          <w:iCs/>
          <w:i/>
        </w:rPr>
        <w:t xml:space="preserve">Diabetes Obes Metab</w:t>
      </w:r>
      <w:r>
        <w:t xml:space="preserve"> </w:t>
      </w:r>
      <w:r>
        <w:t xml:space="preserve">· Exenatide corrects postprandial hyperglycaemia in young people with cystic fibrosis and impaired glucose tolerance: A randomized crossover trial. PMID 30259623</w:t>
      </w:r>
    </w:p>
    <w:p>
      <w:pPr>
        <w:numPr>
          <w:ilvl w:val="0"/>
          <w:numId w:val="1376"/>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6"/>
        </w:numPr>
        <w:pStyle w:val="Compact"/>
      </w:pPr>
      <w:r>
        <w:t xml:space="preserve">2018 · Besch G ·</w:t>
      </w:r>
      <w:r>
        <w:t xml:space="preserve"> </w:t>
      </w:r>
      <w:r>
        <w:rPr>
          <w:iCs/>
          <w:i/>
        </w:rPr>
        <w:t xml:space="preserve">Cardiovasc Diabetol</w:t>
      </w:r>
      <w:r>
        <w:t xml:space="preserve"> </w:t>
      </w:r>
      <w:r>
        <w:t xml:space="preserve">· Impact of intravenous exenatide infusion for perioperative blood glucose control on myocardial ischemia-reperfusion injuries after coronary artery bypass graft surgery: sub study of the phase II/III ExSTRESS randomized trial. PMID 30384842</w:t>
      </w:r>
    </w:p>
    <w:p>
      <w:pPr>
        <w:numPr>
          <w:ilvl w:val="0"/>
          <w:numId w:val="1376"/>
        </w:numPr>
        <w:pStyle w:val="Compact"/>
      </w:pPr>
      <w:r>
        <w:t xml:space="preserve">2018 · Mentz RJ ·</w:t>
      </w:r>
      <w:r>
        <w:t xml:space="preserve"> </w:t>
      </w:r>
      <w:r>
        <w:rPr>
          <w:iCs/>
          <w:i/>
        </w:rPr>
        <w:t xml:space="preserve">J Am Heart Assoc</w:t>
      </w:r>
      <w:r>
        <w:t xml:space="preserve"> </w:t>
      </w:r>
      <w:r>
        <w:t xml:space="preserve">· Effect of Once-Weekly Exenatide on Clinical Outcomes According to Baseline Risk in Patients With Type 2 Diabetes Mellitus: Insights From the EXSCEL Trial. PMID 30371301</w:t>
      </w:r>
    </w:p>
    <w:p>
      <w:pPr>
        <w:numPr>
          <w:ilvl w:val="0"/>
          <w:numId w:val="1376"/>
        </w:numPr>
        <w:pStyle w:val="Compact"/>
      </w:pPr>
      <w:r>
        <w:t xml:space="preserve">2018 · Fifer S ·</w:t>
      </w:r>
      <w:r>
        <w:t xml:space="preserve"> </w:t>
      </w:r>
      <w:r>
        <w:rPr>
          <w:iCs/>
          <w:i/>
        </w:rPr>
        <w:t xml:space="preserve">BMC Health Serv Res</w:t>
      </w:r>
      <w:r>
        <w:t xml:space="preserve"> </w:t>
      </w:r>
      <w:r>
        <w:t xml:space="preserve">· Valuing injection frequency and other attributes of type 2 diabetes treatments in Australia: a discrete choice experiment. PMID 30165844</w:t>
      </w:r>
    </w:p>
    <w:p>
      <w:pPr>
        <w:numPr>
          <w:ilvl w:val="0"/>
          <w:numId w:val="1376"/>
        </w:numPr>
        <w:pStyle w:val="Compact"/>
      </w:pPr>
      <w:r>
        <w:t xml:space="preserve">2018 · Jabbour SA ·</w:t>
      </w:r>
      <w:r>
        <w:t xml:space="preserve"> </w:t>
      </w:r>
      <w:r>
        <w:rPr>
          <w:iCs/>
          <w:i/>
        </w:rPr>
        <w:t xml:space="preserve">Diabetes Care</w:t>
      </w:r>
      <w:r>
        <w:t xml:space="preserve"> </w:t>
      </w:r>
      <w:r>
        <w:t xml:space="preserve">· Safety and Efficacy of Exenatide Once Weekly Plus Dapagliflozin Once Daily Versus Exenatide or Dapagliflozin Alone in Patients With Type 2 Diabetes Inadequately Controlled With Metformin Monotherapy: 52-Week Results of the DURATION-8 Randomized Controlled Trial. PMID 30082326</w:t>
      </w:r>
    </w:p>
    <w:p>
      <w:pPr>
        <w:numPr>
          <w:ilvl w:val="0"/>
          <w:numId w:val="1376"/>
        </w:numPr>
        <w:pStyle w:val="Compact"/>
      </w:pPr>
      <w:r>
        <w:t xml:space="preserve">2018 · Muller C ·</w:t>
      </w:r>
      <w:r>
        <w:t xml:space="preserve"> </w:t>
      </w:r>
      <w:r>
        <w:rPr>
          <w:iCs/>
          <w:i/>
        </w:rPr>
        <w:t xml:space="preserve">Int J Stroke</w:t>
      </w:r>
      <w:r>
        <w:t xml:space="preserve"> </w:t>
      </w:r>
      <w:r>
        <w:t xml:space="preserve">· Treatment with exenatide in acute ischemic stroke trial protocol: A prospective, randomized, open label, blinded end-point study of exenatide vs. standard care in post stroke hyperglycemia. PMID 30019627</w:t>
      </w:r>
    </w:p>
    <w:p>
      <w:pPr>
        <w:numPr>
          <w:ilvl w:val="0"/>
          <w:numId w:val="1376"/>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6"/>
        </w:numPr>
        <w:pStyle w:val="Compact"/>
      </w:pPr>
      <w:r>
        <w:t xml:space="preserve">2018 · Athauda D ·</w:t>
      </w:r>
      <w:r>
        <w:t xml:space="preserve"> </w:t>
      </w:r>
      <w:r>
        <w:rPr>
          <w:iCs/>
          <w:i/>
        </w:rPr>
        <w:t xml:space="preserve">J Parkinsons Dis</w:t>
      </w:r>
      <w:r>
        <w:t xml:space="preserve"> </w:t>
      </w:r>
      <w:r>
        <w:t xml:space="preserve">· What Effects Might Exenatide have on Non-Motor Symptoms in Parkinson’s Disease: A Post Hoc Analysis. PMID 29843254</w:t>
      </w:r>
    </w:p>
    <w:p>
      <w:pPr>
        <w:numPr>
          <w:ilvl w:val="0"/>
          <w:numId w:val="1376"/>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6"/>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6"/>
        </w:numPr>
        <w:pStyle w:val="Compact"/>
      </w:pPr>
      <w:r>
        <w:t xml:space="preserve">2018 · Basolo A ·</w:t>
      </w:r>
      <w:r>
        <w:t xml:space="preserve"> </w:t>
      </w:r>
      <w:r>
        <w:rPr>
          <w:iCs/>
          <w:i/>
        </w:rPr>
        <w:t xml:space="preserve">Metabolism</w:t>
      </w:r>
      <w:r>
        <w:t xml:space="preserve"> </w:t>
      </w:r>
      <w:r>
        <w:t xml:space="preserve">· Exenatide has a pronounced effect on energy intake but not energy expenditure in non-diabetic subjects with obesity: A randomized, double-blind, placebo-controlled trial. PMID 29596853</w:t>
      </w:r>
    </w:p>
    <w:p>
      <w:pPr>
        <w:numPr>
          <w:ilvl w:val="0"/>
          <w:numId w:val="1376"/>
        </w:numPr>
        <w:pStyle w:val="Compact"/>
      </w:pPr>
      <w:r>
        <w:t xml:space="preserve">2018 · Frías JP ·</w:t>
      </w:r>
      <w:r>
        <w:t xml:space="preserve"> </w:t>
      </w:r>
      <w:r>
        <w:rPr>
          <w:iCs/>
          <w:i/>
        </w:rPr>
        <w:t xml:space="preserve">Diabetes Obes Metab</w:t>
      </w:r>
      <w:r>
        <w:t xml:space="preserve"> </w:t>
      </w:r>
      <w:r>
        <w:t xml:space="preserve">· Effects of exenatide once weekly plus dapagliflozin, exenatide once weekly alone, or dapagliflozin alone added to metformin monotherapy in subgroups of patients with type 2 diabetes in the DURATION-8 randomized controlled trial. PMID 29573139</w:t>
      </w:r>
    </w:p>
    <w:p>
      <w:pPr>
        <w:numPr>
          <w:ilvl w:val="0"/>
          <w:numId w:val="1376"/>
        </w:numPr>
        <w:pStyle w:val="Compact"/>
      </w:pPr>
      <w:r>
        <w:t xml:space="preserve">2018 · Du X ·</w:t>
      </w:r>
      <w:r>
        <w:t xml:space="preserve"> </w:t>
      </w:r>
      <w:r>
        <w:rPr>
          <w:iCs/>
          <w:i/>
        </w:rPr>
        <w:t xml:space="preserve">J Diabetes Res</w:t>
      </w:r>
      <w:r>
        <w:t xml:space="preserve"> </w:t>
      </w:r>
      <w:r>
        <w:t xml:space="preserve">· Exenatide with Metformin Ameliorated Visceral Adiposity and Insulin Resistance. PMID 29541641</w:t>
      </w:r>
    </w:p>
    <w:p>
      <w:pPr>
        <w:numPr>
          <w:ilvl w:val="0"/>
          <w:numId w:val="1376"/>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6"/>
        </w:numPr>
        <w:pStyle w:val="Compact"/>
      </w:pPr>
      <w:r>
        <w:t xml:space="preserve">2018 · Yammine L ·</w:t>
      </w:r>
      <w:r>
        <w:t xml:space="preserve"> </w:t>
      </w:r>
      <w:r>
        <w:rPr>
          <w:iCs/>
          <w:i/>
        </w:rPr>
        <w:t xml:space="preserve">Medicine (Baltimore)</w:t>
      </w:r>
      <w:r>
        <w:t xml:space="preserve"> </w:t>
      </w:r>
      <w:r>
        <w:t xml:space="preserve">· Exenatide once weekly for smoking cessation: study protocol for a randomized clinical trial. PMID 29480848</w:t>
      </w:r>
    </w:p>
    <w:p>
      <w:pPr>
        <w:numPr>
          <w:ilvl w:val="0"/>
          <w:numId w:val="1376"/>
        </w:numPr>
        <w:pStyle w:val="Compact"/>
      </w:pPr>
      <w:r>
        <w:t xml:space="preserve">2018 · Guja C ·</w:t>
      </w:r>
      <w:r>
        <w:t xml:space="preserve"> </w:t>
      </w:r>
      <w:r>
        <w:rPr>
          <w:iCs/>
          <w:i/>
        </w:rPr>
        <w:t xml:space="preserve">Diabetes Obes Metab</w:t>
      </w:r>
      <w:r>
        <w:t xml:space="preserve"> </w:t>
      </w:r>
      <w:r>
        <w:t xml:space="preserve">· Effect of exenatide QW or placebo, both added to titrated insulin glargine, in uncontrolled type 2 diabetes: The DURATION-7 randomized study. PMID 29473704</w:t>
      </w:r>
    </w:p>
    <w:p>
      <w:pPr>
        <w:numPr>
          <w:ilvl w:val="0"/>
          <w:numId w:val="1376"/>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6"/>
        </w:numPr>
        <w:pStyle w:val="Compact"/>
      </w:pPr>
      <w:r>
        <w:t xml:space="preserve">2018 · Dandona P ·</w:t>
      </w:r>
      <w:r>
        <w:t xml:space="preserve"> </w:t>
      </w:r>
      <w:r>
        <w:rPr>
          <w:iCs/>
          <w:i/>
        </w:rPr>
        <w:t xml:space="preserve">J Clin Endocrinol Metab</w:t>
      </w:r>
      <w:r>
        <w:t xml:space="preserve"> </w:t>
      </w:r>
      <w:r>
        <w:t xml:space="preserve">· Exenatide Increases IL-1RA Concentration and Induces Nrf-2‒Keap-1‒Regulated Antioxidant Enzymes: Relevance to β-Cell Function. PMID 29346597</w:t>
      </w:r>
    </w:p>
    <w:p>
      <w:pPr>
        <w:numPr>
          <w:ilvl w:val="0"/>
          <w:numId w:val="1376"/>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6"/>
        </w:numPr>
        <w:pStyle w:val="Compact"/>
      </w:pPr>
      <w:r>
        <w:t xml:space="preserve">2018 · Jabbour SA ·</w:t>
      </w:r>
      <w:r>
        <w:t xml:space="preserve"> </w:t>
      </w:r>
      <w:r>
        <w:rPr>
          <w:iCs/>
          <w:i/>
        </w:rPr>
        <w:t xml:space="preserve">Diabetes Obes Metab</w:t>
      </w:r>
      <w:r>
        <w:t xml:space="preserve"> </w:t>
      </w:r>
      <w:r>
        <w:t xml:space="preserve">· Effects of exenatide once weekly plus dapagliflozin, exenatide once weekly, or dapagliflozin, added to metformin monotherapy, on body weight, systolic blood pressure, and triglycerides in patients with type 2 diabetes in the DURATION-8 study. PMID 29316164</w:t>
      </w:r>
    </w:p>
    <w:p>
      <w:pPr>
        <w:numPr>
          <w:ilvl w:val="0"/>
          <w:numId w:val="1376"/>
        </w:numPr>
        <w:pStyle w:val="Compact"/>
      </w:pPr>
      <w:r>
        <w:t xml:space="preserve">2018 · Henry RR ·</w:t>
      </w:r>
      <w:r>
        <w:t xml:space="preserve"> </w:t>
      </w:r>
      <w:r>
        <w:rPr>
          <w:iCs/>
          <w:i/>
        </w:rPr>
        <w:t xml:space="preserve">Diabetes Care</w:t>
      </w:r>
      <w:r>
        <w:t xml:space="preserve"> </w:t>
      </w:r>
      <w:r>
        <w:t xml:space="preserve">· Clinical Impact of ITCA 650, a Novel Drug-Device GLP-1 Receptor Agonist, in Uncontrolled Type 2 Diabetes and Very High Baseline HbA(1c): The FREEDOM-1 HBL (High Baseline) Study. PMID 29301824</w:t>
      </w:r>
    </w:p>
    <w:p>
      <w:pPr>
        <w:numPr>
          <w:ilvl w:val="0"/>
          <w:numId w:val="1376"/>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6"/>
        </w:numPr>
        <w:pStyle w:val="Compact"/>
      </w:pPr>
      <w:r>
        <w:t xml:space="preserve">2018 · Rosenstock J ·</w:t>
      </w:r>
      <w:r>
        <w:t xml:space="preserve"> </w:t>
      </w:r>
      <w:r>
        <w:rPr>
          <w:iCs/>
          <w:i/>
        </w:rPr>
        <w:t xml:space="preserve">Diabetes Care</w:t>
      </w:r>
      <w:r>
        <w:t xml:space="preserve"> </w:t>
      </w:r>
      <w:r>
        <w:t xml:space="preserve">· Efficacy and Safety of ITCA 650, a Novel Drug-Device GLP-1 Receptor Agonist, in Type 2 Diabetes Uncontrolled With Oral Antidiabetes Drugs: The FREEDOM-1 Trial. PMID 29242349</w:t>
      </w:r>
    </w:p>
    <w:p>
      <w:pPr>
        <w:numPr>
          <w:ilvl w:val="0"/>
          <w:numId w:val="1376"/>
        </w:numPr>
        <w:pStyle w:val="Compact"/>
      </w:pPr>
      <w:r>
        <w:t xml:space="preserve">2018 · Abdul-Ghani M ·</w:t>
      </w:r>
      <w:r>
        <w:t xml:space="preserve"> </w:t>
      </w:r>
      <w:r>
        <w:rPr>
          <w:iCs/>
          <w:i/>
        </w:rPr>
        <w:t xml:space="preserve">Diabetes Obes Metab</w:t>
      </w:r>
      <w:r>
        <w:t xml:space="preserve"> </w:t>
      </w:r>
      <w:r>
        <w:t xml:space="preserve">· Insulin secretion predicts the response to therapy with exenatide plus pioglitazone, but not to basal/bolus insulin in poorly controlled T2DM patients: Results from the Qatar study. PMID 29227578</w:t>
      </w:r>
    </w:p>
    <w:p>
      <w:pPr>
        <w:numPr>
          <w:ilvl w:val="0"/>
          <w:numId w:val="1376"/>
        </w:numPr>
        <w:pStyle w:val="Compact"/>
      </w:pPr>
      <w:r>
        <w:t xml:space="preserve">2018 · Siskind DJ ·</w:t>
      </w:r>
      <w:r>
        <w:t xml:space="preserve"> </w:t>
      </w:r>
      <w:r>
        <w:rPr>
          <w:iCs/>
          <w:i/>
        </w:rPr>
        <w:t xml:space="preserve">Diabetes Obes Metab</w:t>
      </w:r>
      <w:r>
        <w:t xml:space="preserve"> </w:t>
      </w:r>
      <w:r>
        <w:t xml:space="preserve">· Treatment of clozapine-associated obesity and diabetes with exenatide in adults with schizophrenia: A randomized controlled trial (CODEX). PMID 29194917</w:t>
      </w:r>
    </w:p>
    <w:p>
      <w:pPr>
        <w:numPr>
          <w:ilvl w:val="0"/>
          <w:numId w:val="1376"/>
        </w:numPr>
        <w:pStyle w:val="Compact"/>
      </w:pPr>
      <w:r>
        <w:t xml:space="preserve">2018 · Wiberg S ·</w:t>
      </w:r>
      <w:r>
        <w:t xml:space="preserve"> </w:t>
      </w:r>
      <w:r>
        <w:rPr>
          <w:iCs/>
          <w:i/>
        </w:rPr>
        <w:t xml:space="preserve">Crit Care Med</w:t>
      </w:r>
      <w:r>
        <w:t xml:space="preserve"> </w:t>
      </w:r>
      <w:r>
        <w:t xml:space="preserve">· The Glucagon-Like Peptide-1 Analog Exenatide Increases Blood Glucose Clearance, Lactate Clearance, and Heart Rate in Comatose Patients After Out-of-Hospital Cardiac Arrest. PMID 29189347</w:t>
      </w:r>
    </w:p>
    <w:p>
      <w:pPr>
        <w:numPr>
          <w:ilvl w:val="0"/>
          <w:numId w:val="1376"/>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6"/>
        </w:numPr>
        <w:pStyle w:val="Compact"/>
      </w:pPr>
      <w:r>
        <w:t xml:space="preserve">2018 · Henry R ·</w:t>
      </w:r>
      <w:r>
        <w:t xml:space="preserve"> </w:t>
      </w:r>
      <w:r>
        <w:rPr>
          <w:iCs/>
          <w:i/>
        </w:rPr>
        <w:t xml:space="preserve">Diabetes Obes Metab</w:t>
      </w:r>
      <w:r>
        <w:t xml:space="preserve"> </w:t>
      </w:r>
      <w:r>
        <w:t xml:space="preserve">· Treatment satisfaction with ITCA 650, a novel drug-device delivering continuous exenatide, versus twice-daily injections of exenatide in type 2 diabetics using metformin. PMID 29053202</w:t>
      </w:r>
    </w:p>
    <w:p>
      <w:pPr>
        <w:numPr>
          <w:ilvl w:val="0"/>
          <w:numId w:val="1376"/>
        </w:numPr>
        <w:pStyle w:val="Compact"/>
      </w:pPr>
      <w:r>
        <w:t xml:space="preserve">2018 · Jiang LL ·</w:t>
      </w:r>
      <w:r>
        <w:t xml:space="preserve"> </w:t>
      </w:r>
      <w:r>
        <w:rPr>
          <w:iCs/>
          <w:i/>
        </w:rPr>
        <w:t xml:space="preserve">J Endocrinol Invest</w:t>
      </w:r>
      <w:r>
        <w:t xml:space="preserve"> </w:t>
      </w:r>
      <w:r>
        <w:t xml:space="preserve">· The effects of add-on exenatide to insulin on glycemic variability and hypoglycemia in patients with type 1 diabetes mellitus. PMID 29032494</w:t>
      </w:r>
    </w:p>
    <w:p>
      <w:pPr>
        <w:numPr>
          <w:ilvl w:val="0"/>
          <w:numId w:val="1376"/>
        </w:numPr>
        <w:pStyle w:val="Compact"/>
      </w:pPr>
      <w:r>
        <w:t xml:space="preserve">2018 · Wysham CH ·</w:t>
      </w:r>
      <w:r>
        <w:t xml:space="preserve"> </w:t>
      </w:r>
      <w:r>
        <w:rPr>
          <w:iCs/>
          <w:i/>
        </w:rPr>
        <w:t xml:space="preserve">Diabetes Obes Metab</w:t>
      </w:r>
      <w:r>
        <w:t xml:space="preserve"> </w:t>
      </w:r>
      <w:r>
        <w:t xml:space="preserve">· Efficacy and tolerability of the new autoinjected suspension of exenatide once weekly versus exenatide twice daily in patients with type 2 diabetes. PMID 28685973</w:t>
      </w:r>
    </w:p>
    <w:p>
      <w:pPr>
        <w:numPr>
          <w:ilvl w:val="0"/>
          <w:numId w:val="1376"/>
        </w:numPr>
        <w:pStyle w:val="Compact"/>
      </w:pPr>
      <w:r>
        <w:t xml:space="preserve">2018 · Su K ·</w:t>
      </w:r>
      <w:r>
        <w:t xml:space="preserve"> </w:t>
      </w:r>
      <w:r>
        <w:rPr>
          <w:iCs/>
          <w:i/>
        </w:rPr>
        <w:t xml:space="preserve">Am J Ther</w:t>
      </w:r>
      <w:r>
        <w:t xml:space="preserve"> </w:t>
      </w:r>
      <w:r>
        <w:t xml:space="preserve">· Phase III Study on Efficacy and Safety of Triple Combination (Exenatide/Metformin/Biphasic Insulin Aspart) Therapy for Type 2 Diabetes Mellitus. PMID 26844723</w:t>
      </w:r>
    </w:p>
    <w:p>
      <w:pPr>
        <w:numPr>
          <w:ilvl w:val="0"/>
          <w:numId w:val="1376"/>
        </w:numPr>
        <w:pStyle w:val="Compact"/>
      </w:pPr>
      <w:r>
        <w:t xml:space="preserve">2017 · Wang Y ·</w:t>
      </w:r>
      <w:r>
        <w:t xml:space="preserve"> </w:t>
      </w:r>
      <w:r>
        <w:rPr>
          <w:iCs/>
          <w:i/>
        </w:rPr>
        <w:t xml:space="preserve">Clin Drug Investig</w:t>
      </w:r>
      <w:r>
        <w:t xml:space="preserve"> </w:t>
      </w:r>
      <w:r>
        <w:t xml:space="preserve">· Pharmacokinetics and Preliminary Pharmacodynamics of Single- and Multiple-dose Lyophilized Recombinant Glucagon-like Peptide-1 Receptor Agonist (rE-4) in Chinese Patients with Type 2 Diabetes Mellitus. PMID 28932995</w:t>
      </w:r>
    </w:p>
    <w:p>
      <w:pPr>
        <w:numPr>
          <w:ilvl w:val="0"/>
          <w:numId w:val="1376"/>
        </w:numPr>
        <w:pStyle w:val="Compact"/>
      </w:pPr>
      <w:r>
        <w:t xml:space="preserve">2017 · Holman RR ·</w:t>
      </w:r>
      <w:r>
        <w:t xml:space="preserve"> </w:t>
      </w:r>
      <w:r>
        <w:rPr>
          <w:iCs/>
          <w:i/>
        </w:rPr>
        <w:t xml:space="preserve">N Engl J Med</w:t>
      </w:r>
      <w:r>
        <w:t xml:space="preserve"> </w:t>
      </w:r>
      <w:r>
        <w:t xml:space="preserve">· Effects of Once-Weekly Exenatide on Cardiovascular Outcomes in Type 2 Diabetes. PMID 28910237</w:t>
      </w:r>
    </w:p>
    <w:p>
      <w:pPr>
        <w:numPr>
          <w:ilvl w:val="0"/>
          <w:numId w:val="1376"/>
        </w:numPr>
        <w:pStyle w:val="Compact"/>
      </w:pPr>
      <w:r>
        <w:t xml:space="preserve">2017 · Liu X ·</w:t>
      </w:r>
      <w:r>
        <w:t xml:space="preserve"> </w:t>
      </w:r>
      <w:r>
        <w:rPr>
          <w:iCs/>
          <w:i/>
        </w:rPr>
        <w:t xml:space="preserve">Clin Endocrinol (Oxf)</w:t>
      </w:r>
      <w:r>
        <w:t xml:space="preserve"> </w:t>
      </w:r>
      <w:r>
        <w:t xml:space="preserve">· Efficacy of exenatide on weight loss, metabolic parameters and pregnancy in overweight/obese polycystic ovary syndrome. PMID 28834553</w:t>
      </w:r>
    </w:p>
    <w:p>
      <w:pPr>
        <w:numPr>
          <w:ilvl w:val="0"/>
          <w:numId w:val="1376"/>
        </w:numPr>
        <w:pStyle w:val="Compact"/>
      </w:pPr>
      <w:r>
        <w:t xml:space="preserve">2017 · Besch G ·</w:t>
      </w:r>
      <w:r>
        <w:t xml:space="preserve"> </w:t>
      </w:r>
      <w:r>
        <w:rPr>
          <w:iCs/>
          <w:i/>
        </w:rPr>
        <w:t xml:space="preserve">Anesthesiology</w:t>
      </w:r>
      <w:r>
        <w:t xml:space="preserve"> </w:t>
      </w:r>
      <w:r>
        <w:t xml:space="preserve">· Clinical Effectiveness of Intravenous Exenatide Infusion in Perioperative Glycemic Control after Coronary Artery Bypass Graft Surgery: A Phase II/III Randomized Trial. PMID 28820780</w:t>
      </w:r>
    </w:p>
    <w:p>
      <w:pPr>
        <w:numPr>
          <w:ilvl w:val="0"/>
          <w:numId w:val="1376"/>
        </w:numPr>
        <w:pStyle w:val="Compact"/>
      </w:pPr>
      <w:r>
        <w:t xml:space="preserve">2017 · Athauda D ·</w:t>
      </w:r>
      <w:r>
        <w:t xml:space="preserve"> </w:t>
      </w:r>
      <w:r>
        <w:rPr>
          <w:iCs/>
          <w:i/>
        </w:rPr>
        <w:t xml:space="preserve">Lancet</w:t>
      </w:r>
      <w:r>
        <w:t xml:space="preserve"> </w:t>
      </w:r>
      <w:r>
        <w:t xml:space="preserve">· Exenatide once weekly versus placebo in Parkinson’s disease: a randomised, double-blind, placebo-controlled trial. PMID 28781108</w:t>
      </w:r>
    </w:p>
    <w:p>
      <w:pPr>
        <w:numPr>
          <w:ilvl w:val="0"/>
          <w:numId w:val="1376"/>
        </w:numPr>
        <w:pStyle w:val="Compact"/>
      </w:pPr>
      <w:r>
        <w:t xml:space="preserve">2017 · Lipš M ·</w:t>
      </w:r>
      <w:r>
        <w:t xml:space="preserve"> </w:t>
      </w:r>
      <w:r>
        <w:rPr>
          <w:iCs/>
          <w:i/>
        </w:rPr>
        <w:t xml:space="preserve">Diabetes Obes Metab</w:t>
      </w:r>
      <w:r>
        <w:t xml:space="preserve"> </w:t>
      </w:r>
      <w:r>
        <w:t xml:space="preserve">· Effect of continuous exenatide infusion on cardiac function and peri-operative glucose control in patients undergoing cardiac surgery: A single-blind, randomized controlled trial. PMID 28581209</w:t>
      </w:r>
    </w:p>
    <w:p>
      <w:pPr>
        <w:numPr>
          <w:ilvl w:val="0"/>
          <w:numId w:val="1376"/>
        </w:numPr>
        <w:pStyle w:val="Compact"/>
      </w:pPr>
      <w:r>
        <w:t xml:space="preserve">2017 · Cirincione B ·</w:t>
      </w:r>
      <w:r>
        <w:t xml:space="preserve"> </w:t>
      </w:r>
      <w:r>
        <w:rPr>
          <w:iCs/>
          <w:i/>
        </w:rPr>
        <w:t xml:space="preserve">J Clin Pharmacol</w:t>
      </w:r>
      <w:r>
        <w:t xml:space="preserve"> </w:t>
      </w:r>
      <w:r>
        <w:t xml:space="preserve">· Model-Based Evaluation of Exenatide Effects on the QT Interval in Healthy Subjects Following Continuous IV Infusion. PMID 28543393</w:t>
      </w:r>
    </w:p>
    <w:p>
      <w:pPr>
        <w:numPr>
          <w:ilvl w:val="0"/>
          <w:numId w:val="1376"/>
        </w:numPr>
        <w:pStyle w:val="Compact"/>
      </w:pPr>
      <w:r>
        <w:t xml:space="preserve">2017 · Shaddinger BC ·</w:t>
      </w:r>
      <w:r>
        <w:t xml:space="preserve"> </w:t>
      </w:r>
      <w:r>
        <w:rPr>
          <w:iCs/>
          <w:i/>
        </w:rPr>
        <w:t xml:space="preserve">J Clin Pharmacol</w:t>
      </w:r>
      <w:r>
        <w:t xml:space="preserve"> </w:t>
      </w:r>
      <w:r>
        <w:t xml:space="preserve">· Effect of Albiglutide on Cholecystokinin-Induced Gallbladder Emptying in Healthy Individuals: A Randomized Crossover Study. PMID 28543352</w:t>
      </w:r>
    </w:p>
    <w:p>
      <w:pPr>
        <w:numPr>
          <w:ilvl w:val="0"/>
          <w:numId w:val="1376"/>
        </w:numPr>
        <w:pStyle w:val="Compact"/>
      </w:pPr>
      <w:r>
        <w:t xml:space="preserve">2017 · Shi X ·</w:t>
      </w:r>
      <w:r>
        <w:t xml:space="preserve"> </w:t>
      </w:r>
      <w:r>
        <w:rPr>
          <w:iCs/>
          <w:i/>
        </w:rPr>
        <w:t xml:space="preserve">Sci Rep</w:t>
      </w:r>
      <w:r>
        <w:t xml:space="preserve"> </w:t>
      </w:r>
      <w:r>
        <w:t xml:space="preserve">· Effect of exenatide after short-time intensive insulin therapy on glycaemic remission maintenance in type 2 diabetes patients: a randomized controlled trial. PMID 28539618</w:t>
      </w:r>
    </w:p>
    <w:p>
      <w:pPr>
        <w:numPr>
          <w:ilvl w:val="0"/>
          <w:numId w:val="1376"/>
        </w:numPr>
        <w:pStyle w:val="Compact"/>
      </w:pPr>
      <w:r>
        <w:t xml:space="preserve">2017 · Chen WJY ·</w:t>
      </w:r>
      <w:r>
        <w:t xml:space="preserve"> </w:t>
      </w:r>
      <w:r>
        <w:rPr>
          <w:iCs/>
          <w:i/>
        </w:rPr>
        <w:t xml:space="preserve">Cardiovasc Diabetol</w:t>
      </w:r>
      <w:r>
        <w:t xml:space="preserve"> </w:t>
      </w:r>
      <w:r>
        <w:t xml:space="preserve">· Effects of exenatide on cardiac function, perfusion, and energetics in type 2 diabetic patients with cardiomyopathy: a randomized controlled trial against insulin glargine. PMID 28526033</w:t>
      </w:r>
    </w:p>
    <w:p>
      <w:pPr>
        <w:numPr>
          <w:ilvl w:val="0"/>
          <w:numId w:val="1376"/>
        </w:numPr>
        <w:pStyle w:val="Compact"/>
      </w:pPr>
      <w:r>
        <w:t xml:space="preserve">2017 · Mentz RJ ·</w:t>
      </w:r>
      <w:r>
        <w:t xml:space="preserve"> </w:t>
      </w:r>
      <w:r>
        <w:rPr>
          <w:iCs/>
          <w:i/>
        </w:rPr>
        <w:t xml:space="preserve">Am Heart J</w:t>
      </w:r>
      <w:r>
        <w:t xml:space="preserve"> </w:t>
      </w:r>
      <w:r>
        <w:t xml:space="preserve">· Baseline characteristics of patients enrolled in the Exenatide Study of Cardiovascular Event Lowering (EXSCEL). PMID 28454792</w:t>
      </w:r>
    </w:p>
    <w:p>
      <w:pPr>
        <w:numPr>
          <w:ilvl w:val="0"/>
          <w:numId w:val="1376"/>
        </w:numPr>
        <w:pStyle w:val="Compact"/>
      </w:pPr>
      <w:r>
        <w:t xml:space="preserve">2017 · Wang X ·</w:t>
      </w:r>
      <w:r>
        <w:t xml:space="preserve"> </w:t>
      </w:r>
      <w:r>
        <w:rPr>
          <w:iCs/>
          <w:i/>
        </w:rPr>
        <w:t xml:space="preserve">Lipids Health Dis</w:t>
      </w:r>
      <w:r>
        <w:t xml:space="preserve"> </w:t>
      </w:r>
      <w:r>
        <w:t xml:space="preserve">· New association of bone morphogenetic protein 4 concentrations with fat distribution in obesity and Exenatide intervention on it. PMID 28376799</w:t>
      </w:r>
    </w:p>
    <w:p>
      <w:pPr>
        <w:numPr>
          <w:ilvl w:val="0"/>
          <w:numId w:val="1376"/>
        </w:numPr>
        <w:pStyle w:val="Compact"/>
      </w:pPr>
      <w:r>
        <w:t xml:space="preserve">2017 · Lundkvist P ·</w:t>
      </w:r>
      <w:r>
        <w:t xml:space="preserve"> </w:t>
      </w:r>
      <w:r>
        <w:rPr>
          <w:iCs/>
          <w:i/>
        </w:rPr>
        <w:t xml:space="preserve">Diabetes Obes Metab</w:t>
      </w:r>
      <w:r>
        <w:t xml:space="preserve"> </w:t>
      </w:r>
      <w:r>
        <w:t xml:space="preserve">· Dapagliflozin once daily plus exenatide once weekly in obese adults without diabetes: Sustained reductions in body weight, glycaemia and blood pressure over 1 year. PMID 28345814</w:t>
      </w:r>
    </w:p>
    <w:p>
      <w:pPr>
        <w:numPr>
          <w:ilvl w:val="0"/>
          <w:numId w:val="1376"/>
        </w:numPr>
        <w:pStyle w:val="Compact"/>
      </w:pPr>
      <w:r>
        <w:t xml:space="preserve">2017 · Abdul-Ghani M ·</w:t>
      </w:r>
      <w:r>
        <w:t xml:space="preserve"> </w:t>
      </w:r>
      <w:r>
        <w:rPr>
          <w:iCs/>
          <w:i/>
        </w:rPr>
        <w:t xml:space="preserve">J Clin Endocrinol Metab</w:t>
      </w:r>
      <w:r>
        <w:t xml:space="preserve"> </w:t>
      </w:r>
      <w:r>
        <w:t xml:space="preserve">· Efficacy of Exenatide Plus Pioglitazone Vs Basal/Bolus Insulin in T2DM Patients With Very High HbA1c. PMID 28324038</w:t>
      </w:r>
    </w:p>
    <w:p>
      <w:pPr>
        <w:numPr>
          <w:ilvl w:val="0"/>
          <w:numId w:val="1376"/>
        </w:numPr>
        <w:pStyle w:val="Compact"/>
      </w:pPr>
      <w:r>
        <w:t xml:space="preserve">2017 · Ishøy PL ·</w:t>
      </w:r>
      <w:r>
        <w:t xml:space="preserve"> </w:t>
      </w:r>
      <w:r>
        <w:rPr>
          <w:iCs/>
          <w:i/>
        </w:rPr>
        <w:t xml:space="preserve">Acta Psychiatr Scand</w:t>
      </w:r>
      <w:r>
        <w:t xml:space="preserve"> </w:t>
      </w:r>
      <w:r>
        <w:t xml:space="preserve">· No cognitive-enhancing effect of GLP-1 receptor agonism in antipsychotic-treated, obese patients with schizophrenia. PMID 28260235</w:t>
      </w:r>
    </w:p>
    <w:p>
      <w:pPr>
        <w:numPr>
          <w:ilvl w:val="0"/>
          <w:numId w:val="1376"/>
        </w:numPr>
        <w:pStyle w:val="Compact"/>
      </w:pPr>
      <w:r>
        <w:t xml:space="preserve">2017 · Bremholm L ·</w:t>
      </w:r>
      <w:r>
        <w:t xml:space="preserve"> </w:t>
      </w:r>
      <w:r>
        <w:rPr>
          <w:iCs/>
          <w:i/>
        </w:rPr>
        <w:t xml:space="preserve">Physiol Rep</w:t>
      </w:r>
      <w:r>
        <w:t xml:space="preserve"> </w:t>
      </w:r>
      <w:r>
        <w:t xml:space="preserve">· Acute effects of glucagon-like peptide-1, GLP-1(9-36 amide), and exenatide on mesenteric blood flow, cardiovascular parameters, and biomarkers in healthy volunteers. PMID 28235974</w:t>
      </w:r>
    </w:p>
    <w:p>
      <w:pPr>
        <w:numPr>
          <w:ilvl w:val="0"/>
          <w:numId w:val="1376"/>
        </w:numPr>
        <w:pStyle w:val="Compact"/>
      </w:pPr>
      <w:r>
        <w:t xml:space="preserve">2017 · Gadde KM ·</w:t>
      </w:r>
      <w:r>
        <w:t xml:space="preserve"> </w:t>
      </w:r>
      <w:r>
        <w:rPr>
          <w:iCs/>
          <w:i/>
        </w:rPr>
        <w:t xml:space="preserve">Diabetes Obes Metab</w:t>
      </w:r>
      <w:r>
        <w:t xml:space="preserve"> </w:t>
      </w:r>
      <w:r>
        <w:t xml:space="preserve">· Efficacy and safety of autoinjected exenatide once-weekly suspension versus sitagliptin or placebo with metformin in patients with type 2 diabetes: The DURATION-NEO-2 randomized clinical study. PMID 28205322</w:t>
      </w:r>
    </w:p>
    <w:p>
      <w:pPr>
        <w:numPr>
          <w:ilvl w:val="0"/>
          <w:numId w:val="1376"/>
        </w:numPr>
        <w:pStyle w:val="Compact"/>
      </w:pPr>
      <w:r>
        <w:t xml:space="preserve">2017 · Shi L ·</w:t>
      </w:r>
      <w:r>
        <w:t xml:space="preserve"> </w:t>
      </w:r>
      <w:r>
        <w:rPr>
          <w:iCs/>
          <w:i/>
        </w:rPr>
        <w:t xml:space="preserve">Obes Res Clin Pract</w:t>
      </w:r>
      <w:r>
        <w:t xml:space="preserve"> </w:t>
      </w:r>
      <w:r>
        <w:t xml:space="preserve">· Comparison of exenatide and acarbose on intra-abdominal fat content in patients with obesity and type-2 diabetes: A randomized controlled trial. PMID 28161303</w:t>
      </w:r>
    </w:p>
    <w:p>
      <w:pPr>
        <w:numPr>
          <w:ilvl w:val="0"/>
          <w:numId w:val="1376"/>
        </w:numPr>
        <w:pStyle w:val="Compact"/>
      </w:pPr>
      <w:r>
        <w:t xml:space="preserve">2017 · Abdul-Ghani M ·</w:t>
      </w:r>
      <w:r>
        <w:t xml:space="preserve"> </w:t>
      </w:r>
      <w:r>
        <w:rPr>
          <w:iCs/>
          <w:i/>
        </w:rPr>
        <w:t xml:space="preserve">Diabetes Care</w:t>
      </w:r>
      <w:r>
        <w:t xml:space="preserve"> </w:t>
      </w:r>
      <w:r>
        <w:t xml:space="preserve">· Combination Therapy With Exenatide Plus Pioglitazone Versus Basal/Bolus Insulin in Patients With Poorly Controlled Type 2 Diabetes on Sulfonylurea Plus Metformin: The Qatar Study. PMID 28096223</w:t>
      </w:r>
    </w:p>
    <w:p>
      <w:pPr>
        <w:numPr>
          <w:ilvl w:val="0"/>
          <w:numId w:val="1376"/>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6"/>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6"/>
        </w:numPr>
        <w:pStyle w:val="Compact"/>
      </w:pPr>
      <w:r>
        <w:t xml:space="preserve">2017 · Thazhath SS ·</w:t>
      </w:r>
      <w:r>
        <w:t xml:space="preserve"> </w:t>
      </w:r>
      <w:r>
        <w:rPr>
          <w:iCs/>
          <w:i/>
        </w:rPr>
        <w:t xml:space="preserve">Diab Vasc Dis Res</w:t>
      </w:r>
      <w:r>
        <w:t xml:space="preserve"> </w:t>
      </w:r>
      <w:r>
        <w:t xml:space="preserve">· Acute effects of the glucagon-like peptide-1 receptor agonist, exenatide, on blood pressure and heart rate responses to intraduodenal glucose infusion in type 2 diabetes. PMID 27941058</w:t>
      </w:r>
    </w:p>
    <w:p>
      <w:pPr>
        <w:numPr>
          <w:ilvl w:val="0"/>
          <w:numId w:val="1376"/>
        </w:numPr>
        <w:pStyle w:val="Compact"/>
      </w:pPr>
      <w:r>
        <w:t xml:space="preserve">2017 · Camastra S ·</w:t>
      </w:r>
      <w:r>
        <w:t xml:space="preserve"> </w:t>
      </w:r>
      <w:r>
        <w:rPr>
          <w:iCs/>
          <w:i/>
        </w:rPr>
        <w:t xml:space="preserve">Diabetes Obes Metab</w:t>
      </w:r>
      <w:r>
        <w:t xml:space="preserve"> </w:t>
      </w:r>
      <w:r>
        <w:t xml:space="preserve">· Effect of exenatide on postprandial glucose fluxes, lipolysis, and ß-cell function in non-diabetic, morbidly obese patients. PMID 27898183</w:t>
      </w:r>
    </w:p>
    <w:p>
      <w:pPr>
        <w:numPr>
          <w:ilvl w:val="0"/>
          <w:numId w:val="1376"/>
        </w:numPr>
        <w:pStyle w:val="Compact"/>
      </w:pPr>
      <w:r>
        <w:t xml:space="preserve">2017 · Chaudhuri A ·</w:t>
      </w:r>
      <w:r>
        <w:t xml:space="preserve"> </w:t>
      </w:r>
      <w:r>
        <w:rPr>
          <w:iCs/>
          <w:i/>
        </w:rPr>
        <w:t xml:space="preserve">Diabetes Obes Metab</w:t>
      </w:r>
      <w:r>
        <w:t xml:space="preserve"> </w:t>
      </w:r>
      <w:r>
        <w:t xml:space="preserve">· Exenatide induces an increase in vasodilatory and a decrease in vasoconstrictive mediators. PMID 27891769</w:t>
      </w:r>
    </w:p>
    <w:p>
      <w:pPr>
        <w:numPr>
          <w:ilvl w:val="0"/>
          <w:numId w:val="1376"/>
        </w:numPr>
        <w:pStyle w:val="Compact"/>
      </w:pPr>
      <w:r>
        <w:t xml:space="preserve">2017 · Scalzo RL ·</w:t>
      </w:r>
      <w:r>
        <w:t xml:space="preserve"> </w:t>
      </w:r>
      <w:r>
        <w:rPr>
          <w:iCs/>
          <w:i/>
        </w:rPr>
        <w:t xml:space="preserve">J Diabetes Complications</w:t>
      </w:r>
      <w:r>
        <w:t xml:space="preserve"> </w:t>
      </w:r>
      <w:r>
        <w:t xml:space="preserve">· Exenatide improves diastolic function and attenuates arterial stiffness but does not alter exercise capacity in individuals with type 2 diabetes. PMID 27884660</w:t>
      </w:r>
    </w:p>
    <w:p>
      <w:pPr>
        <w:numPr>
          <w:ilvl w:val="0"/>
          <w:numId w:val="1376"/>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6"/>
        </w:numPr>
        <w:pStyle w:val="Compact"/>
      </w:pPr>
      <w:r>
        <w:t xml:space="preserve">2017 · Ishøy PL ·</w:t>
      </w:r>
      <w:r>
        <w:t xml:space="preserve"> </w:t>
      </w:r>
      <w:r>
        <w:rPr>
          <w:iCs/>
          <w:i/>
        </w:rPr>
        <w:t xml:space="preserve">Diabetes Obes Metab</w:t>
      </w:r>
      <w:r>
        <w:t xml:space="preserve"> </w:t>
      </w:r>
      <w:r>
        <w:t xml:space="preserve">· Effect of GLP-1 receptor agonist treatment on body weight in obese antipsychotic-treated patients with schizophrenia: a randomized, placebo-controlled trial. PMID 27717222</w:t>
      </w:r>
    </w:p>
    <w:p>
      <w:pPr>
        <w:numPr>
          <w:ilvl w:val="0"/>
          <w:numId w:val="1376"/>
        </w:numPr>
        <w:pStyle w:val="Compact"/>
      </w:pPr>
      <w:r>
        <w:t xml:space="preserve">2017 · Lundkvist P ·</w:t>
      </w:r>
      <w:r>
        <w:t xml:space="preserve"> </w:t>
      </w:r>
      <w:r>
        <w:rPr>
          <w:iCs/>
          <w:i/>
        </w:rPr>
        <w:t xml:space="preserve">Diabetes Obes Metab</w:t>
      </w:r>
      <w:r>
        <w:t xml:space="preserve"> </w:t>
      </w:r>
      <w:r>
        <w:t xml:space="preserve">· Dapagliflozin once-daily and exenatide once-weekly dual therapy: A 24-week randomized, placebo-controlled, phase II study examining effects on body weight and prediabetes in obese adults without diabetes. PMID 27550386</w:t>
      </w:r>
    </w:p>
    <w:p>
      <w:pPr>
        <w:numPr>
          <w:ilvl w:val="0"/>
          <w:numId w:val="1376"/>
        </w:numPr>
        <w:pStyle w:val="Compact"/>
      </w:pPr>
      <w:r>
        <w:t xml:space="preserve">2017 · Salehi P ·</w:t>
      </w:r>
      <w:r>
        <w:t xml:space="preserve"> </w:t>
      </w:r>
      <w:r>
        <w:rPr>
          <w:iCs/>
          <w:i/>
        </w:rPr>
        <w:t xml:space="preserve">Pediatr Obes</w:t>
      </w:r>
      <w:r>
        <w:t xml:space="preserve"> </w:t>
      </w:r>
      <w:r>
        <w:t xml:space="preserve">· Effects of exenatide on weight and appetite in overweight adolescents and young adults with Prader-Willi syndrome. PMID 27071367</w:t>
      </w:r>
    </w:p>
    <w:p>
      <w:pPr>
        <w:numPr>
          <w:ilvl w:val="0"/>
          <w:numId w:val="1376"/>
        </w:numPr>
        <w:pStyle w:val="Compact"/>
      </w:pPr>
      <w:r>
        <w:t xml:space="preserve">2016 · Wiberg S ·</w:t>
      </w:r>
      <w:r>
        <w:t xml:space="preserve"> </w:t>
      </w:r>
      <w:r>
        <w:rPr>
          <w:iCs/>
          <w:i/>
        </w:rPr>
        <w:t xml:space="preserve">Circulation</w:t>
      </w:r>
      <w:r>
        <w:t xml:space="preserve"> </w:t>
      </w:r>
      <w:r>
        <w:t xml:space="preserve">· Neuroprotective Effects of the Glucagon-Like Peptide-1 Analog Exenatide After Out-of-Hospital Cardiac Arrest: A Randomized Controlled Trial. PMID 27838646</w:t>
      </w:r>
    </w:p>
    <w:p>
      <w:pPr>
        <w:numPr>
          <w:ilvl w:val="0"/>
          <w:numId w:val="1376"/>
        </w:numPr>
        <w:pStyle w:val="Compact"/>
      </w:pPr>
      <w:r>
        <w:t xml:space="preserve">2016 · de Lapertosa SB ·</w:t>
      </w:r>
      <w:r>
        <w:t xml:space="preserve"> </w:t>
      </w:r>
      <w:r>
        <w:rPr>
          <w:iCs/>
          <w:i/>
        </w:rPr>
        <w:t xml:space="preserve">Diabetes Res Clin Pract</w:t>
      </w:r>
      <w:r>
        <w:t xml:space="preserve"> </w:t>
      </w:r>
      <w:r>
        <w:t xml:space="preserve">· The effects of exenatide twice daily compared to insulin lispro added to basal insulin in Latin American patients with type 2 diabetes: A retrospective analysis of the 4B trial. PMID 27776251</w:t>
      </w:r>
    </w:p>
    <w:p>
      <w:pPr>
        <w:numPr>
          <w:ilvl w:val="0"/>
          <w:numId w:val="1376"/>
        </w:numPr>
        <w:pStyle w:val="Compact"/>
      </w:pPr>
      <w:r>
        <w:t xml:space="preserve">2016 · Frías JP ·</w:t>
      </w:r>
      <w:r>
        <w:t xml:space="preserve"> </w:t>
      </w:r>
      <w:r>
        <w:rPr>
          <w:iCs/>
          <w:i/>
        </w:rPr>
        <w:t xml:space="preserve">Lancet Diabetes Endocrinol</w:t>
      </w:r>
      <w:r>
        <w:t xml:space="preserve"> </w:t>
      </w:r>
      <w:r>
        <w:t xml:space="preserve">· Exenatide once weekly plus dapagliflozin once daily versus exenatide or dapagliflozin alone in patients with type 2 diabetes inadequately controlled with metformin monotherapy (DURATION-8): a 28 week, multicentre, double-blind, phase 3, randomised controlled trial. PMID 27651331</w:t>
      </w:r>
    </w:p>
    <w:p>
      <w:pPr>
        <w:numPr>
          <w:ilvl w:val="0"/>
          <w:numId w:val="1376"/>
        </w:numPr>
        <w:pStyle w:val="Compact"/>
      </w:pPr>
      <w:r>
        <w:t xml:space="preserve">2016 · Gastaldelli A ·</w:t>
      </w:r>
      <w:r>
        <w:t xml:space="preserve"> </w:t>
      </w:r>
      <w:r>
        <w:rPr>
          <w:iCs/>
          <w:i/>
        </w:rPr>
        <w:t xml:space="preserve">Hepatology</w:t>
      </w:r>
      <w:r>
        <w:t xml:space="preserve"> </w:t>
      </w:r>
      <w:r>
        <w:t xml:space="preserve">· Exenatide improves both hepatic and adipose tissue insulin resistance: A dynamic positron emission tomography study. PMID 27639082</w:t>
      </w:r>
    </w:p>
    <w:p>
      <w:pPr>
        <w:numPr>
          <w:ilvl w:val="0"/>
          <w:numId w:val="1376"/>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6"/>
        </w:numPr>
        <w:pStyle w:val="Compact"/>
      </w:pPr>
      <w:r>
        <w:t xml:space="preserve">2016 · Henry RR ·</w:t>
      </w:r>
      <w:r>
        <w:t xml:space="preserve"> </w:t>
      </w:r>
      <w:r>
        <w:rPr>
          <w:iCs/>
          <w:i/>
        </w:rPr>
        <w:t xml:space="preserve">Diabetes Technol Ther</w:t>
      </w:r>
      <w:r>
        <w:t xml:space="preserve"> </w:t>
      </w:r>
      <w:r>
        <w:t xml:space="preserve">· Efficacy and Tolerability of Exenatide Once Weekly Over 6 Years in Patients with Type 2 Diabetes: An Uncontrolled Open-Label Extension of the DURATION-1 Study. PMID 27525540</w:t>
      </w:r>
    </w:p>
    <w:p>
      <w:pPr>
        <w:numPr>
          <w:ilvl w:val="0"/>
          <w:numId w:val="1376"/>
        </w:numPr>
        <w:pStyle w:val="Compact"/>
      </w:pPr>
      <w:r>
        <w:t xml:space="preserve">2016 · van Raalte DH ·</w:t>
      </w:r>
      <w:r>
        <w:t xml:space="preserve"> </w:t>
      </w:r>
      <w:r>
        <w:rPr>
          <w:iCs/>
          <w:i/>
        </w:rPr>
        <w:t xml:space="preserve">Eur J Endocrinol</w:t>
      </w:r>
      <w:r>
        <w:t xml:space="preserve"> </w:t>
      </w:r>
      <w:r>
        <w:t xml:space="preserve">· Exenatide improves β-cell function up to 3 years of treatment in patients with type 2 diabetes: a randomised controlled trial. PMID 27466218</w:t>
      </w:r>
    </w:p>
    <w:p>
      <w:pPr>
        <w:numPr>
          <w:ilvl w:val="0"/>
          <w:numId w:val="1376"/>
        </w:numPr>
        <w:pStyle w:val="Compact"/>
      </w:pPr>
      <w:r>
        <w:t xml:space="preserve">2016 · Wysham CH ·</w:t>
      </w:r>
      <w:r>
        <w:t xml:space="preserve"> </w:t>
      </w:r>
      <w:r>
        <w:rPr>
          <w:iCs/>
          <w:i/>
        </w:rPr>
        <w:t xml:space="preserve">Diabetes Care</w:t>
      </w:r>
      <w:r>
        <w:t xml:space="preserve"> </w:t>
      </w:r>
      <w:r>
        <w:t xml:space="preserve">· Efficacy and Safety of Multiple Doses of Exenatide Once-Monthly Suspension in Patients With Type 2 Diabetes: A Phase II Randomized Clinical Trial. PMID 27436275</w:t>
      </w:r>
    </w:p>
    <w:p>
      <w:pPr>
        <w:numPr>
          <w:ilvl w:val="0"/>
          <w:numId w:val="1376"/>
        </w:numPr>
        <w:pStyle w:val="Compact"/>
      </w:pPr>
      <w:r>
        <w:t xml:space="preserve">2016 · Roos ST ·</w:t>
      </w:r>
      <w:r>
        <w:t xml:space="preserve"> </w:t>
      </w:r>
      <w:r>
        <w:rPr>
          <w:iCs/>
          <w:i/>
        </w:rPr>
        <w:t xml:space="preserve">Int J Cardiol</w:t>
      </w:r>
      <w:r>
        <w:t xml:space="preserve"> </w:t>
      </w:r>
      <w:r>
        <w:t xml:space="preserve">· No benefit of additional treatment with exenatide in patients with an acute myocardial infarction. PMID 27394978</w:t>
      </w:r>
    </w:p>
    <w:p>
      <w:pPr>
        <w:numPr>
          <w:ilvl w:val="0"/>
          <w:numId w:val="1376"/>
        </w:numPr>
        <w:pStyle w:val="Compact"/>
      </w:pPr>
      <w:r>
        <w:t xml:space="preserve">2016 · Wiberg S ·</w:t>
      </w:r>
      <w:r>
        <w:t xml:space="preserve"> </w:t>
      </w:r>
      <w:r>
        <w:rPr>
          <w:iCs/>
          <w:i/>
        </w:rPr>
        <w:t xml:space="preserve">Trials</w:t>
      </w:r>
      <w:r>
        <w:t xml:space="preserve"> </w:t>
      </w:r>
      <w:r>
        <w:t xml:space="preserve">· GLP-1 analogues for neuroprotection after out-of-hospital cardiac arrest: study protocol for a randomized controlled trial. PMID 27363489</w:t>
      </w:r>
    </w:p>
    <w:p>
      <w:pPr>
        <w:numPr>
          <w:ilvl w:val="0"/>
          <w:numId w:val="1376"/>
        </w:numPr>
        <w:pStyle w:val="Compact"/>
      </w:pPr>
      <w:r>
        <w:t xml:space="preserve">2016 · Zoso A ·</w:t>
      </w:r>
      <w:r>
        <w:t xml:space="preserve"> </w:t>
      </w:r>
      <w:r>
        <w:rPr>
          <w:iCs/>
          <w:i/>
        </w:rPr>
        <w:t xml:space="preserve">PLoS One</w:t>
      </w:r>
      <w:r>
        <w:t xml:space="preserve"> </w:t>
      </w:r>
      <w:r>
        <w:t xml:space="preserve">· G-CSF and Exenatide Might Be Associated with Increased Long-Term Survival of Allogeneic Pancreatic Islet Grafts. PMID 27285580</w:t>
      </w:r>
    </w:p>
    <w:p>
      <w:pPr>
        <w:numPr>
          <w:ilvl w:val="0"/>
          <w:numId w:val="1376"/>
        </w:numPr>
        <w:pStyle w:val="Compact"/>
      </w:pPr>
      <w:r>
        <w:t xml:space="preserve">2016 · FLAT-SUGAR Trial Investigators ·</w:t>
      </w:r>
      <w:r>
        <w:t xml:space="preserve"> </w:t>
      </w:r>
      <w:r>
        <w:rPr>
          <w:iCs/>
          <w:i/>
        </w:rPr>
        <w:t xml:space="preserve">Diabetes Care</w:t>
      </w:r>
      <w:r>
        <w:t xml:space="preserve"> </w:t>
      </w:r>
      <w:r>
        <w:t xml:space="preserve">· Glucose Variability in a 26-Week Randomized Comparison of Mealtime Treatment With Rapid-Acting Insulin Versus GLP-1 Agonist in Participants With Type 2 Diabetes at High Cardiovascular Risk. PMID 27208320</w:t>
      </w:r>
    </w:p>
    <w:p>
      <w:pPr>
        <w:numPr>
          <w:ilvl w:val="0"/>
          <w:numId w:val="1376"/>
        </w:numPr>
        <w:pStyle w:val="Compact"/>
      </w:pPr>
      <w:r>
        <w:t xml:space="preserve">2016 · Dutour A ·</w:t>
      </w:r>
      <w:r>
        <w:t xml:space="preserve"> </w:t>
      </w:r>
      <w:r>
        <w:rPr>
          <w:iCs/>
          <w:i/>
        </w:rPr>
        <w:t xml:space="preserve">Diabetes Obes Metab</w:t>
      </w:r>
      <w:r>
        <w:t xml:space="preserve"> </w:t>
      </w:r>
      <w:r>
        <w:t xml:space="preserve">· Exenatide decreases liver fat content and epicardial adipose tissue in patients with obesity and type 2 diabetes: a prospective randomized clinical trial using magnetic resonance imaging and spectroscopy. PMID 27106272</w:t>
      </w:r>
    </w:p>
    <w:p>
      <w:pPr>
        <w:numPr>
          <w:ilvl w:val="0"/>
          <w:numId w:val="1376"/>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6"/>
        </w:numPr>
        <w:pStyle w:val="Compact"/>
      </w:pPr>
      <w:r>
        <w:t xml:space="preserve">2016 · Wei R ·</w:t>
      </w:r>
      <w:r>
        <w:t xml:space="preserve"> </w:t>
      </w:r>
      <w:r>
        <w:rPr>
          <w:iCs/>
          <w:i/>
        </w:rPr>
        <w:t xml:space="preserve">Am J Physiol Endocrinol Metab</w:t>
      </w:r>
      <w:r>
        <w:t xml:space="preserve"> </w:t>
      </w:r>
      <w:r>
        <w:t xml:space="preserve">· Exenatide exerts direct protective effects on endothelial cells through the AMPK/Akt/eNOS pathway in a GLP-1 receptor-dependent manner. PMID 27072494</w:t>
      </w:r>
    </w:p>
    <w:p>
      <w:pPr>
        <w:numPr>
          <w:ilvl w:val="0"/>
          <w:numId w:val="1376"/>
        </w:numPr>
        <w:pStyle w:val="Compact"/>
      </w:pPr>
      <w:r>
        <w:t xml:space="preserve">2016 · Tonneijck L ·</w:t>
      </w:r>
      <w:r>
        <w:t xml:space="preserve"> </w:t>
      </w:r>
      <w:r>
        <w:rPr>
          <w:iCs/>
          <w:i/>
        </w:rPr>
        <w:t xml:space="preserve">Diabetologia</w:t>
      </w:r>
      <w:r>
        <w:t xml:space="preserve"> </w:t>
      </w:r>
      <w:r>
        <w:t xml:space="preserve">· Acute renal effects of the GLP-1 receptor agonist exenatide in overweight type 2 diabetes patients: a randomised, double-blind, placebo-controlled trial. PMID 27038451</w:t>
      </w:r>
    </w:p>
    <w:p>
      <w:pPr>
        <w:numPr>
          <w:ilvl w:val="0"/>
          <w:numId w:val="1376"/>
        </w:numPr>
        <w:pStyle w:val="Compact"/>
      </w:pPr>
      <w:r>
        <w:t xml:space="preserve">2016 · Xu S ·</w:t>
      </w:r>
      <w:r>
        <w:t xml:space="preserve"> </w:t>
      </w:r>
      <w:r>
        <w:rPr>
          <w:iCs/>
          <w:i/>
        </w:rPr>
        <w:t xml:space="preserve">Trials</w:t>
      </w:r>
      <w:r>
        <w:t xml:space="preserve"> </w:t>
      </w:r>
      <w:r>
        <w:t xml:space="preserve">· Comparison of exenatide with biphasic insulin aspart 30 on glucose variability in type 2 diabetes: study protocol for a randomized controlled trial. PMID 27009108</w:t>
      </w:r>
    </w:p>
    <w:p>
      <w:pPr>
        <w:numPr>
          <w:ilvl w:val="0"/>
          <w:numId w:val="1376"/>
        </w:numPr>
        <w:pStyle w:val="Compact"/>
      </w:pPr>
      <w:r>
        <w:t xml:space="preserve">2016 · Topyildiz F ·</w:t>
      </w:r>
      <w:r>
        <w:t xml:space="preserve"> </w:t>
      </w:r>
      <w:r>
        <w:rPr>
          <w:iCs/>
          <w:i/>
        </w:rPr>
        <w:t xml:space="preserve">J Diabetes Res</w:t>
      </w:r>
      <w:r>
        <w:t xml:space="preserve"> </w:t>
      </w:r>
      <w:r>
        <w:t xml:space="preserve">· Exenatide Treatment Causes Suppression of Serum Ghrelin Levels following Mixed Meal Test in Obese Diabetic Women. PMID 26998491</w:t>
      </w:r>
    </w:p>
    <w:p>
      <w:pPr>
        <w:numPr>
          <w:ilvl w:val="0"/>
          <w:numId w:val="1376"/>
        </w:numPr>
        <w:pStyle w:val="Compact"/>
      </w:pPr>
      <w:r>
        <w:t xml:space="preserve">2016 · Holman RR ·</w:t>
      </w:r>
      <w:r>
        <w:t xml:space="preserve"> </w:t>
      </w:r>
      <w:r>
        <w:rPr>
          <w:iCs/>
          <w:i/>
        </w:rPr>
        <w:t xml:space="preserve">Am Heart J</w:t>
      </w:r>
      <w:r>
        <w:t xml:space="preserve"> </w:t>
      </w:r>
      <w:r>
        <w:t xml:space="preserve">· Rationale and design of the EXenatide Study of Cardiovascular Event Lowering (EXSCEL) trial. PMID 26995376</w:t>
      </w:r>
    </w:p>
    <w:p>
      <w:pPr>
        <w:numPr>
          <w:ilvl w:val="0"/>
          <w:numId w:val="1376"/>
        </w:numPr>
        <w:pStyle w:val="Compact"/>
      </w:pPr>
      <w:r>
        <w:t xml:space="preserve">2016 · McGrath RT ·</w:t>
      </w:r>
      <w:r>
        <w:t xml:space="preserve"> </w:t>
      </w:r>
      <w:r>
        <w:rPr>
          <w:iCs/>
          <w:i/>
        </w:rPr>
        <w:t xml:space="preserve">BMJ Open</w:t>
      </w:r>
      <w:r>
        <w:t xml:space="preserve"> </w:t>
      </w:r>
      <w:r>
        <w:t xml:space="preserve">· Rationale and design of Short-Term EXenatide therapy in Acute ischaemic Stroke (STEXAS): a randomised, open-label, parallel-group study. PMID 26911582</w:t>
      </w:r>
    </w:p>
    <w:p>
      <w:pPr>
        <w:numPr>
          <w:ilvl w:val="0"/>
          <w:numId w:val="1376"/>
        </w:numPr>
        <w:pStyle w:val="Compact"/>
      </w:pPr>
      <w:r>
        <w:t xml:space="preserve">2016 · Quan H ·</w:t>
      </w:r>
      <w:r>
        <w:t xml:space="preserve"> </w:t>
      </w:r>
      <w:r>
        <w:rPr>
          <w:iCs/>
          <w:i/>
        </w:rPr>
        <w:t xml:space="preserve">J Diabetes Complications</w:t>
      </w:r>
      <w:r>
        <w:t xml:space="preserve"> </w:t>
      </w:r>
      <w:r>
        <w:t xml:space="preserve">· Gender-related different effects of a combined therapy of Exenatide and Metformin on overweight or obesity patients with type 2 diabetes mellitus. PMID 26873871</w:t>
      </w:r>
    </w:p>
    <w:p>
      <w:pPr>
        <w:numPr>
          <w:ilvl w:val="0"/>
          <w:numId w:val="1376"/>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6"/>
        </w:numPr>
        <w:pStyle w:val="Compact"/>
      </w:pPr>
      <w:r>
        <w:t xml:space="preserve">2016 · Sheu WH ·</w:t>
      </w:r>
      <w:r>
        <w:t xml:space="preserve"> </w:t>
      </w:r>
      <w:r>
        <w:rPr>
          <w:iCs/>
          <w:i/>
        </w:rPr>
        <w:t xml:space="preserve">Diabetes Res Clin Pract</w:t>
      </w:r>
      <w:r>
        <w:t xml:space="preserve"> </w:t>
      </w:r>
      <w:r>
        <w:t xml:space="preserve">· Efficacy and tolerability of exenatide twice daily and exenatide once weekly in Asian versus White patients with type 2 diabetes mellitus: A pooled analysis. PMID 26827116</w:t>
      </w:r>
    </w:p>
    <w:p>
      <w:pPr>
        <w:numPr>
          <w:ilvl w:val="0"/>
          <w:numId w:val="1376"/>
        </w:numPr>
        <w:pStyle w:val="Compact"/>
      </w:pPr>
      <w:r>
        <w:t xml:space="preserve">2016 · Savvidou S ·</w:t>
      </w:r>
      <w:r>
        <w:t xml:space="preserve"> </w:t>
      </w:r>
      <w:r>
        <w:rPr>
          <w:iCs/>
          <w:i/>
        </w:rPr>
        <w:t xml:space="preserve">Diabetes Res Clin Pract</w:t>
      </w:r>
      <w:r>
        <w:t xml:space="preserve"> </w:t>
      </w:r>
      <w:r>
        <w:t xml:space="preserve">· Circulating adiponectin levels in type 2 diabetes mellitus patients with or without non-alcoholic fatty liver disease: Results of a small, open-label, randomized controlled intervention trial in a subgroup receiving short-term exenatide. PMID 26803355</w:t>
      </w:r>
    </w:p>
    <w:p>
      <w:pPr>
        <w:numPr>
          <w:ilvl w:val="0"/>
          <w:numId w:val="1376"/>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6"/>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6"/>
        </w:numPr>
        <w:pStyle w:val="Compact"/>
      </w:pPr>
      <w:r>
        <w:t xml:space="preserve">2016 · Nathan BM ·</w:t>
      </w:r>
      <w:r>
        <w:t xml:space="preserve"> </w:t>
      </w:r>
      <w:r>
        <w:rPr>
          <w:iCs/>
          <w:i/>
        </w:rPr>
        <w:t xml:space="preserve">Clin Obes</w:t>
      </w:r>
      <w:r>
        <w:t xml:space="preserve"> </w:t>
      </w:r>
      <w:r>
        <w:t xml:space="preserve">· Predictors of weight-loss response with glucagon-like peptide-1 receptor agonist treatment among adolescents with severe obesity. PMID 26683756</w:t>
      </w:r>
    </w:p>
    <w:p>
      <w:pPr>
        <w:numPr>
          <w:ilvl w:val="0"/>
          <w:numId w:val="1376"/>
        </w:numPr>
        <w:pStyle w:val="Compact"/>
      </w:pPr>
      <w:r>
        <w:t xml:space="preserve">2016 · Smits MM ·</w:t>
      </w:r>
      <w:r>
        <w:t xml:space="preserve"> </w:t>
      </w:r>
      <w:r>
        <w:rPr>
          <w:iCs/>
          <w:i/>
        </w:rPr>
        <w:t xml:space="preserve">Diabetes Obes Metab</w:t>
      </w:r>
      <w:r>
        <w:t xml:space="preserve"> </w:t>
      </w:r>
      <w:r>
        <w:t xml:space="preserve">· Glucagon-like peptide-1 receptor agonist exenatide has no acute effect on MRI-measured exocrine pancreatic function in patients with type 2 diabetes: a randomized trial. PMID 26640129</w:t>
      </w:r>
    </w:p>
    <w:p>
      <w:pPr>
        <w:numPr>
          <w:ilvl w:val="0"/>
          <w:numId w:val="1376"/>
        </w:numPr>
        <w:pStyle w:val="Compact"/>
      </w:pPr>
      <w:r>
        <w:t xml:space="preserve">2016 · Muskiet MH ·</w:t>
      </w:r>
      <w:r>
        <w:t xml:space="preserve"> </w:t>
      </w:r>
      <w:r>
        <w:rPr>
          <w:iCs/>
          <w:i/>
        </w:rPr>
        <w:t xml:space="preserve">Diabetes Obes Metab</w:t>
      </w:r>
      <w:r>
        <w:t xml:space="preserve"> </w:t>
      </w:r>
      <w:r>
        <w:t xml:space="preserve">· Acute renal haemodynamic effects of glucagon-like peptide-1 receptor agonist exenatide in healthy overweight men. PMID 26636423</w:t>
      </w:r>
    </w:p>
    <w:p>
      <w:pPr>
        <w:numPr>
          <w:ilvl w:val="0"/>
          <w:numId w:val="1376"/>
        </w:numPr>
        <w:pStyle w:val="Compact"/>
      </w:pPr>
      <w:r>
        <w:t xml:space="preserve">2016 · Smits MM ·</w:t>
      </w:r>
      <w:r>
        <w:t xml:space="preserve"> </w:t>
      </w:r>
      <w:r>
        <w:rPr>
          <w:iCs/>
          <w:i/>
        </w:rPr>
        <w:t xml:space="preserve">Br J Clin Pharmacol</w:t>
      </w:r>
      <w:r>
        <w:t xml:space="preserve"> </w:t>
      </w:r>
      <w:r>
        <w:t xml:space="preserve">· Exenatide acutely increases heart rate in parallel with augmented sympathetic nervous system activation in healthy overweight males. PMID 26609792</w:t>
      </w:r>
    </w:p>
    <w:p>
      <w:pPr>
        <w:numPr>
          <w:ilvl w:val="0"/>
          <w:numId w:val="1376"/>
        </w:numPr>
        <w:pStyle w:val="Compact"/>
      </w:pPr>
      <w:r>
        <w:t xml:space="preserve">2016 · Thazhath SS ·</w:t>
      </w:r>
      <w:r>
        <w:t xml:space="preserve"> </w:t>
      </w:r>
      <w:r>
        <w:rPr>
          <w:iCs/>
          <w:i/>
        </w:rPr>
        <w:t xml:space="preserve">Diabetes</w:t>
      </w:r>
      <w:r>
        <w:t xml:space="preserve"> </w:t>
      </w:r>
      <w:r>
        <w:t xml:space="preserve">· The Glucagon-Like Peptide 1 Receptor Agonist Exenatide Inhibits Small Intestinal Motility, Flow, Transit, and Absorption of Glucose in Healthy Subjects and Patients With Type 2 Diabetes: A Randomized Controlled Trial. PMID 26470783</w:t>
      </w:r>
    </w:p>
    <w:p>
      <w:pPr>
        <w:numPr>
          <w:ilvl w:val="0"/>
          <w:numId w:val="1376"/>
        </w:numPr>
        <w:pStyle w:val="Compact"/>
      </w:pPr>
      <w:r>
        <w:t xml:space="preserve">2015 · Lin CH ·</w:t>
      </w:r>
      <w:r>
        <w:t xml:space="preserve"> </w:t>
      </w:r>
      <w:r>
        <w:rPr>
          <w:iCs/>
          <w:i/>
        </w:rPr>
        <w:t xml:space="preserve">Sci Rep</w:t>
      </w:r>
      <w:r>
        <w:t xml:space="preserve"> </w:t>
      </w:r>
      <w:r>
        <w:t xml:space="preserve">· Glucose Variability and β- Cell Response by GLP-1 Analogue added-on CSII for Patients with Poorly Controlled Type 2 Diabetes. PMID 26607841</w:t>
      </w:r>
    </w:p>
    <w:p>
      <w:pPr>
        <w:numPr>
          <w:ilvl w:val="0"/>
          <w:numId w:val="1376"/>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6"/>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6"/>
        </w:numPr>
        <w:pStyle w:val="Compact"/>
      </w:pPr>
      <w:r>
        <w:t xml:space="preserve">2015 · Wang XH ·</w:t>
      </w:r>
      <w:r>
        <w:t xml:space="preserve"> </w:t>
      </w:r>
      <w:r>
        <w:rPr>
          <w:iCs/>
          <w:i/>
        </w:rPr>
        <w:t xml:space="preserve">Sichuan Da Xue Xue Bao Yi Xue Ban</w:t>
      </w:r>
      <w:r>
        <w:t xml:space="preserve"> </w:t>
      </w:r>
      <w:r>
        <w:t xml:space="preserve">· [Effects of GLP-1 Agonist Exenatide on Cardiac Diastolic Function and Vascular Endothelial Function in Diabetic Patients]. PMID 26480664</w:t>
      </w:r>
    </w:p>
    <w:p>
      <w:pPr>
        <w:numPr>
          <w:ilvl w:val="0"/>
          <w:numId w:val="1376"/>
        </w:numPr>
        <w:pStyle w:val="Compact"/>
      </w:pPr>
      <w:r>
        <w:t xml:space="preserve">2015 · Simó R ·</w:t>
      </w:r>
      <w:r>
        <w:t xml:space="preserve"> </w:t>
      </w:r>
      <w:r>
        <w:rPr>
          <w:iCs/>
          <w:i/>
        </w:rPr>
        <w:t xml:space="preserve">Cardiovasc Diabetol</w:t>
      </w:r>
      <w:r>
        <w:t xml:space="preserve"> </w:t>
      </w:r>
      <w:r>
        <w:t xml:space="preserve">· Long-term changes in cardiovascular risk markers during administration of exenatide twice daily or glimepiride: results from the European exenatide study. PMID 26338040</w:t>
      </w:r>
    </w:p>
    <w:p>
      <w:pPr>
        <w:numPr>
          <w:ilvl w:val="0"/>
          <w:numId w:val="1376"/>
        </w:numPr>
        <w:pStyle w:val="Compact"/>
      </w:pPr>
      <w:r>
        <w:t xml:space="preserve">2015 · van Bloemendaal L ·</w:t>
      </w:r>
      <w:r>
        <w:t xml:space="preserve"> </w:t>
      </w:r>
      <w:r>
        <w:rPr>
          <w:iCs/>
          <w:i/>
        </w:rPr>
        <w:t xml:space="preserve">Obesity (Silver Spring)</w:t>
      </w:r>
      <w:r>
        <w:t xml:space="preserve"> </w:t>
      </w:r>
      <w:r>
        <w:t xml:space="preserve">· Emotional eating is associated with increased brain responses to food-cues and reduced sensitivity to GLP-1 receptor activation. PMID 26331843</w:t>
      </w:r>
    </w:p>
    <w:p>
      <w:pPr>
        <w:numPr>
          <w:ilvl w:val="0"/>
          <w:numId w:val="1376"/>
        </w:numPr>
        <w:pStyle w:val="Compact"/>
      </w:pPr>
      <w:r>
        <w:t xml:space="preserve">2015 · Jaiswal M ·</w:t>
      </w:r>
      <w:r>
        <w:t xml:space="preserve"> </w:t>
      </w:r>
      <w:r>
        <w:rPr>
          <w:iCs/>
          <w:i/>
        </w:rPr>
        <w:t xml:space="preserve">J Diabetes Complications</w:t>
      </w:r>
      <w:r>
        <w:t xml:space="preserve"> </w:t>
      </w:r>
      <w:r>
        <w:t xml:space="preserve">· Effects of exenatide on measures of diabetic neuropathy in subjects with type 2 diabetes: results from an 18-month proof-of-concept open-label randomized study. PMID 26264399</w:t>
      </w:r>
    </w:p>
    <w:p>
      <w:pPr>
        <w:numPr>
          <w:ilvl w:val="0"/>
          <w:numId w:val="1376"/>
        </w:numPr>
        <w:pStyle w:val="Compact"/>
      </w:pPr>
      <w:r>
        <w:t xml:space="preserve">2015 · Li R ·</w:t>
      </w:r>
      <w:r>
        <w:t xml:space="preserve"> </w:t>
      </w:r>
      <w:r>
        <w:rPr>
          <w:iCs/>
          <w:i/>
        </w:rPr>
        <w:t xml:space="preserve">Acta Diabetol</w:t>
      </w:r>
      <w:r>
        <w:t xml:space="preserve"> </w:t>
      </w:r>
      <w:r>
        <w:t xml:space="preserve">· Effect of exenatide, insulin and pioglitazone on bone metabolism in patients with newly diagnosed type 2 diabetes. PMID 26249206</w:t>
      </w:r>
    </w:p>
    <w:p>
      <w:pPr>
        <w:numPr>
          <w:ilvl w:val="0"/>
          <w:numId w:val="1376"/>
        </w:numPr>
        <w:pStyle w:val="Compact"/>
      </w:pPr>
      <w:r>
        <w:t xml:space="preserve">2015 · Vlasakakis G ·</w:t>
      </w:r>
      <w:r>
        <w:t xml:space="preserve"> </w:t>
      </w:r>
      <w:r>
        <w:rPr>
          <w:iCs/>
          <w:i/>
        </w:rPr>
        <w:t xml:space="preserve">Adv Ther</w:t>
      </w:r>
      <w:r>
        <w:t xml:space="preserve"> </w:t>
      </w:r>
      <w:r>
        <w:t xml:space="preserve">· Pharmacokinetics and Tolerability of Exenatide Delivered by 7-Day Continuous Subcutaneous Infusion in Healthy Volunteers. PMID 26160357</w:t>
      </w:r>
    </w:p>
    <w:p>
      <w:pPr>
        <w:numPr>
          <w:ilvl w:val="0"/>
          <w:numId w:val="1376"/>
        </w:numPr>
        <w:pStyle w:val="Compact"/>
      </w:pPr>
      <w:r>
        <w:t xml:space="preserve">2015 · Daniele G ·</w:t>
      </w:r>
      <w:r>
        <w:t xml:space="preserve"> </w:t>
      </w:r>
      <w:r>
        <w:rPr>
          <w:iCs/>
          <w:i/>
        </w:rPr>
        <w:t xml:space="preserve">Diabetes</w:t>
      </w:r>
      <w:r>
        <w:t xml:space="preserve"> </w:t>
      </w:r>
      <w:r>
        <w:t xml:space="preserve">· Exenatide Regulates Cerebral Glucose Metabolism in Brain Areas Associated With Glucose Homeostasis and Reward System. PMID 26116695</w:t>
      </w:r>
    </w:p>
    <w:p>
      <w:pPr>
        <w:numPr>
          <w:ilvl w:val="0"/>
          <w:numId w:val="1376"/>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6"/>
        </w:numPr>
        <w:pStyle w:val="Compact"/>
      </w:pPr>
      <w:r>
        <w:t xml:space="preserve">2015 · van Bloemendaal L ·</w:t>
      </w:r>
      <w:r>
        <w:t xml:space="preserve"> </w:t>
      </w:r>
      <w:r>
        <w:rPr>
          <w:iCs/>
          <w:i/>
        </w:rPr>
        <w:t xml:space="preserve">Diabetes Obes Metab</w:t>
      </w:r>
      <w:r>
        <w:t xml:space="preserve"> </w:t>
      </w:r>
      <w:r>
        <w:t xml:space="preserve">· Brain reward-system activation in response to anticipation and consumption of palatable food is altered by glucagon-like peptide-1 receptor activation in humans. PMID 26094857</w:t>
      </w:r>
    </w:p>
    <w:p>
      <w:pPr>
        <w:numPr>
          <w:ilvl w:val="0"/>
          <w:numId w:val="1376"/>
        </w:numPr>
        <w:pStyle w:val="Compact"/>
      </w:pPr>
      <w:r>
        <w:t xml:space="preserve">2015 · Schernthaner G ·</w:t>
      </w:r>
      <w:r>
        <w:t xml:space="preserve"> </w:t>
      </w:r>
      <w:r>
        <w:rPr>
          <w:iCs/>
          <w:i/>
        </w:rPr>
        <w:t xml:space="preserve">Diabetes Obes Metab</w:t>
      </w:r>
      <w:r>
        <w:t xml:space="preserve"> </w:t>
      </w:r>
      <w:r>
        <w:t xml:space="preserve">· Treatment escalation options for patients with type 2 diabetes after failure of exenatide twice daily or glimepiride added to metformin: results from the prospective European Exenatide (EUREXA) study. PMID 25846577</w:t>
      </w:r>
    </w:p>
    <w:p>
      <w:pPr>
        <w:numPr>
          <w:ilvl w:val="0"/>
          <w:numId w:val="1376"/>
        </w:numPr>
        <w:pStyle w:val="Compact"/>
      </w:pPr>
      <w:r>
        <w:t xml:space="preserve">2015 · Wysham CH ·</w:t>
      </w:r>
      <w:r>
        <w:t xml:space="preserve"> </w:t>
      </w:r>
      <w:r>
        <w:rPr>
          <w:iCs/>
          <w:i/>
        </w:rPr>
        <w:t xml:space="preserve">Mayo Clin Proc</w:t>
      </w:r>
      <w:r>
        <w:t xml:space="preserve"> </w:t>
      </w:r>
      <w:r>
        <w:t xml:space="preserve">· Five-year efficacy and safety data of exenatide once weekly: long-term results from the DURATION-1 randomized clinical trial. PMID 25744115</w:t>
      </w:r>
    </w:p>
    <w:p>
      <w:pPr>
        <w:numPr>
          <w:ilvl w:val="0"/>
          <w:numId w:val="1376"/>
        </w:numPr>
        <w:pStyle w:val="Compact"/>
      </w:pPr>
      <w:r>
        <w:t xml:space="preserve">2015 · Koska J ·</w:t>
      </w:r>
      <w:r>
        <w:t xml:space="preserve"> </w:t>
      </w:r>
      <w:r>
        <w:rPr>
          <w:iCs/>
          <w:i/>
        </w:rPr>
        <w:t xml:space="preserve">Diabetes</w:t>
      </w:r>
      <w:r>
        <w:t xml:space="preserve"> </w:t>
      </w:r>
      <w:r>
        <w:t xml:space="preserve">· Exenatide Protects Against Glucose- and Lipid-Induced Endothelial Dysfunction: Evidence for Direct Vasodilation Effect of GLP-1 Receptor Agonists in Humans. PMID 25720388</w:t>
      </w:r>
    </w:p>
    <w:p>
      <w:pPr>
        <w:numPr>
          <w:ilvl w:val="0"/>
          <w:numId w:val="1376"/>
        </w:numPr>
        <w:pStyle w:val="Compact"/>
      </w:pPr>
      <w:r>
        <w:t xml:space="preserve">2015 · Blonde L ·</w:t>
      </w:r>
      <w:r>
        <w:t xml:space="preserve"> </w:t>
      </w:r>
      <w:r>
        <w:rPr>
          <w:iCs/>
          <w:i/>
        </w:rPr>
        <w:t xml:space="preserve">Cardiovasc Diabetol</w:t>
      </w:r>
      <w:r>
        <w:t xml:space="preserve"> </w:t>
      </w:r>
      <w:r>
        <w:t xml:space="preserve">· Association among weight change, glycemic control, and markers of cardiovascular risk with exenatide once weekly: a pooled analysis of patients with type 2 diabetes. PMID 25645567</w:t>
      </w:r>
    </w:p>
    <w:p>
      <w:pPr>
        <w:numPr>
          <w:ilvl w:val="0"/>
          <w:numId w:val="1376"/>
        </w:numPr>
        <w:pStyle w:val="Compact"/>
      </w:pPr>
      <w:r>
        <w:t xml:space="preserve">2015 · Iglesias P ·</w:t>
      </w:r>
      <w:r>
        <w:t xml:space="preserve"> </w:t>
      </w:r>
      <w:r>
        <w:rPr>
          <w:iCs/>
          <w:i/>
        </w:rPr>
        <w:t xml:space="preserve">Obes Surg</w:t>
      </w:r>
      <w:r>
        <w:t xml:space="preserve"> </w:t>
      </w:r>
      <w:r>
        <w:t xml:space="preserve">· Clinical effectiveness of exenatide in diabetic patients waiting for bariatric surgery. PMID 25589020</w:t>
      </w:r>
    </w:p>
    <w:p>
      <w:pPr>
        <w:numPr>
          <w:ilvl w:val="0"/>
          <w:numId w:val="1376"/>
        </w:numPr>
        <w:pStyle w:val="Compact"/>
      </w:pPr>
      <w:r>
        <w:t xml:space="preserve">2015 · Abdul-Ghani MA ·</w:t>
      </w:r>
      <w:r>
        <w:t xml:space="preserve"> </w:t>
      </w:r>
      <w:r>
        <w:rPr>
          <w:iCs/>
          <w:i/>
        </w:rPr>
        <w:t xml:space="preserve">Diabetes Obes Metab</w:t>
      </w:r>
      <w:r>
        <w:t xml:space="preserve"> </w:t>
      </w:r>
      <w:r>
        <w:t xml:space="preserve">· Initial combination therapy with metformin, pioglitazone and exenatide is more effective than sequential add-on therapy in subjects with new-onset diabetes. Results from the Efficacy and Durability of Initial Combination Therapy for Type 2 Diabetes (EDICT): a randomized trial. PMID 25425451</w:t>
      </w:r>
    </w:p>
    <w:p>
      <w:pPr>
        <w:numPr>
          <w:ilvl w:val="0"/>
          <w:numId w:val="1376"/>
        </w:numPr>
        <w:pStyle w:val="Compact"/>
      </w:pPr>
      <w:r>
        <w:t xml:space="preserve">2015 · Xu W ·</w:t>
      </w:r>
      <w:r>
        <w:t xml:space="preserve"> </w:t>
      </w:r>
      <w:r>
        <w:rPr>
          <w:iCs/>
          <w:i/>
        </w:rPr>
        <w:t xml:space="preserve">J Intern Med</w:t>
      </w:r>
      <w:r>
        <w:t xml:space="preserve"> </w:t>
      </w:r>
      <w:r>
        <w:t xml:space="preserve">· Comparison of the effects on glycaemic control and β-cell function in newly diagnosed type 2 diabetes patients of treatment with exenatide, insulin or pioglitazone: a multicentre randomized parallel-group trial (the CONFIDENCE study). PMID 25039675</w:t>
      </w:r>
    </w:p>
    <w:p>
      <w:pPr>
        <w:numPr>
          <w:ilvl w:val="0"/>
          <w:numId w:val="1376"/>
        </w:numPr>
        <w:pStyle w:val="Compact"/>
      </w:pPr>
      <w:r>
        <w:t xml:space="preserve">2014 · Gurkan E ·</w:t>
      </w:r>
      <w:r>
        <w:t xml:space="preserve"> </w:t>
      </w:r>
      <w:r>
        <w:rPr>
          <w:iCs/>
          <w:i/>
        </w:rPr>
        <w:t xml:space="preserve">Diabetes Res Clin Pract</w:t>
      </w:r>
      <w:r>
        <w:t xml:space="preserve"> </w:t>
      </w:r>
      <w:r>
        <w:t xml:space="preserve">· Evaluation of exenatide versus insulin glargine for the impact on endothelial functions and cardiovascular risk markers. PMID 25458329</w:t>
      </w:r>
    </w:p>
    <w:p>
      <w:pPr>
        <w:numPr>
          <w:ilvl w:val="0"/>
          <w:numId w:val="1376"/>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6"/>
        </w:numPr>
        <w:pStyle w:val="Compact"/>
      </w:pPr>
      <w:r>
        <w:t xml:space="preserve">2014 · Bi Y ·</w:t>
      </w:r>
      <w:r>
        <w:t xml:space="preserve"> </w:t>
      </w:r>
      <w:r>
        <w:rPr>
          <w:iCs/>
          <w:i/>
        </w:rPr>
        <w:t xml:space="preserve">Acta Diabetol</w:t>
      </w:r>
      <w:r>
        <w:t xml:space="preserve"> </w:t>
      </w:r>
      <w:r>
        <w:t xml:space="preserve">· Effects of exenatide, insulin, and pioglitazone on liver fat content and body fat distributions in drug-naive subjects with type 2 diabetes. PMID 25118999</w:t>
      </w:r>
    </w:p>
    <w:p>
      <w:pPr>
        <w:numPr>
          <w:ilvl w:val="0"/>
          <w:numId w:val="1376"/>
        </w:numPr>
        <w:pStyle w:val="Compact"/>
      </w:pPr>
      <w:r>
        <w:t xml:space="preserve">2014 · van Bloemendaal L ·</w:t>
      </w:r>
      <w:r>
        <w:t xml:space="preserve"> </w:t>
      </w:r>
      <w:r>
        <w:rPr>
          <w:iCs/>
          <w:i/>
        </w:rPr>
        <w:t xml:space="preserve">Diabetes</w:t>
      </w:r>
      <w:r>
        <w:t xml:space="preserve"> </w:t>
      </w:r>
      <w:r>
        <w:t xml:space="preserve">· GLP-1 receptor activation modulates appetite- and reward-related brain areas in humans. PMID 25071023</w:t>
      </w:r>
    </w:p>
    <w:p>
      <w:pPr>
        <w:numPr>
          <w:ilvl w:val="0"/>
          <w:numId w:val="1376"/>
        </w:numPr>
        <w:pStyle w:val="Compact"/>
      </w:pPr>
      <w:r>
        <w:t xml:space="preserve">2014 · Qi M ·</w:t>
      </w:r>
      <w:r>
        <w:t xml:space="preserve"> </w:t>
      </w:r>
      <w:r>
        <w:rPr>
          <w:iCs/>
          <w:i/>
        </w:rPr>
        <w:t xml:space="preserve">Acta Diabetol</w:t>
      </w:r>
      <w:r>
        <w:t xml:space="preserve"> </w:t>
      </w:r>
      <w:r>
        <w:t xml:space="preserve">· Five-year follow-up of patients with type 1 diabetes transplanted with allogeneic islets: the UIC experience. PMID 25034311</w:t>
      </w:r>
    </w:p>
    <w:p>
      <w:pPr>
        <w:numPr>
          <w:ilvl w:val="0"/>
          <w:numId w:val="1376"/>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76"/>
        </w:numPr>
        <w:pStyle w:val="Compact"/>
      </w:pPr>
      <w:r>
        <w:t xml:space="preserve">2014 · Diamant M ·</w:t>
      </w:r>
      <w:r>
        <w:t xml:space="preserve"> </w:t>
      </w:r>
      <w:r>
        <w:rPr>
          <w:iCs/>
          <w:i/>
        </w:rPr>
        <w:t xml:space="preserve">Diabetes Care</w:t>
      </w:r>
      <w:r>
        <w:t xml:space="preserve"> </w:t>
      </w:r>
      <w:r>
        <w:t xml:space="preserve">· Glucagon-like peptide 1 receptor agonist or bolus insulin with optimized basal insulin in type 2 diabetes. PMID 25011946</w:t>
      </w:r>
    </w:p>
    <w:p>
      <w:pPr>
        <w:numPr>
          <w:ilvl w:val="0"/>
          <w:numId w:val="1376"/>
        </w:numPr>
        <w:pStyle w:val="Compact"/>
      </w:pPr>
      <w:r>
        <w:t xml:space="preserve">2014 · Gudipaty L ·</w:t>
      </w:r>
      <w:r>
        <w:t xml:space="preserve"> </w:t>
      </w:r>
      <w:r>
        <w:rPr>
          <w:iCs/>
          <w:i/>
        </w:rPr>
        <w:t xml:space="preserve">Diabetes Care</w:t>
      </w:r>
      <w:r>
        <w:t xml:space="preserve"> </w:t>
      </w:r>
      <w:r>
        <w:t xml:space="preserve">· Effect of exenatide, sitagliptin, or glimepiride on β-cell secretory capacity in early type 2 diabetes. PMID 24969577</w:t>
      </w:r>
    </w:p>
    <w:p>
      <w:pPr>
        <w:numPr>
          <w:ilvl w:val="0"/>
          <w:numId w:val="1376"/>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6"/>
        </w:numPr>
        <w:pStyle w:val="Compact"/>
      </w:pPr>
      <w:r>
        <w:t xml:space="preserve">2014 · Holmberg FE ·</w:t>
      </w:r>
      <w:r>
        <w:t xml:space="preserve"> </w:t>
      </w:r>
      <w:r>
        <w:rPr>
          <w:iCs/>
          <w:i/>
        </w:rPr>
        <w:t xml:space="preserve">Scand Cardiovasc J</w:t>
      </w:r>
      <w:r>
        <w:t xml:space="preserve"> </w:t>
      </w:r>
      <w:r>
        <w:t xml:space="preserve">· Conditioning techniques and ischemic reperfusion injury in relation to on-pump cardiac surgery. PMID 24852515</w:t>
      </w:r>
    </w:p>
    <w:p>
      <w:pPr>
        <w:numPr>
          <w:ilvl w:val="0"/>
          <w:numId w:val="1376"/>
        </w:numPr>
        <w:pStyle w:val="Compact"/>
      </w:pPr>
      <w:r>
        <w:t xml:space="preserve">2014 · Shao N ·</w:t>
      </w:r>
      <w:r>
        <w:t xml:space="preserve"> </w:t>
      </w:r>
      <w:r>
        <w:rPr>
          <w:iCs/>
          <w:i/>
        </w:rPr>
        <w:t xml:space="preserve">Diabetes Metab Res Rev</w:t>
      </w:r>
      <w:r>
        <w:t xml:space="preserve"> </w:t>
      </w:r>
      <w:r>
        <w:t xml:space="preserve">· Benefits of exenatide on obesity and non-alcoholic fatty liver disease with elevated liver enzymes in patients with type 2 diabetes. PMID 24823873</w:t>
      </w:r>
    </w:p>
    <w:p>
      <w:pPr>
        <w:numPr>
          <w:ilvl w:val="0"/>
          <w:numId w:val="1376"/>
        </w:numPr>
        <w:pStyle w:val="Compact"/>
      </w:pPr>
      <w:r>
        <w:t xml:space="preserve">2014 · Diamant M ·</w:t>
      </w:r>
      <w:r>
        <w:t xml:space="preserve"> </w:t>
      </w:r>
      <w:r>
        <w:rPr>
          <w:iCs/>
          <w:i/>
        </w:rPr>
        <w:t xml:space="preserve">Lancet Diabetes Endocrinol</w:t>
      </w:r>
      <w:r>
        <w:t xml:space="preserve"> </w:t>
      </w:r>
      <w:r>
        <w:t xml:space="preserve">· Exenatide once weekly versus insulin glargine for type 2 diabetes (DURATION-3): 3-year results of an open-label randomised trial. PMID 24731672</w:t>
      </w:r>
    </w:p>
    <w:p>
      <w:pPr>
        <w:numPr>
          <w:ilvl w:val="0"/>
          <w:numId w:val="1376"/>
        </w:numPr>
        <w:pStyle w:val="Compact"/>
      </w:pPr>
      <w:r>
        <w:t xml:space="preserve">2014 · Aviles-Olmos I ·</w:t>
      </w:r>
      <w:r>
        <w:t xml:space="preserve"> </w:t>
      </w:r>
      <w:r>
        <w:rPr>
          <w:iCs/>
          <w:i/>
        </w:rPr>
        <w:t xml:space="preserve">J Parkinsons Dis</w:t>
      </w:r>
      <w:r>
        <w:t xml:space="preserve"> </w:t>
      </w:r>
      <w:r>
        <w:t xml:space="preserve">· Motor and cognitive advantages persist 12 months after exenatide exposure in Parkinson’s disease. PMID 24662192</w:t>
      </w:r>
    </w:p>
    <w:p>
      <w:pPr>
        <w:numPr>
          <w:ilvl w:val="0"/>
          <w:numId w:val="1376"/>
        </w:numPr>
        <w:pStyle w:val="Compact"/>
      </w:pPr>
      <w:r>
        <w:t xml:space="preserve">2014 · Henry RR ·</w:t>
      </w:r>
      <w:r>
        <w:t xml:space="preserve"> </w:t>
      </w:r>
      <w:r>
        <w:rPr>
          <w:iCs/>
          <w:i/>
        </w:rPr>
        <w:t xml:space="preserve">J Diabetes Complications</w:t>
      </w:r>
      <w:r>
        <w:t xml:space="preserve"> </w:t>
      </w:r>
      <w:r>
        <w:t xml:space="preserve">· Continuous subcutaneous delivery of exenatide via ITCA 650 leads to sustained glycemic control and weight loss for 48 weeks in metformin-treated subjects with type 2 diabetes. PMID 24631129</w:t>
      </w:r>
    </w:p>
    <w:p>
      <w:pPr>
        <w:numPr>
          <w:ilvl w:val="0"/>
          <w:numId w:val="1376"/>
        </w:numPr>
        <w:pStyle w:val="Compact"/>
      </w:pPr>
      <w:r>
        <w:t xml:space="preserve">2014 · Buse JB ·</w:t>
      </w:r>
      <w:r>
        <w:t xml:space="preserve"> </w:t>
      </w:r>
      <w:r>
        <w:rPr>
          <w:iCs/>
          <w:i/>
        </w:rPr>
        <w:t xml:space="preserve">Curr Med Res Opin</w:t>
      </w:r>
      <w:r>
        <w:t xml:space="preserve"> </w:t>
      </w:r>
      <w:r>
        <w:t xml:space="preserve">· Addition of exenatide BID to insulin glargine: a post-hoc analysis of the effect on glycemia and weight across a range of insulin titration. PMID 24621255</w:t>
      </w:r>
    </w:p>
    <w:p>
      <w:pPr>
        <w:numPr>
          <w:ilvl w:val="0"/>
          <w:numId w:val="1376"/>
        </w:numPr>
        <w:pStyle w:val="Compact"/>
      </w:pPr>
      <w:r>
        <w:t xml:space="preserve">2014 · Lønborg J ·</w:t>
      </w:r>
      <w:r>
        <w:t xml:space="preserve"> </w:t>
      </w:r>
      <w:r>
        <w:rPr>
          <w:iCs/>
          <w:i/>
        </w:rPr>
        <w:t xml:space="preserve">Diabetes</w:t>
      </w:r>
      <w:r>
        <w:t xml:space="preserve"> </w:t>
      </w:r>
      <w:r>
        <w:t xml:space="preserve">· Impact of acute hyperglycemia on myocardial infarct size, area at risk, and salvage in patients with STEMI and the association with exenatide treatment: results from a randomized study. PMID 24584550</w:t>
      </w:r>
    </w:p>
    <w:p>
      <w:pPr>
        <w:numPr>
          <w:ilvl w:val="0"/>
          <w:numId w:val="1376"/>
        </w:numPr>
        <w:pStyle w:val="Compact"/>
      </w:pPr>
      <w:r>
        <w:t xml:space="preserve">2014 · Ishøy PL ·</w:t>
      </w:r>
      <w:r>
        <w:t xml:space="preserve"> </w:t>
      </w:r>
      <w:r>
        <w:rPr>
          <w:iCs/>
          <w:i/>
        </w:rPr>
        <w:t xml:space="preserve">BMJ Open</w:t>
      </w:r>
      <w:r>
        <w:t xml:space="preserve"> </w:t>
      </w:r>
      <w:r>
        <w:t xml:space="preserve">· Treatment of antipsychotic-associated obesity with a GLP-1 receptor agonist–protocol for an investigator-initiated prospective, randomised, placebo-controlled, double-blinded intervention study: the TAO study protocol. PMID 24401727</w:t>
      </w:r>
    </w:p>
    <w:p>
      <w:pPr>
        <w:numPr>
          <w:ilvl w:val="0"/>
          <w:numId w:val="1376"/>
        </w:numPr>
        <w:pStyle w:val="Compact"/>
      </w:pPr>
      <w:r>
        <w:t xml:space="preserve">2014 · Gu N ·</w:t>
      </w:r>
      <w:r>
        <w:t xml:space="preserve"> </w:t>
      </w:r>
      <w:r>
        <w:rPr>
          <w:iCs/>
          <w:i/>
        </w:rPr>
        <w:t xml:space="preserve">Clin Ther</w:t>
      </w:r>
      <w:r>
        <w:t xml:space="preserve"> </w:t>
      </w:r>
      <w:r>
        <w:t xml:space="preserve">· Pharmacokinetic properties and effects of PT302 after repeated oral glucose loading tests in a dose-escalating study. PMID 24373998</w:t>
      </w:r>
    </w:p>
    <w:p>
      <w:pPr>
        <w:numPr>
          <w:ilvl w:val="0"/>
          <w:numId w:val="1376"/>
        </w:numPr>
        <w:pStyle w:val="Compact"/>
      </w:pPr>
      <w:r>
        <w:t xml:space="preserve">2014 · Arakaki RF ·</w:t>
      </w:r>
      <w:r>
        <w:t xml:space="preserve"> </w:t>
      </w:r>
      <w:r>
        <w:rPr>
          <w:iCs/>
          <w:i/>
        </w:rPr>
        <w:t xml:space="preserve">Diabetes Obes Metab</w:t>
      </w:r>
      <w:r>
        <w:t xml:space="preserve"> </w:t>
      </w:r>
      <w:r>
        <w:t xml:space="preserve">· Comparison of insulin lispro protamine suspension versus insulin glargine once daily added to oral antihyperglycaemic medications and exenatide in type 2 diabetes: a prospective randomized open-label trial. PMID 24298995</w:t>
      </w:r>
    </w:p>
    <w:p>
      <w:pPr>
        <w:numPr>
          <w:ilvl w:val="0"/>
          <w:numId w:val="1376"/>
        </w:numPr>
        <w:pStyle w:val="Compact"/>
      </w:pPr>
      <w:r>
        <w:t xml:space="preserve">2014 · Sarkar G ·</w:t>
      </w:r>
      <w:r>
        <w:t xml:space="preserve"> </w:t>
      </w:r>
      <w:r>
        <w:rPr>
          <w:iCs/>
          <w:i/>
        </w:rPr>
        <w:t xml:space="preserve">Diabetes Care</w:t>
      </w:r>
      <w:r>
        <w:t xml:space="preserve"> </w:t>
      </w:r>
      <w:r>
        <w:t xml:space="preserve">· Exenatide treatment for 6 months improves insulin sensitivity in adults with type 1 diabetes. PMID 24194508</w:t>
      </w:r>
    </w:p>
    <w:p>
      <w:pPr>
        <w:numPr>
          <w:ilvl w:val="0"/>
          <w:numId w:val="1376"/>
        </w:numPr>
        <w:pStyle w:val="Compact"/>
      </w:pPr>
      <w:r>
        <w:t xml:space="preserve">2014 · Ghazi T ·</w:t>
      </w:r>
      <w:r>
        <w:t xml:space="preserve"> </w:t>
      </w:r>
      <w:r>
        <w:rPr>
          <w:iCs/>
          <w:i/>
        </w:rPr>
        <w:t xml:space="preserve">Diabetes Care</w:t>
      </w:r>
      <w:r>
        <w:t xml:space="preserve"> </w:t>
      </w:r>
      <w:r>
        <w:t xml:space="preserve">· Acute metabolic effects of exenatide in patients with type 1 diabetes with and without residual insulin to oral and intravenous glucose challenges. PMID 23939544</w:t>
      </w:r>
    </w:p>
    <w:p>
      <w:pPr>
        <w:numPr>
          <w:ilvl w:val="0"/>
          <w:numId w:val="1376"/>
        </w:numPr>
        <w:pStyle w:val="Compact"/>
      </w:pPr>
      <w:r>
        <w:t xml:space="preserve">2014 · Gastaldelli A ·</w:t>
      </w:r>
      <w:r>
        <w:t xml:space="preserve"> </w:t>
      </w:r>
      <w:r>
        <w:rPr>
          <w:iCs/>
          <w:i/>
        </w:rPr>
        <w:t xml:space="preserve">Diabetes Obes Metab</w:t>
      </w:r>
      <w:r>
        <w:t xml:space="preserve"> </w:t>
      </w:r>
      <w:r>
        <w:t xml:space="preserve">· A direct comparison of long- and short-acting GLP-1 receptor agonists (taspoglutide once weekly and exenatide twice daily) on postprandial metabolism after 24 weeks of treatment. PMID 23911196</w:t>
      </w:r>
    </w:p>
    <w:p>
      <w:pPr>
        <w:numPr>
          <w:ilvl w:val="0"/>
          <w:numId w:val="1376"/>
        </w:numPr>
        <w:pStyle w:val="Compact"/>
      </w:pPr>
      <w:r>
        <w:t xml:space="preserve">2014 · Gastaldelli A ·</w:t>
      </w:r>
      <w:r>
        <w:t xml:space="preserve"> </w:t>
      </w:r>
      <w:r>
        <w:rPr>
          <w:iCs/>
          <w:i/>
        </w:rPr>
        <w:t xml:space="preserve">Clin Endocrinol (Oxf)</w:t>
      </w:r>
      <w:r>
        <w:t xml:space="preserve"> </w:t>
      </w:r>
      <w:r>
        <w:t xml:space="preserve">· The effect of chronic twice daily exenatide treatment on β-cell function in new onset type 2 diabetes. PMID 23574529</w:t>
      </w:r>
    </w:p>
    <w:p>
      <w:pPr>
        <w:numPr>
          <w:ilvl w:val="0"/>
          <w:numId w:val="1376"/>
        </w:numPr>
        <w:pStyle w:val="Compact"/>
      </w:pPr>
      <w:r>
        <w:t xml:space="preserve">2013 · Fan H ·</w:t>
      </w:r>
      <w:r>
        <w:t xml:space="preserve"> </w:t>
      </w:r>
      <w:r>
        <w:rPr>
          <w:iCs/>
          <w:i/>
        </w:rPr>
        <w:t xml:space="preserve">Arq Bras Endocrinol Metabol</w:t>
      </w:r>
      <w:r>
        <w:t xml:space="preserve"> </w:t>
      </w:r>
      <w:r>
        <w:t xml:space="preserve">· Exenatide improves type 2 diabetes concomitant with non-alcoholic fatty liver disease. PMID 24402015</w:t>
      </w:r>
    </w:p>
    <w:p>
      <w:pPr>
        <w:numPr>
          <w:ilvl w:val="0"/>
          <w:numId w:val="1376"/>
        </w:numPr>
        <w:pStyle w:val="Compact"/>
      </w:pPr>
      <w:r>
        <w:t xml:space="preserve">2013 · Matyjaszek-Matuszek B ·</w:t>
      </w:r>
      <w:r>
        <w:t xml:space="preserve"> </w:t>
      </w:r>
      <w:r>
        <w:rPr>
          <w:iCs/>
          <w:i/>
        </w:rPr>
        <w:t xml:space="preserve">Endokrynol Pol</w:t>
      </w:r>
      <w:r>
        <w:t xml:space="preserve"> </w:t>
      </w:r>
      <w:r>
        <w:t xml:space="preserve">· Exenatide twice daily versus insulin glargine for the treatment of type 2 diabetes in Poland - subgroup data from a randomised multinational trial GWAA. PMID 24186595</w:t>
      </w:r>
    </w:p>
    <w:p>
      <w:pPr>
        <w:numPr>
          <w:ilvl w:val="0"/>
          <w:numId w:val="1376"/>
        </w:numPr>
        <w:pStyle w:val="Compact"/>
      </w:pPr>
      <w:r>
        <w:t xml:space="preserve">2013 · Grimm M ·</w:t>
      </w:r>
      <w:r>
        <w:t xml:space="preserve"> </w:t>
      </w:r>
      <w:r>
        <w:rPr>
          <w:iCs/>
          <w:i/>
        </w:rPr>
        <w:t xml:space="preserve">Postgrad Med</w:t>
      </w:r>
      <w:r>
        <w:t xml:space="preserve"> </w:t>
      </w:r>
      <w:r>
        <w:t xml:space="preserve">· Exenatide once weekly versus daily basal insulin as add-on treatment to metformin with or without a sulfonylurea: a retrospective pooled analysis in patients with poor glycemic control. PMID 24113668</w:t>
      </w:r>
    </w:p>
    <w:p>
      <w:pPr>
        <w:numPr>
          <w:ilvl w:val="0"/>
          <w:numId w:val="1376"/>
        </w:numPr>
        <w:pStyle w:val="Compact"/>
      </w:pPr>
      <w:r>
        <w:t xml:space="preserve">2013 · Daly SC ·</w:t>
      </w:r>
      <w:r>
        <w:t xml:space="preserve"> </w:t>
      </w:r>
      <w:r>
        <w:rPr>
          <w:iCs/>
          <w:i/>
        </w:rPr>
        <w:t xml:space="preserve">Int J Stroke</w:t>
      </w:r>
      <w:r>
        <w:t xml:space="preserve"> </w:t>
      </w:r>
      <w:r>
        <w:t xml:space="preserve">· Exenatide in acute ischemic stroke. PMID 24024920</w:t>
      </w:r>
    </w:p>
    <w:p>
      <w:pPr>
        <w:numPr>
          <w:ilvl w:val="0"/>
          <w:numId w:val="1376"/>
        </w:numPr>
        <w:pStyle w:val="Compact"/>
      </w:pPr>
      <w:r>
        <w:t xml:space="preserve">2013 · Derosa G ·</w:t>
      </w:r>
      <w:r>
        <w:t xml:space="preserve"> </w:t>
      </w:r>
      <w:r>
        <w:rPr>
          <w:iCs/>
          <w:i/>
        </w:rPr>
        <w:t xml:space="preserve">Can J Physiol Pharmacol</w:t>
      </w:r>
      <w:r>
        <w:t xml:space="preserve"> </w:t>
      </w:r>
      <w:r>
        <w:t xml:space="preserve">· Effects of exenatide and metformin in combination on some adipocytokine levels: a comparison with metformin monotherapy. PMID 23984793</w:t>
      </w:r>
    </w:p>
    <w:p>
      <w:pPr>
        <w:numPr>
          <w:ilvl w:val="0"/>
          <w:numId w:val="1376"/>
        </w:numPr>
        <w:pStyle w:val="Compact"/>
      </w:pPr>
      <w:r>
        <w:t xml:space="preserve">2013 · Woo JS ·</w:t>
      </w:r>
      <w:r>
        <w:t xml:space="preserve"> </w:t>
      </w:r>
      <w:r>
        <w:rPr>
          <w:iCs/>
          <w:i/>
        </w:rPr>
        <w:t xml:space="preserve">Arterioscler Thromb Vasc Biol</w:t>
      </w:r>
      <w:r>
        <w:t xml:space="preserve"> </w:t>
      </w:r>
      <w:r>
        <w:t xml:space="preserve">· Cardioprotective effects of exenatide in patients with ST-segment-elevation myocardial infarction undergoing primary percutaneous coronary intervention: results of exenatide myocardial protection in revascularization study. PMID 23868944</w:t>
      </w:r>
    </w:p>
    <w:p>
      <w:pPr>
        <w:numPr>
          <w:ilvl w:val="0"/>
          <w:numId w:val="1376"/>
        </w:numPr>
        <w:pStyle w:val="Compact"/>
      </w:pPr>
      <w:r>
        <w:t xml:space="preserve">2013 · Malloy J ·</w:t>
      </w:r>
      <w:r>
        <w:t xml:space="preserve"> </w:t>
      </w:r>
      <w:r>
        <w:rPr>
          <w:iCs/>
          <w:i/>
        </w:rPr>
        <w:t xml:space="preserve">Postgrad Med</w:t>
      </w:r>
      <w:r>
        <w:t xml:space="preserve"> </w:t>
      </w:r>
      <w:r>
        <w:t xml:space="preserve">· Efficacy and tolerability of exenatide once weekly versus sitagliptin in patients with type 2 diabetes mellitus: a retrospective analysis of pooled clinical trial data. PMID 23748507</w:t>
      </w:r>
    </w:p>
    <w:p>
      <w:pPr>
        <w:numPr>
          <w:ilvl w:val="0"/>
          <w:numId w:val="1376"/>
        </w:numPr>
        <w:pStyle w:val="Compact"/>
      </w:pPr>
      <w:r>
        <w:t xml:space="preserve">2013 · Grimm M ·</w:t>
      </w:r>
      <w:r>
        <w:t xml:space="preserve"> </w:t>
      </w:r>
      <w:r>
        <w:rPr>
          <w:iCs/>
          <w:i/>
        </w:rPr>
        <w:t xml:space="preserve">Postgrad Med</w:t>
      </w:r>
      <w:r>
        <w:t xml:space="preserve"> </w:t>
      </w:r>
      <w:r>
        <w:t xml:space="preserve">· Efficacy, safety, and tolerability of exenatide once weekly in patients with type 2 diabetes mellitus: an integrated analysis of the DURATION trials. PMID 23748506</w:t>
      </w:r>
    </w:p>
    <w:p>
      <w:pPr>
        <w:numPr>
          <w:ilvl w:val="0"/>
          <w:numId w:val="1376"/>
        </w:numPr>
        <w:pStyle w:val="Compact"/>
      </w:pPr>
      <w:r>
        <w:t xml:space="preserve">2013 · Derosa G ·</w:t>
      </w:r>
      <w:r>
        <w:t xml:space="preserve"> </w:t>
      </w:r>
      <w:r>
        <w:rPr>
          <w:iCs/>
          <w:i/>
        </w:rPr>
        <w:t xml:space="preserve">Pharmacotherapy</w:t>
      </w:r>
      <w:r>
        <w:t xml:space="preserve"> </w:t>
      </w:r>
      <w:r>
        <w:t xml:space="preserve">· Variation in inflammatory markers and glycemic parameters after 12 months of exenatide plus metformin treatment compared with metformin alone: a randomized placebo-controlled trial. PMID 23744726</w:t>
      </w:r>
    </w:p>
    <w:p>
      <w:pPr>
        <w:numPr>
          <w:ilvl w:val="0"/>
          <w:numId w:val="1376"/>
        </w:numPr>
        <w:pStyle w:val="Compact"/>
      </w:pPr>
      <w:r>
        <w:t xml:space="preserve">2013 · Aviles-Olmos I ·</w:t>
      </w:r>
      <w:r>
        <w:t xml:space="preserve"> </w:t>
      </w:r>
      <w:r>
        <w:rPr>
          <w:iCs/>
          <w:i/>
        </w:rPr>
        <w:t xml:space="preserve">J Clin Invest</w:t>
      </w:r>
      <w:r>
        <w:t xml:space="preserve"> </w:t>
      </w:r>
      <w:r>
        <w:t xml:space="preserve">· Exenatide and the treatment of patients with Parkinson’s disease. PMID 23728174</w:t>
      </w:r>
    </w:p>
    <w:p>
      <w:pPr>
        <w:numPr>
          <w:ilvl w:val="0"/>
          <w:numId w:val="1376"/>
        </w:numPr>
        <w:pStyle w:val="Compact"/>
      </w:pPr>
      <w:r>
        <w:t xml:space="preserve">2013 · Liang Z ·</w:t>
      </w:r>
      <w:r>
        <w:t xml:space="preserve"> </w:t>
      </w:r>
      <w:r>
        <w:rPr>
          <w:iCs/>
          <w:i/>
        </w:rPr>
        <w:t xml:space="preserve">Diabetes Res Clin Pract</w:t>
      </w:r>
      <w:r>
        <w:t xml:space="preserve"> </w:t>
      </w:r>
      <w:r>
        <w:t xml:space="preserve">· Effect of laparoscopic Roux-en-Y gastric bypass surgery on type 2 diabetes mellitus with hypertension: a randomized controlled trial. PMID 23706413</w:t>
      </w:r>
    </w:p>
    <w:p>
      <w:pPr>
        <w:numPr>
          <w:ilvl w:val="0"/>
          <w:numId w:val="1376"/>
        </w:numPr>
        <w:pStyle w:val="Compact"/>
      </w:pPr>
      <w:r>
        <w:t xml:space="preserve">2013 · Rosenstock J ·</w:t>
      </w:r>
      <w:r>
        <w:t xml:space="preserve"> </w:t>
      </w:r>
      <w:r>
        <w:rPr>
          <w:iCs/>
          <w:i/>
        </w:rPr>
        <w:t xml:space="preserve">Diabetes Care</w:t>
      </w:r>
      <w:r>
        <w:t xml:space="preserve"> </w:t>
      </w:r>
      <w:r>
        <w:t xml:space="preserve">· Efficacy and safety of lixisenatide once daily versus exenatide twice daily in type 2 diabetes inadequately controlled on metformin: a 24-week, randomized, open-label, active-controlled study (GetGoal-X). PMID 23698396</w:t>
      </w:r>
    </w:p>
    <w:p>
      <w:pPr>
        <w:numPr>
          <w:ilvl w:val="0"/>
          <w:numId w:val="1376"/>
        </w:numPr>
        <w:pStyle w:val="Compact"/>
      </w:pPr>
      <w:r>
        <w:t xml:space="preserve">2013 · Henry RR ·</w:t>
      </w:r>
      <w:r>
        <w:t xml:space="preserve"> </w:t>
      </w:r>
      <w:r>
        <w:rPr>
          <w:iCs/>
          <w:i/>
        </w:rPr>
        <w:t xml:space="preserve">Diabetes Care</w:t>
      </w:r>
      <w:r>
        <w:t xml:space="preserve"> </w:t>
      </w:r>
      <w:r>
        <w:t xml:space="preserve">· Randomized trial of continuous subcutaneous delivery of exenatide by ITCA 650 versus twice-daily exenatide injections in metformin-treated type 2 diabetes. PMID 23645886</w:t>
      </w:r>
    </w:p>
    <w:p>
      <w:pPr>
        <w:numPr>
          <w:ilvl w:val="0"/>
          <w:numId w:val="1376"/>
        </w:numPr>
        <w:pStyle w:val="Compact"/>
      </w:pPr>
      <w:r>
        <w:t xml:space="preserve">2013 · Karagianni P ·</w:t>
      </w:r>
      <w:r>
        <w:t xml:space="preserve"> </w:t>
      </w:r>
      <w:r>
        <w:rPr>
          <w:iCs/>
          <w:i/>
        </w:rPr>
        <w:t xml:space="preserve">Adv Med Sci</w:t>
      </w:r>
      <w:r>
        <w:t xml:space="preserve"> </w:t>
      </w:r>
      <w:r>
        <w:t xml:space="preserve">· Comparative efficacy of exenatide versus insulin glargine on glycemic control in type 2 diabetes mellitus patients inadequately treated with metformin monotherapy. PMID 23640946</w:t>
      </w:r>
    </w:p>
    <w:p>
      <w:pPr>
        <w:numPr>
          <w:ilvl w:val="0"/>
          <w:numId w:val="1376"/>
        </w:numPr>
        <w:pStyle w:val="Compact"/>
      </w:pPr>
      <w:r>
        <w:t xml:space="preserve">2013 · Henry RR ·</w:t>
      </w:r>
      <w:r>
        <w:t xml:space="preserve"> </w:t>
      </w:r>
      <w:r>
        <w:rPr>
          <w:iCs/>
          <w:i/>
        </w:rPr>
        <w:t xml:space="preserve">Clin Ther</w:t>
      </w:r>
      <w:r>
        <w:t xml:space="preserve"> </w:t>
      </w:r>
      <w:r>
        <w:t xml:space="preserve">· A randomized, open-label, multicenter, 4-week study to evaluate the tolerability and pharmacokinetics of ITCA 650 in patients with type 2 diabetes. PMID 23578605</w:t>
      </w:r>
    </w:p>
    <w:p>
      <w:pPr>
        <w:numPr>
          <w:ilvl w:val="0"/>
          <w:numId w:val="1376"/>
        </w:numPr>
        <w:pStyle w:val="Compact"/>
      </w:pPr>
      <w:r>
        <w:t xml:space="preserve">2013 · Meloni AR ·</w:t>
      </w:r>
      <w:r>
        <w:t xml:space="preserve"> </w:t>
      </w:r>
      <w:r>
        <w:rPr>
          <w:iCs/>
          <w:i/>
        </w:rPr>
        <w:t xml:space="preserve">Cardiovasc Diabetol</w:t>
      </w:r>
      <w:r>
        <w:t xml:space="preserve"> </w:t>
      </w:r>
      <w:r>
        <w:t xml:space="preserve">· Treatment of patients with type 2 diabetes with exenatide once weekly versus oral glucose-lowering medications or insulin glargine: achievement of glycemic and cardiovascular goals. PMID 23522121</w:t>
      </w:r>
    </w:p>
    <w:p>
      <w:pPr>
        <w:numPr>
          <w:ilvl w:val="0"/>
          <w:numId w:val="1376"/>
        </w:numPr>
        <w:pStyle w:val="Compact"/>
      </w:pPr>
      <w:r>
        <w:t xml:space="preserve">2013 · Hari Kumar KV ·</w:t>
      </w:r>
      <w:r>
        <w:t xml:space="preserve"> </w:t>
      </w:r>
      <w:r>
        <w:rPr>
          <w:iCs/>
          <w:i/>
        </w:rPr>
        <w:t xml:space="preserve">Diabetes Res Clin Pract</w:t>
      </w:r>
      <w:r>
        <w:t xml:space="preserve"> </w:t>
      </w:r>
      <w:r>
        <w:t xml:space="preserve">· Addition of exenatide or sitagliptin to insulin in new onset type 1 diabetes: a randomized, open label study. PMID 23490599</w:t>
      </w:r>
    </w:p>
    <w:p>
      <w:pPr>
        <w:numPr>
          <w:ilvl w:val="0"/>
          <w:numId w:val="1376"/>
        </w:numPr>
        <w:pStyle w:val="Compact"/>
      </w:pPr>
      <w:r>
        <w:t xml:space="preserve">2013 · Lu CH ·</w:t>
      </w:r>
      <w:r>
        <w:t xml:space="preserve"> </w:t>
      </w:r>
      <w:r>
        <w:rPr>
          <w:iCs/>
          <w:i/>
        </w:rPr>
        <w:t xml:space="preserve">J Formos Med Assoc</w:t>
      </w:r>
      <w:r>
        <w:t xml:space="preserve"> </w:t>
      </w:r>
      <w:r>
        <w:t xml:space="preserve">· Safety and efficacy of twice-daily exenatide in Taiwanese patients with inadequately controlled type 2 diabetes mellitus. PMID 23473527</w:t>
      </w:r>
    </w:p>
    <w:p>
      <w:pPr>
        <w:numPr>
          <w:ilvl w:val="0"/>
          <w:numId w:val="1376"/>
        </w:numPr>
        <w:pStyle w:val="Compact"/>
      </w:pPr>
      <w:r>
        <w:t xml:space="preserve">2013 · Schlögl H ·</w:t>
      </w:r>
      <w:r>
        <w:t xml:space="preserve"> </w:t>
      </w:r>
      <w:r>
        <w:rPr>
          <w:iCs/>
          <w:i/>
        </w:rPr>
        <w:t xml:space="preserve">Diabetes Care</w:t>
      </w:r>
      <w:r>
        <w:t xml:space="preserve"> </w:t>
      </w:r>
      <w:r>
        <w:t xml:space="preserve">· Exenatide-induced reduction in energy intake is associated with increase in hypothalamic connectivity. PMID 23462665</w:t>
      </w:r>
    </w:p>
    <w:p>
      <w:pPr>
        <w:numPr>
          <w:ilvl w:val="0"/>
          <w:numId w:val="1376"/>
        </w:numPr>
        <w:pStyle w:val="Compact"/>
      </w:pPr>
      <w:r>
        <w:t xml:space="preserve">2013 · Kelly AS ·</w:t>
      </w:r>
      <w:r>
        <w:t xml:space="preserve"> </w:t>
      </w:r>
      <w:r>
        <w:rPr>
          <w:iCs/>
          <w:i/>
        </w:rPr>
        <w:t xml:space="preserve">JAMA Pediatr</w:t>
      </w:r>
      <w:r>
        <w:t xml:space="preserve"> </w:t>
      </w:r>
      <w:r>
        <w:t xml:space="preserve">· The effect of glucagon-like peptide-1 receptor agonist therapy on body mass index in adolescents with severe obesity: a randomized, placebo-controlled, clinical trial. PMID 23380890</w:t>
      </w:r>
    </w:p>
    <w:p>
      <w:pPr>
        <w:numPr>
          <w:ilvl w:val="0"/>
          <w:numId w:val="1376"/>
        </w:numPr>
        <w:pStyle w:val="Compact"/>
      </w:pPr>
      <w:r>
        <w:t xml:space="preserve">2013 · Davies M ·</w:t>
      </w:r>
      <w:r>
        <w:t xml:space="preserve"> </w:t>
      </w:r>
      <w:r>
        <w:rPr>
          <w:iCs/>
          <w:i/>
        </w:rPr>
        <w:t xml:space="preserve">Diabetes Care</w:t>
      </w:r>
      <w:r>
        <w:t xml:space="preserve"> </w:t>
      </w:r>
      <w:r>
        <w:t xml:space="preserve">· Once-weekly exenatide versus once- or twice-daily insulin detemir: randomized, open-label, clinical trial of efficacy and safety in patients with type 2 diabetes treated with metformin alone or in combination with sulfonylureas. PMID 23275363</w:t>
      </w:r>
    </w:p>
    <w:p>
      <w:pPr>
        <w:numPr>
          <w:ilvl w:val="0"/>
          <w:numId w:val="1376"/>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6"/>
        </w:numPr>
        <w:pStyle w:val="Compact"/>
      </w:pPr>
      <w:r>
        <w:t xml:space="preserve">2013 · Rosenstock J ·</w:t>
      </w:r>
      <w:r>
        <w:t xml:space="preserve"> </w:t>
      </w:r>
      <w:r>
        <w:rPr>
          <w:iCs/>
          <w:i/>
        </w:rPr>
        <w:t xml:space="preserve">Diabetes Care</w:t>
      </w:r>
      <w:r>
        <w:t xml:space="preserve"> </w:t>
      </w:r>
      <w:r>
        <w:t xml:space="preserve">· The fate of taspoglutide, a weekly GLP-1 receptor agonist, versus twice-daily exenatide for type 2 diabetes: the T-emerge 2 trial. PMID 23139373</w:t>
      </w:r>
    </w:p>
    <w:p>
      <w:pPr>
        <w:numPr>
          <w:ilvl w:val="0"/>
          <w:numId w:val="1376"/>
        </w:numPr>
        <w:pStyle w:val="Compact"/>
      </w:pPr>
      <w:r>
        <w:t xml:space="preserve">2013 · Bernink FJ ·</w:t>
      </w:r>
      <w:r>
        <w:t xml:space="preserve"> </w:t>
      </w:r>
      <w:r>
        <w:rPr>
          <w:iCs/>
          <w:i/>
        </w:rPr>
        <w:t xml:space="preserve">Int J Cardiol</w:t>
      </w:r>
      <w:r>
        <w:t xml:space="preserve"> </w:t>
      </w:r>
      <w:r>
        <w:t xml:space="preserve">· Effect of additional treatment with EXenatide in patients with an Acute Myocardial Infarction: the EXAMI study. PMID 23084550</w:t>
      </w:r>
    </w:p>
    <w:p>
      <w:pPr>
        <w:numPr>
          <w:ilvl w:val="0"/>
          <w:numId w:val="1376"/>
        </w:numPr>
        <w:pStyle w:val="Compact"/>
      </w:pPr>
      <w:r>
        <w:t xml:space="preserve">2013 · Darpö B ·</w:t>
      </w:r>
      <w:r>
        <w:t xml:space="preserve"> </w:t>
      </w:r>
      <w:r>
        <w:rPr>
          <w:iCs/>
          <w:i/>
        </w:rPr>
        <w:t xml:space="preserve">Br J Clin Pharmacol</w:t>
      </w:r>
      <w:r>
        <w:t xml:space="preserve"> </w:t>
      </w:r>
      <w:r>
        <w:t xml:space="preserve">· Exenatide at therapeutic and supratherapeutic concentrations does not prolong the QTc interval in healthy subjects. PMID 22882281</w:t>
      </w:r>
    </w:p>
    <w:p>
      <w:pPr>
        <w:numPr>
          <w:ilvl w:val="0"/>
          <w:numId w:val="1376"/>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6"/>
        </w:numPr>
        <w:pStyle w:val="Compact"/>
      </w:pPr>
      <w:r>
        <w:t xml:space="preserve">2013 · Irace C ·</w:t>
      </w:r>
      <w:r>
        <w:t xml:space="preserve"> </w:t>
      </w:r>
      <w:r>
        <w:rPr>
          <w:iCs/>
          <w:i/>
        </w:rPr>
        <w:t xml:space="preserve">Diab Vasc Dis Res</w:t>
      </w:r>
      <w:r>
        <w:t xml:space="preserve"> </w:t>
      </w:r>
      <w:r>
        <w:t xml:space="preserve">· Exenatide improves endothelial function assessed by flow mediated dilation technique in subjects with type 2 diabetes: results from an observational research. PMID 22732108</w:t>
      </w:r>
    </w:p>
    <w:p>
      <w:pPr>
        <w:numPr>
          <w:ilvl w:val="0"/>
          <w:numId w:val="1376"/>
        </w:numPr>
        <w:pStyle w:val="Compact"/>
      </w:pPr>
      <w:r>
        <w:t xml:space="preserve">2013 · Idris I ·</w:t>
      </w:r>
      <w:r>
        <w:t xml:space="preserve"> </w:t>
      </w:r>
      <w:r>
        <w:rPr>
          <w:iCs/>
          <w:i/>
        </w:rPr>
        <w:t xml:space="preserve">J Sleep Res</w:t>
      </w:r>
      <w:r>
        <w:t xml:space="preserve"> </w:t>
      </w:r>
      <w:r>
        <w:t xml:space="preserve">· Exenatide improves excessive daytime sleepiness and wakefulness in obese patients with type 2 diabetes without obstructive sleep apnoea. PMID 22716195</w:t>
      </w:r>
    </w:p>
    <w:p>
      <w:pPr>
        <w:numPr>
          <w:ilvl w:val="0"/>
          <w:numId w:val="1376"/>
        </w:numPr>
        <w:pStyle w:val="Compact"/>
      </w:pPr>
      <w:r>
        <w:t xml:space="preserve">2012 · Chiquette E ·</w:t>
      </w:r>
      <w:r>
        <w:t xml:space="preserve"> </w:t>
      </w:r>
      <w:r>
        <w:rPr>
          <w:iCs/>
          <w:i/>
        </w:rPr>
        <w:t xml:space="preserve">Vasc Health Risk Manag</w:t>
      </w:r>
      <w:r>
        <w:t xml:space="preserve"> </w:t>
      </w:r>
      <w:r>
        <w:t xml:space="preserve">· Treatment with exenatide once weekly or twice daily for 30 weeks is associated with changes in several cardiovascular risk markers. PMID 23166441</w:t>
      </w:r>
    </w:p>
    <w:p>
      <w:pPr>
        <w:numPr>
          <w:ilvl w:val="0"/>
          <w:numId w:val="1376"/>
        </w:numPr>
        <w:pStyle w:val="Compact"/>
      </w:pPr>
      <w:r>
        <w:t xml:space="preserve">2012 · Shakhmatova EI ·</w:t>
      </w:r>
      <w:r>
        <w:t xml:space="preserve"> </w:t>
      </w:r>
      <w:r>
        <w:rPr>
          <w:iCs/>
          <w:i/>
        </w:rPr>
        <w:t xml:space="preserve">Ross Fiziol Zh Im I M Sechenova</w:t>
      </w:r>
      <w:r>
        <w:t xml:space="preserve"> </w:t>
      </w:r>
      <w:r>
        <w:t xml:space="preserve">· [Exenatide stimulated solute-free water excretion by human kidney]. PMID 23155627</w:t>
      </w:r>
    </w:p>
    <w:p>
      <w:pPr>
        <w:numPr>
          <w:ilvl w:val="0"/>
          <w:numId w:val="1376"/>
        </w:numPr>
        <w:pStyle w:val="Compact"/>
      </w:pPr>
      <w:r>
        <w:t xml:space="preserve">2012 · Norwood P ·</w:t>
      </w:r>
      <w:r>
        <w:t xml:space="preserve"> </w:t>
      </w:r>
      <w:r>
        <w:rPr>
          <w:iCs/>
          <w:i/>
        </w:rPr>
        <w:t xml:space="preserve">Clin Ther</w:t>
      </w:r>
      <w:r>
        <w:t xml:space="preserve"> </w:t>
      </w:r>
      <w:r>
        <w:t xml:space="preserve">· Safety of exenatide once weekly in patients with type 2 diabetes mellitus treated with a thiazolidinedione alone or in combination with metformin for 2 years. PMID 23031623</w:t>
      </w:r>
    </w:p>
    <w:p>
      <w:pPr>
        <w:numPr>
          <w:ilvl w:val="0"/>
          <w:numId w:val="1376"/>
        </w:numPr>
        <w:pStyle w:val="Compact"/>
      </w:pPr>
      <w:r>
        <w:t xml:space="preserve">2012 · Keller J ·</w:t>
      </w:r>
      <w:r>
        <w:t xml:space="preserve"> </w:t>
      </w:r>
      <w:r>
        <w:rPr>
          <w:iCs/>
          <w:i/>
        </w:rPr>
        <w:t xml:space="preserve">Regul Pept</w:t>
      </w:r>
      <w:r>
        <w:t xml:space="preserve"> </w:t>
      </w:r>
      <w:r>
        <w:t xml:space="preserve">· Effect of exenatide on cholecystokinin-induced gallbladder emptying in fasting healthy subjects. PMID 22960288</w:t>
      </w:r>
    </w:p>
    <w:p>
      <w:pPr>
        <w:numPr>
          <w:ilvl w:val="0"/>
          <w:numId w:val="1376"/>
        </w:numPr>
        <w:pStyle w:val="Compact"/>
      </w:pPr>
      <w:r>
        <w:t xml:space="preserve">2012 · Yuan GH ·</w:t>
      </w:r>
      <w:r>
        <w:t xml:space="preserve"> </w:t>
      </w:r>
      <w:r>
        <w:rPr>
          <w:iCs/>
          <w:i/>
        </w:rPr>
        <w:t xml:space="preserve">Chin Med J (Engl)</w:t>
      </w:r>
      <w:r>
        <w:t xml:space="preserve"> </w:t>
      </w:r>
      <w:r>
        <w:t xml:space="preserve">· Efficacy and tolerability of exenatide monotherapy in obese patients with newly diagnosed type 2 diabetes: a randomized, 26 weeks metformin-controlled, parallel-group study. PMID 22931974</w:t>
      </w:r>
    </w:p>
    <w:p>
      <w:pPr>
        <w:numPr>
          <w:ilvl w:val="0"/>
          <w:numId w:val="1376"/>
        </w:numPr>
        <w:pStyle w:val="Compact"/>
      </w:pPr>
      <w:r>
        <w:t xml:space="preserve">2012 · Inagaki N ·</w:t>
      </w:r>
      <w:r>
        <w:t xml:space="preserve"> </w:t>
      </w:r>
      <w:r>
        <w:rPr>
          <w:iCs/>
          <w:i/>
        </w:rPr>
        <w:t xml:space="preserve">Clin Ther</w:t>
      </w:r>
      <w:r>
        <w:t xml:space="preserve"> </w:t>
      </w:r>
      <w:r>
        <w:t xml:space="preserve">· Efficacy and safety profile of exenatide once weekly compared with insulin once daily in Japanese patients with type 2 diabetes treated with oral antidiabetes drug(s): results from a 26-week, randomized, open-label, parallel-group, multicenter, noninferiority study. PMID 22884767</w:t>
      </w:r>
    </w:p>
    <w:p>
      <w:pPr>
        <w:numPr>
          <w:ilvl w:val="0"/>
          <w:numId w:val="1376"/>
        </w:numPr>
        <w:pStyle w:val="Compact"/>
      </w:pPr>
      <w:r>
        <w:t xml:space="preserve">2012 · Bradley DP ·</w:t>
      </w:r>
      <w:r>
        <w:t xml:space="preserve"> </w:t>
      </w:r>
      <w:r>
        <w:rPr>
          <w:iCs/>
          <w:i/>
        </w:rPr>
        <w:t xml:space="preserve">Appl Physiol Nutr Metab</w:t>
      </w:r>
      <w:r>
        <w:t xml:space="preserve"> </w:t>
      </w:r>
      <w:r>
        <w:t xml:space="preserve">· Alterations in energy balance following exenatide administration. PMID 22735035</w:t>
      </w:r>
    </w:p>
    <w:p>
      <w:pPr>
        <w:numPr>
          <w:ilvl w:val="0"/>
          <w:numId w:val="1376"/>
        </w:numPr>
        <w:pStyle w:val="Compact"/>
      </w:pPr>
      <w:r>
        <w:t xml:space="preserve">2012 · Zhang H ·</w:t>
      </w:r>
      <w:r>
        <w:t xml:space="preserve"> </w:t>
      </w:r>
      <w:r>
        <w:rPr>
          <w:iCs/>
          <w:i/>
        </w:rPr>
        <w:t xml:space="preserve">Kidney Blood Press Res</w:t>
      </w:r>
      <w:r>
        <w:t xml:space="preserve"> </w:t>
      </w:r>
      <w:r>
        <w:t xml:space="preserve">· Exenatide reduces urinary transforming growth factor-β1 and type IV collagen excretion in patients with type 2 diabetes and microalbuminuria. PMID 22687869</w:t>
      </w:r>
    </w:p>
    <w:p>
      <w:pPr>
        <w:numPr>
          <w:ilvl w:val="0"/>
          <w:numId w:val="1376"/>
        </w:numPr>
        <w:pStyle w:val="Compact"/>
      </w:pPr>
      <w:r>
        <w:t xml:space="preserve">2012 · Gallwitz B ·</w:t>
      </w:r>
      <w:r>
        <w:t xml:space="preserve"> </w:t>
      </w:r>
      <w:r>
        <w:rPr>
          <w:iCs/>
          <w:i/>
        </w:rPr>
        <w:t xml:space="preserve">Lancet</w:t>
      </w:r>
      <w:r>
        <w:t xml:space="preserve"> </w:t>
      </w:r>
      <w:r>
        <w:t xml:space="preserve">· Exenatide twice daily versus glimepiride for prevention of glycaemic deterioration in patients with type 2 diabetes with metformin failure (EUREXA): an open-label, randomised controlled trial. PMID 22683137</w:t>
      </w:r>
    </w:p>
    <w:p>
      <w:pPr>
        <w:numPr>
          <w:ilvl w:val="0"/>
          <w:numId w:val="1376"/>
        </w:numPr>
        <w:pStyle w:val="Compact"/>
      </w:pPr>
      <w:r>
        <w:t xml:space="preserve">2012 · Kelly AS ·</w:t>
      </w:r>
      <w:r>
        <w:t xml:space="preserve"> </w:t>
      </w:r>
      <w:r>
        <w:rPr>
          <w:iCs/>
          <w:i/>
        </w:rPr>
        <w:t xml:space="preserve">Cardiovasc Diabetol</w:t>
      </w:r>
      <w:r>
        <w:t xml:space="preserve"> </w:t>
      </w:r>
      <w:r>
        <w:t xml:space="preserve">· Effects of exenatide vs. metformin on endothelial function in obese patients with pre-diabetes: a randomized trial. PMID 22681705</w:t>
      </w:r>
    </w:p>
    <w:p>
      <w:pPr>
        <w:numPr>
          <w:ilvl w:val="0"/>
          <w:numId w:val="1376"/>
        </w:numPr>
        <w:pStyle w:val="Compact"/>
      </w:pPr>
      <w:r>
        <w:t xml:space="preserve">2012 · Iványi T ·</w:t>
      </w:r>
      <w:r>
        <w:t xml:space="preserve"> </w:t>
      </w:r>
      <w:r>
        <w:rPr>
          <w:iCs/>
          <w:i/>
        </w:rPr>
        <w:t xml:space="preserve">Clin Ther</w:t>
      </w:r>
      <w:r>
        <w:t xml:space="preserve"> </w:t>
      </w:r>
      <w:r>
        <w:t xml:space="preserve">· Long-term effects of adding exenatide to a regimen of metformin and/or sulfonylurea in type 2 diabetes: an uncontrolled, open-label trial in Hungary. PMID 22608106</w:t>
      </w:r>
    </w:p>
    <w:p>
      <w:pPr>
        <w:numPr>
          <w:ilvl w:val="0"/>
          <w:numId w:val="1376"/>
        </w:numPr>
        <w:pStyle w:val="Compact"/>
      </w:pPr>
      <w:r>
        <w:t xml:space="preserve">2012 · Gejl M ·</w:t>
      </w:r>
      <w:r>
        <w:t xml:space="preserve"> </w:t>
      </w:r>
      <w:r>
        <w:rPr>
          <w:iCs/>
          <w:i/>
        </w:rPr>
        <w:t xml:space="preserve">J Clin Endocrinol Metab</w:t>
      </w:r>
      <w:r>
        <w:t xml:space="preserve"> </w:t>
      </w:r>
      <w:r>
        <w:t xml:space="preserve">· Exenatide alters myocardial glucose transport and uptake depending on insulin resistance and increases myocardial blood flow in patients with type 2 diabetes. PMID 22544917</w:t>
      </w:r>
    </w:p>
    <w:p>
      <w:pPr>
        <w:numPr>
          <w:ilvl w:val="0"/>
          <w:numId w:val="1376"/>
        </w:numPr>
        <w:pStyle w:val="Compact"/>
      </w:pPr>
      <w:r>
        <w:t xml:space="preserve">2012 · Derosa G ·</w:t>
      </w:r>
      <w:r>
        <w:t xml:space="preserve"> </w:t>
      </w:r>
      <w:r>
        <w:rPr>
          <w:iCs/>
          <w:i/>
        </w:rPr>
        <w:t xml:space="preserve">Diabet Med</w:t>
      </w:r>
      <w:r>
        <w:t xml:space="preserve"> </w:t>
      </w:r>
      <w:r>
        <w:t xml:space="preserve">· Exenatide plus metformin compared with metformin alone on β-cell function in patients with Type 2 diabetes. PMID 22540883</w:t>
      </w:r>
    </w:p>
    <w:p>
      <w:pPr>
        <w:numPr>
          <w:ilvl w:val="0"/>
          <w:numId w:val="1376"/>
        </w:numPr>
        <w:pStyle w:val="Compact"/>
      </w:pPr>
      <w:r>
        <w:t xml:space="preserve">2012 · Paul S ·</w:t>
      </w:r>
      <w:r>
        <w:t xml:space="preserve"> </w:t>
      </w:r>
      <w:r>
        <w:rPr>
          <w:iCs/>
          <w:i/>
        </w:rPr>
        <w:t xml:space="preserve">Diabetes Obes Metab</w:t>
      </w:r>
      <w:r>
        <w:t xml:space="preserve"> </w:t>
      </w:r>
      <w:r>
        <w:t xml:space="preserve">· Effects of HbA1c and weight reduction on blood pressure in patients with type 2 diabetes mellitus treated with exenatide*. PMID 22510305</w:t>
      </w:r>
    </w:p>
    <w:p>
      <w:pPr>
        <w:numPr>
          <w:ilvl w:val="0"/>
          <w:numId w:val="1376"/>
        </w:numPr>
        <w:pStyle w:val="Compact"/>
      </w:pPr>
      <w:r>
        <w:t xml:space="preserve">2012 · Lønborg J ·</w:t>
      </w:r>
      <w:r>
        <w:t xml:space="preserve"> </w:t>
      </w:r>
      <w:r>
        <w:rPr>
          <w:iCs/>
          <w:i/>
        </w:rPr>
        <w:t xml:space="preserve">Circ Cardiovasc Interv</w:t>
      </w:r>
      <w:r>
        <w:t xml:space="preserve"> </w:t>
      </w:r>
      <w:r>
        <w:t xml:space="preserve">· Exenatide reduces final infarct size in patients with ST-segment-elevation myocardial infarction and short-duration of ischemia. PMID 22496084</w:t>
      </w:r>
    </w:p>
    <w:p>
      <w:pPr>
        <w:numPr>
          <w:ilvl w:val="0"/>
          <w:numId w:val="1376"/>
        </w:numPr>
        <w:pStyle w:val="Compact"/>
      </w:pPr>
      <w:r>
        <w:t xml:space="preserve">2012 · Xiao C ·</w:t>
      </w:r>
      <w:r>
        <w:t xml:space="preserve"> </w:t>
      </w:r>
      <w:r>
        <w:rPr>
          <w:iCs/>
          <w:i/>
        </w:rPr>
        <w:t xml:space="preserve">Arterioscler Thromb Vasc Biol</w:t>
      </w:r>
      <w:r>
        <w:t xml:space="preserve"> </w:t>
      </w:r>
      <w:r>
        <w:t xml:space="preserve">· Exenatide, a glucagon-like peptide-1 receptor agonist, acutely inhibits intestinal lipoprotein production in healthy humans. PMID 22492091</w:t>
      </w:r>
    </w:p>
    <w:p>
      <w:pPr>
        <w:numPr>
          <w:ilvl w:val="0"/>
          <w:numId w:val="1376"/>
        </w:numPr>
        <w:pStyle w:val="Compact"/>
      </w:pPr>
      <w:r>
        <w:t xml:space="preserve">2012 · Rosenstock J ·</w:t>
      </w:r>
      <w:r>
        <w:t xml:space="preserve"> </w:t>
      </w:r>
      <w:r>
        <w:rPr>
          <w:iCs/>
          <w:i/>
        </w:rPr>
        <w:t xml:space="preserve">Diabetes Care</w:t>
      </w:r>
      <w:r>
        <w:t xml:space="preserve"> </w:t>
      </w:r>
      <w:r>
        <w:t xml:space="preserve">· Baseline factors associated with glycemic control and weight loss when exenatide twice daily is added to optimized insulin glargine in patients with type 2 diabetes. PMID 22432107</w:t>
      </w:r>
    </w:p>
    <w:p>
      <w:pPr>
        <w:numPr>
          <w:ilvl w:val="0"/>
          <w:numId w:val="1376"/>
        </w:numPr>
        <w:pStyle w:val="Compact"/>
      </w:pPr>
      <w:r>
        <w:t xml:space="preserve">2012 · Kothare PA ·</w:t>
      </w:r>
      <w:r>
        <w:t xml:space="preserve"> </w:t>
      </w:r>
      <w:r>
        <w:rPr>
          <w:iCs/>
          <w:i/>
        </w:rPr>
        <w:t xml:space="preserve">BMC Clin Pharmacol</w:t>
      </w:r>
      <w:r>
        <w:t xml:space="preserve"> </w:t>
      </w:r>
      <w:r>
        <w:t xml:space="preserve">· Effect of exenatide on the pharmacokinetics of a combination oral contraceptive in healthy women: an open-label, randomised, crossover trial. PMID 22429273</w:t>
      </w:r>
    </w:p>
    <w:p>
      <w:pPr>
        <w:numPr>
          <w:ilvl w:val="0"/>
          <w:numId w:val="1376"/>
        </w:numPr>
        <w:pStyle w:val="Compact"/>
      </w:pPr>
      <w:r>
        <w:t xml:space="preserve">2012 · Violante R ·</w:t>
      </w:r>
      <w:r>
        <w:t xml:space="preserve"> </w:t>
      </w:r>
      <w:r>
        <w:rPr>
          <w:iCs/>
          <w:i/>
        </w:rPr>
        <w:t xml:space="preserve">Diabet Med</w:t>
      </w:r>
      <w:r>
        <w:t xml:space="preserve"> </w:t>
      </w:r>
      <w:r>
        <w:t xml:space="preserve">· A randomized non-inferiority study comparing the addition of exenatide twice daily to sitagliptin or switching from sitagliptin to exenatide twice daily in patients with type 2 diabetes experiencing inadequate glycaemic control on metformin and sitagliptin. PMID 22375612</w:t>
      </w:r>
    </w:p>
    <w:p>
      <w:pPr>
        <w:numPr>
          <w:ilvl w:val="0"/>
          <w:numId w:val="1376"/>
        </w:numPr>
        <w:pStyle w:val="Compact"/>
      </w:pPr>
      <w:r>
        <w:t xml:space="preserve">2012 · Diamant M ·</w:t>
      </w:r>
      <w:r>
        <w:t xml:space="preserve"> </w:t>
      </w:r>
      <w:r>
        <w:rPr>
          <w:iCs/>
          <w:i/>
        </w:rPr>
        <w:t xml:space="preserve">Diabetes Care</w:t>
      </w:r>
      <w:r>
        <w:t xml:space="preserve"> </w:t>
      </w:r>
      <w:r>
        <w:t xml:space="preserve">· Safety and efficacy of once-weekly exenatide compared with insulin glargine titrated to target in patients with type 2 diabetes over 84 weeks. PMID 22357185</w:t>
      </w:r>
    </w:p>
    <w:p>
      <w:pPr>
        <w:numPr>
          <w:ilvl w:val="0"/>
          <w:numId w:val="1376"/>
        </w:numPr>
        <w:pStyle w:val="Compact"/>
      </w:pPr>
      <w:r>
        <w:t xml:space="preserve">2012 · Yoon SB ·</w:t>
      </w:r>
      <w:r>
        <w:t xml:space="preserve"> </w:t>
      </w:r>
      <w:r>
        <w:rPr>
          <w:iCs/>
          <w:i/>
        </w:rPr>
        <w:t xml:space="preserve">Digestion</w:t>
      </w:r>
      <w:r>
        <w:t xml:space="preserve"> </w:t>
      </w:r>
      <w:r>
        <w:t xml:space="preserve">· The effect of exenatide and erythromycin on postprandial symptoms and their relation to gastric functions. PMID 22354133</w:t>
      </w:r>
    </w:p>
    <w:p>
      <w:pPr>
        <w:numPr>
          <w:ilvl w:val="0"/>
          <w:numId w:val="1376"/>
        </w:numPr>
        <w:pStyle w:val="Compact"/>
      </w:pPr>
      <w:r>
        <w:t xml:space="preserve">2012 · Shi S ·</w:t>
      </w:r>
      <w:r>
        <w:t xml:space="preserve"> </w:t>
      </w:r>
      <w:r>
        <w:rPr>
          <w:iCs/>
          <w:i/>
        </w:rPr>
        <w:t xml:space="preserve">Arzneimittelforschung</w:t>
      </w:r>
      <w:r>
        <w:t xml:space="preserve"> </w:t>
      </w:r>
      <w:r>
        <w:t xml:space="preserve">· Pharmacokinetics, pharmacodynamics, and tolerability of a generic formulation of exenatide: a randomized, open-label, single- and multiple-dose study in healthy Chinese volunteers. PMID 22344551</w:t>
      </w:r>
    </w:p>
    <w:p>
      <w:pPr>
        <w:numPr>
          <w:ilvl w:val="0"/>
          <w:numId w:val="1376"/>
        </w:numPr>
        <w:pStyle w:val="Compact"/>
      </w:pPr>
      <w:r>
        <w:t xml:space="preserve">2012 · Mendis B ·</w:t>
      </w:r>
      <w:r>
        <w:t xml:space="preserve"> </w:t>
      </w:r>
      <w:r>
        <w:rPr>
          <w:iCs/>
          <w:i/>
        </w:rPr>
        <w:t xml:space="preserve">Br J Clin Pharmacol</w:t>
      </w:r>
      <w:r>
        <w:t xml:space="preserve"> </w:t>
      </w:r>
      <w:r>
        <w:t xml:space="preserve">· Investigation of the haemodynamic effects of exenatide in healthy male subjects. PMID 22320349</w:t>
      </w:r>
    </w:p>
    <w:p>
      <w:pPr>
        <w:numPr>
          <w:ilvl w:val="0"/>
          <w:numId w:val="1376"/>
        </w:numPr>
        <w:pStyle w:val="Compact"/>
      </w:pPr>
      <w:r>
        <w:t xml:space="preserve">2012 · Nathanson D ·</w:t>
      </w:r>
      <w:r>
        <w:t xml:space="preserve"> </w:t>
      </w:r>
      <w:r>
        <w:rPr>
          <w:iCs/>
          <w:i/>
        </w:rPr>
        <w:t xml:space="preserve">Diabetologia</w:t>
      </w:r>
      <w:r>
        <w:t xml:space="preserve"> </w:t>
      </w:r>
      <w:r>
        <w:t xml:space="preserve">· Effects of intravenous exenatide in type 2 diabetic patients with congestive heart failure: a double-blind, randomised controlled clinical trial of efficacy and safety. PMID 22246377</w:t>
      </w:r>
    </w:p>
    <w:p>
      <w:pPr>
        <w:numPr>
          <w:ilvl w:val="0"/>
          <w:numId w:val="1376"/>
        </w:numPr>
        <w:pStyle w:val="Compact"/>
      </w:pPr>
      <w:r>
        <w:t xml:space="preserve">2012 · Levin P ·</w:t>
      </w:r>
      <w:r>
        <w:t xml:space="preserve"> </w:t>
      </w:r>
      <w:r>
        <w:rPr>
          <w:iCs/>
          <w:i/>
        </w:rPr>
        <w:t xml:space="preserve">Curr Med Res Opin</w:t>
      </w:r>
      <w:r>
        <w:t xml:space="preserve"> </w:t>
      </w:r>
      <w:r>
        <w:t xml:space="preserve">· Combination therapy with insulin glargine and exenatide: real-world outcomes in patients with type 2 diabetes. PMID 22216894</w:t>
      </w:r>
    </w:p>
    <w:p>
      <w:pPr>
        <w:numPr>
          <w:ilvl w:val="0"/>
          <w:numId w:val="1376"/>
        </w:numPr>
        <w:pStyle w:val="Compact"/>
      </w:pPr>
      <w:r>
        <w:t xml:space="preserve">2012 · Russell-Jones D ·</w:t>
      </w:r>
      <w:r>
        <w:t xml:space="preserve"> </w:t>
      </w:r>
      <w:r>
        <w:rPr>
          <w:iCs/>
          <w:i/>
        </w:rPr>
        <w:t xml:space="preserve">Diabetes Care</w:t>
      </w:r>
      <w:r>
        <w:t xml:space="preserve"> </w:t>
      </w:r>
      <w:r>
        <w:t xml:space="preserve">· Efficacy and safety of exenatide once weekly versus metformin, pioglitazone, and sitagliptin used as monotherapy in drug-naive patients with type 2 diabetes (DURATION-4): a 26-week double-blind study. PMID 22210563</w:t>
      </w:r>
    </w:p>
    <w:p>
      <w:pPr>
        <w:numPr>
          <w:ilvl w:val="0"/>
          <w:numId w:val="1376"/>
        </w:numPr>
        <w:pStyle w:val="Compact"/>
      </w:pPr>
      <w:r>
        <w:t xml:space="preserve">2012 · Pujante Alarcón P ·</w:t>
      </w:r>
      <w:r>
        <w:t xml:space="preserve"> </w:t>
      </w:r>
      <w:r>
        <w:rPr>
          <w:iCs/>
          <w:i/>
        </w:rPr>
        <w:t xml:space="preserve">Med Clin (Barc)</w:t>
      </w:r>
      <w:r>
        <w:t xml:space="preserve"> </w:t>
      </w:r>
      <w:r>
        <w:t xml:space="preserve">· [Metabolic control and weight loss in patients with obesity and type 2 diabetes mellitus, treated with exenatide]. PMID 22209597</w:t>
      </w:r>
    </w:p>
    <w:p>
      <w:pPr>
        <w:numPr>
          <w:ilvl w:val="0"/>
          <w:numId w:val="1376"/>
        </w:numPr>
        <w:pStyle w:val="Compact"/>
      </w:pPr>
      <w:r>
        <w:t xml:space="preserve">2012 · Ha SJ ·</w:t>
      </w:r>
      <w:r>
        <w:t xml:space="preserve"> </w:t>
      </w:r>
      <w:r>
        <w:rPr>
          <w:iCs/>
          <w:i/>
        </w:rPr>
        <w:t xml:space="preserve">Arterioscler Thromb Vasc Biol</w:t>
      </w:r>
      <w:r>
        <w:t xml:space="preserve"> </w:t>
      </w:r>
      <w:r>
        <w:t xml:space="preserve">· Preventive effects of exenatide on endothelial dysfunction induced by ischemia-reperfusion injury via KATP channels. PMID 22155457</w:t>
      </w:r>
    </w:p>
    <w:p>
      <w:pPr>
        <w:numPr>
          <w:ilvl w:val="0"/>
          <w:numId w:val="1376"/>
        </w:numPr>
        <w:pStyle w:val="Compact"/>
      </w:pPr>
      <w:r>
        <w:t xml:space="preserve">2012 · Kelly AS ·</w:t>
      </w:r>
      <w:r>
        <w:t xml:space="preserve"> </w:t>
      </w:r>
      <w:r>
        <w:rPr>
          <w:iCs/>
          <w:i/>
        </w:rPr>
        <w:t xml:space="preserve">Obesity (Silver Spring)</w:t>
      </w:r>
      <w:r>
        <w:t xml:space="preserve"> </w:t>
      </w:r>
      <w:r>
        <w:t xml:space="preserve">· Exenatide as a weight-loss therapy in extreme pediatric obesity: a randomized, controlled pilot study. PMID 22076596</w:t>
      </w:r>
    </w:p>
    <w:p>
      <w:pPr>
        <w:numPr>
          <w:ilvl w:val="0"/>
          <w:numId w:val="1376"/>
        </w:numPr>
        <w:pStyle w:val="Compact"/>
      </w:pPr>
      <w:r>
        <w:t xml:space="preserve">2012 · Dushay J ·</w:t>
      </w:r>
      <w:r>
        <w:t xml:space="preserve"> </w:t>
      </w:r>
      <w:r>
        <w:rPr>
          <w:iCs/>
          <w:i/>
        </w:rPr>
        <w:t xml:space="preserve">Diabetes Care</w:t>
      </w:r>
      <w:r>
        <w:t xml:space="preserve"> </w:t>
      </w:r>
      <w:r>
        <w:t xml:space="preserve">· Short-term exenatide treatment leads to significant weight loss in a subset of obese women without diabetes. PMID 22040840</w:t>
      </w:r>
    </w:p>
    <w:p>
      <w:pPr>
        <w:numPr>
          <w:ilvl w:val="0"/>
          <w:numId w:val="1376"/>
        </w:numPr>
        <w:pStyle w:val="Compact"/>
      </w:pPr>
      <w:r>
        <w:t xml:space="preserve">2012 · Chaudhuri A ·</w:t>
      </w:r>
      <w:r>
        <w:t xml:space="preserve"> </w:t>
      </w:r>
      <w:r>
        <w:rPr>
          <w:iCs/>
          <w:i/>
        </w:rPr>
        <w:t xml:space="preserve">J Clin Endocrinol Metab</w:t>
      </w:r>
      <w:r>
        <w:t xml:space="preserve"> </w:t>
      </w:r>
      <w:r>
        <w:t xml:space="preserve">· Exenatide exerts a potent antiinflammatory effect. PMID 22013105</w:t>
      </w:r>
    </w:p>
    <w:p>
      <w:pPr>
        <w:numPr>
          <w:ilvl w:val="0"/>
          <w:numId w:val="1376"/>
        </w:numPr>
        <w:pStyle w:val="Compact"/>
      </w:pPr>
      <w:r>
        <w:t xml:space="preserve">2012 · Lønborg J ·</w:t>
      </w:r>
      <w:r>
        <w:t xml:space="preserve"> </w:t>
      </w:r>
      <w:r>
        <w:rPr>
          <w:iCs/>
          <w:i/>
        </w:rPr>
        <w:t xml:space="preserve">Eur Heart J</w:t>
      </w:r>
      <w:r>
        <w:t xml:space="preserve"> </w:t>
      </w:r>
      <w:r>
        <w:t xml:space="preserve">· Exenatide reduces reperfusion injury in patients with ST-segment elevation myocardial infarction. PMID 21920963</w:t>
      </w:r>
    </w:p>
    <w:p>
      <w:pPr>
        <w:numPr>
          <w:ilvl w:val="0"/>
          <w:numId w:val="1376"/>
        </w:numPr>
        <w:pStyle w:val="Compact"/>
      </w:pPr>
      <w:r>
        <w:t xml:space="preserve">2011 · Bergenstal RM ·</w:t>
      </w:r>
      <w:r>
        <w:t xml:space="preserve"> </w:t>
      </w:r>
      <w:r>
        <w:rPr>
          <w:iCs/>
          <w:i/>
        </w:rPr>
        <w:t xml:space="preserve">Curr Med Res Opin</w:t>
      </w:r>
      <w:r>
        <w:t xml:space="preserve"> </w:t>
      </w:r>
      <w:r>
        <w:t xml:space="preserve">· Exenatide BID Observational Study (ExOS): results for primary and secondary endpoints of a prospective research study to evaluate the clinical effectiveness of exenatide BID use in patients with type 2 diabetes in a real-world setting. PMID 22085180</w:t>
      </w:r>
    </w:p>
    <w:p>
      <w:pPr>
        <w:numPr>
          <w:ilvl w:val="0"/>
          <w:numId w:val="1376"/>
        </w:numPr>
        <w:pStyle w:val="Compact"/>
      </w:pPr>
      <w:r>
        <w:t xml:space="preserve">2011 · Scholte M ·</w:t>
      </w:r>
      <w:r>
        <w:t xml:space="preserve"> </w:t>
      </w:r>
      <w:r>
        <w:rPr>
          <w:iCs/>
          <w:i/>
        </w:rPr>
        <w:t xml:space="preserve">Trials</w:t>
      </w:r>
      <w:r>
        <w:t xml:space="preserve"> </w:t>
      </w:r>
      <w:r>
        <w:t xml:space="preserve">· Effect of additional treatment with EXenatide in patients with an Acute Myocardial Infarction (EXAMI): study protocol for a randomized controlled trial. PMID 22067476</w:t>
      </w:r>
    </w:p>
    <w:p>
      <w:pPr>
        <w:numPr>
          <w:ilvl w:val="0"/>
          <w:numId w:val="1376"/>
        </w:numPr>
        <w:pStyle w:val="Compact"/>
      </w:pPr>
      <w:r>
        <w:t xml:space="preserve">2011 · Linnebjerg H ·</w:t>
      </w:r>
      <w:r>
        <w:t xml:space="preserve"> </w:t>
      </w:r>
      <w:r>
        <w:rPr>
          <w:iCs/>
          <w:i/>
        </w:rPr>
        <w:t xml:space="preserve">Int J Clin Pharmacol Ther</w:t>
      </w:r>
      <w:r>
        <w:t xml:space="preserve"> </w:t>
      </w:r>
      <w:r>
        <w:t xml:space="preserve">· A thorough QT study to evaluate the effects of singledose exenatide 10 μg on cardiac repolarization in healthy subjects. PMID 21961484</w:t>
      </w:r>
    </w:p>
    <w:p>
      <w:pPr>
        <w:numPr>
          <w:ilvl w:val="0"/>
          <w:numId w:val="1376"/>
        </w:numPr>
        <w:pStyle w:val="Compact"/>
      </w:pPr>
      <w:r>
        <w:t xml:space="preserve">2011 · Samson SL ·</w:t>
      </w:r>
      <w:r>
        <w:t xml:space="preserve"> </w:t>
      </w:r>
      <w:r>
        <w:rPr>
          <w:iCs/>
          <w:i/>
        </w:rPr>
        <w:t xml:space="preserve">Diabetologia</w:t>
      </w:r>
      <w:r>
        <w:t xml:space="preserve"> </w:t>
      </w:r>
      <w:r>
        <w:t xml:space="preserve">· Exenatide decreases hepatic fibroblast growth factor 21 resistance in non-alcoholic fatty liver disease in a mouse model of obesity and in a randomised controlled trial. PMID 21956711</w:t>
      </w:r>
    </w:p>
    <w:p>
      <w:pPr>
        <w:numPr>
          <w:ilvl w:val="0"/>
          <w:numId w:val="1376"/>
        </w:numPr>
        <w:pStyle w:val="Compact"/>
      </w:pPr>
      <w:r>
        <w:t xml:space="preserve">2011 · Bunck MC ·</w:t>
      </w:r>
      <w:r>
        <w:t xml:space="preserve"> </w:t>
      </w:r>
      <w:r>
        <w:rPr>
          <w:iCs/>
          <w:i/>
        </w:rPr>
        <w:t xml:space="preserve">Diabetes Care</w:t>
      </w:r>
      <w:r>
        <w:t xml:space="preserve"> </w:t>
      </w:r>
      <w:r>
        <w:t xml:space="preserve">· Effects of exenatide on measures of β-cell function after 3 years in metformin-treated patients with type 2 diabetes. PMID 21868779</w:t>
      </w:r>
    </w:p>
    <w:p>
      <w:pPr>
        <w:numPr>
          <w:ilvl w:val="0"/>
          <w:numId w:val="1376"/>
        </w:numPr>
        <w:pStyle w:val="Compact"/>
      </w:pPr>
      <w:r>
        <w:t xml:space="preserve">2011 · Irace C ·</w:t>
      </w:r>
      <w:r>
        <w:t xml:space="preserve"> </w:t>
      </w:r>
      <w:r>
        <w:rPr>
          <w:iCs/>
          <w:i/>
        </w:rPr>
        <w:t xml:space="preserve">Diabetes Technol Ther</w:t>
      </w:r>
      <w:r>
        <w:t xml:space="preserve"> </w:t>
      </w:r>
      <w:r>
        <w:t xml:space="preserve">· Exenatide improves glycemic variability assessed by continuous glucose monitoring in subjects with type 2 diabetes. PMID 21751893</w:t>
      </w:r>
    </w:p>
    <w:p>
      <w:pPr>
        <w:numPr>
          <w:ilvl w:val="0"/>
          <w:numId w:val="1376"/>
        </w:numPr>
        <w:pStyle w:val="Compact"/>
      </w:pPr>
      <w:r>
        <w:t xml:space="preserve">2011 · Sathyanarayana P ·</w:t>
      </w:r>
      <w:r>
        <w:t xml:space="preserve"> </w:t>
      </w:r>
      <w:r>
        <w:rPr>
          <w:iCs/>
          <w:i/>
        </w:rPr>
        <w:t xml:space="preserve">Obesity (Silver Spring)</w:t>
      </w:r>
      <w:r>
        <w:t xml:space="preserve"> </w:t>
      </w:r>
      <w:r>
        <w:t xml:space="preserve">· Effects of combined exenatide and pioglitazone therapy on hepatic fat content in type 2 diabetes. PMID 21660077</w:t>
      </w:r>
    </w:p>
    <w:p>
      <w:pPr>
        <w:numPr>
          <w:ilvl w:val="0"/>
          <w:numId w:val="1376"/>
        </w:numPr>
        <w:pStyle w:val="Compact"/>
      </w:pPr>
      <w:r>
        <w:t xml:space="preserve">2011 · Derosa G ·</w:t>
      </w:r>
      <w:r>
        <w:t xml:space="preserve"> </w:t>
      </w:r>
      <w:r>
        <w:rPr>
          <w:iCs/>
          <w:i/>
        </w:rPr>
        <w:t xml:space="preserve">Eur J Pharmacol</w:t>
      </w:r>
      <w:r>
        <w:t xml:space="preserve"> </w:t>
      </w:r>
      <w:r>
        <w:t xml:space="preserve">· Exenatide or glimepiride added to metformin on metabolic control and on insulin resistance in type 2 diabetic patients. PMID 21645507</w:t>
      </w:r>
    </w:p>
    <w:p>
      <w:pPr>
        <w:numPr>
          <w:ilvl w:val="0"/>
          <w:numId w:val="1376"/>
        </w:numPr>
        <w:pStyle w:val="Compact"/>
      </w:pPr>
      <w:r>
        <w:t xml:space="preserve">2011 · Sze L ·</w:t>
      </w:r>
      <w:r>
        <w:t xml:space="preserve"> </w:t>
      </w:r>
      <w:r>
        <w:rPr>
          <w:iCs/>
          <w:i/>
        </w:rPr>
        <w:t xml:space="preserve">J Clin Endocrinol Metab</w:t>
      </w:r>
      <w:r>
        <w:t xml:space="preserve"> </w:t>
      </w:r>
      <w:r>
        <w:t xml:space="preserve">· Effects of a single dose of exenatide on appetite, gut hormones, and glucose homeostasis in adults with Prader-Willi syndrome. PMID 21632815</w:t>
      </w:r>
    </w:p>
    <w:p>
      <w:pPr>
        <w:numPr>
          <w:ilvl w:val="0"/>
          <w:numId w:val="1376"/>
        </w:numPr>
        <w:pStyle w:val="Compact"/>
      </w:pPr>
      <w:r>
        <w:t xml:space="preserve">2011 · Berg JK ·</w:t>
      </w:r>
      <w:r>
        <w:t xml:space="preserve"> </w:t>
      </w:r>
      <w:r>
        <w:rPr>
          <w:iCs/>
          <w:i/>
        </w:rPr>
        <w:t xml:space="preserve">Diabetes Obes Metab</w:t>
      </w:r>
      <w:r>
        <w:t xml:space="preserve"> </w:t>
      </w:r>
      <w:r>
        <w:t xml:space="preserve">· Effects of exenatide twice daily versus sitagliptin on 24-h glucose, glucoregulatory and hormonal measures: a randomized, double-blind, crossover study. PMID 21615670</w:t>
      </w:r>
    </w:p>
    <w:p>
      <w:pPr>
        <w:numPr>
          <w:ilvl w:val="0"/>
          <w:numId w:val="1376"/>
        </w:numPr>
        <w:pStyle w:val="Compact"/>
      </w:pPr>
      <w:r>
        <w:t xml:space="preserve">2011 · Grant P ·</w:t>
      </w:r>
      <w:r>
        <w:t xml:space="preserve"> </w:t>
      </w:r>
      <w:r>
        <w:rPr>
          <w:iCs/>
          <w:i/>
        </w:rPr>
        <w:t xml:space="preserve">J Diabetes Complications</w:t>
      </w:r>
      <w:r>
        <w:t xml:space="preserve"> </w:t>
      </w:r>
      <w:r>
        <w:t xml:space="preserve">· Psychological and quality of life changes in patients using GLP-1 analogues. PMID 21601480</w:t>
      </w:r>
    </w:p>
    <w:p>
      <w:pPr>
        <w:numPr>
          <w:ilvl w:val="0"/>
          <w:numId w:val="1376"/>
        </w:numPr>
        <w:pStyle w:val="Compact"/>
      </w:pPr>
      <w:r>
        <w:t xml:space="preserve">2011 · Fadini GP ·</w:t>
      </w:r>
      <w:r>
        <w:t xml:space="preserve"> </w:t>
      </w:r>
      <w:r>
        <w:rPr>
          <w:iCs/>
          <w:i/>
        </w:rPr>
        <w:t xml:space="preserve">Acta Diabetol</w:t>
      </w:r>
      <w:r>
        <w:t xml:space="preserve"> </w:t>
      </w:r>
      <w:r>
        <w:t xml:space="preserve">· The metabolic syndrome influences the response to incretin-based therapies. PMID 21574000</w:t>
      </w:r>
    </w:p>
    <w:p>
      <w:pPr>
        <w:numPr>
          <w:ilvl w:val="0"/>
          <w:numId w:val="1376"/>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6"/>
        </w:numPr>
        <w:pStyle w:val="Compact"/>
      </w:pPr>
      <w:r>
        <w:t xml:space="preserve">2011 · Wysham C ·</w:t>
      </w:r>
      <w:r>
        <w:t xml:space="preserve"> </w:t>
      </w:r>
      <w:r>
        <w:rPr>
          <w:iCs/>
          <w:i/>
        </w:rPr>
        <w:t xml:space="preserve">Diabet Med</w:t>
      </w:r>
      <w:r>
        <w:t xml:space="preserve"> </w:t>
      </w:r>
      <w:r>
        <w:t xml:space="preserve">· DURATION-2: efficacy and safety of switching from maximum daily sitagliptin or pioglitazone to once-weekly exenatide. PMID 21434995</w:t>
      </w:r>
    </w:p>
    <w:p>
      <w:pPr>
        <w:numPr>
          <w:ilvl w:val="0"/>
          <w:numId w:val="1376"/>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6"/>
        </w:numPr>
        <w:pStyle w:val="Compact"/>
      </w:pPr>
      <w:r>
        <w:t xml:space="preserve">2011 · Blevins T ·</w:t>
      </w:r>
      <w:r>
        <w:t xml:space="preserve"> </w:t>
      </w:r>
      <w:r>
        <w:rPr>
          <w:iCs/>
          <w:i/>
        </w:rPr>
        <w:t xml:space="preserve">J Clin Endocrinol Metab</w:t>
      </w:r>
      <w:r>
        <w:t xml:space="preserve"> </w:t>
      </w:r>
      <w:r>
        <w:t xml:space="preserve">· DURATION-5: exenatide once weekly resulted in greater improvements in glycemic control compared with exenatide twice daily in patients with type 2 diabetes. PMID 21307137</w:t>
      </w:r>
    </w:p>
    <w:p>
      <w:pPr>
        <w:numPr>
          <w:ilvl w:val="0"/>
          <w:numId w:val="1376"/>
        </w:numPr>
        <w:pStyle w:val="Compact"/>
      </w:pPr>
      <w:r>
        <w:t xml:space="preserve">2011 · Gallwitz B ·</w:t>
      </w:r>
      <w:r>
        <w:t xml:space="preserve"> </w:t>
      </w:r>
      <w:r>
        <w:rPr>
          <w:iCs/>
          <w:i/>
        </w:rPr>
        <w:t xml:space="preserve">Diabetes Care</w:t>
      </w:r>
      <w:r>
        <w:t xml:space="preserve"> </w:t>
      </w:r>
      <w:r>
        <w:t xml:space="preserve">· Exenatide twice daily versus premixed insulin aspart 70/30 in metformin-treated patients with type 2 diabetes: a randomized 26-week study on glycemic control and hypoglycemia. PMID 21285388</w:t>
      </w:r>
    </w:p>
    <w:p>
      <w:pPr>
        <w:numPr>
          <w:ilvl w:val="0"/>
          <w:numId w:val="1376"/>
        </w:numPr>
        <w:pStyle w:val="Compact"/>
      </w:pPr>
      <w:r>
        <w:t xml:space="preserve">2011 · Wu JD ·</w:t>
      </w:r>
      <w:r>
        <w:t xml:space="preserve"> </w:t>
      </w:r>
      <w:r>
        <w:rPr>
          <w:iCs/>
          <w:i/>
        </w:rPr>
        <w:t xml:space="preserve">Diabetes Technol Ther</w:t>
      </w:r>
      <w:r>
        <w:t xml:space="preserve"> </w:t>
      </w:r>
      <w:r>
        <w:t xml:space="preserve">· Effect of exenatide on inflammatory and oxidative stress markers in patients with type 2 diabetes mellitus. PMID 21284481</w:t>
      </w:r>
    </w:p>
    <w:p>
      <w:pPr>
        <w:numPr>
          <w:ilvl w:val="0"/>
          <w:numId w:val="1376"/>
        </w:numPr>
        <w:pStyle w:val="Compact"/>
      </w:pPr>
      <w:r>
        <w:t xml:space="preserve">2011 · Best JH ·</w:t>
      </w:r>
      <w:r>
        <w:t xml:space="preserve"> </w:t>
      </w:r>
      <w:r>
        <w:rPr>
          <w:iCs/>
          <w:i/>
        </w:rPr>
        <w:t xml:space="preserve">Diabetes Care</w:t>
      </w:r>
      <w:r>
        <w:t xml:space="preserve"> </w:t>
      </w:r>
      <w:r>
        <w:t xml:space="preserve">· Weight-related quality of life, health utility, psychological well-being, and satisfaction with exenatide once weekly compared with sitagliptin or pioglitazone after 26 weeks of treatment. PMID 21270189</w:t>
      </w:r>
    </w:p>
    <w:p>
      <w:pPr>
        <w:numPr>
          <w:ilvl w:val="0"/>
          <w:numId w:val="1376"/>
        </w:numPr>
        <w:pStyle w:val="Compact"/>
      </w:pPr>
      <w:r>
        <w:t xml:space="preserve">2011 · Linnebjerg H ·</w:t>
      </w:r>
      <w:r>
        <w:t xml:space="preserve"> </w:t>
      </w:r>
      <w:r>
        <w:rPr>
          <w:iCs/>
          <w:i/>
        </w:rPr>
        <w:t xml:space="preserve">Int J Clin Pharmacol Ther</w:t>
      </w:r>
      <w:r>
        <w:t xml:space="preserve"> </w:t>
      </w:r>
      <w:r>
        <w:t xml:space="preserve">· Exenatide - pharmacokinetics, pharmacodynamics, safety and tolerability in patients ≥ 75 years of age with Type 2 diabetes. PMID 21255526</w:t>
      </w:r>
    </w:p>
    <w:p>
      <w:pPr>
        <w:numPr>
          <w:ilvl w:val="0"/>
          <w:numId w:val="1376"/>
        </w:numPr>
        <w:pStyle w:val="Compact"/>
      </w:pPr>
      <w:r>
        <w:t xml:space="preserve">2011 · van Raalte DH ·</w:t>
      </w:r>
      <w:r>
        <w:t xml:space="preserve"> </w:t>
      </w:r>
      <w:r>
        <w:rPr>
          <w:iCs/>
          <w:i/>
        </w:rPr>
        <w:t xml:space="preserve">Diabetes Care</w:t>
      </w:r>
      <w:r>
        <w:t xml:space="preserve"> </w:t>
      </w:r>
      <w:r>
        <w:t xml:space="preserve">· Glucagon-like peptide-1 receptor agonist treatment prevents glucocorticoid-induced glucose intolerance and islet-cell dysfunction in humans. PMID 21216851</w:t>
      </w:r>
    </w:p>
    <w:p>
      <w:pPr>
        <w:numPr>
          <w:ilvl w:val="0"/>
          <w:numId w:val="1376"/>
        </w:numPr>
        <w:pStyle w:val="Compact"/>
      </w:pPr>
      <w:r>
        <w:t xml:space="preserve">2011 · Buse JB ·</w:t>
      </w:r>
      <w:r>
        <w:t xml:space="preserve"> </w:t>
      </w:r>
      <w:r>
        <w:rPr>
          <w:iCs/>
          <w:i/>
        </w:rPr>
        <w:t xml:space="preserve">Ann Intern Med</w:t>
      </w:r>
      <w:r>
        <w:t xml:space="preserve"> </w:t>
      </w:r>
      <w:r>
        <w:t xml:space="preserve">· Use of twice-daily exenatide in Basal insulin-treated patients with type 2 diabetes: a randomized, controlled trial. PMID 21138825</w:t>
      </w:r>
    </w:p>
    <w:p>
      <w:pPr>
        <w:numPr>
          <w:ilvl w:val="0"/>
          <w:numId w:val="1376"/>
        </w:numPr>
        <w:pStyle w:val="Compact"/>
      </w:pPr>
      <w:r>
        <w:t xml:space="preserve">2011 · González-Ortiz M ·</w:t>
      </w:r>
      <w:r>
        <w:t xml:space="preserve"> </w:t>
      </w:r>
      <w:r>
        <w:rPr>
          <w:iCs/>
          <w:i/>
        </w:rPr>
        <w:t xml:space="preserve">Metab Syndr Relat Disord</w:t>
      </w:r>
      <w:r>
        <w:t xml:space="preserve"> </w:t>
      </w:r>
      <w:r>
        <w:t xml:space="preserve">· Effect of exenatide on fat deposition and a metabolic profile in patients with metabolic syndrome. PMID 20874425</w:t>
      </w:r>
    </w:p>
    <w:p>
      <w:pPr>
        <w:numPr>
          <w:ilvl w:val="0"/>
          <w:numId w:val="1376"/>
        </w:numPr>
        <w:pStyle w:val="Compact"/>
      </w:pPr>
      <w:r>
        <w:t xml:space="preserve">2011 · Pinelli NR ·</w:t>
      </w:r>
      <w:r>
        <w:t xml:space="preserve"> </w:t>
      </w:r>
      <w:r>
        <w:rPr>
          <w:iCs/>
          <w:i/>
        </w:rPr>
        <w:t xml:space="preserve">J Clin Pharmacol</w:t>
      </w:r>
      <w:r>
        <w:t xml:space="preserve"> </w:t>
      </w:r>
      <w:r>
        <w:t xml:space="preserve">· Effect of administration time of exenatide on satiety responses, blood glucose, and adverse events in healthy volunteers. PMID 20484613</w:t>
      </w:r>
    </w:p>
    <w:p>
      <w:pPr>
        <w:numPr>
          <w:ilvl w:val="0"/>
          <w:numId w:val="1376"/>
        </w:numPr>
        <w:pStyle w:val="Compact"/>
      </w:pPr>
      <w:r>
        <w:t xml:space="preserve">2010 · Liutkus J ·</w:t>
      </w:r>
      <w:r>
        <w:t xml:space="preserve"> </w:t>
      </w:r>
      <w:r>
        <w:rPr>
          <w:iCs/>
          <w:i/>
        </w:rPr>
        <w:t xml:space="preserve">Diabetes Obes Metab</w:t>
      </w:r>
      <w:r>
        <w:t xml:space="preserve"> </w:t>
      </w:r>
      <w:r>
        <w:t xml:space="preserve">· A placebo-controlled trial of exenatide twice-daily added to thiazolidinediones alone or in combination with metformin. PMID 20977576</w:t>
      </w:r>
    </w:p>
    <w:p>
      <w:pPr>
        <w:numPr>
          <w:ilvl w:val="0"/>
          <w:numId w:val="1376"/>
        </w:numPr>
        <w:pStyle w:val="Compact"/>
      </w:pPr>
      <w:r>
        <w:t xml:space="preserve">2010 · Ellero C ·</w:t>
      </w:r>
      <w:r>
        <w:t xml:space="preserve"> </w:t>
      </w:r>
      <w:r>
        <w:rPr>
          <w:iCs/>
          <w:i/>
        </w:rPr>
        <w:t xml:space="preserve">Diabet Med</w:t>
      </w:r>
      <w:r>
        <w:t xml:space="preserve"> </w:t>
      </w:r>
      <w:r>
        <w:t xml:space="preserve">· Prophylactic use of anti-emetic medications reduced nausea and vomiting associated with exenatide treatment: a retrospective analysis of an open-label, parallel-group, single-dose study in healthy subjects. PMID 20854385</w:t>
      </w:r>
    </w:p>
    <w:p>
      <w:pPr>
        <w:numPr>
          <w:ilvl w:val="0"/>
          <w:numId w:val="1376"/>
        </w:numPr>
        <w:pStyle w:val="Compact"/>
      </w:pPr>
      <w:r>
        <w:t xml:space="preserve">2010 · Mecott GA ·</w:t>
      </w:r>
      <w:r>
        <w:t xml:space="preserve"> </w:t>
      </w:r>
      <w:r>
        <w:rPr>
          <w:iCs/>
          <w:i/>
        </w:rPr>
        <w:t xml:space="preserve">Crit Care</w:t>
      </w:r>
      <w:r>
        <w:t xml:space="preserve"> </w:t>
      </w:r>
      <w:r>
        <w:t xml:space="preserve">· The use of exenatide in severely burned pediatric patients. PMID 20701787</w:t>
      </w:r>
    </w:p>
    <w:p>
      <w:pPr>
        <w:numPr>
          <w:ilvl w:val="0"/>
          <w:numId w:val="1376"/>
        </w:numPr>
        <w:pStyle w:val="Compact"/>
      </w:pPr>
      <w:r>
        <w:t xml:space="preserve">2010 · Diamant M ·</w:t>
      </w:r>
      <w:r>
        <w:t xml:space="preserve"> </w:t>
      </w:r>
      <w:r>
        <w:rPr>
          <w:iCs/>
          <w:i/>
        </w:rPr>
        <w:t xml:space="preserve">Lancet</w:t>
      </w:r>
      <w:r>
        <w:t xml:space="preserve"> </w:t>
      </w:r>
      <w:r>
        <w:t xml:space="preserve">· Once weekly exenatide compared with insulin glargine titrated to target in patients with type 2 diabetes (DURATION-3): an open-label randomised trial. PMID 20609969</w:t>
      </w:r>
    </w:p>
    <w:p>
      <w:pPr>
        <w:numPr>
          <w:ilvl w:val="0"/>
          <w:numId w:val="1376"/>
        </w:numPr>
        <w:pStyle w:val="Compact"/>
      </w:pPr>
      <w:r>
        <w:t xml:space="preserve">2010 · Schernthaner G ·</w:t>
      </w:r>
      <w:r>
        <w:t xml:space="preserve"> </w:t>
      </w:r>
      <w:r>
        <w:rPr>
          <w:iCs/>
          <w:i/>
        </w:rPr>
        <w:t xml:space="preserve">Diabetes Metab</w:t>
      </w:r>
      <w:r>
        <w:t xml:space="preserve"> </w:t>
      </w:r>
      <w:r>
        <w:t xml:space="preserve">· Impact of postprandial and fasting glucose concentrations on HbA1c in patients with type 2 diabetes. PMID 20598608</w:t>
      </w:r>
    </w:p>
    <w:p>
      <w:pPr>
        <w:numPr>
          <w:ilvl w:val="0"/>
          <w:numId w:val="1376"/>
        </w:numPr>
        <w:pStyle w:val="Compact"/>
      </w:pPr>
      <w:r>
        <w:t xml:space="preserve">2010 · Bergenstal RM ·</w:t>
      </w:r>
      <w:r>
        <w:t xml:space="preserve"> </w:t>
      </w:r>
      <w:r>
        <w:rPr>
          <w:iCs/>
          <w:i/>
        </w:rPr>
        <w:t xml:space="preserve">Lancet</w:t>
      </w:r>
      <w:r>
        <w:t xml:space="preserve"> </w:t>
      </w:r>
      <w:r>
        <w:t xml:space="preserve">· Efficacy and safety of exenatide once weekly versus sitagliptin or pioglitazone as an adjunct to metformin for treatment of type 2 diabetes (DURATION-2): a randomised trial. PMID 20580422</w:t>
      </w:r>
    </w:p>
    <w:p>
      <w:pPr>
        <w:numPr>
          <w:ilvl w:val="0"/>
          <w:numId w:val="1376"/>
        </w:numPr>
        <w:pStyle w:val="Compact"/>
      </w:pPr>
      <w:r>
        <w:t xml:space="preserve">2010 · Schwartz EA ·</w:t>
      </w:r>
      <w:r>
        <w:t xml:space="preserve"> </w:t>
      </w:r>
      <w:r>
        <w:rPr>
          <w:iCs/>
          <w:i/>
        </w:rPr>
        <w:t xml:space="preserve">Atherosclerosis</w:t>
      </w:r>
      <w:r>
        <w:t xml:space="preserve"> </w:t>
      </w:r>
      <w:r>
        <w:t xml:space="preserve">· Exenatide suppresses postprandial elevations in lipids and lipoproteins in individuals with impaired glucose tolerance and recent onset type 2 diabetes mellitus. PMID 20557887</w:t>
      </w:r>
    </w:p>
    <w:p>
      <w:pPr>
        <w:numPr>
          <w:ilvl w:val="0"/>
          <w:numId w:val="1376"/>
        </w:numPr>
        <w:pStyle w:val="Compact"/>
      </w:pPr>
      <w:r>
        <w:t xml:space="preserve">2010 · Bunck MC ·</w:t>
      </w:r>
      <w:r>
        <w:t xml:space="preserve"> </w:t>
      </w:r>
      <w:r>
        <w:rPr>
          <w:iCs/>
          <w:i/>
        </w:rPr>
        <w:t xml:space="preserve">Atherosclerosis</w:t>
      </w:r>
      <w:r>
        <w:t xml:space="preserve"> </w:t>
      </w:r>
      <w:r>
        <w:t xml:space="preserve">· One-year treatment with exenatide vs. insulin glargine: effects on postprandial glycemia, lipid profiles, and oxidative stress. PMID 20494360</w:t>
      </w:r>
    </w:p>
    <w:p>
      <w:pPr>
        <w:numPr>
          <w:ilvl w:val="0"/>
          <w:numId w:val="1376"/>
        </w:numPr>
        <w:pStyle w:val="Compact"/>
      </w:pPr>
      <w:r>
        <w:t xml:space="preserve">2010 · Bunck MC ·</w:t>
      </w:r>
      <w:r>
        <w:t xml:space="preserve"> </w:t>
      </w:r>
      <w:r>
        <w:rPr>
          <w:iCs/>
          <w:i/>
        </w:rPr>
        <w:t xml:space="preserve">Diabetes Care</w:t>
      </w:r>
      <w:r>
        <w:t xml:space="preserve"> </w:t>
      </w:r>
      <w:r>
        <w:t xml:space="preserve">· Exenatide affects circulating cardiovascular risk biomarkers independently of changes in body composition. PMID 20424219</w:t>
      </w:r>
    </w:p>
    <w:p>
      <w:pPr>
        <w:numPr>
          <w:ilvl w:val="0"/>
          <w:numId w:val="1376"/>
        </w:numPr>
        <w:pStyle w:val="Compact"/>
      </w:pPr>
      <w:r>
        <w:t xml:space="preserve">2010 · Apovian CM ·</w:t>
      </w:r>
      <w:r>
        <w:t xml:space="preserve"> </w:t>
      </w:r>
      <w:r>
        <w:rPr>
          <w:iCs/>
          <w:i/>
        </w:rPr>
        <w:t xml:space="preserve">Am J Med</w:t>
      </w:r>
      <w:r>
        <w:t xml:space="preserve"> </w:t>
      </w:r>
      <w:r>
        <w:t xml:space="preserve">· Effects of exenatide combined with lifestyle modification in patients with type 2 diabetes. PMID 20399326</w:t>
      </w:r>
    </w:p>
    <w:p>
      <w:pPr>
        <w:numPr>
          <w:ilvl w:val="0"/>
          <w:numId w:val="1376"/>
        </w:numPr>
        <w:pStyle w:val="Compact"/>
      </w:pPr>
      <w:r>
        <w:t xml:space="preserve">2010 · Arnolds S ·</w:t>
      </w:r>
      <w:r>
        <w:t xml:space="preserve"> </w:t>
      </w:r>
      <w:r>
        <w:rPr>
          <w:iCs/>
          <w:i/>
        </w:rPr>
        <w:t xml:space="preserve">Diabetes Care</w:t>
      </w:r>
      <w:r>
        <w:t xml:space="preserve"> </w:t>
      </w:r>
      <w:r>
        <w:t xml:space="preserve">· Further improvement in postprandial glucose control with addition of exenatide or sitagliptin to combination therapy with insulin glargine and metformin: a proof-of-concept study. PMID 20357372</w:t>
      </w:r>
    </w:p>
    <w:p>
      <w:pPr>
        <w:numPr>
          <w:ilvl w:val="0"/>
          <w:numId w:val="1376"/>
        </w:numPr>
        <w:pStyle w:val="Compact"/>
      </w:pPr>
      <w:r>
        <w:t xml:space="preserve">2010 · Raman VS ·</w:t>
      </w:r>
      <w:r>
        <w:t xml:space="preserve"> </w:t>
      </w:r>
      <w:r>
        <w:rPr>
          <w:iCs/>
          <w:i/>
        </w:rPr>
        <w:t xml:space="preserve">Diabetes Care</w:t>
      </w:r>
      <w:r>
        <w:t xml:space="preserve"> </w:t>
      </w:r>
      <w:r>
        <w:t xml:space="preserve">· The role of adjunctive exenatide therapy in pediatric type 1 diabetes. PMID 20332358</w:t>
      </w:r>
    </w:p>
    <w:p>
      <w:pPr>
        <w:numPr>
          <w:ilvl w:val="0"/>
          <w:numId w:val="1376"/>
        </w:numPr>
        <w:pStyle w:val="Compact"/>
      </w:pPr>
      <w:r>
        <w:t xml:space="preserve">2010 · Rosenstock J ·</w:t>
      </w:r>
      <w:r>
        <w:t xml:space="preserve"> </w:t>
      </w:r>
      <w:r>
        <w:rPr>
          <w:iCs/>
          <w:i/>
        </w:rPr>
        <w:t xml:space="preserve">Diabetes Care</w:t>
      </w:r>
      <w:r>
        <w:t xml:space="preserve"> </w:t>
      </w:r>
      <w:r>
        <w:t xml:space="preserve">· Effects of exenatide and lifestyle modification on body weight and glucose tolerance in obese subjects with and without pre-diabetes. PMID 20332357</w:t>
      </w:r>
    </w:p>
    <w:p>
      <w:pPr>
        <w:numPr>
          <w:ilvl w:val="0"/>
          <w:numId w:val="1376"/>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6"/>
        </w:numPr>
        <w:pStyle w:val="Compact"/>
      </w:pPr>
      <w:r>
        <w:t xml:space="preserve">2010 · Buse JB ·</w:t>
      </w:r>
      <w:r>
        <w:t xml:space="preserve"> </w:t>
      </w:r>
      <w:r>
        <w:rPr>
          <w:iCs/>
          <w:i/>
        </w:rPr>
        <w:t xml:space="preserve">Diabetes Care</w:t>
      </w:r>
      <w:r>
        <w:t xml:space="preserve"> </w:t>
      </w:r>
      <w:r>
        <w:t xml:space="preserve">· DURATION-1: exenatide once weekly produces sustained glycemic control and weight loss over 52 weeks. PMID 20215461</w:t>
      </w:r>
    </w:p>
    <w:p>
      <w:pPr>
        <w:numPr>
          <w:ilvl w:val="0"/>
          <w:numId w:val="1376"/>
        </w:numPr>
        <w:pStyle w:val="Compact"/>
      </w:pPr>
      <w:r>
        <w:t xml:space="preserve">2010 · Koska J ·</w:t>
      </w:r>
      <w:r>
        <w:t xml:space="preserve"> </w:t>
      </w:r>
      <w:r>
        <w:rPr>
          <w:iCs/>
          <w:i/>
        </w:rPr>
        <w:t xml:space="preserve">Diabetes Care</w:t>
      </w:r>
      <w:r>
        <w:t xml:space="preserve"> </w:t>
      </w:r>
      <w:r>
        <w:t xml:space="preserve">· Improvement of postprandial endothelial function after a single dose of exenatide in individuals with impaired glucose tolerance and recent-onset type 2 diabetes. PMID 20200309</w:t>
      </w:r>
    </w:p>
    <w:p>
      <w:pPr>
        <w:numPr>
          <w:ilvl w:val="0"/>
          <w:numId w:val="1376"/>
        </w:numPr>
        <w:pStyle w:val="Compact"/>
      </w:pPr>
      <w:r>
        <w:t xml:space="preserve">2010 · Roubícek T ·</w:t>
      </w:r>
      <w:r>
        <w:t xml:space="preserve"> </w:t>
      </w:r>
      <w:r>
        <w:rPr>
          <w:iCs/>
          <w:i/>
        </w:rPr>
        <w:t xml:space="preserve">Vnitr Lek</w:t>
      </w:r>
      <w:r>
        <w:t xml:space="preserve"> </w:t>
      </w:r>
      <w:r>
        <w:t xml:space="preserve">· [The influence of 6-months treatment with exenatide on type 2 diabetes mellitus compensation, anthropometric and biochemical parameters]. PMID 20184107</w:t>
      </w:r>
    </w:p>
    <w:p>
      <w:pPr>
        <w:numPr>
          <w:ilvl w:val="0"/>
          <w:numId w:val="1376"/>
        </w:numPr>
        <w:pStyle w:val="Compact"/>
      </w:pPr>
      <w:r>
        <w:t xml:space="preserve">2010 · Derosa G ·</w:t>
      </w:r>
      <w:r>
        <w:t xml:space="preserve"> </w:t>
      </w:r>
      <w:r>
        <w:rPr>
          <w:iCs/>
          <w:i/>
        </w:rPr>
        <w:t xml:space="preserve">Diabetes Technol Ther</w:t>
      </w:r>
      <w:r>
        <w:t xml:space="preserve"> </w:t>
      </w:r>
      <w:r>
        <w:t xml:space="preserve">· Exenatide versus glibenclamide in patients with diabetes. PMID 20151774</w:t>
      </w:r>
    </w:p>
    <w:p>
      <w:pPr>
        <w:numPr>
          <w:ilvl w:val="0"/>
          <w:numId w:val="1376"/>
        </w:numPr>
        <w:pStyle w:val="Compact"/>
      </w:pPr>
      <w:r>
        <w:t xml:space="preserve">2010 · Gill A ·</w:t>
      </w:r>
      <w:r>
        <w:t xml:space="preserve"> </w:t>
      </w:r>
      <w:r>
        <w:rPr>
          <w:iCs/>
          <w:i/>
        </w:rPr>
        <w:t xml:space="preserve">Cardiovasc Diabetol</w:t>
      </w:r>
      <w:r>
        <w:t xml:space="preserve"> </w:t>
      </w:r>
      <w:r>
        <w:t xml:space="preserve">· Effect of exenatide on heart rate and blood pressure in subjects with type 2 diabetes mellitus: a double-blind, placebo-controlled, randomized pilot study. PMID 20109208</w:t>
      </w:r>
    </w:p>
    <w:p>
      <w:pPr>
        <w:numPr>
          <w:ilvl w:val="0"/>
          <w:numId w:val="1376"/>
        </w:numPr>
        <w:pStyle w:val="Compact"/>
      </w:pPr>
      <w:r>
        <w:t xml:space="preserve">2010 · DeFronzo RA ·</w:t>
      </w:r>
      <w:r>
        <w:t xml:space="preserve"> </w:t>
      </w:r>
      <w:r>
        <w:rPr>
          <w:iCs/>
          <w:i/>
        </w:rPr>
        <w:t xml:space="preserve">Diabetes Care</w:t>
      </w:r>
      <w:r>
        <w:t xml:space="preserve"> </w:t>
      </w:r>
      <w:r>
        <w:t xml:space="preserve">· Effects of exenatide plus rosiglitazone on beta-cell function and insulin sensitivity in subjects with type 2 diabetes on metformin. PMID 20107105</w:t>
      </w:r>
    </w:p>
    <w:p>
      <w:pPr>
        <w:numPr>
          <w:ilvl w:val="0"/>
          <w:numId w:val="1376"/>
        </w:numPr>
        <w:pStyle w:val="Compact"/>
      </w:pPr>
      <w:r>
        <w:t xml:space="preserve">2009 · Faradji RN ·</w:t>
      </w:r>
      <w:r>
        <w:t xml:space="preserve"> </w:t>
      </w:r>
      <w:r>
        <w:rPr>
          <w:iCs/>
          <w:i/>
        </w:rPr>
        <w:t xml:space="preserve">Cell Transplant</w:t>
      </w:r>
      <w:r>
        <w:t xml:space="preserve"> </w:t>
      </w:r>
      <w:r>
        <w:t xml:space="preserve">· Long-term metabolic and hormonal effects of exenatide on islet transplant recipients with allograft dysfunction. PMID 20003758</w:t>
      </w:r>
    </w:p>
    <w:p>
      <w:pPr>
        <w:numPr>
          <w:ilvl w:val="0"/>
          <w:numId w:val="1376"/>
        </w:numPr>
        <w:pStyle w:val="Compact"/>
      </w:pPr>
      <w:r>
        <w:t xml:space="preserve">2009 · Davies MJ ·</w:t>
      </w:r>
      <w:r>
        <w:t xml:space="preserve"> </w:t>
      </w:r>
      <w:r>
        <w:rPr>
          <w:iCs/>
          <w:i/>
        </w:rPr>
        <w:t xml:space="preserve">Diabetes Obes Metab</w:t>
      </w:r>
      <w:r>
        <w:t xml:space="preserve"> </w:t>
      </w:r>
      <w:r>
        <w:t xml:space="preserve">· Exenatide compared with long-acting insulin to achieve glycaemic control with minimal weight gain in patients with type 2 diabetes: results of the Helping Evaluate Exenatide in patients with diabetes compared with Long-Acting insulin (HEELA) study. PMID 19930005</w:t>
      </w:r>
    </w:p>
    <w:p>
      <w:pPr>
        <w:numPr>
          <w:ilvl w:val="0"/>
          <w:numId w:val="1376"/>
        </w:numPr>
        <w:pStyle w:val="Compact"/>
      </w:pPr>
      <w:r>
        <w:t xml:space="preserve">2009 · Linnebjerg H ·</w:t>
      </w:r>
      <w:r>
        <w:t xml:space="preserve"> </w:t>
      </w:r>
      <w:r>
        <w:rPr>
          <w:iCs/>
          <w:i/>
        </w:rPr>
        <w:t xml:space="preserve">Int J Clin Pharmacol Ther</w:t>
      </w:r>
      <w:r>
        <w:t xml:space="preserve"> </w:t>
      </w:r>
      <w:r>
        <w:t xml:space="preserve">· The effect of exenatide on lisinopril pharmacodynamics and pharmacokinetics in patients with hypertension. PMID 19840529</w:t>
      </w:r>
    </w:p>
    <w:p>
      <w:pPr>
        <w:numPr>
          <w:ilvl w:val="0"/>
          <w:numId w:val="1376"/>
        </w:numPr>
        <w:pStyle w:val="Compact"/>
      </w:pPr>
      <w:r>
        <w:t xml:space="preserve">2009 · Rother KI ·</w:t>
      </w:r>
      <w:r>
        <w:t xml:space="preserve"> </w:t>
      </w:r>
      <w:r>
        <w:rPr>
          <w:iCs/>
          <w:i/>
        </w:rPr>
        <w:t xml:space="preserve">Diabetes Care</w:t>
      </w:r>
      <w:r>
        <w:t xml:space="preserve"> </w:t>
      </w:r>
      <w:r>
        <w:t xml:space="preserve">· Effects of exenatide alone and in combination with daclizumab on beta-cell function in long-standing type 1 diabetes. PMID 19808924</w:t>
      </w:r>
    </w:p>
    <w:p>
      <w:pPr>
        <w:numPr>
          <w:ilvl w:val="0"/>
          <w:numId w:val="1376"/>
        </w:numPr>
        <w:pStyle w:val="Compact"/>
      </w:pPr>
      <w:r>
        <w:t xml:space="preserve">2009 · Iwamoto K ·</w:t>
      </w:r>
      <w:r>
        <w:t xml:space="preserve"> </w:t>
      </w:r>
      <w:r>
        <w:rPr>
          <w:iCs/>
          <w:i/>
        </w:rPr>
        <w:t xml:space="preserve">Endocr J</w:t>
      </w:r>
      <w:r>
        <w:t xml:space="preserve"> </w:t>
      </w:r>
      <w:r>
        <w:t xml:space="preserve">· Safety, tolerability, pharmacokinetics, and pharmacodynamics of exenatide once weekly in Japanese patients with type 2 diabetes. PMID 19706990</w:t>
      </w:r>
    </w:p>
    <w:p>
      <w:pPr>
        <w:numPr>
          <w:ilvl w:val="0"/>
          <w:numId w:val="1376"/>
        </w:numPr>
        <w:pStyle w:val="Compact"/>
      </w:pPr>
      <w:r>
        <w:t xml:space="preserve">2009 · Brändle M ·</w:t>
      </w:r>
      <w:r>
        <w:t xml:space="preserve"> </w:t>
      </w:r>
      <w:r>
        <w:rPr>
          <w:iCs/>
          <w:i/>
        </w:rPr>
        <w:t xml:space="preserve">Int J Clin Pharmacol Ther</w:t>
      </w:r>
      <w:r>
        <w:t xml:space="preserve"> </w:t>
      </w:r>
      <w:r>
        <w:t xml:space="preserve">· Exenatide versus insulin glargine: a cost-effectiveness evaluation in patients with Type 2 diabetes in Switzerland. PMID 19640359</w:t>
      </w:r>
    </w:p>
    <w:p>
      <w:pPr>
        <w:numPr>
          <w:ilvl w:val="0"/>
          <w:numId w:val="1376"/>
        </w:numPr>
        <w:pStyle w:val="Compact"/>
      </w:pPr>
      <w:r>
        <w:t xml:space="preserve">2009 · Rosenstock J ·</w:t>
      </w:r>
      <w:r>
        <w:t xml:space="preserve"> </w:t>
      </w:r>
      <w:r>
        <w:rPr>
          <w:iCs/>
          <w:i/>
        </w:rPr>
        <w:t xml:space="preserve">Diabetes Care</w:t>
      </w:r>
      <w:r>
        <w:t xml:space="preserve"> </w:t>
      </w:r>
      <w:r>
        <w:t xml:space="preserve">· Potential of albiglutide, a long-acting GLP-1 receptor agonist, in type 2 diabetes: a randomized controlled trial exploring weekly, biweekly, and monthly dosing. PMID 19592625</w:t>
      </w:r>
    </w:p>
    <w:p>
      <w:pPr>
        <w:numPr>
          <w:ilvl w:val="0"/>
          <w:numId w:val="1376"/>
        </w:numPr>
        <w:pStyle w:val="Compact"/>
      </w:pPr>
      <w:r>
        <w:t xml:space="preserve">2009 · Faludi P ·</w:t>
      </w:r>
      <w:r>
        <w:t xml:space="preserve"> </w:t>
      </w:r>
      <w:r>
        <w:rPr>
          <w:iCs/>
          <w:i/>
        </w:rPr>
        <w:t xml:space="preserve">Peptides</w:t>
      </w:r>
      <w:r>
        <w:t xml:space="preserve"> </w:t>
      </w:r>
      <w:r>
        <w:t xml:space="preserve">· The effect of exenatide re-exposure on safety and efficacy. PMID 19576255</w:t>
      </w:r>
    </w:p>
    <w:p>
      <w:pPr>
        <w:numPr>
          <w:ilvl w:val="0"/>
          <w:numId w:val="1376"/>
        </w:numPr>
        <w:pStyle w:val="Compact"/>
      </w:pPr>
      <w:r>
        <w:t xml:space="preserve">2009 · Best JH ·</w:t>
      </w:r>
      <w:r>
        <w:t xml:space="preserve"> </w:t>
      </w:r>
      <w:r>
        <w:rPr>
          <w:iCs/>
          <w:i/>
        </w:rPr>
        <w:t xml:space="preserve">Diabet Med</w:t>
      </w:r>
      <w:r>
        <w:t xml:space="preserve"> </w:t>
      </w:r>
      <w:r>
        <w:t xml:space="preserve">· Improved treatment satisfaction and weight-related quality of life with exenatide once weekly or twice daily. PMID 19573122</w:t>
      </w:r>
    </w:p>
    <w:p>
      <w:pPr>
        <w:numPr>
          <w:ilvl w:val="0"/>
          <w:numId w:val="1376"/>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6"/>
        </w:numPr>
        <w:pStyle w:val="Compact"/>
      </w:pPr>
      <w:r>
        <w:t xml:space="preserve">2009 · Mazze R ·</w:t>
      </w:r>
      <w:r>
        <w:t xml:space="preserve"> </w:t>
      </w:r>
      <w:r>
        <w:rPr>
          <w:iCs/>
          <w:i/>
        </w:rPr>
        <w:t xml:space="preserve">Endocr Pract</w:t>
      </w:r>
      <w:r>
        <w:t xml:space="preserve"> </w:t>
      </w:r>
      <w:r>
        <w:t xml:space="preserve">· Diurnal glucose patterns of exenatide once weekly: a 1-year study using continuous glucose monitoring with ambulatory glucose profile analysis. PMID 19454385</w:t>
      </w:r>
    </w:p>
    <w:p>
      <w:pPr>
        <w:numPr>
          <w:ilvl w:val="0"/>
          <w:numId w:val="1376"/>
        </w:numPr>
        <w:pStyle w:val="Compact"/>
      </w:pPr>
      <w:r>
        <w:t xml:space="preserve">2009 · Malloy J ·</w:t>
      </w:r>
      <w:r>
        <w:t xml:space="preserve"> </w:t>
      </w:r>
      <w:r>
        <w:rPr>
          <w:iCs/>
          <w:i/>
        </w:rPr>
        <w:t xml:space="preserve">Clin Ther</w:t>
      </w:r>
      <w:r>
        <w:t xml:space="preserve"> </w:t>
      </w:r>
      <w:r>
        <w:t xml:space="preserve">· Pharmacology and tolerability of a single dose of exenatide in adolescent patients with type 2 diabetes mellitus being treated with metformin: a randomized, placebo-controlled, single-blind, dose-escalation, crossover study. PMID 19446153</w:t>
      </w:r>
    </w:p>
    <w:p>
      <w:pPr>
        <w:numPr>
          <w:ilvl w:val="0"/>
          <w:numId w:val="1376"/>
        </w:numPr>
        <w:pStyle w:val="Compact"/>
      </w:pPr>
      <w:r>
        <w:t xml:space="preserve">2009 · Bergenstal R ·</w:t>
      </w:r>
      <w:r>
        <w:t xml:space="preserve"> </w:t>
      </w:r>
      <w:r>
        <w:rPr>
          <w:iCs/>
          <w:i/>
        </w:rPr>
        <w:t xml:space="preserve">Curr Med Res Opin</w:t>
      </w:r>
      <w:r>
        <w:t xml:space="preserve"> </w:t>
      </w:r>
      <w:r>
        <w:t xml:space="preserve">· Efficacy and safety of biphasic insulin aspart 70/30 versus exenatide in subjects with type 2 diabetes failing to achieve glycemic control with metformin and a sulfonylurea. PMID 19210140</w:t>
      </w:r>
    </w:p>
    <w:p>
      <w:pPr>
        <w:numPr>
          <w:ilvl w:val="0"/>
          <w:numId w:val="1376"/>
        </w:numPr>
        <w:pStyle w:val="Compact"/>
      </w:pPr>
      <w:r>
        <w:t xml:space="preserve">2009 · Bunck MC ·</w:t>
      </w:r>
      <w:r>
        <w:t xml:space="preserve"> </w:t>
      </w:r>
      <w:r>
        <w:rPr>
          <w:iCs/>
          <w:i/>
        </w:rPr>
        <w:t xml:space="preserve">Diabetes Care</w:t>
      </w:r>
      <w:r>
        <w:t xml:space="preserve"> </w:t>
      </w:r>
      <w:r>
        <w:t xml:space="preserve">· One-year treatment with exenatide improves beta-cell function, compared with insulin glargine, in metformin-treated type 2 diabetic patients: a randomized, controlled trial. PMID 19196887</w:t>
      </w:r>
    </w:p>
    <w:p>
      <w:pPr>
        <w:numPr>
          <w:ilvl w:val="0"/>
          <w:numId w:val="1376"/>
        </w:numPr>
        <w:pStyle w:val="Compact"/>
      </w:pPr>
      <w:r>
        <w:t xml:space="preserve">2009 · Kadowaki T ·</w:t>
      </w:r>
      <w:r>
        <w:t xml:space="preserve"> </w:t>
      </w:r>
      <w:r>
        <w:rPr>
          <w:iCs/>
          <w:i/>
        </w:rPr>
        <w:t xml:space="preserve">Endocr J</w:t>
      </w:r>
      <w:r>
        <w:t xml:space="preserve"> </w:t>
      </w:r>
      <w:r>
        <w:t xml:space="preserve">· Exenatide exhibits dose-dependent effects on glycemic control over 12 weeks in Japanese patients with suboptimally controlled type 2 diabetes. PMID 19194050</w:t>
      </w:r>
    </w:p>
    <w:p>
      <w:pPr>
        <w:numPr>
          <w:ilvl w:val="0"/>
          <w:numId w:val="1376"/>
        </w:numPr>
        <w:pStyle w:val="Compact"/>
      </w:pPr>
      <w:r>
        <w:t xml:space="preserve">2009 · Gao Y ·</w:t>
      </w:r>
      <w:r>
        <w:t xml:space="preserve"> </w:t>
      </w:r>
      <w:r>
        <w:rPr>
          <w:iCs/>
          <w:i/>
        </w:rPr>
        <w:t xml:space="preserve">Diabetes Res Clin Pract</w:t>
      </w:r>
      <w:r>
        <w:t xml:space="preserve"> </w:t>
      </w:r>
      <w:r>
        <w:t xml:space="preserve">· Efficacy and safety of exenatide in patients of Asian descent with type 2 diabetes inadequately controlled with metformin or metformin and a sulphonylurea. PMID 19019476</w:t>
      </w:r>
    </w:p>
    <w:p>
      <w:pPr>
        <w:numPr>
          <w:ilvl w:val="0"/>
          <w:numId w:val="1376"/>
        </w:numPr>
        <w:pStyle w:val="Compact"/>
      </w:pPr>
      <w:r>
        <w:t xml:space="preserve">2008 · Kothare PA ·</w:t>
      </w:r>
      <w:r>
        <w:t xml:space="preserve"> </w:t>
      </w:r>
      <w:r>
        <w:rPr>
          <w:iCs/>
          <w:i/>
        </w:rPr>
        <w:t xml:space="preserve">J Clin Pharmacol</w:t>
      </w:r>
      <w:r>
        <w:t xml:space="preserve"> </w:t>
      </w:r>
      <w:r>
        <w:t xml:space="preserve">· Pharmacokinetics, pharmacodynamics, tolerability, and safety of exenatide in Japanese patients with type 2 diabetes mellitus. PMID 19047364</w:t>
      </w:r>
    </w:p>
    <w:p>
      <w:pPr>
        <w:numPr>
          <w:ilvl w:val="0"/>
          <w:numId w:val="1376"/>
        </w:numPr>
        <w:pStyle w:val="Compact"/>
      </w:pPr>
      <w:r>
        <w:t xml:space="preserve">2008 · Moretto TJ ·</w:t>
      </w:r>
      <w:r>
        <w:t xml:space="preserve"> </w:t>
      </w:r>
      <w:r>
        <w:rPr>
          <w:iCs/>
          <w:i/>
        </w:rPr>
        <w:t xml:space="preserve">Clin Ther</w:t>
      </w:r>
      <w:r>
        <w:t xml:space="preserve"> </w:t>
      </w:r>
      <w:r>
        <w:t xml:space="preserve">· Efficacy and tolerability of exenatide monotherapy over 24 weeks in antidiabetic drug-naive patients with type 2 diabetes: a randomized, double-blind, placebo-controlled, parallel-group study. PMID 18803987</w:t>
      </w:r>
    </w:p>
    <w:p>
      <w:pPr>
        <w:numPr>
          <w:ilvl w:val="0"/>
          <w:numId w:val="1376"/>
        </w:numPr>
        <w:pStyle w:val="Compact"/>
      </w:pPr>
      <w:r>
        <w:t xml:space="preserve">2008 · Zhao X ·</w:t>
      </w:r>
      <w:r>
        <w:t xml:space="preserve"> </w:t>
      </w:r>
      <w:r>
        <w:rPr>
          <w:iCs/>
          <w:i/>
        </w:rPr>
        <w:t xml:space="preserve">Int J Clin Pharmacol Ther</w:t>
      </w:r>
      <w:r>
        <w:t xml:space="preserve"> </w:t>
      </w:r>
      <w:r>
        <w:t xml:space="preserve">· Exenatide pharmacokinetics in healthy Chinese subjects. PMID 18793576</w:t>
      </w:r>
    </w:p>
    <w:p>
      <w:pPr>
        <w:numPr>
          <w:ilvl w:val="0"/>
          <w:numId w:val="1376"/>
        </w:numPr>
        <w:pStyle w:val="Compact"/>
      </w:pPr>
      <w:r>
        <w:t xml:space="preserve">2008 · DeFronzo RA ·</w:t>
      </w:r>
      <w:r>
        <w:t xml:space="preserve"> </w:t>
      </w:r>
      <w:r>
        <w:rPr>
          <w:iCs/>
          <w:i/>
        </w:rPr>
        <w:t xml:space="preserve">Curr Med Res Opin</w:t>
      </w:r>
      <w:r>
        <w:t xml:space="preserve"> </w:t>
      </w:r>
      <w:r>
        <w:t xml:space="preserve">· Effects of exenatide versus sitagliptin on postprandial glucose, insulin and glucagon secretion, gastric emptying, and caloric intake: a randomized, cross-over study. PMID 18786299</w:t>
      </w:r>
    </w:p>
    <w:p>
      <w:pPr>
        <w:numPr>
          <w:ilvl w:val="0"/>
          <w:numId w:val="1376"/>
        </w:numPr>
        <w:pStyle w:val="Compact"/>
      </w:pPr>
      <w:r>
        <w:t xml:space="preserve">2008 · Drucker DJ ·</w:t>
      </w:r>
      <w:r>
        <w:t xml:space="preserve"> </w:t>
      </w:r>
      <w:r>
        <w:rPr>
          <w:iCs/>
          <w:i/>
        </w:rPr>
        <w:t xml:space="preserve">Lancet</w:t>
      </w:r>
      <w:r>
        <w:t xml:space="preserve"> </w:t>
      </w:r>
      <w:r>
        <w:t xml:space="preserve">· Exenatide once weekly versus twice daily for the treatment of type 2 diabetes: a randomised, open-label, non-inferiority study. PMID 18782641</w:t>
      </w:r>
    </w:p>
    <w:p>
      <w:pPr>
        <w:numPr>
          <w:ilvl w:val="0"/>
          <w:numId w:val="1376"/>
        </w:numPr>
        <w:pStyle w:val="Compact"/>
      </w:pPr>
      <w:r>
        <w:t xml:space="preserve">2008 · Linnebjerg H ·</w:t>
      </w:r>
      <w:r>
        <w:t xml:space="preserve"> </w:t>
      </w:r>
      <w:r>
        <w:rPr>
          <w:iCs/>
          <w:i/>
        </w:rPr>
        <w:t xml:space="preserve">Regul Pept</w:t>
      </w:r>
      <w:r>
        <w:t xml:space="preserve"> </w:t>
      </w:r>
      <w:r>
        <w:t xml:space="preserve">· Effect of exenatide on gastric emptying and relationship to postprandial glycemia in type 2 diabetes. PMID 18675854</w:t>
      </w:r>
    </w:p>
    <w:p>
      <w:pPr>
        <w:numPr>
          <w:ilvl w:val="0"/>
          <w:numId w:val="1376"/>
        </w:numPr>
        <w:pStyle w:val="Compact"/>
      </w:pPr>
      <w:r>
        <w:t xml:space="preserve">2008 · Forti A ·</w:t>
      </w:r>
      <w:r>
        <w:t xml:space="preserve"> </w:t>
      </w:r>
      <w:r>
        <w:rPr>
          <w:iCs/>
          <w:i/>
        </w:rPr>
        <w:t xml:space="preserve">Curr Med Res Opin</w:t>
      </w:r>
      <w:r>
        <w:t xml:space="preserve"> </w:t>
      </w:r>
      <w:r>
        <w:t xml:space="preserve">· Efficacy and safety of exenatide administered before the two largest daily meals of Latin American patients with type 2 diabetes. PMID 18662495</w:t>
      </w:r>
    </w:p>
    <w:p>
      <w:pPr>
        <w:numPr>
          <w:ilvl w:val="0"/>
          <w:numId w:val="1376"/>
        </w:numPr>
        <w:pStyle w:val="Compact"/>
      </w:pPr>
      <w:r>
        <w:t xml:space="preserve">2008 · Schwartz SL ·</w:t>
      </w:r>
      <w:r>
        <w:t xml:space="preserve"> </w:t>
      </w:r>
      <w:r>
        <w:rPr>
          <w:iCs/>
          <w:i/>
        </w:rPr>
        <w:t xml:space="preserve">Clin Ther</w:t>
      </w:r>
      <w:r>
        <w:t xml:space="preserve"> </w:t>
      </w:r>
      <w:r>
        <w:t xml:space="preserve">· Effect of exenatide on 24-hour blood glucose profile compared with placebo in patients with type 2 diabetes: a randomized, double-blind, two-arm, parallel-group, placebo-controlled, 2-week study. PMID 18555933</w:t>
      </w:r>
    </w:p>
    <w:p>
      <w:pPr>
        <w:numPr>
          <w:ilvl w:val="0"/>
          <w:numId w:val="1376"/>
        </w:numPr>
        <w:pStyle w:val="Compact"/>
      </w:pPr>
      <w:r>
        <w:t xml:space="preserve">2008 · Elkind-Hirsch K ·</w:t>
      </w:r>
      <w:r>
        <w:t xml:space="preserve"> </w:t>
      </w:r>
      <w:r>
        <w:rPr>
          <w:iCs/>
          <w:i/>
        </w:rPr>
        <w:t xml:space="preserve">J Clin Endocrinol Metab</w:t>
      </w:r>
      <w:r>
        <w:t xml:space="preserve"> </w:t>
      </w:r>
      <w:r>
        <w:t xml:space="preserve">· Comparison of single and combined treatment with exenatide and metformin on menstrual cyclicity in overweight women with polycystic ovary syndrome. PMID 18460557</w:t>
      </w:r>
    </w:p>
    <w:p>
      <w:pPr>
        <w:numPr>
          <w:ilvl w:val="0"/>
          <w:numId w:val="1376"/>
        </w:numPr>
        <w:pStyle w:val="Compact"/>
      </w:pPr>
      <w:r>
        <w:t xml:space="preserve">2008 · Gangemi A ·</w:t>
      </w:r>
      <w:r>
        <w:t xml:space="preserve"> </w:t>
      </w:r>
      <w:r>
        <w:rPr>
          <w:iCs/>
          <w:i/>
        </w:rPr>
        <w:t xml:space="preserve">Am J Transplant</w:t>
      </w:r>
      <w:r>
        <w:t xml:space="preserve"> </w:t>
      </w:r>
      <w:r>
        <w:t xml:space="preserve">· Islet transplantation for brittle type 1 diabetes: the UIC protocol. PMID 18444920</w:t>
      </w:r>
    </w:p>
    <w:p>
      <w:pPr>
        <w:numPr>
          <w:ilvl w:val="0"/>
          <w:numId w:val="1376"/>
        </w:numPr>
        <w:pStyle w:val="Compact"/>
      </w:pPr>
      <w:r>
        <w:t xml:space="preserve">2008 · Brodows RG ·</w:t>
      </w:r>
      <w:r>
        <w:t xml:space="preserve"> </w:t>
      </w:r>
      <w:r>
        <w:rPr>
          <w:iCs/>
          <w:i/>
        </w:rPr>
        <w:t xml:space="preserve">Curr Med Res Opin</w:t>
      </w:r>
      <w:r>
        <w:t xml:space="preserve"> </w:t>
      </w:r>
      <w:r>
        <w:t xml:space="preserve">· Quantifying the effect of exenatide and insulin glargine on postprandial glucose excursions in patients with type 2 diabetes. PMID 18394265</w:t>
      </w:r>
    </w:p>
    <w:p>
      <w:pPr>
        <w:numPr>
          <w:ilvl w:val="0"/>
          <w:numId w:val="1376"/>
        </w:numPr>
        <w:pStyle w:val="Compact"/>
      </w:pPr>
      <w:r>
        <w:t xml:space="preserve">2008 · Minshall ME ·</w:t>
      </w:r>
      <w:r>
        <w:t xml:space="preserve"> </w:t>
      </w:r>
      <w:r>
        <w:rPr>
          <w:iCs/>
          <w:i/>
        </w:rPr>
        <w:t xml:space="preserve">Value Health</w:t>
      </w:r>
      <w:r>
        <w:t xml:space="preserve"> </w:t>
      </w:r>
      <w:r>
        <w:t xml:space="preserve">· Estimating the long-term cost-effectiveness of exenatide in the United States: an adjunctive treatment for type 2 diabetes mellitus. PMID 18237357</w:t>
      </w:r>
    </w:p>
    <w:p>
      <w:pPr>
        <w:numPr>
          <w:ilvl w:val="0"/>
          <w:numId w:val="1376"/>
        </w:numPr>
        <w:pStyle w:val="Compact"/>
      </w:pPr>
      <w:r>
        <w:t xml:space="preserve">2008 · Glass LC ·</w:t>
      </w:r>
      <w:r>
        <w:t xml:space="preserve"> </w:t>
      </w:r>
      <w:r>
        <w:rPr>
          <w:iCs/>
          <w:i/>
        </w:rPr>
        <w:t xml:space="preserve">Curr Med Res Opin</w:t>
      </w:r>
      <w:r>
        <w:t xml:space="preserve"> </w:t>
      </w:r>
      <w:r>
        <w:t xml:space="preserve">· Effects of exenatide versus insulin analogues on weight change in subjects with type 2 diabetes: a pooled post-hoc analysis. PMID 18218179</w:t>
      </w:r>
    </w:p>
    <w:p>
      <w:pPr>
        <w:numPr>
          <w:ilvl w:val="0"/>
          <w:numId w:val="1376"/>
        </w:numPr>
        <w:pStyle w:val="Compact"/>
      </w:pPr>
      <w:r>
        <w:t xml:space="preserve">2008 · Klonoff DC ·</w:t>
      </w:r>
      <w:r>
        <w:t xml:space="preserve"> </w:t>
      </w:r>
      <w:r>
        <w:rPr>
          <w:iCs/>
          <w:i/>
        </w:rPr>
        <w:t xml:space="preserve">Curr Med Res Opin</w:t>
      </w:r>
      <w:r>
        <w:t xml:space="preserve"> </w:t>
      </w:r>
      <w:r>
        <w:t xml:space="preserve">· Exenatide effects on diabetes, obesity, cardiovascular risk factors and hepatic biomarkers in patients with type 2 diabetes treated for at least 3 years. PMID 18053320</w:t>
      </w:r>
    </w:p>
    <w:p>
      <w:pPr>
        <w:numPr>
          <w:ilvl w:val="0"/>
          <w:numId w:val="1376"/>
        </w:numPr>
        <w:pStyle w:val="Compact"/>
      </w:pPr>
      <w:r>
        <w:t xml:space="preserve">2007 · Barnett AH ·</w:t>
      </w:r>
      <w:r>
        <w:t xml:space="preserve"> </w:t>
      </w:r>
      <w:r>
        <w:rPr>
          <w:iCs/>
          <w:i/>
        </w:rPr>
        <w:t xml:space="preserve">Clin Ther</w:t>
      </w:r>
      <w:r>
        <w:t xml:space="preserve"> </w:t>
      </w:r>
      <w:r>
        <w:t xml:space="preserve">· Tolerability and efficacy of exenatide and titrated insulin glargine in adult patients with type 2 diabetes previously uncontrolled with metformin or a sulfonylurea: a multinational, randomized, open-label, two-period, crossover noninferiority trial. PMID 18158075</w:t>
      </w:r>
    </w:p>
    <w:p>
      <w:pPr>
        <w:numPr>
          <w:ilvl w:val="0"/>
          <w:numId w:val="1376"/>
        </w:numPr>
        <w:pStyle w:val="Compact"/>
      </w:pPr>
      <w:r>
        <w:t xml:space="preserve">2007 · Nelson P ·</w:t>
      </w:r>
      <w:r>
        <w:t xml:space="preserve"> </w:t>
      </w:r>
      <w:r>
        <w:rPr>
          <w:iCs/>
          <w:i/>
        </w:rPr>
        <w:t xml:space="preserve">Diabetes Technol Ther</w:t>
      </w:r>
      <w:r>
        <w:t xml:space="preserve"> </w:t>
      </w:r>
      <w:r>
        <w:t xml:space="preserve">· The incretin mimetic exenatide as a monotherapy in patients with type 2 diabetes. PMID 17705687</w:t>
      </w:r>
    </w:p>
    <w:p>
      <w:pPr>
        <w:numPr>
          <w:ilvl w:val="0"/>
          <w:numId w:val="1376"/>
        </w:numPr>
        <w:pStyle w:val="Compact"/>
      </w:pPr>
      <w:r>
        <w:t xml:space="preserve">2007 · Davis SN ·</w:t>
      </w:r>
      <w:r>
        <w:t xml:space="preserve"> </w:t>
      </w:r>
      <w:r>
        <w:rPr>
          <w:iCs/>
          <w:i/>
        </w:rPr>
        <w:t xml:space="preserve">Diabetes Care</w:t>
      </w:r>
      <w:r>
        <w:t xml:space="preserve"> </w:t>
      </w:r>
      <w:r>
        <w:t xml:space="preserve">· Exploring the substitution of exenatide for insulin in patients with type 2 diabetes treated with insulin in combination with oral antidiabetes agents. PMID 17595353</w:t>
      </w:r>
    </w:p>
    <w:p>
      <w:pPr>
        <w:numPr>
          <w:ilvl w:val="0"/>
          <w:numId w:val="1376"/>
        </w:numPr>
        <w:pStyle w:val="Compact"/>
      </w:pPr>
      <w:r>
        <w:t xml:space="preserve">2007 · Linnebjerg H ·</w:t>
      </w:r>
      <w:r>
        <w:t xml:space="preserve"> </w:t>
      </w:r>
      <w:r>
        <w:rPr>
          <w:iCs/>
          <w:i/>
        </w:rPr>
        <w:t xml:space="preserve">Br J Clin Pharmacol</w:t>
      </w:r>
      <w:r>
        <w:t xml:space="preserve"> </w:t>
      </w:r>
      <w:r>
        <w:t xml:space="preserve">· Effect of renal impairment on the pharmacokinetics of exenatide. PMID 17425627</w:t>
      </w:r>
    </w:p>
    <w:p>
      <w:pPr>
        <w:numPr>
          <w:ilvl w:val="0"/>
          <w:numId w:val="1376"/>
        </w:numPr>
        <w:pStyle w:val="Compact"/>
      </w:pPr>
      <w:r>
        <w:t xml:space="preserve">2007 · Zinman B ·</w:t>
      </w:r>
      <w:r>
        <w:t xml:space="preserve"> </w:t>
      </w:r>
      <w:r>
        <w:rPr>
          <w:iCs/>
          <w:i/>
        </w:rPr>
        <w:t xml:space="preserve">Ann Intern Med</w:t>
      </w:r>
      <w:r>
        <w:t xml:space="preserve"> </w:t>
      </w:r>
      <w:r>
        <w:t xml:space="preserve">· The effect of adding exenatide to a thiazolidinedione in suboptimally controlled type 2 diabetes: a randomized trial. PMID 17404349</w:t>
      </w:r>
    </w:p>
    <w:p>
      <w:pPr>
        <w:numPr>
          <w:ilvl w:val="0"/>
          <w:numId w:val="1376"/>
        </w:numPr>
        <w:pStyle w:val="Compact"/>
      </w:pPr>
      <w:r>
        <w:t xml:space="preserve">2007 · Buse JB ·</w:t>
      </w:r>
      <w:r>
        <w:t xml:space="preserve"> </w:t>
      </w:r>
      <w:r>
        <w:rPr>
          <w:iCs/>
          <w:i/>
        </w:rPr>
        <w:t xml:space="preserve">Clin Ther</w:t>
      </w:r>
      <w:r>
        <w:t xml:space="preserve"> </w:t>
      </w:r>
      <w:r>
        <w:t xml:space="preserve">· Metabolic effects of two years of exenatide treatment on diabetes, obesity, and hepatic biomarkers in patients with type 2 diabetes: an interim analysis of data from the open-label, uncontrolled extension of three double-blind, placebo-controlled trials. PMID 17379054</w:t>
      </w:r>
    </w:p>
    <w:p>
      <w:pPr>
        <w:numPr>
          <w:ilvl w:val="0"/>
          <w:numId w:val="1376"/>
        </w:numPr>
        <w:pStyle w:val="Compact"/>
      </w:pPr>
      <w:r>
        <w:t xml:space="preserve">2007 · Ray JA ·</w:t>
      </w:r>
      <w:r>
        <w:t xml:space="preserve"> </w:t>
      </w:r>
      <w:r>
        <w:rPr>
          <w:iCs/>
          <w:i/>
        </w:rPr>
        <w:t xml:space="preserve">Curr Med Res Opin</w:t>
      </w:r>
      <w:r>
        <w:t xml:space="preserve"> </w:t>
      </w:r>
      <w:r>
        <w:t xml:space="preserve">· Exenatide versus insulin glargine in patients with type 2 diabetes in the UK: a model of long-term clinical and cost outcomes. PMID 17355742</w:t>
      </w:r>
    </w:p>
    <w:p>
      <w:pPr>
        <w:numPr>
          <w:ilvl w:val="0"/>
          <w:numId w:val="1376"/>
        </w:numPr>
        <w:pStyle w:val="Compact"/>
      </w:pPr>
      <w:r>
        <w:t xml:space="preserve">2007 · Kim D ·</w:t>
      </w:r>
      <w:r>
        <w:t xml:space="preserve"> </w:t>
      </w:r>
      <w:r>
        <w:rPr>
          <w:iCs/>
          <w:i/>
        </w:rPr>
        <w:t xml:space="preserve">Diabetes Care</w:t>
      </w:r>
      <w:r>
        <w:t xml:space="preserve"> </w:t>
      </w:r>
      <w:r>
        <w:t xml:space="preserve">· Effects of once-weekly dosing of a long-acting release formulation of exenatide on glucose control and body weight in subjects with type 2 diabetes. PMID 17353504</w:t>
      </w:r>
    </w:p>
    <w:p>
      <w:pPr>
        <w:numPr>
          <w:ilvl w:val="0"/>
          <w:numId w:val="1376"/>
        </w:numPr>
        <w:pStyle w:val="Compact"/>
      </w:pPr>
      <w:r>
        <w:t xml:space="preserve">2007 · Kothare PA ·</w:t>
      </w:r>
      <w:r>
        <w:t xml:space="preserve"> </w:t>
      </w:r>
      <w:r>
        <w:rPr>
          <w:iCs/>
          <w:i/>
        </w:rPr>
        <w:t xml:space="preserve">Int J Clin Pharmacol Ther</w:t>
      </w:r>
      <w:r>
        <w:t xml:space="preserve"> </w:t>
      </w:r>
      <w:r>
        <w:t xml:space="preserve">· Exenatide effects on statin pharmacokinetics and lipid response. PMID 17323791</w:t>
      </w:r>
    </w:p>
    <w:p>
      <w:pPr>
        <w:numPr>
          <w:ilvl w:val="0"/>
          <w:numId w:val="1376"/>
        </w:numPr>
        <w:pStyle w:val="Compact"/>
      </w:pPr>
      <w:r>
        <w:t xml:space="preserve">2007 · Ghofaili KA ·</w:t>
      </w:r>
      <w:r>
        <w:t xml:space="preserve"> </w:t>
      </w:r>
      <w:r>
        <w:rPr>
          <w:iCs/>
          <w:i/>
        </w:rPr>
        <w:t xml:space="preserve">Transplantation</w:t>
      </w:r>
      <w:r>
        <w:t xml:space="preserve"> </w:t>
      </w:r>
      <w:r>
        <w:t xml:space="preserve">· Effect of exenatide on beta cell function after islet transplantation in type 1 diabetes. PMID 17220786</w:t>
      </w:r>
    </w:p>
    <w:p>
      <w:pPr>
        <w:numPr>
          <w:ilvl w:val="0"/>
          <w:numId w:val="1376"/>
        </w:numPr>
        <w:pStyle w:val="Compact"/>
      </w:pPr>
      <w:r>
        <w:t xml:space="preserve">2007 · Nauck MA ·</w:t>
      </w:r>
      <w:r>
        <w:t xml:space="preserve"> </w:t>
      </w:r>
      <w:r>
        <w:rPr>
          <w:iCs/>
          <w:i/>
        </w:rPr>
        <w:t xml:space="preserve">Diabetologia</w:t>
      </w:r>
      <w:r>
        <w:t xml:space="preserve"> </w:t>
      </w:r>
      <w:r>
        <w:t xml:space="preserve">· A comparison of twice-daily exenatide and biphasic insulin aspart in patients with type 2 diabetes who were suboptimally controlled with sulfonylurea and metformin: a non-inferiority study. PMID 17160407</w:t>
      </w:r>
    </w:p>
    <w:p>
      <w:pPr>
        <w:numPr>
          <w:ilvl w:val="0"/>
          <w:numId w:val="1376"/>
        </w:numPr>
        <w:pStyle w:val="Compact"/>
      </w:pPr>
      <w:r>
        <w:t xml:space="preserve">2006 · Mari A ·</w:t>
      </w:r>
      <w:r>
        <w:t xml:space="preserve"> </w:t>
      </w:r>
      <w:r>
        <w:rPr>
          <w:iCs/>
          <w:i/>
        </w:rPr>
        <w:t xml:space="preserve">Horm Metab Res</w:t>
      </w:r>
      <w:r>
        <w:t xml:space="preserve"> </w:t>
      </w:r>
      <w:r>
        <w:t xml:space="preserve">· Mathematical modeling shows exenatide improved beta-cell function in patients with type 2 diabetes treated with metformin or metformin and a sulfonylurea. PMID 17163361</w:t>
      </w:r>
    </w:p>
    <w:p>
      <w:pPr>
        <w:numPr>
          <w:ilvl w:val="0"/>
          <w:numId w:val="1376"/>
        </w:numPr>
        <w:pStyle w:val="Compact"/>
      </w:pPr>
      <w:r>
        <w:t xml:space="preserve">2006 · Secnik Boye K ·</w:t>
      </w:r>
      <w:r>
        <w:t xml:space="preserve"> </w:t>
      </w:r>
      <w:r>
        <w:rPr>
          <w:iCs/>
          <w:i/>
        </w:rPr>
        <w:t xml:space="preserve">Health Qual Life Outcomes</w:t>
      </w:r>
      <w:r>
        <w:t xml:space="preserve"> </w:t>
      </w:r>
      <w:r>
        <w:t xml:space="preserve">· Patient-reported outcomes in a trial of exenatide and insulin glargine for the treatment of type 2 diabetes. PMID 17034640</w:t>
      </w:r>
    </w:p>
    <w:p>
      <w:pPr>
        <w:numPr>
          <w:ilvl w:val="0"/>
          <w:numId w:val="1376"/>
        </w:numPr>
        <w:pStyle w:val="Compact"/>
      </w:pPr>
      <w:r>
        <w:t xml:space="preserve">2006 · Soon D ·</w:t>
      </w:r>
      <w:r>
        <w:t xml:space="preserve"> </w:t>
      </w:r>
      <w:r>
        <w:rPr>
          <w:iCs/>
          <w:i/>
        </w:rPr>
        <w:t xml:space="preserve">J Clin Pharmacol</w:t>
      </w:r>
      <w:r>
        <w:t xml:space="preserve"> </w:t>
      </w:r>
      <w:r>
        <w:t xml:space="preserve">· Effect of exenatide on the pharmacokinetics and pharmacodynamics of warfarin in healthy Asian men. PMID 16988207</w:t>
      </w:r>
    </w:p>
    <w:p>
      <w:pPr>
        <w:numPr>
          <w:ilvl w:val="0"/>
          <w:numId w:val="1376"/>
        </w:numPr>
        <w:pStyle w:val="Compact"/>
      </w:pPr>
      <w:r>
        <w:t xml:space="preserve">2006 · Blonde L ·</w:t>
      </w:r>
      <w:r>
        <w:t xml:space="preserve"> </w:t>
      </w:r>
      <w:r>
        <w:rPr>
          <w:iCs/>
          <w:i/>
        </w:rPr>
        <w:t xml:space="preserve">Diabetes Obes Metab</w:t>
      </w:r>
      <w:r>
        <w:t xml:space="preserve"> </w:t>
      </w:r>
      <w:r>
        <w:t xml:space="preserve">· Interim analysis of the effects of exenatide treatment on A1C, weight and cardiovascular risk factors over 82 weeks in 314 overweight patients with type 2 diabetes. PMID 16776751</w:t>
      </w:r>
    </w:p>
    <w:p>
      <w:pPr>
        <w:numPr>
          <w:ilvl w:val="0"/>
          <w:numId w:val="1376"/>
        </w:numPr>
        <w:pStyle w:val="Compact"/>
      </w:pPr>
      <w:r>
        <w:t xml:space="preserve">2006 · Ratner RE ·</w:t>
      </w:r>
      <w:r>
        <w:t xml:space="preserve"> </w:t>
      </w:r>
      <w:r>
        <w:rPr>
          <w:iCs/>
          <w:i/>
        </w:rPr>
        <w:t xml:space="preserve">Diabetes Obes Metab</w:t>
      </w:r>
      <w:r>
        <w:t xml:space="preserve"> </w:t>
      </w:r>
      <w:r>
        <w:t xml:space="preserve">· Long-term effects of exenatide therapy over 82 weeks on glycaemic control and weight in over-weight metformin-treated patients with type 2 diabetes mellitus. PMID 16776749</w:t>
      </w:r>
    </w:p>
    <w:p>
      <w:pPr>
        <w:numPr>
          <w:ilvl w:val="0"/>
          <w:numId w:val="1376"/>
        </w:numPr>
        <w:pStyle w:val="Compact"/>
      </w:pPr>
      <w:r>
        <w:t xml:space="preserve">2006 · Riddle MC ·</w:t>
      </w:r>
      <w:r>
        <w:t xml:space="preserve"> </w:t>
      </w:r>
      <w:r>
        <w:rPr>
          <w:iCs/>
          <w:i/>
        </w:rPr>
        <w:t xml:space="preserve">Diabetes Metab Res Rev</w:t>
      </w:r>
      <w:r>
        <w:t xml:space="preserve"> </w:t>
      </w:r>
      <w:r>
        <w:t xml:space="preserve">· Exenatide elicits sustained glycaemic control and progressive reduction of body weight in patients with type 2 diabetes inadequately controlled by sulphonylureas with or without metformin. PMID 16634116</w:t>
      </w:r>
    </w:p>
    <w:p>
      <w:pPr>
        <w:numPr>
          <w:ilvl w:val="0"/>
          <w:numId w:val="1376"/>
        </w:numPr>
        <w:pStyle w:val="Compact"/>
      </w:pPr>
      <w:r>
        <w:t xml:space="preserve">2006 · Linnebjerg H ·</w:t>
      </w:r>
      <w:r>
        <w:t xml:space="preserve"> </w:t>
      </w:r>
      <w:r>
        <w:rPr>
          <w:iCs/>
          <w:i/>
        </w:rPr>
        <w:t xml:space="preserve">Diabet Med</w:t>
      </w:r>
      <w:r>
        <w:t xml:space="preserve"> </w:t>
      </w:r>
      <w:r>
        <w:t xml:space="preserve">· Exenatide: effect of injection time on postprandial glucose in patients with Type 2 diabetes. PMID 16492205</w:t>
      </w:r>
    </w:p>
    <w:p>
      <w:pPr>
        <w:numPr>
          <w:ilvl w:val="0"/>
          <w:numId w:val="1376"/>
        </w:numPr>
        <w:pStyle w:val="Compact"/>
      </w:pPr>
      <w:r>
        <w:t xml:space="preserve">2005 · Taylor K ·</w:t>
      </w:r>
      <w:r>
        <w:t xml:space="preserve"> </w:t>
      </w:r>
      <w:r>
        <w:rPr>
          <w:iCs/>
          <w:i/>
        </w:rPr>
        <w:t xml:space="preserve">Horm Metab Res</w:t>
      </w:r>
      <w:r>
        <w:t xml:space="preserve"> </w:t>
      </w:r>
      <w:r>
        <w:t xml:space="preserve">· Day-long subcutaneous infusion of exenatide lowers glycemia in patients with type 2 diabetes. PMID 16278786</w:t>
      </w:r>
    </w:p>
    <w:p>
      <w:pPr>
        <w:numPr>
          <w:ilvl w:val="0"/>
          <w:numId w:val="1376"/>
        </w:numPr>
        <w:pStyle w:val="Compact"/>
      </w:pPr>
      <w:r>
        <w:t xml:space="preserve">2005 · Heine RJ ·</w:t>
      </w:r>
      <w:r>
        <w:t xml:space="preserve"> </w:t>
      </w:r>
      <w:r>
        <w:rPr>
          <w:iCs/>
          <w:i/>
        </w:rPr>
        <w:t xml:space="preserve">Ann Intern Med</w:t>
      </w:r>
      <w:r>
        <w:t xml:space="preserve"> </w:t>
      </w:r>
      <w:r>
        <w:t xml:space="preserve">· Exenatide versus insulin glargine in patients with suboptimally controlled type 2 diabetes: a randomized trial. PMID 16230722</w:t>
      </w:r>
    </w:p>
    <w:p>
      <w:pPr>
        <w:numPr>
          <w:ilvl w:val="0"/>
          <w:numId w:val="1376"/>
        </w:numPr>
        <w:pStyle w:val="Compact"/>
      </w:pPr>
      <w:r>
        <w:t xml:space="preserve">2005 · Fehse F ·</w:t>
      </w:r>
      <w:r>
        <w:t xml:space="preserve"> </w:t>
      </w:r>
      <w:r>
        <w:rPr>
          <w:iCs/>
          <w:i/>
        </w:rPr>
        <w:t xml:space="preserve">J Clin Endocrinol Metab</w:t>
      </w:r>
      <w:r>
        <w:t xml:space="preserve"> </w:t>
      </w:r>
      <w:r>
        <w:t xml:space="preserve">· Exenatide augments first- and second-phase insulin secretion in response to intravenous glucose in subjects with type 2 diabetes. PMID 16144950</w:t>
      </w:r>
    </w:p>
    <w:p>
      <w:pPr>
        <w:numPr>
          <w:ilvl w:val="0"/>
          <w:numId w:val="1376"/>
        </w:numPr>
        <w:pStyle w:val="Compact"/>
      </w:pPr>
      <w:r>
        <w:t xml:space="preserve">2005 · Kothare PA ·</w:t>
      </w:r>
      <w:r>
        <w:t xml:space="preserve"> </w:t>
      </w:r>
      <w:r>
        <w:rPr>
          <w:iCs/>
          <w:i/>
        </w:rPr>
        <w:t xml:space="preserve">J Clin Pharmacol</w:t>
      </w:r>
      <w:r>
        <w:t xml:space="preserve"> </w:t>
      </w:r>
      <w:r>
        <w:t xml:space="preserve">· Effect of exenatide on the steady-state pharmacokinetics of digoxin. PMID 16100297</w:t>
      </w:r>
    </w:p>
    <w:p>
      <w:pPr>
        <w:numPr>
          <w:ilvl w:val="0"/>
          <w:numId w:val="1376"/>
        </w:numPr>
        <w:pStyle w:val="Compact"/>
      </w:pPr>
      <w:r>
        <w:t xml:space="preserve">2005 · Poon T ·</w:t>
      </w:r>
      <w:r>
        <w:t xml:space="preserve"> </w:t>
      </w:r>
      <w:r>
        <w:rPr>
          <w:iCs/>
          <w:i/>
        </w:rPr>
        <w:t xml:space="preserve">Diabetes Technol Ther</w:t>
      </w:r>
      <w:r>
        <w:t xml:space="preserve"> </w:t>
      </w:r>
      <w:r>
        <w:t xml:space="preserve">· Exenatide improves glycemic control and reduces body weight in subjects with type 2 diabetes: a dose-ranging study. PMID 15929678</w:t>
      </w:r>
    </w:p>
    <w:p>
      <w:pPr>
        <w:numPr>
          <w:ilvl w:val="0"/>
          <w:numId w:val="1376"/>
        </w:numPr>
        <w:pStyle w:val="Compact"/>
      </w:pPr>
      <w:r>
        <w:t xml:space="preserve">2005 · DeFronzo RA ·</w:t>
      </w:r>
      <w:r>
        <w:t xml:space="preserve"> </w:t>
      </w:r>
      <w:r>
        <w:rPr>
          <w:iCs/>
          <w:i/>
        </w:rPr>
        <w:t xml:space="preserve">Diabetes Care</w:t>
      </w:r>
      <w:r>
        <w:t xml:space="preserve"> </w:t>
      </w:r>
      <w:r>
        <w:t xml:space="preserve">· Effects of exenatide (exendin-4) on glycemic control and weight over 30 weeks in metformin-treated patients with type 2 diabetes. PMID 15855572</w:t>
      </w:r>
    </w:p>
    <w:p>
      <w:pPr>
        <w:numPr>
          <w:ilvl w:val="0"/>
          <w:numId w:val="1376"/>
        </w:numPr>
        <w:pStyle w:val="Compact"/>
      </w:pPr>
      <w:r>
        <w:t xml:space="preserve">2005 · Kendall DM ·</w:t>
      </w:r>
      <w:r>
        <w:t xml:space="preserve"> </w:t>
      </w:r>
      <w:r>
        <w:rPr>
          <w:iCs/>
          <w:i/>
        </w:rPr>
        <w:t xml:space="preserve">Diabetes Care</w:t>
      </w:r>
      <w:r>
        <w:t xml:space="preserve"> </w:t>
      </w:r>
      <w:r>
        <w:t xml:space="preserve">· Effects of exenatide (exendin-4) on glycemic control over 30 weeks in patients with type 2 diabetes treated with metformin and a sulfonylurea. PMID 15855571</w:t>
      </w:r>
    </w:p>
    <w:p>
      <w:pPr>
        <w:numPr>
          <w:ilvl w:val="0"/>
          <w:numId w:val="1376"/>
        </w:numPr>
        <w:pStyle w:val="Compact"/>
      </w:pPr>
      <w:r>
        <w:t xml:space="preserve">2005 · Blase E ·</w:t>
      </w:r>
      <w:r>
        <w:t xml:space="preserve"> </w:t>
      </w:r>
      <w:r>
        <w:rPr>
          <w:iCs/>
          <w:i/>
        </w:rPr>
        <w:t xml:space="preserve">J Clin Pharmacol</w:t>
      </w:r>
      <w:r>
        <w:t xml:space="preserve"> </w:t>
      </w:r>
      <w:r>
        <w:t xml:space="preserve">· Pharmacokinetics of an oral drug (acetaminophen) administered at various times in relation to subcutaneous injection of exenatide (exendin-4) in healthy subjects. PMID 15831781</w:t>
      </w:r>
    </w:p>
    <w:p>
      <w:pPr>
        <w:numPr>
          <w:ilvl w:val="0"/>
          <w:numId w:val="1376"/>
        </w:numPr>
        <w:pStyle w:val="Compact"/>
      </w:pPr>
      <w:r>
        <w:t xml:space="preserve">2005 · Calara F ·</w:t>
      </w:r>
      <w:r>
        <w:t xml:space="preserve"> </w:t>
      </w:r>
      <w:r>
        <w:rPr>
          <w:iCs/>
          <w:i/>
        </w:rPr>
        <w:t xml:space="preserve">Clin Ther</w:t>
      </w:r>
      <w:r>
        <w:t xml:space="preserve"> </w:t>
      </w:r>
      <w:r>
        <w:t xml:space="preserve">· A randomized, open-label, crossover study examining the effect of injection site on bioavailability of exenatide (synthetic exendin-4). PMID 15811484</w:t>
      </w:r>
    </w:p>
    <w:p>
      <w:pPr>
        <w:numPr>
          <w:ilvl w:val="0"/>
          <w:numId w:val="1376"/>
        </w:numPr>
        <w:pStyle w:val="Compact"/>
      </w:pPr>
      <w:r>
        <w:t xml:space="preserve">2005 · Kolterman OG ·</w:t>
      </w:r>
      <w:r>
        <w:t xml:space="preserve"> </w:t>
      </w:r>
      <w:r>
        <w:rPr>
          <w:iCs/>
          <w:i/>
        </w:rPr>
        <w:t xml:space="preserve">Am J Health Syst Pharm</w:t>
      </w:r>
      <w:r>
        <w:t xml:space="preserve"> </w:t>
      </w:r>
      <w:r>
        <w:t xml:space="preserve">· Pharmacokinetics, pharmacodynamics, and safety of exenatide in patients with type 2 diabetes mellitus. PMID 15700891</w:t>
      </w:r>
    </w:p>
    <w:p>
      <w:pPr>
        <w:numPr>
          <w:ilvl w:val="0"/>
          <w:numId w:val="1376"/>
        </w:numPr>
        <w:pStyle w:val="Compact"/>
      </w:pPr>
      <w:r>
        <w:t xml:space="preserve">2004 · Buse JB ·</w:t>
      </w:r>
      <w:r>
        <w:t xml:space="preserve"> </w:t>
      </w:r>
      <w:r>
        <w:rPr>
          <w:iCs/>
          <w:i/>
        </w:rPr>
        <w:t xml:space="preserve">Diabetes Care</w:t>
      </w:r>
      <w:r>
        <w:t xml:space="preserve"> </w:t>
      </w:r>
      <w:r>
        <w:t xml:space="preserve">· Effects of exenatide (exendin-4) on glycemic control over 30 weeks in sulfonylurea-treated patients with type 2 diabetes. PMID 15504997</w:t>
      </w:r>
    </w:p>
    <w:p>
      <w:pPr>
        <w:numPr>
          <w:ilvl w:val="0"/>
          <w:numId w:val="1376"/>
        </w:numPr>
        <w:pStyle w:val="Compact"/>
      </w:pPr>
      <w:r>
        <w:t xml:space="preserve">2004 · Fineman MS ·</w:t>
      </w:r>
      <w:r>
        <w:t xml:space="preserve"> </w:t>
      </w:r>
      <w:r>
        <w:rPr>
          <w:iCs/>
          <w:i/>
        </w:rPr>
        <w:t xml:space="preserve">Diabetes Metab Res Rev</w:t>
      </w:r>
      <w:r>
        <w:t xml:space="preserve"> </w:t>
      </w:r>
      <w:r>
        <w:t xml:space="preserve">· Effectiveness of progressive dose-escalation of exenatide (exendin-4) in reducing dose-limiting side effects in subjects with type 2 diabetes. PMID 15343588</w:t>
      </w:r>
    </w:p>
    <w:p>
      <w:pPr>
        <w:numPr>
          <w:ilvl w:val="0"/>
          <w:numId w:val="1376"/>
        </w:numPr>
        <w:pStyle w:val="Compact"/>
      </w:pPr>
      <w:r>
        <w:t xml:space="preserve">2004 · Degn KB ·</w:t>
      </w:r>
      <w:r>
        <w:t xml:space="preserve"> </w:t>
      </w:r>
      <w:r>
        <w:rPr>
          <w:iCs/>
          <w:i/>
        </w:rPr>
        <w:t xml:space="preserve">Diabetes</w:t>
      </w:r>
      <w:r>
        <w:t xml:space="preserve"> </w:t>
      </w:r>
      <w:r>
        <w:t xml:space="preserve">· Effect of intravenous infusion of exenatide (synthetic exendin-4) on glucose-dependent insulin secretion and counterregulation during hypoglycemia. PMID 15331551</w:t>
      </w:r>
    </w:p>
    <w:p>
      <w:pPr>
        <w:numPr>
          <w:ilvl w:val="0"/>
          <w:numId w:val="1376"/>
        </w:numPr>
        <w:pStyle w:val="Compact"/>
      </w:pPr>
      <w:r>
        <w:t xml:space="preserve">2003 · Fineman MS ·</w:t>
      </w:r>
      <w:r>
        <w:t xml:space="preserve"> </w:t>
      </w:r>
      <w:r>
        <w:rPr>
          <w:iCs/>
          <w:i/>
        </w:rPr>
        <w:t xml:space="preserve">Diabetes Care</w:t>
      </w:r>
      <w:r>
        <w:t xml:space="preserve"> </w:t>
      </w:r>
      <w:r>
        <w:t xml:space="preserve">· Effect on glycemic control of exenatide (synthetic exendin-4) additive to existing metformin and/or sulfonylurea treatment in patients with type 2 diabetes. PMID 12882864</w:t>
      </w:r>
    </w:p>
    <w:p>
      <w:pPr>
        <w:numPr>
          <w:ilvl w:val="0"/>
          <w:numId w:val="1376"/>
        </w:numPr>
        <w:pStyle w:val="Compact"/>
      </w:pPr>
      <w:r>
        <w:t xml:space="preserve">2003 · Kolterman OG ·</w:t>
      </w:r>
      <w:r>
        <w:t xml:space="preserve"> </w:t>
      </w:r>
      <w:r>
        <w:rPr>
          <w:iCs/>
          <w:i/>
        </w:rPr>
        <w:t xml:space="preserve">J Clin Endocrinol Metab</w:t>
      </w:r>
      <w:r>
        <w:t xml:space="preserve"> </w:t>
      </w:r>
      <w:r>
        <w:t xml:space="preserve">· Synthetic exendin-4 (exenatide) significantly reduces postprandial and fasting plasma glucose in subjects with type 2 diabetes. PMID 12843147</w:t>
      </w:r>
    </w:p>
    <w:bookmarkEnd w:id="3011"/>
    <w:bookmarkStart w:id="3012" w:name="liraglutida-613"/>
    <w:p>
      <w:pPr>
        <w:pStyle w:val="Heading2"/>
      </w:pPr>
      <w:r>
        <w:t xml:space="preserve">Liraglutida (613)</w:t>
      </w:r>
    </w:p>
    <w:p>
      <w:pPr>
        <w:numPr>
          <w:ilvl w:val="0"/>
          <w:numId w:val="1377"/>
        </w:numPr>
        <w:pStyle w:val="Compact"/>
      </w:pPr>
      <w:r>
        <w:t xml:space="preserve">2026 · Caballero-Corbalán J ·</w:t>
      </w:r>
      <w:r>
        <w:t xml:space="preserve"> </w:t>
      </w:r>
      <w:r>
        <w:rPr>
          <w:iCs/>
          <w:i/>
        </w:rPr>
        <w:t xml:space="preserve">Diabetes Obes Metab</w:t>
      </w:r>
      <w:r>
        <w:t xml:space="preserve"> </w:t>
      </w:r>
      <w:r>
        <w:t xml:space="preserve">· Liraglutide and Βeta-Cell Function in Young Adults With Long-Standing Type 1 Diabetes and Residual C-Peptide: A Blinded, Randomized Controlled Trial. PMID 42595732</w:t>
      </w:r>
    </w:p>
    <w:p>
      <w:pPr>
        <w:numPr>
          <w:ilvl w:val="0"/>
          <w:numId w:val="1377"/>
        </w:numPr>
        <w:pStyle w:val="Compact"/>
      </w:pPr>
      <w:r>
        <w:t xml:space="preserve">2026 · Sun Y ·</w:t>
      </w:r>
      <w:r>
        <w:t xml:space="preserve"> </w:t>
      </w:r>
      <w:r>
        <w:rPr>
          <w:iCs/>
          <w:i/>
        </w:rPr>
        <w:t xml:space="preserve">Endocrine</w:t>
      </w:r>
      <w:r>
        <w:t xml:space="preserve"> </w:t>
      </w:r>
      <w:r>
        <w:t xml:space="preserve">· Comparative analysis of IDegLira versus insulin glargine in short-term intensive therapy for overweight or obese patients with type 2 diabetes mellitus. PMID 42439957</w:t>
      </w:r>
    </w:p>
    <w:p>
      <w:pPr>
        <w:numPr>
          <w:ilvl w:val="0"/>
          <w:numId w:val="1377"/>
        </w:numPr>
        <w:pStyle w:val="Compact"/>
      </w:pPr>
      <w:r>
        <w:t xml:space="preserve">2026 · Friedman MI ·</w:t>
      </w:r>
      <w:r>
        <w:t xml:space="preserve"> </w:t>
      </w:r>
      <w:r>
        <w:rPr>
          <w:iCs/>
          <w:i/>
        </w:rPr>
        <w:t xml:space="preserve">Obesity (Silver Spring)</w:t>
      </w:r>
      <w:r>
        <w:t xml:space="preserve"> </w:t>
      </w:r>
      <w:r>
        <w:t xml:space="preserve">· Appetite Suppression by GLP-1 Receptor Agonists: Role of Delayed Gastric Emptying. PMID 42392577</w:t>
      </w:r>
    </w:p>
    <w:p>
      <w:pPr>
        <w:numPr>
          <w:ilvl w:val="0"/>
          <w:numId w:val="1377"/>
        </w:numPr>
        <w:pStyle w:val="Compact"/>
      </w:pPr>
      <w:r>
        <w:t xml:space="preserve">2026 · Sandsdal RM ·</w:t>
      </w:r>
      <w:r>
        <w:t xml:space="preserve"> </w:t>
      </w:r>
      <w:r>
        <w:rPr>
          <w:iCs/>
          <w:i/>
        </w:rPr>
        <w:t xml:space="preserve">Nat Metab</w:t>
      </w:r>
      <w:r>
        <w:t xml:space="preserve"> </w:t>
      </w:r>
      <w:r>
        <w:t xml:space="preserve">· Effects of exercise and liraglutide on vascular health and inflammation during weight loss maintenance: a prespecified secondary analysis of the S-LiTE trial. PMID 42342869</w:t>
      </w:r>
    </w:p>
    <w:p>
      <w:pPr>
        <w:numPr>
          <w:ilvl w:val="0"/>
          <w:numId w:val="1377"/>
        </w:numPr>
        <w:pStyle w:val="Compact"/>
      </w:pPr>
      <w:r>
        <w:t xml:space="preserve">2026 · Sørensen KK ·</w:t>
      </w:r>
      <w:r>
        <w:t xml:space="preserve"> </w:t>
      </w:r>
      <w:r>
        <w:rPr>
          <w:iCs/>
          <w:i/>
        </w:rPr>
        <w:t xml:space="preserve">Clin Trials</w:t>
      </w:r>
      <w:r>
        <w:t xml:space="preserve"> </w:t>
      </w:r>
      <w:r>
        <w:t xml:space="preserve">· Accounting for non-adherence: A re-analysis of the Liraglutide Effect and Action in Diabetes: Evaluation of Cardiovascular Outcome Results trial. PMID 42227113</w:t>
      </w:r>
    </w:p>
    <w:p>
      <w:pPr>
        <w:numPr>
          <w:ilvl w:val="0"/>
          <w:numId w:val="1377"/>
        </w:numPr>
        <w:pStyle w:val="Compact"/>
      </w:pPr>
      <w:r>
        <w:t xml:space="preserve">2026 · Goldberger JJ ·</w:t>
      </w:r>
      <w:r>
        <w:t xml:space="preserve"> </w:t>
      </w:r>
      <w:r>
        <w:rPr>
          <w:iCs/>
          <w:i/>
        </w:rPr>
        <w:t xml:space="preserve">JACC Clin Electrophysiol</w:t>
      </w:r>
      <w:r>
        <w:t xml:space="preserve"> </w:t>
      </w:r>
      <w:r>
        <w:t xml:space="preserve">· The Liraglutide Effects in Atrial Fibrillation (LEAF) Study. PMID 42159524</w:t>
      </w:r>
    </w:p>
    <w:p>
      <w:pPr>
        <w:numPr>
          <w:ilvl w:val="0"/>
          <w:numId w:val="1377"/>
        </w:numPr>
        <w:pStyle w:val="Compact"/>
      </w:pPr>
      <w:r>
        <w:t xml:space="preserve">2026 · Lu L ·</w:t>
      </w:r>
      <w:r>
        <w:t xml:space="preserve"> </w:t>
      </w:r>
      <w:r>
        <w:rPr>
          <w:iCs/>
          <w:i/>
        </w:rPr>
        <w:t xml:space="preserve">Stroke</w:t>
      </w:r>
      <w:r>
        <w:t xml:space="preserve"> </w:t>
      </w:r>
      <w:r>
        <w:t xml:space="preserve">· Liraglutide and Recurrent Stroke by Baseline Insulin Resistance: A Post Hoc Analysis of the LAMP Trial. PMID 42145088</w:t>
      </w:r>
    </w:p>
    <w:p>
      <w:pPr>
        <w:numPr>
          <w:ilvl w:val="0"/>
          <w:numId w:val="1377"/>
        </w:numPr>
        <w:pStyle w:val="Compact"/>
      </w:pPr>
      <w:r>
        <w:t xml:space="preserve">2026 · Cherniavskyi V ·</w:t>
      </w:r>
      <w:r>
        <w:t xml:space="preserve"> </w:t>
      </w:r>
      <w:r>
        <w:rPr>
          <w:iCs/>
          <w:i/>
        </w:rPr>
        <w:t xml:space="preserve">Wiad Lek</w:t>
      </w:r>
      <w:r>
        <w:t xml:space="preserve"> </w:t>
      </w:r>
      <w:r>
        <w:t xml:space="preserve">· Six-month effects of liraglutide and dapagliflozin on lipid profile, cardiovascular risk, and NT-proBNP levels in patients with metabolic dysfunction-associated steatotic liver disease. PMID 42139606</w:t>
      </w:r>
    </w:p>
    <w:p>
      <w:pPr>
        <w:numPr>
          <w:ilvl w:val="0"/>
          <w:numId w:val="1377"/>
        </w:numPr>
        <w:pStyle w:val="Compact"/>
      </w:pPr>
      <w:r>
        <w:t xml:space="preserve">2026 · Evers A ·</w:t>
      </w:r>
      <w:r>
        <w:t xml:space="preserve"> </w:t>
      </w:r>
      <w:r>
        <w:rPr>
          <w:iCs/>
          <w:i/>
        </w:rPr>
        <w:t xml:space="preserve">J Clin Endocrinol Metab</w:t>
      </w:r>
      <w:r>
        <w:t xml:space="preserve"> </w:t>
      </w:r>
      <w:r>
        <w:t xml:space="preserve">· Insights from changes in NDEV biomarkers of metabolism: effects of PPARγ and GLP1 receptor agonists on brain metabolism. PMID 41992726</w:t>
      </w:r>
    </w:p>
    <w:p>
      <w:pPr>
        <w:numPr>
          <w:ilvl w:val="0"/>
          <w:numId w:val="1377"/>
        </w:numPr>
        <w:pStyle w:val="Compact"/>
      </w:pPr>
      <w:r>
        <w:t xml:space="preserve">2026 · Bergenstal RM ·</w:t>
      </w:r>
      <w:r>
        <w:t xml:space="preserve"> </w:t>
      </w:r>
      <w:r>
        <w:rPr>
          <w:iCs/>
          <w:i/>
        </w:rPr>
        <w:t xml:space="preserve">Diabetes Care</w:t>
      </w:r>
      <w:r>
        <w:t xml:space="preserve"> </w:t>
      </w:r>
      <w:r>
        <w:t xml:space="preserve">· Comparison of the Continuous Glucose Monitoring Profiles of Four Glucose-Lowering Medications in the GRADE Randomized Trial. PMID 41925680</w:t>
      </w:r>
    </w:p>
    <w:p>
      <w:pPr>
        <w:numPr>
          <w:ilvl w:val="0"/>
          <w:numId w:val="1377"/>
        </w:numPr>
        <w:pStyle w:val="Compact"/>
      </w:pPr>
      <w:r>
        <w:t xml:space="preserve">2026 · Baldassarre MPA ·</w:t>
      </w:r>
      <w:r>
        <w:t xml:space="preserve"> </w:t>
      </w:r>
      <w:r>
        <w:rPr>
          <w:iCs/>
          <w:i/>
        </w:rPr>
        <w:t xml:space="preserve">J Diabetes Complications</w:t>
      </w:r>
      <w:r>
        <w:t xml:space="preserve"> </w:t>
      </w:r>
      <w:r>
        <w:t xml:space="preserve">· Modulation of circulating extracellular vesicles by antihyperglycemic therapies: A pilot randomized controlled trial. PMID 41621217</w:t>
      </w:r>
    </w:p>
    <w:p>
      <w:pPr>
        <w:numPr>
          <w:ilvl w:val="0"/>
          <w:numId w:val="1377"/>
        </w:numPr>
        <w:pStyle w:val="Compact"/>
      </w:pPr>
      <w:r>
        <w:t xml:space="preserve">2026 · Jensen SBK ·</w:t>
      </w:r>
      <w:r>
        <w:t xml:space="preserve"> </w:t>
      </w:r>
      <w:r>
        <w:rPr>
          <w:iCs/>
          <w:i/>
        </w:rPr>
        <w:t xml:space="preserve">Sports Med</w:t>
      </w:r>
      <w:r>
        <w:t xml:space="preserve"> </w:t>
      </w:r>
      <w:r>
        <w:t xml:space="preserve">· Physical Fitness with Exercise and GLP-1 Receptor Agonist Treatment Alone or Combined After Diet-Induced Weight Loss: A Secondary Analysis of a Randomized Controlled Trial in Adults with Obesity. PMID 41579235</w:t>
      </w:r>
    </w:p>
    <w:p>
      <w:pPr>
        <w:numPr>
          <w:ilvl w:val="0"/>
          <w:numId w:val="1377"/>
        </w:numPr>
        <w:pStyle w:val="Compact"/>
      </w:pPr>
      <w:r>
        <w:t xml:space="preserve">2026 · Gutierrez de Piñeres V ·</w:t>
      </w:r>
      <w:r>
        <w:t xml:space="preserve"> </w:t>
      </w:r>
      <w:r>
        <w:rPr>
          <w:iCs/>
          <w:i/>
        </w:rPr>
        <w:t xml:space="preserve">Diabetes Res Clin Pract</w:t>
      </w:r>
      <w:r>
        <w:t xml:space="preserve"> </w:t>
      </w:r>
      <w:r>
        <w:t xml:space="preserve">· Effects of liraglutide treatment for 35-days on total and regional fat free, lean, and bone mass, and on the Myostatin-Activin-Follistatin-IGF-1 axes: a secondary analysis of a randomized placebo-controlled crossover study. PMID 41571048</w:t>
      </w:r>
    </w:p>
    <w:p>
      <w:pPr>
        <w:numPr>
          <w:ilvl w:val="0"/>
          <w:numId w:val="1377"/>
        </w:numPr>
        <w:pStyle w:val="Compact"/>
      </w:pPr>
      <w:r>
        <w:t xml:space="preserve">2026 · Gonzalez JS ·</w:t>
      </w:r>
      <w:r>
        <w:t xml:space="preserve"> </w:t>
      </w:r>
      <w:r>
        <w:rPr>
          <w:iCs/>
          <w:i/>
        </w:rPr>
        <w:t xml:space="preserve">Diabetes Care</w:t>
      </w:r>
      <w:r>
        <w:t xml:space="preserve"> </w:t>
      </w:r>
      <w:r>
        <w:t xml:space="preserve">· Medication Adherence in the Glycemia Reduction Approaches in Diabetes: A Comparative Effectiveness Study (GRADE). PMID 41557987</w:t>
      </w:r>
    </w:p>
    <w:p>
      <w:pPr>
        <w:numPr>
          <w:ilvl w:val="0"/>
          <w:numId w:val="1377"/>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7"/>
        </w:numPr>
        <w:pStyle w:val="Compact"/>
      </w:pPr>
      <w:r>
        <w:t xml:space="preserve">2026 · Kahn SE ·</w:t>
      </w:r>
      <w:r>
        <w:t xml:space="preserve"> </w:t>
      </w:r>
      <w:r>
        <w:rPr>
          <w:iCs/>
          <w:i/>
        </w:rPr>
        <w:t xml:space="preserve">Diabetes Care</w:t>
      </w:r>
      <w:r>
        <w:t xml:space="preserve"> </w:t>
      </w:r>
      <w:r>
        <w:t xml:space="preserve">· Differential Longitudinal Effects of Glucose-Lowering Medications on Glucagon and C-peptide Responses in the Glycemia Reduction Approaches in Diabetes: A Comparative Effectiveness Study (GRADE). PMID 41432725</w:t>
      </w:r>
    </w:p>
    <w:p>
      <w:pPr>
        <w:numPr>
          <w:ilvl w:val="0"/>
          <w:numId w:val="1377"/>
        </w:numPr>
        <w:pStyle w:val="Compact"/>
      </w:pPr>
      <w:r>
        <w:t xml:space="preserve">2026 · Edison P ·</w:t>
      </w:r>
      <w:r>
        <w:t xml:space="preserve"> </w:t>
      </w:r>
      <w:r>
        <w:rPr>
          <w:iCs/>
          <w:i/>
        </w:rPr>
        <w:t xml:space="preserve">Nat Med</w:t>
      </w:r>
      <w:r>
        <w:t xml:space="preserve"> </w:t>
      </w:r>
      <w:r>
        <w:t xml:space="preserve">· Liraglutide in mild to moderate Alzheimer’s disease: a phase 2b clinical trial. PMID 41326666</w:t>
      </w:r>
    </w:p>
    <w:p>
      <w:pPr>
        <w:numPr>
          <w:ilvl w:val="0"/>
          <w:numId w:val="1377"/>
        </w:numPr>
        <w:pStyle w:val="Compact"/>
      </w:pPr>
      <w:r>
        <w:t xml:space="preserve">2026 · Gutierrez de Piñeres V ·</w:t>
      </w:r>
      <w:r>
        <w:t xml:space="preserve"> </w:t>
      </w:r>
      <w:r>
        <w:rPr>
          <w:iCs/>
          <w:i/>
        </w:rPr>
        <w:t xml:space="preserve">Diabetes Obes Metab</w:t>
      </w:r>
      <w:r>
        <w:t xml:space="preserve"> </w:t>
      </w:r>
      <w:r>
        <w:t xml:space="preserve">· Effects of liraglutide treatment for 18 days on metabolic parameters, regional body composition and the myostatin-activin-follistatin-IGF-1 axis: Results from an exploratory, randomized, placebo-controlled, crossover study. PMID 41287185</w:t>
      </w:r>
    </w:p>
    <w:p>
      <w:pPr>
        <w:numPr>
          <w:ilvl w:val="0"/>
          <w:numId w:val="1377"/>
        </w:numPr>
        <w:pStyle w:val="Compact"/>
      </w:pPr>
      <w:r>
        <w:t xml:space="preserve">2026 · Zhu H ·</w:t>
      </w:r>
      <w:r>
        <w:t xml:space="preserve"> </w:t>
      </w:r>
      <w:r>
        <w:rPr>
          <w:iCs/>
          <w:i/>
        </w:rPr>
        <w:t xml:space="preserve">JAMA Intern Med</w:t>
      </w:r>
      <w:r>
        <w:t xml:space="preserve"> </w:t>
      </w:r>
      <w:r>
        <w:t xml:space="preserve">· Liraglutide in Acute Minor Ischemic Stroke or High-Risk Transient Ischemic Attack With Type 2 Diabetes: The LAMP Randomized Clinical Trial. PMID 41182740</w:t>
      </w:r>
    </w:p>
    <w:p>
      <w:pPr>
        <w:numPr>
          <w:ilvl w:val="0"/>
          <w:numId w:val="1377"/>
        </w:numPr>
        <w:pStyle w:val="Compact"/>
      </w:pPr>
      <w:r>
        <w:t xml:space="preserve">2026 · Holt J ·</w:t>
      </w:r>
      <w:r>
        <w:t xml:space="preserve"> </w:t>
      </w:r>
      <w:r>
        <w:rPr>
          <w:iCs/>
          <w:i/>
        </w:rPr>
        <w:t xml:space="preserve">Obesity (Silver Spring)</w:t>
      </w:r>
      <w:r>
        <w:t xml:space="preserve"> </w:t>
      </w:r>
      <w:r>
        <w:t xml:space="preserve">· One Year of Exercise After Weight Loss Increases Postprandial GLP-1 Secretion in Contrast to Usual Activity or GLP-1 Receptor Agonist Treatment. PMID 40998556</w:t>
      </w:r>
    </w:p>
    <w:p>
      <w:pPr>
        <w:numPr>
          <w:ilvl w:val="0"/>
          <w:numId w:val="1377"/>
        </w:numPr>
        <w:pStyle w:val="Compact"/>
      </w:pPr>
      <w:r>
        <w:t xml:space="preserve">2025 · Long XF ·</w:t>
      </w:r>
      <w:r>
        <w:t xml:space="preserve"> </w:t>
      </w:r>
      <w:r>
        <w:rPr>
          <w:iCs/>
          <w:i/>
        </w:rPr>
        <w:t xml:space="preserve">Front Endocrinol (Lausanne)</w:t>
      </w:r>
      <w:r>
        <w:t xml:space="preserve"> </w:t>
      </w:r>
      <w:r>
        <w:t xml:space="preserve">· Combination metformin and liraglutide in PCOS: clinical efficacy in women and preclinical insights from gut microbiome modulation in rats. PMID 41384017</w:t>
      </w:r>
    </w:p>
    <w:p>
      <w:pPr>
        <w:numPr>
          <w:ilvl w:val="0"/>
          <w:numId w:val="1377"/>
        </w:numPr>
        <w:pStyle w:val="Compact"/>
      </w:pPr>
      <w:r>
        <w:t xml:space="preserve">2025 · Brown WA ·</w:t>
      </w:r>
      <w:r>
        <w:t xml:space="preserve"> </w:t>
      </w:r>
      <w:r>
        <w:rPr>
          <w:iCs/>
          <w:i/>
        </w:rPr>
        <w:t xml:space="preserve">JAMA Netw Open</w:t>
      </w:r>
      <w:r>
        <w:t xml:space="preserve"> </w:t>
      </w:r>
      <w:r>
        <w:t xml:space="preserve">· Liraglutide and Weight Loss Among Suboptimal Responders to Metabolic Bariatric Surgery: A Randomized Clinical Trial. PMID 41160027</w:t>
      </w:r>
    </w:p>
    <w:p>
      <w:pPr>
        <w:numPr>
          <w:ilvl w:val="0"/>
          <w:numId w:val="1377"/>
        </w:numPr>
        <w:pStyle w:val="Compact"/>
      </w:pPr>
      <w:r>
        <w:t xml:space="preserve">2025 · Mashayekhi M ·</w:t>
      </w:r>
      <w:r>
        <w:t xml:space="preserve"> </w:t>
      </w:r>
      <w:r>
        <w:rPr>
          <w:iCs/>
          <w:i/>
        </w:rPr>
        <w:t xml:space="preserve">J Endocrinol</w:t>
      </w:r>
      <w:r>
        <w:t xml:space="preserve"> </w:t>
      </w:r>
      <w:r>
        <w:t xml:space="preserve">· RISING STARS: Effects of a GLP-1 receptor polymorphism on responses to liraglutide. PMID 41042549</w:t>
      </w:r>
    </w:p>
    <w:p>
      <w:pPr>
        <w:numPr>
          <w:ilvl w:val="0"/>
          <w:numId w:val="1377"/>
        </w:numPr>
        <w:pStyle w:val="Compact"/>
      </w:pPr>
      <w:r>
        <w:t xml:space="preserve">2025 · Glaros SB ·</w:t>
      </w:r>
      <w:r>
        <w:t xml:space="preserve"> </w:t>
      </w:r>
      <w:r>
        <w:rPr>
          <w:iCs/>
          <w:i/>
        </w:rPr>
        <w:t xml:space="preserve">Gut Microbes</w:t>
      </w:r>
      <w:r>
        <w:t xml:space="preserve"> </w:t>
      </w:r>
      <w:r>
        <w:t xml:space="preserve">· Systemic and gut microbiome changes with metformin and liraglutide in youth-onset type 2 diabetes: the MIGHTY study. PMID 41020378</w:t>
      </w:r>
    </w:p>
    <w:p>
      <w:pPr>
        <w:numPr>
          <w:ilvl w:val="0"/>
          <w:numId w:val="1377"/>
        </w:numPr>
        <w:pStyle w:val="Compact"/>
      </w:pPr>
      <w:r>
        <w:t xml:space="preserve">2025 · Pop-Busui R ·</w:t>
      </w:r>
      <w:r>
        <w:t xml:space="preserve"> </w:t>
      </w:r>
      <w:r>
        <w:rPr>
          <w:iCs/>
          <w:i/>
        </w:rPr>
        <w:t xml:space="preserve">Diabetes Care</w:t>
      </w:r>
      <w:r>
        <w:t xml:space="preserve"> </w:t>
      </w:r>
      <w:r>
        <w:t xml:space="preserve">· Differences in Prevalence and Incidence of Electrocardiogram Abnormalities and Cardiovascular Autonomic Neuropathy Among Randomized Glucose-Lowering Treatments in Early Type 2 Diabetes: The Glycemia Reduction Approaches in Diabetes (GRADE) Cohort. PMID 40986645</w:t>
      </w:r>
    </w:p>
    <w:p>
      <w:pPr>
        <w:numPr>
          <w:ilvl w:val="0"/>
          <w:numId w:val="1377"/>
        </w:numPr>
        <w:pStyle w:val="Compact"/>
      </w:pPr>
      <w:r>
        <w:t xml:space="preserve">2025 · Li X ·</w:t>
      </w:r>
      <w:r>
        <w:t xml:space="preserve"> </w:t>
      </w:r>
      <w:r>
        <w:rPr>
          <w:iCs/>
          <w:i/>
        </w:rPr>
        <w:t xml:space="preserve">Diabetes Obes Metab</w:t>
      </w:r>
      <w:r>
        <w:t xml:space="preserve"> </w:t>
      </w:r>
      <w:r>
        <w:t xml:space="preserve">· Dapagliflozin restores odour-induced functional integration of primary olfactory cortex circuit but not olfactory-related regional brain activation in patients with type 2 diabetes: A 16-week randomised comparative study. PMID 40954925</w:t>
      </w:r>
    </w:p>
    <w:p>
      <w:pPr>
        <w:numPr>
          <w:ilvl w:val="0"/>
          <w:numId w:val="1377"/>
        </w:numPr>
        <w:pStyle w:val="Compact"/>
      </w:pPr>
      <w:r>
        <w:t xml:space="preserve">2025 · Brosnahan N ·</w:t>
      </w:r>
      <w:r>
        <w:t xml:space="preserve"> </w:t>
      </w:r>
      <w:r>
        <w:rPr>
          <w:iCs/>
          <w:i/>
        </w:rPr>
        <w:t xml:space="preserve">Clin Nutr</w:t>
      </w:r>
      <w:r>
        <w:t xml:space="preserve"> </w:t>
      </w:r>
      <w:r>
        <w:t xml:space="preserve">· Diet strategies for maintaining substantial therapeutic weight loss: 78-week mixed methods randomised trial. PMID 40934815</w:t>
      </w:r>
    </w:p>
    <w:p>
      <w:pPr>
        <w:numPr>
          <w:ilvl w:val="0"/>
          <w:numId w:val="1377"/>
        </w:numPr>
        <w:pStyle w:val="Compact"/>
      </w:pPr>
      <w:r>
        <w:t xml:space="preserve">2025 · Guerdjikova AI ·</w:t>
      </w:r>
      <w:r>
        <w:t xml:space="preserve"> </w:t>
      </w:r>
      <w:r>
        <w:rPr>
          <w:iCs/>
          <w:i/>
        </w:rPr>
        <w:t xml:space="preserve">Int J Psychiatry Clin Pract</w:t>
      </w:r>
      <w:r>
        <w:t xml:space="preserve"> </w:t>
      </w:r>
      <w:r>
        <w:t xml:space="preserve">· Features of binge eating disorder in obese or overweight individuals with stable bipolar disorder participating in a weight loss trial - a post hoc analysis. PMID 40849800</w:t>
      </w:r>
    </w:p>
    <w:p>
      <w:pPr>
        <w:numPr>
          <w:ilvl w:val="0"/>
          <w:numId w:val="1377"/>
        </w:numPr>
        <w:pStyle w:val="Compact"/>
      </w:pPr>
      <w:r>
        <w:t xml:space="preserve">2025 · Nigro S ·</w:t>
      </w:r>
      <w:r>
        <w:t xml:space="preserve"> </w:t>
      </w:r>
      <w:r>
        <w:rPr>
          <w:iCs/>
          <w:i/>
        </w:rPr>
        <w:t xml:space="preserve">Obes Surg</w:t>
      </w:r>
      <w:r>
        <w:t xml:space="preserve"> </w:t>
      </w:r>
      <w:r>
        <w:t xml:space="preserve">· Comparative Efficacy of Endoscopic Sleeve Gastroplasty (Esg) Versus Liraglutide in Weight Loss and Remission Of Obesity-Related Comorbidities: Twelve Months Follow-Up Results. PMID 40779281</w:t>
      </w:r>
    </w:p>
    <w:p>
      <w:pPr>
        <w:numPr>
          <w:ilvl w:val="0"/>
          <w:numId w:val="1377"/>
        </w:numPr>
        <w:pStyle w:val="Compact"/>
      </w:pPr>
      <w:r>
        <w:t xml:space="preserve">2025 · Gómez-Medina AM ·</w:t>
      </w:r>
      <w:r>
        <w:t xml:space="preserve"> </w:t>
      </w:r>
      <w:r>
        <w:rPr>
          <w:iCs/>
          <w:i/>
        </w:rPr>
        <w:t xml:space="preserve">Diabetologia</w:t>
      </w:r>
      <w:r>
        <w:t xml:space="preserve"> </w:t>
      </w:r>
      <w:r>
        <w:t xml:space="preserve">· Insulin DEgludec/LIraglutide versus multiple daily insulin injections in the transition from hospital to outpatient management assessed by continuous glucose monitoring: the DELI transition trial. PMID 40760249</w:t>
      </w:r>
    </w:p>
    <w:p>
      <w:pPr>
        <w:numPr>
          <w:ilvl w:val="0"/>
          <w:numId w:val="1377"/>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77"/>
        </w:numPr>
        <w:pStyle w:val="Compact"/>
      </w:pPr>
      <w:r>
        <w:t xml:space="preserve">2025 · Simeone PG ·</w:t>
      </w:r>
      <w:r>
        <w:t xml:space="preserve"> </w:t>
      </w:r>
      <w:r>
        <w:rPr>
          <w:iCs/>
          <w:i/>
        </w:rPr>
        <w:t xml:space="preserve">Cardiovasc Diabetol</w:t>
      </w:r>
      <w:r>
        <w:t xml:space="preserve"> </w:t>
      </w:r>
      <w:r>
        <w:t xml:space="preserve">· Interleukin-1β in circulating mononuclear cells predicts steatotic liver disease improvement after weight loss in subjects with obesity and prediabetes or type 2 diabetes. PMID 40514652</w:t>
      </w:r>
    </w:p>
    <w:p>
      <w:pPr>
        <w:numPr>
          <w:ilvl w:val="0"/>
          <w:numId w:val="1377"/>
        </w:numPr>
        <w:pStyle w:val="Compact"/>
      </w:pPr>
      <w:r>
        <w:t xml:space="preserve">2025 · Cifuentes L ·</w:t>
      </w:r>
      <w:r>
        <w:t xml:space="preserve"> </w:t>
      </w:r>
      <w:r>
        <w:rPr>
          <w:iCs/>
          <w:i/>
        </w:rPr>
        <w:t xml:space="preserve">Cell Metab</w:t>
      </w:r>
      <w:r>
        <w:t xml:space="preserve"> </w:t>
      </w:r>
      <w:r>
        <w:t xml:space="preserve">· Genetic and physiological insights into satiation variability predict responses to obesity treatment. PMID 40482646</w:t>
      </w:r>
    </w:p>
    <w:p>
      <w:pPr>
        <w:numPr>
          <w:ilvl w:val="0"/>
          <w:numId w:val="1377"/>
        </w:numPr>
        <w:pStyle w:val="Compact"/>
      </w:pPr>
      <w:r>
        <w:t xml:space="preserve">2025 · Hsia DS ·</w:t>
      </w:r>
      <w:r>
        <w:t xml:space="preserve"> </w:t>
      </w:r>
      <w:r>
        <w:rPr>
          <w:iCs/>
          <w:i/>
        </w:rPr>
        <w:t xml:space="preserve">Diabetes Care</w:t>
      </w:r>
      <w:r>
        <w:t xml:space="preserve"> </w:t>
      </w:r>
      <w:r>
        <w:t xml:space="preserve">· Association of Hospitalizations With Randomized Glycemia-Lowering Treatment in GRADE. PMID 40424051</w:t>
      </w:r>
    </w:p>
    <w:p>
      <w:pPr>
        <w:numPr>
          <w:ilvl w:val="0"/>
          <w:numId w:val="1377"/>
        </w:numPr>
        <w:pStyle w:val="Compact"/>
      </w:pPr>
      <w:r>
        <w:t xml:space="preserve">2025 · Luchsinger JA ·</w:t>
      </w:r>
      <w:r>
        <w:t xml:space="preserve"> </w:t>
      </w:r>
      <w:r>
        <w:rPr>
          <w:iCs/>
          <w:i/>
        </w:rPr>
        <w:t xml:space="preserve">JAMA Intern Med</w:t>
      </w:r>
      <w:r>
        <w:t xml:space="preserve"> </w:t>
      </w:r>
      <w:r>
        <w:t xml:space="preserve">· Glucose-Lowering Medications, Glycemia, and Cognitive Outcomes: The GRADE Randomized Clinical Trial. PMID 40388190</w:t>
      </w:r>
    </w:p>
    <w:p>
      <w:pPr>
        <w:numPr>
          <w:ilvl w:val="0"/>
          <w:numId w:val="1377"/>
        </w:numPr>
        <w:pStyle w:val="Compact"/>
      </w:pPr>
      <w:r>
        <w:t xml:space="preserve">2025 · Caruso P ·</w:t>
      </w:r>
      <w:r>
        <w:t xml:space="preserve"> </w:t>
      </w:r>
      <w:r>
        <w:rPr>
          <w:iCs/>
          <w:i/>
        </w:rPr>
        <w:t xml:space="preserve">Diabetes Obes Metab</w:t>
      </w:r>
      <w:r>
        <w:t xml:space="preserve"> </w:t>
      </w:r>
      <w:r>
        <w:t xml:space="preserve">· Liraglutide improves peripheral perfusion and markers of angiogenesis and inflammation in people with type 2 diabetes and peripheral artery disease: An 18-month follow-up of a randomized clinical trial. PMID 40276845</w:t>
      </w:r>
    </w:p>
    <w:p>
      <w:pPr>
        <w:numPr>
          <w:ilvl w:val="0"/>
          <w:numId w:val="1377"/>
        </w:numPr>
        <w:pStyle w:val="Compact"/>
      </w:pPr>
      <w:r>
        <w:t xml:space="preserve">2025 · Wexler DJ ·</w:t>
      </w:r>
      <w:r>
        <w:t xml:space="preserve"> </w:t>
      </w:r>
      <w:r>
        <w:rPr>
          <w:iCs/>
          <w:i/>
        </w:rPr>
        <w:t xml:space="preserve">Diabetes Care</w:t>
      </w:r>
      <w:r>
        <w:t xml:space="preserve"> </w:t>
      </w:r>
      <w:r>
        <w:t xml:space="preserve">· Weight Gain Was Associated With Worsening Glycemia and Cardiovascular and Kidney Outcomes in Patients With Type 2 Diabetes Independent of Diabetes Medication in the GRADE Randomized Controlled Trial. PMID 40267365</w:t>
      </w:r>
    </w:p>
    <w:p>
      <w:pPr>
        <w:numPr>
          <w:ilvl w:val="0"/>
          <w:numId w:val="1377"/>
        </w:numPr>
        <w:pStyle w:val="Compact"/>
      </w:pPr>
      <w:r>
        <w:t xml:space="preserve">2025 · Richardson KM ·</w:t>
      </w:r>
      <w:r>
        <w:t xml:space="preserve"> </w:t>
      </w:r>
      <w:r>
        <w:rPr>
          <w:iCs/>
          <w:i/>
        </w:rPr>
        <w:t xml:space="preserve">Diabetes Obes Metab</w:t>
      </w:r>
      <w:r>
        <w:t xml:space="preserve"> </w:t>
      </w:r>
      <w:r>
        <w:t xml:space="preserve">· The influence of the glucagon-like peptide-1 receptor agonist, liraglutide, on dietary patterns and nutrient intakes in patients with obesity and prediabetes: A secondary analysis of a randomized controlled trial. PMID 40259488</w:t>
      </w:r>
    </w:p>
    <w:p>
      <w:pPr>
        <w:numPr>
          <w:ilvl w:val="0"/>
          <w:numId w:val="1377"/>
        </w:numPr>
        <w:pStyle w:val="Compact"/>
      </w:pPr>
      <w:r>
        <w:t xml:space="preserve">2025 · Utzschneider KM ·</w:t>
      </w:r>
      <w:r>
        <w:t xml:space="preserve"> </w:t>
      </w:r>
      <w:r>
        <w:rPr>
          <w:iCs/>
          <w:i/>
        </w:rPr>
        <w:t xml:space="preserve">Diabetes Care</w:t>
      </w:r>
      <w:r>
        <w:t xml:space="preserve"> </w:t>
      </w:r>
      <w:r>
        <w:t xml:space="preserve">· Differential Treatment Effects on β-Cell Function Using Model-Based Parameters in Type 2 Diabetes: Results From the Glycemia Reduction Approaches in Diabetes: A Comparative Effectiveness Study (GRADE). PMID 39998948</w:t>
      </w:r>
    </w:p>
    <w:p>
      <w:pPr>
        <w:numPr>
          <w:ilvl w:val="0"/>
          <w:numId w:val="1377"/>
        </w:numPr>
        <w:pStyle w:val="Compact"/>
      </w:pPr>
      <w:r>
        <w:t xml:space="preserve">2025 · Lahooti A ·</w:t>
      </w:r>
      <w:r>
        <w:t xml:space="preserve"> </w:t>
      </w:r>
      <w:r>
        <w:rPr>
          <w:iCs/>
          <w:i/>
        </w:rPr>
        <w:t xml:space="preserve">Obes Surg</w:t>
      </w:r>
      <w:r>
        <w:t xml:space="preserve"> </w:t>
      </w:r>
      <w:r>
        <w:t xml:space="preserve">· A Randomized, Double-Blind, Two-Way Cross-over Study to Evaluate the Efficacy of Liraglutide Treatment in Patients Undergoing Transoral Outlet Reduction Endoscopy for Weight Regain Post Roux-en-Y Gastric Bypass. PMID 39885064</w:t>
      </w:r>
    </w:p>
    <w:p>
      <w:pPr>
        <w:numPr>
          <w:ilvl w:val="0"/>
          <w:numId w:val="1377"/>
        </w:numPr>
        <w:pStyle w:val="Compact"/>
      </w:pPr>
      <w:r>
        <w:t xml:space="preserve">2025 · Shah VN ·</w:t>
      </w:r>
      <w:r>
        <w:t xml:space="preserve"> </w:t>
      </w:r>
      <w:r>
        <w:rPr>
          <w:iCs/>
          <w:i/>
        </w:rPr>
        <w:t xml:space="preserve">J Diabetes Sci Technol</w:t>
      </w:r>
      <w:r>
        <w:t xml:space="preserve"> </w:t>
      </w:r>
      <w:r>
        <w:t xml:space="preserve">· Determinants of Liraglutide Treatment Discontinuation in Type 1 Diabetes: A Post Hoc Analysis of ADJUNCT ONE and ADJUNCT TWO Randomized Placebo-Controlled Clinical Studies. PMID 39717993</w:t>
      </w:r>
    </w:p>
    <w:p>
      <w:pPr>
        <w:numPr>
          <w:ilvl w:val="0"/>
          <w:numId w:val="1377"/>
        </w:numPr>
        <w:pStyle w:val="Compact"/>
      </w:pPr>
      <w:r>
        <w:t xml:space="preserve">2025 · Holt R ·</w:t>
      </w:r>
      <w:r>
        <w:t xml:space="preserve"> </w:t>
      </w:r>
      <w:r>
        <w:rPr>
          <w:iCs/>
          <w:i/>
        </w:rPr>
        <w:t xml:space="preserve">J Clin Endocrinol Metab</w:t>
      </w:r>
      <w:r>
        <w:t xml:space="preserve"> </w:t>
      </w:r>
      <w:r>
        <w:t xml:space="preserve">· Weight Loss Induces Changes in Vitamin D Status in Women With Obesity But Not in Men: A Randomized Clinical Trial. PMID 39530599</w:t>
      </w:r>
    </w:p>
    <w:p>
      <w:pPr>
        <w:numPr>
          <w:ilvl w:val="0"/>
          <w:numId w:val="1377"/>
        </w:numPr>
        <w:pStyle w:val="Compact"/>
      </w:pPr>
      <w:r>
        <w:t xml:space="preserve">2025 · Lofton HF ·</w:t>
      </w:r>
      <w:r>
        <w:t xml:space="preserve"> </w:t>
      </w:r>
      <w:r>
        <w:rPr>
          <w:iCs/>
          <w:i/>
        </w:rPr>
        <w:t xml:space="preserve">Surg Obes Relat Dis</w:t>
      </w:r>
      <w:r>
        <w:t xml:space="preserve"> </w:t>
      </w:r>
      <w:r>
        <w:t xml:space="preserve">· A randomized, double-blind, placebo-controlled trial of weight loss using liraglutide 3.0 mg for weight recurrence after Roux-en-Y gastric bypass. PMID 39401933</w:t>
      </w:r>
    </w:p>
    <w:p>
      <w:pPr>
        <w:numPr>
          <w:ilvl w:val="0"/>
          <w:numId w:val="1377"/>
        </w:numPr>
        <w:pStyle w:val="Compact"/>
      </w:pPr>
      <w:r>
        <w:t xml:space="preserve">2025 · Beetz N ·</w:t>
      </w:r>
      <w:r>
        <w:t xml:space="preserve"> </w:t>
      </w:r>
      <w:r>
        <w:rPr>
          <w:iCs/>
          <w:i/>
        </w:rPr>
        <w:t xml:space="preserve">Diabetes Obes Metab</w:t>
      </w:r>
      <w:r>
        <w:t xml:space="preserve"> </w:t>
      </w:r>
      <w:r>
        <w:t xml:space="preserve">· A randomized phase I study of BI 1820237, a novel neuropeptide Y receptor type 2 agonist, alone or in combination with low-dose liraglutide in otherwise healthy men with overweight or obesity. PMID 39373311</w:t>
      </w:r>
    </w:p>
    <w:p>
      <w:pPr>
        <w:numPr>
          <w:ilvl w:val="0"/>
          <w:numId w:val="1377"/>
        </w:numPr>
        <w:pStyle w:val="Compact"/>
      </w:pPr>
      <w:r>
        <w:t xml:space="preserve">2025 · Iacobellis G ·</w:t>
      </w:r>
      <w:r>
        <w:t xml:space="preserve"> </w:t>
      </w:r>
      <w:r>
        <w:rPr>
          <w:iCs/>
          <w:i/>
        </w:rPr>
        <w:t xml:space="preserve">Nutr Metab Cardiovasc Dis</w:t>
      </w:r>
      <w:r>
        <w:t xml:space="preserve"> </w:t>
      </w:r>
      <w:r>
        <w:t xml:space="preserve">· Liraglutide effects on epicardial adipose tissue micro-RNAs and intra-operative glucose control. PMID 39277531</w:t>
      </w:r>
    </w:p>
    <w:p>
      <w:pPr>
        <w:numPr>
          <w:ilvl w:val="0"/>
          <w:numId w:val="1377"/>
        </w:numPr>
        <w:pStyle w:val="Compact"/>
      </w:pPr>
      <w:r>
        <w:t xml:space="preserve">2025 · Fox CK ·</w:t>
      </w:r>
      <w:r>
        <w:t xml:space="preserve"> </w:t>
      </w:r>
      <w:r>
        <w:rPr>
          <w:iCs/>
          <w:i/>
        </w:rPr>
        <w:t xml:space="preserve">N Engl J Med</w:t>
      </w:r>
      <w:r>
        <w:t xml:space="preserve"> </w:t>
      </w:r>
      <w:r>
        <w:t xml:space="preserve">· Liraglutide for Children 6 to &lt;12 Years of Age with Obesity - A Randomized Trial. PMID 39258838</w:t>
      </w:r>
    </w:p>
    <w:p>
      <w:pPr>
        <w:numPr>
          <w:ilvl w:val="0"/>
          <w:numId w:val="1377"/>
        </w:numPr>
        <w:pStyle w:val="Compact"/>
      </w:pPr>
      <w:r>
        <w:t xml:space="preserve">2025 · Jin Y ·</w:t>
      </w:r>
      <w:r>
        <w:t xml:space="preserve"> </w:t>
      </w:r>
      <w:r>
        <w:rPr>
          <w:iCs/>
          <w:i/>
        </w:rPr>
        <w:t xml:space="preserve">Altern Ther Health Med</w:t>
      </w:r>
      <w:r>
        <w:t xml:space="preserve"> </w:t>
      </w:r>
      <w:r>
        <w:t xml:space="preserve">· Analysis of the Efficacy of Polyenyl Phosphatidylcholine in Combination with Liraglutide in Nonalcoholic Fatty Liver Disease and the Effect of Omentin-1 and Vaspin Expression. PMID 38814610</w:t>
      </w:r>
    </w:p>
    <w:p>
      <w:pPr>
        <w:numPr>
          <w:ilvl w:val="0"/>
          <w:numId w:val="1377"/>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7"/>
        </w:numPr>
        <w:pStyle w:val="Compact"/>
      </w:pPr>
      <w:r>
        <w:t xml:space="preserve">2024 · Ellegaard AM ·</w:t>
      </w:r>
      <w:r>
        <w:t xml:space="preserve"> </w:t>
      </w:r>
      <w:r>
        <w:rPr>
          <w:iCs/>
          <w:i/>
        </w:rPr>
        <w:t xml:space="preserve">Clin Transl Gastroenterol</w:t>
      </w:r>
      <w:r>
        <w:t xml:space="preserve"> </w:t>
      </w:r>
      <w:r>
        <w:t xml:space="preserve">· Liraglutide and Colesevelam Change Serum and Fecal Bile Acid Levels in a Randomized Trial With Patients With Bile Acid Diarrhea. PMID 39602188</w:t>
      </w:r>
    </w:p>
    <w:p>
      <w:pPr>
        <w:numPr>
          <w:ilvl w:val="0"/>
          <w:numId w:val="1377"/>
        </w:numPr>
        <w:pStyle w:val="Compact"/>
      </w:pPr>
      <w:r>
        <w:t xml:space="preserve">2024 · Seaquist ER ·</w:t>
      </w:r>
      <w:r>
        <w:t xml:space="preserve"> </w:t>
      </w:r>
      <w:r>
        <w:rPr>
          <w:iCs/>
          <w:i/>
        </w:rPr>
        <w:t xml:space="preserve">PLoS One</w:t>
      </w:r>
      <w:r>
        <w:t xml:space="preserve"> </w:t>
      </w:r>
      <w:r>
        <w:t xml:space="preserve">· Glycemia reduction in type 2 diabetes-Hypoglycemia outcomes: A randomized clinical trial. PMID 39546502</w:t>
      </w:r>
    </w:p>
    <w:p>
      <w:pPr>
        <w:numPr>
          <w:ilvl w:val="0"/>
          <w:numId w:val="1377"/>
        </w:numPr>
        <w:pStyle w:val="Compact"/>
      </w:pPr>
      <w:r>
        <w:t xml:space="preserve">2024 · Punthakee Z ·</w:t>
      </w:r>
      <w:r>
        <w:t xml:space="preserve"> </w:t>
      </w:r>
      <w:r>
        <w:rPr>
          <w:iCs/>
          <w:i/>
        </w:rPr>
        <w:t xml:space="preserve">Diabetes Obes Metab</w:t>
      </w:r>
      <w:r>
        <w:t xml:space="preserve"> </w:t>
      </w:r>
      <w:r>
        <w:t xml:space="preserve">· Evaluating remission of type 2 diabetes using a metabolic intervention including fixed-ratio insulin degludec and liraglutide: A randomized controlled trial. PMID 39239702</w:t>
      </w:r>
    </w:p>
    <w:p>
      <w:pPr>
        <w:numPr>
          <w:ilvl w:val="0"/>
          <w:numId w:val="1377"/>
        </w:numPr>
        <w:pStyle w:val="Compact"/>
      </w:pPr>
      <w:r>
        <w:t xml:space="preserve">2024 · Dejgaard TF ·</w:t>
      </w:r>
      <w:r>
        <w:t xml:space="preserve"> </w:t>
      </w:r>
      <w:r>
        <w:rPr>
          <w:iCs/>
          <w:i/>
        </w:rPr>
        <w:t xml:space="preserve">Diabetes Obes Metab</w:t>
      </w:r>
      <w:r>
        <w:t xml:space="preserve"> </w:t>
      </w:r>
      <w:r>
        <w:t xml:space="preserve">· Liraglutide enhances insulin secretion and prolongs the remission period in adults with newly diagnosed type 1 diabetes (the NewLira study): A randomized, double-blind, placebo-controlled trial. PMID 39192527</w:t>
      </w:r>
    </w:p>
    <w:p>
      <w:pPr>
        <w:numPr>
          <w:ilvl w:val="0"/>
          <w:numId w:val="1377"/>
        </w:numPr>
        <w:pStyle w:val="Compact"/>
      </w:pPr>
      <w:r>
        <w:t xml:space="preserve">2024 · Chowdhary A ·</w:t>
      </w:r>
      <w:r>
        <w:t xml:space="preserve"> </w:t>
      </w:r>
      <w:r>
        <w:rPr>
          <w:iCs/>
          <w:i/>
        </w:rPr>
        <w:t xml:space="preserve">J Am Coll Cardiol</w:t>
      </w:r>
      <w:r>
        <w:t xml:space="preserve"> </w:t>
      </w:r>
      <w:r>
        <w:t xml:space="preserve">· Liraglutide Improves Myocardial Perfusion and Energetics and Exercise Tolerance in Patients With Type 2 Diabetes. PMID 39084829</w:t>
      </w:r>
    </w:p>
    <w:p>
      <w:pPr>
        <w:numPr>
          <w:ilvl w:val="0"/>
          <w:numId w:val="1377"/>
        </w:numPr>
        <w:pStyle w:val="Compact"/>
      </w:pPr>
      <w:r>
        <w:t xml:space="preserve">2024 · Oosterom-Eijmael MJP ·</w:t>
      </w:r>
      <w:r>
        <w:t xml:space="preserve"> </w:t>
      </w:r>
      <w:r>
        <w:rPr>
          <w:iCs/>
          <w:i/>
        </w:rPr>
        <w:t xml:space="preserve">J Cardiothorac Vasc Anesth</w:t>
      </w:r>
      <w:r>
        <w:t xml:space="preserve"> </w:t>
      </w:r>
      <w:r>
        <w:t xml:space="preserve">· Continuous Glucose Monitoring and the Effect of Liraglutide in Cardiac Surgery Patients: A Substudy of the Randomized Controlled GLOBE Trial. PMID 38977382</w:t>
      </w:r>
    </w:p>
    <w:p>
      <w:pPr>
        <w:numPr>
          <w:ilvl w:val="0"/>
          <w:numId w:val="1377"/>
        </w:numPr>
        <w:pStyle w:val="Compact"/>
      </w:pPr>
      <w:r>
        <w:t xml:space="preserve">2024 · Hoekx CA ·</w:t>
      </w:r>
      <w:r>
        <w:t xml:space="preserve"> </w:t>
      </w:r>
      <w:r>
        <w:rPr>
          <w:iCs/>
          <w:i/>
        </w:rPr>
        <w:t xml:space="preserve">Exp Physiol</w:t>
      </w:r>
      <w:r>
        <w:t xml:space="preserve"> </w:t>
      </w:r>
      <w:r>
        <w:t xml:space="preserve">· Growth differentiation factor 15 is not modified after weight loss induced by liraglutide in South Asians and Europids with type 2 diabetes mellitus. PMID 38965822</w:t>
      </w:r>
    </w:p>
    <w:p>
      <w:pPr>
        <w:numPr>
          <w:ilvl w:val="0"/>
          <w:numId w:val="1377"/>
        </w:numPr>
        <w:pStyle w:val="Compact"/>
      </w:pPr>
      <w:r>
        <w:t xml:space="preserve">2024 · Jensen SBK ·</w:t>
      </w:r>
      <w:r>
        <w:t xml:space="preserve"> </w:t>
      </w:r>
      <w:r>
        <w:rPr>
          <w:iCs/>
          <w:i/>
        </w:rPr>
        <w:t xml:space="preserve">JAMA Netw Open</w:t>
      </w:r>
      <w:r>
        <w:t xml:space="preserve"> </w:t>
      </w:r>
      <w:r>
        <w:t xml:space="preserve">· Bone Health After Exercise Alone, GLP-1 Receptor Agonist Treatment, or Combination Treatment: A Secondary Analysis of a Randomized Clinical Trial. PMID 38916894</w:t>
      </w:r>
    </w:p>
    <w:p>
      <w:pPr>
        <w:numPr>
          <w:ilvl w:val="0"/>
          <w:numId w:val="1377"/>
        </w:numPr>
        <w:pStyle w:val="Compact"/>
      </w:pPr>
      <w:r>
        <w:t xml:space="preserve">2024 · Dogan ADA ·</w:t>
      </w:r>
      <w:r>
        <w:t xml:space="preserve"> </w:t>
      </w:r>
      <w:r>
        <w:rPr>
          <w:iCs/>
          <w:i/>
        </w:rPr>
        <w:t xml:space="preserve">BMC Res Notes</w:t>
      </w:r>
      <w:r>
        <w:t xml:space="preserve"> </w:t>
      </w:r>
      <w:r>
        <w:t xml:space="preserve">· FDG-PET/CT-based respiration-gated lung segmentation and quantification of lung inflammation in COPD patients. PMID 38902794</w:t>
      </w:r>
    </w:p>
    <w:p>
      <w:pPr>
        <w:numPr>
          <w:ilvl w:val="0"/>
          <w:numId w:val="1377"/>
        </w:numPr>
        <w:pStyle w:val="Compact"/>
      </w:pPr>
      <w:r>
        <w:t xml:space="preserve">2024 · Konstantinidou SK ·</w:t>
      </w:r>
      <w:r>
        <w:t xml:space="preserve"> </w:t>
      </w:r>
      <w:r>
        <w:rPr>
          <w:iCs/>
          <w:i/>
        </w:rPr>
        <w:t xml:space="preserve">Diabetes Obes Metab</w:t>
      </w:r>
      <w:r>
        <w:t xml:space="preserve"> </w:t>
      </w:r>
      <w:r>
        <w:t xml:space="preserve">· Total and H-specific growth/differentiation factor 15 levels are unaffected by liraglutide or naltrexone/bupropion administration. PMID 38757729</w:t>
      </w:r>
    </w:p>
    <w:p>
      <w:pPr>
        <w:numPr>
          <w:ilvl w:val="0"/>
          <w:numId w:val="1377"/>
        </w:numPr>
        <w:pStyle w:val="Compact"/>
      </w:pPr>
      <w:r>
        <w:t xml:space="preserve">2024 · Herfarth H ·</w:t>
      </w:r>
      <w:r>
        <w:t xml:space="preserve"> </w:t>
      </w:r>
      <w:r>
        <w:rPr>
          <w:iCs/>
          <w:i/>
        </w:rPr>
        <w:t xml:space="preserve">Am J Gastroenterol</w:t>
      </w:r>
      <w:r>
        <w:t xml:space="preserve"> </w:t>
      </w:r>
      <w:r>
        <w:t xml:space="preserve">· Efficacy and Safety of Liraglutide in Patients With an Ileal Pouch-Anal Anastomosis and Chronic High Bowel Frequency: A Placebo-Controlled, Crossover, Proof-of-Concept Study. PMID 38668926</w:t>
      </w:r>
    </w:p>
    <w:p>
      <w:pPr>
        <w:numPr>
          <w:ilvl w:val="0"/>
          <w:numId w:val="1377"/>
        </w:numPr>
        <w:pStyle w:val="Compact"/>
      </w:pPr>
      <w:r>
        <w:t xml:space="preserve">2024 · Pandey A ·</w:t>
      </w:r>
      <w:r>
        <w:t xml:space="preserve"> </w:t>
      </w:r>
      <w:r>
        <w:rPr>
          <w:iCs/>
          <w:i/>
        </w:rPr>
        <w:t xml:space="preserve">J Cachexia Sarcopenia Muscle</w:t>
      </w:r>
      <w:r>
        <w:t xml:space="preserve"> </w:t>
      </w:r>
      <w:r>
        <w:t xml:space="preserve">· Effect of liraglutide on thigh muscle fat and muscle composition in adults with overweight or obesity: Results from a randomized clinical trial. PMID 38561962</w:t>
      </w:r>
    </w:p>
    <w:p>
      <w:pPr>
        <w:numPr>
          <w:ilvl w:val="0"/>
          <w:numId w:val="1377"/>
        </w:numPr>
        <w:pStyle w:val="Compact"/>
      </w:pPr>
      <w:r>
        <w:t xml:space="preserve">2024 · Katogiannis K ·</w:t>
      </w:r>
      <w:r>
        <w:t xml:space="preserve"> </w:t>
      </w:r>
      <w:r>
        <w:rPr>
          <w:iCs/>
          <w:i/>
        </w:rPr>
        <w:t xml:space="preserve">Medicina (Kaunas)</w:t>
      </w:r>
      <w:r>
        <w:t xml:space="preserve"> </w:t>
      </w:r>
      <w:r>
        <w:t xml:space="preserve">· Effects of Liraglutide, Empagliflozin and Their Combination on Left Atrial Strain and Arterial Function. PMID 38541121</w:t>
      </w:r>
    </w:p>
    <w:p>
      <w:pPr>
        <w:numPr>
          <w:ilvl w:val="0"/>
          <w:numId w:val="1377"/>
        </w:numPr>
        <w:pStyle w:val="Compact"/>
      </w:pPr>
      <w:r>
        <w:t xml:space="preserve">2024 · Caruso P ·</w:t>
      </w:r>
      <w:r>
        <w:t xml:space="preserve"> </w:t>
      </w:r>
      <w:r>
        <w:rPr>
          <w:iCs/>
          <w:i/>
        </w:rPr>
        <w:t xml:space="preserve">JAMA Netw Open</w:t>
      </w:r>
      <w:r>
        <w:t xml:space="preserve"> </w:t>
      </w:r>
      <w:r>
        <w:t xml:space="preserve">· Liraglutide for Lower Limb Perfusion in People With Type 2 Diabetes and Peripheral Artery Disease: The STARDUST Randomized Clinical Trial. PMID 38470420</w:t>
      </w:r>
    </w:p>
    <w:p>
      <w:pPr>
        <w:numPr>
          <w:ilvl w:val="0"/>
          <w:numId w:val="1377"/>
        </w:numPr>
        <w:pStyle w:val="Compact"/>
      </w:pPr>
      <w:r>
        <w:t xml:space="preserve">2024 · Dearos Sanchis M ·</w:t>
      </w:r>
      <w:r>
        <w:t xml:space="preserve"> </w:t>
      </w:r>
      <w:r>
        <w:rPr>
          <w:iCs/>
          <w:i/>
        </w:rPr>
        <w:t xml:space="preserve">Nutr Hosp</w:t>
      </w:r>
      <w:r>
        <w:t xml:space="preserve"> </w:t>
      </w:r>
      <w:r>
        <w:t xml:space="preserve">· [Impact on weight loss and body composition of a food education intervention associated with Liraglutide treatment to address obesity]. PMID 38450509</w:t>
      </w:r>
    </w:p>
    <w:p>
      <w:pPr>
        <w:numPr>
          <w:ilvl w:val="0"/>
          <w:numId w:val="1377"/>
        </w:numPr>
        <w:pStyle w:val="Compact"/>
      </w:pPr>
      <w:r>
        <w:t xml:space="preserve">2024 · Green JB ·</w:t>
      </w:r>
      <w:r>
        <w:t xml:space="preserve"> </w:t>
      </w:r>
      <w:r>
        <w:rPr>
          <w:iCs/>
          <w:i/>
        </w:rPr>
        <w:t xml:space="preserve">Circulation</w:t>
      </w:r>
      <w:r>
        <w:t xml:space="preserve"> </w:t>
      </w:r>
      <w:r>
        <w:t xml:space="preserve">· Cardiovascular Outcomes in GRADE (Glycemia Reduction Approaches in Type 2 Diabetes: A Comparative Effectiveness Study). PMID 38344820</w:t>
      </w:r>
    </w:p>
    <w:p>
      <w:pPr>
        <w:numPr>
          <w:ilvl w:val="0"/>
          <w:numId w:val="1377"/>
        </w:numPr>
        <w:pStyle w:val="Compact"/>
      </w:pPr>
      <w:r>
        <w:t xml:space="preserve">2024 · Ma J ·</w:t>
      </w:r>
      <w:r>
        <w:t xml:space="preserve"> </w:t>
      </w:r>
      <w:r>
        <w:rPr>
          <w:iCs/>
          <w:i/>
        </w:rPr>
        <w:t xml:space="preserve">Altern Ther Health Med</w:t>
      </w:r>
      <w:r>
        <w:t xml:space="preserve"> </w:t>
      </w:r>
      <w:r>
        <w:t xml:space="preserve">· Clinical Efficacy and Safety of Liraglutide and Dapagliflozin on Glucose and Lipid Metabolism and Insulin Function in Patients with Type 2 Diabetes Mellitus. PMID 38294744</w:t>
      </w:r>
    </w:p>
    <w:p>
      <w:pPr>
        <w:numPr>
          <w:ilvl w:val="0"/>
          <w:numId w:val="1377"/>
        </w:numPr>
        <w:pStyle w:val="Compact"/>
      </w:pPr>
      <w:r>
        <w:t xml:space="preserve">2024 · Garvey WT ·</w:t>
      </w:r>
      <w:r>
        <w:t xml:space="preserve"> </w:t>
      </w:r>
      <w:r>
        <w:rPr>
          <w:iCs/>
          <w:i/>
        </w:rPr>
        <w:t xml:space="preserve">Diabetes Care</w:t>
      </w:r>
      <w:r>
        <w:t xml:space="preserve"> </w:t>
      </w:r>
      <w:r>
        <w:t xml:space="preserve">· Association of Baseline Factors With Glycemic Outcomes in GRADE: A Comparative Effectiveness Randomized Clinical Trial. PMID 38285957</w:t>
      </w:r>
    </w:p>
    <w:p>
      <w:pPr>
        <w:numPr>
          <w:ilvl w:val="0"/>
          <w:numId w:val="1377"/>
        </w:numPr>
        <w:pStyle w:val="Compact"/>
      </w:pPr>
      <w:r>
        <w:t xml:space="preserve">2024 · Kawaguchi Y ·</w:t>
      </w:r>
      <w:r>
        <w:t xml:space="preserve"> </w:t>
      </w:r>
      <w:r>
        <w:rPr>
          <w:iCs/>
          <w:i/>
        </w:rPr>
        <w:t xml:space="preserve">J Diabetes Investig</w:t>
      </w:r>
      <w:r>
        <w:t xml:space="preserve"> </w:t>
      </w:r>
      <w:r>
        <w:t xml:space="preserve">· Comparison of efficacy and safety of insulin degludec/liraglutide and insulin glargine U-100/lixisenatide in individuals with type 2 diabetes mellitus using professional continuous glucose monitoring. PMID 38258482</w:t>
      </w:r>
    </w:p>
    <w:p>
      <w:pPr>
        <w:numPr>
          <w:ilvl w:val="0"/>
          <w:numId w:val="1377"/>
        </w:numPr>
        <w:pStyle w:val="Compact"/>
      </w:pPr>
      <w:r>
        <w:t xml:space="preserve">2024 · McElroy SL ·</w:t>
      </w:r>
      <w:r>
        <w:t xml:space="preserve"> </w:t>
      </w:r>
      <w:r>
        <w:rPr>
          <w:iCs/>
          <w:i/>
        </w:rPr>
        <w:t xml:space="preserve">J Clin Psychopharmacol</w:t>
      </w:r>
      <w:r>
        <w:t xml:space="preserve"> </w:t>
      </w:r>
      <w:r>
        <w:t xml:space="preserve">· Liraglutide in Obese or Overweight Individuals With Stable Bipolar Disorder. PMID 38227621</w:t>
      </w:r>
    </w:p>
    <w:p>
      <w:pPr>
        <w:numPr>
          <w:ilvl w:val="0"/>
          <w:numId w:val="1377"/>
        </w:numPr>
        <w:pStyle w:val="Compact"/>
      </w:pPr>
      <w:r>
        <w:t xml:space="preserve">2024 · Rasouli N ·</w:t>
      </w:r>
      <w:r>
        <w:t xml:space="preserve"> </w:t>
      </w:r>
      <w:r>
        <w:rPr>
          <w:iCs/>
          <w:i/>
        </w:rPr>
        <w:t xml:space="preserve">Diabetes Care</w:t>
      </w:r>
      <w:r>
        <w:t xml:space="preserve"> </w:t>
      </w:r>
      <w:r>
        <w:t xml:space="preserve">· Longitudinal Effects of Glucose-Lowering Medications on β-Cell Responses and Insulin Sensitivity in Type 2 Diabetes: The GRADE Randomized Clinical Trial. PMID 38211595</w:t>
      </w:r>
    </w:p>
    <w:p>
      <w:pPr>
        <w:numPr>
          <w:ilvl w:val="0"/>
          <w:numId w:val="1377"/>
        </w:numPr>
        <w:pStyle w:val="Compact"/>
      </w:pPr>
      <w:r>
        <w:t xml:space="preserve">2024 · Kirkman MS ·</w:t>
      </w:r>
      <w:r>
        <w:t xml:space="preserve"> </w:t>
      </w:r>
      <w:r>
        <w:rPr>
          <w:iCs/>
          <w:i/>
        </w:rPr>
        <w:t xml:space="preserve">Diabetes Care</w:t>
      </w:r>
      <w:r>
        <w:t xml:space="preserve"> </w:t>
      </w:r>
      <w:r>
        <w:t xml:space="preserve">· Comparative Effects of Randomized Second-line Therapy for Type 2 Diabetes on a Composite Outcome Incorporating Glycemic Control, Body Weight, and Hypoglycemia: An Analysis of the Glycemia Reduction Approaches in Diabetes: A Comparative Effectiveness Study (GRADE). PMID 38194519</w:t>
      </w:r>
    </w:p>
    <w:p>
      <w:pPr>
        <w:numPr>
          <w:ilvl w:val="0"/>
          <w:numId w:val="1377"/>
        </w:numPr>
        <w:pStyle w:val="Compact"/>
      </w:pPr>
      <w:r>
        <w:t xml:space="preserve">2024 · Cherrington AL ·</w:t>
      </w:r>
      <w:r>
        <w:t xml:space="preserve"> </w:t>
      </w:r>
      <w:r>
        <w:rPr>
          <w:iCs/>
          <w:i/>
        </w:rPr>
        <w:t xml:space="preserve">Diabetes Care</w:t>
      </w:r>
      <w:r>
        <w:t xml:space="preserve"> </w:t>
      </w:r>
      <w:r>
        <w:t xml:space="preserve">· Impact of Glucose-Lowering Medications on Health-Related Quality of Life in the Glycemia Reduction Approaches in Diabetes: A Comparative Effectiveness Study (GRADE). PMID 38190625</w:t>
      </w:r>
    </w:p>
    <w:p>
      <w:pPr>
        <w:numPr>
          <w:ilvl w:val="0"/>
          <w:numId w:val="1377"/>
        </w:numPr>
        <w:pStyle w:val="Compact"/>
      </w:pPr>
      <w:r>
        <w:t xml:space="preserve">2024 · Utzschneider KM ·</w:t>
      </w:r>
      <w:r>
        <w:t xml:space="preserve"> </w:t>
      </w:r>
      <w:r>
        <w:rPr>
          <w:iCs/>
          <w:i/>
        </w:rPr>
        <w:t xml:space="preserve">Diabetes Care</w:t>
      </w:r>
      <w:r>
        <w:t xml:space="preserve"> </w:t>
      </w:r>
      <w:r>
        <w:t xml:space="preserve">· Impact of Insulin Sensitivity and β-Cell Function Over Time on Glycemic Outcomes in the Glycemia Reduction Approaches in Diabetes: A Comparative Effectiveness Study (GRADE): Differential Treatment Effects of Dual Therapy. PMID 38190619</w:t>
      </w:r>
    </w:p>
    <w:p>
      <w:pPr>
        <w:numPr>
          <w:ilvl w:val="0"/>
          <w:numId w:val="1377"/>
        </w:numPr>
        <w:pStyle w:val="Compact"/>
      </w:pPr>
      <w:r>
        <w:t xml:space="preserve">2024 · Eghbali M ·</w:t>
      </w:r>
      <w:r>
        <w:t xml:space="preserve"> </w:t>
      </w:r>
      <w:r>
        <w:rPr>
          <w:iCs/>
          <w:i/>
        </w:rPr>
        <w:t xml:space="preserve">Adv Ther</w:t>
      </w:r>
      <w:r>
        <w:t xml:space="preserve"> </w:t>
      </w:r>
      <w:r>
        <w:t xml:space="preserve">· Glucagon-Like Peptide 1 (GLP-1) Receptor Variants and Glycemic Response to Liraglutide: A Pharmacogenetics Study in Iranian People with Type 2 Diabetes Mellitus. PMID 38172377</w:t>
      </w:r>
    </w:p>
    <w:p>
      <w:pPr>
        <w:numPr>
          <w:ilvl w:val="0"/>
          <w:numId w:val="1377"/>
        </w:numPr>
        <w:pStyle w:val="Compact"/>
      </w:pPr>
      <w:r>
        <w:t xml:space="preserve">2024 · Hany M ·</w:t>
      </w:r>
      <w:r>
        <w:t xml:space="preserve"> </w:t>
      </w:r>
      <w:r>
        <w:rPr>
          <w:iCs/>
          <w:i/>
        </w:rPr>
        <w:t xml:space="preserve">Int J Surg</w:t>
      </w:r>
      <w:r>
        <w:t xml:space="preserve"> </w:t>
      </w:r>
      <w:r>
        <w:t xml:space="preserve">· Boosting weight loss after conversional Roux-en-Y Gastric Bypass with liraglutide and placebo use. A double-blind-randomized controlled trial. PMID 38100630</w:t>
      </w:r>
    </w:p>
    <w:p>
      <w:pPr>
        <w:numPr>
          <w:ilvl w:val="0"/>
          <w:numId w:val="1377"/>
        </w:numPr>
        <w:pStyle w:val="Compact"/>
      </w:pPr>
      <w:r>
        <w:t xml:space="preserve">2024 · O’Donnell C ·</w:t>
      </w:r>
      <w:r>
        <w:t xml:space="preserve"> </w:t>
      </w:r>
      <w:r>
        <w:rPr>
          <w:iCs/>
          <w:i/>
        </w:rPr>
        <w:t xml:space="preserve">Ann Am Thorac Soc</w:t>
      </w:r>
      <w:r>
        <w:t xml:space="preserve"> </w:t>
      </w:r>
      <w:r>
        <w:t xml:space="preserve">· Continuous Positive Airway Pressure but Not GLP1-mediated Weight Loss Improves Early Cardiovascular Disease in Obstructive Sleep Apnea: A Randomized Proof-of-Concept Study. PMID 38096106</w:t>
      </w:r>
    </w:p>
    <w:p>
      <w:pPr>
        <w:numPr>
          <w:ilvl w:val="0"/>
          <w:numId w:val="1377"/>
        </w:numPr>
        <w:pStyle w:val="Compact"/>
      </w:pPr>
      <w:r>
        <w:t xml:space="preserve">2024 · Krishnan K ·</w:t>
      </w:r>
      <w:r>
        <w:t xml:space="preserve"> </w:t>
      </w:r>
      <w:r>
        <w:rPr>
          <w:iCs/>
          <w:i/>
        </w:rPr>
        <w:t xml:space="preserve">Diabetes Res Clin Pract</w:t>
      </w:r>
      <w:r>
        <w:t xml:space="preserve"> </w:t>
      </w:r>
      <w:r>
        <w:t xml:space="preserve">· Phase 3 efficacy and safety trial of proposed liraglutide biosimilar for reduction of glycosylated hemoglobin (HbA1c) in patients with Type 2 diabetes mellitus. PMID 38061446</w:t>
      </w:r>
    </w:p>
    <w:p>
      <w:pPr>
        <w:numPr>
          <w:ilvl w:val="0"/>
          <w:numId w:val="1377"/>
        </w:numPr>
        <w:pStyle w:val="Compact"/>
      </w:pPr>
      <w:r>
        <w:t xml:space="preserve">2024 · Dietsche KB ·</w:t>
      </w:r>
      <w:r>
        <w:t xml:space="preserve"> </w:t>
      </w:r>
      <w:r>
        <w:rPr>
          <w:iCs/>
          <w:i/>
        </w:rPr>
        <w:t xml:space="preserve">J Clin Endocrinol Metab</w:t>
      </w:r>
      <w:r>
        <w:t xml:space="preserve"> </w:t>
      </w:r>
      <w:r>
        <w:t xml:space="preserve">· Glycemia and Gluconeogenesis With Metformin and Liraglutide: A Randomized Trial in Youth-onset Type 2 Diabetes. PMID 37967247</w:t>
      </w:r>
    </w:p>
    <w:p>
      <w:pPr>
        <w:numPr>
          <w:ilvl w:val="0"/>
          <w:numId w:val="1377"/>
        </w:numPr>
        <w:pStyle w:val="Compact"/>
      </w:pPr>
      <w:r>
        <w:t xml:space="preserve">2024 · Custódio G ·</w:t>
      </w:r>
      <w:r>
        <w:t xml:space="preserve"> </w:t>
      </w:r>
      <w:r>
        <w:rPr>
          <w:iCs/>
          <w:i/>
        </w:rPr>
        <w:t xml:space="preserve">Liver Transpl</w:t>
      </w:r>
      <w:r>
        <w:t xml:space="preserve"> </w:t>
      </w:r>
      <w:r>
        <w:t xml:space="preserve">· Does liraglutide alleviate inflammation in brain-dead donors? A randomized clinical trial. PMID 37938130</w:t>
      </w:r>
    </w:p>
    <w:p>
      <w:pPr>
        <w:numPr>
          <w:ilvl w:val="0"/>
          <w:numId w:val="1377"/>
        </w:numPr>
        <w:pStyle w:val="Compact"/>
      </w:pPr>
      <w:r>
        <w:t xml:space="preserve">2024 · Mashayekhi M ·</w:t>
      </w:r>
      <w:r>
        <w:t xml:space="preserve"> </w:t>
      </w:r>
      <w:r>
        <w:rPr>
          <w:iCs/>
          <w:i/>
        </w:rPr>
        <w:t xml:space="preserve">Diabetes</w:t>
      </w:r>
      <w:r>
        <w:t xml:space="preserve"> </w:t>
      </w:r>
      <w:r>
        <w:t xml:space="preserve">· Weight Loss-Independent Effect of Liraglutide on Insulin Sensitivity in Individuals With Obesity and Prediabetes. PMID 37874653</w:t>
      </w:r>
    </w:p>
    <w:p>
      <w:pPr>
        <w:numPr>
          <w:ilvl w:val="0"/>
          <w:numId w:val="1377"/>
        </w:numPr>
        <w:pStyle w:val="Compact"/>
      </w:pPr>
      <w:r>
        <w:t xml:space="preserve">2024 · Foghsgaard S ·</w:t>
      </w:r>
      <w:r>
        <w:t xml:space="preserve"> </w:t>
      </w:r>
      <w:r>
        <w:rPr>
          <w:iCs/>
          <w:i/>
        </w:rPr>
        <w:t xml:space="preserve">Diabetes Obes Metab</w:t>
      </w:r>
      <w:r>
        <w:t xml:space="preserve"> </w:t>
      </w:r>
      <w:r>
        <w:t xml:space="preserve">· Liraglutide treatment for the prevention of glucose tolerance deterioration in women with prior gestational diabetes mellitus: A 52-week randomized controlled clinical trial. PMID 37846555</w:t>
      </w:r>
    </w:p>
    <w:p>
      <w:pPr>
        <w:numPr>
          <w:ilvl w:val="0"/>
          <w:numId w:val="1377"/>
        </w:numPr>
        <w:pStyle w:val="Compact"/>
      </w:pPr>
      <w:r>
        <w:t xml:space="preserve">2024 · Hollander PA ·</w:t>
      </w:r>
      <w:r>
        <w:t xml:space="preserve"> </w:t>
      </w:r>
      <w:r>
        <w:rPr>
          <w:iCs/>
          <w:i/>
        </w:rPr>
        <w:t xml:space="preserve">Diabetes Care</w:t>
      </w:r>
      <w:r>
        <w:t xml:space="preserve"> </w:t>
      </w:r>
      <w:r>
        <w:t xml:space="preserve">· The Use of Rescue Insulin in the Glycemia Reduction Approaches in Diabetes: A Comparative Effectiveness Study (GRADE). PMID 37756542</w:t>
      </w:r>
    </w:p>
    <w:p>
      <w:pPr>
        <w:numPr>
          <w:ilvl w:val="0"/>
          <w:numId w:val="1377"/>
        </w:numPr>
        <w:pStyle w:val="Compact"/>
      </w:pPr>
      <w:r>
        <w:t xml:space="preserve">2024 · Liao M ·</w:t>
      </w:r>
      <w:r>
        <w:t xml:space="preserve"> </w:t>
      </w:r>
      <w:r>
        <w:rPr>
          <w:iCs/>
          <w:i/>
        </w:rPr>
        <w:t xml:space="preserve">Endocrine</w:t>
      </w:r>
      <w:r>
        <w:t xml:space="preserve"> </w:t>
      </w:r>
      <w:r>
        <w:t xml:space="preserve">· Effects and plasma proteomic analysis of GLP-1RA versus CPA/EE, in combination with metformin, on overweight PCOS women: a randomized controlled trial. PMID 37653215</w:t>
      </w:r>
    </w:p>
    <w:p>
      <w:pPr>
        <w:numPr>
          <w:ilvl w:val="0"/>
          <w:numId w:val="1377"/>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7"/>
        </w:numPr>
        <w:pStyle w:val="Compact"/>
      </w:pPr>
      <w:r>
        <w:t xml:space="preserve">2024 · Philis-Tsimikas A ·</w:t>
      </w:r>
      <w:r>
        <w:t xml:space="preserve"> </w:t>
      </w:r>
      <w:r>
        <w:rPr>
          <w:iCs/>
          <w:i/>
        </w:rPr>
        <w:t xml:space="preserve">J Diabetes Sci Technol</w:t>
      </w:r>
      <w:r>
        <w:t xml:space="preserve"> </w:t>
      </w:r>
      <w:r>
        <w:t xml:space="preserve">· Higher Derived Time in Range With IDegLira Versus Insulin Glargine U100 in People With Type 2 Diabetes. PMID 36710452</w:t>
      </w:r>
    </w:p>
    <w:p>
      <w:pPr>
        <w:numPr>
          <w:ilvl w:val="0"/>
          <w:numId w:val="1377"/>
        </w:numPr>
        <w:pStyle w:val="Compact"/>
      </w:pPr>
      <w:r>
        <w:t xml:space="preserve">2023 · Parker VER ·</w:t>
      </w:r>
      <w:r>
        <w:t xml:space="preserve"> </w:t>
      </w:r>
      <w:r>
        <w:rPr>
          <w:iCs/>
          <w:i/>
        </w:rPr>
        <w:t xml:space="preserve">Nat Metab</w:t>
      </w:r>
      <w:r>
        <w:t xml:space="preserve"> </w:t>
      </w:r>
      <w:r>
        <w:t xml:space="preserve">· Cotadutide promotes glycogenolysis in people with overweight or obesity diagnosed with type 2 diabetes. PMID 38066113</w:t>
      </w:r>
    </w:p>
    <w:p>
      <w:pPr>
        <w:numPr>
          <w:ilvl w:val="0"/>
          <w:numId w:val="1377"/>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7"/>
        </w:numPr>
        <w:pStyle w:val="Compact"/>
      </w:pPr>
      <w:r>
        <w:t xml:space="preserve">2023 · Coppin G ·</w:t>
      </w:r>
      <w:r>
        <w:t xml:space="preserve"> </w:t>
      </w:r>
      <w:r>
        <w:rPr>
          <w:iCs/>
          <w:i/>
        </w:rPr>
        <w:t xml:space="preserve">Int J Obes (Lond)</w:t>
      </w:r>
      <w:r>
        <w:t xml:space="preserve"> </w:t>
      </w:r>
      <w:r>
        <w:t xml:space="preserve">· A randomized controlled trial investigating the effect of liraglutide on self-reported liking and neural responses to food stimuli in participants with obesity. PMID 37626125</w:t>
      </w:r>
    </w:p>
    <w:p>
      <w:pPr>
        <w:numPr>
          <w:ilvl w:val="0"/>
          <w:numId w:val="1377"/>
        </w:numPr>
        <w:pStyle w:val="Compact"/>
      </w:pPr>
      <w:r>
        <w:t xml:space="preserve">2023 · Hanssen R ·</w:t>
      </w:r>
      <w:r>
        <w:t xml:space="preserve"> </w:t>
      </w:r>
      <w:r>
        <w:rPr>
          <w:iCs/>
          <w:i/>
        </w:rPr>
        <w:t xml:space="preserve">Nat Metab</w:t>
      </w:r>
      <w:r>
        <w:t xml:space="preserve"> </w:t>
      </w:r>
      <w:r>
        <w:t xml:space="preserve">· Liraglutide restores impaired associative learning in individuals with obesity. PMID 37592007</w:t>
      </w:r>
    </w:p>
    <w:p>
      <w:pPr>
        <w:numPr>
          <w:ilvl w:val="0"/>
          <w:numId w:val="1377"/>
        </w:numPr>
        <w:pStyle w:val="Compact"/>
      </w:pPr>
      <w:r>
        <w:t xml:space="preserve">2023 · Freitas FPC ·</w:t>
      </w:r>
      <w:r>
        <w:t xml:space="preserve"> </w:t>
      </w:r>
      <w:r>
        <w:rPr>
          <w:iCs/>
          <w:i/>
        </w:rPr>
        <w:t xml:space="preserve">Sci Rep</w:t>
      </w:r>
      <w:r>
        <w:t xml:space="preserve"> </w:t>
      </w:r>
      <w:r>
        <w:t xml:space="preserve">· Effect of liraglutide on cardiometabolic profile and on bioelectrical impedance analysis in patients with obesity and metabolic syndrome. PMID 37567946</w:t>
      </w:r>
    </w:p>
    <w:p>
      <w:pPr>
        <w:numPr>
          <w:ilvl w:val="0"/>
          <w:numId w:val="1377"/>
        </w:numPr>
        <w:pStyle w:val="Compact"/>
      </w:pPr>
      <w:r>
        <w:t xml:space="preserve">2023 · Mok J ·</w:t>
      </w:r>
      <w:r>
        <w:t xml:space="preserve"> </w:t>
      </w:r>
      <w:r>
        <w:rPr>
          <w:iCs/>
          <w:i/>
        </w:rPr>
        <w:t xml:space="preserve">JAMA Surg</w:t>
      </w:r>
      <w:r>
        <w:t xml:space="preserve"> </w:t>
      </w:r>
      <w:r>
        <w:t xml:space="preserve">· Safety and Efficacy of Liraglutide, 3.0 mg, Once Daily vs Placebo in Patients With Poor Weight Loss Following Metabolic Surgery: The BARI-OPTIMISE Randomized Clinical Trial. PMID 37494014</w:t>
      </w:r>
    </w:p>
    <w:p>
      <w:pPr>
        <w:numPr>
          <w:ilvl w:val="0"/>
          <w:numId w:val="1377"/>
        </w:numPr>
        <w:pStyle w:val="Compact"/>
      </w:pPr>
      <w:r>
        <w:t xml:space="preserve">2023 · Galindo RJ ·</w:t>
      </w:r>
      <w:r>
        <w:t xml:space="preserve"> </w:t>
      </w:r>
      <w:r>
        <w:rPr>
          <w:iCs/>
          <w:i/>
        </w:rPr>
        <w:t xml:space="preserve">Diabetes Care</w:t>
      </w:r>
      <w:r>
        <w:t xml:space="preserve"> </w:t>
      </w:r>
      <w:r>
        <w:t xml:space="preserve">· A Randomized Controlled Trial Comparing the Efficacy and Safety of IDegLira Versus Basal-Bolus in Patients With Poorly Controlled Type 2 Diabetes and Very High HbA1c ≥9-15%: DUAL HIGH Trial. PMID 37459574</w:t>
      </w:r>
    </w:p>
    <w:p>
      <w:pPr>
        <w:numPr>
          <w:ilvl w:val="0"/>
          <w:numId w:val="1377"/>
        </w:numPr>
        <w:pStyle w:val="Compact"/>
      </w:pPr>
      <w:r>
        <w:t xml:space="preserve">2023 · Scherbak NN ·</w:t>
      </w:r>
      <w:r>
        <w:t xml:space="preserve"> </w:t>
      </w:r>
      <w:r>
        <w:rPr>
          <w:iCs/>
          <w:i/>
        </w:rPr>
        <w:t xml:space="preserve">Diabetes Metab J</w:t>
      </w:r>
      <w:r>
        <w:t xml:space="preserve"> </w:t>
      </w:r>
      <w:r>
        <w:t xml:space="preserve">· Glimepiride Compared to Liraglutide Increases Plasma Levels of miR-206, miR-182-5p, and miR-766-3p in Type 2 Diabetes Mellitus: A Randomized Controlled Trial. PMID 37349083</w:t>
      </w:r>
    </w:p>
    <w:p>
      <w:pPr>
        <w:numPr>
          <w:ilvl w:val="0"/>
          <w:numId w:val="1377"/>
        </w:numPr>
        <w:pStyle w:val="Compact"/>
      </w:pPr>
      <w:r>
        <w:t xml:space="preserve">2023 · Bensignor MO ·</w:t>
      </w:r>
      <w:r>
        <w:t xml:space="preserve"> </w:t>
      </w:r>
      <w:r>
        <w:rPr>
          <w:iCs/>
          <w:i/>
        </w:rPr>
        <w:t xml:space="preserve">Pediatr Obes</w:t>
      </w:r>
      <w:r>
        <w:t xml:space="preserve"> </w:t>
      </w:r>
      <w:r>
        <w:t xml:space="preserve">· Evaluating potential predictors of weight loss response to liraglutide in adolescents with obesity: A post hoc analysis of the randomized, placebo-controlled SCALE Teens trial. PMID 37264767</w:t>
      </w:r>
    </w:p>
    <w:p>
      <w:pPr>
        <w:numPr>
          <w:ilvl w:val="0"/>
          <w:numId w:val="1377"/>
        </w:numPr>
        <w:pStyle w:val="Compact"/>
      </w:pPr>
      <w:r>
        <w:t xml:space="preserve">2023 · Wexler DJ ·</w:t>
      </w:r>
      <w:r>
        <w:t xml:space="preserve"> </w:t>
      </w:r>
      <w:r>
        <w:rPr>
          <w:iCs/>
          <w:i/>
        </w:rPr>
        <w:t xml:space="preserve">JAMA Intern Med</w:t>
      </w:r>
      <w:r>
        <w:t xml:space="preserve"> </w:t>
      </w:r>
      <w:r>
        <w:t xml:space="preserve">· Comparative Effects of Glucose-Lowering Medications on Kidney Outcomes in Type 2 Diabetes: The GRADE Randomized Clinical Trial. PMID 37213109</w:t>
      </w:r>
    </w:p>
    <w:p>
      <w:pPr>
        <w:numPr>
          <w:ilvl w:val="0"/>
          <w:numId w:val="1377"/>
        </w:numPr>
        <w:pStyle w:val="Compact"/>
      </w:pPr>
      <w:r>
        <w:t xml:space="preserve">2023 · Silver HJ ·</w:t>
      </w:r>
      <w:r>
        <w:t xml:space="preserve"> </w:t>
      </w:r>
      <w:r>
        <w:rPr>
          <w:iCs/>
          <w:i/>
        </w:rPr>
        <w:t xml:space="preserve">Diabetes Obes Metab</w:t>
      </w:r>
      <w:r>
        <w:t xml:space="preserve"> </w:t>
      </w:r>
      <w:r>
        <w:t xml:space="preserve">· Effect of the glucagon-like peptide-1 receptor agonist liraglutide, compared to caloric restriction, on appetite, dietary intake, body fat distribution and cardiometabolic biomarkers: A randomized trial in adults with obesity and prediabetes. PMID 37188932</w:t>
      </w:r>
    </w:p>
    <w:p>
      <w:pPr>
        <w:numPr>
          <w:ilvl w:val="0"/>
          <w:numId w:val="1377"/>
        </w:numPr>
        <w:pStyle w:val="Compact"/>
      </w:pPr>
      <w:r>
        <w:t xml:space="preserve">2023 · Meng XM ·</w:t>
      </w:r>
      <w:r>
        <w:t xml:space="preserve"> </w:t>
      </w:r>
      <w:r>
        <w:rPr>
          <w:iCs/>
          <w:i/>
        </w:rPr>
        <w:t xml:space="preserve">Zhonghua Yi Xue Za Zhi</w:t>
      </w:r>
      <w:r>
        <w:t xml:space="preserve"> </w:t>
      </w:r>
      <w:r>
        <w:t xml:space="preserve">· [Effect of Liraglutide on platelet distribution width and carotid intima-media thickness in type 2 diabetic mellitus patients with obesity]. PMID 37150681</w:t>
      </w:r>
    </w:p>
    <w:p>
      <w:pPr>
        <w:numPr>
          <w:ilvl w:val="0"/>
          <w:numId w:val="1377"/>
        </w:numPr>
        <w:pStyle w:val="Compact"/>
      </w:pPr>
      <w:r>
        <w:t xml:space="preserve">2023 · Jensen SBK ·</w:t>
      </w:r>
      <w:r>
        <w:t xml:space="preserve"> </w:t>
      </w:r>
      <w:r>
        <w:rPr>
          <w:iCs/>
          <w:i/>
        </w:rPr>
        <w:t xml:space="preserve">Obesity (Silver Spring)</w:t>
      </w:r>
      <w:r>
        <w:t xml:space="preserve"> </w:t>
      </w:r>
      <w:r>
        <w:t xml:space="preserve">· Weight loss maintenance with exercise and liraglutide improves glucose tolerance, glucagon response, and beta cell function. PMID 36942420</w:t>
      </w:r>
    </w:p>
    <w:p>
      <w:pPr>
        <w:numPr>
          <w:ilvl w:val="0"/>
          <w:numId w:val="1377"/>
        </w:numPr>
        <w:pStyle w:val="Compact"/>
      </w:pPr>
      <w:r>
        <w:t xml:space="preserve">2023 · Xu Z ·</w:t>
      </w:r>
      <w:r>
        <w:t xml:space="preserve"> </w:t>
      </w:r>
      <w:r>
        <w:rPr>
          <w:iCs/>
          <w:i/>
        </w:rPr>
        <w:t xml:space="preserve">Expert Rev Clin Pharmacol</w:t>
      </w:r>
      <w:r>
        <w:t xml:space="preserve"> </w:t>
      </w:r>
      <w:r>
        <w:t xml:space="preserve">· Comparing the bioequivalence and safety of liraglutide in healthy Chinese subjects: an open, single-dose, randomized, repeated, two-sequence, two-cycle phase I clinical trial. PMID 36883362</w:t>
      </w:r>
    </w:p>
    <w:p>
      <w:pPr>
        <w:numPr>
          <w:ilvl w:val="0"/>
          <w:numId w:val="1377"/>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7"/>
        </w:numPr>
        <w:pStyle w:val="Compact"/>
      </w:pPr>
      <w:r>
        <w:t xml:space="preserve">2023 · Bechlioulis A ·</w:t>
      </w:r>
      <w:r>
        <w:t xml:space="preserve"> </w:t>
      </w:r>
      <w:r>
        <w:rPr>
          <w:iCs/>
          <w:i/>
        </w:rPr>
        <w:t xml:space="preserve">J Diabetes Complications</w:t>
      </w:r>
      <w:r>
        <w:t xml:space="preserve"> </w:t>
      </w:r>
      <w:r>
        <w:t xml:space="preserve">· The effect of SGLT2 inhibitors, GLP1 agonists, and their sequential combination on cardiometabolic parameters: A randomized, prospective, intervention study. PMID 36842186</w:t>
      </w:r>
    </w:p>
    <w:p>
      <w:pPr>
        <w:numPr>
          <w:ilvl w:val="0"/>
          <w:numId w:val="1377"/>
        </w:numPr>
        <w:pStyle w:val="Compact"/>
      </w:pPr>
      <w:r>
        <w:t xml:space="preserve">2023 · Sandsdal RM ·</w:t>
      </w:r>
      <w:r>
        <w:t xml:space="preserve"> </w:t>
      </w:r>
      <w:r>
        <w:rPr>
          <w:iCs/>
          <w:i/>
        </w:rPr>
        <w:t xml:space="preserve">Cardiovasc Diabetol</w:t>
      </w:r>
      <w:r>
        <w:t xml:space="preserve"> </w:t>
      </w:r>
      <w:r>
        <w:t xml:space="preserve">· Combination of exercise and GLP-1 receptor agonist treatment reduces severity of metabolic syndrome, abdominal obesity, and inflammation: a randomized controlled trial. PMID 36841762</w:t>
      </w:r>
    </w:p>
    <w:p>
      <w:pPr>
        <w:numPr>
          <w:ilvl w:val="0"/>
          <w:numId w:val="1377"/>
        </w:numPr>
        <w:pStyle w:val="Compact"/>
      </w:pPr>
      <w:r>
        <w:t xml:space="preserve">2023 · Nerild HH ·</w:t>
      </w:r>
      <w:r>
        <w:t xml:space="preserve"> </w:t>
      </w:r>
      <w:r>
        <w:rPr>
          <w:iCs/>
          <w:i/>
        </w:rPr>
        <w:t xml:space="preserve">Diabetes Obes Metab</w:t>
      </w:r>
      <w:r>
        <w:t xml:space="preserve"> </w:t>
      </w:r>
      <w:r>
        <w:t xml:space="preserve">· Liraglutide changes postprandial responses of gut hormones involved in the regulation of gallbladder motility. PMID 36781820</w:t>
      </w:r>
    </w:p>
    <w:p>
      <w:pPr>
        <w:numPr>
          <w:ilvl w:val="0"/>
          <w:numId w:val="1377"/>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7"/>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7"/>
        </w:numPr>
        <w:pStyle w:val="Compact"/>
      </w:pPr>
      <w:r>
        <w:t xml:space="preserve">2023 · Sindhvananda W ·</w:t>
      </w:r>
      <w:r>
        <w:t xml:space="preserve"> </w:t>
      </w:r>
      <w:r>
        <w:rPr>
          <w:iCs/>
          <w:i/>
        </w:rPr>
        <w:t xml:space="preserve">Ann Card Anaesth</w:t>
      </w:r>
      <w:r>
        <w:t xml:space="preserve"> </w:t>
      </w:r>
      <w:r>
        <w:t xml:space="preserve">· Comparison of glucose control by added liraglutide to only insulin infusion in diabetic patient undergoing cardiac surgery: A preliminary randomized-controlled trial. PMID 36722590</w:t>
      </w:r>
    </w:p>
    <w:p>
      <w:pPr>
        <w:numPr>
          <w:ilvl w:val="0"/>
          <w:numId w:val="1377"/>
        </w:numPr>
        <w:pStyle w:val="Compact"/>
      </w:pPr>
      <w:r>
        <w:t xml:space="preserve">2023 · Feng S ·</w:t>
      </w:r>
      <w:r>
        <w:t xml:space="preserve"> </w:t>
      </w:r>
      <w:r>
        <w:rPr>
          <w:iCs/>
          <w:i/>
        </w:rPr>
        <w:t xml:space="preserve">Clin Pharmacol Drug Dev</w:t>
      </w:r>
      <w:r>
        <w:t xml:space="preserve"> </w:t>
      </w:r>
      <w:r>
        <w:t xml:space="preserve">· A Single-dose, Two-Period Crossover Bioequivalence Study Comparing Two Liraglutide Formulations in Healthy Chinese Subjects. PMID 36648126</w:t>
      </w:r>
    </w:p>
    <w:p>
      <w:pPr>
        <w:numPr>
          <w:ilvl w:val="0"/>
          <w:numId w:val="1377"/>
        </w:numPr>
        <w:pStyle w:val="Compact"/>
      </w:pPr>
      <w:r>
        <w:t xml:space="preserve">2023 · Jiang W ·</w:t>
      </w:r>
      <w:r>
        <w:t xml:space="preserve"> </w:t>
      </w:r>
      <w:r>
        <w:rPr>
          <w:iCs/>
          <w:i/>
        </w:rPr>
        <w:t xml:space="preserve">Sleep Breath</w:t>
      </w:r>
      <w:r>
        <w:t xml:space="preserve"> </w:t>
      </w:r>
      <w:r>
        <w:t xml:space="preserve">· Efficacy and safety of liraglutide in patients with type 2 diabetes mellitus and severe obstructive sleep apnea. PMID 36542275</w:t>
      </w:r>
    </w:p>
    <w:p>
      <w:pPr>
        <w:numPr>
          <w:ilvl w:val="0"/>
          <w:numId w:val="1377"/>
        </w:numPr>
        <w:pStyle w:val="Compact"/>
      </w:pPr>
      <w:r>
        <w:t xml:space="preserve">2023 · Bogh AF ·</w:t>
      </w:r>
      <w:r>
        <w:t xml:space="preserve"> </w:t>
      </w:r>
      <w:r>
        <w:rPr>
          <w:iCs/>
          <w:i/>
        </w:rPr>
        <w:t xml:space="preserve">Sleep</w:t>
      </w:r>
      <w:r>
        <w:t xml:space="preserve"> </w:t>
      </w:r>
      <w:r>
        <w:t xml:space="preserve">· Insufficient sleep predicts poor weight loss maintenance after 1 year. PMID 36472579</w:t>
      </w:r>
    </w:p>
    <w:p>
      <w:pPr>
        <w:numPr>
          <w:ilvl w:val="0"/>
          <w:numId w:val="1377"/>
        </w:numPr>
        <w:pStyle w:val="Compact"/>
      </w:pPr>
      <w:r>
        <w:t xml:space="preserve">2023 · Angelidi AM ·</w:t>
      </w:r>
      <w:r>
        <w:t xml:space="preserve"> </w:t>
      </w:r>
      <w:r>
        <w:rPr>
          <w:iCs/>
          <w:i/>
        </w:rPr>
        <w:t xml:space="preserve">Metabolism</w:t>
      </w:r>
      <w:r>
        <w:t xml:space="preserve"> </w:t>
      </w:r>
      <w:r>
        <w:t xml:space="preserve">· Early metabolomic, lipid and lipoprotein changes in response to medical and surgical therapeutic approaches to obesity. PMID 36375643</w:t>
      </w:r>
    </w:p>
    <w:p>
      <w:pPr>
        <w:numPr>
          <w:ilvl w:val="0"/>
          <w:numId w:val="1377"/>
        </w:numPr>
        <w:pStyle w:val="Compact"/>
      </w:pPr>
      <w:r>
        <w:t xml:space="preserve">2023 · Mashayekhi M ·</w:t>
      </w:r>
      <w:r>
        <w:t xml:space="preserve"> </w:t>
      </w:r>
      <w:r>
        <w:rPr>
          <w:iCs/>
          <w:i/>
        </w:rPr>
        <w:t xml:space="preserve">Diabetes Obes Metab</w:t>
      </w:r>
      <w:r>
        <w:t xml:space="preserve"> </w:t>
      </w:r>
      <w:r>
        <w:t xml:space="preserve">· Comparative effects of weight loss and incretin-based therapies on vascular endothelial function, fibrinolysis and inflammation in individuals with obesity and prediabetes: A randomized controlled trial. PMID 36306151</w:t>
      </w:r>
    </w:p>
    <w:p>
      <w:pPr>
        <w:numPr>
          <w:ilvl w:val="0"/>
          <w:numId w:val="1377"/>
        </w:numPr>
        <w:pStyle w:val="Compact"/>
      </w:pPr>
      <w:r>
        <w:t xml:space="preserve">2023 · Sannaa W ·</w:t>
      </w:r>
      <w:r>
        <w:t xml:space="preserve"> </w:t>
      </w:r>
      <w:r>
        <w:rPr>
          <w:iCs/>
          <w:i/>
        </w:rPr>
        <w:t xml:space="preserve">Diabetes Obes Metab</w:t>
      </w:r>
      <w:r>
        <w:t xml:space="preserve"> </w:t>
      </w:r>
      <w:r>
        <w:t xml:space="preserve">· Factors associated with successful weight loss after liraglutide treatment for obesity. PMID 36193713</w:t>
      </w:r>
    </w:p>
    <w:p>
      <w:pPr>
        <w:numPr>
          <w:ilvl w:val="0"/>
          <w:numId w:val="1377"/>
        </w:numPr>
        <w:pStyle w:val="Compact"/>
      </w:pPr>
      <w:r>
        <w:t xml:space="preserve">2023 · Neves JS ·</w:t>
      </w:r>
      <w:r>
        <w:t xml:space="preserve"> </w:t>
      </w:r>
      <w:r>
        <w:rPr>
          <w:iCs/>
          <w:i/>
        </w:rPr>
        <w:t xml:space="preserve">Diabetes Obes Metab</w:t>
      </w:r>
      <w:r>
        <w:t xml:space="preserve"> </w:t>
      </w:r>
      <w:r>
        <w:t xml:space="preserve">· Risk of adverse events with liraglutide in heart failure with reduced ejection fraction: A post hoc analysis of the FIGHT trial. PMID 36082522</w:t>
      </w:r>
    </w:p>
    <w:p>
      <w:pPr>
        <w:numPr>
          <w:ilvl w:val="0"/>
          <w:numId w:val="1377"/>
        </w:numPr>
        <w:pStyle w:val="Compact"/>
      </w:pPr>
      <w:r>
        <w:t xml:space="preserve">2022 · Diene G ·</w:t>
      </w:r>
      <w:r>
        <w:t xml:space="preserve"> </w:t>
      </w:r>
      <w:r>
        <w:rPr>
          <w:iCs/>
          <w:i/>
        </w:rPr>
        <w:t xml:space="preserve">J Clin Endocrinol Metab</w:t>
      </w:r>
      <w:r>
        <w:t xml:space="preserve"> </w:t>
      </w:r>
      <w:r>
        <w:t xml:space="preserve">· Liraglutide for Weight Management in Children and Adolescents With Prader-Willi Syndrome and Obesity. PMID 36181471</w:t>
      </w:r>
    </w:p>
    <w:p>
      <w:pPr>
        <w:numPr>
          <w:ilvl w:val="0"/>
          <w:numId w:val="1377"/>
        </w:numPr>
        <w:pStyle w:val="Compact"/>
      </w:pPr>
      <w:r>
        <w:t xml:space="preserve">2022 · GRADE Study Research Group ·</w:t>
      </w:r>
      <w:r>
        <w:t xml:space="preserve"> </w:t>
      </w:r>
      <w:r>
        <w:rPr>
          <w:iCs/>
          <w:i/>
        </w:rPr>
        <w:t xml:space="preserve">N Engl J Med</w:t>
      </w:r>
      <w:r>
        <w:t xml:space="preserve"> </w:t>
      </w:r>
      <w:r>
        <w:t xml:space="preserve">· Glycemia Reduction in Type 2 Diabetes - Microvascular and Cardiovascular Outcomes. PMID 36129997</w:t>
      </w:r>
    </w:p>
    <w:p>
      <w:pPr>
        <w:numPr>
          <w:ilvl w:val="0"/>
          <w:numId w:val="1377"/>
        </w:numPr>
        <w:pStyle w:val="Compact"/>
      </w:pPr>
      <w:r>
        <w:t xml:space="preserve">2022 · GRADE Study Research Group ·</w:t>
      </w:r>
      <w:r>
        <w:t xml:space="preserve"> </w:t>
      </w:r>
      <w:r>
        <w:rPr>
          <w:iCs/>
          <w:i/>
        </w:rPr>
        <w:t xml:space="preserve">N Engl J Med</w:t>
      </w:r>
      <w:r>
        <w:t xml:space="preserve"> </w:t>
      </w:r>
      <w:r>
        <w:t xml:space="preserve">· Glycemia Reduction in Type 2 Diabetes - Glycemic Outcomes. PMID 36129996</w:t>
      </w:r>
    </w:p>
    <w:p>
      <w:pPr>
        <w:numPr>
          <w:ilvl w:val="0"/>
          <w:numId w:val="1377"/>
        </w:numPr>
        <w:pStyle w:val="Compact"/>
      </w:pPr>
      <w:r>
        <w:t xml:space="preserve">2022 · Yu D ·</w:t>
      </w:r>
      <w:r>
        <w:t xml:space="preserve"> </w:t>
      </w:r>
      <w:r>
        <w:rPr>
          <w:iCs/>
          <w:i/>
        </w:rPr>
        <w:t xml:space="preserve">Front Endocrinol (Lausanne)</w:t>
      </w:r>
      <w:r>
        <w:t xml:space="preserve"> </w:t>
      </w:r>
      <w:r>
        <w:t xml:space="preserve">· Effects of liraglutide or lifestyle interventions combined with other antidiabetic drugs on abdominal fat distribution in people with obesity and type 2 diabetes mellitus evaluated by the energy spectrum ct: A prospective randomized controlled study. PMID 36093105</w:t>
      </w:r>
    </w:p>
    <w:p>
      <w:pPr>
        <w:numPr>
          <w:ilvl w:val="0"/>
          <w:numId w:val="1377"/>
        </w:numPr>
        <w:pStyle w:val="Compact"/>
      </w:pPr>
      <w:r>
        <w:t xml:space="preserve">2022 · Xing C ·</w:t>
      </w:r>
      <w:r>
        <w:t xml:space="preserve"> </w:t>
      </w:r>
      <w:r>
        <w:rPr>
          <w:iCs/>
          <w:i/>
        </w:rPr>
        <w:t xml:space="preserve">Front Endocrinol (Lausanne)</w:t>
      </w:r>
      <w:r>
        <w:t xml:space="preserve"> </w:t>
      </w:r>
      <w:r>
        <w:t xml:space="preserve">· Effect of metformin versus metformin plus liraglutide on gonadal and metabolic profiles in overweight patients with polycystic ovary syndrome. PMID 36060969</w:t>
      </w:r>
    </w:p>
    <w:p>
      <w:pPr>
        <w:numPr>
          <w:ilvl w:val="0"/>
          <w:numId w:val="1377"/>
        </w:numPr>
        <w:pStyle w:val="Compact"/>
      </w:pPr>
      <w:r>
        <w:t xml:space="preserve">2022 · Zhaohu H ·</w:t>
      </w:r>
      <w:r>
        <w:t xml:space="preserve"> </w:t>
      </w:r>
      <w:r>
        <w:rPr>
          <w:iCs/>
          <w:i/>
        </w:rPr>
        <w:t xml:space="preserve">J Diabetes Res</w:t>
      </w:r>
      <w:r>
        <w:t xml:space="preserve"> </w:t>
      </w:r>
      <w:r>
        <w:t xml:space="preserve">· Efficacy and Safety of Dapagliflozin versus Liraglutide in Patients with Overweight or Obesity and Type 2 Diabetes Mellitus: A Randomised Controlled Clinical Trial in Tianjin, China. PMID 35990242</w:t>
      </w:r>
    </w:p>
    <w:p>
      <w:pPr>
        <w:numPr>
          <w:ilvl w:val="0"/>
          <w:numId w:val="1377"/>
        </w:numPr>
        <w:pStyle w:val="Compact"/>
      </w:pPr>
      <w:r>
        <w:t xml:space="preserve">2022 · Jensen SBK ·</w:t>
      </w:r>
      <w:r>
        <w:t xml:space="preserve"> </w:t>
      </w:r>
      <w:r>
        <w:rPr>
          <w:iCs/>
          <w:i/>
        </w:rPr>
        <w:t xml:space="preserve">Nat Commun</w:t>
      </w:r>
      <w:r>
        <w:t xml:space="preserve"> </w:t>
      </w:r>
      <w:r>
        <w:t xml:space="preserve">· Exploratory analysis of eating- and physical activity-related outcomes from a randomized controlled trial for weight loss maintenance with exercise and liraglutide single or combination treatment. PMID 35970829</w:t>
      </w:r>
    </w:p>
    <w:p>
      <w:pPr>
        <w:numPr>
          <w:ilvl w:val="0"/>
          <w:numId w:val="1377"/>
        </w:numPr>
        <w:pStyle w:val="Compact"/>
      </w:pPr>
      <w:r>
        <w:t xml:space="preserve">2022 · Xiao Y ·</w:t>
      </w:r>
      <w:r>
        <w:t xml:space="preserve"> </w:t>
      </w:r>
      <w:r>
        <w:rPr>
          <w:iCs/>
          <w:i/>
        </w:rPr>
        <w:t xml:space="preserve">Metab Syndr Relat Disord</w:t>
      </w:r>
      <w:r>
        <w:t xml:space="preserve"> </w:t>
      </w:r>
      <w:r>
        <w:t xml:space="preserve">· Effect of 5:2 Fasting Diet on Liver Fat Content in Patients with Type 2 Diabetic with Nonalcoholic Fatty Liver Disease. PMID 35925752</w:t>
      </w:r>
    </w:p>
    <w:p>
      <w:pPr>
        <w:numPr>
          <w:ilvl w:val="0"/>
          <w:numId w:val="1377"/>
        </w:numPr>
        <w:pStyle w:val="Compact"/>
      </w:pPr>
      <w:r>
        <w:t xml:space="preserve">2022 · Maselli D ·</w:t>
      </w:r>
      <w:r>
        <w:t xml:space="preserve"> </w:t>
      </w:r>
      <w:r>
        <w:rPr>
          <w:iCs/>
          <w:i/>
        </w:rPr>
        <w:t xml:space="preserve">Obesity (Silver Spring)</w:t>
      </w:r>
      <w:r>
        <w:t xml:space="preserve"> </w:t>
      </w:r>
      <w:r>
        <w:t xml:space="preserve">· Effects of liraglutide on gastrointestinal functions and weight in obesity: A randomized clinical and pharmacogenomic trial. PMID 35894080</w:t>
      </w:r>
    </w:p>
    <w:p>
      <w:pPr>
        <w:numPr>
          <w:ilvl w:val="0"/>
          <w:numId w:val="1377"/>
        </w:numPr>
        <w:pStyle w:val="Compact"/>
      </w:pPr>
      <w:r>
        <w:t xml:space="preserve">2022 · Utzschneider KM ·</w:t>
      </w:r>
      <w:r>
        <w:t xml:space="preserve"> </w:t>
      </w:r>
      <w:r>
        <w:rPr>
          <w:iCs/>
          <w:i/>
        </w:rPr>
        <w:t xml:space="preserve">Obesity (Silver Spring)</w:t>
      </w:r>
      <w:r>
        <w:t xml:space="preserve"> </w:t>
      </w:r>
      <w:r>
        <w:t xml:space="preserve">· Weight loss and β-cell responses following gastric banding or pharmacotherapy in adults with impaired glucose tolerance or type 2 diabetes: a randomized trial. PMID 35894078</w:t>
      </w:r>
    </w:p>
    <w:p>
      <w:pPr>
        <w:numPr>
          <w:ilvl w:val="0"/>
          <w:numId w:val="1377"/>
        </w:numPr>
        <w:pStyle w:val="Compact"/>
      </w:pPr>
      <w:r>
        <w:t xml:space="preserve">2022 · Stier C ·</w:t>
      </w:r>
      <w:r>
        <w:t xml:space="preserve"> </w:t>
      </w:r>
      <w:r>
        <w:rPr>
          <w:iCs/>
          <w:i/>
        </w:rPr>
        <w:t xml:space="preserve">Clin Nutr ESPEN</w:t>
      </w:r>
      <w:r>
        <w:t xml:space="preserve"> </w:t>
      </w:r>
      <w:r>
        <w:t xml:space="preserve">· Fast-track rescue weight reduction therapy to achieve rapid technical operability for emergency bariatric surgery in patients with life-threatening inoperable severe obesity - A proof of concept study. PMID 35871930</w:t>
      </w:r>
    </w:p>
    <w:p>
      <w:pPr>
        <w:numPr>
          <w:ilvl w:val="0"/>
          <w:numId w:val="1377"/>
        </w:numPr>
        <w:pStyle w:val="Compact"/>
      </w:pPr>
      <w:r>
        <w:t xml:space="preserve">2022 · Zhou R ·</w:t>
      </w:r>
      <w:r>
        <w:t xml:space="preserve"> </w:t>
      </w:r>
      <w:r>
        <w:rPr>
          <w:iCs/>
          <w:i/>
        </w:rPr>
        <w:t xml:space="preserve">Clin Transl Sci</w:t>
      </w:r>
      <w:r>
        <w:t xml:space="preserve"> </w:t>
      </w:r>
      <w:r>
        <w:t xml:space="preserve">· A phase I study comparing the pharmacokinetics of the biosimilar (RD12014) with liraglutide (Victoza) in healthy Chinese male subjects. PMID 35871497</w:t>
      </w:r>
    </w:p>
    <w:p>
      <w:pPr>
        <w:numPr>
          <w:ilvl w:val="0"/>
          <w:numId w:val="1377"/>
        </w:numPr>
        <w:pStyle w:val="Compact"/>
      </w:pPr>
      <w:r>
        <w:t xml:space="preserve">2022 · Kårhus ML ·</w:t>
      </w:r>
      <w:r>
        <w:t xml:space="preserve"> </w:t>
      </w:r>
      <w:r>
        <w:rPr>
          <w:iCs/>
          <w:i/>
        </w:rPr>
        <w:t xml:space="preserve">Lancet Gastroenterol Hepatol</w:t>
      </w:r>
      <w:r>
        <w:t xml:space="preserve"> </w:t>
      </w:r>
      <w:r>
        <w:t xml:space="preserve">· Safety and efficacy of liraglutide versus colesevelam for the treatment of bile acid diarrhoea: a randomised, double-blind, active-comparator, non-inferiority clinical trial. PMID 35868334</w:t>
      </w:r>
    </w:p>
    <w:p>
      <w:pPr>
        <w:numPr>
          <w:ilvl w:val="0"/>
          <w:numId w:val="1377"/>
        </w:numPr>
        <w:pStyle w:val="Compact"/>
      </w:pPr>
      <w:r>
        <w:t xml:space="preserve">2022 · Zenz S ·</w:t>
      </w:r>
      <w:r>
        <w:t xml:space="preserve"> </w:t>
      </w:r>
      <w:r>
        <w:rPr>
          <w:iCs/>
          <w:i/>
        </w:rPr>
        <w:t xml:space="preserve">J Clin Endocrinol Metab</w:t>
      </w:r>
      <w:r>
        <w:t xml:space="preserve"> </w:t>
      </w:r>
      <w:r>
        <w:t xml:space="preserve">· Effect of Liraglutide Treatment on Whole-body Glucose Fluxes in C-peptide-Positive Type 1 Diabetes During Hypoglycemia. PMID 35833597</w:t>
      </w:r>
    </w:p>
    <w:p>
      <w:pPr>
        <w:numPr>
          <w:ilvl w:val="0"/>
          <w:numId w:val="1377"/>
        </w:numPr>
        <w:pStyle w:val="Compact"/>
      </w:pPr>
      <w:r>
        <w:t xml:space="preserve">2022 · Lin K ·</w:t>
      </w:r>
      <w:r>
        <w:t xml:space="preserve"> </w:t>
      </w:r>
      <w:r>
        <w:rPr>
          <w:iCs/>
          <w:i/>
        </w:rPr>
        <w:t xml:space="preserve">Comput Intell Neurosci</w:t>
      </w:r>
      <w:r>
        <w:t xml:space="preserve"> </w:t>
      </w:r>
      <w:r>
        <w:t xml:space="preserve">· Evaluation of the Clinical Efficacy of the Treatment of Overweight and Obesity in Type 2 Diabetes Mellitus by the Telemedicine Management System Based on the Internet of Things Technology. PMID 35785080</w:t>
      </w:r>
    </w:p>
    <w:p>
      <w:pPr>
        <w:numPr>
          <w:ilvl w:val="0"/>
          <w:numId w:val="1377"/>
        </w:numPr>
        <w:pStyle w:val="Compact"/>
      </w:pPr>
      <w:r>
        <w:t xml:space="preserve">2022 · Wang W ·</w:t>
      </w:r>
      <w:r>
        <w:t xml:space="preserve"> </w:t>
      </w:r>
      <w:r>
        <w:rPr>
          <w:iCs/>
          <w:i/>
        </w:rPr>
        <w:t xml:space="preserve">J Diabetes</w:t>
      </w:r>
      <w:r>
        <w:t xml:space="preserve"> </w:t>
      </w:r>
      <w:r>
        <w:t xml:space="preserve">· DUAL I China: Improved glycemic control with IDegLira versus its individual components in a randomized trial with Chinese participants with type 2 diabetes uncontrolled on oral antidiabetic drugs. PMID 35762390</w:t>
      </w:r>
    </w:p>
    <w:p>
      <w:pPr>
        <w:numPr>
          <w:ilvl w:val="0"/>
          <w:numId w:val="1377"/>
        </w:numPr>
        <w:pStyle w:val="Compact"/>
      </w:pPr>
      <w:r>
        <w:t xml:space="preserve">2022 · Ou T ·</w:t>
      </w:r>
      <w:r>
        <w:t xml:space="preserve"> </w:t>
      </w:r>
      <w:r>
        <w:rPr>
          <w:iCs/>
          <w:i/>
        </w:rPr>
        <w:t xml:space="preserve">Altern Ther Health Med</w:t>
      </w:r>
      <w:r>
        <w:t xml:space="preserve"> </w:t>
      </w:r>
      <w:r>
        <w:t xml:space="preserve">· Liraglutide Plus Dapagliflozin for High Uric Acid and Microalbuminuria in Diabetes Mellitus Complicated With Metabolic Syndrome. PMID 35751892</w:t>
      </w:r>
    </w:p>
    <w:p>
      <w:pPr>
        <w:numPr>
          <w:ilvl w:val="0"/>
          <w:numId w:val="1377"/>
        </w:numPr>
        <w:pStyle w:val="Compact"/>
      </w:pPr>
      <w:r>
        <w:t xml:space="preserve">2022 · Elkind-Hirsch KE ·</w:t>
      </w:r>
      <w:r>
        <w:t xml:space="preserve"> </w:t>
      </w:r>
      <w:r>
        <w:rPr>
          <w:iCs/>
          <w:i/>
        </w:rPr>
        <w:t xml:space="preserve">Fertil Steril</w:t>
      </w:r>
      <w:r>
        <w:t xml:space="preserve"> </w:t>
      </w:r>
      <w:r>
        <w:t xml:space="preserve">· Liraglutide 3 mg on weight, body composition, and hormonal and metabolic parameters in women with obesity and polycystic ovary syndrome: a randomized placebo-controlled-phase 3 study. PMID 35710599</w:t>
      </w:r>
    </w:p>
    <w:p>
      <w:pPr>
        <w:numPr>
          <w:ilvl w:val="0"/>
          <w:numId w:val="1377"/>
        </w:numPr>
        <w:pStyle w:val="Compact"/>
      </w:pPr>
      <w:r>
        <w:t xml:space="preserve">2022 · Valenzuela-Vallejo L ·</w:t>
      </w:r>
      <w:r>
        <w:t xml:space="preserve"> </w:t>
      </w:r>
      <w:r>
        <w:rPr>
          <w:iCs/>
          <w:i/>
        </w:rPr>
        <w:t xml:space="preserve">Metabolism</w:t>
      </w:r>
      <w:r>
        <w:t xml:space="preserve"> </w:t>
      </w:r>
      <w:r>
        <w:t xml:space="preserve">· Circulating total and intact GDF-15 levels are not altered in response to weight loss induced by liraglutide or lorcaserin treatment in humans with obesity. PMID 35700837</w:t>
      </w:r>
    </w:p>
    <w:p>
      <w:pPr>
        <w:numPr>
          <w:ilvl w:val="0"/>
          <w:numId w:val="1377"/>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7"/>
        </w:numPr>
        <w:pStyle w:val="Compact"/>
      </w:pPr>
      <w:r>
        <w:t xml:space="preserve">2022 · Lerman JB ·</w:t>
      </w:r>
      <w:r>
        <w:t xml:space="preserve"> </w:t>
      </w:r>
      <w:r>
        <w:rPr>
          <w:iCs/>
          <w:i/>
        </w:rPr>
        <w:t xml:space="preserve">Sci Rep</w:t>
      </w:r>
      <w:r>
        <w:t xml:space="preserve"> </w:t>
      </w:r>
      <w:r>
        <w:t xml:space="preserve">· Plasma metabolites associated with functional and clinical outcomes in heart failure with reduced ejection fraction with and without type 2 diabetes. PMID 35654972</w:t>
      </w:r>
    </w:p>
    <w:p>
      <w:pPr>
        <w:numPr>
          <w:ilvl w:val="0"/>
          <w:numId w:val="1377"/>
        </w:numPr>
        <w:pStyle w:val="Compact"/>
      </w:pPr>
      <w:r>
        <w:t xml:space="preserve">2022 · Andersen E ·</w:t>
      </w:r>
      <w:r>
        <w:t xml:space="preserve"> </w:t>
      </w:r>
      <w:r>
        <w:rPr>
          <w:iCs/>
          <w:i/>
        </w:rPr>
        <w:t xml:space="preserve">Hum Reprod</w:t>
      </w:r>
      <w:r>
        <w:t xml:space="preserve"> </w:t>
      </w:r>
      <w:r>
        <w:t xml:space="preserve">· Sperm count is increased by diet-induced weight loss and maintained by exercise or GLP-1 analogue treatment: a randomized controlled trial. PMID 35580859</w:t>
      </w:r>
    </w:p>
    <w:p>
      <w:pPr>
        <w:numPr>
          <w:ilvl w:val="0"/>
          <w:numId w:val="1377"/>
        </w:numPr>
        <w:pStyle w:val="Compact"/>
      </w:pPr>
      <w:r>
        <w:t xml:space="preserve">2022 · Sivalingam S ·</w:t>
      </w:r>
      <w:r>
        <w:t xml:space="preserve"> </w:t>
      </w:r>
      <w:r>
        <w:rPr>
          <w:iCs/>
          <w:i/>
        </w:rPr>
        <w:t xml:space="preserve">Diabetes Obes Metab</w:t>
      </w:r>
      <w:r>
        <w:t xml:space="preserve"> </w:t>
      </w:r>
      <w:r>
        <w:t xml:space="preserve">· The effect of liraglutide on cardiac autonomic function in type 2 diabetes: A prespecified secondary analysis from the LIRAFLAME randomized, double-blinded, placebo-controlled trial. PMID 35415938</w:t>
      </w:r>
    </w:p>
    <w:p>
      <w:pPr>
        <w:numPr>
          <w:ilvl w:val="0"/>
          <w:numId w:val="1377"/>
        </w:numPr>
        <w:pStyle w:val="Compact"/>
      </w:pPr>
      <w:r>
        <w:t xml:space="preserve">2022 · Kawaguchi Y ·</w:t>
      </w:r>
      <w:r>
        <w:t xml:space="preserve"> </w:t>
      </w:r>
      <w:r>
        <w:rPr>
          <w:iCs/>
          <w:i/>
        </w:rPr>
        <w:t xml:space="preserve">Adv Ther</w:t>
      </w:r>
      <w:r>
        <w:t xml:space="preserve"> </w:t>
      </w:r>
      <w:r>
        <w:t xml:space="preserve">· Efficacy of IDegLira Versus IDegAsp Therapy in Patients with Type 2 Diabetes: A Randomized Crossover Study by isCGM. PMID 35403949</w:t>
      </w:r>
    </w:p>
    <w:p>
      <w:pPr>
        <w:numPr>
          <w:ilvl w:val="0"/>
          <w:numId w:val="1377"/>
        </w:numPr>
        <w:pStyle w:val="Compact"/>
      </w:pPr>
      <w:r>
        <w:t xml:space="preserve">2022 · Loganathan J ·</w:t>
      </w:r>
      <w:r>
        <w:t xml:space="preserve"> </w:t>
      </w:r>
      <w:r>
        <w:rPr>
          <w:iCs/>
          <w:i/>
        </w:rPr>
        <w:t xml:space="preserve">J Diabetes Complications</w:t>
      </w:r>
      <w:r>
        <w:t xml:space="preserve"> </w:t>
      </w:r>
      <w:r>
        <w:t xml:space="preserve">· A pilot clinical study to Evaluate Liraglutide-mediated Anti-platelet activity in patients with type-2 Diabetes (ELAID study). PMID 35382966</w:t>
      </w:r>
    </w:p>
    <w:p>
      <w:pPr>
        <w:numPr>
          <w:ilvl w:val="0"/>
          <w:numId w:val="1377"/>
        </w:numPr>
        <w:pStyle w:val="Compact"/>
      </w:pPr>
      <w:r>
        <w:t xml:space="preserve">2022 · Seino Y ·</w:t>
      </w:r>
      <w:r>
        <w:t xml:space="preserve"> </w:t>
      </w:r>
      <w:r>
        <w:rPr>
          <w:iCs/>
          <w:i/>
        </w:rPr>
        <w:t xml:space="preserve">J Diabetes Investig</w:t>
      </w:r>
      <w:r>
        <w:t xml:space="preserve"> </w:t>
      </w:r>
      <w:r>
        <w:t xml:space="preserve">· A randomized trial to investigate the efficacy and safety of once-daily liraglutide 1.8 mg in Japanese adults with type 2 diabetes exhibiting an inadequate response to liraglutide 0.9 mg. PMID 35285173</w:t>
      </w:r>
    </w:p>
    <w:p>
      <w:pPr>
        <w:numPr>
          <w:ilvl w:val="0"/>
          <w:numId w:val="1377"/>
        </w:numPr>
        <w:pStyle w:val="Compact"/>
      </w:pPr>
      <w:r>
        <w:t xml:space="preserve">2022 · Simeone P ·</w:t>
      </w:r>
      <w:r>
        <w:t xml:space="preserve"> </w:t>
      </w:r>
      <w:r>
        <w:rPr>
          <w:iCs/>
          <w:i/>
        </w:rPr>
        <w:t xml:space="preserve">Cardiovasc Diabetol</w:t>
      </w:r>
      <w:r>
        <w:t xml:space="preserve"> </w:t>
      </w:r>
      <w:r>
        <w:t xml:space="preserve">· Effects of liraglutide vs. lifestyle changes on soluble suppression of tumorigenesis-2 (sST2) and galectin-3 in obese subjects with prediabetes or type 2 diabetes after comparable weight loss. PMID 35277168</w:t>
      </w:r>
    </w:p>
    <w:p>
      <w:pPr>
        <w:numPr>
          <w:ilvl w:val="0"/>
          <w:numId w:val="1377"/>
        </w:numPr>
        <w:pStyle w:val="Compact"/>
      </w:pPr>
      <w:r>
        <w:t xml:space="preserve">2022 · Cheng H ·</w:t>
      </w:r>
      <w:r>
        <w:t xml:space="preserve"> </w:t>
      </w:r>
      <w:r>
        <w:rPr>
          <w:iCs/>
          <w:i/>
        </w:rPr>
        <w:t xml:space="preserve">Diabetes Care</w:t>
      </w:r>
      <w:r>
        <w:t xml:space="preserve"> </w:t>
      </w:r>
      <w:r>
        <w:t xml:space="preserve">· Enhancement of Impaired Olfactory Neural Activation and Cognitive Capacity by Liraglutide, but Not Dapagliflozin or Acarbose, in Patients With Type 2 Diabetes: A 16-Week Randomized Parallel Comparative Study. PMID 35263425</w:t>
      </w:r>
    </w:p>
    <w:p>
      <w:pPr>
        <w:numPr>
          <w:ilvl w:val="0"/>
          <w:numId w:val="1377"/>
        </w:numPr>
        <w:pStyle w:val="Compact"/>
      </w:pPr>
      <w:r>
        <w:t xml:space="preserve">2022 · Altintas Dogan AD ·</w:t>
      </w:r>
      <w:r>
        <w:t xml:space="preserve"> </w:t>
      </w:r>
      <w:r>
        <w:rPr>
          <w:iCs/>
          <w:i/>
        </w:rPr>
        <w:t xml:space="preserve">Int J Chron Obstruct Pulmon Dis</w:t>
      </w:r>
      <w:r>
        <w:t xml:space="preserve"> </w:t>
      </w:r>
      <w:r>
        <w:t xml:space="preserve">· Respiratory Effects of Treatment with a Glucagon-Like Peptide-1 Receptor Agonist in Patients Suffering from Obesity and Chronic Obstructive Pulmonary Disease. PMID 35237033</w:t>
      </w:r>
    </w:p>
    <w:p>
      <w:pPr>
        <w:numPr>
          <w:ilvl w:val="0"/>
          <w:numId w:val="1377"/>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7"/>
        </w:numPr>
        <w:pStyle w:val="Compact"/>
      </w:pPr>
      <w:r>
        <w:t xml:space="preserve">2022 · Westman K ·</w:t>
      </w:r>
      <w:r>
        <w:t xml:space="preserve"> </w:t>
      </w:r>
      <w:r>
        <w:rPr>
          <w:iCs/>
          <w:i/>
        </w:rPr>
        <w:t xml:space="preserve">J Diabetes Complications</w:t>
      </w:r>
      <w:r>
        <w:t xml:space="preserve"> </w:t>
      </w:r>
      <w:r>
        <w:t xml:space="preserve">· Effect of liraglutide on markers of insulin production in persons with type 2 diabetes treated with multiple daily insulin injections. PMID 35101325</w:t>
      </w:r>
    </w:p>
    <w:p>
      <w:pPr>
        <w:numPr>
          <w:ilvl w:val="0"/>
          <w:numId w:val="1377"/>
        </w:numPr>
        <w:pStyle w:val="Compact"/>
      </w:pPr>
      <w:r>
        <w:t xml:space="preserve">2022 · Takeshita Y ·</w:t>
      </w:r>
      <w:r>
        <w:t xml:space="preserve"> </w:t>
      </w:r>
      <w:r>
        <w:rPr>
          <w:iCs/>
          <w:i/>
        </w:rPr>
        <w:t xml:space="preserve">J Diabetes Investig</w:t>
      </w:r>
      <w:r>
        <w:t xml:space="preserve"> </w:t>
      </w:r>
      <w:r>
        <w:t xml:space="preserve">· Insulin-glucagon-like peptide-1 receptor agonist relay and glucagon-like peptide-1 receptor agonist first regimens in individuals with type 2 diabetes: A randomized, open-label trial study. PMID 35034428</w:t>
      </w:r>
    </w:p>
    <w:p>
      <w:pPr>
        <w:numPr>
          <w:ilvl w:val="0"/>
          <w:numId w:val="1377"/>
        </w:numPr>
        <w:pStyle w:val="Compact"/>
      </w:pPr>
      <w:r>
        <w:t xml:space="preserve">2022 · van Ruiten CC ·</w:t>
      </w:r>
      <w:r>
        <w:t xml:space="preserve"> </w:t>
      </w:r>
      <w:r>
        <w:rPr>
          <w:iCs/>
          <w:i/>
        </w:rPr>
        <w:t xml:space="preserve">Psychoneuroendocrinology</w:t>
      </w:r>
      <w:r>
        <w:t xml:space="preserve"> </w:t>
      </w:r>
      <w:r>
        <w:t xml:space="preserve">· Eating behavior modulates the sensitivity to the central effects of GLP-1 receptor agonist treatment: a secondary analysis of a randomized trial. PMID 35033928</w:t>
      </w:r>
    </w:p>
    <w:p>
      <w:pPr>
        <w:numPr>
          <w:ilvl w:val="0"/>
          <w:numId w:val="1377"/>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7"/>
        </w:numPr>
        <w:pStyle w:val="Compact"/>
      </w:pPr>
      <w:r>
        <w:t xml:space="preserve">2022 · Barnard-Kelly K ·</w:t>
      </w:r>
      <w:r>
        <w:t xml:space="preserve"> </w:t>
      </w:r>
      <w:r>
        <w:rPr>
          <w:iCs/>
          <w:i/>
        </w:rPr>
        <w:t xml:space="preserve">BMC Psychiatry</w:t>
      </w:r>
      <w:r>
        <w:t xml:space="preserve"> </w:t>
      </w:r>
      <w:r>
        <w:t xml:space="preserve">· Liraglutide and the management of overweight and obesity in people with severe mental illness: qualitative sub-study. PMID 34996406</w:t>
      </w:r>
    </w:p>
    <w:p>
      <w:pPr>
        <w:numPr>
          <w:ilvl w:val="0"/>
          <w:numId w:val="1377"/>
        </w:numPr>
        <w:pStyle w:val="Compact"/>
      </w:pPr>
      <w:r>
        <w:t xml:space="preserve">2022 · Arendt Nielsen T ·</w:t>
      </w:r>
      <w:r>
        <w:t xml:space="preserve"> </w:t>
      </w:r>
      <w:r>
        <w:rPr>
          <w:iCs/>
          <w:i/>
        </w:rPr>
        <w:t xml:space="preserve">J Ocul Pharmacol Ther</w:t>
      </w:r>
      <w:r>
        <w:t xml:space="preserve"> </w:t>
      </w:r>
      <w:r>
        <w:t xml:space="preserve">· Liraglutide Treatment Does Not Induce Changes in the Peripapillary Retinal Nerve Fiber Layer Thickness in Patients with Diabetic Retinopathy. PMID 34918951</w:t>
      </w:r>
    </w:p>
    <w:p>
      <w:pPr>
        <w:numPr>
          <w:ilvl w:val="0"/>
          <w:numId w:val="1377"/>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7"/>
        </w:numPr>
        <w:pStyle w:val="Compact"/>
      </w:pPr>
      <w:r>
        <w:t xml:space="preserve">2022 · Middleton TL ·</w:t>
      </w:r>
      <w:r>
        <w:t xml:space="preserve"> </w:t>
      </w:r>
      <w:r>
        <w:rPr>
          <w:iCs/>
          <w:i/>
        </w:rPr>
        <w:t xml:space="preserve">Diabetes Obes Metab</w:t>
      </w:r>
      <w:r>
        <w:t xml:space="preserve"> </w:t>
      </w:r>
      <w:r>
        <w:t xml:space="preserve">· Improving beta-cell secretory function and glycaemia in young-onset type 2 diabetes: A pilot, 12-month, randomized trial of a novel, continuous glucose monitor-guided, rapid treatment intensification strategy incorporating empagliflozin and liraglutide. PMID 34882926</w:t>
      </w:r>
    </w:p>
    <w:p>
      <w:pPr>
        <w:numPr>
          <w:ilvl w:val="0"/>
          <w:numId w:val="1377"/>
        </w:numPr>
        <w:pStyle w:val="Compact"/>
      </w:pPr>
      <w:r>
        <w:t xml:space="preserve">2022 · Liu H ·</w:t>
      </w:r>
      <w:r>
        <w:t xml:space="preserve"> </w:t>
      </w:r>
      <w:r>
        <w:rPr>
          <w:iCs/>
          <w:i/>
        </w:rPr>
        <w:t xml:space="preserve">J Diabetes Investig</w:t>
      </w:r>
      <w:r>
        <w:t xml:space="preserve"> </w:t>
      </w:r>
      <w:r>
        <w:t xml:space="preserve">· Preserved pharmacokinetics and pharmacodynamics of insulin degludec and liraglutide when administered as insulin degludec/liraglutide in a Chinese population. PMID 34797962</w:t>
      </w:r>
    </w:p>
    <w:p>
      <w:pPr>
        <w:numPr>
          <w:ilvl w:val="0"/>
          <w:numId w:val="1377"/>
        </w:numPr>
        <w:pStyle w:val="Compact"/>
      </w:pPr>
      <w:r>
        <w:t xml:space="preserve">2022 · López-Cano C ·</w:t>
      </w:r>
      <w:r>
        <w:t xml:space="preserve"> </w:t>
      </w:r>
      <w:r>
        <w:rPr>
          <w:iCs/>
          <w:i/>
        </w:rPr>
        <w:t xml:space="preserve">Diabetes</w:t>
      </w:r>
      <w:r>
        <w:t xml:space="preserve"> </w:t>
      </w:r>
      <w:r>
        <w:t xml:space="preserve">· Liraglutide Improves Forced Vital Capacity in Individuals With Type 2 Diabetes: Data From the Randomized Crossover LIRALUNG Study. PMID 34737187</w:t>
      </w:r>
    </w:p>
    <w:p>
      <w:pPr>
        <w:numPr>
          <w:ilvl w:val="0"/>
          <w:numId w:val="1377"/>
        </w:numPr>
        <w:pStyle w:val="Compact"/>
      </w:pPr>
      <w:r>
        <w:t xml:space="preserve">2022 · Heller SR ·</w:t>
      </w:r>
      <w:r>
        <w:t xml:space="preserve"> </w:t>
      </w:r>
      <w:r>
        <w:rPr>
          <w:iCs/>
          <w:i/>
        </w:rPr>
        <w:t xml:space="preserve">Diabetologia</w:t>
      </w:r>
      <w:r>
        <w:t xml:space="preserve"> </w:t>
      </w:r>
      <w:r>
        <w:t xml:space="preserve">· A higher non-severe hypoglycaemia rate is associated with an increased risk of subsequent severe hypoglycaemia and major adverse cardiovascular events in individuals with type 2 diabetes in the LEADER study. PMID 34704120</w:t>
      </w:r>
    </w:p>
    <w:p>
      <w:pPr>
        <w:numPr>
          <w:ilvl w:val="0"/>
          <w:numId w:val="1377"/>
        </w:numPr>
        <w:pStyle w:val="Compact"/>
      </w:pPr>
      <w:r>
        <w:t xml:space="preserve">2022 · Unger J ·</w:t>
      </w:r>
      <w:r>
        <w:t xml:space="preserve"> </w:t>
      </w:r>
      <w:r>
        <w:rPr>
          <w:iCs/>
          <w:i/>
        </w:rPr>
        <w:t xml:space="preserve">Diabetes Obes Metab</w:t>
      </w:r>
      <w:r>
        <w:t xml:space="preserve"> </w:t>
      </w:r>
      <w:r>
        <w:t xml:space="preserve">· Maintenance of glycaemic control with liraglutide versus oral antidiabetic drugs as add-on therapies in patients with type 2 diabetes uncontrolled with metformin alone: A randomized clinical trial in primary care (LIRA-PRIME). PMID 34622567</w:t>
      </w:r>
    </w:p>
    <w:p>
      <w:pPr>
        <w:numPr>
          <w:ilvl w:val="0"/>
          <w:numId w:val="1377"/>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7"/>
        </w:numPr>
        <w:pStyle w:val="Compact"/>
      </w:pPr>
      <w:r>
        <w:t xml:space="preserve">2022 · Schmidt S ·</w:t>
      </w:r>
      <w:r>
        <w:t xml:space="preserve"> </w:t>
      </w:r>
      <w:r>
        <w:rPr>
          <w:iCs/>
          <w:i/>
        </w:rPr>
        <w:t xml:space="preserve">Diabetes Obes Metab</w:t>
      </w:r>
      <w:r>
        <w:t xml:space="preserve"> </w:t>
      </w:r>
      <w:r>
        <w:t xml:space="preserve">· Liraglutide changes body composition and lowers added sugar intake in overweight persons with insulin pump-treated type 1 diabetes. PMID 34595827</w:t>
      </w:r>
    </w:p>
    <w:p>
      <w:pPr>
        <w:numPr>
          <w:ilvl w:val="0"/>
          <w:numId w:val="1377"/>
        </w:numPr>
        <w:pStyle w:val="Compact"/>
      </w:pPr>
      <w:r>
        <w:t xml:space="preserve">2022 · Møller M ·</w:t>
      </w:r>
      <w:r>
        <w:t xml:space="preserve"> </w:t>
      </w:r>
      <w:r>
        <w:rPr>
          <w:iCs/>
          <w:i/>
        </w:rPr>
        <w:t xml:space="preserve">CNS Spectr</w:t>
      </w:r>
      <w:r>
        <w:t xml:space="preserve"> </w:t>
      </w:r>
      <w:r>
        <w:t xml:space="preserve">· Proinflammatory biomarkers are associated with prediabetes in patients with schizophrenia. PMID 33308348</w:t>
      </w:r>
    </w:p>
    <w:p>
      <w:pPr>
        <w:numPr>
          <w:ilvl w:val="0"/>
          <w:numId w:val="1377"/>
        </w:numPr>
        <w:pStyle w:val="Compact"/>
      </w:pPr>
      <w:r>
        <w:t xml:space="preserve">2022 · Lin L ·</w:t>
      </w:r>
      <w:r>
        <w:t xml:space="preserve"> </w:t>
      </w:r>
      <w:r>
        <w:rPr>
          <w:iCs/>
          <w:i/>
        </w:rPr>
        <w:t xml:space="preserve">J Dermatolog Treat</w:t>
      </w:r>
      <w:r>
        <w:t xml:space="preserve"> </w:t>
      </w:r>
      <w:r>
        <w:t xml:space="preserve">· Glucagon-like peptide-1 receptor agonist liraglutide therapy for psoriasis patients with type 2 diabetes: a randomized-controlled trial. PMID 32962477</w:t>
      </w:r>
    </w:p>
    <w:p>
      <w:pPr>
        <w:numPr>
          <w:ilvl w:val="0"/>
          <w:numId w:val="1377"/>
        </w:numPr>
        <w:pStyle w:val="Compact"/>
      </w:pPr>
      <w:r>
        <w:t xml:space="preserve">2021 · Jendle J ·</w:t>
      </w:r>
      <w:r>
        <w:t xml:space="preserve"> </w:t>
      </w:r>
      <w:r>
        <w:rPr>
          <w:iCs/>
          <w:i/>
        </w:rPr>
        <w:t xml:space="preserve">Cardiovasc Diabetol</w:t>
      </w:r>
      <w:r>
        <w:t xml:space="preserve"> </w:t>
      </w:r>
      <w:r>
        <w:t xml:space="preserve">· Pharmacometabolomic profiles in type 2 diabetic subjects treated with liraglutide or glimepiride. PMID 34920733</w:t>
      </w:r>
    </w:p>
    <w:p>
      <w:pPr>
        <w:numPr>
          <w:ilvl w:val="0"/>
          <w:numId w:val="1377"/>
        </w:numPr>
        <w:pStyle w:val="Compact"/>
      </w:pPr>
      <w:r>
        <w:t xml:space="preserve">2021 · Jensen JK ·</w:t>
      </w:r>
      <w:r>
        <w:t xml:space="preserve"> </w:t>
      </w:r>
      <w:r>
        <w:rPr>
          <w:iCs/>
          <w:i/>
        </w:rPr>
        <w:t xml:space="preserve">Front Endocrinol (Lausanne)</w:t>
      </w:r>
      <w:r>
        <w:t xml:space="preserve"> </w:t>
      </w:r>
      <w:r>
        <w:t xml:space="preserve">· Effect of 26 Weeks of Liraglutide Treatment on Coronary Artery Inflammation in Type 2 Diabetes Quantified by [(64)Cu]Cu-DOTATATE PET/CT: Results from the LIRAFLAME Trial. PMID 34917038</w:t>
      </w:r>
    </w:p>
    <w:p>
      <w:pPr>
        <w:numPr>
          <w:ilvl w:val="0"/>
          <w:numId w:val="1377"/>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77"/>
        </w:numPr>
        <w:pStyle w:val="Compact"/>
      </w:pPr>
      <w:r>
        <w:t xml:space="preserve">2021 · Yu DN ·</w:t>
      </w:r>
      <w:r>
        <w:t xml:space="preserve"> </w:t>
      </w:r>
      <w:r>
        <w:rPr>
          <w:iCs/>
          <w:i/>
        </w:rPr>
        <w:t xml:space="preserve">Zhonghua Nei Ke Za Zhi</w:t>
      </w:r>
      <w:r>
        <w:t xml:space="preserve"> </w:t>
      </w:r>
      <w:r>
        <w:t xml:space="preserve">· [The effects of liraglutide on body composition and muscle strength in adult obese patients with type 2 diabetes mellitus]. PMID 34689519</w:t>
      </w:r>
    </w:p>
    <w:p>
      <w:pPr>
        <w:numPr>
          <w:ilvl w:val="0"/>
          <w:numId w:val="1377"/>
        </w:numPr>
        <w:pStyle w:val="Compact"/>
      </w:pPr>
      <w:r>
        <w:t xml:space="preserve">2021 · Zobel EH ·</w:t>
      </w:r>
      <w:r>
        <w:t xml:space="preserve"> </w:t>
      </w:r>
      <w:r>
        <w:rPr>
          <w:iCs/>
          <w:i/>
        </w:rPr>
        <w:t xml:space="preserve">Sci Rep</w:t>
      </w:r>
      <w:r>
        <w:t xml:space="preserve"> </w:t>
      </w:r>
      <w:r>
        <w:t xml:space="preserve">· Effect of liraglutide on expression of inflammatory genes in type 2 diabetes. PMID 34535716</w:t>
      </w:r>
    </w:p>
    <w:p>
      <w:pPr>
        <w:numPr>
          <w:ilvl w:val="0"/>
          <w:numId w:val="1377"/>
        </w:numPr>
        <w:pStyle w:val="Compact"/>
      </w:pPr>
      <w:r>
        <w:t xml:space="preserve">2021 · Zobel EH ·</w:t>
      </w:r>
      <w:r>
        <w:t xml:space="preserve"> </w:t>
      </w:r>
      <w:r>
        <w:rPr>
          <w:iCs/>
          <w:i/>
        </w:rPr>
        <w:t xml:space="preserve">BMJ Open Diabetes Res Care</w:t>
      </w:r>
      <w:r>
        <w:t xml:space="preserve"> </w:t>
      </w:r>
      <w:r>
        <w:t xml:space="preserve">· Ceramides and phospholipids are downregulated with liraglutide treatment: results from the LiraFlame randomized controlled trial. PMID 34518158</w:t>
      </w:r>
    </w:p>
    <w:p>
      <w:pPr>
        <w:numPr>
          <w:ilvl w:val="0"/>
          <w:numId w:val="1377"/>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7"/>
        </w:numPr>
        <w:pStyle w:val="Compact"/>
      </w:pPr>
      <w:r>
        <w:t xml:space="preserve">2021 · Dejgaard TF ·</w:t>
      </w:r>
      <w:r>
        <w:t xml:space="preserve"> </w:t>
      </w:r>
      <w:r>
        <w:rPr>
          <w:iCs/>
          <w:i/>
        </w:rPr>
        <w:t xml:space="preserve">Diabetes Obes Metab</w:t>
      </w:r>
      <w:r>
        <w:t xml:space="preserve"> </w:t>
      </w:r>
      <w:r>
        <w:t xml:space="preserve">· Efficacy and safety of liraglutide in type 1 diabetes by baseline characteristics in the ADJUNCT ONE and ADJUNCT TWO randomized controlled trials. PMID 34463425</w:t>
      </w:r>
    </w:p>
    <w:p>
      <w:pPr>
        <w:numPr>
          <w:ilvl w:val="0"/>
          <w:numId w:val="1377"/>
        </w:numPr>
        <w:pStyle w:val="Compact"/>
      </w:pPr>
      <w:r>
        <w:t xml:space="preserve">2021 · Pei Y ·</w:t>
      </w:r>
      <w:r>
        <w:t xml:space="preserve"> </w:t>
      </w:r>
      <w:r>
        <w:rPr>
          <w:iCs/>
          <w:i/>
        </w:rPr>
        <w:t xml:space="preserve">Diabetes Obes Metab</w:t>
      </w:r>
      <w:r>
        <w:t xml:space="preserve"> </w:t>
      </w:r>
      <w:r>
        <w:t xml:space="preserve">· DUAL II China: Superior HbA1c reductions and weight loss with insulin degludec/liraglutide (IDegLira) versus insulin degludec in a randomized trial of Chinese people with type 2 diabetes inadequately controlled on basal insulin. PMID 34387411</w:t>
      </w:r>
    </w:p>
    <w:p>
      <w:pPr>
        <w:numPr>
          <w:ilvl w:val="0"/>
          <w:numId w:val="1377"/>
        </w:numPr>
        <w:pStyle w:val="Compact"/>
      </w:pPr>
      <w:r>
        <w:t xml:space="preserve">2021 · Rasmussen IKB ·</w:t>
      </w:r>
      <w:r>
        <w:t xml:space="preserve"> </w:t>
      </w:r>
      <w:r>
        <w:rPr>
          <w:iCs/>
          <w:i/>
        </w:rPr>
        <w:t xml:space="preserve">Diabetes Obes Metab</w:t>
      </w:r>
      <w:r>
        <w:t xml:space="preserve"> </w:t>
      </w:r>
      <w:r>
        <w:t xml:space="preserve">· Liraglutide reduces cardiac adipose tissue in type 2 diabetes: A secondary analysis of the LIRAFLAME randomized placebo-controlled trial. PMID 34387408</w:t>
      </w:r>
    </w:p>
    <w:p>
      <w:pPr>
        <w:numPr>
          <w:ilvl w:val="0"/>
          <w:numId w:val="1377"/>
        </w:numPr>
        <w:pStyle w:val="Compact"/>
      </w:pPr>
      <w:r>
        <w:t xml:space="preserve">2021 · Neeland IJ ·</w:t>
      </w:r>
      <w:r>
        <w:t xml:space="preserve"> </w:t>
      </w:r>
      <w:r>
        <w:rPr>
          <w:iCs/>
          <w:i/>
        </w:rPr>
        <w:t xml:space="preserve">Lancet Diabetes Endocrinol</w:t>
      </w:r>
      <w:r>
        <w:t xml:space="preserve"> </w:t>
      </w:r>
      <w:r>
        <w:t xml:space="preserve">· Effects of liraglutide on visceral and ectopic fat in adults with overweight and obesity at high cardiovascular risk: a randomised, double-blind, placebo-controlled, clinical trial. PMID 34358471</w:t>
      </w:r>
    </w:p>
    <w:p>
      <w:pPr>
        <w:numPr>
          <w:ilvl w:val="0"/>
          <w:numId w:val="1377"/>
        </w:numPr>
        <w:pStyle w:val="Compact"/>
      </w:pPr>
      <w:r>
        <w:t xml:space="preserve">2021 · Samson SL ·</w:t>
      </w:r>
      <w:r>
        <w:t xml:space="preserve"> </w:t>
      </w:r>
      <w:r>
        <w:rPr>
          <w:iCs/>
          <w:i/>
        </w:rPr>
        <w:t xml:space="preserve">Pituitary</w:t>
      </w:r>
      <w:r>
        <w:t xml:space="preserve"> </w:t>
      </w:r>
      <w:r>
        <w:t xml:space="preserve">· Managing pasireotide-associated hyperglycemia: a randomized, open-label, Phase IV study. PMID 34275099</w:t>
      </w:r>
    </w:p>
    <w:p>
      <w:pPr>
        <w:numPr>
          <w:ilvl w:val="0"/>
          <w:numId w:val="1377"/>
        </w:numPr>
        <w:pStyle w:val="Compact"/>
      </w:pPr>
      <w:r>
        <w:t xml:space="preserve">2021 · Pantalone KM ·</w:t>
      </w:r>
      <w:r>
        <w:t xml:space="preserve"> </w:t>
      </w:r>
      <w:r>
        <w:rPr>
          <w:iCs/>
          <w:i/>
        </w:rPr>
        <w:t xml:space="preserve">JAMA Netw Open</w:t>
      </w:r>
      <w:r>
        <w:t xml:space="preserve"> </w:t>
      </w:r>
      <w:r>
        <w:t xml:space="preserve">· Effectiveness of Combining Antiobesity Medication With an Employer-Based Weight Management Program for Treatment of Obesity: A Randomized Clinical Trial. PMID 34255049</w:t>
      </w:r>
    </w:p>
    <w:p>
      <w:pPr>
        <w:numPr>
          <w:ilvl w:val="0"/>
          <w:numId w:val="1377"/>
        </w:numPr>
        <w:pStyle w:val="Compact"/>
      </w:pPr>
      <w:r>
        <w:t xml:space="preserve">2021 · Li Q ·</w:t>
      </w:r>
      <w:r>
        <w:t xml:space="preserve"> </w:t>
      </w:r>
      <w:r>
        <w:rPr>
          <w:iCs/>
          <w:i/>
        </w:rPr>
        <w:t xml:space="preserve">J Am Heart Assoc</w:t>
      </w:r>
      <w:r>
        <w:t xml:space="preserve"> </w:t>
      </w:r>
      <w:r>
        <w:t xml:space="preserve">· Activation of Glucagon-Like Peptide-1 Receptor Ameliorates Cognitive Decline in Type 2 Diabetes Mellitus Through a Metabolism-Independent Pathway. PMID 34250817</w:t>
      </w:r>
    </w:p>
    <w:p>
      <w:pPr>
        <w:numPr>
          <w:ilvl w:val="0"/>
          <w:numId w:val="1377"/>
        </w:numPr>
        <w:pStyle w:val="Compact"/>
      </w:pPr>
      <w:r>
        <w:t xml:space="preserve">2021 · Quast DR ·</w:t>
      </w:r>
      <w:r>
        <w:t xml:space="preserve"> </w:t>
      </w:r>
      <w:r>
        <w:rPr>
          <w:iCs/>
          <w:i/>
        </w:rPr>
        <w:t xml:space="preserve">Diabetes Obes Metab</w:t>
      </w:r>
      <w:r>
        <w:t xml:space="preserve"> </w:t>
      </w:r>
      <w:r>
        <w:t xml:space="preserve">· Macronutrient intake, appetite, food preferences and exocrine pancreas function after treatment with short- and long-acting glucagon-like peptide-1 receptor agonists in type 2 diabetes. PMID 34189834</w:t>
      </w:r>
    </w:p>
    <w:p>
      <w:pPr>
        <w:numPr>
          <w:ilvl w:val="0"/>
          <w:numId w:val="1377"/>
        </w:numPr>
        <w:pStyle w:val="Compact"/>
      </w:pPr>
      <w:r>
        <w:t xml:space="preserve">2021 · Bojer AS ·</w:t>
      </w:r>
      <w:r>
        <w:t xml:space="preserve"> </w:t>
      </w:r>
      <w:r>
        <w:rPr>
          <w:iCs/>
          <w:i/>
        </w:rPr>
        <w:t xml:space="preserve">Diabetes Obes Metab</w:t>
      </w:r>
      <w:r>
        <w:t xml:space="preserve"> </w:t>
      </w:r>
      <w:r>
        <w:t xml:space="preserve">· Metabolic improvement with short-term, glucagon-like peptide-1 receptor agonist treatment does not improve cardiac diastolic dysfunction in patients with type 2 diabetes: A randomized, double-blind, placebo-controlled trial. PMID 34189832</w:t>
      </w:r>
    </w:p>
    <w:p>
      <w:pPr>
        <w:numPr>
          <w:ilvl w:val="0"/>
          <w:numId w:val="1377"/>
        </w:numPr>
        <w:pStyle w:val="Compact"/>
      </w:pPr>
      <w:r>
        <w:t xml:space="preserve">2021 · Ripa RS ·</w:t>
      </w:r>
      <w:r>
        <w:t xml:space="preserve"> </w:t>
      </w:r>
      <w:r>
        <w:rPr>
          <w:iCs/>
          <w:i/>
        </w:rPr>
        <w:t xml:space="preserve">Circ Cardiovasc Imaging</w:t>
      </w:r>
      <w:r>
        <w:t xml:space="preserve"> </w:t>
      </w:r>
      <w:r>
        <w:t xml:space="preserve">· Effect of Liraglutide on Arterial Inflammation Assessed as [(18)F]FDG Uptake in Patients With Type 2 Diabetes: A Randomized, Double-Blind, Placebo-Controlled Trial. PMID 34187185</w:t>
      </w:r>
    </w:p>
    <w:p>
      <w:pPr>
        <w:numPr>
          <w:ilvl w:val="0"/>
          <w:numId w:val="1377"/>
        </w:numPr>
        <w:pStyle w:val="Compact"/>
      </w:pPr>
      <w:r>
        <w:t xml:space="preserve">2021 · Hompesch M ·</w:t>
      </w:r>
      <w:r>
        <w:t xml:space="preserve"> </w:t>
      </w:r>
      <w:r>
        <w:rPr>
          <w:iCs/>
          <w:i/>
        </w:rPr>
        <w:t xml:space="preserve">BMJ Open Diabetes Res Care</w:t>
      </w:r>
      <w:r>
        <w:t xml:space="preserve"> </w:t>
      </w:r>
      <w:r>
        <w:t xml:space="preserve">· Effects of efpeglenatide versus liraglutide on gastric emptying, glucose metabolism and beta-cell function in people with type 2 diabetes: an exploratory, randomized phase Ib study. PMID 34172436</w:t>
      </w:r>
    </w:p>
    <w:p>
      <w:pPr>
        <w:numPr>
          <w:ilvl w:val="0"/>
          <w:numId w:val="1377"/>
        </w:numPr>
        <w:pStyle w:val="Compact"/>
      </w:pPr>
      <w:r>
        <w:t xml:space="preserve">2021 · Kahn SE ·</w:t>
      </w:r>
      <w:r>
        <w:t xml:space="preserve"> </w:t>
      </w:r>
      <w:r>
        <w:rPr>
          <w:iCs/>
          <w:i/>
        </w:rPr>
        <w:t xml:space="preserve">Diabetes Care</w:t>
      </w:r>
      <w:r>
        <w:t xml:space="preserve"> </w:t>
      </w:r>
      <w:r>
        <w:t xml:space="preserve">· Effect of Medical and Surgical Interventions on α-Cell Function in Dysglycemic Youth and Adults in the RISE Study. PMID 34135015</w:t>
      </w:r>
    </w:p>
    <w:p>
      <w:pPr>
        <w:numPr>
          <w:ilvl w:val="0"/>
          <w:numId w:val="1377"/>
        </w:numPr>
        <w:pStyle w:val="Compact"/>
      </w:pPr>
      <w:r>
        <w:t xml:space="preserve">2021 · Blonde L ·</w:t>
      </w:r>
      <w:r>
        <w:t xml:space="preserve"> </w:t>
      </w:r>
      <w:r>
        <w:rPr>
          <w:iCs/>
          <w:i/>
        </w:rPr>
        <w:t xml:space="preserve">Diabetes Obes Metab</w:t>
      </w:r>
      <w:r>
        <w:t xml:space="preserve"> </w:t>
      </w:r>
      <w:r>
        <w:t xml:space="preserve">· Efficacy of liraglutide added to sodium-glucose cotransporter-2 inhibitors in type 2 diabetes, stratified by baseline characteristics: Post-hoc analysis of LIRA-ADD2SGLT2i. PMID 34132018</w:t>
      </w:r>
    </w:p>
    <w:p>
      <w:pPr>
        <w:numPr>
          <w:ilvl w:val="0"/>
          <w:numId w:val="1377"/>
        </w:numPr>
        <w:pStyle w:val="Compact"/>
      </w:pPr>
      <w:r>
        <w:t xml:space="preserve">2021 · Sam S ·</w:t>
      </w:r>
      <w:r>
        <w:t xml:space="preserve"> </w:t>
      </w:r>
      <w:r>
        <w:rPr>
          <w:iCs/>
          <w:i/>
        </w:rPr>
        <w:t xml:space="preserve">Diabetes Care</w:t>
      </w:r>
      <w:r>
        <w:t xml:space="preserve"> </w:t>
      </w:r>
      <w:r>
        <w:t xml:space="preserve">· Baseline Predictors of Glycemic Worsening in Youth and Adults With Impaired Glucose Tolerance or Recently Diagnosed Type 2 Diabetes in the Restoring Insulin Secretion (RISE) Study. PMID 34131048</w:t>
      </w:r>
    </w:p>
    <w:p>
      <w:pPr>
        <w:numPr>
          <w:ilvl w:val="0"/>
          <w:numId w:val="1377"/>
        </w:numPr>
        <w:pStyle w:val="Compact"/>
      </w:pPr>
      <w:r>
        <w:t xml:space="preserve">2021 · Sharma A ·</w:t>
      </w:r>
      <w:r>
        <w:t xml:space="preserve"> </w:t>
      </w:r>
      <w:r>
        <w:rPr>
          <w:iCs/>
          <w:i/>
        </w:rPr>
        <w:t xml:space="preserve">ESC Heart Fail</w:t>
      </w:r>
      <w:r>
        <w:t xml:space="preserve"> </w:t>
      </w:r>
      <w:r>
        <w:t xml:space="preserve">· Growth differentiation factor-15, treatment with liraglutide, and clinical outcomes among patients with heart failure. PMID 34061470</w:t>
      </w:r>
    </w:p>
    <w:p>
      <w:pPr>
        <w:numPr>
          <w:ilvl w:val="0"/>
          <w:numId w:val="1377"/>
        </w:numPr>
        <w:pStyle w:val="Compact"/>
      </w:pPr>
      <w:r>
        <w:t xml:space="preserve">2021 · Nahra R ·</w:t>
      </w:r>
      <w:r>
        <w:t xml:space="preserve"> </w:t>
      </w:r>
      <w:r>
        <w:rPr>
          <w:iCs/>
          <w:i/>
        </w:rPr>
        <w:t xml:space="preserve">Diabetes Care</w:t>
      </w:r>
      <w:r>
        <w:t xml:space="preserve"> </w:t>
      </w:r>
      <w:r>
        <w:t xml:space="preserve">· Effects of Cotadutide on Metabolic and Hepatic Parameters in Adults With Overweight or Obesity and Type 2 Diabetes: A 54-Week Randomized Phase 2b Study. PMID 34016612</w:t>
      </w:r>
    </w:p>
    <w:p>
      <w:pPr>
        <w:numPr>
          <w:ilvl w:val="0"/>
          <w:numId w:val="1377"/>
        </w:numPr>
        <w:pStyle w:val="Compact"/>
      </w:pPr>
      <w:r>
        <w:t xml:space="preserve">2021 · Sivalingam S ·</w:t>
      </w:r>
      <w:r>
        <w:t xml:space="preserve"> </w:t>
      </w:r>
      <w:r>
        <w:rPr>
          <w:iCs/>
          <w:i/>
        </w:rPr>
        <w:t xml:space="preserve">Sci Rep</w:t>
      </w:r>
      <w:r>
        <w:t xml:space="preserve"> </w:t>
      </w:r>
      <w:r>
        <w:t xml:space="preserve">· The effect of liraglutide and sitagliptin on oxidative stress in persons with type 2 diabetes. PMID 34012064</w:t>
      </w:r>
    </w:p>
    <w:p>
      <w:pPr>
        <w:numPr>
          <w:ilvl w:val="0"/>
          <w:numId w:val="1377"/>
        </w:numPr>
        <w:pStyle w:val="Compact"/>
      </w:pPr>
      <w:r>
        <w:t xml:space="preserve">2021 · Brooks-Worrell BM ·</w:t>
      </w:r>
      <w:r>
        <w:t xml:space="preserve"> </w:t>
      </w:r>
      <w:r>
        <w:rPr>
          <w:iCs/>
          <w:i/>
        </w:rPr>
        <w:t xml:space="preserve">Front Immunol</w:t>
      </w:r>
      <w:r>
        <w:t xml:space="preserve"> </w:t>
      </w:r>
      <w:r>
        <w:t xml:space="preserve">· Islet Autoimmunity in Adults With Impaired Glucose Tolerance and Recently Diagnosed, Treatment Naïve Type 2 Diabetes in the Restoring Insulin SEcretion (RISE) Study. PMID 33981301</w:t>
      </w:r>
    </w:p>
    <w:p>
      <w:pPr>
        <w:numPr>
          <w:ilvl w:val="0"/>
          <w:numId w:val="1377"/>
        </w:numPr>
        <w:pStyle w:val="Compact"/>
      </w:pPr>
      <w:r>
        <w:t xml:space="preserve">2021 · Lundgren JR ·</w:t>
      </w:r>
      <w:r>
        <w:t xml:space="preserve"> </w:t>
      </w:r>
      <w:r>
        <w:rPr>
          <w:iCs/>
          <w:i/>
        </w:rPr>
        <w:t xml:space="preserve">N Engl J Med</w:t>
      </w:r>
      <w:r>
        <w:t xml:space="preserve"> </w:t>
      </w:r>
      <w:r>
        <w:t xml:space="preserve">· Healthy Weight Loss Maintenance with Exercise, Liraglutide, or Both Combined. PMID 33951361</w:t>
      </w:r>
    </w:p>
    <w:p>
      <w:pPr>
        <w:numPr>
          <w:ilvl w:val="0"/>
          <w:numId w:val="1377"/>
        </w:numPr>
        <w:pStyle w:val="Compact"/>
      </w:pPr>
      <w:r>
        <w:t xml:space="preserve">2021 · Schiavon M ·</w:t>
      </w:r>
      <w:r>
        <w:t xml:space="preserve"> </w:t>
      </w:r>
      <w:r>
        <w:rPr>
          <w:iCs/>
          <w:i/>
        </w:rPr>
        <w:t xml:space="preserve">Diabetes Obes Metab</w:t>
      </w:r>
      <w:r>
        <w:t xml:space="preserve"> </w:t>
      </w:r>
      <w:r>
        <w:t xml:space="preserve">· Improved postprandial glucose metabolism in type 2 diabetes by the dual glucagon-like peptide-1/glucagon receptor agonist SAR425899 in comparison with liraglutide. PMID 33822469</w:t>
      </w:r>
    </w:p>
    <w:p>
      <w:pPr>
        <w:numPr>
          <w:ilvl w:val="0"/>
          <w:numId w:val="1377"/>
        </w:numPr>
        <w:pStyle w:val="Compact"/>
      </w:pPr>
      <w:r>
        <w:t xml:space="preserve">2021 · von Herrath M ·</w:t>
      </w:r>
      <w:r>
        <w:t xml:space="preserve"> </w:t>
      </w:r>
      <w:r>
        <w:rPr>
          <w:iCs/>
          <w:i/>
        </w:rPr>
        <w:t xml:space="preserve">Lancet Diabetes Endocrinol</w:t>
      </w:r>
      <w:r>
        <w:t xml:space="preserve"> </w:t>
      </w:r>
      <w:r>
        <w:t xml:space="preserve">· Anti-interleukin-21 antibody and liraglutide for the preservation of β-cell function in adults with recent-onset type 1 diabetes: a randomised, double-blind, placebo-controlled, phase 2 trial. PMID 33662334</w:t>
      </w:r>
    </w:p>
    <w:p>
      <w:pPr>
        <w:numPr>
          <w:ilvl w:val="0"/>
          <w:numId w:val="1377"/>
        </w:numPr>
        <w:pStyle w:val="Compact"/>
      </w:pPr>
      <w:r>
        <w:t xml:space="preserve">2021 · Ando Y ·</w:t>
      </w:r>
      <w:r>
        <w:t xml:space="preserve"> </w:t>
      </w:r>
      <w:r>
        <w:rPr>
          <w:iCs/>
          <w:i/>
        </w:rPr>
        <w:t xml:space="preserve">J Diabetes Investig</w:t>
      </w:r>
      <w:r>
        <w:t xml:space="preserve"> </w:t>
      </w:r>
      <w:r>
        <w:t xml:space="preserve">· Simplification of complex insulin regimens using canagliflozin or liraglutide in patients with well-controlled type 2 diabetes: A 24-week randomized controlled trial. PMID 33650779</w:t>
      </w:r>
    </w:p>
    <w:p>
      <w:pPr>
        <w:numPr>
          <w:ilvl w:val="0"/>
          <w:numId w:val="1377"/>
        </w:numPr>
        <w:pStyle w:val="Compact"/>
      </w:pPr>
      <w:r>
        <w:t xml:space="preserve">2021 · Bensignor MO ·</w:t>
      </w:r>
      <w:r>
        <w:t xml:space="preserve"> </w:t>
      </w:r>
      <w:r>
        <w:rPr>
          <w:iCs/>
          <w:i/>
        </w:rPr>
        <w:t xml:space="preserve">Pediatr Obes</w:t>
      </w:r>
      <w:r>
        <w:t xml:space="preserve"> </w:t>
      </w:r>
      <w:r>
        <w:t xml:space="preserve">· Effect of liraglutide treatment on body mass index and weight parameters in children and adolescents with type 2 diabetes: Post hoc analysis of the ellipse trial. PMID 33634589</w:t>
      </w:r>
    </w:p>
    <w:p>
      <w:pPr>
        <w:numPr>
          <w:ilvl w:val="0"/>
          <w:numId w:val="1377"/>
        </w:numPr>
        <w:pStyle w:val="Compact"/>
      </w:pPr>
      <w:r>
        <w:t xml:space="preserve">2021 · Wegeberg AM ·</w:t>
      </w:r>
      <w:r>
        <w:t xml:space="preserve"> </w:t>
      </w:r>
      <w:r>
        <w:rPr>
          <w:iCs/>
          <w:i/>
        </w:rPr>
        <w:t xml:space="preserve">Basic Clin Pharmacol Toxicol</w:t>
      </w:r>
      <w:r>
        <w:t xml:space="preserve"> </w:t>
      </w:r>
      <w:r>
        <w:t xml:space="preserve">· Subcutaneous adipose tissue composition and function are unaffected by liraglutide-induced weight loss in adults with type 1 diabetes. PMID 33624417</w:t>
      </w:r>
    </w:p>
    <w:p>
      <w:pPr>
        <w:numPr>
          <w:ilvl w:val="0"/>
          <w:numId w:val="1377"/>
        </w:numPr>
        <w:pStyle w:val="Compact"/>
      </w:pPr>
      <w:r>
        <w:t xml:space="preserve">2021 · Pasquel FJ ·</w:t>
      </w:r>
      <w:r>
        <w:t xml:space="preserve"> </w:t>
      </w:r>
      <w:r>
        <w:rPr>
          <w:iCs/>
          <w:i/>
        </w:rPr>
        <w:t xml:space="preserve">Diabetes Obes Metab</w:t>
      </w:r>
      <w:r>
        <w:t xml:space="preserve"> </w:t>
      </w:r>
      <w:r>
        <w:t xml:space="preserve">· Liraglutide hospital discharge trial: A randomized controlled trial comparing the safety and efficacy of liraglutide versus insulin glargine for the management of patients with type 2 diabetes after hospital discharge. PMID 33591621</w:t>
      </w:r>
    </w:p>
    <w:p>
      <w:pPr>
        <w:numPr>
          <w:ilvl w:val="0"/>
          <w:numId w:val="1377"/>
        </w:numPr>
        <w:pStyle w:val="Compact"/>
      </w:pPr>
      <w:r>
        <w:t xml:space="preserve">2021 · Grannell A ·</w:t>
      </w:r>
      <w:r>
        <w:t xml:space="preserve"> </w:t>
      </w:r>
      <w:r>
        <w:rPr>
          <w:iCs/>
          <w:i/>
        </w:rPr>
        <w:t xml:space="preserve">Obesity (Silver Spring)</w:t>
      </w:r>
      <w:r>
        <w:t xml:space="preserve"> </w:t>
      </w:r>
      <w:r>
        <w:t xml:space="preserve">· Liraglutide Does Not Adversely Impact Fat-Free Mass Loss. PMID 33528919</w:t>
      </w:r>
    </w:p>
    <w:p>
      <w:pPr>
        <w:numPr>
          <w:ilvl w:val="0"/>
          <w:numId w:val="1377"/>
        </w:numPr>
        <w:pStyle w:val="Compact"/>
      </w:pPr>
      <w:r>
        <w:t xml:space="preserve">2021 · Whicher CA ·</w:t>
      </w:r>
      <w:r>
        <w:t xml:space="preserve"> </w:t>
      </w:r>
      <w:r>
        <w:rPr>
          <w:iCs/>
          <w:i/>
        </w:rPr>
        <w:t xml:space="preserve">Diabetes Obes Metab</w:t>
      </w:r>
      <w:r>
        <w:t xml:space="preserve"> </w:t>
      </w:r>
      <w:r>
        <w:t xml:space="preserve">· The use of liraglutide 3.0 mg daily in the management of overweight and obesity in people with schizophrenia, schizoaffective disorder and first episode psychosis: Results of a pilot randomized, double-blind, placebo-controlled trial. PMID 33528914</w:t>
      </w:r>
    </w:p>
    <w:p>
      <w:pPr>
        <w:numPr>
          <w:ilvl w:val="0"/>
          <w:numId w:val="1377"/>
        </w:numPr>
        <w:pStyle w:val="Compact"/>
      </w:pPr>
      <w:r>
        <w:t xml:space="preserve">2021 · Persson F ·</w:t>
      </w:r>
      <w:r>
        <w:t xml:space="preserve"> </w:t>
      </w:r>
      <w:r>
        <w:rPr>
          <w:iCs/>
          <w:i/>
        </w:rPr>
        <w:t xml:space="preserve">Diabetes Care</w:t>
      </w:r>
      <w:r>
        <w:t xml:space="preserve"> </w:t>
      </w:r>
      <w:r>
        <w:t xml:space="preserve">· Changes in Albuminuria Predict Cardiovascular and Renal Outcomes in Type 2 Diabetes: A Post Hoc Analysis of the LEADER Trial. PMID 33504496</w:t>
      </w:r>
    </w:p>
    <w:p>
      <w:pPr>
        <w:numPr>
          <w:ilvl w:val="0"/>
          <w:numId w:val="1377"/>
        </w:numPr>
        <w:pStyle w:val="Compact"/>
      </w:pPr>
      <w:r>
        <w:t xml:space="preserve">2021 · Alba M ·</w:t>
      </w:r>
      <w:r>
        <w:t xml:space="preserve"> </w:t>
      </w:r>
      <w:r>
        <w:rPr>
          <w:iCs/>
          <w:i/>
        </w:rPr>
        <w:t xml:space="preserve">Clin Obes</w:t>
      </w:r>
      <w:r>
        <w:t xml:space="preserve"> </w:t>
      </w:r>
      <w:r>
        <w:t xml:space="preserve">· Efficacy and safety of glucagon-like peptide-1/glucagon receptor co-agonist JNJ-64565111 in individuals with obesity without type 2 diabetes mellitus: A randomized dose-ranging study. PMID 33475255</w:t>
      </w:r>
    </w:p>
    <w:p>
      <w:pPr>
        <w:numPr>
          <w:ilvl w:val="0"/>
          <w:numId w:val="1377"/>
        </w:numPr>
        <w:pStyle w:val="Compact"/>
      </w:pPr>
      <w:r>
        <w:t xml:space="preserve">2021 · Gudbergsen H ·</w:t>
      </w:r>
      <w:r>
        <w:t xml:space="preserve"> </w:t>
      </w:r>
      <w:r>
        <w:rPr>
          <w:iCs/>
          <w:i/>
        </w:rPr>
        <w:t xml:space="preserve">Am J Clin Nutr</w:t>
      </w:r>
      <w:r>
        <w:t xml:space="preserve"> </w:t>
      </w:r>
      <w:r>
        <w:t xml:space="preserve">· Liraglutide after diet-induced weight loss for pain and weight control in knee osteoarthritis: a randomized controlled trial. PMID 33471039</w:t>
      </w:r>
    </w:p>
    <w:p>
      <w:pPr>
        <w:numPr>
          <w:ilvl w:val="0"/>
          <w:numId w:val="1377"/>
        </w:numPr>
        <w:pStyle w:val="Compact"/>
      </w:pPr>
      <w:r>
        <w:t xml:space="preserve">2021 · Smits MM ·</w:t>
      </w:r>
      <w:r>
        <w:t xml:space="preserve"> </w:t>
      </w:r>
      <w:r>
        <w:rPr>
          <w:iCs/>
          <w:i/>
        </w:rPr>
        <w:t xml:space="preserve">Diabetes Metab</w:t>
      </w:r>
      <w:r>
        <w:t xml:space="preserve"> </w:t>
      </w:r>
      <w:r>
        <w:t xml:space="preserve">· Liraglutide and sitagliptin have no effect on intestinal microbiota composition: A 12-week randomized placebo-controlled trial in adults with type 2 diabetes. PMID 33429063</w:t>
      </w:r>
    </w:p>
    <w:p>
      <w:pPr>
        <w:numPr>
          <w:ilvl w:val="0"/>
          <w:numId w:val="1377"/>
        </w:numPr>
        <w:pStyle w:val="Compact"/>
      </w:pPr>
      <w:r>
        <w:t xml:space="preserve">2021 · Kumarathurai P ·</w:t>
      </w:r>
      <w:r>
        <w:t xml:space="preserve"> </w:t>
      </w:r>
      <w:r>
        <w:rPr>
          <w:iCs/>
          <w:i/>
        </w:rPr>
        <w:t xml:space="preserve">Cardiovasc Diabetol</w:t>
      </w:r>
      <w:r>
        <w:t xml:space="preserve"> </w:t>
      </w:r>
      <w:r>
        <w:t xml:space="preserve">· Effects of liraglutide on diastolic function parameters in patients with type 2 diabetes and coronary artery disease: a randomized crossover study. PMID 33413428</w:t>
      </w:r>
    </w:p>
    <w:p>
      <w:pPr>
        <w:numPr>
          <w:ilvl w:val="0"/>
          <w:numId w:val="1377"/>
        </w:numPr>
        <w:pStyle w:val="Compact"/>
      </w:pPr>
      <w:r>
        <w:t xml:space="preserve">2021 · Maagensen H ·</w:t>
      </w:r>
      <w:r>
        <w:t xml:space="preserve"> </w:t>
      </w:r>
      <w:r>
        <w:rPr>
          <w:iCs/>
          <w:i/>
        </w:rPr>
        <w:t xml:space="preserve">Psychiatry Res</w:t>
      </w:r>
      <w:r>
        <w:t xml:space="preserve"> </w:t>
      </w:r>
      <w:r>
        <w:t xml:space="preserve">· Liraglutide does not change bone turnover in clozapine- and olanzapine-treated schizophrenia overweight patients with prediabetes - randomized controlled trial. PMID 33373806</w:t>
      </w:r>
    </w:p>
    <w:p>
      <w:pPr>
        <w:numPr>
          <w:ilvl w:val="0"/>
          <w:numId w:val="1377"/>
        </w:numPr>
        <w:pStyle w:val="Compact"/>
      </w:pPr>
      <w:r>
        <w:t xml:space="preserve">2021 · van Baar ACG ·</w:t>
      </w:r>
      <w:r>
        <w:t xml:space="preserve"> </w:t>
      </w:r>
      <w:r>
        <w:rPr>
          <w:iCs/>
          <w:i/>
        </w:rPr>
        <w:t xml:space="preserve">Gastrointest Endosc</w:t>
      </w:r>
      <w:r>
        <w:t xml:space="preserve"> </w:t>
      </w:r>
      <w:r>
        <w:t xml:space="preserve">· Duodenal mucosal resurfacing combined with glucagon-like peptide-1 receptor agonism to discontinue insulin in type 2 diabetes: a feasibility study. PMID 33359437</w:t>
      </w:r>
    </w:p>
    <w:p>
      <w:pPr>
        <w:numPr>
          <w:ilvl w:val="0"/>
          <w:numId w:val="1377"/>
        </w:numPr>
        <w:pStyle w:val="Compact"/>
      </w:pPr>
      <w:r>
        <w:t xml:space="preserve">2021 · Dekkers IA ·</w:t>
      </w:r>
      <w:r>
        <w:t xml:space="preserve"> </w:t>
      </w:r>
      <w:r>
        <w:rPr>
          <w:iCs/>
          <w:i/>
        </w:rPr>
        <w:t xml:space="preserve">J Ren Nutr</w:t>
      </w:r>
      <w:r>
        <w:t xml:space="preserve"> </w:t>
      </w:r>
      <w:r>
        <w:t xml:space="preserve">· The Effect of Glycemic Control on Renal Triglyceride Content Assessed by Proton Spectroscopy in Patients With Type 2 Diabetes Mellitus: A Single-Center Parallel-Group Trial. PMID 33293204</w:t>
      </w:r>
    </w:p>
    <w:p>
      <w:pPr>
        <w:numPr>
          <w:ilvl w:val="0"/>
          <w:numId w:val="1377"/>
        </w:numPr>
        <w:pStyle w:val="Compact"/>
      </w:pPr>
      <w:r>
        <w:t xml:space="preserve">2021 · Kim SH ·</w:t>
      </w:r>
      <w:r>
        <w:t xml:space="preserve"> </w:t>
      </w:r>
      <w:r>
        <w:rPr>
          <w:iCs/>
          <w:i/>
        </w:rPr>
        <w:t xml:space="preserve">Diabetes Obes Metab</w:t>
      </w:r>
      <w:r>
        <w:t xml:space="preserve"> </w:t>
      </w:r>
      <w:r>
        <w:t xml:space="preserve">· Effect of the glucagon-like peptide-1 analogue liraglutide versus placebo treatment on circulating proglucagon-derived peptides that mediate improvements in body weight, insulin secretion and action: A randomized controlled trial. PMID 33140542</w:t>
      </w:r>
    </w:p>
    <w:p>
      <w:pPr>
        <w:numPr>
          <w:ilvl w:val="0"/>
          <w:numId w:val="1377"/>
        </w:numPr>
        <w:pStyle w:val="Compact"/>
      </w:pPr>
      <w:r>
        <w:t xml:space="preserve">2021 · Aso Y ·</w:t>
      </w:r>
      <w:r>
        <w:t xml:space="preserve"> </w:t>
      </w:r>
      <w:r>
        <w:rPr>
          <w:iCs/>
          <w:i/>
        </w:rPr>
        <w:t xml:space="preserve">Int J Clin Pract</w:t>
      </w:r>
      <w:r>
        <w:t xml:space="preserve"> </w:t>
      </w:r>
      <w:r>
        <w:t xml:space="preserve">· Comparison of insulin degludec (IDeg)/insulin Aspart (IAsp) co-formulation therapy twice-daily with free combination of GLP-1 receptor agonist liraglutide plus insulin degludec in Tochigi: IDEAL Trial. PMID 33099848</w:t>
      </w:r>
    </w:p>
    <w:p>
      <w:pPr>
        <w:numPr>
          <w:ilvl w:val="0"/>
          <w:numId w:val="1377"/>
        </w:numPr>
        <w:pStyle w:val="Compact"/>
      </w:pPr>
      <w:r>
        <w:t xml:space="preserve">2021 · Jiang J ·</w:t>
      </w:r>
      <w:r>
        <w:t xml:space="preserve"> </w:t>
      </w:r>
      <w:r>
        <w:rPr>
          <w:iCs/>
          <w:i/>
        </w:rPr>
        <w:t xml:space="preserve">Endocr Metab Immune Disord Drug Targets</w:t>
      </w:r>
      <w:r>
        <w:t xml:space="preserve"> </w:t>
      </w:r>
      <w:r>
        <w:t xml:space="preserve">· Comparison of Dapaglifozin and Liraglutide in Patients with Poorly Controlled Type 2 Diabetes Mellitus: a 24-week, Open, Double-centered, Head to Head Trial. PMID 32875989</w:t>
      </w:r>
    </w:p>
    <w:p>
      <w:pPr>
        <w:numPr>
          <w:ilvl w:val="0"/>
          <w:numId w:val="1377"/>
        </w:numPr>
        <w:pStyle w:val="Compact"/>
      </w:pPr>
      <w:r>
        <w:t xml:space="preserve">2021 · Thakur U ·</w:t>
      </w:r>
      <w:r>
        <w:t xml:space="preserve"> </w:t>
      </w:r>
      <w:r>
        <w:rPr>
          <w:iCs/>
          <w:i/>
        </w:rPr>
        <w:t xml:space="preserve">Obes Surg</w:t>
      </w:r>
      <w:r>
        <w:t xml:space="preserve"> </w:t>
      </w:r>
      <w:r>
        <w:t xml:space="preserve">· Liraglutide Augments Weight Loss After Laparoscopic Sleeve Gastrectomy: a Randomised, Double-Blind, Placebo-Control Study. PMID 32656729</w:t>
      </w:r>
    </w:p>
    <w:p>
      <w:pPr>
        <w:numPr>
          <w:ilvl w:val="0"/>
          <w:numId w:val="1377"/>
        </w:numPr>
        <w:pStyle w:val="Compact"/>
      </w:pPr>
      <w:r>
        <w:t xml:space="preserve">2021 · Billings LK ·</w:t>
      </w:r>
      <w:r>
        <w:t xml:space="preserve"> </w:t>
      </w:r>
      <w:r>
        <w:rPr>
          <w:iCs/>
          <w:i/>
        </w:rPr>
        <w:t xml:space="preserve">J Diabetes Sci Technol</w:t>
      </w:r>
      <w:r>
        <w:t xml:space="preserve"> </w:t>
      </w:r>
      <w:r>
        <w:t xml:space="preserve">· The Benefit of Insulin Degludec/Liraglutide (IDegLira) Compared With Basal-Bolus Insulin Therapy is Consistent Across Participant Subgroups With Type 2 Diabetes in the DUAL VII Randomized Trial. PMID 32107930</w:t>
      </w:r>
    </w:p>
    <w:p>
      <w:pPr>
        <w:numPr>
          <w:ilvl w:val="0"/>
          <w:numId w:val="1377"/>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7"/>
        </w:numPr>
        <w:pStyle w:val="Compact"/>
      </w:pPr>
      <w:r>
        <w:t xml:space="preserve">2020 · Tronieri JS ·</w:t>
      </w:r>
      <w:r>
        <w:t xml:space="preserve"> </w:t>
      </w:r>
      <w:r>
        <w:rPr>
          <w:iCs/>
          <w:i/>
        </w:rPr>
        <w:t xml:space="preserve">Obes Facts</w:t>
      </w:r>
      <w:r>
        <w:t xml:space="preserve"> </w:t>
      </w:r>
      <w:r>
        <w:t xml:space="preserve">· Effects of Dietary Self-Monitoring, Physical Activity, Liraglutide 3.0 mg, and Placebo on Weight Loss in the SCALE IBT Trial. PMID 33197917</w:t>
      </w:r>
    </w:p>
    <w:p>
      <w:pPr>
        <w:numPr>
          <w:ilvl w:val="0"/>
          <w:numId w:val="1377"/>
        </w:numPr>
        <w:pStyle w:val="Compact"/>
      </w:pPr>
      <w:r>
        <w:t xml:space="preserve">2020 · Guo W ·</w:t>
      </w:r>
      <w:r>
        <w:t xml:space="preserve"> </w:t>
      </w:r>
      <w:r>
        <w:rPr>
          <w:iCs/>
          <w:i/>
        </w:rPr>
        <w:t xml:space="preserve">Diabetes Res Clin Pract</w:t>
      </w:r>
      <w:r>
        <w:t xml:space="preserve"> </w:t>
      </w:r>
      <w:r>
        <w:t xml:space="preserve">· Liraglutide or insulin glargine treatments improves hepatic fat in obese patients with type 2 diabetes and nonalcoholic fatty liver disease in twenty-six weeks: A randomized placebo-controlled trial. PMID 33035599</w:t>
      </w:r>
    </w:p>
    <w:p>
      <w:pPr>
        <w:numPr>
          <w:ilvl w:val="0"/>
          <w:numId w:val="1377"/>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7"/>
        </w:numPr>
        <w:pStyle w:val="Compact"/>
      </w:pPr>
      <w:r>
        <w:t xml:space="preserve">2020 · Ali AM ·</w:t>
      </w:r>
      <w:r>
        <w:t xml:space="preserve"> </w:t>
      </w:r>
      <w:r>
        <w:rPr>
          <w:iCs/>
          <w:i/>
        </w:rPr>
        <w:t xml:space="preserve">J Clin Endocrinol Metab</w:t>
      </w:r>
      <w:r>
        <w:t xml:space="preserve"> </w:t>
      </w:r>
      <w:r>
        <w:t xml:space="preserve">· Improved Beta Cell Glucose Sensitivity Plays Predominant Role in the Decrease in HbA1c with Cana and Lira in T2DM. PMID 32745202</w:t>
      </w:r>
    </w:p>
    <w:p>
      <w:pPr>
        <w:numPr>
          <w:ilvl w:val="0"/>
          <w:numId w:val="1377"/>
        </w:numPr>
        <w:pStyle w:val="Compact"/>
      </w:pPr>
      <w:r>
        <w:t xml:space="preserve">2020 · Quast DR ·</w:t>
      </w:r>
      <w:r>
        <w:t xml:space="preserve"> </w:t>
      </w:r>
      <w:r>
        <w:rPr>
          <w:iCs/>
          <w:i/>
        </w:rPr>
        <w:t xml:space="preserve">Diabetes Care</w:t>
      </w:r>
      <w:r>
        <w:t xml:space="preserve"> </w:t>
      </w:r>
      <w:r>
        <w:t xml:space="preserve">· Effects of Lixisenatide Versus Liraglutide (Short- and Long-Acting GLP-1 Receptor Agonists) on Esophageal and Gastric Function in Patients With Type 2 Diabetes. PMID 32647054</w:t>
      </w:r>
    </w:p>
    <w:p>
      <w:pPr>
        <w:numPr>
          <w:ilvl w:val="0"/>
          <w:numId w:val="1377"/>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7"/>
        </w:numPr>
        <w:pStyle w:val="Compact"/>
      </w:pPr>
      <w:r>
        <w:t xml:space="preserve">2020 · Nielsen R ·</w:t>
      </w:r>
      <w:r>
        <w:t xml:space="preserve"> </w:t>
      </w:r>
      <w:r>
        <w:rPr>
          <w:iCs/>
          <w:i/>
        </w:rPr>
        <w:t xml:space="preserve">Diabetes Obes Metab</w:t>
      </w:r>
      <w:r>
        <w:t xml:space="preserve"> </w:t>
      </w:r>
      <w:r>
        <w:t xml:space="preserve">· The impact of the glucagon-like peptide-1 receptor agonist liraglutide on natriuretic peptides in heart failure patients with reduced ejection fraction with and without type 2 diabetes. PMID 32627271</w:t>
      </w:r>
    </w:p>
    <w:p>
      <w:pPr>
        <w:numPr>
          <w:ilvl w:val="0"/>
          <w:numId w:val="1377"/>
        </w:numPr>
        <w:pStyle w:val="Compact"/>
      </w:pPr>
      <w:r>
        <w:t xml:space="preserve">2020 · Mosenzon O ·</w:t>
      </w:r>
      <w:r>
        <w:t xml:space="preserve"> </w:t>
      </w:r>
      <w:r>
        <w:rPr>
          <w:iCs/>
          <w:i/>
        </w:rPr>
        <w:t xml:space="preserve">Diabetes Obes Metab</w:t>
      </w:r>
      <w:r>
        <w:t xml:space="preserve"> </w:t>
      </w:r>
      <w:r>
        <w:t xml:space="preserve">· Cardiovascular and renal outcomes by baseline albuminuria status and renal function: Results from the LEADER randomized trial. PMID 32618386</w:t>
      </w:r>
    </w:p>
    <w:p>
      <w:pPr>
        <w:numPr>
          <w:ilvl w:val="0"/>
          <w:numId w:val="1377"/>
        </w:numPr>
        <w:pStyle w:val="Compact"/>
      </w:pPr>
      <w:r>
        <w:t xml:space="preserve">2020 · Del Olmo-García MI ·</w:t>
      </w:r>
      <w:r>
        <w:t xml:space="preserve"> </w:t>
      </w:r>
      <w:r>
        <w:rPr>
          <w:iCs/>
          <w:i/>
        </w:rPr>
        <w:t xml:space="preserve">J Int Med Res</w:t>
      </w:r>
      <w:r>
        <w:t xml:space="preserve"> </w:t>
      </w:r>
      <w:r>
        <w:t xml:space="preserve">· Glycemic variability in type 2 diabetes mellitus and acute coronary syndrome: liraglutide compared with insulin glargine: a pilot study. PMID 32567433</w:t>
      </w:r>
    </w:p>
    <w:p>
      <w:pPr>
        <w:numPr>
          <w:ilvl w:val="0"/>
          <w:numId w:val="1377"/>
        </w:numPr>
        <w:pStyle w:val="Compact"/>
      </w:pPr>
      <w:r>
        <w:t xml:space="preserve">2020 · Tronieri JS ·</w:t>
      </w:r>
      <w:r>
        <w:t xml:space="preserve"> </w:t>
      </w:r>
      <w:r>
        <w:rPr>
          <w:iCs/>
          <w:i/>
        </w:rPr>
        <w:t xml:space="preserve">Behav Res Ther</w:t>
      </w:r>
      <w:r>
        <w:t xml:space="preserve"> </w:t>
      </w:r>
      <w:r>
        <w:t xml:space="preserve">· Measures of adherence as predictors of early and total weight loss with intensive behavioral therapy for obesity combined with liraglutide 3.0 mg. PMID 32450367</w:t>
      </w:r>
    </w:p>
    <w:p>
      <w:pPr>
        <w:numPr>
          <w:ilvl w:val="0"/>
          <w:numId w:val="1377"/>
        </w:numPr>
        <w:pStyle w:val="Compact"/>
      </w:pPr>
      <w:r>
        <w:t xml:space="preserve">2020 · Ghanim H ·</w:t>
      </w:r>
      <w:r>
        <w:t xml:space="preserve"> </w:t>
      </w:r>
      <w:r>
        <w:rPr>
          <w:iCs/>
          <w:i/>
        </w:rPr>
        <w:t xml:space="preserve">Diabetes Obes Metab</w:t>
      </w:r>
      <w:r>
        <w:t xml:space="preserve"> </w:t>
      </w:r>
      <w:r>
        <w:t xml:space="preserve">· Liraglutide treatment in overweight and obese patients with type 1 diabetes: A 26-week randomized controlled trial; mechanisms of weight loss. PMID 32424935</w:t>
      </w:r>
    </w:p>
    <w:p>
      <w:pPr>
        <w:numPr>
          <w:ilvl w:val="0"/>
          <w:numId w:val="1377"/>
        </w:numPr>
        <w:pStyle w:val="Compact"/>
      </w:pPr>
      <w:r>
        <w:t xml:space="preserve">2020 · Wegeberg AL ·</w:t>
      </w:r>
      <w:r>
        <w:t xml:space="preserve"> </w:t>
      </w:r>
      <w:r>
        <w:rPr>
          <w:iCs/>
          <w:i/>
        </w:rPr>
        <w:t xml:space="preserve">United European Gastroenterol J</w:t>
      </w:r>
      <w:r>
        <w:t xml:space="preserve"> </w:t>
      </w:r>
      <w:r>
        <w:t xml:space="preserve">· Liraglutide accelerates colonic transit in people with type 1 diabetes and polyneuropathy: A randomised, double-blind, placebo-controlled trial. PMID 32390563</w:t>
      </w:r>
    </w:p>
    <w:p>
      <w:pPr>
        <w:numPr>
          <w:ilvl w:val="0"/>
          <w:numId w:val="1377"/>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7"/>
        </w:numPr>
        <w:pStyle w:val="Compact"/>
      </w:pPr>
      <w:r>
        <w:t xml:space="preserve">2020 · Buse JB ·</w:t>
      </w:r>
      <w:r>
        <w:t xml:space="preserve"> </w:t>
      </w:r>
      <w:r>
        <w:rPr>
          <w:iCs/>
          <w:i/>
        </w:rPr>
        <w:t xml:space="preserve">Diabetes Care</w:t>
      </w:r>
      <w:r>
        <w:t xml:space="preserve"> </w:t>
      </w:r>
      <w:r>
        <w:t xml:space="preserve">· Cardiovascular Risk Reduction With Liraglutide: An Exploratory Mediation Analysis of the LEADER Trial. PMID 32366578</w:t>
      </w:r>
    </w:p>
    <w:p>
      <w:pPr>
        <w:numPr>
          <w:ilvl w:val="0"/>
          <w:numId w:val="1377"/>
        </w:numPr>
        <w:pStyle w:val="Compact"/>
      </w:pPr>
      <w:r>
        <w:t xml:space="preserve">2020 · Redouane B ·</w:t>
      </w:r>
      <w:r>
        <w:t xml:space="preserve"> </w:t>
      </w:r>
      <w:r>
        <w:rPr>
          <w:iCs/>
          <w:i/>
        </w:rPr>
        <w:t xml:space="preserve">Circ Heart Fail</w:t>
      </w:r>
      <w:r>
        <w:t xml:space="preserve"> </w:t>
      </w:r>
      <w:r>
        <w:t xml:space="preserve">· Effects of Liraglutide on Worsening Renal Function Among Patients With Heart Failure With Reduced Ejection Fraction: Insights From the FIGHT Trial. PMID 32362166</w:t>
      </w:r>
    </w:p>
    <w:p>
      <w:pPr>
        <w:numPr>
          <w:ilvl w:val="0"/>
          <w:numId w:val="1377"/>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7"/>
        </w:numPr>
        <w:pStyle w:val="Compact"/>
      </w:pPr>
      <w:r>
        <w:t xml:space="preserve">2020 · Ikonomidis I ·</w:t>
      </w:r>
      <w:r>
        <w:t xml:space="preserve"> </w:t>
      </w:r>
      <w:r>
        <w:rPr>
          <w:iCs/>
          <w:i/>
        </w:rPr>
        <w:t xml:space="preserve">J Am Heart Assoc</w:t>
      </w:r>
      <w:r>
        <w:t xml:space="preserve"> </w:t>
      </w:r>
      <w:r>
        <w:t xml:space="preserve">· Effects of Glucagon-Like Peptide-1 Receptor Agonists, Sodium-Glucose Cotransporter-2 Inhibitors, and Their Combination on Endothelial Glycocalyx, Arterial Function, and Myocardial Work Index in Patients With Type 2 Diabetes Mellitus After 12-Month Treatment. PMID 32326806</w:t>
      </w:r>
    </w:p>
    <w:p>
      <w:pPr>
        <w:numPr>
          <w:ilvl w:val="0"/>
          <w:numId w:val="1377"/>
        </w:numPr>
        <w:pStyle w:val="Compact"/>
      </w:pPr>
      <w:r>
        <w:t xml:space="preserve">2020 · Tougaard RS ·</w:t>
      </w:r>
      <w:r>
        <w:t xml:space="preserve"> </w:t>
      </w:r>
      <w:r>
        <w:rPr>
          <w:iCs/>
          <w:i/>
        </w:rPr>
        <w:t xml:space="preserve">Scand Cardiovasc J</w:t>
      </w:r>
      <w:r>
        <w:t xml:space="preserve"> </w:t>
      </w:r>
      <w:r>
        <w:t xml:space="preserve">· Heart rate increases in liraglutide treated chronic heart failure patients: association with clinical parameters and adverse events. PMID 32292074</w:t>
      </w:r>
    </w:p>
    <w:p>
      <w:pPr>
        <w:numPr>
          <w:ilvl w:val="0"/>
          <w:numId w:val="1377"/>
        </w:numPr>
        <w:pStyle w:val="Compact"/>
      </w:pPr>
      <w:r>
        <w:t xml:space="preserve">2020 · Dubé MC ·</w:t>
      </w:r>
      <w:r>
        <w:t xml:space="preserve"> </w:t>
      </w:r>
      <w:r>
        <w:rPr>
          <w:iCs/>
          <w:i/>
        </w:rPr>
        <w:t xml:space="preserve">Diabetes Obes Metab</w:t>
      </w:r>
      <w:r>
        <w:t xml:space="preserve"> </w:t>
      </w:r>
      <w:r>
        <w:t xml:space="preserve">· Effect of liraglutide on food consumption, appetite sensations and eating behaviours in overweight people with type 1 diabetes. PMID 32250534</w:t>
      </w:r>
    </w:p>
    <w:p>
      <w:pPr>
        <w:numPr>
          <w:ilvl w:val="0"/>
          <w:numId w:val="1377"/>
        </w:numPr>
        <w:pStyle w:val="Compact"/>
      </w:pPr>
      <w:r>
        <w:t xml:space="preserve">2020 · Kelly AS ·</w:t>
      </w:r>
      <w:r>
        <w:t xml:space="preserve"> </w:t>
      </w:r>
      <w:r>
        <w:rPr>
          <w:iCs/>
          <w:i/>
        </w:rPr>
        <w:t xml:space="preserve">N Engl J Med</w:t>
      </w:r>
      <w:r>
        <w:t xml:space="preserve"> </w:t>
      </w:r>
      <w:r>
        <w:t xml:space="preserve">· A Randomized, Controlled Trial of Liraglutide for Adolescents with Obesity. PMID 32233338</w:t>
      </w:r>
    </w:p>
    <w:p>
      <w:pPr>
        <w:numPr>
          <w:ilvl w:val="0"/>
          <w:numId w:val="1377"/>
        </w:numPr>
        <w:pStyle w:val="Compact"/>
      </w:pPr>
      <w:r>
        <w:t xml:space="preserve">2020 · Ali AM ·</w:t>
      </w:r>
      <w:r>
        <w:t xml:space="preserve"> </w:t>
      </w:r>
      <w:r>
        <w:rPr>
          <w:iCs/>
          <w:i/>
        </w:rPr>
        <w:t xml:space="preserve">Diabetes Care</w:t>
      </w:r>
      <w:r>
        <w:t xml:space="preserve"> </w:t>
      </w:r>
      <w:r>
        <w:t xml:space="preserve">· Combination Therapy With Canagliflozin Plus Liraglutide Exerts Additive Effect on Weight Loss, but Not on HbA(1c), in Patients With Type 2 Diabetes. PMID 32220916</w:t>
      </w:r>
    </w:p>
    <w:p>
      <w:pPr>
        <w:numPr>
          <w:ilvl w:val="0"/>
          <w:numId w:val="1377"/>
        </w:numPr>
        <w:pStyle w:val="Compact"/>
      </w:pPr>
      <w:r>
        <w:t xml:space="preserve">2020 · Marso SP ·</w:t>
      </w:r>
      <w:r>
        <w:t xml:space="preserve"> </w:t>
      </w:r>
      <w:r>
        <w:rPr>
          <w:iCs/>
          <w:i/>
        </w:rPr>
        <w:t xml:space="preserve">J Am Coll Cardiol</w:t>
      </w:r>
      <w:r>
        <w:t xml:space="preserve"> </w:t>
      </w:r>
      <w:r>
        <w:t xml:space="preserve">· Effects of Liraglutide on Cardiovascular Outcomes in Patients With Diabetes With or Without Heart Failure. PMID 32164886</w:t>
      </w:r>
    </w:p>
    <w:p>
      <w:pPr>
        <w:numPr>
          <w:ilvl w:val="0"/>
          <w:numId w:val="1377"/>
        </w:numPr>
        <w:pStyle w:val="Compact"/>
      </w:pPr>
      <w:r>
        <w:t xml:space="preserve">2020 · Webb DR ·</w:t>
      </w:r>
      <w:r>
        <w:t xml:space="preserve"> </w:t>
      </w:r>
      <w:r>
        <w:rPr>
          <w:iCs/>
          <w:i/>
        </w:rPr>
        <w:t xml:space="preserve">Diabetes Obes Metab</w:t>
      </w:r>
      <w:r>
        <w:t xml:space="preserve"> </w:t>
      </w:r>
      <w:r>
        <w:t xml:space="preserve">· A randomized, open-label, active comparator trial assessing the effects of 26 weeks of liraglutide or sitagliptin on cardiovascular function in young obese adults with type 2 diabetes. PMID 32157772</w:t>
      </w:r>
    </w:p>
    <w:p>
      <w:pPr>
        <w:numPr>
          <w:ilvl w:val="0"/>
          <w:numId w:val="1377"/>
        </w:numPr>
        <w:pStyle w:val="Compact"/>
      </w:pPr>
      <w:r>
        <w:t xml:space="preserve">2020 · Garvey WT ·</w:t>
      </w:r>
      <w:r>
        <w:t xml:space="preserve"> </w:t>
      </w:r>
      <w:r>
        <w:rPr>
          <w:iCs/>
          <w:i/>
        </w:rPr>
        <w:t xml:space="preserve">Diabetes Care</w:t>
      </w:r>
      <w:r>
        <w:t xml:space="preserve"> </w:t>
      </w:r>
      <w:r>
        <w:t xml:space="preserve">· Efficacy and Safety of Liraglutide 3.0 mg in Individuals With Overweight or Obesity and Type 2 Diabetes Treated With Basal Insulin: The SCALE Insulin Randomized Controlled Trial. PMID 32139381</w:t>
      </w:r>
    </w:p>
    <w:p>
      <w:pPr>
        <w:numPr>
          <w:ilvl w:val="0"/>
          <w:numId w:val="1377"/>
        </w:numPr>
        <w:pStyle w:val="Compact"/>
      </w:pPr>
      <w:r>
        <w:t xml:space="preserve">2020 · Mann JFE ·</w:t>
      </w:r>
      <w:r>
        <w:t xml:space="preserve"> </w:t>
      </w:r>
      <w:r>
        <w:rPr>
          <w:iCs/>
          <w:i/>
        </w:rPr>
        <w:t xml:space="preserve">Clin J Am Soc Nephrol</w:t>
      </w:r>
      <w:r>
        <w:t xml:space="preserve"> </w:t>
      </w:r>
      <w:r>
        <w:t xml:space="preserve">· Safety of Liraglutide in Type 2 Diabetes and Chronic Kidney Disease. PMID 32132141</w:t>
      </w:r>
    </w:p>
    <w:p>
      <w:pPr>
        <w:numPr>
          <w:ilvl w:val="0"/>
          <w:numId w:val="1377"/>
        </w:numPr>
        <w:pStyle w:val="Compact"/>
      </w:pPr>
      <w:r>
        <w:t xml:space="preserve">2020 · van Eyk HJ ·</w:t>
      </w:r>
      <w:r>
        <w:t xml:space="preserve"> </w:t>
      </w:r>
      <w:r>
        <w:rPr>
          <w:iCs/>
          <w:i/>
        </w:rPr>
        <w:t xml:space="preserve">Nutr Metab Cardiovasc Dis</w:t>
      </w:r>
      <w:r>
        <w:t xml:space="preserve"> </w:t>
      </w:r>
      <w:r>
        <w:t xml:space="preserve">· Liraglutide decreases energy expenditure and does not affect the fat fraction of supraclavicular brown adipose tissue in patients with type 2 diabetes. PMID 32127340</w:t>
      </w:r>
    </w:p>
    <w:p>
      <w:pPr>
        <w:numPr>
          <w:ilvl w:val="0"/>
          <w:numId w:val="1377"/>
        </w:numPr>
        <w:pStyle w:val="Compact"/>
      </w:pPr>
      <w:r>
        <w:t xml:space="preserve">2020 · Zhang LY ·</w:t>
      </w:r>
      <w:r>
        <w:t xml:space="preserve"> </w:t>
      </w:r>
      <w:r>
        <w:rPr>
          <w:iCs/>
          <w:i/>
        </w:rPr>
        <w:t xml:space="preserve">Clin Res Hepatol Gastroenterol</w:t>
      </w:r>
      <w:r>
        <w:t xml:space="preserve"> </w:t>
      </w:r>
      <w:r>
        <w:t xml:space="preserve">· Effect of liraglutide therapy on serum fetuin A in patients with type 2 diabetes and non-alcoholic fatty liver disease. PMID 32113823</w:t>
      </w:r>
    </w:p>
    <w:p>
      <w:pPr>
        <w:numPr>
          <w:ilvl w:val="0"/>
          <w:numId w:val="1377"/>
        </w:numPr>
        <w:pStyle w:val="Compact"/>
      </w:pPr>
      <w:r>
        <w:t xml:space="preserve">2020 · Wadden TA ·</w:t>
      </w:r>
      <w:r>
        <w:t xml:space="preserve"> </w:t>
      </w:r>
      <w:r>
        <w:rPr>
          <w:iCs/>
          <w:i/>
        </w:rPr>
        <w:t xml:space="preserve">Obesity (Silver Spring)</w:t>
      </w:r>
      <w:r>
        <w:t xml:space="preserve"> </w:t>
      </w:r>
      <w:r>
        <w:t xml:space="preserve">· Liraglutide 3.0 mg and Intensive Behavioral Therapy (IBT) for Obesity in Primary Care: The SCALE IBT Randomized Controlled Trial. PMID 32090517</w:t>
      </w:r>
    </w:p>
    <w:p>
      <w:pPr>
        <w:numPr>
          <w:ilvl w:val="0"/>
          <w:numId w:val="1377"/>
        </w:numPr>
        <w:pStyle w:val="Compact"/>
      </w:pPr>
      <w:r>
        <w:t xml:space="preserve">2020 · Elkind-Hirsch KE ·</w:t>
      </w:r>
      <w:r>
        <w:t xml:space="preserve"> </w:t>
      </w:r>
      <w:r>
        <w:rPr>
          <w:iCs/>
          <w:i/>
        </w:rPr>
        <w:t xml:space="preserve">J Diabetes Complications</w:t>
      </w:r>
      <w:r>
        <w:t xml:space="preserve"> </w:t>
      </w:r>
      <w:r>
        <w:t xml:space="preserve">· Postpartum treatment with liraglutide in combination with metformin versus metformin monotherapy to improve metabolic status and reduce body weight in overweight/obese women with recent gestational diabetes: A double-blind, randomized, placebo-controlled study. PMID 32046931</w:t>
      </w:r>
    </w:p>
    <w:p>
      <w:pPr>
        <w:numPr>
          <w:ilvl w:val="0"/>
          <w:numId w:val="1377"/>
        </w:numPr>
        <w:pStyle w:val="Compact"/>
      </w:pPr>
      <w:r>
        <w:t xml:space="preserve">2020 · Blonde L ·</w:t>
      </w:r>
      <w:r>
        <w:t xml:space="preserve"> </w:t>
      </w:r>
      <w:r>
        <w:rPr>
          <w:iCs/>
          <w:i/>
        </w:rPr>
        <w:t xml:space="preserve">Diabetes Obes Metab</w:t>
      </w:r>
      <w:r>
        <w:t xml:space="preserve"> </w:t>
      </w:r>
      <w:r>
        <w:t xml:space="preserve">· Liraglutide as add-on to sodium-glucose co-transporter-2 inhibitors in patients with inadequately controlled type 2 diabetes: LIRA-ADD2SGLT2i, a 26-week, randomized, double-blind, placebo-controlled trial. PMID 31984646</w:t>
      </w:r>
    </w:p>
    <w:p>
      <w:pPr>
        <w:numPr>
          <w:ilvl w:val="0"/>
          <w:numId w:val="1377"/>
        </w:numPr>
        <w:pStyle w:val="Compact"/>
      </w:pPr>
      <w:r>
        <w:t xml:space="preserve">2020 · Vadini F ·</w:t>
      </w:r>
      <w:r>
        <w:t xml:space="preserve"> </w:t>
      </w:r>
      <w:r>
        <w:rPr>
          <w:iCs/>
          <w:i/>
        </w:rPr>
        <w:t xml:space="preserve">Int J Obes (Lond)</w:t>
      </w:r>
      <w:r>
        <w:t xml:space="preserve"> </w:t>
      </w:r>
      <w:r>
        <w:t xml:space="preserve">· Liraglutide improves memory in obese patients with prediabetes or early type 2 diabetes: a randomized, controlled study. PMID 31965072</w:t>
      </w:r>
    </w:p>
    <w:p>
      <w:pPr>
        <w:numPr>
          <w:ilvl w:val="0"/>
          <w:numId w:val="1377"/>
        </w:numPr>
        <w:pStyle w:val="Compact"/>
      </w:pPr>
      <w:r>
        <w:t xml:space="preserve">2020 · Sesti G ·</w:t>
      </w:r>
      <w:r>
        <w:t xml:space="preserve"> </w:t>
      </w:r>
      <w:r>
        <w:rPr>
          <w:iCs/>
          <w:i/>
        </w:rPr>
        <w:t xml:space="preserve">Diabetes Obes Metab</w:t>
      </w:r>
      <w:r>
        <w:t xml:space="preserve"> </w:t>
      </w:r>
      <w:r>
        <w:t xml:space="preserve">· A greater proportion of participants with type 2 diabetes achieve treatment targets with insulin degludec/liraglutide versus insulin glargine 100 units/mL at 26 weeks: DUAL VIII, a randomized trial designed to resemble clinical practice. PMID 31903724</w:t>
      </w:r>
    </w:p>
    <w:p>
      <w:pPr>
        <w:numPr>
          <w:ilvl w:val="0"/>
          <w:numId w:val="1377"/>
        </w:numPr>
        <w:pStyle w:val="Compact"/>
      </w:pPr>
      <w:r>
        <w:t xml:space="preserve">2020 · Hygum K ·</w:t>
      </w:r>
      <w:r>
        <w:t xml:space="preserve"> </w:t>
      </w:r>
      <w:r>
        <w:rPr>
          <w:iCs/>
          <w:i/>
        </w:rPr>
        <w:t xml:space="preserve">Bone</w:t>
      </w:r>
      <w:r>
        <w:t xml:space="preserve"> </w:t>
      </w:r>
      <w:r>
        <w:t xml:space="preserve">· Bone resorption is unchanged by liraglutide in type 2 diabetes patients: A randomised controlled trial. PMID 31870634</w:t>
      </w:r>
    </w:p>
    <w:p>
      <w:pPr>
        <w:numPr>
          <w:ilvl w:val="0"/>
          <w:numId w:val="1377"/>
        </w:numPr>
        <w:pStyle w:val="Compact"/>
      </w:pPr>
      <w:r>
        <w:t xml:space="preserve">2020 · Yao MY ·</w:t>
      </w:r>
      <w:r>
        <w:t xml:space="preserve"> </w:t>
      </w:r>
      <w:r>
        <w:rPr>
          <w:iCs/>
          <w:i/>
        </w:rPr>
        <w:t xml:space="preserve">Braz J Med Biol Res</w:t>
      </w:r>
      <w:r>
        <w:t xml:space="preserve"> </w:t>
      </w:r>
      <w:r>
        <w:t xml:space="preserve">· Use of flash glucose-sensing technology in patients with type 2 diabetes treated with liraglutide combined with CSII: a pilot study. PMID 31859911</w:t>
      </w:r>
    </w:p>
    <w:p>
      <w:pPr>
        <w:numPr>
          <w:ilvl w:val="0"/>
          <w:numId w:val="1377"/>
        </w:numPr>
        <w:pStyle w:val="Compact"/>
      </w:pPr>
      <w:r>
        <w:t xml:space="preserve">2020 · Janez A ·</w:t>
      </w:r>
      <w:r>
        <w:t xml:space="preserve"> </w:t>
      </w:r>
      <w:r>
        <w:rPr>
          <w:iCs/>
          <w:i/>
        </w:rPr>
        <w:t xml:space="preserve">Diabetes Obes Metab</w:t>
      </w:r>
      <w:r>
        <w:t xml:space="preserve"> </w:t>
      </w:r>
      <w:r>
        <w:t xml:space="preserve">· Benefits of insulin degludec/liraglutide are maintained even in patients discontinuing sulphonylureas or dipeptidyl peptidase-4 inhibitors upon initiation of degludec/liraglutide therapy: A post hoc analysis of the DUAL II and DUAL IX trials. PMID 31858673</w:t>
      </w:r>
    </w:p>
    <w:p>
      <w:pPr>
        <w:numPr>
          <w:ilvl w:val="0"/>
          <w:numId w:val="1377"/>
        </w:numPr>
        <w:pStyle w:val="Compact"/>
      </w:pPr>
      <w:r>
        <w:t xml:space="preserve">2020 · Cannon AJ ·</w:t>
      </w:r>
      <w:r>
        <w:t xml:space="preserve"> </w:t>
      </w:r>
      <w:r>
        <w:rPr>
          <w:iCs/>
          <w:i/>
        </w:rPr>
        <w:t xml:space="preserve">J Manag Care Spec Pharm</w:t>
      </w:r>
      <w:r>
        <w:t xml:space="preserve"> </w:t>
      </w:r>
      <w:r>
        <w:t xml:space="preserve">· Evaluation of the Short-Term Cost-Effectiveness of IDegLira Versus Basal Insulin and Basal-Bolus Therapy in Patients with Type 2 Diabetes Based on Attainment of Clinically Relevant Treatment Targets. PMID 31856636</w:t>
      </w:r>
    </w:p>
    <w:p>
      <w:pPr>
        <w:numPr>
          <w:ilvl w:val="0"/>
          <w:numId w:val="1377"/>
        </w:numPr>
        <w:pStyle w:val="Compact"/>
      </w:pPr>
      <w:r>
        <w:t xml:space="preserve">2020 · Paiman EHM ·</w:t>
      </w:r>
      <w:r>
        <w:t xml:space="preserve"> </w:t>
      </w:r>
      <w:r>
        <w:rPr>
          <w:iCs/>
          <w:i/>
        </w:rPr>
        <w:t xml:space="preserve">J Magn Reson Imaging</w:t>
      </w:r>
      <w:r>
        <w:t xml:space="preserve"> </w:t>
      </w:r>
      <w:r>
        <w:t xml:space="preserve">· Effect of Liraglutide on Cardiovascular Function and Myocardial Tissue Characteristics in Type 2 Diabetes Patients of South Asian Descent Living in the Netherlands: A Double-Blind, Randomized, Placebo-Controlled Trial. PMID 31799782</w:t>
      </w:r>
    </w:p>
    <w:p>
      <w:pPr>
        <w:numPr>
          <w:ilvl w:val="0"/>
          <w:numId w:val="1377"/>
        </w:numPr>
        <w:pStyle w:val="Compact"/>
      </w:pPr>
      <w:r>
        <w:t xml:space="preserve">2020 · Hulst AH ·</w:t>
      </w:r>
      <w:r>
        <w:t xml:space="preserve"> </w:t>
      </w:r>
      <w:r>
        <w:rPr>
          <w:iCs/>
          <w:i/>
        </w:rPr>
        <w:t xml:space="preserve">Diabetes Obes Metab</w:t>
      </w:r>
      <w:r>
        <w:t xml:space="preserve"> </w:t>
      </w:r>
      <w:r>
        <w:t xml:space="preserve">· Liraglutide for perioperative management of hyperglycaemia in cardiac surgery patients: a multicentre randomized superiority trial. PMID 31749275</w:t>
      </w:r>
    </w:p>
    <w:p>
      <w:pPr>
        <w:numPr>
          <w:ilvl w:val="0"/>
          <w:numId w:val="1377"/>
        </w:numPr>
        <w:pStyle w:val="Compact"/>
      </w:pPr>
      <w:r>
        <w:t xml:space="preserve">2020 · Dejgaard TF ·</w:t>
      </w:r>
      <w:r>
        <w:t xml:space="preserve"> </w:t>
      </w:r>
      <w:r>
        <w:rPr>
          <w:iCs/>
          <w:i/>
        </w:rPr>
        <w:t xml:space="preserve">Diabetes Obes Metab</w:t>
      </w:r>
      <w:r>
        <w:t xml:space="preserve"> </w:t>
      </w:r>
      <w:r>
        <w:t xml:space="preserve">· Liraglutide reduces hyperglycaemia and body weight in overweight, dysregulated insulin-pump-treated patients with type 1 diabetes: The Lira Pump trial-a randomized, double-blinded, placebo-controlled trial. PMID 31696598</w:t>
      </w:r>
    </w:p>
    <w:p>
      <w:pPr>
        <w:numPr>
          <w:ilvl w:val="0"/>
          <w:numId w:val="1377"/>
        </w:numPr>
        <w:pStyle w:val="Compact"/>
      </w:pPr>
      <w:r>
        <w:t xml:space="preserve">2020 · Bizino MB ·</w:t>
      </w:r>
      <w:r>
        <w:t xml:space="preserve"> </w:t>
      </w:r>
      <w:r>
        <w:rPr>
          <w:iCs/>
          <w:i/>
        </w:rPr>
        <w:t xml:space="preserve">Diabetologia</w:t>
      </w:r>
      <w:r>
        <w:t xml:space="preserve"> </w:t>
      </w:r>
      <w:r>
        <w:t xml:space="preserve">· Placebo-controlled randomised trial with liraglutide on magnetic resonance endpoints in individuals with type 2 diabetes: a pre-specified secondary study on ectopic fat accumulation. PMID 31690988</w:t>
      </w:r>
    </w:p>
    <w:p>
      <w:pPr>
        <w:numPr>
          <w:ilvl w:val="0"/>
          <w:numId w:val="1377"/>
        </w:numPr>
        <w:pStyle w:val="Compact"/>
      </w:pPr>
      <w:r>
        <w:t xml:space="preserve">2020 · Kadouh H ·</w:t>
      </w:r>
      <w:r>
        <w:t xml:space="preserve"> </w:t>
      </w:r>
      <w:r>
        <w:rPr>
          <w:iCs/>
          <w:i/>
        </w:rPr>
        <w:t xml:space="preserve">J Clin Endocrinol Metab</w:t>
      </w:r>
      <w:r>
        <w:t xml:space="preserve"> </w:t>
      </w:r>
      <w:r>
        <w:t xml:space="preserve">· GLP-1 Analog Modulates Appetite, Taste Preference, Gut Hormones, and Regional Body Fat Stores in Adults with Obesity. PMID 31665455</w:t>
      </w:r>
    </w:p>
    <w:p>
      <w:pPr>
        <w:numPr>
          <w:ilvl w:val="0"/>
          <w:numId w:val="1377"/>
        </w:numPr>
        <w:pStyle w:val="Compact"/>
      </w:pPr>
      <w:r>
        <w:t xml:space="preserve">2020 · Gaborit B ·</w:t>
      </w:r>
      <w:r>
        <w:t xml:space="preserve"> </w:t>
      </w:r>
      <w:r>
        <w:rPr>
          <w:iCs/>
          <w:i/>
        </w:rPr>
        <w:t xml:space="preserve">J Clin Endocrinol Metab</w:t>
      </w:r>
      <w:r>
        <w:t xml:space="preserve"> </w:t>
      </w:r>
      <w:r>
        <w:t xml:space="preserve">· Glucagon-like Peptide 1 Receptor Agonists, Diabetic Retinopathy and Angiogenesis: The AngioSafe Type 2 Diabetes Study. PMID 31589290</w:t>
      </w:r>
    </w:p>
    <w:p>
      <w:pPr>
        <w:numPr>
          <w:ilvl w:val="0"/>
          <w:numId w:val="1377"/>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7"/>
        </w:numPr>
        <w:pStyle w:val="Compact"/>
      </w:pPr>
      <w:r>
        <w:t xml:space="preserve">2020 · Tronieri JS ·</w:t>
      </w:r>
      <w:r>
        <w:t xml:space="preserve"> </w:t>
      </w:r>
      <w:r>
        <w:rPr>
          <w:iCs/>
          <w:i/>
        </w:rPr>
        <w:t xml:space="preserve">Int J Obes (Lond)</w:t>
      </w:r>
      <w:r>
        <w:t xml:space="preserve"> </w:t>
      </w:r>
      <w:r>
        <w:t xml:space="preserve">· Effects of liraglutide on appetite, food preoccupation, and food liking: results of a randomized controlled trial. PMID 30926955</w:t>
      </w:r>
    </w:p>
    <w:p>
      <w:pPr>
        <w:numPr>
          <w:ilvl w:val="0"/>
          <w:numId w:val="1377"/>
        </w:numPr>
        <w:pStyle w:val="Compact"/>
      </w:pPr>
      <w:r>
        <w:t xml:space="preserve">2019 · Patel S ·</w:t>
      </w:r>
      <w:r>
        <w:t xml:space="preserve"> </w:t>
      </w:r>
      <w:r>
        <w:rPr>
          <w:iCs/>
          <w:i/>
        </w:rPr>
        <w:t xml:space="preserve">BMJ Open Diabetes Res Care</w:t>
      </w:r>
      <w:r>
        <w:t xml:space="preserve"> </w:t>
      </w:r>
      <w:r>
        <w:t xml:space="preserve">· Effect of medication adherence on clinical outcomes in type 2 diabetes: analysis of the SIMPLE study. PMID 31803482</w:t>
      </w:r>
    </w:p>
    <w:p>
      <w:pPr>
        <w:numPr>
          <w:ilvl w:val="0"/>
          <w:numId w:val="1377"/>
        </w:numPr>
        <w:pStyle w:val="Compact"/>
      </w:pPr>
      <w:r>
        <w:t xml:space="preserve">2019 · Verma S ·</w:t>
      </w:r>
      <w:r>
        <w:t xml:space="preserve"> </w:t>
      </w:r>
      <w:r>
        <w:rPr>
          <w:iCs/>
          <w:i/>
        </w:rPr>
        <w:t xml:space="preserve">JAMA Cardiol</w:t>
      </w:r>
      <w:r>
        <w:t xml:space="preserve"> </w:t>
      </w:r>
      <w:r>
        <w:t xml:space="preserve">· Occurence of First and Recurrent Major Adverse Cardiovascular Events With Liraglutide Treatment Among Patients With Type 2 Diabetes and High Risk of Cardiovascular Events: A Post Hoc Analysis of a Randomized Clinical Trial. PMID 31721979</w:t>
      </w:r>
    </w:p>
    <w:p>
      <w:pPr>
        <w:numPr>
          <w:ilvl w:val="0"/>
          <w:numId w:val="1377"/>
        </w:numPr>
        <w:pStyle w:val="Compact"/>
      </w:pPr>
      <w:r>
        <w:t xml:space="preserve">2019 · Chao AM ·</w:t>
      </w:r>
      <w:r>
        <w:t xml:space="preserve"> </w:t>
      </w:r>
      <w:r>
        <w:rPr>
          <w:iCs/>
          <w:i/>
        </w:rPr>
        <w:t xml:space="preserve">Clin Obes</w:t>
      </w:r>
      <w:r>
        <w:t xml:space="preserve"> </w:t>
      </w:r>
      <w:r>
        <w:t xml:space="preserve">· Changes in health-related quality of life with intensive behavioural therapy combined with liraglutide 3.0 mg per day. PMID 31691531</w:t>
      </w:r>
    </w:p>
    <w:p>
      <w:pPr>
        <w:numPr>
          <w:ilvl w:val="0"/>
          <w:numId w:val="1377"/>
        </w:numPr>
        <w:pStyle w:val="Compact"/>
      </w:pPr>
      <w:r>
        <w:t xml:space="preserve">2019 · Peradze N ·</w:t>
      </w:r>
      <w:r>
        <w:t xml:space="preserve"> </w:t>
      </w:r>
      <w:r>
        <w:rPr>
          <w:iCs/>
          <w:i/>
        </w:rPr>
        <w:t xml:space="preserve">Cardiovasc Diabetol</w:t>
      </w:r>
      <w:r>
        <w:t xml:space="preserve"> </w:t>
      </w:r>
      <w:r>
        <w:t xml:space="preserve">· Short-term treatment with high dose liraglutide improves lipid and lipoprotein profile and changes hormonal mediators of lipid metabolism in obese patients with no overt type 2 diabetes mellitus: a randomized, placebo-controlled, cross-over, double-blind clinical trial. PMID 31672146</w:t>
      </w:r>
    </w:p>
    <w:p>
      <w:pPr>
        <w:numPr>
          <w:ilvl w:val="0"/>
          <w:numId w:val="1377"/>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7"/>
        </w:numPr>
        <w:pStyle w:val="Compact"/>
      </w:pPr>
      <w:r>
        <w:t xml:space="preserve">2019 · Watada H ·</w:t>
      </w:r>
      <w:r>
        <w:t xml:space="preserve"> </w:t>
      </w:r>
      <w:r>
        <w:rPr>
          <w:iCs/>
          <w:i/>
        </w:rPr>
        <w:t xml:space="preserve">Diabetes Obes Metab</w:t>
      </w:r>
      <w:r>
        <w:t xml:space="preserve"> </w:t>
      </w:r>
      <w:r>
        <w:t xml:space="preserve">· Superior HbA1c control with the fixed-ratio combination of insulin degludec and liraglutide (IDegLira) compared with a maximum dose of 50 units of insulin degludec in Japanese individuals with type 2 diabetes in a phase 3, double-blind, randomized trial. PMID 31423685</w:t>
      </w:r>
    </w:p>
    <w:p>
      <w:pPr>
        <w:numPr>
          <w:ilvl w:val="0"/>
          <w:numId w:val="1377"/>
        </w:numPr>
        <w:pStyle w:val="Compact"/>
      </w:pPr>
      <w:r>
        <w:t xml:space="preserve">2019 · Kaku K ·</w:t>
      </w:r>
      <w:r>
        <w:t xml:space="preserve"> </w:t>
      </w:r>
      <w:r>
        <w:rPr>
          <w:iCs/>
          <w:i/>
        </w:rPr>
        <w:t xml:space="preserve">Diabetes Obes Metab</w:t>
      </w:r>
      <w:r>
        <w:t xml:space="preserve"> </w:t>
      </w:r>
      <w:r>
        <w:t xml:space="preserve">· Superior efficacy with a fixed-ratio combination of insulin degludec and liraglutide (IDegLira) compared with insulin degludec and liraglutide in insulin-naïve Japanese patients with type 2 diabetes in a phase 3, open-label, randomized trial. PMID 31407845</w:t>
      </w:r>
    </w:p>
    <w:p>
      <w:pPr>
        <w:numPr>
          <w:ilvl w:val="0"/>
          <w:numId w:val="1377"/>
        </w:numPr>
        <w:pStyle w:val="Compact"/>
      </w:pPr>
      <w:r>
        <w:t xml:space="preserve">2019 · Nauck MA ·</w:t>
      </w:r>
      <w:r>
        <w:t xml:space="preserve"> </w:t>
      </w:r>
      <w:r>
        <w:rPr>
          <w:iCs/>
          <w:i/>
        </w:rPr>
        <w:t xml:space="preserve">Diabetes Care</w:t>
      </w:r>
      <w:r>
        <w:t xml:space="preserve"> </w:t>
      </w:r>
      <w:r>
        <w:t xml:space="preserve">· Effects of Liraglutide Compared With Placebo on Events of Acute Gallbladder or Biliary Disease in Patients With Type 2 Diabetes at High Risk for Cardiovascular Events in the LEADER Randomized Trial. PMID 31399438</w:t>
      </w:r>
    </w:p>
    <w:p>
      <w:pPr>
        <w:numPr>
          <w:ilvl w:val="0"/>
          <w:numId w:val="1377"/>
        </w:numPr>
        <w:pStyle w:val="Compact"/>
      </w:pPr>
      <w:r>
        <w:t xml:space="preserve">2019 · Wexler DJ ·</w:t>
      </w:r>
      <w:r>
        <w:t xml:space="preserve"> </w:t>
      </w:r>
      <w:r>
        <w:rPr>
          <w:iCs/>
          <w:i/>
        </w:rPr>
        <w:t xml:space="preserve">Diabetes Care</w:t>
      </w:r>
      <w:r>
        <w:t xml:space="preserve"> </w:t>
      </w:r>
      <w:r>
        <w:t xml:space="preserve">· Baseline Characteristics of Randomized Participants in the Glycemia Reduction Approaches in Diabetes: A Comparative Effectiveness Study (GRADE). PMID 31391203</w:t>
      </w:r>
    </w:p>
    <w:p>
      <w:pPr>
        <w:numPr>
          <w:ilvl w:val="0"/>
          <w:numId w:val="1377"/>
        </w:numPr>
        <w:pStyle w:val="Compact"/>
      </w:pPr>
      <w:r>
        <w:t xml:space="preserve">2019 · Miller E ·</w:t>
      </w:r>
      <w:r>
        <w:t xml:space="preserve"> </w:t>
      </w:r>
      <w:r>
        <w:rPr>
          <w:iCs/>
          <w:i/>
        </w:rPr>
        <w:t xml:space="preserve">Diabetes Obes Metab</w:t>
      </w:r>
      <w:r>
        <w:t xml:space="preserve"> </w:t>
      </w:r>
      <w:r>
        <w:t xml:space="preserve">· IDegLira improves patient-reported outcomes while using a simple regimen with fewer injections and dose adjustments compared with basal-bolus therapy. PMID 31385425</w:t>
      </w:r>
    </w:p>
    <w:p>
      <w:pPr>
        <w:numPr>
          <w:ilvl w:val="0"/>
          <w:numId w:val="1377"/>
        </w:numPr>
        <w:pStyle w:val="Compact"/>
      </w:pPr>
      <w:r>
        <w:t xml:space="preserve">2019 · Brock C ·</w:t>
      </w:r>
      <w:r>
        <w:t xml:space="preserve"> </w:t>
      </w:r>
      <w:r>
        <w:rPr>
          <w:iCs/>
          <w:i/>
        </w:rPr>
        <w:t xml:space="preserve">Br J Clin Pharmacol</w:t>
      </w:r>
      <w:r>
        <w:t xml:space="preserve"> </w:t>
      </w:r>
      <w:r>
        <w:t xml:space="preserve">· Liraglutide treatment reduced interleukin-6 in adults with type 1 diabetes but did not improve established autonomic or polyneuropathy. PMID 31338868</w:t>
      </w:r>
    </w:p>
    <w:p>
      <w:pPr>
        <w:numPr>
          <w:ilvl w:val="0"/>
          <w:numId w:val="1377"/>
        </w:numPr>
        <w:pStyle w:val="Compact"/>
      </w:pPr>
      <w:r>
        <w:t xml:space="preserve">2019 · Makino H ·</w:t>
      </w:r>
      <w:r>
        <w:t xml:space="preserve"> </w:t>
      </w:r>
      <w:r>
        <w:rPr>
          <w:iCs/>
          <w:i/>
        </w:rPr>
        <w:t xml:space="preserve">Diabet Med</w:t>
      </w:r>
      <w:r>
        <w:t xml:space="preserve"> </w:t>
      </w:r>
      <w:r>
        <w:t xml:space="preserve">· Addition of low-dose liraglutide to insulin therapy is useful for glycaemic control during the peri-operative period: effect of glucagon-like peptide-1 receptor agonist therapy on glycaemic control in patients undergoing cardiac surgery (GLOLIA study). PMID 31335979</w:t>
      </w:r>
    </w:p>
    <w:p>
      <w:pPr>
        <w:numPr>
          <w:ilvl w:val="0"/>
          <w:numId w:val="1377"/>
        </w:numPr>
        <w:pStyle w:val="Compact"/>
      </w:pPr>
      <w:r>
        <w:t xml:space="preserve">2019 · Anholm C ·</w:t>
      </w:r>
      <w:r>
        <w:t xml:space="preserve"> </w:t>
      </w:r>
      <w:r>
        <w:rPr>
          <w:iCs/>
          <w:i/>
        </w:rPr>
        <w:t xml:space="preserve">Atherosclerosis</w:t>
      </w:r>
      <w:r>
        <w:t xml:space="preserve"> </w:t>
      </w:r>
      <w:r>
        <w:t xml:space="preserve">· Liraglutide in combination with metformin may improve the atherogenic lipid profile and decrease C-reactive protein level in statin treated obese patients with coronary artery disease and newly diagnosed type 2 diabetes: A randomized trial. PMID 31326727</w:t>
      </w:r>
    </w:p>
    <w:p>
      <w:pPr>
        <w:numPr>
          <w:ilvl w:val="0"/>
          <w:numId w:val="1377"/>
        </w:numPr>
        <w:pStyle w:val="Compact"/>
      </w:pPr>
      <w:r>
        <w:t xml:space="preserve">2019 · Rosenstock J ·</w:t>
      </w:r>
      <w:r>
        <w:t xml:space="preserve"> </w:t>
      </w:r>
      <w:r>
        <w:rPr>
          <w:iCs/>
          <w:i/>
        </w:rPr>
        <w:t xml:space="preserve">Diabetes Care</w:t>
      </w:r>
      <w:r>
        <w:t xml:space="preserve"> </w:t>
      </w:r>
      <w:r>
        <w:t xml:space="preserve">· Once-Weekly Efpeglenatide Dose-Range Effects on Glycemic Control and Body Weight in Patients With Type 2 Diabetes on Metformin or Drug Naive, Referenced to Liraglutide. PMID 31320446</w:t>
      </w:r>
    </w:p>
    <w:p>
      <w:pPr>
        <w:numPr>
          <w:ilvl w:val="0"/>
          <w:numId w:val="1377"/>
        </w:numPr>
        <w:pStyle w:val="Compact"/>
      </w:pPr>
      <w:r>
        <w:t xml:space="preserve">2019 · van Eyk HJ ·</w:t>
      </w:r>
      <w:r>
        <w:t xml:space="preserve"> </w:t>
      </w:r>
      <w:r>
        <w:rPr>
          <w:iCs/>
          <w:i/>
        </w:rPr>
        <w:t xml:space="preserve">Sci Rep</w:t>
      </w:r>
      <w:r>
        <w:t xml:space="preserve"> </w:t>
      </w:r>
      <w:r>
        <w:t xml:space="preserve">· Hepatic triglyceride content does not affect circulating CETP: lessons from a liraglutide intervention trial and a population-based cohort. PMID 31292457</w:t>
      </w:r>
    </w:p>
    <w:p>
      <w:pPr>
        <w:numPr>
          <w:ilvl w:val="0"/>
          <w:numId w:val="1377"/>
        </w:numPr>
        <w:pStyle w:val="Compact"/>
      </w:pPr>
      <w:r>
        <w:t xml:space="preserve">2019 · van Eyk HJ ·</w:t>
      </w:r>
      <w:r>
        <w:t xml:space="preserve"> </w:t>
      </w:r>
      <w:r>
        <w:rPr>
          <w:iCs/>
          <w:i/>
        </w:rPr>
        <w:t xml:space="preserve">Cardiovasc Diabetol</w:t>
      </w:r>
      <w:r>
        <w:t xml:space="preserve"> </w:t>
      </w:r>
      <w:r>
        <w:t xml:space="preserve">· A double-blind, placebo-controlled, randomised trial to assess the effect of liraglutide on ectopic fat accumulation in South Asian type 2 diabetes patients. PMID 31288820</w:t>
      </w:r>
    </w:p>
    <w:p>
      <w:pPr>
        <w:numPr>
          <w:ilvl w:val="0"/>
          <w:numId w:val="1377"/>
        </w:numPr>
        <w:pStyle w:val="Compact"/>
      </w:pPr>
      <w:r>
        <w:t xml:space="preserve">2019 · Tack CJ ·</w:t>
      </w:r>
      <w:r>
        <w:t xml:space="preserve"> </w:t>
      </w:r>
      <w:r>
        <w:rPr>
          <w:iCs/>
          <w:i/>
        </w:rPr>
        <w:t xml:space="preserve">Diabetes Obes Metab</w:t>
      </w:r>
      <w:r>
        <w:t xml:space="preserve"> </w:t>
      </w:r>
      <w:r>
        <w:t xml:space="preserve">· Long-term efficacy and safety of combined insulin and glucagon-like peptide-1 therapy: Evidence from the LEADER trial. PMID 31282028</w:t>
      </w:r>
    </w:p>
    <w:p>
      <w:pPr>
        <w:numPr>
          <w:ilvl w:val="0"/>
          <w:numId w:val="1377"/>
        </w:numPr>
        <w:pStyle w:val="Compact"/>
      </w:pPr>
      <w:r>
        <w:t xml:space="preserve">2019 · Farr OM ·</w:t>
      </w:r>
      <w:r>
        <w:t xml:space="preserve"> </w:t>
      </w:r>
      <w:r>
        <w:rPr>
          <w:iCs/>
          <w:i/>
        </w:rPr>
        <w:t xml:space="preserve">Diabetes Obes Metab</w:t>
      </w:r>
      <w:r>
        <w:t xml:space="preserve"> </w:t>
      </w:r>
      <w:r>
        <w:t xml:space="preserve">· Longer-term liraglutide administration at the highest dose approved for obesity increases reward-related orbitofrontal cortex activation in response to food cues: Implications for plateauing weight loss in response to anti-obesity therapies. PMID 31282006</w:t>
      </w:r>
    </w:p>
    <w:p>
      <w:pPr>
        <w:numPr>
          <w:ilvl w:val="0"/>
          <w:numId w:val="1377"/>
        </w:numPr>
        <w:pStyle w:val="Compact"/>
      </w:pPr>
      <w:r>
        <w:t xml:space="preserve">2019 · Li LQ ·</w:t>
      </w:r>
      <w:r>
        <w:t xml:space="preserve"> </w:t>
      </w:r>
      <w:r>
        <w:rPr>
          <w:iCs/>
          <w:i/>
        </w:rPr>
        <w:t xml:space="preserve">Endocr J</w:t>
      </w:r>
      <w:r>
        <w:t xml:space="preserve"> </w:t>
      </w:r>
      <w:r>
        <w:t xml:space="preserve">· Continuous subcutaneous insulin infusion combined with liraglutide reduced glycemic variability and oxidative stress in type 2 diabetes mellitus: a study based on the flash glucose monitoring system. PMID 31243192</w:t>
      </w:r>
    </w:p>
    <w:p>
      <w:pPr>
        <w:numPr>
          <w:ilvl w:val="0"/>
          <w:numId w:val="1377"/>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7"/>
        </w:numPr>
        <w:pStyle w:val="Compact"/>
      </w:pPr>
      <w:r>
        <w:t xml:space="preserve">2019 · Aroda VR ·</w:t>
      </w:r>
      <w:r>
        <w:t xml:space="preserve"> </w:t>
      </w:r>
      <w:r>
        <w:rPr>
          <w:iCs/>
          <w:i/>
        </w:rPr>
        <w:t xml:space="preserve">Lancet Diabetes Endocrinol</w:t>
      </w:r>
      <w:r>
        <w:t xml:space="preserve"> </w:t>
      </w:r>
      <w:r>
        <w:t xml:space="preserve">· Durability of insulin degludec plus liraglutide versus insulin glargine U100 as initial injectable therapy in type 2 diabetes (DUAL VIII): a multicentre, open-label, phase 3b, randomised controlled trial. PMID 31189519</w:t>
      </w:r>
    </w:p>
    <w:p>
      <w:pPr>
        <w:numPr>
          <w:ilvl w:val="0"/>
          <w:numId w:val="1377"/>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7"/>
        </w:numPr>
        <w:pStyle w:val="Compact"/>
      </w:pPr>
      <w:r>
        <w:t xml:space="preserve">2019 · Miras AD ·</w:t>
      </w:r>
      <w:r>
        <w:t xml:space="preserve"> </w:t>
      </w:r>
      <w:r>
        <w:rPr>
          <w:iCs/>
          <w:i/>
        </w:rPr>
        <w:t xml:space="preserve">Lancet Diabetes Endocrinol</w:t>
      </w:r>
      <w:r>
        <w:t xml:space="preserve"> </w:t>
      </w:r>
      <w:r>
        <w:t xml:space="preserve">· Adjunctive liraglutide treatment in patients with persistent or recurrent type 2 diabetes after metabolic surgery (GRAVITAS): a randomised, double-blind, placebo-controlled trial. PMID 31174993</w:t>
      </w:r>
    </w:p>
    <w:p>
      <w:pPr>
        <w:numPr>
          <w:ilvl w:val="0"/>
          <w:numId w:val="1377"/>
        </w:numPr>
        <w:pStyle w:val="Compact"/>
      </w:pPr>
      <w:r>
        <w:t xml:space="preserve">2019 · Abreu M ·</w:t>
      </w:r>
      <w:r>
        <w:t xml:space="preserve"> </w:t>
      </w:r>
      <w:r>
        <w:rPr>
          <w:iCs/>
          <w:i/>
        </w:rPr>
        <w:t xml:space="preserve">Diabetes Obes Metab</w:t>
      </w:r>
      <w:r>
        <w:t xml:space="preserve"> </w:t>
      </w:r>
      <w:r>
        <w:t xml:space="preserve">· A randomized trial comparing the efficacy and safety of treating patients with type 2 diabetes and highly elevated HbA1c levels with basal-bolus insulin or a glucagon-like peptide-1 receptor agonist plus basal insulin: The SIMPLE study. PMID 31144435</w:t>
      </w:r>
    </w:p>
    <w:p>
      <w:pPr>
        <w:numPr>
          <w:ilvl w:val="0"/>
          <w:numId w:val="1377"/>
        </w:numPr>
        <w:pStyle w:val="Compact"/>
      </w:pPr>
      <w:r>
        <w:t xml:space="preserve">2019 · Øhrstrøm CC ·</w:t>
      </w:r>
      <w:r>
        <w:t xml:space="preserve"> </w:t>
      </w:r>
      <w:r>
        <w:rPr>
          <w:iCs/>
          <w:i/>
        </w:rPr>
        <w:t xml:space="preserve">Diabetes Obes Metab</w:t>
      </w:r>
      <w:r>
        <w:t xml:space="preserve"> </w:t>
      </w:r>
      <w:r>
        <w:t xml:space="preserve">· Postprandial hypoglycaemia after Roux-en-Y gastric bypass and the effects of acarbose, sitagliptin, verapamil, liraglutide and pasireotide. PMID 31144430</w:t>
      </w:r>
    </w:p>
    <w:p>
      <w:pPr>
        <w:numPr>
          <w:ilvl w:val="0"/>
          <w:numId w:val="1377"/>
        </w:numPr>
        <w:pStyle w:val="Compact"/>
      </w:pPr>
      <w:r>
        <w:t xml:space="preserve">2019 · Anholm C ·</w:t>
      </w:r>
      <w:r>
        <w:t xml:space="preserve"> </w:t>
      </w:r>
      <w:r>
        <w:rPr>
          <w:iCs/>
          <w:i/>
        </w:rPr>
        <w:t xml:space="preserve">Diabetes Obes Metab</w:t>
      </w:r>
      <w:r>
        <w:t xml:space="preserve"> </w:t>
      </w:r>
      <w:r>
        <w:t xml:space="preserve">· Effect of liraglutide on estimates of lipolysis and lipid oxidation in obese patients with stable coronary artery disease and newly diagnosed type 2 diabetes: A randomized trial. PMID 31050161</w:t>
      </w:r>
    </w:p>
    <w:p>
      <w:pPr>
        <w:numPr>
          <w:ilvl w:val="0"/>
          <w:numId w:val="1377"/>
        </w:numPr>
        <w:pStyle w:val="Compact"/>
      </w:pPr>
      <w:r>
        <w:t xml:space="preserve">2019 · Bizino MB ·</w:t>
      </w:r>
      <w:r>
        <w:t xml:space="preserve"> </w:t>
      </w:r>
      <w:r>
        <w:rPr>
          <w:iCs/>
          <w:i/>
        </w:rPr>
        <w:t xml:space="preserve">Cardiovasc Diabetol</w:t>
      </w:r>
      <w:r>
        <w:t xml:space="preserve"> </w:t>
      </w:r>
      <w:r>
        <w:t xml:space="preserve">· Effect of liraglutide on cardiac function in patients with type 2 diabetes mellitus: randomized placebo-controlled trial. PMID 31039778</w:t>
      </w:r>
    </w:p>
    <w:p>
      <w:pPr>
        <w:numPr>
          <w:ilvl w:val="0"/>
          <w:numId w:val="1377"/>
        </w:numPr>
        <w:pStyle w:val="Compact"/>
      </w:pPr>
      <w:r>
        <w:t xml:space="preserve">2019 · Tamborlane WV ·</w:t>
      </w:r>
      <w:r>
        <w:t xml:space="preserve"> </w:t>
      </w:r>
      <w:r>
        <w:rPr>
          <w:iCs/>
          <w:i/>
        </w:rPr>
        <w:t xml:space="preserve">N Engl J Med</w:t>
      </w:r>
      <w:r>
        <w:t xml:space="preserve"> </w:t>
      </w:r>
      <w:r>
        <w:t xml:space="preserve">· Liraglutide in Children and Adolescents with Type 2 Diabetes. PMID 31034184</w:t>
      </w:r>
    </w:p>
    <w:p>
      <w:pPr>
        <w:numPr>
          <w:ilvl w:val="0"/>
          <w:numId w:val="1377"/>
        </w:numPr>
        <w:pStyle w:val="Compact"/>
      </w:pPr>
      <w:r>
        <w:t xml:space="preserve">2019 · Adiels M ·</w:t>
      </w:r>
      <w:r>
        <w:t xml:space="preserve"> </w:t>
      </w:r>
      <w:r>
        <w:rPr>
          <w:iCs/>
          <w:i/>
        </w:rPr>
        <w:t xml:space="preserve">Diabetes Obes Metab</w:t>
      </w:r>
      <w:r>
        <w:t xml:space="preserve"> </w:t>
      </w:r>
      <w:r>
        <w:t xml:space="preserve">· Role of apolipoprotein C-III overproduction in diabetic dyslipidaemia. PMID 30972934</w:t>
      </w:r>
    </w:p>
    <w:p>
      <w:pPr>
        <w:numPr>
          <w:ilvl w:val="0"/>
          <w:numId w:val="1377"/>
        </w:numPr>
        <w:pStyle w:val="Compact"/>
      </w:pPr>
      <w:r>
        <w:t xml:space="preserve">2019 · Tronieri JS ·</w:t>
      </w:r>
      <w:r>
        <w:t xml:space="preserve"> </w:t>
      </w:r>
      <w:r>
        <w:rPr>
          <w:iCs/>
          <w:i/>
        </w:rPr>
        <w:t xml:space="preserve">Metabolism</w:t>
      </w:r>
      <w:r>
        <w:t xml:space="preserve"> </w:t>
      </w:r>
      <w:r>
        <w:t xml:space="preserve">· Effects of liraglutide plus phentermine in adults with obesity following 1 year of treatment by liraglutide alone: A randomized placebo-controlled pilot trial. PMID 30902750</w:t>
      </w:r>
    </w:p>
    <w:p>
      <w:pPr>
        <w:numPr>
          <w:ilvl w:val="0"/>
          <w:numId w:val="1377"/>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7"/>
        </w:numPr>
        <w:pStyle w:val="Compact"/>
      </w:pPr>
      <w:r>
        <w:t xml:space="preserve">2019 · Liu X ·</w:t>
      </w:r>
      <w:r>
        <w:t xml:space="preserve"> </w:t>
      </w:r>
      <w:r>
        <w:rPr>
          <w:iCs/>
          <w:i/>
        </w:rPr>
        <w:t xml:space="preserve">J Coll Physicians Surg Pak</w:t>
      </w:r>
      <w:r>
        <w:t xml:space="preserve"> </w:t>
      </w:r>
      <w:r>
        <w:t xml:space="preserve">· Effects of Liraglutide Combined with Insulin on Oxidative Stress and Serum MCP-1 and NF-kB Levels in Type 2 Diabetes. PMID 30823945</w:t>
      </w:r>
    </w:p>
    <w:p>
      <w:pPr>
        <w:numPr>
          <w:ilvl w:val="0"/>
          <w:numId w:val="1377"/>
        </w:numPr>
        <w:pStyle w:val="Compact"/>
      </w:pPr>
      <w:r>
        <w:t xml:space="preserve">2019 · Brown-Frandsen K ·</w:t>
      </w:r>
      <w:r>
        <w:t xml:space="preserve"> </w:t>
      </w:r>
      <w:r>
        <w:rPr>
          <w:iCs/>
          <w:i/>
        </w:rPr>
        <w:t xml:space="preserve">Diabetes Obes Metab</w:t>
      </w:r>
      <w:r>
        <w:t xml:space="preserve"> </w:t>
      </w:r>
      <w:r>
        <w:t xml:space="preserve">· Lower rates of cardiovascular events and mortality associated with liraglutide use in patients treated with basal insulin: A DEVOTE subanalysis (DEVOTE 10). PMID 30793465</w:t>
      </w:r>
    </w:p>
    <w:p>
      <w:pPr>
        <w:numPr>
          <w:ilvl w:val="0"/>
          <w:numId w:val="1377"/>
        </w:numPr>
        <w:pStyle w:val="Compact"/>
      </w:pPr>
      <w:r>
        <w:t xml:space="preserve">2019 · Suhrs HE ·</w:t>
      </w:r>
      <w:r>
        <w:t xml:space="preserve"> </w:t>
      </w:r>
      <w:r>
        <w:rPr>
          <w:iCs/>
          <w:i/>
        </w:rPr>
        <w:t xml:space="preserve">Int J Cardiol</w:t>
      </w:r>
      <w:r>
        <w:t xml:space="preserve"> </w:t>
      </w:r>
      <w:r>
        <w:t xml:space="preserve">· Effect of liraglutide on body weight and microvascular function in non-diabetic overweight women with coronary microvascular dysfunction. PMID 30773266</w:t>
      </w:r>
    </w:p>
    <w:p>
      <w:pPr>
        <w:numPr>
          <w:ilvl w:val="0"/>
          <w:numId w:val="1377"/>
        </w:numPr>
        <w:pStyle w:val="Compact"/>
      </w:pPr>
      <w:r>
        <w:t xml:space="preserve">2019 · Philis-Tsimikas A ·</w:t>
      </w:r>
      <w:r>
        <w:t xml:space="preserve"> </w:t>
      </w:r>
      <w:r>
        <w:rPr>
          <w:iCs/>
          <w:i/>
        </w:rPr>
        <w:t xml:space="preserve">Diabetes Obes Metab</w:t>
      </w:r>
      <w:r>
        <w:t xml:space="preserve"> </w:t>
      </w:r>
      <w:r>
        <w:t xml:space="preserve">· Superior efficacy of insulin degludec/liraglutide versus insulin glargine U100 as add-on to sodium-glucose co-transporter-2 inhibitor therapy: A randomized clinical trial in people with uncontrolled type 2 diabetes. PMID 30761720</w:t>
      </w:r>
    </w:p>
    <w:p>
      <w:pPr>
        <w:numPr>
          <w:ilvl w:val="0"/>
          <w:numId w:val="1377"/>
        </w:numPr>
        <w:pStyle w:val="Compact"/>
      </w:pPr>
      <w:r>
        <w:t xml:space="preserve">2019 · Khoo J ·</w:t>
      </w:r>
      <w:r>
        <w:t xml:space="preserve"> </w:t>
      </w:r>
      <w:r>
        <w:rPr>
          <w:iCs/>
          <w:i/>
        </w:rPr>
        <w:t xml:space="preserve">Liver Int</w:t>
      </w:r>
      <w:r>
        <w:t xml:space="preserve"> </w:t>
      </w:r>
      <w:r>
        <w:t xml:space="preserve">· Randomized trial comparing effects of weight loss by liraglutide with lifestyle modification in non-alcoholic fatty liver disease. PMID 30721572</w:t>
      </w:r>
    </w:p>
    <w:p>
      <w:pPr>
        <w:numPr>
          <w:ilvl w:val="0"/>
          <w:numId w:val="1377"/>
        </w:numPr>
        <w:pStyle w:val="Compact"/>
      </w:pPr>
      <w:r>
        <w:t xml:space="preserve">2019 · Zobel EH ·</w:t>
      </w:r>
      <w:r>
        <w:t xml:space="preserve"> </w:t>
      </w:r>
      <w:r>
        <w:rPr>
          <w:iCs/>
          <w:i/>
        </w:rPr>
        <w:t xml:space="preserve">Diabetes Obes Metab</w:t>
      </w:r>
      <w:r>
        <w:t xml:space="preserve"> </w:t>
      </w:r>
      <w:r>
        <w:t xml:space="preserve">· Pleiotropic effects of liraglutide in patients with type 2 diabetes and moderate renal impairment: Individual effects of treatment. PMID 30663196</w:t>
      </w:r>
    </w:p>
    <w:p>
      <w:pPr>
        <w:numPr>
          <w:ilvl w:val="0"/>
          <w:numId w:val="1377"/>
        </w:numPr>
        <w:pStyle w:val="Compact"/>
      </w:pPr>
      <w:r>
        <w:t xml:space="preserve">2019 · Mastrandrea LD ·</w:t>
      </w:r>
      <w:r>
        <w:t xml:space="preserve"> </w:t>
      </w:r>
      <w:r>
        <w:rPr>
          <w:iCs/>
          <w:i/>
        </w:rPr>
        <w:t xml:space="preserve">Pediatr Obes</w:t>
      </w:r>
      <w:r>
        <w:t xml:space="preserve"> </w:t>
      </w:r>
      <w:r>
        <w:t xml:space="preserve">· Liraglutide effects in a paediatric (7-11 y) population with obesity: A randomized, double-blind, placebo-controlled, short-term trial to assess safety, tolerability, pharmacokinetics, and pharmacodynamics. PMID 30653847</w:t>
      </w:r>
    </w:p>
    <w:p>
      <w:pPr>
        <w:numPr>
          <w:ilvl w:val="0"/>
          <w:numId w:val="1377"/>
        </w:numPr>
        <w:pStyle w:val="Compact"/>
      </w:pPr>
      <w:r>
        <w:t xml:space="preserve">2019 · Wijkman MO ·</w:t>
      </w:r>
      <w:r>
        <w:t xml:space="preserve"> </w:t>
      </w:r>
      <w:r>
        <w:rPr>
          <w:iCs/>
          <w:i/>
        </w:rPr>
        <w:t xml:space="preserve">J Clin Hypertens (Greenwich)</w:t>
      </w:r>
      <w:r>
        <w:t xml:space="preserve"> </w:t>
      </w:r>
      <w:r>
        <w:t xml:space="preserve">· Predictors and correlates of systolic blood pressure reduction with liraglutide treatment in patients with type 2 diabetes. PMID 30515978</w:t>
      </w:r>
    </w:p>
    <w:p>
      <w:pPr>
        <w:numPr>
          <w:ilvl w:val="0"/>
          <w:numId w:val="1377"/>
        </w:numPr>
        <w:pStyle w:val="Compact"/>
      </w:pPr>
      <w:r>
        <w:t xml:space="preserve">2019 · Gilbert MP ·</w:t>
      </w:r>
      <w:r>
        <w:t xml:space="preserve"> </w:t>
      </w:r>
      <w:r>
        <w:rPr>
          <w:iCs/>
          <w:i/>
        </w:rPr>
        <w:t xml:space="preserve">Ann Intern Med</w:t>
      </w:r>
      <w:r>
        <w:t xml:space="preserve"> </w:t>
      </w:r>
      <w:r>
        <w:t xml:space="preserve">· Effect of Liraglutide on Cardiovascular Outcomes in Elderly Patients: A Post Hoc Analysis of a Randomized Controlled Trial. PMID 30508430</w:t>
      </w:r>
    </w:p>
    <w:p>
      <w:pPr>
        <w:numPr>
          <w:ilvl w:val="0"/>
          <w:numId w:val="1377"/>
        </w:numPr>
        <w:pStyle w:val="Compact"/>
      </w:pPr>
      <w:r>
        <w:t xml:space="preserve">2019 · Wadden TA ·</w:t>
      </w:r>
      <w:r>
        <w:t xml:space="preserve"> </w:t>
      </w:r>
      <w:r>
        <w:rPr>
          <w:iCs/>
          <w:i/>
        </w:rPr>
        <w:t xml:space="preserve">Obesity (Silver Spring)</w:t>
      </w:r>
      <w:r>
        <w:t xml:space="preserve"> </w:t>
      </w:r>
      <w:r>
        <w:t xml:space="preserve">· Intensive Behavioral Therapy for Obesity Combined with Liraglutide 3.0 mg: A Randomized Controlled Trial. PMID 30421856</w:t>
      </w:r>
    </w:p>
    <w:p>
      <w:pPr>
        <w:numPr>
          <w:ilvl w:val="0"/>
          <w:numId w:val="1377"/>
        </w:numPr>
        <w:pStyle w:val="Compact"/>
      </w:pPr>
      <w:r>
        <w:t xml:space="preserve">2019 · Lingvay I ·</w:t>
      </w:r>
      <w:r>
        <w:t xml:space="preserve"> </w:t>
      </w:r>
      <w:r>
        <w:rPr>
          <w:iCs/>
          <w:i/>
        </w:rPr>
        <w:t xml:space="preserve">Endocr Pract</w:t>
      </w:r>
      <w:r>
        <w:t xml:space="preserve"> </w:t>
      </w:r>
      <w:r>
        <w:t xml:space="preserve">· EFFICACY AND SAFETY OF IDEGLIRA IN OLDER PATIENTS WITH TYPE 2 DIABETES. PMID 30383495</w:t>
      </w:r>
    </w:p>
    <w:p>
      <w:pPr>
        <w:numPr>
          <w:ilvl w:val="0"/>
          <w:numId w:val="1377"/>
        </w:numPr>
        <w:pStyle w:val="Compact"/>
      </w:pPr>
      <w:r>
        <w:t xml:space="preserve">2019 · Svensson CK ·</w:t>
      </w:r>
      <w:r>
        <w:t xml:space="preserve"> </w:t>
      </w:r>
      <w:r>
        <w:rPr>
          <w:iCs/>
          <w:i/>
        </w:rPr>
        <w:t xml:space="preserve">Acta Psychiatr Scand</w:t>
      </w:r>
      <w:r>
        <w:t xml:space="preserve"> </w:t>
      </w:r>
      <w:r>
        <w:t xml:space="preserve">· One-year follow-up on liraglutide treatment for prediabetes and overweight/obesity in clozapine- or olanzapine-treated patients. PMID 30374965</w:t>
      </w:r>
    </w:p>
    <w:p>
      <w:pPr>
        <w:numPr>
          <w:ilvl w:val="0"/>
          <w:numId w:val="1377"/>
        </w:numPr>
        <w:pStyle w:val="Compact"/>
      </w:pPr>
      <w:r>
        <w:t xml:space="preserve">2019 · Yan J ·</w:t>
      </w:r>
      <w:r>
        <w:t xml:space="preserve"> </w:t>
      </w:r>
      <w:r>
        <w:rPr>
          <w:iCs/>
          <w:i/>
        </w:rPr>
        <w:t xml:space="preserve">Hepatology</w:t>
      </w:r>
      <w:r>
        <w:t xml:space="preserve"> </w:t>
      </w:r>
      <w:r>
        <w:t xml:space="preserve">· Liraglutide, Sitagliptin, and Insulin Glargine Added to Metformin: The Effect on Body Weight and Intrahepatic Lipid in Patients With Type 2 Diabetes Mellitus and Nonalcoholic Fatty Liver Disease. PMID 30341767</w:t>
      </w:r>
    </w:p>
    <w:p>
      <w:pPr>
        <w:numPr>
          <w:ilvl w:val="0"/>
          <w:numId w:val="1377"/>
        </w:numPr>
        <w:pStyle w:val="Compact"/>
      </w:pPr>
      <w:r>
        <w:t xml:space="preserve">2019 · Nauck MA ·</w:t>
      </w:r>
      <w:r>
        <w:t xml:space="preserve"> </w:t>
      </w:r>
      <w:r>
        <w:rPr>
          <w:iCs/>
          <w:i/>
        </w:rPr>
        <w:t xml:space="preserve">Diabetes Obes Metab</w:t>
      </w:r>
      <w:r>
        <w:t xml:space="preserve"> </w:t>
      </w:r>
      <w:r>
        <w:t xml:space="preserve">· Health-related quality of life in people with type 2 diabetes participating in the LEADER trial. PMID 30260088</w:t>
      </w:r>
    </w:p>
    <w:p>
      <w:pPr>
        <w:numPr>
          <w:ilvl w:val="0"/>
          <w:numId w:val="1377"/>
        </w:numPr>
        <w:pStyle w:val="Compact"/>
      </w:pPr>
      <w:r>
        <w:t xml:space="preserve">2019 · Liakos A ·</w:t>
      </w:r>
      <w:r>
        <w:t xml:space="preserve"> </w:t>
      </w:r>
      <w:r>
        <w:rPr>
          <w:iCs/>
          <w:i/>
        </w:rPr>
        <w:t xml:space="preserve">Diabetes Obes Metab</w:t>
      </w:r>
      <w:r>
        <w:t xml:space="preserve"> </w:t>
      </w:r>
      <w:r>
        <w:t xml:space="preserve">· Effect of liraglutide on ambulatory blood pressure in patients with hypertension and type 2 diabetes: A randomized, double-blind, placebo-controlled trial. PMID 30242948</w:t>
      </w:r>
    </w:p>
    <w:p>
      <w:pPr>
        <w:numPr>
          <w:ilvl w:val="0"/>
          <w:numId w:val="1377"/>
        </w:numPr>
        <w:pStyle w:val="Compact"/>
      </w:pPr>
      <w:r>
        <w:t xml:space="preserve">2019 · Wägner AM ·</w:t>
      </w:r>
      <w:r>
        <w:t xml:space="preserve"> </w:t>
      </w:r>
      <w:r>
        <w:rPr>
          <w:iCs/>
          <w:i/>
        </w:rPr>
        <w:t xml:space="preserve">Diabetes Metab</w:t>
      </w:r>
      <w:r>
        <w:t xml:space="preserve"> </w:t>
      </w:r>
      <w:r>
        <w:t xml:space="preserve">· Effect of liraglutide on physical performance in type 2 diabetes: Results of a randomized, double-blind, controlled trial (LIPER2). PMID 30223083</w:t>
      </w:r>
    </w:p>
    <w:p>
      <w:pPr>
        <w:numPr>
          <w:ilvl w:val="0"/>
          <w:numId w:val="1377"/>
        </w:numPr>
        <w:pStyle w:val="Compact"/>
      </w:pPr>
      <w:r>
        <w:t xml:space="preserve">2019 · Watson KT ·</w:t>
      </w:r>
      <w:r>
        <w:t xml:space="preserve"> </w:t>
      </w:r>
      <w:r>
        <w:rPr>
          <w:iCs/>
          <w:i/>
        </w:rPr>
        <w:t xml:space="preserve">Behav Brain Res</w:t>
      </w:r>
      <w:r>
        <w:t xml:space="preserve"> </w:t>
      </w:r>
      <w:r>
        <w:t xml:space="preserve">· Neural correlates of liraglutide effects in persons at risk for Alzheimer’s disease. PMID 30099030</w:t>
      </w:r>
    </w:p>
    <w:p>
      <w:pPr>
        <w:numPr>
          <w:ilvl w:val="0"/>
          <w:numId w:val="1377"/>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7"/>
        </w:numPr>
        <w:pStyle w:val="Compact"/>
      </w:pPr>
      <w:r>
        <w:t xml:space="preserve">2019 · Matikainen N ·</w:t>
      </w:r>
      <w:r>
        <w:t xml:space="preserve"> </w:t>
      </w:r>
      <w:r>
        <w:rPr>
          <w:iCs/>
          <w:i/>
        </w:rPr>
        <w:t xml:space="preserve">Diabetes Obes Metab</w:t>
      </w:r>
      <w:r>
        <w:t xml:space="preserve"> </w:t>
      </w:r>
      <w:r>
        <w:t xml:space="preserve">· Liraglutide treatment improves postprandial lipid metabolism and cardiometabolic risk factors in humans with adequately controlled type 2 diabetes: A single-centre randomized controlled study. PMID 30073766</w:t>
      </w:r>
    </w:p>
    <w:p>
      <w:pPr>
        <w:numPr>
          <w:ilvl w:val="0"/>
          <w:numId w:val="1377"/>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7"/>
        </w:numPr>
        <w:pStyle w:val="Compact"/>
      </w:pPr>
      <w:r>
        <w:t xml:space="preserve">2019 · Feng WH ·</w:t>
      </w:r>
      <w:r>
        <w:t xml:space="preserve"> </w:t>
      </w:r>
      <w:r>
        <w:rPr>
          <w:iCs/>
          <w:i/>
        </w:rPr>
        <w:t xml:space="preserve">J Diabetes Investig</w:t>
      </w:r>
      <w:r>
        <w:t xml:space="preserve"> </w:t>
      </w:r>
      <w:r>
        <w:t xml:space="preserve">· Effects of liraglutide, metformin and gliclazide on body composition in patients with both type 2 diabetes and non-alcoholic fatty liver disease: A randomized trial. PMID 29957886</w:t>
      </w:r>
    </w:p>
    <w:p>
      <w:pPr>
        <w:numPr>
          <w:ilvl w:val="0"/>
          <w:numId w:val="1377"/>
        </w:numPr>
        <w:pStyle w:val="Compact"/>
      </w:pPr>
      <w:r>
        <w:t xml:space="preserve">2019 · Nielsen R ·</w:t>
      </w:r>
      <w:r>
        <w:t xml:space="preserve"> </w:t>
      </w:r>
      <w:r>
        <w:rPr>
          <w:iCs/>
          <w:i/>
        </w:rPr>
        <w:t xml:space="preserve">J Nucl Cardiol</w:t>
      </w:r>
      <w:r>
        <w:t xml:space="preserve"> </w:t>
      </w:r>
      <w:r>
        <w:t xml:space="preserve">· Effect of liraglutide on myocardial glucose uptake and blood flow in stable chronic heart failure patients: A double-blind, randomized, placebo-controlled LIVE sub-study. PMID 28770459</w:t>
      </w:r>
    </w:p>
    <w:p>
      <w:pPr>
        <w:numPr>
          <w:ilvl w:val="0"/>
          <w:numId w:val="1377"/>
        </w:numPr>
        <w:pStyle w:val="Compact"/>
      </w:pPr>
      <w:r>
        <w:t xml:space="preserve">2018 · Mann JFE ·</w:t>
      </w:r>
      <w:r>
        <w:t xml:space="preserve"> </w:t>
      </w:r>
      <w:r>
        <w:rPr>
          <w:iCs/>
          <w:i/>
        </w:rPr>
        <w:t xml:space="preserve">Circulation</w:t>
      </w:r>
      <w:r>
        <w:t xml:space="preserve"> </w:t>
      </w:r>
      <w:r>
        <w:t xml:space="preserve">· Effects of Liraglutide Versus Placebo on Cardiovascular Events in Patients With Type 2 Diabetes Mellitus and Chronic Kidney Disease. PMID 30566006</w:t>
      </w:r>
    </w:p>
    <w:p>
      <w:pPr>
        <w:numPr>
          <w:ilvl w:val="0"/>
          <w:numId w:val="1377"/>
        </w:numPr>
        <w:pStyle w:val="Compact"/>
      </w:pPr>
      <w:r>
        <w:t xml:space="preserve">2018 · Verma S ·</w:t>
      </w:r>
      <w:r>
        <w:t xml:space="preserve"> </w:t>
      </w:r>
      <w:r>
        <w:rPr>
          <w:iCs/>
          <w:i/>
        </w:rPr>
        <w:t xml:space="preserve">Circulation</w:t>
      </w:r>
      <w:r>
        <w:t xml:space="preserve"> </w:t>
      </w:r>
      <w:r>
        <w:t xml:space="preserve">· Effects of Liraglutide on Cardiovascular Outcomes in Patients With Type 2 Diabetes Mellitus With or Without History of Myocardial Infarction or Stroke. PMID 30566004</w:t>
      </w:r>
    </w:p>
    <w:p>
      <w:pPr>
        <w:numPr>
          <w:ilvl w:val="0"/>
          <w:numId w:val="1377"/>
        </w:numPr>
        <w:pStyle w:val="Compact"/>
      </w:pPr>
      <w:r>
        <w:t xml:space="preserve">2018 · Simeone P ·</w:t>
      </w:r>
      <w:r>
        <w:t xml:space="preserve"> </w:t>
      </w:r>
      <w:r>
        <w:rPr>
          <w:iCs/>
          <w:i/>
        </w:rPr>
        <w:t xml:space="preserve">Nutrients</w:t>
      </w:r>
      <w:r>
        <w:t xml:space="preserve"> </w:t>
      </w:r>
      <w:r>
        <w:t xml:space="preserve">· Thromboxane-Dependent Platelet Activation in Obese Subjects with Prediabetes or Early Type 2 Diabetes: Effects of Liraglutide- or Lifestyle Changes-Induced Weight Loss. PMID 30513818</w:t>
      </w:r>
    </w:p>
    <w:p>
      <w:pPr>
        <w:numPr>
          <w:ilvl w:val="0"/>
          <w:numId w:val="1377"/>
        </w:numPr>
        <w:pStyle w:val="Compact"/>
      </w:pPr>
      <w:r>
        <w:t xml:space="preserve">2018 · Said OV ·</w:t>
      </w:r>
      <w:r>
        <w:t xml:space="preserve"> </w:t>
      </w:r>
      <w:r>
        <w:rPr>
          <w:iCs/>
          <w:i/>
        </w:rPr>
        <w:t xml:space="preserve">Wiad Lek</w:t>
      </w:r>
      <w:r>
        <w:t xml:space="preserve"> </w:t>
      </w:r>
      <w:r>
        <w:t xml:space="preserve">· Assessment of complex treatment influence on systemic inflammation in overweight type 2 diabetes patients. PMID 30267490</w:t>
      </w:r>
    </w:p>
    <w:p>
      <w:pPr>
        <w:numPr>
          <w:ilvl w:val="0"/>
          <w:numId w:val="1377"/>
        </w:numPr>
        <w:pStyle w:val="Compact"/>
      </w:pPr>
      <w:r>
        <w:t xml:space="preserve">2018 · Horie I ·</w:t>
      </w:r>
      <w:r>
        <w:t xml:space="preserve"> </w:t>
      </w:r>
      <w:r>
        <w:rPr>
          <w:iCs/>
          <w:i/>
        </w:rPr>
        <w:t xml:space="preserve">Diabetes Res Clin Pract</w:t>
      </w:r>
      <w:r>
        <w:t xml:space="preserve"> </w:t>
      </w:r>
      <w:r>
        <w:t xml:space="preserve">· Predictive factors of efficacy of combination therapy with basal insulin and liraglutide in type 2 diabetes when switched from longstanding basal-bolus insulin: Association between the responses of β- and α-cells to GLP-1 stimulation and the glycaemic control at 6 months after switching therapy. PMID 30194951</w:t>
      </w:r>
    </w:p>
    <w:p>
      <w:pPr>
        <w:numPr>
          <w:ilvl w:val="0"/>
          <w:numId w:val="1377"/>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7"/>
        </w:numPr>
        <w:pStyle w:val="Compact"/>
      </w:pPr>
      <w:r>
        <w:t xml:space="preserve">2018 · Sharma A ·</w:t>
      </w:r>
      <w:r>
        <w:t xml:space="preserve"> </w:t>
      </w:r>
      <w:r>
        <w:rPr>
          <w:iCs/>
          <w:i/>
        </w:rPr>
        <w:t xml:space="preserve">ESC Heart Fail</w:t>
      </w:r>
      <w:r>
        <w:t xml:space="preserve"> </w:t>
      </w:r>
      <w:r>
        <w:t xml:space="preserve">· Liraglutide and weight loss among patients with advanced heart failure and a reduced ejection fraction: insights from the FIGHT trial. PMID 30120812</w:t>
      </w:r>
    </w:p>
    <w:p>
      <w:pPr>
        <w:numPr>
          <w:ilvl w:val="0"/>
          <w:numId w:val="1377"/>
        </w:numPr>
        <w:pStyle w:val="Compact"/>
      </w:pPr>
      <w:r>
        <w:t xml:space="preserve">2018 · Dhatariya K ·</w:t>
      </w:r>
      <w:r>
        <w:t xml:space="preserve"> </w:t>
      </w:r>
      <w:r>
        <w:rPr>
          <w:iCs/>
          <w:i/>
        </w:rPr>
        <w:t xml:space="preserve">Diabetes Care</w:t>
      </w:r>
      <w:r>
        <w:t xml:space="preserve"> </w:t>
      </w:r>
      <w:r>
        <w:t xml:space="preserve">· The Impact of Liraglutide on Diabetes-Related Foot Ulceration and Associated Complications in Patients With Type 2 Diabetes at High Risk for Cardiovascular Events: Results From the LEADER Trial. PMID 30072400</w:t>
      </w:r>
    </w:p>
    <w:p>
      <w:pPr>
        <w:numPr>
          <w:ilvl w:val="0"/>
          <w:numId w:val="1377"/>
        </w:numPr>
        <w:pStyle w:val="Compact"/>
      </w:pPr>
      <w:r>
        <w:t xml:space="preserve">2018 · Hiramatsu T ·</w:t>
      </w:r>
      <w:r>
        <w:t xml:space="preserve"> </w:t>
      </w:r>
      <w:r>
        <w:rPr>
          <w:iCs/>
          <w:i/>
        </w:rPr>
        <w:t xml:space="preserve">Eur J Clin Invest</w:t>
      </w:r>
      <w:r>
        <w:t xml:space="preserve"> </w:t>
      </w:r>
      <w:r>
        <w:t xml:space="preserve">· Liraglutide relieves cardiac dilated function than DPP-4 inhibitors. PMID 30054920</w:t>
      </w:r>
    </w:p>
    <w:p>
      <w:pPr>
        <w:numPr>
          <w:ilvl w:val="0"/>
          <w:numId w:val="1377"/>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7"/>
        </w:numPr>
        <w:pStyle w:val="Compact"/>
      </w:pPr>
      <w:r>
        <w:t xml:space="preserve">2018 · Vergès B ·</w:t>
      </w:r>
      <w:r>
        <w:t xml:space="preserve"> </w:t>
      </w:r>
      <w:r>
        <w:rPr>
          <w:iCs/>
          <w:i/>
        </w:rPr>
        <w:t xml:space="preserve">Arterioscler Thromb Vasc Biol</w:t>
      </w:r>
      <w:r>
        <w:t xml:space="preserve"> </w:t>
      </w:r>
      <w:r>
        <w:t xml:space="preserve">· Liraglutide Reduces Postprandial Hyperlipidemia by Increasing ApoB48 (Apolipoprotein B48) Catabolism and by Reducing ApoB48 Production in Patients With Type 2 Diabetes Mellitus. PMID 30026275</w:t>
      </w:r>
    </w:p>
    <w:p>
      <w:pPr>
        <w:numPr>
          <w:ilvl w:val="0"/>
          <w:numId w:val="1377"/>
        </w:numPr>
        <w:pStyle w:val="Compact"/>
      </w:pPr>
      <w:r>
        <w:t xml:space="preserve">2018 · Mather KJ ·</w:t>
      </w:r>
      <w:r>
        <w:t xml:space="preserve"> </w:t>
      </w:r>
      <w:r>
        <w:rPr>
          <w:iCs/>
          <w:i/>
        </w:rPr>
        <w:t xml:space="preserve">J Clin Endocrinol Metab</w:t>
      </w:r>
      <w:r>
        <w:t xml:space="preserve"> </w:t>
      </w:r>
      <w:r>
        <w:t xml:space="preserve">· Combination GLP-1 and Insulin Treatment Fails to Alter Myocardial Fuel Selection vs. Insulin Alone in Type 2 Diabetes. PMID 30020461</w:t>
      </w:r>
    </w:p>
    <w:p>
      <w:pPr>
        <w:numPr>
          <w:ilvl w:val="0"/>
          <w:numId w:val="1377"/>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7"/>
        </w:numPr>
        <w:pStyle w:val="Compact"/>
      </w:pPr>
      <w:r>
        <w:t xml:space="preserve">2018 · Nauck MA ·</w:t>
      </w:r>
      <w:r>
        <w:t xml:space="preserve"> </w:t>
      </w:r>
      <w:r>
        <w:rPr>
          <w:iCs/>
          <w:i/>
        </w:rPr>
        <w:t xml:space="preserve">Diab Vasc Dis Res</w:t>
      </w:r>
      <w:r>
        <w:t xml:space="preserve"> </w:t>
      </w:r>
      <w:r>
        <w:t xml:space="preserve">· Cardiovascular outcomes in patients who experienced a myocardial infarction while treated with liraglutide versus placebo in the LEADER trial. PMID 29947247</w:t>
      </w:r>
    </w:p>
    <w:p>
      <w:pPr>
        <w:numPr>
          <w:ilvl w:val="0"/>
          <w:numId w:val="1377"/>
        </w:numPr>
        <w:pStyle w:val="Compact"/>
      </w:pPr>
      <w:r>
        <w:t xml:space="preserve">2018 · Zinman B ·</w:t>
      </w:r>
      <w:r>
        <w:t xml:space="preserve"> </w:t>
      </w:r>
      <w:r>
        <w:rPr>
          <w:iCs/>
          <w:i/>
        </w:rPr>
        <w:t xml:space="preserve">Diabetes Care</w:t>
      </w:r>
      <w:r>
        <w:t xml:space="preserve"> </w:t>
      </w:r>
      <w:r>
        <w:t xml:space="preserve">· Hypoglycemia, Cardiovascular Outcomes, and Death: The LEADER Experience. PMID 29903847</w:t>
      </w:r>
    </w:p>
    <w:p>
      <w:pPr>
        <w:numPr>
          <w:ilvl w:val="0"/>
          <w:numId w:val="1377"/>
        </w:numPr>
        <w:pStyle w:val="Compact"/>
      </w:pPr>
      <w:r>
        <w:t xml:space="preserve">2018 · Nauck MA ·</w:t>
      </w:r>
      <w:r>
        <w:t xml:space="preserve"> </w:t>
      </w:r>
      <w:r>
        <w:rPr>
          <w:iCs/>
          <w:i/>
        </w:rPr>
        <w:t xml:space="preserve">Diabetes Care</w:t>
      </w:r>
      <w:r>
        <w:t xml:space="preserve"> </w:t>
      </w:r>
      <w:r>
        <w:t xml:space="preserve">· Neoplasms Reported With Liraglutide or Placebo in People With Type 2 Diabetes: Results From the LEADER Randomized Trial. PMID 29898902</w:t>
      </w:r>
    </w:p>
    <w:p>
      <w:pPr>
        <w:numPr>
          <w:ilvl w:val="0"/>
          <w:numId w:val="1377"/>
        </w:numPr>
        <w:pStyle w:val="Compact"/>
      </w:pPr>
      <w:r>
        <w:t xml:space="preserve">2018 · Nexøe-Larsen CC ·</w:t>
      </w:r>
      <w:r>
        <w:t xml:space="preserve"> </w:t>
      </w:r>
      <w:r>
        <w:rPr>
          <w:iCs/>
          <w:i/>
        </w:rPr>
        <w:t xml:space="preserve">Diabetes Obes Metab</w:t>
      </w:r>
      <w:r>
        <w:t xml:space="preserve"> </w:t>
      </w:r>
      <w:r>
        <w:t xml:space="preserve">· Effects of liraglutide on gallbladder emptying: A randomized, placebo-controlled trial in adults with overweight or obesity. PMID 29892986</w:t>
      </w:r>
    </w:p>
    <w:p>
      <w:pPr>
        <w:numPr>
          <w:ilvl w:val="0"/>
          <w:numId w:val="1377"/>
        </w:numPr>
        <w:pStyle w:val="Compact"/>
      </w:pPr>
      <w:r>
        <w:t xml:space="preserve">2018 · Iepsen EW ·</w:t>
      </w:r>
      <w:r>
        <w:t xml:space="preserve"> </w:t>
      </w:r>
      <w:r>
        <w:rPr>
          <w:iCs/>
          <w:i/>
        </w:rPr>
        <w:t xml:space="preserve">Cell Metab</w:t>
      </w:r>
      <w:r>
        <w:t xml:space="preserve"> </w:t>
      </w:r>
      <w:r>
        <w:t xml:space="preserve">· Patients with Obesity Caused by Melanocortin-4 Receptor Mutations Can Be Treated with a Glucagon-like Peptide-1 Receptor Agonist. PMID 29861388</w:t>
      </w:r>
    </w:p>
    <w:p>
      <w:pPr>
        <w:numPr>
          <w:ilvl w:val="0"/>
          <w:numId w:val="1377"/>
        </w:numPr>
        <w:pStyle w:val="Compact"/>
      </w:pPr>
      <w:r>
        <w:t xml:space="preserve">2018 · Verma S ·</w:t>
      </w:r>
      <w:r>
        <w:t xml:space="preserve"> </w:t>
      </w:r>
      <w:r>
        <w:rPr>
          <w:iCs/>
          <w:i/>
        </w:rPr>
        <w:t xml:space="preserve">Circulation</w:t>
      </w:r>
      <w:r>
        <w:t xml:space="preserve"> </w:t>
      </w:r>
      <w:r>
        <w:t xml:space="preserve">· Effect of Liraglutide on Cardiovascular Events in Patients With Type 2 Diabetes Mellitus and Polyvascular Disease: Results of the LEADER Trial. PMID 29760228</w:t>
      </w:r>
    </w:p>
    <w:p>
      <w:pPr>
        <w:numPr>
          <w:ilvl w:val="0"/>
          <w:numId w:val="1377"/>
        </w:numPr>
        <w:pStyle w:val="Compact"/>
      </w:pPr>
      <w:r>
        <w:t xml:space="preserve">2018 · Salamun V ·</w:t>
      </w:r>
      <w:r>
        <w:t xml:space="preserve"> </w:t>
      </w:r>
      <w:r>
        <w:rPr>
          <w:iCs/>
          <w:i/>
        </w:rPr>
        <w:t xml:space="preserve">Eur J Endocrinol</w:t>
      </w:r>
      <w:r>
        <w:t xml:space="preserve"> </w:t>
      </w:r>
      <w:r>
        <w:t xml:space="preserve">· Liraglutide increases IVF pregnancy rates in obese PCOS women with poor response to first-line reproductive treatments: a pilot randomized study. PMID 29703793</w:t>
      </w:r>
    </w:p>
    <w:p>
      <w:pPr>
        <w:numPr>
          <w:ilvl w:val="0"/>
          <w:numId w:val="1377"/>
        </w:numPr>
        <w:pStyle w:val="Compact"/>
      </w:pPr>
      <w:r>
        <w:t xml:space="preserve">2018 · Chen XM ·</w:t>
      </w:r>
      <w:r>
        <w:t xml:space="preserve"> </w:t>
      </w:r>
      <w:r>
        <w:rPr>
          <w:iCs/>
          <w:i/>
        </w:rPr>
        <w:t xml:space="preserve">Cardiovasc Diabetol</w:t>
      </w:r>
      <w:r>
        <w:t xml:space="preserve"> </w:t>
      </w:r>
      <w:r>
        <w:t xml:space="preserve">· Liraglutide suppresses non-esterified free fatty acids and soluble vascular cell adhesion molecule-1 compared with metformin in patients with recent-onset type 2 diabetes. PMID 29636047</w:t>
      </w:r>
    </w:p>
    <w:p>
      <w:pPr>
        <w:numPr>
          <w:ilvl w:val="0"/>
          <w:numId w:val="1377"/>
        </w:numPr>
        <w:pStyle w:val="Compact"/>
      </w:pPr>
      <w:r>
        <w:t xml:space="preserve">2018 · Martinez R ·</w:t>
      </w:r>
      <w:r>
        <w:t xml:space="preserve"> </w:t>
      </w:r>
      <w:r>
        <w:rPr>
          <w:iCs/>
          <w:i/>
        </w:rPr>
        <w:t xml:space="preserve">Diabetes</w:t>
      </w:r>
      <w:r>
        <w:t xml:space="preserve"> </w:t>
      </w:r>
      <w:r>
        <w:t xml:space="preserve">· Endogenous Glucose Production and Hormonal Changes in Response to Canagliflozin and Liraglutide Combination Therapy. PMID 29602791</w:t>
      </w:r>
    </w:p>
    <w:p>
      <w:pPr>
        <w:numPr>
          <w:ilvl w:val="0"/>
          <w:numId w:val="1377"/>
        </w:numPr>
        <w:pStyle w:val="Compact"/>
      </w:pPr>
      <w:r>
        <w:t xml:space="preserve">2018 · Yamamoto S ·</w:t>
      </w:r>
      <w:r>
        <w:t xml:space="preserve"> </w:t>
      </w:r>
      <w:r>
        <w:rPr>
          <w:iCs/>
          <w:i/>
        </w:rPr>
        <w:t xml:space="preserve">Diabetes Res Clin Pract</w:t>
      </w:r>
      <w:r>
        <w:t xml:space="preserve"> </w:t>
      </w:r>
      <w:r>
        <w:t xml:space="preserve">· Comparison of liraglutide plus basal insulin and basal-bolus insulin therapy (BBIT) for glycemic control, body weight stability, and treatment satisfaction in patients treated using BBIT for type 2 diabetes without severe insulin deficiency: A randomized prospective pilot study. PMID 29588170</w:t>
      </w:r>
    </w:p>
    <w:p>
      <w:pPr>
        <w:numPr>
          <w:ilvl w:val="0"/>
          <w:numId w:val="1377"/>
        </w:numPr>
        <w:pStyle w:val="Compact"/>
      </w:pPr>
      <w:r>
        <w:t xml:space="preserve">2018 · Shankar SS ·</w:t>
      </w:r>
      <w:r>
        <w:t xml:space="preserve"> </w:t>
      </w:r>
      <w:r>
        <w:rPr>
          <w:iCs/>
          <w:i/>
        </w:rPr>
        <w:t xml:space="preserve">Diabetes</w:t>
      </w:r>
      <w:r>
        <w:t xml:space="preserve"> </w:t>
      </w:r>
      <w:r>
        <w:t xml:space="preserve">· Native Oxyntomodulin Has Significant Glucoregulatory Effects Independent of Weight Loss in Obese Humans With and Without Type 2 Diabetes. PMID 29545266</w:t>
      </w:r>
    </w:p>
    <w:p>
      <w:pPr>
        <w:numPr>
          <w:ilvl w:val="0"/>
          <w:numId w:val="1377"/>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7"/>
        </w:numPr>
        <w:pStyle w:val="Compact"/>
      </w:pPr>
      <w:r>
        <w:t xml:space="preserve">2018 · Billings LK ·</w:t>
      </w:r>
      <w:r>
        <w:t xml:space="preserve"> </w:t>
      </w:r>
      <w:r>
        <w:rPr>
          <w:iCs/>
          <w:i/>
        </w:rPr>
        <w:t xml:space="preserve">Diabetes Care</w:t>
      </w:r>
      <w:r>
        <w:t xml:space="preserve"> </w:t>
      </w:r>
      <w:r>
        <w:t xml:space="preserve">· Efficacy and Safety of IDegLira Versus Basal-Bolus Insulin Therapy in Patients With Type 2 Diabetes Uncontrolled on Metformin and Basal Insulin: The DUAL VII Randomized Clinical Trial. PMID 29483185</w:t>
      </w:r>
    </w:p>
    <w:p>
      <w:pPr>
        <w:numPr>
          <w:ilvl w:val="0"/>
          <w:numId w:val="1377"/>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7"/>
        </w:numPr>
        <w:pStyle w:val="Compact"/>
      </w:pPr>
      <w:r>
        <w:t xml:space="preserve">2018 · Capristo E ·</w:t>
      </w:r>
      <w:r>
        <w:t xml:space="preserve"> </w:t>
      </w:r>
      <w:r>
        <w:rPr>
          <w:iCs/>
          <w:i/>
        </w:rPr>
        <w:t xml:space="preserve">Diabetes Metab</w:t>
      </w:r>
      <w:r>
        <w:t xml:space="preserve"> </w:t>
      </w:r>
      <w:r>
        <w:t xml:space="preserve">· Intensive lifestyle modifications with or without liraglutide 3mg vs. sleeve gastrectomy: A three-arm non-randomised, controlled, pilot study. PMID 29398254</w:t>
      </w:r>
    </w:p>
    <w:p>
      <w:pPr>
        <w:numPr>
          <w:ilvl w:val="0"/>
          <w:numId w:val="1377"/>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7"/>
        </w:numPr>
        <w:pStyle w:val="Compact"/>
      </w:pPr>
      <w:r>
        <w:t xml:space="preserve">2018 · Lambadiari V ·</w:t>
      </w:r>
      <w:r>
        <w:t xml:space="preserve"> </w:t>
      </w:r>
      <w:r>
        <w:rPr>
          <w:iCs/>
          <w:i/>
        </w:rPr>
        <w:t xml:space="preserve">Cardiovasc Diabetol</w:t>
      </w:r>
      <w:r>
        <w:t xml:space="preserve"> </w:t>
      </w:r>
      <w:r>
        <w:t xml:space="preserve">· Effects of 6-month treatment with the glucagon like peptide-1 analogue liraglutide on arterial stiffness, left ventricular myocardial deformation and oxidative stress in subjects with newly diagnosed type 2 diabetes. PMID 29310645</w:t>
      </w:r>
    </w:p>
    <w:p>
      <w:pPr>
        <w:numPr>
          <w:ilvl w:val="0"/>
          <w:numId w:val="1377"/>
        </w:numPr>
        <w:pStyle w:val="Compact"/>
      </w:pPr>
      <w:r>
        <w:t xml:space="preserve">2018 · Hegedüs L ·</w:t>
      </w:r>
      <w:r>
        <w:t xml:space="preserve"> </w:t>
      </w:r>
      <w:r>
        <w:rPr>
          <w:iCs/>
          <w:i/>
        </w:rPr>
        <w:t xml:space="preserve">Diabetes Care</w:t>
      </w:r>
      <w:r>
        <w:t xml:space="preserve"> </w:t>
      </w:r>
      <w:r>
        <w:t xml:space="preserve">· No Evidence of Increase in Calcitonin Concentrations or Development of C-Cell Malignancy in Response to Liraglutide for Up to 5 Years in the LEADER Trial. PMID 29279300</w:t>
      </w:r>
    </w:p>
    <w:p>
      <w:pPr>
        <w:numPr>
          <w:ilvl w:val="0"/>
          <w:numId w:val="1377"/>
        </w:numPr>
        <w:pStyle w:val="Compact"/>
      </w:pPr>
      <w:r>
        <w:t xml:space="preserve">2018 · Kaneko S ·</w:t>
      </w:r>
      <w:r>
        <w:t xml:space="preserve"> </w:t>
      </w:r>
      <w:r>
        <w:rPr>
          <w:iCs/>
          <w:i/>
        </w:rPr>
        <w:t xml:space="preserve">J Diabetes Investig</w:t>
      </w:r>
      <w:r>
        <w:t xml:space="preserve"> </w:t>
      </w:r>
      <w:r>
        <w:t xml:space="preserve">· Efficacy and safety of adding liraglutide to existing insulin regimens in Japanese patients with type 2 diabetes mellitus: A post-hoc analysis of a phase 3 randomized clinical trial. PMID 29277968</w:t>
      </w:r>
    </w:p>
    <w:p>
      <w:pPr>
        <w:numPr>
          <w:ilvl w:val="0"/>
          <w:numId w:val="1377"/>
        </w:numPr>
        <w:pStyle w:val="Compact"/>
      </w:pPr>
      <w:r>
        <w:t xml:space="preserve">2018 · Polderman JAW ·</w:t>
      </w:r>
      <w:r>
        <w:t xml:space="preserve"> </w:t>
      </w:r>
      <w:r>
        <w:rPr>
          <w:iCs/>
          <w:i/>
        </w:rPr>
        <w:t xml:space="preserve">Anaesthesia</w:t>
      </w:r>
      <w:r>
        <w:t xml:space="preserve"> </w:t>
      </w:r>
      <w:r>
        <w:t xml:space="preserve">· Peri-operative management of patients with type-2 diabetes mellitus undergoing non-cardiac surgery using liraglutide, glucose-insulin-potassium infusion or intravenous insulin bolus regimens: a randomised controlled trial. PMID 29230803</w:t>
      </w:r>
    </w:p>
    <w:p>
      <w:pPr>
        <w:numPr>
          <w:ilvl w:val="0"/>
          <w:numId w:val="1377"/>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77"/>
        </w:numPr>
        <w:pStyle w:val="Compact"/>
      </w:pPr>
      <w:r>
        <w:t xml:space="preserve">2018 · Tran S ·</w:t>
      </w:r>
      <w:r>
        <w:t xml:space="preserve"> </w:t>
      </w:r>
      <w:r>
        <w:rPr>
          <w:iCs/>
          <w:i/>
        </w:rPr>
        <w:t xml:space="preserve">Am J Physiol Endocrinol Metab</w:t>
      </w:r>
      <w:r>
        <w:t xml:space="preserve"> </w:t>
      </w:r>
      <w:r>
        <w:t xml:space="preserve">· Effect of chronic liraglutide therapy and its withdrawal on time to postchallenge peak glucose in type 2 diabetes. PMID 29183873</w:t>
      </w:r>
    </w:p>
    <w:p>
      <w:pPr>
        <w:numPr>
          <w:ilvl w:val="0"/>
          <w:numId w:val="1377"/>
        </w:numPr>
        <w:pStyle w:val="Compact"/>
      </w:pPr>
      <w:r>
        <w:t xml:space="preserve">2018 · Evans M ·</w:t>
      </w:r>
      <w:r>
        <w:t xml:space="preserve"> </w:t>
      </w:r>
      <w:r>
        <w:rPr>
          <w:iCs/>
          <w:i/>
        </w:rPr>
        <w:t xml:space="preserve">J Med Econ</w:t>
      </w:r>
      <w:r>
        <w:t xml:space="preserve"> </w:t>
      </w:r>
      <w:r>
        <w:t xml:space="preserve">· An indirect treatment comparison of the efficacy of insulin degludec/liraglutide (IDegLira) and insulin glargine/lixisenatide (iGlarLixi) in patients with type 2 diabetes uncontrolled on basal insulin. PMID 29164973</w:t>
      </w:r>
    </w:p>
    <w:p>
      <w:pPr>
        <w:numPr>
          <w:ilvl w:val="0"/>
          <w:numId w:val="1377"/>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7"/>
        </w:numPr>
        <w:pStyle w:val="Compact"/>
      </w:pPr>
      <w:r>
        <w:t xml:space="preserve">2018 · Kolotkin RL ·</w:t>
      </w:r>
      <w:r>
        <w:t xml:space="preserve"> </w:t>
      </w:r>
      <w:r>
        <w:rPr>
          <w:iCs/>
          <w:i/>
        </w:rPr>
        <w:t xml:space="preserve">Clin Obes</w:t>
      </w:r>
      <w:r>
        <w:t xml:space="preserve"> </w:t>
      </w:r>
      <w:r>
        <w:t xml:space="preserve">· Improvements in health-related quality of life over 3 years with liraglutide 3.0 mg compared with placebo in participants with overweight or obesity. PMID 29045079</w:t>
      </w:r>
    </w:p>
    <w:p>
      <w:pPr>
        <w:numPr>
          <w:ilvl w:val="0"/>
          <w:numId w:val="1377"/>
        </w:numPr>
        <w:pStyle w:val="Compact"/>
      </w:pPr>
      <w:r>
        <w:t xml:space="preserve">2018 · Kiyosue A ·</w:t>
      </w:r>
      <w:r>
        <w:t xml:space="preserve"> </w:t>
      </w:r>
      <w:r>
        <w:rPr>
          <w:iCs/>
          <w:i/>
        </w:rPr>
        <w:t xml:space="preserve">J Diabetes Investig</w:t>
      </w:r>
      <w:r>
        <w:t xml:space="preserve"> </w:t>
      </w:r>
      <w:r>
        <w:t xml:space="preserve">· Safety and efficacy of the combination of the glucagon-like peptide-1 receptor agonist liraglutide with an oral antidiabetic drug in Japanese patients with type 2 diabetes: Post-hoc analysis of a randomized, 52-week, open-label, parallel-group trial. PMID 28984041</w:t>
      </w:r>
    </w:p>
    <w:p>
      <w:pPr>
        <w:numPr>
          <w:ilvl w:val="0"/>
          <w:numId w:val="1377"/>
        </w:numPr>
        <w:pStyle w:val="Compact"/>
      </w:pPr>
      <w:r>
        <w:t xml:space="preserve">2018 · Dubé MC ·</w:t>
      </w:r>
      <w:r>
        <w:t xml:space="preserve"> </w:t>
      </w:r>
      <w:r>
        <w:rPr>
          <w:iCs/>
          <w:i/>
        </w:rPr>
        <w:t xml:space="preserve">Diabetes Obes Metab</w:t>
      </w:r>
      <w:r>
        <w:t xml:space="preserve"> </w:t>
      </w:r>
      <w:r>
        <w:t xml:space="preserve">· Beyond glycaemic control: A cross-over, double-blinded, 24-week intervention with liraglutide in type 1 diabetes. PMID 28722271</w:t>
      </w:r>
    </w:p>
    <w:p>
      <w:pPr>
        <w:numPr>
          <w:ilvl w:val="0"/>
          <w:numId w:val="1377"/>
        </w:numPr>
        <w:pStyle w:val="Compact"/>
      </w:pPr>
      <w:r>
        <w:t xml:space="preserve">2018 · Frøssing S ·</w:t>
      </w:r>
      <w:r>
        <w:t xml:space="preserve"> </w:t>
      </w:r>
      <w:r>
        <w:rPr>
          <w:iCs/>
          <w:i/>
        </w:rPr>
        <w:t xml:space="preserve">Diabetes Obes Metab</w:t>
      </w:r>
      <w:r>
        <w:t xml:space="preserve"> </w:t>
      </w:r>
      <w:r>
        <w:t xml:space="preserve">· Effect of liraglutide on ectopic fat in polycystic ovary syndrome: A randomized clinical trial. PMID 28681988</w:t>
      </w:r>
    </w:p>
    <w:p>
      <w:pPr>
        <w:numPr>
          <w:ilvl w:val="0"/>
          <w:numId w:val="1377"/>
        </w:numPr>
        <w:pStyle w:val="Compact"/>
      </w:pPr>
      <w:r>
        <w:t xml:space="preserve">2018 · Lingvay I ·</w:t>
      </w:r>
      <w:r>
        <w:t xml:space="preserve"> </w:t>
      </w:r>
      <w:r>
        <w:rPr>
          <w:iCs/>
          <w:i/>
        </w:rPr>
        <w:t xml:space="preserve">Diabetes Obes Metab</w:t>
      </w:r>
      <w:r>
        <w:t xml:space="preserve"> </w:t>
      </w:r>
      <w:r>
        <w:t xml:space="preserve">· Insulin degludec/liraglutide (IDegLira) was effective across a range of dysglycaemia and body mass index categories in the DUAL V randomized trial. PMID 28643425</w:t>
      </w:r>
    </w:p>
    <w:p>
      <w:pPr>
        <w:numPr>
          <w:ilvl w:val="0"/>
          <w:numId w:val="1377"/>
        </w:numPr>
        <w:pStyle w:val="Compact"/>
      </w:pPr>
      <w:r>
        <w:t xml:space="preserve">2018 · Koska J ·</w:t>
      </w:r>
      <w:r>
        <w:t xml:space="preserve"> </w:t>
      </w:r>
      <w:r>
        <w:rPr>
          <w:iCs/>
          <w:i/>
        </w:rPr>
        <w:t xml:space="preserve">Diabetes Obes Metab</w:t>
      </w:r>
      <w:r>
        <w:t xml:space="preserve"> </w:t>
      </w:r>
      <w:r>
        <w:t xml:space="preserve">· Effect of liraglutide on dietary lipid-induced insulin resistance in humans. PMID 28605158</w:t>
      </w:r>
    </w:p>
    <w:p>
      <w:pPr>
        <w:numPr>
          <w:ilvl w:val="0"/>
          <w:numId w:val="1377"/>
        </w:numPr>
        <w:pStyle w:val="Compact"/>
      </w:pPr>
      <w:r>
        <w:t xml:space="preserve">2018 · Seino Y ·</w:t>
      </w:r>
      <w:r>
        <w:t xml:space="preserve"> </w:t>
      </w:r>
      <w:r>
        <w:rPr>
          <w:iCs/>
          <w:i/>
        </w:rPr>
        <w:t xml:space="preserve">J Diabetes Investig</w:t>
      </w:r>
      <w:r>
        <w:t xml:space="preserve"> </w:t>
      </w:r>
      <w:r>
        <w:t xml:space="preserve">· Sodium-glucose cotransporter-2 inhibitor luseogliflozin added to glucagon-like peptide 1 receptor agonist liraglutide improves glycemic control with bodyweight and fat mass reductions in Japanese patients with type 2 diabetes: A 52-week, open-label, single-arm study. PMID 28502112</w:t>
      </w:r>
    </w:p>
    <w:p>
      <w:pPr>
        <w:numPr>
          <w:ilvl w:val="0"/>
          <w:numId w:val="1377"/>
        </w:numPr>
        <w:pStyle w:val="Compact"/>
      </w:pPr>
      <w:r>
        <w:t xml:space="preserve">2017 · Gejl M ·</w:t>
      </w:r>
      <w:r>
        <w:t xml:space="preserve"> </w:t>
      </w:r>
      <w:r>
        <w:rPr>
          <w:iCs/>
          <w:i/>
        </w:rPr>
        <w:t xml:space="preserve">Sci Rep</w:t>
      </w:r>
      <w:r>
        <w:t xml:space="preserve"> </w:t>
      </w:r>
      <w:r>
        <w:t xml:space="preserve">· Blood-Brain Glucose Transfer in Alzheimer’s disease: Effect of GLP-1 Analog Treatment. PMID 29235507</w:t>
      </w:r>
    </w:p>
    <w:p>
      <w:pPr>
        <w:numPr>
          <w:ilvl w:val="0"/>
          <w:numId w:val="1377"/>
        </w:numPr>
        <w:pStyle w:val="Compact"/>
      </w:pPr>
      <w:r>
        <w:t xml:space="preserve">2017 · le Roux C ·</w:t>
      </w:r>
      <w:r>
        <w:t xml:space="preserve"> </w:t>
      </w:r>
      <w:r>
        <w:rPr>
          <w:iCs/>
          <w:i/>
        </w:rPr>
        <w:t xml:space="preserve">Obes Facts</w:t>
      </w:r>
      <w:r>
        <w:t xml:space="preserve"> </w:t>
      </w:r>
      <w:r>
        <w:t xml:space="preserve">· Comparison of Efficacy and Safety of Liraglutide 3.0 mg in Individuals with BMI above and below 35 kg/m²: A Post-hoc Analysis. PMID 29145215</w:t>
      </w:r>
    </w:p>
    <w:p>
      <w:pPr>
        <w:numPr>
          <w:ilvl w:val="0"/>
          <w:numId w:val="1377"/>
        </w:numPr>
        <w:pStyle w:val="Compact"/>
      </w:pPr>
      <w:r>
        <w:t xml:space="preserve">2017 · Davidson JA ·</w:t>
      </w:r>
      <w:r>
        <w:t xml:space="preserve"> </w:t>
      </w:r>
      <w:r>
        <w:rPr>
          <w:iCs/>
          <w:i/>
        </w:rPr>
        <w:t xml:space="preserve">Postgrad Med</w:t>
      </w:r>
      <w:r>
        <w:t xml:space="preserve"> </w:t>
      </w:r>
      <w:r>
        <w:t xml:space="preserve">· Albiglutide efficacy and safety in the Latino/Hispanic subpopulation for the integrated phase III program. PMID 29083275</w:t>
      </w:r>
    </w:p>
    <w:p>
      <w:pPr>
        <w:numPr>
          <w:ilvl w:val="0"/>
          <w:numId w:val="1377"/>
        </w:numPr>
        <w:pStyle w:val="Compact"/>
      </w:pPr>
      <w:r>
        <w:t xml:space="preserve">2017 · Ferjan S ·</w:t>
      </w:r>
      <w:r>
        <w:t xml:space="preserve"> </w:t>
      </w:r>
      <w:r>
        <w:rPr>
          <w:iCs/>
          <w:i/>
        </w:rPr>
        <w:t xml:space="preserve">Metab Syndr Relat Disord</w:t>
      </w:r>
      <w:r>
        <w:t xml:space="preserve"> </w:t>
      </w:r>
      <w:r>
        <w:t xml:space="preserve">· Dipeptidyl Peptidase-4 Inhibitor Sitagliptin Prevented Weight Regain in Obese Women with Polycystic Ovary Syndrome Previously Treated with Liraglutide: A Pilot Randomized Study. PMID 29064743</w:t>
      </w:r>
    </w:p>
    <w:p>
      <w:pPr>
        <w:numPr>
          <w:ilvl w:val="0"/>
          <w:numId w:val="1377"/>
        </w:numPr>
        <w:pStyle w:val="Compact"/>
      </w:pPr>
      <w:r>
        <w:t xml:space="preserve">2017 · Halawi H ·</w:t>
      </w:r>
      <w:r>
        <w:t xml:space="preserve"> </w:t>
      </w:r>
      <w:r>
        <w:rPr>
          <w:iCs/>
          <w:i/>
        </w:rPr>
        <w:t xml:space="preserve">Lancet Gastroenterol Hepatol</w:t>
      </w:r>
      <w:r>
        <w:t xml:space="preserve"> </w:t>
      </w:r>
      <w:r>
        <w:t xml:space="preserve">· Effects of liraglutide on weight, satiation, and gastric functions in obesity: a randomised, placebo-controlled pilot trial. PMID 28958851</w:t>
      </w:r>
    </w:p>
    <w:p>
      <w:pPr>
        <w:numPr>
          <w:ilvl w:val="0"/>
          <w:numId w:val="1377"/>
        </w:numPr>
        <w:pStyle w:val="Compact"/>
      </w:pPr>
      <w:r>
        <w:t xml:space="preserve">2017 · de Wit HM ·</w:t>
      </w:r>
      <w:r>
        <w:t xml:space="preserve"> </w:t>
      </w:r>
      <w:r>
        <w:rPr>
          <w:iCs/>
          <w:i/>
        </w:rPr>
        <w:t xml:space="preserve">Neth J Med</w:t>
      </w:r>
      <w:r>
        <w:t xml:space="preserve"> </w:t>
      </w:r>
      <w:r>
        <w:t xml:space="preserve">· A cost-controlling treatment strategy of adding liraglutide to insulin in type 2 diabetes. PMID 28956786</w:t>
      </w:r>
    </w:p>
    <w:p>
      <w:pPr>
        <w:numPr>
          <w:ilvl w:val="0"/>
          <w:numId w:val="1377"/>
        </w:numPr>
        <w:pStyle w:val="Compact"/>
      </w:pPr>
      <w:r>
        <w:t xml:space="preserve">2017 · Santilli F ·</w:t>
      </w:r>
      <w:r>
        <w:t xml:space="preserve"> </w:t>
      </w:r>
      <w:r>
        <w:rPr>
          <w:iCs/>
          <w:i/>
        </w:rPr>
        <w:t xml:space="preserve">Diabetes Care</w:t>
      </w:r>
      <w:r>
        <w:t xml:space="preserve"> </w:t>
      </w:r>
      <w:r>
        <w:t xml:space="preserve">· Effects of Liraglutide on Weight Loss, Fat Distribution, and β-Cell Function in Obese Subjects With Prediabetes or Early Type 2 Diabetes. PMID 28912305</w:t>
      </w:r>
    </w:p>
    <w:p>
      <w:pPr>
        <w:numPr>
          <w:ilvl w:val="0"/>
          <w:numId w:val="1377"/>
        </w:numPr>
        <w:pStyle w:val="Compact"/>
      </w:pPr>
      <w:r>
        <w:t xml:space="preserve">2017 · Mann JFE ·</w:t>
      </w:r>
      <w:r>
        <w:t xml:space="preserve"> </w:t>
      </w:r>
      <w:r>
        <w:rPr>
          <w:iCs/>
          <w:i/>
        </w:rPr>
        <w:t xml:space="preserve">N Engl J Med</w:t>
      </w:r>
      <w:r>
        <w:t xml:space="preserve"> </w:t>
      </w:r>
      <w:r>
        <w:t xml:space="preserve">· Liraglutide and Renal Outcomes in Type 2 Diabetes. PMID 28854085</w:t>
      </w:r>
    </w:p>
    <w:p>
      <w:pPr>
        <w:numPr>
          <w:ilvl w:val="0"/>
          <w:numId w:val="1377"/>
        </w:numPr>
        <w:pStyle w:val="Compact"/>
      </w:pPr>
      <w:r>
        <w:t xml:space="preserve">2017 · Frias JP ·</w:t>
      </w:r>
      <w:r>
        <w:t xml:space="preserve"> </w:t>
      </w:r>
      <w:r>
        <w:rPr>
          <w:iCs/>
          <w:i/>
        </w:rPr>
        <w:t xml:space="preserve">Cell Metab</w:t>
      </w:r>
      <w:r>
        <w:t xml:space="preserve"> </w:t>
      </w:r>
      <w:r>
        <w:t xml:space="preserve">· The Sustained Effects of a Dual GIP/GLP-1 Receptor Agonist, NNC0090-2746, in Patients with Type 2 Diabetes. PMID 28768173</w:t>
      </w:r>
    </w:p>
    <w:p>
      <w:pPr>
        <w:numPr>
          <w:ilvl w:val="0"/>
          <w:numId w:val="1377"/>
        </w:numPr>
        <w:pStyle w:val="Compact"/>
      </w:pPr>
      <w:r>
        <w:t xml:space="preserve">2017 · Hunt B ·</w:t>
      </w:r>
      <w:r>
        <w:t xml:space="preserve"> </w:t>
      </w:r>
      <w:r>
        <w:rPr>
          <w:iCs/>
          <w:i/>
        </w:rPr>
        <w:t xml:space="preserve">Clin Ther</w:t>
      </w:r>
      <w:r>
        <w:t xml:space="preserve"> </w:t>
      </w:r>
      <w:r>
        <w:t xml:space="preserve">· Long-term Cost-effectiveness of Two GLP-1 Receptor Agonists for the Treatment of Type 2 Diabetes Mellitus in the Italian Setting: Liraglutide Versus Lixisenatide. PMID 28625506</w:t>
      </w:r>
    </w:p>
    <w:p>
      <w:pPr>
        <w:numPr>
          <w:ilvl w:val="0"/>
          <w:numId w:val="1377"/>
        </w:numPr>
        <w:pStyle w:val="Compact"/>
      </w:pPr>
      <w:r>
        <w:t xml:space="preserve">2017 · Pokala N ·</w:t>
      </w:r>
      <w:r>
        <w:t xml:space="preserve"> </w:t>
      </w:r>
      <w:r>
        <w:rPr>
          <w:iCs/>
          <w:i/>
        </w:rPr>
        <w:t xml:space="preserve">Diabetes Obes Metab</w:t>
      </w:r>
      <w:r>
        <w:t xml:space="preserve"> </w:t>
      </w:r>
      <w:r>
        <w:t xml:space="preserve">· The effect of baseline characteristics on clinical efficacy of liraglutide in patients treated with high-dose insulin. PMID 28608447</w:t>
      </w:r>
    </w:p>
    <w:p>
      <w:pPr>
        <w:numPr>
          <w:ilvl w:val="0"/>
          <w:numId w:val="1377"/>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7"/>
        </w:numPr>
        <w:pStyle w:val="Compact"/>
      </w:pPr>
      <w:r>
        <w:t xml:space="preserve">2017 · Larsen JR ·</w:t>
      </w:r>
      <w:r>
        <w:t xml:space="preserve"> </w:t>
      </w:r>
      <w:r>
        <w:rPr>
          <w:iCs/>
          <w:i/>
        </w:rPr>
        <w:t xml:space="preserve">JAMA Psychiatry</w:t>
      </w:r>
      <w:r>
        <w:t xml:space="preserve"> </w:t>
      </w:r>
      <w:r>
        <w:t xml:space="preserve">· Effect of Liraglutide Treatment on Prediabetes and Overweight or Obesity in Clozapine- or Olanzapine-Treated Patients With Schizophrenia Spectrum Disorder: A Randomized Clinical Trial. PMID 28601891</w:t>
      </w:r>
    </w:p>
    <w:p>
      <w:pPr>
        <w:numPr>
          <w:ilvl w:val="0"/>
          <w:numId w:val="1377"/>
        </w:numPr>
        <w:pStyle w:val="Compact"/>
      </w:pPr>
      <w:r>
        <w:t xml:space="preserve">2017 · Khoo J ·</w:t>
      </w:r>
      <w:r>
        <w:t xml:space="preserve"> </w:t>
      </w:r>
      <w:r>
        <w:rPr>
          <w:iCs/>
          <w:i/>
        </w:rPr>
        <w:t xml:space="preserve">Diabetes Obes Metab</w:t>
      </w:r>
      <w:r>
        <w:t xml:space="preserve"> </w:t>
      </w:r>
      <w:r>
        <w:t xml:space="preserve">· Comparative effects of liraglutide 3 mg vs structured lifestyle modification on body weight, liver fat and liver function in obese patients with non-alcoholic fatty liver disease: A pilot randomized trial. PMID 28503750</w:t>
      </w:r>
    </w:p>
    <w:p>
      <w:pPr>
        <w:numPr>
          <w:ilvl w:val="0"/>
          <w:numId w:val="1377"/>
        </w:numPr>
        <w:pStyle w:val="Compact"/>
      </w:pPr>
      <w:r>
        <w:t xml:space="preserve">2017 · Nylander M ·</w:t>
      </w:r>
      <w:r>
        <w:t xml:space="preserve"> </w:t>
      </w:r>
      <w:r>
        <w:rPr>
          <w:iCs/>
          <w:i/>
        </w:rPr>
        <w:t xml:space="preserve">Reprod Biomed Online</w:t>
      </w:r>
      <w:r>
        <w:t xml:space="preserve"> </w:t>
      </w:r>
      <w:r>
        <w:t xml:space="preserve">· Effects of liraglutide on ovarian dysfunction in polycystic ovary syndrome: a randomized clinical trial. PMID 28479118</w:t>
      </w:r>
    </w:p>
    <w:p>
      <w:pPr>
        <w:numPr>
          <w:ilvl w:val="0"/>
          <w:numId w:val="1377"/>
        </w:numPr>
        <w:pStyle w:val="Compact"/>
      </w:pPr>
      <w:r>
        <w:t xml:space="preserve">2017 · Steinberg WM ·</w:t>
      </w:r>
      <w:r>
        <w:t xml:space="preserve"> </w:t>
      </w:r>
      <w:r>
        <w:rPr>
          <w:iCs/>
          <w:i/>
        </w:rPr>
        <w:t xml:space="preserve">Diabetes Care</w:t>
      </w:r>
      <w:r>
        <w:t xml:space="preserve"> </w:t>
      </w:r>
      <w:r>
        <w:t xml:space="preserve">· Amylase, Lipase, and Acute Pancreatitis in People With Type 2 Diabetes Treated With Liraglutide: Results From the LEADER Randomized Trial. PMID 28476871</w:t>
      </w:r>
    </w:p>
    <w:p>
      <w:pPr>
        <w:numPr>
          <w:ilvl w:val="0"/>
          <w:numId w:val="1377"/>
        </w:numPr>
        <w:pStyle w:val="Compact"/>
      </w:pPr>
      <w:r>
        <w:t xml:space="preserve">2017 · von Scholten BJ ·</w:t>
      </w:r>
      <w:r>
        <w:t xml:space="preserve"> </w:t>
      </w:r>
      <w:r>
        <w:rPr>
          <w:iCs/>
          <w:i/>
        </w:rPr>
        <w:t xml:space="preserve">J Diabetes Complications</w:t>
      </w:r>
      <w:r>
        <w:t xml:space="preserve"> </w:t>
      </w:r>
      <w:r>
        <w:t xml:space="preserve">· Effect of weight reductions on estimated kidney function: Post-hoc analysis of two randomized trials. PMID 28462892</w:t>
      </w:r>
    </w:p>
    <w:p>
      <w:pPr>
        <w:numPr>
          <w:ilvl w:val="0"/>
          <w:numId w:val="1377"/>
        </w:numPr>
        <w:pStyle w:val="Compact"/>
      </w:pPr>
      <w:r>
        <w:t xml:space="preserve">2017 · Sedman T ·</w:t>
      </w:r>
      <w:r>
        <w:t xml:space="preserve"> </w:t>
      </w:r>
      <w:r>
        <w:rPr>
          <w:iCs/>
          <w:i/>
        </w:rPr>
        <w:t xml:space="preserve">J Clin Endocrinol Metab</w:t>
      </w:r>
      <w:r>
        <w:t xml:space="preserve"> </w:t>
      </w:r>
      <w:r>
        <w:t xml:space="preserve">· Tolerance Does Not Develop Toward Liraglutide’s Glucose-Lowering Effect. PMID 28379427</w:t>
      </w:r>
    </w:p>
    <w:p>
      <w:pPr>
        <w:numPr>
          <w:ilvl w:val="0"/>
          <w:numId w:val="1377"/>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7"/>
        </w:numPr>
        <w:pStyle w:val="Compact"/>
      </w:pPr>
      <w:r>
        <w:t xml:space="preserve">2017 · Feng W ·</w:t>
      </w:r>
      <w:r>
        <w:t xml:space="preserve"> </w:t>
      </w:r>
      <w:r>
        <w:rPr>
          <w:iCs/>
          <w:i/>
        </w:rPr>
        <w:t xml:space="preserve">J Diabetes</w:t>
      </w:r>
      <w:r>
        <w:t xml:space="preserve"> </w:t>
      </w:r>
      <w:r>
        <w:t xml:space="preserve">· Randomized trial comparing the effects of gliclazide, liraglutide, and metformin on diabetes with non-alcoholic fatty liver disease. PMID 28332301</w:t>
      </w:r>
    </w:p>
    <w:p>
      <w:pPr>
        <w:numPr>
          <w:ilvl w:val="0"/>
          <w:numId w:val="1377"/>
        </w:numPr>
        <w:pStyle w:val="Compact"/>
      </w:pPr>
      <w:r>
        <w:t xml:space="preserve">2017 · Garg M ·</w:t>
      </w:r>
      <w:r>
        <w:t xml:space="preserve"> </w:t>
      </w:r>
      <w:r>
        <w:rPr>
          <w:iCs/>
          <w:i/>
        </w:rPr>
        <w:t xml:space="preserve">Diabetes Obes Metab</w:t>
      </w:r>
      <w:r>
        <w:t xml:space="preserve"> </w:t>
      </w:r>
      <w:r>
        <w:t xml:space="preserve">· Liraglutide acutely suppresses glucagon, lipolysis and ketogenesis in type 1 diabetes. PMID 28304146</w:t>
      </w:r>
    </w:p>
    <w:p>
      <w:pPr>
        <w:numPr>
          <w:ilvl w:val="0"/>
          <w:numId w:val="1377"/>
        </w:numPr>
        <w:pStyle w:val="Compact"/>
      </w:pPr>
      <w:r>
        <w:t xml:space="preserve">2017 · Hunt B ·</w:t>
      </w:r>
      <w:r>
        <w:t xml:space="preserve"> </w:t>
      </w:r>
      <w:r>
        <w:rPr>
          <w:iCs/>
          <w:i/>
        </w:rPr>
        <w:t xml:space="preserve">J Med Econ</w:t>
      </w:r>
      <w:r>
        <w:t xml:space="preserve"> </w:t>
      </w:r>
      <w:r>
        <w:t xml:space="preserve">· Evaluation of the long-term cost-effectiveness of IDegLira versus liraglutide added to basal insulin for patients with type 2 diabetes failing to achieve glycemic control on basal insulin in the USA. PMID 28294641</w:t>
      </w:r>
    </w:p>
    <w:p>
      <w:pPr>
        <w:numPr>
          <w:ilvl w:val="0"/>
          <w:numId w:val="1377"/>
        </w:numPr>
        <w:pStyle w:val="Compact"/>
      </w:pPr>
      <w:r>
        <w:t xml:space="preserve">2017 · King AB ·</w:t>
      </w:r>
      <w:r>
        <w:t xml:space="preserve"> </w:t>
      </w:r>
      <w:r>
        <w:rPr>
          <w:iCs/>
          <w:i/>
        </w:rPr>
        <w:t xml:space="preserve">Diabetes Technol Ther</w:t>
      </w:r>
      <w:r>
        <w:t xml:space="preserve"> </w:t>
      </w:r>
      <w:r>
        <w:t xml:space="preserve">· A Fixed Ratio Combination of Insulin Degludec and Liraglutide (IDegLira) Reduces Glycemic Fluctuation and Brings More Patients with Type 2 Diabetes Within Blood Glucose Target Ranges. PMID 28282219</w:t>
      </w:r>
    </w:p>
    <w:p>
      <w:pPr>
        <w:numPr>
          <w:ilvl w:val="0"/>
          <w:numId w:val="1377"/>
        </w:numPr>
        <w:pStyle w:val="Compact"/>
      </w:pPr>
      <w:r>
        <w:t xml:space="preserve">2017 · le Roux CW ·</w:t>
      </w:r>
      <w:r>
        <w:t xml:space="preserve"> </w:t>
      </w:r>
      <w:r>
        <w:rPr>
          <w:iCs/>
          <w:i/>
        </w:rPr>
        <w:t xml:space="preserve">Lancet</w:t>
      </w:r>
      <w:r>
        <w:t xml:space="preserve"> </w:t>
      </w:r>
      <w:r>
        <w:t xml:space="preserve">· 3 years of liraglutide versus placebo for type 2 diabetes risk reduction and weight management in individuals with prediabetes: a randomised, double-blind trial. PMID 28237263</w:t>
      </w:r>
    </w:p>
    <w:p>
      <w:pPr>
        <w:numPr>
          <w:ilvl w:val="0"/>
          <w:numId w:val="1377"/>
        </w:numPr>
        <w:pStyle w:val="Compact"/>
      </w:pPr>
      <w:r>
        <w:t xml:space="preserve">2017 · Jørgensen PG ·</w:t>
      </w:r>
      <w:r>
        <w:t xml:space="preserve"> </w:t>
      </w:r>
      <w:r>
        <w:rPr>
          <w:iCs/>
          <w:i/>
        </w:rPr>
        <w:t xml:space="preserve">Diabetes Obes Metab</w:t>
      </w:r>
      <w:r>
        <w:t xml:space="preserve"> </w:t>
      </w:r>
      <w:r>
        <w:t xml:space="preserve">· Effect of exercise combined with glucagon-like peptide-1 receptor agonist treatment on cardiac function: A randomized double-blind placebo-controlled clinical trial. PMID 28188972</w:t>
      </w:r>
    </w:p>
    <w:p>
      <w:pPr>
        <w:numPr>
          <w:ilvl w:val="0"/>
          <w:numId w:val="1377"/>
        </w:numPr>
        <w:pStyle w:val="Compact"/>
      </w:pPr>
      <w:r>
        <w:t xml:space="preserve">2017 · Kramer CK ·</w:t>
      </w:r>
      <w:r>
        <w:t xml:space="preserve"> </w:t>
      </w:r>
      <w:r>
        <w:rPr>
          <w:iCs/>
          <w:i/>
        </w:rPr>
        <w:t xml:space="preserve">Diabetes Obes Metab</w:t>
      </w:r>
      <w:r>
        <w:t xml:space="preserve"> </w:t>
      </w:r>
      <w:r>
        <w:t xml:space="preserve">· Chronic liraglutide therapy induces an enhanced endogenous glucagon-like peptide-1 secretory response in early type 2 diabetes. PMID 28181363</w:t>
      </w:r>
    </w:p>
    <w:p>
      <w:pPr>
        <w:numPr>
          <w:ilvl w:val="0"/>
          <w:numId w:val="1377"/>
        </w:numPr>
        <w:pStyle w:val="Compact"/>
      </w:pPr>
      <w:r>
        <w:t xml:space="preserve">2017 · Jensterle M ·</w:t>
      </w:r>
      <w:r>
        <w:t xml:space="preserve"> </w:t>
      </w:r>
      <w:r>
        <w:rPr>
          <w:iCs/>
          <w:i/>
        </w:rPr>
        <w:t xml:space="preserve">BMC Endocr Disord</w:t>
      </w:r>
      <w:r>
        <w:t xml:space="preserve"> </w:t>
      </w:r>
      <w:r>
        <w:t xml:space="preserve">· Short-term effectiveness of low dose liraglutide in combination with metformin versus high dose liraglutide alone in treatment of obese PCOS: randomized trial. PMID 28143456</w:t>
      </w:r>
    </w:p>
    <w:p>
      <w:pPr>
        <w:numPr>
          <w:ilvl w:val="0"/>
          <w:numId w:val="1377"/>
        </w:numPr>
        <w:pStyle w:val="Compact"/>
      </w:pPr>
      <w:r>
        <w:t xml:space="preserve">2017 · Kumarathurai P ·</w:t>
      </w:r>
      <w:r>
        <w:t xml:space="preserve"> </w:t>
      </w:r>
      <w:r>
        <w:rPr>
          <w:iCs/>
          <w:i/>
        </w:rPr>
        <w:t xml:space="preserve">J Hypertens</w:t>
      </w:r>
      <w:r>
        <w:t xml:space="preserve"> </w:t>
      </w:r>
      <w:r>
        <w:t xml:space="preserve">· Effects of the glucagon-like peptide-1 receptor agonist liraglutide on 24-h ambulatory blood pressure in patients with type 2 diabetes and stable coronary artery disease: a randomized, double-blind, placebo-controlled, crossover study. PMID 28129251</w:t>
      </w:r>
    </w:p>
    <w:p>
      <w:pPr>
        <w:numPr>
          <w:ilvl w:val="0"/>
          <w:numId w:val="1377"/>
        </w:numPr>
        <w:pStyle w:val="Compact"/>
      </w:pPr>
      <w:r>
        <w:t xml:space="preserve">2017 · Anholm C ·</w:t>
      </w:r>
      <w:r>
        <w:t xml:space="preserve"> </w:t>
      </w:r>
      <w:r>
        <w:rPr>
          <w:iCs/>
          <w:i/>
        </w:rPr>
        <w:t xml:space="preserve">Diabetes Obes Metab</w:t>
      </w:r>
      <w:r>
        <w:t xml:space="preserve"> </w:t>
      </w:r>
      <w:r>
        <w:t xml:space="preserve">· Liraglutide effects on beta-cell, insulin sensitivity and glucose effectiveness in patients with stable coronary artery disease and newly diagnosed type 2 diabetes. PMID 28124822</w:t>
      </w:r>
    </w:p>
    <w:p>
      <w:pPr>
        <w:numPr>
          <w:ilvl w:val="0"/>
          <w:numId w:val="1377"/>
        </w:numPr>
        <w:pStyle w:val="Compact"/>
      </w:pPr>
      <w:r>
        <w:t xml:space="preserve">2017 · Harris SB ·</w:t>
      </w:r>
      <w:r>
        <w:t xml:space="preserve"> </w:t>
      </w:r>
      <w:r>
        <w:rPr>
          <w:iCs/>
          <w:i/>
        </w:rPr>
        <w:t xml:space="preserve">Diabetes Obes Metab</w:t>
      </w:r>
      <w:r>
        <w:t xml:space="preserve"> </w:t>
      </w:r>
      <w:r>
        <w:t xml:space="preserve">· Safety and efficacy of IDegLira titrated once weekly versus twice weekly in patients with type 2 diabetes uncontrolled on oral antidiabetic drugs: DUAL VI randomized clinical trial. PMID 28124817</w:t>
      </w:r>
    </w:p>
    <w:p>
      <w:pPr>
        <w:numPr>
          <w:ilvl w:val="0"/>
          <w:numId w:val="1377"/>
        </w:numPr>
        <w:pStyle w:val="Compact"/>
      </w:pPr>
      <w:r>
        <w:t xml:space="preserve">2017 · Iacobellis G ·</w:t>
      </w:r>
      <w:r>
        <w:t xml:space="preserve"> </w:t>
      </w:r>
      <w:r>
        <w:rPr>
          <w:iCs/>
          <w:i/>
        </w:rPr>
        <w:t xml:space="preserve">Obesity (Silver Spring)</w:t>
      </w:r>
      <w:r>
        <w:t xml:space="preserve"> </w:t>
      </w:r>
      <w:r>
        <w:t xml:space="preserve">· Liraglutide causes large and rapid epicardial fat reduction. PMID 28124506</w:t>
      </w:r>
    </w:p>
    <w:p>
      <w:pPr>
        <w:numPr>
          <w:ilvl w:val="0"/>
          <w:numId w:val="1377"/>
        </w:numPr>
        <w:pStyle w:val="Compact"/>
      </w:pPr>
      <w:r>
        <w:t xml:space="preserve">2017 · von Scholten BJ ·</w:t>
      </w:r>
      <w:r>
        <w:t xml:space="preserve"> </w:t>
      </w:r>
      <w:r>
        <w:rPr>
          <w:iCs/>
          <w:i/>
        </w:rPr>
        <w:t xml:space="preserve">Diabetes Obes Metab</w:t>
      </w:r>
      <w:r>
        <w:t xml:space="preserve"> </w:t>
      </w:r>
      <w:r>
        <w:t xml:space="preserve">· Effects of liraglutide on cardiovascular risk biomarkers in patients with type 2 diabetes and albuminuria: A sub-analysis of a randomized, placebo-controlled, double-blind, crossover trial. PMID 28105731</w:t>
      </w:r>
    </w:p>
    <w:p>
      <w:pPr>
        <w:numPr>
          <w:ilvl w:val="0"/>
          <w:numId w:val="1377"/>
        </w:numPr>
        <w:pStyle w:val="Compact"/>
      </w:pPr>
      <w:r>
        <w:t xml:space="preserve">2017 · Farmer AD ·</w:t>
      </w:r>
      <w:r>
        <w:t xml:space="preserve"> </w:t>
      </w:r>
      <w:r>
        <w:rPr>
          <w:iCs/>
          <w:i/>
        </w:rPr>
        <w:t xml:space="preserve">Diabetologia</w:t>
      </w:r>
      <w:r>
        <w:t xml:space="preserve"> </w:t>
      </w:r>
      <w:r>
        <w:t xml:space="preserve">· Type 1 diabetic patients with peripheral neuropathy have pan-enteric prolongation of gastrointestinal transit times and an altered caecal pH profile. PMID 28105520</w:t>
      </w:r>
    </w:p>
    <w:p>
      <w:pPr>
        <w:numPr>
          <w:ilvl w:val="0"/>
          <w:numId w:val="1377"/>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7"/>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7"/>
        </w:numPr>
        <w:pStyle w:val="Compact"/>
      </w:pPr>
      <w:r>
        <w:t xml:space="preserve">2017 · Pastel E ·</w:t>
      </w:r>
      <w:r>
        <w:t xml:space="preserve"> </w:t>
      </w:r>
      <w:r>
        <w:rPr>
          <w:iCs/>
          <w:i/>
        </w:rPr>
        <w:t xml:space="preserve">Clin Sci (Lond)</w:t>
      </w:r>
      <w:r>
        <w:t xml:space="preserve"> </w:t>
      </w:r>
      <w:r>
        <w:t xml:space="preserve">· GLP-1 analogue-induced weight loss does not improve obesity-induced AT dysfunction. PMID 28049736</w:t>
      </w:r>
    </w:p>
    <w:p>
      <w:pPr>
        <w:numPr>
          <w:ilvl w:val="0"/>
          <w:numId w:val="1377"/>
        </w:numPr>
        <w:pStyle w:val="Compact"/>
      </w:pPr>
      <w:r>
        <w:t xml:space="preserve">2017 · Smits MM ·</w:t>
      </w:r>
      <w:r>
        <w:t xml:space="preserve"> </w:t>
      </w:r>
      <w:r>
        <w:rPr>
          <w:iCs/>
          <w:i/>
        </w:rPr>
        <w:t xml:space="preserve">Diabetes Care</w:t>
      </w:r>
      <w:r>
        <w:t xml:space="preserve"> </w:t>
      </w:r>
      <w:r>
        <w:t xml:space="preserve">· Pancreatic Effects of Liraglutide or Sitagliptin in Overweight Patients With Type 2 Diabetes: A 12-Week Randomized, Placebo-Controlled Trial. PMID 27998910</w:t>
      </w:r>
    </w:p>
    <w:p>
      <w:pPr>
        <w:numPr>
          <w:ilvl w:val="0"/>
          <w:numId w:val="1377"/>
        </w:numPr>
        <w:pStyle w:val="Compact"/>
      </w:pPr>
      <w:r>
        <w:t xml:space="preserve">2017 · Danne T ·</w:t>
      </w:r>
      <w:r>
        <w:t xml:space="preserve"> </w:t>
      </w:r>
      <w:r>
        <w:rPr>
          <w:iCs/>
          <w:i/>
        </w:rPr>
        <w:t xml:space="preserve">J Pediatr</w:t>
      </w:r>
      <w:r>
        <w:t xml:space="preserve"> </w:t>
      </w:r>
      <w:r>
        <w:t xml:space="preserve">· Liraglutide in an Adolescent Population with Obesity: A Randomized, Double-Blind, Placebo-Controlled 5-Week Trial to Assess Safety, Tolerability, and Pharmacokinetics of Liraglutide in Adolescents Aged 12-17 Years. PMID 27979579</w:t>
      </w:r>
    </w:p>
    <w:p>
      <w:pPr>
        <w:numPr>
          <w:ilvl w:val="0"/>
          <w:numId w:val="1377"/>
        </w:numPr>
        <w:pStyle w:val="Compact"/>
      </w:pPr>
      <w:r>
        <w:t xml:space="preserve">2017 · Dejgaard TF ·</w:t>
      </w:r>
      <w:r>
        <w:t xml:space="preserve"> </w:t>
      </w:r>
      <w:r>
        <w:rPr>
          <w:iCs/>
          <w:i/>
        </w:rPr>
        <w:t xml:space="preserve">Diabetes Obes Metab</w:t>
      </w:r>
      <w:r>
        <w:t xml:space="preserve"> </w:t>
      </w:r>
      <w:r>
        <w:t xml:space="preserve">· Effects of liraglutide on cardiovascular risk factors in patients with type 1 diabetes. PMID 27935240</w:t>
      </w:r>
    </w:p>
    <w:p>
      <w:pPr>
        <w:numPr>
          <w:ilvl w:val="0"/>
          <w:numId w:val="1377"/>
        </w:numPr>
        <w:pStyle w:val="Compact"/>
      </w:pPr>
      <w:r>
        <w:t xml:space="preserve">2017 · Bouchi R ·</w:t>
      </w:r>
      <w:r>
        <w:t xml:space="preserve"> </w:t>
      </w:r>
      <w:r>
        <w:rPr>
          <w:iCs/>
          <w:i/>
        </w:rPr>
        <w:t xml:space="preserve">Endocr J</w:t>
      </w:r>
      <w:r>
        <w:t xml:space="preserve"> </w:t>
      </w:r>
      <w:r>
        <w:t xml:space="preserve">· Reduction of visceral fat by liraglutide is associated with ameliorations of hepatic steatosis, albuminuria, and micro-inflammation in type 2 diabetic patients with insulin treatment: a randomized control trial. PMID 27916783</w:t>
      </w:r>
    </w:p>
    <w:p>
      <w:pPr>
        <w:numPr>
          <w:ilvl w:val="0"/>
          <w:numId w:val="1377"/>
        </w:numPr>
        <w:pStyle w:val="Compact"/>
      </w:pPr>
      <w:r>
        <w:t xml:space="preserve">2017 · Frandsen CS ·</w:t>
      </w:r>
      <w:r>
        <w:t xml:space="preserve"> </w:t>
      </w:r>
      <w:r>
        <w:rPr>
          <w:iCs/>
          <w:i/>
        </w:rPr>
        <w:t xml:space="preserve">Diabetes Obes Metab</w:t>
      </w:r>
      <w:r>
        <w:t xml:space="preserve"> </w:t>
      </w:r>
      <w:r>
        <w:t xml:space="preserve">· Liraglutide as adjunct to insulin treatment in type 1 diabetes does not interfere with glycaemic recovery or gastric emptying rate during hypoglycaemia: A randomized, placebo-controlled, double-blind, parallel-group study. PMID 27868372</w:t>
      </w:r>
    </w:p>
    <w:p>
      <w:pPr>
        <w:numPr>
          <w:ilvl w:val="0"/>
          <w:numId w:val="1377"/>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7"/>
        </w:numPr>
        <w:pStyle w:val="Compact"/>
      </w:pPr>
      <w:r>
        <w:t xml:space="preserve">2017 · Arturi F ·</w:t>
      </w:r>
      <w:r>
        <w:t xml:space="preserve"> </w:t>
      </w:r>
      <w:r>
        <w:rPr>
          <w:iCs/>
          <w:i/>
        </w:rPr>
        <w:t xml:space="preserve">Endocrine</w:t>
      </w:r>
      <w:r>
        <w:t xml:space="preserve"> </w:t>
      </w:r>
      <w:r>
        <w:t xml:space="preserve">· Liraglutide improves cardiac function in patients with type 2 diabetes and chronic heart failure. PMID 27830456</w:t>
      </w:r>
    </w:p>
    <w:p>
      <w:pPr>
        <w:numPr>
          <w:ilvl w:val="0"/>
          <w:numId w:val="1377"/>
        </w:numPr>
        <w:pStyle w:val="Compact"/>
      </w:pPr>
      <w:r>
        <w:t xml:space="preserve">2017 · Yabe D ·</w:t>
      </w:r>
      <w:r>
        <w:t xml:space="preserve"> </w:t>
      </w:r>
      <w:r>
        <w:rPr>
          <w:iCs/>
          <w:i/>
        </w:rPr>
        <w:t xml:space="preserve">Diabetes Obes Metab</w:t>
      </w:r>
      <w:r>
        <w:t xml:space="preserve"> </w:t>
      </w:r>
      <w:r>
        <w:t xml:space="preserve">· Effects of DPP-4 inhibitor linagliptin and GLP-1 receptor agonist liraglutide on physiological response to hypoglycaemia in Japanese subjects with type 2 diabetes: A randomized, open-label, 2-arm parallel comparative, exploratory trial. PMID 27800649</w:t>
      </w:r>
    </w:p>
    <w:p>
      <w:pPr>
        <w:numPr>
          <w:ilvl w:val="0"/>
          <w:numId w:val="1377"/>
        </w:numPr>
        <w:pStyle w:val="Compact"/>
      </w:pPr>
      <w:r>
        <w:t xml:space="preserve">2017 · Kumarathurai P ·</w:t>
      </w:r>
      <w:r>
        <w:t xml:space="preserve"> </w:t>
      </w:r>
      <w:r>
        <w:rPr>
          <w:iCs/>
          <w:i/>
        </w:rPr>
        <w:t xml:space="preserve">Diabetes Care</w:t>
      </w:r>
      <w:r>
        <w:t xml:space="preserve"> </w:t>
      </w:r>
      <w:r>
        <w:t xml:space="preserve">· Effects of Liraglutide on Heart Rate and Heart Rate Variability: A Randomized, Double-Blind, Placebo-Controlled Crossover Study. PMID 27797930</w:t>
      </w:r>
    </w:p>
    <w:p>
      <w:pPr>
        <w:numPr>
          <w:ilvl w:val="0"/>
          <w:numId w:val="1377"/>
        </w:numPr>
        <w:pStyle w:val="Compact"/>
      </w:pPr>
      <w:r>
        <w:t xml:space="preserve">2017 · Jorsal A ·</w:t>
      </w:r>
      <w:r>
        <w:t xml:space="preserve"> </w:t>
      </w:r>
      <w:r>
        <w:rPr>
          <w:iCs/>
          <w:i/>
        </w:rPr>
        <w:t xml:space="preserve">Eur J Heart Fail</w:t>
      </w:r>
      <w:r>
        <w:t xml:space="preserve"> </w:t>
      </w:r>
      <w:r>
        <w:t xml:space="preserve">· Effect of liraglutide, a glucagon-like peptide-1 analogue, on left ventricular function in stable chronic heart failure patients with and without diabetes (LIVE)-a multicentre, double-blind, randomised, placebo-controlled trial. PMID 27790809</w:t>
      </w:r>
    </w:p>
    <w:p>
      <w:pPr>
        <w:numPr>
          <w:ilvl w:val="0"/>
          <w:numId w:val="1377"/>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7"/>
        </w:numPr>
        <w:pStyle w:val="Compact"/>
      </w:pPr>
      <w:r>
        <w:t xml:space="preserve">2017 · Zobel EH ·</w:t>
      </w:r>
      <w:r>
        <w:t xml:space="preserve"> </w:t>
      </w:r>
      <w:r>
        <w:rPr>
          <w:iCs/>
          <w:i/>
        </w:rPr>
        <w:t xml:space="preserve">J Diabetes Complications</w:t>
      </w:r>
      <w:r>
        <w:t xml:space="preserve"> </w:t>
      </w:r>
      <w:r>
        <w:t xml:space="preserve">· Pleiotropic effects of liraglutide treatment on renal risk factors in type 2 diabetes: Individual effects of treatment. PMID 27769801</w:t>
      </w:r>
    </w:p>
    <w:p>
      <w:pPr>
        <w:numPr>
          <w:ilvl w:val="0"/>
          <w:numId w:val="1377"/>
        </w:numPr>
        <w:pStyle w:val="Compact"/>
      </w:pPr>
      <w:r>
        <w:t xml:space="preserve">2017 · von Scholten BJ ·</w:t>
      </w:r>
      <w:r>
        <w:t xml:space="preserve"> </w:t>
      </w:r>
      <w:r>
        <w:rPr>
          <w:iCs/>
          <w:i/>
        </w:rPr>
        <w:t xml:space="preserve">Diabetes Obes Metab</w:t>
      </w:r>
      <w:r>
        <w:t xml:space="preserve"> </w:t>
      </w:r>
      <w:r>
        <w:t xml:space="preserve">· The effect of liraglutide on renal function: A randomized clinical trial. PMID 27753201</w:t>
      </w:r>
    </w:p>
    <w:p>
      <w:pPr>
        <w:numPr>
          <w:ilvl w:val="0"/>
          <w:numId w:val="1377"/>
        </w:numPr>
        <w:pStyle w:val="Compact"/>
      </w:pPr>
      <w:r>
        <w:t xml:space="preserve">2017 · Petit JM ·</w:t>
      </w:r>
      <w:r>
        <w:t xml:space="preserve"> </w:t>
      </w:r>
      <w:r>
        <w:rPr>
          <w:iCs/>
          <w:i/>
        </w:rPr>
        <w:t xml:space="preserve">J Clin Endocrinol Metab</w:t>
      </w:r>
      <w:r>
        <w:t xml:space="preserve"> </w:t>
      </w:r>
      <w:r>
        <w:t xml:space="preserve">· Effect of Liraglutide Therapy on Liver Fat Content in Patients With Inadequately Controlled Type 2 Diabetes: The Lira-NAFLD Study. PMID 27732328</w:t>
      </w:r>
    </w:p>
    <w:p>
      <w:pPr>
        <w:numPr>
          <w:ilvl w:val="0"/>
          <w:numId w:val="1377"/>
        </w:numPr>
        <w:pStyle w:val="Compact"/>
      </w:pPr>
      <w:r>
        <w:t xml:space="preserve">2017 · Mensberg P ·</w:t>
      </w:r>
      <w:r>
        <w:t xml:space="preserve"> </w:t>
      </w:r>
      <w:r>
        <w:rPr>
          <w:iCs/>
          <w:i/>
        </w:rPr>
        <w:t xml:space="preserve">Diabetes Obes Metab</w:t>
      </w:r>
      <w:r>
        <w:t xml:space="preserve"> </w:t>
      </w:r>
      <w:r>
        <w:t xml:space="preserve">· Near-normalization of glycaemic control with glucagon-like peptide-1 receptor agonist treatment combined with exercise in patients with type 2 diabetes. PMID 27717126</w:t>
      </w:r>
    </w:p>
    <w:p>
      <w:pPr>
        <w:numPr>
          <w:ilvl w:val="0"/>
          <w:numId w:val="1377"/>
        </w:numPr>
        <w:pStyle w:val="Compact"/>
      </w:pPr>
      <w:r>
        <w:t xml:space="preserve">2017 · Nauck MA ·</w:t>
      </w:r>
      <w:r>
        <w:t xml:space="preserve"> </w:t>
      </w:r>
      <w:r>
        <w:rPr>
          <w:iCs/>
          <w:i/>
        </w:rPr>
        <w:t xml:space="preserve">Diabetes Obes Metab</w:t>
      </w:r>
      <w:r>
        <w:t xml:space="preserve"> </w:t>
      </w:r>
      <w:r>
        <w:t xml:space="preserve">· Addition of a dipeptidyl peptidase-4 inhibitor, sitagliptin, to ongoing therapy with the glucagon-like peptide-1 receptor agonist liraglutide: A randomized controlled trial in patients with type 2 diabetes. PMID 27709794</w:t>
      </w:r>
    </w:p>
    <w:p>
      <w:pPr>
        <w:numPr>
          <w:ilvl w:val="0"/>
          <w:numId w:val="1377"/>
        </w:numPr>
        <w:pStyle w:val="Compact"/>
      </w:pPr>
      <w:r>
        <w:t xml:space="preserve">2017 · Rodbard HW ·</w:t>
      </w:r>
      <w:r>
        <w:t xml:space="preserve"> </w:t>
      </w:r>
      <w:r>
        <w:rPr>
          <w:iCs/>
          <w:i/>
        </w:rPr>
        <w:t xml:space="preserve">Diabet Med</w:t>
      </w:r>
      <w:r>
        <w:t xml:space="preserve"> </w:t>
      </w:r>
      <w:r>
        <w:t xml:space="preserve">· Safety and efficacy of insulin degludec/liraglutide (IDegLira) added to sulphonylurea alone or to sulphonylurea and metformin in insulin-naïve people with Type 2 diabetes: the DUAL IV trial. PMID 27589252</w:t>
      </w:r>
    </w:p>
    <w:p>
      <w:pPr>
        <w:numPr>
          <w:ilvl w:val="0"/>
          <w:numId w:val="1377"/>
        </w:numPr>
        <w:pStyle w:val="Compact"/>
      </w:pPr>
      <w:r>
        <w:t xml:space="preserve">2017 · Sedman T ·</w:t>
      </w:r>
      <w:r>
        <w:t xml:space="preserve"> </w:t>
      </w:r>
      <w:r>
        <w:rPr>
          <w:iCs/>
          <w:i/>
        </w:rPr>
        <w:t xml:space="preserve">Horm Metab Res</w:t>
      </w:r>
      <w:r>
        <w:t xml:space="preserve"> </w:t>
      </w:r>
      <w:r>
        <w:t xml:space="preserve">· Liraglutide Treatment May Affect Renin and Aldosterone Release. PMID 27300475</w:t>
      </w:r>
    </w:p>
    <w:p>
      <w:pPr>
        <w:numPr>
          <w:ilvl w:val="0"/>
          <w:numId w:val="1377"/>
        </w:numPr>
        <w:pStyle w:val="Compact"/>
      </w:pPr>
      <w:r>
        <w:t xml:space="preserve">2016 · Jones B ·</w:t>
      </w:r>
      <w:r>
        <w:t xml:space="preserve"> </w:t>
      </w:r>
      <w:r>
        <w:rPr>
          <w:iCs/>
          <w:i/>
        </w:rPr>
        <w:t xml:space="preserve">Ann Clin Biochem</w:t>
      </w:r>
      <w:r>
        <w:t xml:space="preserve"> </w:t>
      </w:r>
      <w:r>
        <w:t xml:space="preserve">· Liraglutide and cardiovascular outcomes in type 2 diabetes. PMID 28071177</w:t>
      </w:r>
    </w:p>
    <w:p>
      <w:pPr>
        <w:numPr>
          <w:ilvl w:val="0"/>
          <w:numId w:val="1377"/>
        </w:numPr>
        <w:pStyle w:val="Compact"/>
      </w:pPr>
      <w:r>
        <w:t xml:space="preserve">2016 · Chen WR ·</w:t>
      </w:r>
      <w:r>
        <w:t xml:space="preserve"> </w:t>
      </w:r>
      <w:r>
        <w:rPr>
          <w:iCs/>
          <w:i/>
        </w:rPr>
        <w:t xml:space="preserve">Circ Cardiovasc Imaging</w:t>
      </w:r>
      <w:r>
        <w:t xml:space="preserve"> </w:t>
      </w:r>
      <w:r>
        <w:t xml:space="preserve">· Effects of Liraglutide on Reperfusion Injury in Patients With ST-Segment-Elevation Myocardial Infarction. PMID 27940956</w:t>
      </w:r>
    </w:p>
    <w:p>
      <w:pPr>
        <w:numPr>
          <w:ilvl w:val="0"/>
          <w:numId w:val="1377"/>
        </w:numPr>
        <w:pStyle w:val="Compact"/>
      </w:pPr>
      <w:r>
        <w:t xml:space="preserve">2016 · Rizzo M ·</w:t>
      </w:r>
      <w:r>
        <w:t xml:space="preserve"> </w:t>
      </w:r>
      <w:r>
        <w:rPr>
          <w:iCs/>
          <w:i/>
        </w:rPr>
        <w:t xml:space="preserve">Cardiovasc Diabetol</w:t>
      </w:r>
      <w:r>
        <w:t xml:space="preserve"> </w:t>
      </w:r>
      <w:r>
        <w:t xml:space="preserve">· Liraglutide improves metabolic parameters and carotid intima-media thickness in diabetic patients with the metabolic syndrome: an 18-month prospective study. PMID 27912784</w:t>
      </w:r>
    </w:p>
    <w:p>
      <w:pPr>
        <w:numPr>
          <w:ilvl w:val="0"/>
          <w:numId w:val="1377"/>
        </w:numPr>
        <w:pStyle w:val="Compact"/>
      </w:pPr>
      <w:r>
        <w:t xml:space="preserve">2016 · Fujioka K ·</w:t>
      </w:r>
      <w:r>
        <w:t xml:space="preserve"> </w:t>
      </w:r>
      <w:r>
        <w:rPr>
          <w:iCs/>
          <w:i/>
        </w:rPr>
        <w:t xml:space="preserve">Obesity (Silver Spring)</w:t>
      </w:r>
      <w:r>
        <w:t xml:space="preserve"> </w:t>
      </w:r>
      <w:r>
        <w:t xml:space="preserve">· Early Weight Loss with Liraglutide 3.0 mg Predicts 1-Year Weight Loss and is Associated with Improvements in Clinical Markers. PMID 27804269</w:t>
      </w:r>
    </w:p>
    <w:p>
      <w:pPr>
        <w:numPr>
          <w:ilvl w:val="0"/>
          <w:numId w:val="1377"/>
        </w:numPr>
        <w:pStyle w:val="Compact"/>
      </w:pPr>
      <w:r>
        <w:t xml:space="preserve">2016 · Smits MM ·</w:t>
      </w:r>
      <w:r>
        <w:t xml:space="preserve"> </w:t>
      </w:r>
      <w:r>
        <w:rPr>
          <w:iCs/>
          <w:i/>
        </w:rPr>
        <w:t xml:space="preserve">Diabetologia</w:t>
      </w:r>
      <w:r>
        <w:t xml:space="preserve"> </w:t>
      </w:r>
      <w:r>
        <w:t xml:space="preserve">· Twelve week liraglutide or sitagliptin does not affect hepatic fat in type 2 diabetes: a randomised placebo-controlled trial. PMID 27627981</w:t>
      </w:r>
    </w:p>
    <w:p>
      <w:pPr>
        <w:numPr>
          <w:ilvl w:val="0"/>
          <w:numId w:val="1377"/>
        </w:numPr>
        <w:pStyle w:val="Compact"/>
      </w:pPr>
      <w:r>
        <w:t xml:space="preserve">2016 · Tonneijck L ·</w:t>
      </w:r>
      <w:r>
        <w:t xml:space="preserve"> </w:t>
      </w:r>
      <w:r>
        <w:rPr>
          <w:iCs/>
          <w:i/>
        </w:rPr>
        <w:t xml:space="preserve">Diabetes Care</w:t>
      </w:r>
      <w:r>
        <w:t xml:space="preserve"> </w:t>
      </w:r>
      <w:r>
        <w:t xml:space="preserve">· Renal Effects of DPP-4 Inhibitor Sitagliptin or GLP-1 Receptor Agonist Liraglutide in Overweight Patients With Type 2 Diabetes: A 12-Week, Randomized, Double-Blind, Placebo-Controlled Trial. PMID 27585605</w:t>
      </w:r>
    </w:p>
    <w:p>
      <w:pPr>
        <w:numPr>
          <w:ilvl w:val="0"/>
          <w:numId w:val="1377"/>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7"/>
        </w:numPr>
        <w:pStyle w:val="Compact"/>
      </w:pPr>
      <w:r>
        <w:t xml:space="preserve">2016 · Mathieu C ·</w:t>
      </w:r>
      <w:r>
        <w:t xml:space="preserve"> </w:t>
      </w:r>
      <w:r>
        <w:rPr>
          <w:iCs/>
          <w:i/>
        </w:rPr>
        <w:t xml:space="preserve">Diabetes Care</w:t>
      </w:r>
      <w:r>
        <w:t xml:space="preserve"> </w:t>
      </w:r>
      <w:r>
        <w:t xml:space="preserve">· Efficacy and Safety of Liraglutide Added to Insulin Treatment in Type 1 Diabetes: The ADJUNCT ONE Treat-To-Target Randomized Trial. PMID 27506222</w:t>
      </w:r>
    </w:p>
    <w:p>
      <w:pPr>
        <w:numPr>
          <w:ilvl w:val="0"/>
          <w:numId w:val="1377"/>
        </w:numPr>
        <w:pStyle w:val="Compact"/>
      </w:pPr>
      <w:r>
        <w:t xml:space="preserve">2016 · Ahrén B ·</w:t>
      </w:r>
      <w:r>
        <w:t xml:space="preserve"> </w:t>
      </w:r>
      <w:r>
        <w:rPr>
          <w:iCs/>
          <w:i/>
        </w:rPr>
        <w:t xml:space="preserve">Diabetes Care</w:t>
      </w:r>
      <w:r>
        <w:t xml:space="preserve"> </w:t>
      </w:r>
      <w:r>
        <w:t xml:space="preserve">· Efficacy and Safety of Liraglutide Added to Capped Insulin Treatment in Subjects With Type 1 Diabetes: The ADJUNCT TWO Randomized Trial. PMID 27493132</w:t>
      </w:r>
    </w:p>
    <w:p>
      <w:pPr>
        <w:numPr>
          <w:ilvl w:val="0"/>
          <w:numId w:val="1377"/>
        </w:numPr>
        <w:pStyle w:val="Compact"/>
      </w:pPr>
      <w:r>
        <w:t xml:space="preserve">2016 · Kuhadiya ND ·</w:t>
      </w:r>
      <w:r>
        <w:t xml:space="preserve"> </w:t>
      </w:r>
      <w:r>
        <w:rPr>
          <w:iCs/>
          <w:i/>
        </w:rPr>
        <w:t xml:space="preserve">J Clin Endocrinol Metab</w:t>
      </w:r>
      <w:r>
        <w:t xml:space="preserve"> </w:t>
      </w:r>
      <w:r>
        <w:t xml:space="preserve">· Dapagliflozin as Additional Treatment to Liraglutide and Insulin in Patients With Type 1 Diabetes. PMID 27490915</w:t>
      </w:r>
    </w:p>
    <w:p>
      <w:pPr>
        <w:numPr>
          <w:ilvl w:val="0"/>
          <w:numId w:val="1377"/>
        </w:numPr>
        <w:pStyle w:val="Compact"/>
      </w:pPr>
      <w:r>
        <w:t xml:space="preserve">2016 · Margulies KB ·</w:t>
      </w:r>
      <w:r>
        <w:t xml:space="preserve"> </w:t>
      </w:r>
      <w:r>
        <w:rPr>
          <w:iCs/>
          <w:i/>
        </w:rPr>
        <w:t xml:space="preserve">JAMA</w:t>
      </w:r>
      <w:r>
        <w:t xml:space="preserve"> </w:t>
      </w:r>
      <w:r>
        <w:t xml:space="preserve">· Effects of Liraglutide on Clinical Stability Among Patients With Advanced Heart Failure and Reduced Ejection Fraction: A Randomized Clinical Trial. PMID 27483064</w:t>
      </w:r>
    </w:p>
    <w:p>
      <w:pPr>
        <w:numPr>
          <w:ilvl w:val="0"/>
          <w:numId w:val="1377"/>
        </w:numPr>
        <w:pStyle w:val="Compact"/>
      </w:pPr>
      <w:r>
        <w:t xml:space="preserve">2016 · O’Neil PM ·</w:t>
      </w:r>
      <w:r>
        <w:t xml:space="preserve"> </w:t>
      </w:r>
      <w:r>
        <w:rPr>
          <w:iCs/>
          <w:i/>
        </w:rPr>
        <w:t xml:space="preserve">Endocr Pract</w:t>
      </w:r>
      <w:r>
        <w:t xml:space="preserve"> </w:t>
      </w:r>
      <w:r>
        <w:t xml:space="preserve">· EFFECTS OF LIRAGLUTIDE 3.0 MG ON WEIGHT AND RISK FACTORS IN HISPANIC VERSUS NON-HIPANIC POPULATIONS: SUBGROUP ANALYSIS FROM SCALE RANDOMIZED TRIALS. PMID 27482610</w:t>
      </w:r>
    </w:p>
    <w:p>
      <w:pPr>
        <w:numPr>
          <w:ilvl w:val="0"/>
          <w:numId w:val="1377"/>
        </w:numPr>
        <w:pStyle w:val="Compact"/>
      </w:pPr>
      <w:r>
        <w:t xml:space="preserve">2016 · Kumarathurai P ·</w:t>
      </w:r>
      <w:r>
        <w:t xml:space="preserve"> </w:t>
      </w:r>
      <w:r>
        <w:rPr>
          <w:iCs/>
          <w:i/>
        </w:rPr>
        <w:t xml:space="preserve">Cardiovasc Diabetol</w:t>
      </w:r>
      <w:r>
        <w:t xml:space="preserve"> </w:t>
      </w:r>
      <w:r>
        <w:t xml:space="preserve">· Effects of the glucagon-like peptide-1 receptor agonist liraglutide on systolic function in patients with coronary artery disease and type 2 diabetes: a randomized double-blind placebo-controlled crossover study. PMID 27455835</w:t>
      </w:r>
    </w:p>
    <w:p>
      <w:pPr>
        <w:numPr>
          <w:ilvl w:val="0"/>
          <w:numId w:val="1377"/>
        </w:numPr>
        <w:pStyle w:val="Compact"/>
      </w:pPr>
      <w:r>
        <w:t xml:space="preserve">2016 · Smits MM ·</w:t>
      </w:r>
      <w:r>
        <w:t xml:space="preserve"> </w:t>
      </w:r>
      <w:r>
        <w:rPr>
          <w:iCs/>
          <w:i/>
        </w:rPr>
        <w:t xml:space="preserve">Diabetes Obes Metab</w:t>
      </w:r>
      <w:r>
        <w:t xml:space="preserve"> </w:t>
      </w:r>
      <w:r>
        <w:t xml:space="preserve">· Biliary effects of liraglutide and sitagliptin, a 12-week randomized placebo-controlled trial in type 2 diabetes patients. PMID 27451030</w:t>
      </w:r>
    </w:p>
    <w:p>
      <w:pPr>
        <w:numPr>
          <w:ilvl w:val="0"/>
          <w:numId w:val="1377"/>
        </w:numPr>
        <w:pStyle w:val="Compact"/>
      </w:pPr>
      <w:r>
        <w:t xml:space="preserve">2016 · Htike ZZ ·</w:t>
      </w:r>
      <w:r>
        <w:t xml:space="preserve"> </w:t>
      </w:r>
      <w:r>
        <w:rPr>
          <w:iCs/>
          <w:i/>
        </w:rPr>
        <w:t xml:space="preserve">Cardiovasc Diabetol</w:t>
      </w:r>
      <w:r>
        <w:t xml:space="preserve"> </w:t>
      </w:r>
      <w:r>
        <w:t xml:space="preserve">· Rationale and design of the randomised controlled trial to assess the impact of liraglutide on cardiac function and structure in young adults with type 2 diabetes (the LYDIA study). PMID 27440110</w:t>
      </w:r>
    </w:p>
    <w:p>
      <w:pPr>
        <w:numPr>
          <w:ilvl w:val="0"/>
          <w:numId w:val="1377"/>
        </w:numPr>
        <w:pStyle w:val="Compact"/>
      </w:pPr>
      <w:r>
        <w:t xml:space="preserve">2016 · Bailey TS ·</w:t>
      </w:r>
      <w:r>
        <w:t xml:space="preserve"> </w:t>
      </w:r>
      <w:r>
        <w:rPr>
          <w:iCs/>
          <w:i/>
        </w:rPr>
        <w:t xml:space="preserve">Diabetes Obes Metab</w:t>
      </w:r>
      <w:r>
        <w:t xml:space="preserve"> </w:t>
      </w:r>
      <w:r>
        <w:t xml:space="preserve">· Efficacy and safety of switching from sitagliptin to liraglutide in subjects with type 2 diabetes (LIRA-SWITCH): a randomized, double-blind, double-dummy, active-controlled 26-week trial. PMID 27381275</w:t>
      </w:r>
    </w:p>
    <w:p>
      <w:pPr>
        <w:numPr>
          <w:ilvl w:val="0"/>
          <w:numId w:val="1377"/>
        </w:numPr>
        <w:pStyle w:val="Compact"/>
      </w:pPr>
      <w:r>
        <w:t xml:space="preserve">2016 · Azar ST ·</w:t>
      </w:r>
      <w:r>
        <w:t xml:space="preserve"> </w:t>
      </w:r>
      <w:r>
        <w:rPr>
          <w:iCs/>
          <w:i/>
        </w:rPr>
        <w:t xml:space="preserve">Diabetes Obes Metab</w:t>
      </w:r>
      <w:r>
        <w:t xml:space="preserve"> </w:t>
      </w:r>
      <w:r>
        <w:t xml:space="preserve">· Efficacy and safety of liraglutide compared to sulphonylurea during Ramadan in patients with type 2 diabetes (LIRA-Ramadan): a randomized trial. PMID 27376711</w:t>
      </w:r>
    </w:p>
    <w:p>
      <w:pPr>
        <w:numPr>
          <w:ilvl w:val="0"/>
          <w:numId w:val="1377"/>
        </w:numPr>
        <w:pStyle w:val="Compact"/>
      </w:pPr>
      <w:r>
        <w:t xml:space="preserve">2016 · Nauck M ·</w:t>
      </w:r>
      <w:r>
        <w:t xml:space="preserve"> </w:t>
      </w:r>
      <w:r>
        <w:rPr>
          <w:iCs/>
          <w:i/>
        </w:rPr>
        <w:t xml:space="preserve">Diabetes Care</w:t>
      </w:r>
      <w:r>
        <w:t xml:space="preserve"> </w:t>
      </w:r>
      <w:r>
        <w:t xml:space="preserve">· Once-Daily Liraglutide Versus Lixisenatide as Add-on to Metformin in Type 2 Diabetes: A 26-Week Randomized Controlled Clinical Trial. PMID 27311491</w:t>
      </w:r>
    </w:p>
    <w:p>
      <w:pPr>
        <w:numPr>
          <w:ilvl w:val="0"/>
          <w:numId w:val="1377"/>
        </w:numPr>
        <w:pStyle w:val="Compact"/>
      </w:pPr>
      <w:r>
        <w:t xml:space="preserve">2016 · Marso SP ·</w:t>
      </w:r>
      <w:r>
        <w:t xml:space="preserve"> </w:t>
      </w:r>
      <w:r>
        <w:rPr>
          <w:iCs/>
          <w:i/>
        </w:rPr>
        <w:t xml:space="preserve">N Engl J Med</w:t>
      </w:r>
      <w:r>
        <w:t xml:space="preserve"> </w:t>
      </w:r>
      <w:r>
        <w:t xml:space="preserve">· Liraglutide and Cardiovascular Outcomes in Type 2 Diabetes. PMID 27295427</w:t>
      </w:r>
    </w:p>
    <w:p>
      <w:pPr>
        <w:numPr>
          <w:ilvl w:val="0"/>
          <w:numId w:val="1377"/>
        </w:numPr>
        <w:pStyle w:val="Compact"/>
      </w:pPr>
      <w:r>
        <w:t xml:space="preserve">2016 · Farr OM ·</w:t>
      </w:r>
      <w:r>
        <w:t xml:space="preserve"> </w:t>
      </w:r>
      <w:r>
        <w:rPr>
          <w:iCs/>
          <w:i/>
        </w:rPr>
        <w:t xml:space="preserve">Metabolism</w:t>
      </w:r>
      <w:r>
        <w:t xml:space="preserve"> </w:t>
      </w:r>
      <w:r>
        <w:t xml:space="preserve">· Short-term administration of the GLP-1 analog liraglutide decreases circulating leptin and increases GIP levels and these changes are associated with alterations in CNS responses to food cues: A randomized, placebo-controlled, crossover study. PMID 27282865</w:t>
      </w:r>
    </w:p>
    <w:p>
      <w:pPr>
        <w:numPr>
          <w:ilvl w:val="0"/>
          <w:numId w:val="1377"/>
        </w:numPr>
        <w:pStyle w:val="Compact"/>
      </w:pPr>
      <w:r>
        <w:t xml:space="preserve">2016 · Mader JK ·</w:t>
      </w:r>
      <w:r>
        <w:t xml:space="preserve"> </w:t>
      </w:r>
      <w:r>
        <w:rPr>
          <w:iCs/>
          <w:i/>
        </w:rPr>
        <w:t xml:space="preserve">Clin Pharmacokinet</w:t>
      </w:r>
      <w:r>
        <w:t xml:space="preserve"> </w:t>
      </w:r>
      <w:r>
        <w:t xml:space="preserve">· Pharmacokinetic Properties of Liraglutide as Adjunct to Insulin in Subjects with Type 1 Diabetes Mellitus. PMID 27282158</w:t>
      </w:r>
    </w:p>
    <w:p>
      <w:pPr>
        <w:numPr>
          <w:ilvl w:val="0"/>
          <w:numId w:val="1377"/>
        </w:numPr>
        <w:pStyle w:val="Compact"/>
      </w:pPr>
      <w:r>
        <w:t xml:space="preserve">2016 · Vanderheiden A ·</w:t>
      </w:r>
      <w:r>
        <w:t xml:space="preserve"> </w:t>
      </w:r>
      <w:r>
        <w:rPr>
          <w:iCs/>
          <w:i/>
        </w:rPr>
        <w:t xml:space="preserve">JAMA Intern Med</w:t>
      </w:r>
      <w:r>
        <w:t xml:space="preserve"> </w:t>
      </w:r>
      <w:r>
        <w:t xml:space="preserve">· Effect of Adding Liraglutide vs Placebo to a High-Dose lnsulin Regimen in Patients With Type 2 Diabetes: A Randomized Clinical Trial. PMID 27273731</w:t>
      </w:r>
    </w:p>
    <w:p>
      <w:pPr>
        <w:numPr>
          <w:ilvl w:val="0"/>
          <w:numId w:val="1377"/>
        </w:numPr>
        <w:pStyle w:val="Compact"/>
      </w:pPr>
      <w:r>
        <w:t xml:space="preserve">2016 · Kuhadiya ND ·</w:t>
      </w:r>
      <w:r>
        <w:t xml:space="preserve"> </w:t>
      </w:r>
      <w:r>
        <w:rPr>
          <w:iCs/>
          <w:i/>
        </w:rPr>
        <w:t xml:space="preserve">Diabetes Care</w:t>
      </w:r>
      <w:r>
        <w:t xml:space="preserve"> </w:t>
      </w:r>
      <w:r>
        <w:t xml:space="preserve">· Addition of Liraglutide to Insulin in Patients With Type 1 Diabetes: A Randomized Placebo-Controlled Clinical Trial of 12 Weeks. PMID 27208343</w:t>
      </w:r>
    </w:p>
    <w:p>
      <w:pPr>
        <w:numPr>
          <w:ilvl w:val="0"/>
          <w:numId w:val="1377"/>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77"/>
        </w:numPr>
        <w:pStyle w:val="Compact"/>
      </w:pPr>
      <w:r>
        <w:t xml:space="preserve">2016 · Kolotkin RL ·</w:t>
      </w:r>
      <w:r>
        <w:t xml:space="preserve"> </w:t>
      </w:r>
      <w:r>
        <w:rPr>
          <w:iCs/>
          <w:i/>
        </w:rPr>
        <w:t xml:space="preserve">Clin Obes</w:t>
      </w:r>
      <w:r>
        <w:t xml:space="preserve"> </w:t>
      </w:r>
      <w:r>
        <w:t xml:space="preserve">· Improvements in health-related quality of life with liraglutide 3.0 mg compared with placebo in weight management. PMID 27198973</w:t>
      </w:r>
    </w:p>
    <w:p>
      <w:pPr>
        <w:numPr>
          <w:ilvl w:val="0"/>
          <w:numId w:val="1377"/>
        </w:numPr>
        <w:pStyle w:val="Compact"/>
      </w:pPr>
      <w:r>
        <w:t xml:space="preserve">2016 · Overgaard RV ·</w:t>
      </w:r>
      <w:r>
        <w:t xml:space="preserve"> </w:t>
      </w:r>
      <w:r>
        <w:rPr>
          <w:iCs/>
          <w:i/>
        </w:rPr>
        <w:t xml:space="preserve">Clin Pharmacokinet</w:t>
      </w:r>
      <w:r>
        <w:t xml:space="preserve"> </w:t>
      </w:r>
      <w:r>
        <w:t xml:space="preserve">· Liraglutide 3.0 mg for Weight Management: A Population Pharmacokinetic Analysis. PMID 27193270</w:t>
      </w:r>
    </w:p>
    <w:p>
      <w:pPr>
        <w:numPr>
          <w:ilvl w:val="0"/>
          <w:numId w:val="1377"/>
        </w:numPr>
        <w:pStyle w:val="Compact"/>
      </w:pPr>
      <w:r>
        <w:t xml:space="preserve">2016 · Ilkowitz JT ·</w:t>
      </w:r>
      <w:r>
        <w:t xml:space="preserve"> </w:t>
      </w:r>
      <w:r>
        <w:rPr>
          <w:iCs/>
          <w:i/>
        </w:rPr>
        <w:t xml:space="preserve">J Diabetes Sci Technol</w:t>
      </w:r>
      <w:r>
        <w:t xml:space="preserve"> </w:t>
      </w:r>
      <w:r>
        <w:t xml:space="preserve">· Adjuvant Liraglutide and Insulin Versus Insulin Monotherapy in the Closed-Loop System in Type 1 Diabetes: A Randomized Open-Labeled Crossover Design Trial. PMID 27184690</w:t>
      </w:r>
    </w:p>
    <w:p>
      <w:pPr>
        <w:numPr>
          <w:ilvl w:val="0"/>
          <w:numId w:val="1377"/>
        </w:numPr>
        <w:pStyle w:val="Compact"/>
      </w:pPr>
      <w:r>
        <w:t xml:space="preserve">2016 · Seino Y ·</w:t>
      </w:r>
      <w:r>
        <w:t xml:space="preserve"> </w:t>
      </w:r>
      <w:r>
        <w:rPr>
          <w:iCs/>
          <w:i/>
        </w:rPr>
        <w:t xml:space="preserve">J Diabetes Investig</w:t>
      </w:r>
      <w:r>
        <w:t xml:space="preserve"> </w:t>
      </w:r>
      <w:r>
        <w:t xml:space="preserve">· Combination therapy with liraglutide and insulin in Japanese patients with type 2 diabetes: A 36-week, randomized, double-blind, parallel-group trial. PMID 27182042</w:t>
      </w:r>
    </w:p>
    <w:p>
      <w:pPr>
        <w:numPr>
          <w:ilvl w:val="0"/>
          <w:numId w:val="1377"/>
        </w:numPr>
        <w:pStyle w:val="Compact"/>
      </w:pPr>
      <w:r>
        <w:t xml:space="preserve">2016 · Chen P ·</w:t>
      </w:r>
      <w:r>
        <w:t xml:space="preserve"> </w:t>
      </w:r>
      <w:r>
        <w:rPr>
          <w:iCs/>
          <w:i/>
        </w:rPr>
        <w:t xml:space="preserve">Zhonghua Nei Ke Za Zhi</w:t>
      </w:r>
      <w:r>
        <w:t xml:space="preserve"> </w:t>
      </w:r>
      <w:r>
        <w:t xml:space="preserve">· [The effect of liraglutide in combination with human umbilical cord mesenchymal stem cells treatment on glucose metabolism and β cell function in type 2 diabetes mellitus]. PMID 27143183</w:t>
      </w:r>
    </w:p>
    <w:p>
      <w:pPr>
        <w:numPr>
          <w:ilvl w:val="0"/>
          <w:numId w:val="1377"/>
        </w:numPr>
        <w:pStyle w:val="Compact"/>
      </w:pPr>
      <w:r>
        <w:t xml:space="preserve">2016 · Hodge RJ ·</w:t>
      </w:r>
      <w:r>
        <w:t xml:space="preserve"> </w:t>
      </w:r>
      <w:r>
        <w:rPr>
          <w:iCs/>
          <w:i/>
        </w:rPr>
        <w:t xml:space="preserve">PLoS One</w:t>
      </w:r>
      <w:r>
        <w:t xml:space="preserve"> </w:t>
      </w:r>
      <w:r>
        <w:t xml:space="preserve">· Weight and Glucose Reduction Observed with a Combination of Nutritional Agents in Rodent Models Does Not Translate to Humans in a Randomized Clinical Trial with Healthy Volunteers and Subjects with Type 2 Diabetes. PMID 27093610</w:t>
      </w:r>
    </w:p>
    <w:p>
      <w:pPr>
        <w:numPr>
          <w:ilvl w:val="0"/>
          <w:numId w:val="1377"/>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7"/>
        </w:numPr>
        <w:pStyle w:val="Compact"/>
      </w:pPr>
      <w:r>
        <w:t xml:space="preserve">2016 · Zang L ·</w:t>
      </w:r>
      <w:r>
        <w:t xml:space="preserve"> </w:t>
      </w:r>
      <w:r>
        <w:rPr>
          <w:iCs/>
          <w:i/>
        </w:rPr>
        <w:t xml:space="preserve">Diabetes Obes Metab</w:t>
      </w:r>
      <w:r>
        <w:t xml:space="preserve"> </w:t>
      </w:r>
      <w:r>
        <w:t xml:space="preserve">· Efficacy and safety of liraglutide versus sitagliptin, both in combination with metformin, in Chinese patients with type 2 diabetes: a 26-week, open-label, randomized, active comparator clinical trial. PMID 27060930</w:t>
      </w:r>
    </w:p>
    <w:p>
      <w:pPr>
        <w:numPr>
          <w:ilvl w:val="0"/>
          <w:numId w:val="1377"/>
        </w:numPr>
        <w:pStyle w:val="Compact"/>
      </w:pPr>
      <w:r>
        <w:t xml:space="preserve">2016 · Blackman A ·</w:t>
      </w:r>
      <w:r>
        <w:t xml:space="preserve"> </w:t>
      </w:r>
      <w:r>
        <w:rPr>
          <w:iCs/>
          <w:i/>
        </w:rPr>
        <w:t xml:space="preserve">Int J Obes (Lond)</w:t>
      </w:r>
      <w:r>
        <w:t xml:space="preserve"> </w:t>
      </w:r>
      <w:r>
        <w:t xml:space="preserve">· Effect of liraglutide 3.0 mg in individuals with obesity and moderate or severe obstructive sleep apnea: the SCALE Sleep Apnea randomized clinical trial. PMID 27005405</w:t>
      </w:r>
    </w:p>
    <w:p>
      <w:pPr>
        <w:numPr>
          <w:ilvl w:val="0"/>
          <w:numId w:val="1377"/>
        </w:numPr>
        <w:pStyle w:val="Compact"/>
      </w:pPr>
      <w:r>
        <w:t xml:space="preserve">2016 · Aroda VR ·</w:t>
      </w:r>
      <w:r>
        <w:t xml:space="preserve"> </w:t>
      </w:r>
      <w:r>
        <w:rPr>
          <w:iCs/>
          <w:i/>
        </w:rPr>
        <w:t xml:space="preserve">Diabetes Obes Metab</w:t>
      </w:r>
      <w:r>
        <w:t xml:space="preserve"> </w:t>
      </w:r>
      <w:r>
        <w:t xml:space="preserve">· Effect of adding insulin degludec to treatment in patients with type 2 diabetes inadequately controlled with metformin and liraglutide: a double-blind randomized controlled trial (BEGIN: ADD TO GLP-1 Study). PMID 26990378</w:t>
      </w:r>
    </w:p>
    <w:p>
      <w:pPr>
        <w:numPr>
          <w:ilvl w:val="0"/>
          <w:numId w:val="1377"/>
        </w:numPr>
        <w:pStyle w:val="Compact"/>
      </w:pPr>
      <w:r>
        <w:t xml:space="preserve">2016 · Lingvay I ·</w:t>
      </w:r>
      <w:r>
        <w:t xml:space="preserve"> </w:t>
      </w:r>
      <w:r>
        <w:rPr>
          <w:iCs/>
          <w:i/>
        </w:rPr>
        <w:t xml:space="preserve">JAMA</w:t>
      </w:r>
      <w:r>
        <w:t xml:space="preserve"> </w:t>
      </w:r>
      <w:r>
        <w:t xml:space="preserve">· Effect of Insulin Glargine Up-titration vs Insulin Degludec/Liraglutide on Glycated Hemoglobin Levels in Patients With Uncontrolled Type 2 Diabetes: The DUAL V Randomized Clinical Trial. PMID 26934259</w:t>
      </w:r>
    </w:p>
    <w:p>
      <w:pPr>
        <w:numPr>
          <w:ilvl w:val="0"/>
          <w:numId w:val="1377"/>
        </w:numPr>
        <w:pStyle w:val="Compact"/>
      </w:pPr>
      <w:r>
        <w:t xml:space="preserve">2016 · Skov J ·</w:t>
      </w:r>
      <w:r>
        <w:t xml:space="preserve"> </w:t>
      </w:r>
      <w:r>
        <w:rPr>
          <w:iCs/>
          <w:i/>
        </w:rPr>
        <w:t xml:space="preserve">Diabetes Obes Metab</w:t>
      </w:r>
      <w:r>
        <w:t xml:space="preserve"> </w:t>
      </w:r>
      <w:r>
        <w:t xml:space="preserve">· Short-term effects of liraglutide on kidney function and vasoactive hormones in type 2 diabetes: a randomized clinical trial. PMID 26910107</w:t>
      </w:r>
    </w:p>
    <w:p>
      <w:pPr>
        <w:numPr>
          <w:ilvl w:val="0"/>
          <w:numId w:val="1377"/>
        </w:numPr>
        <w:pStyle w:val="Compact"/>
      </w:pPr>
      <w:r>
        <w:t xml:space="preserve">2016 · Vanderheiden A ·</w:t>
      </w:r>
      <w:r>
        <w:t xml:space="preserve"> </w:t>
      </w:r>
      <w:r>
        <w:rPr>
          <w:iCs/>
          <w:i/>
        </w:rPr>
        <w:t xml:space="preserve">J Clin Endocrinol Metab</w:t>
      </w:r>
      <w:r>
        <w:t xml:space="preserve"> </w:t>
      </w:r>
      <w:r>
        <w:t xml:space="preserve">· Mechanisms of Action of Liraglutide in Patients With Type 2 Diabetes Treated With High-Dose Insulin. PMID 26909799</w:t>
      </w:r>
    </w:p>
    <w:p>
      <w:pPr>
        <w:numPr>
          <w:ilvl w:val="0"/>
          <w:numId w:val="1377"/>
        </w:numPr>
        <w:pStyle w:val="Compact"/>
      </w:pPr>
      <w:r>
        <w:t xml:space="preserve">2016 · Masmiquel L ·</w:t>
      </w:r>
      <w:r>
        <w:t xml:space="preserve"> </w:t>
      </w:r>
      <w:r>
        <w:rPr>
          <w:iCs/>
          <w:i/>
        </w:rPr>
        <w:t xml:space="preserve">Cardiovasc Diabetol</w:t>
      </w:r>
      <w:r>
        <w:t xml:space="preserve"> </w:t>
      </w:r>
      <w:r>
        <w:t xml:space="preserve">· LEADER 5: prevalence and cardiometabolic impact of obesity in cardiovascular high-risk patients with type 2 diabetes mellitus: baseline global data from the LEADER trial. PMID 26864124</w:t>
      </w:r>
    </w:p>
    <w:p>
      <w:pPr>
        <w:numPr>
          <w:ilvl w:val="0"/>
          <w:numId w:val="1377"/>
        </w:numPr>
        <w:pStyle w:val="Compact"/>
      </w:pPr>
      <w:r>
        <w:t xml:space="preserve">2016 · Petrie JR ·</w:t>
      </w:r>
      <w:r>
        <w:t xml:space="preserve"> </w:t>
      </w:r>
      <w:r>
        <w:rPr>
          <w:iCs/>
          <w:i/>
        </w:rPr>
        <w:t xml:space="preserve">J Hypertens</w:t>
      </w:r>
      <w:r>
        <w:t xml:space="preserve"> </w:t>
      </w:r>
      <w:r>
        <w:t xml:space="preserve">· LEADER-4: blood pressure control in patients with type 2 diabetes and high cardiovascular risk: baseline data from the LEADER randomized trial. PMID 26855018</w:t>
      </w:r>
    </w:p>
    <w:p>
      <w:pPr>
        <w:numPr>
          <w:ilvl w:val="0"/>
          <w:numId w:val="1377"/>
        </w:numPr>
        <w:pStyle w:val="Compact"/>
      </w:pPr>
      <w:r>
        <w:t xml:space="preserve">2016 · Chen WR ·</w:t>
      </w:r>
      <w:r>
        <w:t xml:space="preserve"> </w:t>
      </w:r>
      <w:r>
        <w:rPr>
          <w:iCs/>
          <w:i/>
        </w:rPr>
        <w:t xml:space="preserve">Int J Cardiol</w:t>
      </w:r>
      <w:r>
        <w:t xml:space="preserve"> </w:t>
      </w:r>
      <w:r>
        <w:t xml:space="preserve">· Effects of liraglutide on no-reflow in patients with acute ST-segment elevation myocardial infarction. PMID 26849684</w:t>
      </w:r>
    </w:p>
    <w:p>
      <w:pPr>
        <w:numPr>
          <w:ilvl w:val="0"/>
          <w:numId w:val="1377"/>
        </w:numPr>
        <w:pStyle w:val="Compact"/>
      </w:pPr>
      <w:r>
        <w:t xml:space="preserve">2016 · Wilding JP ·</w:t>
      </w:r>
      <w:r>
        <w:t xml:space="preserve"> </w:t>
      </w:r>
      <w:r>
        <w:rPr>
          <w:iCs/>
          <w:i/>
        </w:rPr>
        <w:t xml:space="preserve">Diabetes Obes Metab</w:t>
      </w:r>
      <w:r>
        <w:t xml:space="preserve"> </w:t>
      </w:r>
      <w:r>
        <w:t xml:space="preserve">· Exposure-response analyses of liraglutide 3.0 mg for weight management. PMID 26833744</w:t>
      </w:r>
    </w:p>
    <w:p>
      <w:pPr>
        <w:numPr>
          <w:ilvl w:val="0"/>
          <w:numId w:val="1377"/>
        </w:numPr>
        <w:pStyle w:val="Compact"/>
      </w:pPr>
      <w:r>
        <w:t xml:space="preserve">2016 · Farr OM ·</w:t>
      </w:r>
      <w:r>
        <w:t xml:space="preserve"> </w:t>
      </w:r>
      <w:r>
        <w:rPr>
          <w:iCs/>
          <w:i/>
        </w:rPr>
        <w:t xml:space="preserve">Diabetologia</w:t>
      </w:r>
      <w:r>
        <w:t xml:space="preserve"> </w:t>
      </w:r>
      <w:r>
        <w:t xml:space="preserve">· GLP-1 receptors exist in the parietal cortex, hypothalamus and medulla of human brains and the GLP-1 analogue liraglutide alters brain activity related to highly desirable food cues in individuals with diabetes: a crossover, randomised, placebo-controlled trial. PMID 26831302</w:t>
      </w:r>
    </w:p>
    <w:p>
      <w:pPr>
        <w:numPr>
          <w:ilvl w:val="0"/>
          <w:numId w:val="1377"/>
        </w:numPr>
        <w:pStyle w:val="Compact"/>
      </w:pPr>
      <w:r>
        <w:t xml:space="preserve">2016 · Kaku K ·</w:t>
      </w:r>
      <w:r>
        <w:t xml:space="preserve"> </w:t>
      </w:r>
      <w:r>
        <w:rPr>
          <w:iCs/>
          <w:i/>
        </w:rPr>
        <w:t xml:space="preserve">J Diabetes Investig</w:t>
      </w:r>
      <w:r>
        <w:t xml:space="preserve"> </w:t>
      </w:r>
      <w:r>
        <w:t xml:space="preserve">· Liraglutide is effective and well tolerated in combination with an oral antidiabetic drug in Japanese patients with type 2 diabetes: A randomized, 52-week, open-label, parallel-group trial. PMID 26816604</w:t>
      </w:r>
    </w:p>
    <w:p>
      <w:pPr>
        <w:numPr>
          <w:ilvl w:val="0"/>
          <w:numId w:val="1377"/>
        </w:numPr>
        <w:pStyle w:val="Compact"/>
      </w:pPr>
      <w:r>
        <w:t xml:space="preserve">2016 · Ard J ·</w:t>
      </w:r>
      <w:r>
        <w:t xml:space="preserve"> </w:t>
      </w:r>
      <w:r>
        <w:rPr>
          <w:iCs/>
          <w:i/>
        </w:rPr>
        <w:t xml:space="preserve">Diabetes Obes Metab</w:t>
      </w:r>
      <w:r>
        <w:t xml:space="preserve"> </w:t>
      </w:r>
      <w:r>
        <w:t xml:space="preserve">· Efficacy and safety of liraglutide 3.0 mg for weight management are similar across races: subgroup analysis across the SCALE and phase II randomized trials. PMID 26744025</w:t>
      </w:r>
    </w:p>
    <w:p>
      <w:pPr>
        <w:numPr>
          <w:ilvl w:val="0"/>
          <w:numId w:val="1377"/>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7"/>
        </w:numPr>
        <w:pStyle w:val="Compact"/>
      </w:pPr>
      <w:r>
        <w:t xml:space="preserve">2016 · Davies MJ ·</w:t>
      </w:r>
      <w:r>
        <w:t xml:space="preserve"> </w:t>
      </w:r>
      <w:r>
        <w:rPr>
          <w:iCs/>
          <w:i/>
        </w:rPr>
        <w:t xml:space="preserve">Diabetes Care</w:t>
      </w:r>
      <w:r>
        <w:t xml:space="preserve"> </w:t>
      </w:r>
      <w:r>
        <w:t xml:space="preserve">· Efficacy and Safety of Liraglutide Versus Placebo as Add-on to Glucose-Lowering Therapy in Patients With Type 2 Diabetes and Moderate Renal Impairment (LIRA-RENAL): A Randomized Clinical Trial. PMID 26681713</w:t>
      </w:r>
    </w:p>
    <w:p>
      <w:pPr>
        <w:numPr>
          <w:ilvl w:val="0"/>
          <w:numId w:val="1377"/>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7"/>
        </w:numPr>
        <w:pStyle w:val="Compact"/>
      </w:pPr>
      <w:r>
        <w:t xml:space="preserve">2016 · Dejgaard TF ·</w:t>
      </w:r>
      <w:r>
        <w:t xml:space="preserve"> </w:t>
      </w:r>
      <w:r>
        <w:rPr>
          <w:iCs/>
          <w:i/>
        </w:rPr>
        <w:t xml:space="preserve">Lancet Diabetes Endocrinol</w:t>
      </w:r>
      <w:r>
        <w:t xml:space="preserve"> </w:t>
      </w:r>
      <w:r>
        <w:t xml:space="preserve">· Efficacy and safety of liraglutide for overweight adult patients with type 1 diabetes and insufficient glycaemic control (Lira-1): a randomised, double-blind, placebo-controlled trial. PMID 26656289</w:t>
      </w:r>
    </w:p>
    <w:p>
      <w:pPr>
        <w:numPr>
          <w:ilvl w:val="0"/>
          <w:numId w:val="1377"/>
        </w:numPr>
        <w:pStyle w:val="Compact"/>
      </w:pPr>
      <w:r>
        <w:t xml:space="preserve">2016 · Ke W ·</w:t>
      </w:r>
      <w:r>
        <w:t xml:space="preserve"> </w:t>
      </w:r>
      <w:r>
        <w:rPr>
          <w:iCs/>
          <w:i/>
        </w:rPr>
        <w:t xml:space="preserve">J Diabetes Res</w:t>
      </w:r>
      <w:r>
        <w:t xml:space="preserve"> </w:t>
      </w:r>
      <w:r>
        <w:t xml:space="preserve">· Effects of Liraglutide Combined with Short-Term Continuous Subcutaneous Insulin Infusion on Glycemic Control and Beta Cell Function in Patients with Newly Diagnosed Type 2 Diabetes Mellitus: A Pilot Study. PMID 26640805</w:t>
      </w:r>
    </w:p>
    <w:p>
      <w:pPr>
        <w:numPr>
          <w:ilvl w:val="0"/>
          <w:numId w:val="1377"/>
        </w:numPr>
        <w:pStyle w:val="Compact"/>
      </w:pPr>
      <w:r>
        <w:t xml:space="preserve">2016 · Armstrong MJ ·</w:t>
      </w:r>
      <w:r>
        <w:t xml:space="preserve"> </w:t>
      </w:r>
      <w:r>
        <w:rPr>
          <w:iCs/>
          <w:i/>
        </w:rPr>
        <w:t xml:space="preserve">Lancet</w:t>
      </w:r>
      <w:r>
        <w:t xml:space="preserve"> </w:t>
      </w:r>
      <w:r>
        <w:t xml:space="preserve">· Liraglutide safety and efficacy in patients with non-alcoholic steatohepatitis (LEAN): a multicentre, double-blind, randomised, placebo-controlled phase 2 study. PMID 26608256</w:t>
      </w:r>
    </w:p>
    <w:p>
      <w:pPr>
        <w:numPr>
          <w:ilvl w:val="0"/>
          <w:numId w:val="1377"/>
        </w:numPr>
        <w:pStyle w:val="Compact"/>
      </w:pPr>
      <w:r>
        <w:t xml:space="preserve">2016 · Gilbert MP ·</w:t>
      </w:r>
      <w:r>
        <w:t xml:space="preserve"> </w:t>
      </w:r>
      <w:r>
        <w:rPr>
          <w:iCs/>
          <w:i/>
        </w:rPr>
        <w:t xml:space="preserve">Endocr Pract</w:t>
      </w:r>
      <w:r>
        <w:t xml:space="preserve"> </w:t>
      </w:r>
      <w:r>
        <w:t xml:space="preserve">· COMPARISON OF THE LONG-TERM EFFECTS OF LIRAGLUTIDE AND GLIMEPIRIDE MONOTHERAPY ON BONE MINERAL DENSITY IN PATIENTS WITH TYPE 2 DIABETES. PMID 26574791</w:t>
      </w:r>
    </w:p>
    <w:p>
      <w:pPr>
        <w:numPr>
          <w:ilvl w:val="0"/>
          <w:numId w:val="1377"/>
        </w:numPr>
        <w:pStyle w:val="Compact"/>
      </w:pPr>
      <w:r>
        <w:t xml:space="preserve">2016 · Chen WR ·</w:t>
      </w:r>
      <w:r>
        <w:t xml:space="preserve"> </w:t>
      </w:r>
      <w:r>
        <w:rPr>
          <w:iCs/>
          <w:i/>
        </w:rPr>
        <w:t xml:space="preserve">Endocrine</w:t>
      </w:r>
      <w:r>
        <w:t xml:space="preserve"> </w:t>
      </w:r>
      <w:r>
        <w:t xml:space="preserve">· Effects of liraglutide on left ventricular function in patients with non-ST-segment elevation myocardial infarction. PMID 26573925</w:t>
      </w:r>
    </w:p>
    <w:p>
      <w:pPr>
        <w:numPr>
          <w:ilvl w:val="0"/>
          <w:numId w:val="1377"/>
        </w:numPr>
        <w:pStyle w:val="Compact"/>
      </w:pPr>
      <w:r>
        <w:t xml:space="preserve">2016 · de Wit HM ·</w:t>
      </w:r>
      <w:r>
        <w:t xml:space="preserve"> </w:t>
      </w:r>
      <w:r>
        <w:rPr>
          <w:iCs/>
          <w:i/>
        </w:rPr>
        <w:t xml:space="preserve">J Intern Med</w:t>
      </w:r>
      <w:r>
        <w:t xml:space="preserve"> </w:t>
      </w:r>
      <w:r>
        <w:t xml:space="preserve">· Durable efficacy of liraglutide in patients with type 2 diabetes and pronounced insulin-associated weight gain: 52-week results from the Effect of Liraglutide on insulin-associated wEight GAiN in patients with Type 2 diabetes’ (ELEGANT) randomized controlled trial. PMID 26553486</w:t>
      </w:r>
    </w:p>
    <w:p>
      <w:pPr>
        <w:numPr>
          <w:ilvl w:val="0"/>
          <w:numId w:val="1377"/>
        </w:numPr>
        <w:pStyle w:val="Compact"/>
      </w:pPr>
      <w:r>
        <w:t xml:space="preserve">2016 · Armstrong MJ ·</w:t>
      </w:r>
      <w:r>
        <w:t xml:space="preserve"> </w:t>
      </w:r>
      <w:r>
        <w:rPr>
          <w:iCs/>
          <w:i/>
        </w:rPr>
        <w:t xml:space="preserve">J Hepatol</w:t>
      </w:r>
      <w:r>
        <w:t xml:space="preserve"> </w:t>
      </w:r>
      <w:r>
        <w:t xml:space="preserve">· Glucagon-like peptide 1 decreases lipotoxicity in non-alcoholic steatohepatitis. PMID 26394161</w:t>
      </w:r>
    </w:p>
    <w:p>
      <w:pPr>
        <w:numPr>
          <w:ilvl w:val="0"/>
          <w:numId w:val="1377"/>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p>
      <w:pPr>
        <w:numPr>
          <w:ilvl w:val="0"/>
          <w:numId w:val="1377"/>
        </w:numPr>
        <w:pStyle w:val="Compact"/>
      </w:pPr>
      <w:r>
        <w:t xml:space="preserve">2016 · Idorn T ·</w:t>
      </w:r>
      <w:r>
        <w:t xml:space="preserve"> </w:t>
      </w:r>
      <w:r>
        <w:rPr>
          <w:iCs/>
          <w:i/>
        </w:rPr>
        <w:t xml:space="preserve">Diabetes Care</w:t>
      </w:r>
      <w:r>
        <w:t xml:space="preserve"> </w:t>
      </w:r>
      <w:r>
        <w:t xml:space="preserve">· Safety and Efficacy of Liraglutide in Patients With Type 2 Diabetes and End-Stage Renal Disease: An Investigator-Initiated, Placebo-Controlled, Double-Blind, Parallel-Group, Randomized Trial. PMID 26283739</w:t>
      </w:r>
    </w:p>
    <w:p>
      <w:pPr>
        <w:numPr>
          <w:ilvl w:val="0"/>
          <w:numId w:val="1377"/>
        </w:numPr>
        <w:pStyle w:val="Compact"/>
      </w:pPr>
      <w:r>
        <w:t xml:space="preserve">2016 · Ten Kulve JS ·</w:t>
      </w:r>
      <w:r>
        <w:t xml:space="preserve"> </w:t>
      </w:r>
      <w:r>
        <w:rPr>
          <w:iCs/>
          <w:i/>
        </w:rPr>
        <w:t xml:space="preserve">Diabetes Care</w:t>
      </w:r>
      <w:r>
        <w:t xml:space="preserve"> </w:t>
      </w:r>
      <w:r>
        <w:t xml:space="preserve">· Liraglutide Reduces CNS Activation in Response to Visual Food Cues Only After Short-term Treatment in Patients With Type 2 Diabetes. PMID 26283736</w:t>
      </w:r>
    </w:p>
    <w:p>
      <w:pPr>
        <w:numPr>
          <w:ilvl w:val="0"/>
          <w:numId w:val="1377"/>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7"/>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7"/>
        </w:numPr>
        <w:pStyle w:val="Compact"/>
      </w:pPr>
      <w:r>
        <w:t xml:space="preserve">2015 · Lind M ·</w:t>
      </w:r>
      <w:r>
        <w:t xml:space="preserve"> </w:t>
      </w:r>
      <w:r>
        <w:rPr>
          <w:iCs/>
          <w:i/>
        </w:rPr>
        <w:t xml:space="preserve">BMJ</w:t>
      </w:r>
      <w:r>
        <w:t xml:space="preserve"> </w:t>
      </w:r>
      <w:r>
        <w:t xml:space="preserve">· Liraglutide in people treated for type 2 diabetes with multiple daily insulin injections: randomised clinical trial (MDI Liraglutide trial). PMID 26512041</w:t>
      </w:r>
    </w:p>
    <w:p>
      <w:pPr>
        <w:numPr>
          <w:ilvl w:val="0"/>
          <w:numId w:val="1377"/>
        </w:numPr>
        <w:pStyle w:val="Compact"/>
      </w:pPr>
      <w:r>
        <w:t xml:space="preserve">2015 · Frandsen CS ·</w:t>
      </w:r>
      <w:r>
        <w:t xml:space="preserve"> </w:t>
      </w:r>
      <w:r>
        <w:rPr>
          <w:iCs/>
          <w:i/>
        </w:rPr>
        <w:t xml:space="preserve">Diabetes Care</w:t>
      </w:r>
      <w:r>
        <w:t xml:space="preserve"> </w:t>
      </w:r>
      <w:r>
        <w:t xml:space="preserve">· Twelve-Week Treatment With Liraglutide as Add-on to Insulin in Normal-Weight Patients With Poorly Controlled Type 1 Diabetes: A Randomized, Placebo-Controlled, Double-Blind Parallel Study. PMID 26486191</w:t>
      </w:r>
    </w:p>
    <w:p>
      <w:pPr>
        <w:numPr>
          <w:ilvl w:val="0"/>
          <w:numId w:val="1377"/>
        </w:numPr>
        <w:pStyle w:val="Compact"/>
      </w:pPr>
      <w:r>
        <w:t xml:space="preserve">2015 · Holst JJ ·</w:t>
      </w:r>
      <w:r>
        <w:t xml:space="preserve"> </w:t>
      </w:r>
      <w:r>
        <w:rPr>
          <w:iCs/>
          <w:i/>
        </w:rPr>
        <w:t xml:space="preserve">J Diabetes Sci Technol</w:t>
      </w:r>
      <w:r>
        <w:t xml:space="preserve"> </w:t>
      </w:r>
      <w:r>
        <w:t xml:space="preserve">· IDegLira Improves Both Fasting and Postprandial Glucose Control as Demonstrated Using Continuous Glucose Monitoring and a Standardized Meal Test. PMID 26443290</w:t>
      </w:r>
    </w:p>
    <w:p>
      <w:pPr>
        <w:numPr>
          <w:ilvl w:val="0"/>
          <w:numId w:val="1377"/>
        </w:numPr>
        <w:pStyle w:val="Compact"/>
      </w:pPr>
      <w:r>
        <w:t xml:space="preserve">2015 · Malm-Erjefält M ·</w:t>
      </w:r>
      <w:r>
        <w:t xml:space="preserve"> </w:t>
      </w:r>
      <w:r>
        <w:rPr>
          <w:iCs/>
          <w:i/>
        </w:rPr>
        <w:t xml:space="preserve">Mol Pharm</w:t>
      </w:r>
      <w:r>
        <w:t xml:space="preserve"> </w:t>
      </w:r>
      <w:r>
        <w:t xml:space="preserve">· Effect on the Gastrointestinal Absorption of Drugs from Different Classes in the Biopharmaceutics Classification System, When Treating with Liraglutide. PMID 26426736</w:t>
      </w:r>
    </w:p>
    <w:p>
      <w:pPr>
        <w:numPr>
          <w:ilvl w:val="0"/>
          <w:numId w:val="1377"/>
        </w:numPr>
        <w:pStyle w:val="Compact"/>
      </w:pPr>
      <w:r>
        <w:t xml:space="preserve">2015 · Li D ·</w:t>
      </w:r>
      <w:r>
        <w:t xml:space="preserve"> </w:t>
      </w:r>
      <w:r>
        <w:rPr>
          <w:iCs/>
          <w:i/>
        </w:rPr>
        <w:t xml:space="preserve">Diabetes Res Clin Pract</w:t>
      </w:r>
      <w:r>
        <w:t xml:space="preserve"> </w:t>
      </w:r>
      <w:r>
        <w:t xml:space="preserve">· Liraglutide treatment causes upregulation of adiponectin and downregulation of resistin in Chinese type 2 diabetes. PMID 26376464</w:t>
      </w:r>
    </w:p>
    <w:p>
      <w:pPr>
        <w:numPr>
          <w:ilvl w:val="0"/>
          <w:numId w:val="1377"/>
        </w:numPr>
        <w:pStyle w:val="Compact"/>
      </w:pPr>
      <w:r>
        <w:t xml:space="preserve">2015 · Tanaka K ·</w:t>
      </w:r>
      <w:r>
        <w:t xml:space="preserve"> </w:t>
      </w:r>
      <w:r>
        <w:rPr>
          <w:iCs/>
          <w:i/>
        </w:rPr>
        <w:t xml:space="preserve">Clin Drug Investig</w:t>
      </w:r>
      <w:r>
        <w:t xml:space="preserve"> </w:t>
      </w:r>
      <w:r>
        <w:t xml:space="preserve">· Effects of Liraglutide Monotherapy on Beta Cell Function and Pancreatic Enzymes Compared with Metformin in Japanese Overweight/Obese Patients with Type 2 Diabetes Mellitus: A Subpopulation Analysis of the KIND-LM Randomized Trial. PMID 26369653</w:t>
      </w:r>
    </w:p>
    <w:p>
      <w:pPr>
        <w:numPr>
          <w:ilvl w:val="0"/>
          <w:numId w:val="1377"/>
        </w:numPr>
        <w:pStyle w:val="Compact"/>
      </w:pPr>
      <w:r>
        <w:t xml:space="preserve">2015 · Ma Z ·</w:t>
      </w:r>
      <w:r>
        <w:t xml:space="preserve"> </w:t>
      </w:r>
      <w:r>
        <w:rPr>
          <w:iCs/>
          <w:i/>
        </w:rPr>
        <w:t xml:space="preserve">Int J Clin Pharmacol Ther</w:t>
      </w:r>
      <w:r>
        <w:t xml:space="preserve"> </w:t>
      </w:r>
      <w:r>
        <w:t xml:space="preserve">· Effect of liraglutide vs. NPH in combination with metformin on blood glucose fluctuations assessed using continuous glucose monitoring in patients with newly diagnosed type 2 diabetes. PMID 26365337</w:t>
      </w:r>
    </w:p>
    <w:p>
      <w:pPr>
        <w:numPr>
          <w:ilvl w:val="0"/>
          <w:numId w:val="1377"/>
        </w:numPr>
        <w:pStyle w:val="Compact"/>
      </w:pPr>
      <w:r>
        <w:t xml:space="preserve">2015 · Østoft SH ·</w:t>
      </w:r>
      <w:r>
        <w:t xml:space="preserve"> </w:t>
      </w:r>
      <w:r>
        <w:rPr>
          <w:iCs/>
          <w:i/>
        </w:rPr>
        <w:t xml:space="preserve">Dan Med J</w:t>
      </w:r>
      <w:r>
        <w:t xml:space="preserve"> </w:t>
      </w:r>
      <w:r>
        <w:t xml:space="preserve">· Incretin hormones and maturity onset diabetes of the young–pathophysiological implications and anti-diabetic treatment potential. PMID 26324089</w:t>
      </w:r>
    </w:p>
    <w:p>
      <w:pPr>
        <w:numPr>
          <w:ilvl w:val="0"/>
          <w:numId w:val="1377"/>
        </w:numPr>
        <w:pStyle w:val="Compact"/>
      </w:pPr>
      <w:r>
        <w:t xml:space="preserve">2015 · Nomoto H ·</w:t>
      </w:r>
      <w:r>
        <w:t xml:space="preserve"> </w:t>
      </w:r>
      <w:r>
        <w:rPr>
          <w:iCs/>
          <w:i/>
        </w:rPr>
        <w:t xml:space="preserve">PLoS One</w:t>
      </w:r>
      <w:r>
        <w:t xml:space="preserve"> </w:t>
      </w:r>
      <w:r>
        <w:t xml:space="preserve">· A Comparison of the Effects of the GLP-1 Analogue Liraglutide and Insulin Glargine on Endothelial Function and Metabolic Parameters: A Randomized, Controlled Trial Sapporo Athero-Incretin Study 2 (SAIS2). PMID 26284918</w:t>
      </w:r>
    </w:p>
    <w:p>
      <w:pPr>
        <w:numPr>
          <w:ilvl w:val="0"/>
          <w:numId w:val="1377"/>
        </w:numPr>
        <w:pStyle w:val="Compact"/>
      </w:pPr>
      <w:r>
        <w:t xml:space="preserve">2015 · Davies MJ ·</w:t>
      </w:r>
      <w:r>
        <w:t xml:space="preserve"> </w:t>
      </w:r>
      <w:r>
        <w:rPr>
          <w:iCs/>
          <w:i/>
        </w:rPr>
        <w:t xml:space="preserve">JAMA</w:t>
      </w:r>
      <w:r>
        <w:t xml:space="preserve"> </w:t>
      </w:r>
      <w:r>
        <w:t xml:space="preserve">· Efficacy of Liraglutide for Weight Loss Among Patients With Type 2 Diabetes: The SCALE Diabetes Randomized Clinical Trial. PMID 26284720</w:t>
      </w:r>
    </w:p>
    <w:p>
      <w:pPr>
        <w:numPr>
          <w:ilvl w:val="0"/>
          <w:numId w:val="1377"/>
        </w:numPr>
        <w:pStyle w:val="Compact"/>
      </w:pPr>
      <w:r>
        <w:t xml:space="preserve">2015 · Yan L ·</w:t>
      </w:r>
      <w:r>
        <w:t xml:space="preserve"> </w:t>
      </w:r>
      <w:r>
        <w:rPr>
          <w:iCs/>
          <w:i/>
        </w:rPr>
        <w:t xml:space="preserve">Zhonghua Nei Ke Za Zhi</w:t>
      </w:r>
      <w:r>
        <w:t xml:space="preserve"> </w:t>
      </w:r>
      <w:r>
        <w:t xml:space="preserve">· [The efficacy and safety of human glucagon-like peptide-1 analogue liraglutide in newly diagnosed type 2 diabetes with glycosylated hemoglobin A1c &gt; 9]. PMID 26268058</w:t>
      </w:r>
    </w:p>
    <w:p>
      <w:pPr>
        <w:numPr>
          <w:ilvl w:val="0"/>
          <w:numId w:val="1377"/>
        </w:numPr>
        <w:pStyle w:val="Compact"/>
      </w:pPr>
      <w:r>
        <w:t xml:space="preserve">2015 · Kramer CK ·</w:t>
      </w:r>
      <w:r>
        <w:t xml:space="preserve"> </w:t>
      </w:r>
      <w:r>
        <w:rPr>
          <w:iCs/>
          <w:i/>
        </w:rPr>
        <w:t xml:space="preserve">J Clin Endocrinol Metab</w:t>
      </w:r>
      <w:r>
        <w:t xml:space="preserve"> </w:t>
      </w:r>
      <w:r>
        <w:t xml:space="preserve">· The Impact of Chronic Liraglutide Therapy on Glucagon Secretion in Type 2 Diabetes: Insight From the LIBRA Trial. PMID 26230296</w:t>
      </w:r>
    </w:p>
    <w:p>
      <w:pPr>
        <w:numPr>
          <w:ilvl w:val="0"/>
          <w:numId w:val="1377"/>
        </w:numPr>
        <w:pStyle w:val="Compact"/>
      </w:pPr>
      <w:r>
        <w:t xml:space="preserve">2015 · Rizvi AA ·</w:t>
      </w:r>
      <w:r>
        <w:t xml:space="preserve"> </w:t>
      </w:r>
      <w:r>
        <w:rPr>
          <w:iCs/>
          <w:i/>
        </w:rPr>
        <w:t xml:space="preserve">Expert Opin Biol Ther</w:t>
      </w:r>
      <w:r>
        <w:t xml:space="preserve"> </w:t>
      </w:r>
      <w:r>
        <w:t xml:space="preserve">· Liraglutide improves carotid intima-media thickness in patients with type 2 diabetes and non-alcoholic fatty liver disease: an 8-month prospective pilot study. PMID 26195184</w:t>
      </w:r>
    </w:p>
    <w:p>
      <w:pPr>
        <w:numPr>
          <w:ilvl w:val="0"/>
          <w:numId w:val="1377"/>
        </w:numPr>
        <w:pStyle w:val="Compact"/>
      </w:pPr>
      <w:r>
        <w:t xml:space="preserve">2015 · Fujioka K ·</w:t>
      </w:r>
      <w:r>
        <w:t xml:space="preserve"> </w:t>
      </w:r>
      <w:r>
        <w:rPr>
          <w:iCs/>
          <w:i/>
        </w:rPr>
        <w:t xml:space="preserve">J Diabetes Sci Technol</w:t>
      </w:r>
      <w:r>
        <w:t xml:space="preserve"> </w:t>
      </w:r>
      <w:r>
        <w:t xml:space="preserve">· Usability of the Novel Liraglutide 3.0 mg Pen Injector Among Overweight or Obese Adult Patients With or Without Prior Injection Experience. PMID 26183599</w:t>
      </w:r>
    </w:p>
    <w:p>
      <w:pPr>
        <w:numPr>
          <w:ilvl w:val="0"/>
          <w:numId w:val="1377"/>
        </w:numPr>
        <w:pStyle w:val="Compact"/>
      </w:pPr>
      <w:r>
        <w:t xml:space="preserve">2015 · Ahmann A ·</w:t>
      </w:r>
      <w:r>
        <w:t xml:space="preserve"> </w:t>
      </w:r>
      <w:r>
        <w:rPr>
          <w:iCs/>
          <w:i/>
        </w:rPr>
        <w:t xml:space="preserve">Diabetes Obes Metab</w:t>
      </w:r>
      <w:r>
        <w:t xml:space="preserve"> </w:t>
      </w:r>
      <w:r>
        <w:t xml:space="preserve">· Efficacy and safety of liraglutide versus placebo added to basal insulin analogues (with or without metformin) in patients with type 2 diabetes: a randomized, placebo-controlled trial. PMID 26179619</w:t>
      </w:r>
    </w:p>
    <w:p>
      <w:pPr>
        <w:numPr>
          <w:ilvl w:val="0"/>
          <w:numId w:val="1377"/>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7"/>
        </w:numPr>
        <w:pStyle w:val="Compact"/>
      </w:pPr>
      <w:r>
        <w:t xml:space="preserve">2015 · Pi-Sunyer X ·</w:t>
      </w:r>
      <w:r>
        <w:t xml:space="preserve"> </w:t>
      </w:r>
      <w:r>
        <w:rPr>
          <w:iCs/>
          <w:i/>
        </w:rPr>
        <w:t xml:space="preserve">N Engl J Med</w:t>
      </w:r>
      <w:r>
        <w:t xml:space="preserve"> </w:t>
      </w:r>
      <w:r>
        <w:t xml:space="preserve">· A Randomized, Controlled Trial of 3.0 mg of Liraglutide in Weight Management. PMID 26132939</w:t>
      </w:r>
    </w:p>
    <w:p>
      <w:pPr>
        <w:numPr>
          <w:ilvl w:val="0"/>
          <w:numId w:val="1377"/>
        </w:numPr>
        <w:pStyle w:val="Compact"/>
      </w:pPr>
      <w:r>
        <w:t xml:space="preserve">2015 · Iepsen EW ·</w:t>
      </w:r>
      <w:r>
        <w:t xml:space="preserve"> </w:t>
      </w:r>
      <w:r>
        <w:rPr>
          <w:iCs/>
          <w:i/>
        </w:rPr>
        <w:t xml:space="preserve">J Clin Endocrinol Metab</w:t>
      </w:r>
      <w:r>
        <w:t xml:space="preserve"> </w:t>
      </w:r>
      <w:r>
        <w:t xml:space="preserve">· GLP-1 Receptor Agonist Treatment Increases Bone Formation and Prevents Bone Loss in Weight-Reduced Obese Women. PMID 26043228</w:t>
      </w:r>
    </w:p>
    <w:p>
      <w:pPr>
        <w:numPr>
          <w:ilvl w:val="0"/>
          <w:numId w:val="1377"/>
        </w:numPr>
        <w:pStyle w:val="Compact"/>
      </w:pPr>
      <w:r>
        <w:t xml:space="preserve">2015 · Jensterle M ·</w:t>
      </w:r>
      <w:r>
        <w:t xml:space="preserve"> </w:t>
      </w:r>
      <w:r>
        <w:rPr>
          <w:iCs/>
          <w:i/>
        </w:rPr>
        <w:t xml:space="preserve">J Ovarian Res</w:t>
      </w:r>
      <w:r>
        <w:t xml:space="preserve"> </w:t>
      </w:r>
      <w:r>
        <w:t xml:space="preserve">· Short term monotherapy with GLP-1 receptor agonist liraglutide or PDE 4 inhibitor roflumilast is superior to metformin in weight loss in obese PCOS women: a pilot randomized study. PMID 26032655</w:t>
      </w:r>
    </w:p>
    <w:p>
      <w:pPr>
        <w:numPr>
          <w:ilvl w:val="0"/>
          <w:numId w:val="1377"/>
        </w:numPr>
        <w:pStyle w:val="Compact"/>
      </w:pPr>
      <w:r>
        <w:t xml:space="preserve">2015 · Kapitza C ·</w:t>
      </w:r>
      <w:r>
        <w:t xml:space="preserve"> </w:t>
      </w:r>
      <w:r>
        <w:rPr>
          <w:iCs/>
          <w:i/>
        </w:rPr>
        <w:t xml:space="preserve">J Clin Pharmacol</w:t>
      </w:r>
      <w:r>
        <w:t xml:space="preserve"> </w:t>
      </w:r>
      <w:r>
        <w:t xml:space="preserve">· Preserved pharmacokinetic exposure and distinct glycemic effects of insulin degludec and liraglutide in IDegLira, a fixed-ratio combination therapy. PMID 25998481</w:t>
      </w:r>
    </w:p>
    <w:p>
      <w:pPr>
        <w:numPr>
          <w:ilvl w:val="0"/>
          <w:numId w:val="1377"/>
        </w:numPr>
        <w:pStyle w:val="Compact"/>
      </w:pPr>
      <w:r>
        <w:t xml:space="preserve">2015 · Jensterle M ·</w:t>
      </w:r>
      <w:r>
        <w:t xml:space="preserve"> </w:t>
      </w:r>
      <w:r>
        <w:rPr>
          <w:iCs/>
          <w:i/>
        </w:rPr>
        <w:t xml:space="preserve">Eur J Clin Pharmacol</w:t>
      </w:r>
      <w:r>
        <w:t xml:space="preserve"> </w:t>
      </w:r>
      <w:r>
        <w:t xml:space="preserve">· Genetic variability in GLP-1 receptor is associated with inter-individual differences in weight lowering potential of liraglutide in obese women with PCOS: a pilot study. PMID 25991051</w:t>
      </w:r>
    </w:p>
    <w:p>
      <w:pPr>
        <w:numPr>
          <w:ilvl w:val="0"/>
          <w:numId w:val="1377"/>
        </w:numPr>
        <w:pStyle w:val="Compact"/>
      </w:pPr>
      <w:r>
        <w:t xml:space="preserve">2015 · Gough SC ·</w:t>
      </w:r>
      <w:r>
        <w:t xml:space="preserve"> </w:t>
      </w:r>
      <w:r>
        <w:rPr>
          <w:iCs/>
          <w:i/>
        </w:rPr>
        <w:t xml:space="preserve">Diabetes Obes Metab</w:t>
      </w:r>
      <w:r>
        <w:t xml:space="preserve"> </w:t>
      </w:r>
      <w:r>
        <w:t xml:space="preserve">· One-year efficacy and safety of a fixed combination of insulin degludec and liraglutide in patients with type 2 diabetes: results of a 26-week extension to a 26-week main trial. PMID 25980900</w:t>
      </w:r>
    </w:p>
    <w:p>
      <w:pPr>
        <w:numPr>
          <w:ilvl w:val="0"/>
          <w:numId w:val="1377"/>
        </w:numPr>
        <w:pStyle w:val="Compact"/>
      </w:pPr>
      <w:r>
        <w:t xml:space="preserve">2015 · von Scholten BJ ·</w:t>
      </w:r>
      <w:r>
        <w:t xml:space="preserve"> </w:t>
      </w:r>
      <w:r>
        <w:rPr>
          <w:iCs/>
          <w:i/>
        </w:rPr>
        <w:t xml:space="preserve">J Diabetes Complications</w:t>
      </w:r>
      <w:r>
        <w:t xml:space="preserve"> </w:t>
      </w:r>
      <w:r>
        <w:t xml:space="preserve">· Glucagon-like peptide 1 receptor agonist (GLP-1 RA): long-term effect on kidney function in patients with type 2 diabetes. PMID 25935863</w:t>
      </w:r>
    </w:p>
    <w:p>
      <w:pPr>
        <w:numPr>
          <w:ilvl w:val="0"/>
          <w:numId w:val="1377"/>
        </w:numPr>
        <w:pStyle w:val="Compact"/>
      </w:pPr>
      <w:r>
        <w:t xml:space="preserve">2015 · Faber R ·</w:t>
      </w:r>
      <w:r>
        <w:t xml:space="preserve"> </w:t>
      </w:r>
      <w:r>
        <w:rPr>
          <w:iCs/>
          <w:i/>
        </w:rPr>
        <w:t xml:space="preserve">Cardiovasc Diabetol</w:t>
      </w:r>
      <w:r>
        <w:t xml:space="preserve"> </w:t>
      </w:r>
      <w:r>
        <w:t xml:space="preserve">· Effect of the glucagon-like peptide-1 analogue liraglutide on coronary microvascular function in patients with type 2 diabetes - a randomized, single-blinded, cross-over pilot study. PMID 25896352</w:t>
      </w:r>
    </w:p>
    <w:p>
      <w:pPr>
        <w:numPr>
          <w:ilvl w:val="0"/>
          <w:numId w:val="1377"/>
        </w:numPr>
        <w:pStyle w:val="Compact"/>
      </w:pPr>
      <w:r>
        <w:t xml:space="preserve">2015 · Meier JJ ·</w:t>
      </w:r>
      <w:r>
        <w:t xml:space="preserve"> </w:t>
      </w:r>
      <w:r>
        <w:rPr>
          <w:iCs/>
          <w:i/>
        </w:rPr>
        <w:t xml:space="preserve">Diabetes Care</w:t>
      </w:r>
      <w:r>
        <w:t xml:space="preserve"> </w:t>
      </w:r>
      <w:r>
        <w:t xml:space="preserve">· Contrasting Effects of Lixisenatide and Liraglutide on Postprandial Glycemic Control, Gastric Emptying, and Safety Parameters in Patients With Type 2 Diabetes on Optimized Insulin Glargine With or Without Metformin: A Randomized, Open-Label Trial. PMID 25887358</w:t>
      </w:r>
    </w:p>
    <w:p>
      <w:pPr>
        <w:numPr>
          <w:ilvl w:val="0"/>
          <w:numId w:val="1377"/>
        </w:numPr>
        <w:pStyle w:val="Compact"/>
      </w:pPr>
      <w:r>
        <w:t xml:space="preserve">2015 · Jensterle M ·</w:t>
      </w:r>
      <w:r>
        <w:t xml:space="preserve"> </w:t>
      </w:r>
      <w:r>
        <w:rPr>
          <w:iCs/>
          <w:i/>
        </w:rPr>
        <w:t xml:space="preserve">Hormones (Athens)</w:t>
      </w:r>
      <w:r>
        <w:t xml:space="preserve"> </w:t>
      </w:r>
      <w:r>
        <w:t xml:space="preserve">· A 12-week treatment with the long-acting glucagon-like peptide 1 receptor agonist liraglutide leads to significant weight loss in a subset of obese women with newly diagnosed polycystic ovary syndrome. PMID 25885106</w:t>
      </w:r>
    </w:p>
    <w:p>
      <w:pPr>
        <w:numPr>
          <w:ilvl w:val="0"/>
          <w:numId w:val="1377"/>
        </w:numPr>
        <w:pStyle w:val="Compact"/>
      </w:pPr>
      <w:r>
        <w:t xml:space="preserve">2015 · Kahal H ·</w:t>
      </w:r>
      <w:r>
        <w:t xml:space="preserve"> </w:t>
      </w:r>
      <w:r>
        <w:rPr>
          <w:iCs/>
          <w:i/>
        </w:rPr>
        <w:t xml:space="preserve">BMC Endocr Disord</w:t>
      </w:r>
      <w:r>
        <w:t xml:space="preserve"> </w:t>
      </w:r>
      <w:r>
        <w:t xml:space="preserve">· The effects of treatment with liraglutide on atherothrombotic risk in obese young women with polycystic ovary syndrome and controls. PMID 25880805</w:t>
      </w:r>
    </w:p>
    <w:p>
      <w:pPr>
        <w:numPr>
          <w:ilvl w:val="0"/>
          <w:numId w:val="1377"/>
        </w:numPr>
        <w:pStyle w:val="Compact"/>
      </w:pPr>
      <w:r>
        <w:t xml:space="preserve">2015 · Robert SA ·</w:t>
      </w:r>
      <w:r>
        <w:t xml:space="preserve"> </w:t>
      </w:r>
      <w:r>
        <w:rPr>
          <w:iCs/>
          <w:i/>
        </w:rPr>
        <w:t xml:space="preserve">Obes Res Clin Pract</w:t>
      </w:r>
      <w:r>
        <w:t xml:space="preserve"> </w:t>
      </w:r>
      <w:r>
        <w:t xml:space="preserve">· Improvement in binge eating in non-diabetic obese individuals after 3 months of treatment with liraglutide - A pilot study. PMID 25870084</w:t>
      </w:r>
    </w:p>
    <w:p>
      <w:pPr>
        <w:numPr>
          <w:ilvl w:val="0"/>
          <w:numId w:val="1377"/>
        </w:numPr>
        <w:pStyle w:val="Compact"/>
      </w:pPr>
      <w:r>
        <w:t xml:space="preserve">2015 · Pieber TR ·</w:t>
      </w:r>
      <w:r>
        <w:t xml:space="preserve"> </w:t>
      </w:r>
      <w:r>
        <w:rPr>
          <w:iCs/>
          <w:i/>
        </w:rPr>
        <w:t xml:space="preserve">Diabetes Obes Metab</w:t>
      </w:r>
      <w:r>
        <w:t xml:space="preserve"> </w:t>
      </w:r>
      <w:r>
        <w:t xml:space="preserve">· Counter-regulatory hormone responses to hypoglycaemia in people with type 1 diabetes after 4 weeks of treatment with liraglutide adjunct to insulin: a randomized, placebo-controlled, double-blind, crossover trial. PMID 25855340</w:t>
      </w:r>
    </w:p>
    <w:p>
      <w:pPr>
        <w:numPr>
          <w:ilvl w:val="0"/>
          <w:numId w:val="1377"/>
        </w:numPr>
        <w:pStyle w:val="Compact"/>
      </w:pPr>
      <w:r>
        <w:t xml:space="preserve">2015 · Myat A ·</w:t>
      </w:r>
      <w:r>
        <w:t xml:space="preserve"> </w:t>
      </w:r>
      <w:r>
        <w:rPr>
          <w:iCs/>
          <w:i/>
        </w:rPr>
        <w:t xml:space="preserve">Cardiovasc Diabetol</w:t>
      </w:r>
      <w:r>
        <w:t xml:space="preserve"> </w:t>
      </w:r>
      <w:r>
        <w:t xml:space="preserve">· Design and rationale for the randomised, double-blinded, placebo-controlled Liraglutide to Improve corONary haemodynamics during Exercise streSS (LIONESS) crossover study. PMID 25848859</w:t>
      </w:r>
    </w:p>
    <w:p>
      <w:pPr>
        <w:numPr>
          <w:ilvl w:val="0"/>
          <w:numId w:val="1377"/>
        </w:numPr>
        <w:pStyle w:val="Compact"/>
      </w:pPr>
      <w:r>
        <w:t xml:space="preserve">2015 · Dejgaard TF ·</w:t>
      </w:r>
      <w:r>
        <w:t xml:space="preserve"> </w:t>
      </w:r>
      <w:r>
        <w:rPr>
          <w:iCs/>
          <w:i/>
        </w:rPr>
        <w:t xml:space="preserve">BMJ Open</w:t>
      </w:r>
      <w:r>
        <w:t xml:space="preserve"> </w:t>
      </w:r>
      <w:r>
        <w:t xml:space="preserve">· Efficacy and safety of the glucagon-like peptide-1 receptor agonist liraglutide added to insulin therapy in poorly regulated patients with type 1 diabetes–a protocol for a randomised, double-blind, placebo-controlled study: the Lira-1 study. PMID 25838513</w:t>
      </w:r>
    </w:p>
    <w:p>
      <w:pPr>
        <w:numPr>
          <w:ilvl w:val="0"/>
          <w:numId w:val="1377"/>
        </w:numPr>
        <w:pStyle w:val="Compact"/>
      </w:pPr>
      <w:r>
        <w:t xml:space="preserve">2015 · de Luis DA ·</w:t>
      </w:r>
      <w:r>
        <w:t xml:space="preserve"> </w:t>
      </w:r>
      <w:r>
        <w:rPr>
          <w:iCs/>
          <w:i/>
        </w:rPr>
        <w:t xml:space="preserve">J Diabetes Complications</w:t>
      </w:r>
      <w:r>
        <w:t xml:space="preserve"> </w:t>
      </w:r>
      <w:r>
        <w:t xml:space="preserve">· Evaluation of weight loss and metabolic changes in diabetic patients treated with liraglutide, effect of RS 6923761 gene variant of glucagon-like peptide 1 receptor. PMID 25825013</w:t>
      </w:r>
    </w:p>
    <w:p>
      <w:pPr>
        <w:numPr>
          <w:ilvl w:val="0"/>
          <w:numId w:val="1377"/>
        </w:numPr>
        <w:pStyle w:val="Compact"/>
      </w:pPr>
      <w:r>
        <w:t xml:space="preserve">2015 · Tang A ·</w:t>
      </w:r>
      <w:r>
        <w:t xml:space="preserve"> </w:t>
      </w:r>
      <w:r>
        <w:rPr>
          <w:iCs/>
          <w:i/>
        </w:rPr>
        <w:t xml:space="preserve">Diabetes Care</w:t>
      </w:r>
      <w:r>
        <w:t xml:space="preserve"> </w:t>
      </w:r>
      <w:r>
        <w:t xml:space="preserve">· Effects of Insulin Glargine and Liraglutide Therapy on Liver Fat as Measured by Magnetic Resonance in Patients With Type 2 Diabetes: A Randomized Trial. PMID 25813773</w:t>
      </w:r>
    </w:p>
    <w:p>
      <w:pPr>
        <w:numPr>
          <w:ilvl w:val="0"/>
          <w:numId w:val="1377"/>
        </w:numPr>
        <w:pStyle w:val="Compact"/>
      </w:pPr>
      <w:r>
        <w:t xml:space="preserve">2015 · Tanaka K ·</w:t>
      </w:r>
      <w:r>
        <w:t xml:space="preserve"> </w:t>
      </w:r>
      <w:r>
        <w:rPr>
          <w:iCs/>
          <w:i/>
        </w:rPr>
        <w:t xml:space="preserve">Endocr J</w:t>
      </w:r>
      <w:r>
        <w:t xml:space="preserve"> </w:t>
      </w:r>
      <w:r>
        <w:t xml:space="preserve">· Efficacy and safety of liraglutide monotherapy compared with metformin in Japanese overweight/obese patients with type 2 diabetes. PMID 25739726</w:t>
      </w:r>
    </w:p>
    <w:p>
      <w:pPr>
        <w:numPr>
          <w:ilvl w:val="0"/>
          <w:numId w:val="1377"/>
        </w:numPr>
        <w:pStyle w:val="Compact"/>
      </w:pPr>
      <w:r>
        <w:t xml:space="preserve">2015 · Ingwersen SH ·</w:t>
      </w:r>
      <w:r>
        <w:t xml:space="preserve"> </w:t>
      </w:r>
      <w:r>
        <w:rPr>
          <w:iCs/>
          <w:i/>
        </w:rPr>
        <w:t xml:space="preserve">Diabetes Res Clin Pract</w:t>
      </w:r>
      <w:r>
        <w:t xml:space="preserve"> </w:t>
      </w:r>
      <w:r>
        <w:t xml:space="preserve">· Liraglutide pharmacokinetics and dose-exposure response in Asian subjects with Type 2 diabetes from China, India and South Korea. PMID 25684604</w:t>
      </w:r>
    </w:p>
    <w:p>
      <w:pPr>
        <w:numPr>
          <w:ilvl w:val="0"/>
          <w:numId w:val="1377"/>
        </w:numPr>
        <w:pStyle w:val="Compact"/>
      </w:pPr>
      <w:r>
        <w:t xml:space="preserve">2015 · Inoue Y ·</w:t>
      </w:r>
      <w:r>
        <w:t xml:space="preserve"> </w:t>
      </w:r>
      <w:r>
        <w:rPr>
          <w:iCs/>
          <w:i/>
        </w:rPr>
        <w:t xml:space="preserve">J Clin Pharmacol</w:t>
      </w:r>
      <w:r>
        <w:t xml:space="preserve"> </w:t>
      </w:r>
      <w:r>
        <w:t xml:space="preserve">· A randomized controlled trial of liraglutide versus insulin detemir plus sitagliptin: Effective switch from intensive insulin therapy to the once-daily injection in patients with well-controlled type 2 diabetes. PMID 25677642</w:t>
      </w:r>
    </w:p>
    <w:p>
      <w:pPr>
        <w:numPr>
          <w:ilvl w:val="0"/>
          <w:numId w:val="1377"/>
        </w:numPr>
        <w:pStyle w:val="Compact"/>
      </w:pPr>
      <w:r>
        <w:t xml:space="preserve">2015 · Daniels GH ·</w:t>
      </w:r>
      <w:r>
        <w:t xml:space="preserve"> </w:t>
      </w:r>
      <w:r>
        <w:rPr>
          <w:iCs/>
          <w:i/>
        </w:rPr>
        <w:t xml:space="preserve">Diabetes Obes Metab</w:t>
      </w:r>
      <w:r>
        <w:t xml:space="preserve"> </w:t>
      </w:r>
      <w:r>
        <w:t xml:space="preserve">· LEADER 2: baseline calcitonin in 9340 people with type 2 diabetes enrolled in the Liraglutide Effect and Action in Diabetes: Evaluation of cardiovascular outcome Results (LEADER) trial: preliminary observations. PMID 25656058</w:t>
      </w:r>
    </w:p>
    <w:p>
      <w:pPr>
        <w:numPr>
          <w:ilvl w:val="0"/>
          <w:numId w:val="1377"/>
        </w:numPr>
        <w:pStyle w:val="Compact"/>
      </w:pPr>
      <w:r>
        <w:t xml:space="preserve">2015 · Feng P ·</w:t>
      </w:r>
      <w:r>
        <w:t xml:space="preserve"> </w:t>
      </w:r>
      <w:r>
        <w:rPr>
          <w:iCs/>
          <w:i/>
        </w:rPr>
        <w:t xml:space="preserve">Acta Pharmacol Sin</w:t>
      </w:r>
      <w:r>
        <w:t xml:space="preserve"> </w:t>
      </w:r>
      <w:r>
        <w:t xml:space="preserve">· Liraglutide reduces the body weight and waist circumference in Chinese overweight and obese type 2 diabetic patients. PMID 25619391</w:t>
      </w:r>
    </w:p>
    <w:p>
      <w:pPr>
        <w:numPr>
          <w:ilvl w:val="0"/>
          <w:numId w:val="1377"/>
        </w:numPr>
        <w:pStyle w:val="Compact"/>
      </w:pPr>
      <w:r>
        <w:t xml:space="preserve">2015 · Petri KC ·</w:t>
      </w:r>
      <w:r>
        <w:t xml:space="preserve"> </w:t>
      </w:r>
      <w:r>
        <w:rPr>
          <w:iCs/>
          <w:i/>
        </w:rPr>
        <w:t xml:space="preserve">Clin Pharmacokinet</w:t>
      </w:r>
      <w:r>
        <w:t xml:space="preserve"> </w:t>
      </w:r>
      <w:r>
        <w:t xml:space="preserve">· Comparable liraglutide pharmacokinetics in pediatric and adult populations with type 2 diabetes: a population pharmacokinetic analysis. PMID 25603819</w:t>
      </w:r>
    </w:p>
    <w:p>
      <w:pPr>
        <w:numPr>
          <w:ilvl w:val="0"/>
          <w:numId w:val="1377"/>
        </w:numPr>
        <w:pStyle w:val="Compact"/>
      </w:pPr>
      <w:r>
        <w:t xml:space="preserve">2015 · Lovshin JA ·</w:t>
      </w:r>
      <w:r>
        <w:t xml:space="preserve"> </w:t>
      </w:r>
      <w:r>
        <w:rPr>
          <w:iCs/>
          <w:i/>
        </w:rPr>
        <w:t xml:space="preserve">Diabetes Care</w:t>
      </w:r>
      <w:r>
        <w:t xml:space="preserve"> </w:t>
      </w:r>
      <w:r>
        <w:t xml:space="preserve">· Liraglutide promotes natriuresis but does not increase circulating levels of atrial natriuretic peptide in hypertensive subjects with type 2 diabetes. PMID 25414155</w:t>
      </w:r>
    </w:p>
    <w:p>
      <w:pPr>
        <w:numPr>
          <w:ilvl w:val="0"/>
          <w:numId w:val="1377"/>
        </w:numPr>
        <w:pStyle w:val="Compact"/>
      </w:pPr>
      <w:r>
        <w:t xml:space="preserve">2015 · Rizzo M ·</w:t>
      </w:r>
      <w:r>
        <w:t xml:space="preserve"> </w:t>
      </w:r>
      <w:r>
        <w:rPr>
          <w:iCs/>
          <w:i/>
        </w:rPr>
        <w:t xml:space="preserve">J Clin Endocrinol Metab</w:t>
      </w:r>
      <w:r>
        <w:t xml:space="preserve"> </w:t>
      </w:r>
      <w:r>
        <w:t xml:space="preserve">· Liraglutide reduces oxidative stress and restores heme oxygenase-1 and ghrelin levels in patients with type 2 diabetes: a prospective pilot study. PMID 25393640</w:t>
      </w:r>
    </w:p>
    <w:p>
      <w:pPr>
        <w:numPr>
          <w:ilvl w:val="0"/>
          <w:numId w:val="1377"/>
        </w:numPr>
        <w:pStyle w:val="Compact"/>
      </w:pPr>
      <w:r>
        <w:t xml:space="preserve">2015 · D’Alessio D ·</w:t>
      </w:r>
      <w:r>
        <w:t xml:space="preserve"> </w:t>
      </w:r>
      <w:r>
        <w:rPr>
          <w:iCs/>
          <w:i/>
        </w:rPr>
        <w:t xml:space="preserve">Diabetes Obes Metab</w:t>
      </w:r>
      <w:r>
        <w:t xml:space="preserve"> </w:t>
      </w:r>
      <w:r>
        <w:t xml:space="preserve">· Comparison of insulin glargine and liraglutide added to oral agents in patients with poorly controlled type 2 diabetes. PMID 25359159</w:t>
      </w:r>
    </w:p>
    <w:p>
      <w:pPr>
        <w:numPr>
          <w:ilvl w:val="0"/>
          <w:numId w:val="1377"/>
        </w:numPr>
        <w:pStyle w:val="Compact"/>
      </w:pPr>
      <w:r>
        <w:t xml:space="preserve">2015 · Jensterle M ·</w:t>
      </w:r>
      <w:r>
        <w:t xml:space="preserve"> </w:t>
      </w:r>
      <w:r>
        <w:rPr>
          <w:iCs/>
          <w:i/>
        </w:rPr>
        <w:t xml:space="preserve">Endocr Res</w:t>
      </w:r>
      <w:r>
        <w:t xml:space="preserve"> </w:t>
      </w:r>
      <w:r>
        <w:t xml:space="preserve">· Short-term intervention with liraglutide improved eating behavior in obese women with polycystic ovary syndrome. PMID 25330463</w:t>
      </w:r>
    </w:p>
    <w:p>
      <w:pPr>
        <w:numPr>
          <w:ilvl w:val="0"/>
          <w:numId w:val="1377"/>
        </w:numPr>
        <w:pStyle w:val="Compact"/>
      </w:pPr>
      <w:r>
        <w:t xml:space="preserve">2015 · Iepsen EW ·</w:t>
      </w:r>
      <w:r>
        <w:t xml:space="preserve"> </w:t>
      </w:r>
      <w:r>
        <w:rPr>
          <w:iCs/>
          <w:i/>
        </w:rPr>
        <w:t xml:space="preserve">Int J Obes (Lond)</w:t>
      </w:r>
      <w:r>
        <w:t xml:space="preserve"> </w:t>
      </w:r>
      <w:r>
        <w:t xml:space="preserve">· Treatment with a GLP-1 receptor agonist diminishes the decrease in free plasma leptin during maintenance of weight loss. PMID 25287751</w:t>
      </w:r>
    </w:p>
    <w:p>
      <w:pPr>
        <w:numPr>
          <w:ilvl w:val="0"/>
          <w:numId w:val="1377"/>
        </w:numPr>
        <w:pStyle w:val="Compact"/>
      </w:pPr>
      <w:r>
        <w:t xml:space="preserve">2015 · von Scholten BJ ·</w:t>
      </w:r>
      <w:r>
        <w:t xml:space="preserve"> </w:t>
      </w:r>
      <w:r>
        <w:rPr>
          <w:iCs/>
          <w:i/>
        </w:rPr>
        <w:t xml:space="preserve">Diabet Med</w:t>
      </w:r>
      <w:r>
        <w:t xml:space="preserve"> </w:t>
      </w:r>
      <w:r>
        <w:t xml:space="preserve">· Time course and mechanisms of the anti-hypertensive and renal effects of liraglutide treatment. PMID 25251901</w:t>
      </w:r>
    </w:p>
    <w:p>
      <w:pPr>
        <w:numPr>
          <w:ilvl w:val="0"/>
          <w:numId w:val="1377"/>
        </w:numPr>
        <w:pStyle w:val="Compact"/>
      </w:pPr>
      <w:r>
        <w:t xml:space="preserve">2015 · Lind M ·</w:t>
      </w:r>
      <w:r>
        <w:t xml:space="preserve"> </w:t>
      </w:r>
      <w:r>
        <w:rPr>
          <w:iCs/>
          <w:i/>
        </w:rPr>
        <w:t xml:space="preserve">Prim Care Diabetes</w:t>
      </w:r>
      <w:r>
        <w:t xml:space="preserve"> </w:t>
      </w:r>
      <w:r>
        <w:t xml:space="preserve">· Design and methods of a randomised double-blind trial of adding liraglutide to control HbA1c in patients with type 2 diabetes with impaired glycaemic control treated with multiple daily insulin injections (MDI-Liraglutide trial). PMID 25175385</w:t>
      </w:r>
    </w:p>
    <w:p>
      <w:pPr>
        <w:numPr>
          <w:ilvl w:val="0"/>
          <w:numId w:val="1377"/>
        </w:numPr>
        <w:pStyle w:val="Compact"/>
      </w:pPr>
      <w:r>
        <w:t xml:space="preserve">2015 · Faurschou A ·</w:t>
      </w:r>
      <w:r>
        <w:t xml:space="preserve"> </w:t>
      </w:r>
      <w:r>
        <w:rPr>
          <w:iCs/>
          <w:i/>
        </w:rPr>
        <w:t xml:space="preserve">J Eur Acad Dermatol Venereol</w:t>
      </w:r>
      <w:r>
        <w:t xml:space="preserve"> </w:t>
      </w:r>
      <w:r>
        <w:t xml:space="preserve">· Lack of effect of the glucagon-like peptide-1 receptor agonist liraglutide on psoriasis in glucose-tolerant patients–a randomized placebo-controlled trial. PMID 25139195</w:t>
      </w:r>
    </w:p>
    <w:p>
      <w:pPr>
        <w:numPr>
          <w:ilvl w:val="0"/>
          <w:numId w:val="1377"/>
        </w:numPr>
        <w:pStyle w:val="Compact"/>
      </w:pPr>
      <w:r>
        <w:t xml:space="preserve">2014 · Osonoi T ·</w:t>
      </w:r>
      <w:r>
        <w:t xml:space="preserve"> </w:t>
      </w:r>
      <w:r>
        <w:rPr>
          <w:iCs/>
          <w:i/>
        </w:rPr>
        <w:t xml:space="preserve">PLoS One</w:t>
      </w:r>
      <w:r>
        <w:t xml:space="preserve"> </w:t>
      </w:r>
      <w:r>
        <w:t xml:space="preserve">· Effect of hemodialysis on plasma glucose profile and plasma level of liraglutide in patients with type 2 diabetes mellitus and end-stage renal disease: a pilot study. PMID 25526642</w:t>
      </w:r>
    </w:p>
    <w:p>
      <w:pPr>
        <w:numPr>
          <w:ilvl w:val="0"/>
          <w:numId w:val="1377"/>
        </w:numPr>
        <w:pStyle w:val="Compact"/>
      </w:pPr>
      <w:r>
        <w:t xml:space="preserve">2014 · Polderman JA ·</w:t>
      </w:r>
      <w:r>
        <w:t xml:space="preserve"> </w:t>
      </w:r>
      <w:r>
        <w:rPr>
          <w:iCs/>
          <w:i/>
        </w:rPr>
        <w:t xml:space="preserve">BMC Anesthesiol</w:t>
      </w:r>
      <w:r>
        <w:t xml:space="preserve"> </w:t>
      </w:r>
      <w:r>
        <w:t xml:space="preserve">· Study protocol of a randomised controlled trial comparing perioperative intravenous insulin, GIK or GLP-1 treatment in diabetes-PILGRIM trial. PMID 25419179</w:t>
      </w:r>
    </w:p>
    <w:p>
      <w:pPr>
        <w:numPr>
          <w:ilvl w:val="0"/>
          <w:numId w:val="1377"/>
        </w:numPr>
        <w:pStyle w:val="Compact"/>
      </w:pPr>
      <w:r>
        <w:t xml:space="preserve">2014 · Steinberg WM ·</w:t>
      </w:r>
      <w:r>
        <w:t xml:space="preserve"> </w:t>
      </w:r>
      <w:r>
        <w:rPr>
          <w:iCs/>
          <w:i/>
        </w:rPr>
        <w:t xml:space="preserve">Pancreas</w:t>
      </w:r>
      <w:r>
        <w:t xml:space="preserve"> </w:t>
      </w:r>
      <w:r>
        <w:t xml:space="preserve">· LEADER 3–lipase and amylase activity in subjects with type 2 diabetes: baseline data from over 9000 subjects in the LEADER Trial. PMID 25275271</w:t>
      </w:r>
    </w:p>
    <w:p>
      <w:pPr>
        <w:numPr>
          <w:ilvl w:val="0"/>
          <w:numId w:val="1377"/>
        </w:numPr>
        <w:pStyle w:val="Compact"/>
      </w:pPr>
      <w:r>
        <w:t xml:space="preserve">2014 · Retnakaran R ·</w:t>
      </w:r>
      <w:r>
        <w:t xml:space="preserve"> </w:t>
      </w:r>
      <w:r>
        <w:rPr>
          <w:iCs/>
          <w:i/>
        </w:rPr>
        <w:t xml:space="preserve">Diabetes Care</w:t>
      </w:r>
      <w:r>
        <w:t xml:space="preserve"> </w:t>
      </w:r>
      <w:r>
        <w:t xml:space="preserve">· Liraglutide and the preservation of pancreatic β-cell function in early type 2 diabetes: the LIBRA trial. PMID 25249651</w:t>
      </w:r>
    </w:p>
    <w:p>
      <w:pPr>
        <w:numPr>
          <w:ilvl w:val="0"/>
          <w:numId w:val="1377"/>
        </w:numPr>
        <w:pStyle w:val="Compact"/>
      </w:pPr>
      <w:r>
        <w:t xml:space="preserve">2014 · Nandy D ·</w:t>
      </w:r>
      <w:r>
        <w:t xml:space="preserve"> </w:t>
      </w:r>
      <w:r>
        <w:rPr>
          <w:iCs/>
          <w:i/>
        </w:rPr>
        <w:t xml:space="preserve">Diab Vasc Dis Res</w:t>
      </w:r>
      <w:r>
        <w:t xml:space="preserve"> </w:t>
      </w:r>
      <w:r>
        <w:t xml:space="preserve">· The effect of liraglutide on endothelial function in patients with type 2 diabetes. PMID 25212693</w:t>
      </w:r>
    </w:p>
    <w:p>
      <w:pPr>
        <w:numPr>
          <w:ilvl w:val="0"/>
          <w:numId w:val="1377"/>
        </w:numPr>
        <w:pStyle w:val="Compact"/>
      </w:pPr>
      <w:r>
        <w:t xml:space="preserve">2014 · Gough SC ·</w:t>
      </w:r>
      <w:r>
        <w:t xml:space="preserve"> </w:t>
      </w:r>
      <w:r>
        <w:rPr>
          <w:iCs/>
          <w:i/>
        </w:rPr>
        <w:t xml:space="preserve">Lancet Diabetes Endocrinol</w:t>
      </w:r>
      <w:r>
        <w:t xml:space="preserve"> </w:t>
      </w:r>
      <w:r>
        <w:t xml:space="preserve">· Efficacy and safety of a fixed-ratio combination of insulin degludec and liraglutide (IDegLira) compared with its components given alone: results of a phase 3, open-label, randomised, 26-week, treat-to-target trial in insulin-naive patients with type 2 diabetes. PMID 25190523</w:t>
      </w:r>
    </w:p>
    <w:p>
      <w:pPr>
        <w:numPr>
          <w:ilvl w:val="0"/>
          <w:numId w:val="1377"/>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7"/>
        </w:numPr>
        <w:pStyle w:val="Compact"/>
      </w:pPr>
      <w:r>
        <w:t xml:space="preserve">2014 · Buse JB ·</w:t>
      </w:r>
      <w:r>
        <w:t xml:space="preserve"> </w:t>
      </w:r>
      <w:r>
        <w:rPr>
          <w:iCs/>
          <w:i/>
        </w:rPr>
        <w:t xml:space="preserve">Diabetes Care</w:t>
      </w:r>
      <w:r>
        <w:t xml:space="preserve"> </w:t>
      </w:r>
      <w:r>
        <w:t xml:space="preserve">· Contribution of liraglutide in the fixed-ratio combination of insulin degludec and liraglutide (IDegLira). PMID 25114296</w:t>
      </w:r>
    </w:p>
    <w:p>
      <w:pPr>
        <w:numPr>
          <w:ilvl w:val="0"/>
          <w:numId w:val="1377"/>
        </w:numPr>
        <w:pStyle w:val="Compact"/>
      </w:pPr>
      <w:r>
        <w:t xml:space="preserve">2014 · Klein DJ ·</w:t>
      </w:r>
      <w:r>
        <w:t xml:space="preserve"> </w:t>
      </w:r>
      <w:r>
        <w:rPr>
          <w:iCs/>
          <w:i/>
        </w:rPr>
        <w:t xml:space="preserve">Diabetes Technol Ther</w:t>
      </w:r>
      <w:r>
        <w:t xml:space="preserve"> </w:t>
      </w:r>
      <w:r>
        <w:t xml:space="preserve">· Liraglutide’s safety, tolerability, pharmacokinetics, and pharmacodynamics in pediatric type 2 diabetes: a randomized, double-blind, placebo-controlled trial. PMID 25036533</w:t>
      </w:r>
    </w:p>
    <w:p>
      <w:pPr>
        <w:numPr>
          <w:ilvl w:val="0"/>
          <w:numId w:val="1377"/>
        </w:numPr>
        <w:pStyle w:val="Compact"/>
      </w:pPr>
      <w:r>
        <w:t xml:space="preserve">2014 · Anholm C ·</w:t>
      </w:r>
      <w:r>
        <w:t xml:space="preserve"> </w:t>
      </w:r>
      <w:r>
        <w:rPr>
          <w:iCs/>
          <w:i/>
        </w:rPr>
        <w:t xml:space="preserve">BMJ Open</w:t>
      </w:r>
      <w:r>
        <w:t xml:space="preserve"> </w:t>
      </w:r>
      <w:r>
        <w:t xml:space="preserve">· Adding liraglutide to the backbone therapy of biguanide in patients with coronary artery disease and newly diagnosed type-2 diabetes (the AddHope2 study): a randomised controlled study protocol. PMID 25031198</w:t>
      </w:r>
    </w:p>
    <w:p>
      <w:pPr>
        <w:numPr>
          <w:ilvl w:val="0"/>
          <w:numId w:val="1377"/>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7"/>
        </w:numPr>
        <w:pStyle w:val="Compact"/>
      </w:pPr>
      <w:r>
        <w:t xml:space="preserve">2014 · de Wit HM ·</w:t>
      </w:r>
      <w:r>
        <w:t xml:space="preserve"> </w:t>
      </w:r>
      <w:r>
        <w:rPr>
          <w:iCs/>
          <w:i/>
        </w:rPr>
        <w:t xml:space="preserve">Diabetologia</w:t>
      </w:r>
      <w:r>
        <w:t xml:space="preserve"> </w:t>
      </w:r>
      <w:r>
        <w:t xml:space="preserve">· Liraglutide reverses pronounced insulin-associated weight gain, improves glycaemic control and decreases insulin dose in patients with type 2 diabetes: a 26 week, randomised clinical trial (ELEGANT). PMID 24947583</w:t>
      </w:r>
    </w:p>
    <w:p>
      <w:pPr>
        <w:numPr>
          <w:ilvl w:val="0"/>
          <w:numId w:val="1377"/>
        </w:numPr>
        <w:pStyle w:val="Compact"/>
      </w:pPr>
      <w:r>
        <w:t xml:space="preserve">2014 · Østoft SH ·</w:t>
      </w:r>
      <w:r>
        <w:t xml:space="preserve"> </w:t>
      </w:r>
      <w:r>
        <w:rPr>
          <w:iCs/>
          <w:i/>
        </w:rPr>
        <w:t xml:space="preserve">Diabetes Care</w:t>
      </w:r>
      <w:r>
        <w:t xml:space="preserve"> </w:t>
      </w:r>
      <w:r>
        <w:t xml:space="preserve">· Glucose-lowering effects and low risk of hypoglycemia in patients with maturity-onset diabetes of the young when treated with a GLP-1 receptor agonist: a double-blind, randomized, crossover trial. PMID 24929431</w:t>
      </w:r>
    </w:p>
    <w:p>
      <w:pPr>
        <w:numPr>
          <w:ilvl w:val="0"/>
          <w:numId w:val="1377"/>
        </w:numPr>
        <w:pStyle w:val="Compact"/>
      </w:pPr>
      <w:r>
        <w:t xml:space="preserve">2014 · Jorsal A ·</w:t>
      </w:r>
      <w:r>
        <w:t xml:space="preserve"> </w:t>
      </w:r>
      <w:r>
        <w:rPr>
          <w:iCs/>
          <w:i/>
        </w:rPr>
        <w:t xml:space="preserve">BMJ Open</w:t>
      </w:r>
      <w:r>
        <w:t xml:space="preserve"> </w:t>
      </w:r>
      <w:r>
        <w:t xml:space="preserve">· A protocol for a randomised, double-blind, placebo-controlled study of the effect of LIraglutide on left VEntricular function in chronic heart failure patients with and without type 2 diabetes (The LIVE Study). PMID 24844271</w:t>
      </w:r>
    </w:p>
    <w:p>
      <w:pPr>
        <w:numPr>
          <w:ilvl w:val="0"/>
          <w:numId w:val="1377"/>
        </w:numPr>
        <w:pStyle w:val="Compact"/>
      </w:pPr>
      <w:r>
        <w:t xml:space="preserve">2014 · Li CJ ·</w:t>
      </w:r>
      <w:r>
        <w:t xml:space="preserve"> </w:t>
      </w:r>
      <w:r>
        <w:rPr>
          <w:iCs/>
          <w:i/>
        </w:rPr>
        <w:t xml:space="preserve">Exp Clin Endocrinol Diabetes</w:t>
      </w:r>
      <w:r>
        <w:t xml:space="preserve"> </w:t>
      </w:r>
      <w:r>
        <w:t xml:space="preserve">· Efficacy and safety comparison of add-on therapy with liraglutide, saxagliptin and vildagliptin, all in combination with current conventional oral hypoglycemic agents therapy in poorly controlled Chinese type 2 diabetes. PMID 24838155</w:t>
      </w:r>
    </w:p>
    <w:p>
      <w:pPr>
        <w:numPr>
          <w:ilvl w:val="0"/>
          <w:numId w:val="1377"/>
        </w:numPr>
        <w:pStyle w:val="Compact"/>
      </w:pPr>
      <w:r>
        <w:t xml:space="preserve">2014 · Pratley RE ·</w:t>
      </w:r>
      <w:r>
        <w:t xml:space="preserve"> </w:t>
      </w:r>
      <w:r>
        <w:rPr>
          <w:iCs/>
          <w:i/>
        </w:rPr>
        <w:t xml:space="preserve">Lancet Diabetes Endocrinol</w:t>
      </w:r>
      <w:r>
        <w:t xml:space="preserve"> </w:t>
      </w:r>
      <w:r>
        <w:t xml:space="preserve">· Once-weekly albiglutide versus once-daily liraglutide in patients with type 2 diabetes inadequately controlled on oral drugs (HARMONY 7): a randomised, open-label, multicentre, non-inferiority phase 3 study. PMID 24703047</w:t>
      </w:r>
    </w:p>
    <w:p>
      <w:pPr>
        <w:numPr>
          <w:ilvl w:val="0"/>
          <w:numId w:val="1377"/>
        </w:numPr>
        <w:pStyle w:val="Compact"/>
      </w:pPr>
      <w:r>
        <w:t xml:space="preserve">2014 · Larsen JR ·</w:t>
      </w:r>
      <w:r>
        <w:t xml:space="preserve"> </w:t>
      </w:r>
      <w:r>
        <w:rPr>
          <w:iCs/>
          <w:i/>
        </w:rPr>
        <w:t xml:space="preserve">BMJ Open</w:t>
      </w:r>
      <w:r>
        <w:t xml:space="preserve"> </w:t>
      </w:r>
      <w:r>
        <w:t xml:space="preserve">· Does a GLP-1 receptor agonist change glucose tolerance in patients treated with antipsychotic medications? Design of a randomised, double-blinded, placebo-controlled clinical trial. PMID 24667381</w:t>
      </w:r>
    </w:p>
    <w:p>
      <w:pPr>
        <w:numPr>
          <w:ilvl w:val="0"/>
          <w:numId w:val="1377"/>
        </w:numPr>
        <w:pStyle w:val="Compact"/>
      </w:pPr>
      <w:r>
        <w:t xml:space="preserve">2014 · Lane W ·</w:t>
      </w:r>
      <w:r>
        <w:t xml:space="preserve"> </w:t>
      </w:r>
      <w:r>
        <w:rPr>
          <w:iCs/>
          <w:i/>
        </w:rPr>
        <w:t xml:space="preserve">Diabetes Obes Metab</w:t>
      </w:r>
      <w:r>
        <w:t xml:space="preserve"> </w:t>
      </w:r>
      <w:r>
        <w:t xml:space="preserve">· The effect of addition of liraglutide to high-dose intensive insulin therapy: a randomized prospective trial. PMID 24589127</w:t>
      </w:r>
    </w:p>
    <w:p>
      <w:pPr>
        <w:numPr>
          <w:ilvl w:val="0"/>
          <w:numId w:val="1377"/>
        </w:numPr>
        <w:pStyle w:val="Compact"/>
      </w:pPr>
      <w:r>
        <w:t xml:space="preserve">2014 · Rizzo M ·</w:t>
      </w:r>
      <w:r>
        <w:t xml:space="preserve"> </w:t>
      </w:r>
      <w:r>
        <w:rPr>
          <w:iCs/>
          <w:i/>
        </w:rPr>
        <w:t xml:space="preserve">Cardiovasc Diabetol</w:t>
      </w:r>
      <w:r>
        <w:t xml:space="preserve"> </w:t>
      </w:r>
      <w:r>
        <w:t xml:space="preserve">· Liraglutide decreases carotid intima-media thickness in patients with type 2 diabetes: 8-month prospective pilot study. PMID 24559258</w:t>
      </w:r>
    </w:p>
    <w:p>
      <w:pPr>
        <w:numPr>
          <w:ilvl w:val="0"/>
          <w:numId w:val="1377"/>
        </w:numPr>
        <w:pStyle w:val="Compact"/>
      </w:pPr>
      <w:r>
        <w:t xml:space="preserve">2014 · Breitschaft A ·</w:t>
      </w:r>
      <w:r>
        <w:t xml:space="preserve"> </w:t>
      </w:r>
      <w:r>
        <w:rPr>
          <w:iCs/>
          <w:i/>
        </w:rPr>
        <w:t xml:space="preserve">Diabetes Res Clin Pract</w:t>
      </w:r>
      <w:r>
        <w:t xml:space="preserve"> </w:t>
      </w:r>
      <w:r>
        <w:t xml:space="preserve">· Management of hyperglycemia associated with pasireotide (SOM230): healthy volunteer study. PMID 24461109</w:t>
      </w:r>
    </w:p>
    <w:p>
      <w:pPr>
        <w:numPr>
          <w:ilvl w:val="0"/>
          <w:numId w:val="1377"/>
        </w:numPr>
        <w:pStyle w:val="Compact"/>
      </w:pPr>
      <w:r>
        <w:t xml:space="preserve">2014 · Mathieu C ·</w:t>
      </w:r>
      <w:r>
        <w:t xml:space="preserve"> </w:t>
      </w:r>
      <w:r>
        <w:rPr>
          <w:iCs/>
          <w:i/>
        </w:rPr>
        <w:t xml:space="preserve">Diabetes Obes Metab</w:t>
      </w:r>
      <w:r>
        <w:t xml:space="preserve"> </w:t>
      </w:r>
      <w:r>
        <w:t xml:space="preserve">· A comparison of adding liraglutide versus a single daily dose of insulin aspart to insulin degludec in subjects with type 2 diabetes (BEGIN: VICTOZA ADD-ON). PMID 24443830</w:t>
      </w:r>
    </w:p>
    <w:p>
      <w:pPr>
        <w:numPr>
          <w:ilvl w:val="0"/>
          <w:numId w:val="1377"/>
        </w:numPr>
        <w:pStyle w:val="Compact"/>
      </w:pPr>
      <w:r>
        <w:t xml:space="preserve">2014 · Brady EM ·</w:t>
      </w:r>
      <w:r>
        <w:t xml:space="preserve"> </w:t>
      </w:r>
      <w:r>
        <w:rPr>
          <w:iCs/>
          <w:i/>
        </w:rPr>
        <w:t xml:space="preserve">Diabetes Obes Metab</w:t>
      </w:r>
      <w:r>
        <w:t xml:space="preserve"> </w:t>
      </w:r>
      <w:r>
        <w:t xml:space="preserve">· A randomized controlled trial comparing the GLP-1 receptor agonist liraglutide to a sulphonylurea as add on to metformin in patients with established type 2 diabetes during Ramadan: the Treat 4 Ramadan Trial. PMID 24373063</w:t>
      </w:r>
    </w:p>
    <w:p>
      <w:pPr>
        <w:numPr>
          <w:ilvl w:val="0"/>
          <w:numId w:val="1377"/>
        </w:numPr>
        <w:pStyle w:val="Compact"/>
      </w:pPr>
      <w:r>
        <w:t xml:space="preserve">2014 · Jensterle Sever M ·</w:t>
      </w:r>
      <w:r>
        <w:t xml:space="preserve"> </w:t>
      </w:r>
      <w:r>
        <w:rPr>
          <w:iCs/>
          <w:i/>
        </w:rPr>
        <w:t xml:space="preserve">Eur J Endocrinol</w:t>
      </w:r>
      <w:r>
        <w:t xml:space="preserve"> </w:t>
      </w:r>
      <w:r>
        <w:t xml:space="preserve">· Short-term combined treatment with liraglutide and metformin leads to significant weight loss in obese women with polycystic ovary syndrome and previous poor response to metformin. PMID 24362411</w:t>
      </w:r>
    </w:p>
    <w:p>
      <w:pPr>
        <w:numPr>
          <w:ilvl w:val="0"/>
          <w:numId w:val="1377"/>
        </w:numPr>
        <w:pStyle w:val="Compact"/>
      </w:pPr>
      <w:r>
        <w:t xml:space="preserve">2014 · Kim SH ·</w:t>
      </w:r>
      <w:r>
        <w:t xml:space="preserve"> </w:t>
      </w:r>
      <w:r>
        <w:rPr>
          <w:iCs/>
          <w:i/>
        </w:rPr>
        <w:t xml:space="preserve">Diabetologia</w:t>
      </w:r>
      <w:r>
        <w:t xml:space="preserve"> </w:t>
      </w:r>
      <w:r>
        <w:t xml:space="preserve">· Pancreatic beta cell function following liraglutide-augmented weight loss in individuals with prediabetes: analysis of a randomised, placebo-controlled study. PMID 24326527</w:t>
      </w:r>
    </w:p>
    <w:p>
      <w:pPr>
        <w:numPr>
          <w:ilvl w:val="0"/>
          <w:numId w:val="1377"/>
        </w:numPr>
        <w:pStyle w:val="Compact"/>
      </w:pPr>
      <w:r>
        <w:t xml:space="preserve">2014 · Nagai Y ·</w:t>
      </w:r>
      <w:r>
        <w:t xml:space="preserve"> </w:t>
      </w:r>
      <w:r>
        <w:rPr>
          <w:iCs/>
          <w:i/>
        </w:rPr>
        <w:t xml:space="preserve">Diabetes Obes Metab</w:t>
      </w:r>
      <w:r>
        <w:t xml:space="preserve"> </w:t>
      </w:r>
      <w:r>
        <w:t xml:space="preserve">· Differing effects of liraglutide on gastric emptying in Japanese patients with type 2 diabetes. PMID 24320758</w:t>
      </w:r>
    </w:p>
    <w:p>
      <w:pPr>
        <w:numPr>
          <w:ilvl w:val="0"/>
          <w:numId w:val="1377"/>
        </w:numPr>
        <w:pStyle w:val="Compact"/>
      </w:pPr>
      <w:r>
        <w:t xml:space="preserve">2014 · RISE Consortium ·</w:t>
      </w:r>
      <w:r>
        <w:t xml:space="preserve"> </w:t>
      </w:r>
      <w:r>
        <w:rPr>
          <w:iCs/>
          <w:i/>
        </w:rPr>
        <w:t xml:space="preserve">Diabetes Care</w:t>
      </w:r>
      <w:r>
        <w:t xml:space="preserve"> </w:t>
      </w:r>
      <w:r>
        <w:t xml:space="preserve">· Restoring Insulin Secretion (RISE): design of studies of β-cell preservation in prediabetes and early type 2 diabetes across the life span. PMID 24194506</w:t>
      </w:r>
    </w:p>
    <w:p>
      <w:pPr>
        <w:numPr>
          <w:ilvl w:val="0"/>
          <w:numId w:val="1377"/>
        </w:numPr>
        <w:pStyle w:val="Compact"/>
      </w:pPr>
      <w:r>
        <w:t xml:space="preserve">2014 · van Can J ·</w:t>
      </w:r>
      <w:r>
        <w:t xml:space="preserve"> </w:t>
      </w:r>
      <w:r>
        <w:rPr>
          <w:iCs/>
          <w:i/>
        </w:rPr>
        <w:t xml:space="preserve">Int J Obes (Lond)</w:t>
      </w:r>
      <w:r>
        <w:t xml:space="preserve"> </w:t>
      </w:r>
      <w:r>
        <w:t xml:space="preserve">· Effects of the once-daily GLP-1 analog liraglutide on gastric emptying, glycemic parameters, appetite and energy metabolism in obese, non-diabetic adults. PMID 23999198</w:t>
      </w:r>
    </w:p>
    <w:p>
      <w:pPr>
        <w:numPr>
          <w:ilvl w:val="0"/>
          <w:numId w:val="1377"/>
        </w:numPr>
        <w:pStyle w:val="Compact"/>
      </w:pPr>
      <w:r>
        <w:t xml:space="preserve">2014 · Lean ME ·</w:t>
      </w:r>
      <w:r>
        <w:t xml:space="preserve"> </w:t>
      </w:r>
      <w:r>
        <w:rPr>
          <w:iCs/>
          <w:i/>
        </w:rPr>
        <w:t xml:space="preserve">Int J Obes (Lond)</w:t>
      </w:r>
      <w:r>
        <w:t xml:space="preserve"> </w:t>
      </w:r>
      <w:r>
        <w:t xml:space="preserve">· Tolerability of nausea and vomiting and associations with weight loss in a randomized trial of liraglutide in obese, non-diabetic adults. PMID 23942319</w:t>
      </w:r>
    </w:p>
    <w:p>
      <w:pPr>
        <w:numPr>
          <w:ilvl w:val="0"/>
          <w:numId w:val="1377"/>
        </w:numPr>
        <w:pStyle w:val="Compact"/>
      </w:pPr>
      <w:r>
        <w:t xml:space="preserve">2013 · Marso SP ·</w:t>
      </w:r>
      <w:r>
        <w:t xml:space="preserve"> </w:t>
      </w:r>
      <w:r>
        <w:rPr>
          <w:iCs/>
          <w:i/>
        </w:rPr>
        <w:t xml:space="preserve">Am Heart J</w:t>
      </w:r>
      <w:r>
        <w:t xml:space="preserve"> </w:t>
      </w:r>
      <w:r>
        <w:t xml:space="preserve">· Design of the liraglutide effect and action in diabetes: evaluation of cardiovascular outcome results (LEADER) trial. PMID 24176437</w:t>
      </w:r>
    </w:p>
    <w:p>
      <w:pPr>
        <w:numPr>
          <w:ilvl w:val="0"/>
          <w:numId w:val="1377"/>
        </w:numPr>
        <w:pStyle w:val="Compact"/>
      </w:pPr>
      <w:r>
        <w:t xml:space="preserve">2013 · Imamura S ·</w:t>
      </w:r>
      <w:r>
        <w:t xml:space="preserve"> </w:t>
      </w:r>
      <w:r>
        <w:rPr>
          <w:iCs/>
          <w:i/>
        </w:rPr>
        <w:t xml:space="preserve">Tohoku J Exp Med</w:t>
      </w:r>
      <w:r>
        <w:t xml:space="preserve"> </w:t>
      </w:r>
      <w:r>
        <w:t xml:space="preserve">· The glucagon-like peptide-1 receptor agonist, liraglutide, attenuates the progression of overt diabetic nephropathy in type 2 diabetic patients. PMID 24064677</w:t>
      </w:r>
    </w:p>
    <w:p>
      <w:pPr>
        <w:numPr>
          <w:ilvl w:val="0"/>
          <w:numId w:val="1377"/>
        </w:numPr>
        <w:pStyle w:val="Compact"/>
      </w:pPr>
      <w:r>
        <w:t xml:space="preserve">2013 · Kim SH ·</w:t>
      </w:r>
      <w:r>
        <w:t xml:space="preserve"> </w:t>
      </w:r>
      <w:r>
        <w:rPr>
          <w:iCs/>
          <w:i/>
        </w:rPr>
        <w:t xml:space="preserve">Diabetes Care</w:t>
      </w:r>
      <w:r>
        <w:t xml:space="preserve"> </w:t>
      </w:r>
      <w:r>
        <w:t xml:space="preserve">· Benefits of liraglutide treatment in overweight and obese older individuals with prediabetes. PMID 23835684</w:t>
      </w:r>
    </w:p>
    <w:p>
      <w:pPr>
        <w:numPr>
          <w:ilvl w:val="0"/>
          <w:numId w:val="1377"/>
        </w:numPr>
        <w:pStyle w:val="Compact"/>
      </w:pPr>
      <w:r>
        <w:t xml:space="preserve">2013 · Wadden TA ·</w:t>
      </w:r>
      <w:r>
        <w:t xml:space="preserve"> </w:t>
      </w:r>
      <w:r>
        <w:rPr>
          <w:iCs/>
          <w:i/>
        </w:rPr>
        <w:t xml:space="preserve">Int J Obes (Lond)</w:t>
      </w:r>
      <w:r>
        <w:t xml:space="preserve"> </w:t>
      </w:r>
      <w:r>
        <w:t xml:space="preserve">· Weight maintenance and additional weight loss with liraglutide after low-calorie-diet-induced weight loss: the SCALE Maintenance randomized study. PMID 23812094</w:t>
      </w:r>
    </w:p>
    <w:p>
      <w:pPr>
        <w:numPr>
          <w:ilvl w:val="0"/>
          <w:numId w:val="1377"/>
        </w:numPr>
        <w:pStyle w:val="Compact"/>
      </w:pPr>
      <w:r>
        <w:t xml:space="preserve">2013 · Fadini GP ·</w:t>
      </w:r>
      <w:r>
        <w:t xml:space="preserve"> </w:t>
      </w:r>
      <w:r>
        <w:rPr>
          <w:iCs/>
          <w:i/>
        </w:rPr>
        <w:t xml:space="preserve">Acta Diabetol</w:t>
      </w:r>
      <w:r>
        <w:t xml:space="preserve"> </w:t>
      </w:r>
      <w:r>
        <w:t xml:space="preserve">· Independent glucose and weight-reducing effects of Liraglutide in a real-world population of type 2 diabetic outpatients. PMID 23754673</w:t>
      </w:r>
    </w:p>
    <w:p>
      <w:pPr>
        <w:numPr>
          <w:ilvl w:val="0"/>
          <w:numId w:val="1377"/>
        </w:numPr>
        <w:pStyle w:val="Compact"/>
      </w:pPr>
      <w:r>
        <w:t xml:space="preserve">2013 · Rosenstock J ·</w:t>
      </w:r>
      <w:r>
        <w:t xml:space="preserve"> </w:t>
      </w:r>
      <w:r>
        <w:rPr>
          <w:iCs/>
          <w:i/>
        </w:rPr>
        <w:t xml:space="preserve">J Diabetes Complications</w:t>
      </w:r>
      <w:r>
        <w:t xml:space="preserve"> </w:t>
      </w:r>
      <w:r>
        <w:t xml:space="preserve">· One-year sustained glycemic control and weight reduction in type 2 diabetes after addition of liraglutide to metformin followed by insulin detemir according to HbA1c target. PMID 23746555</w:t>
      </w:r>
    </w:p>
    <w:p>
      <w:pPr>
        <w:numPr>
          <w:ilvl w:val="0"/>
          <w:numId w:val="1377"/>
        </w:numPr>
        <w:pStyle w:val="Compact"/>
      </w:pPr>
      <w:r>
        <w:t xml:space="preserve">2013 · Hermansen K ·</w:t>
      </w:r>
      <w:r>
        <w:t xml:space="preserve"> </w:t>
      </w:r>
      <w:r>
        <w:rPr>
          <w:iCs/>
          <w:i/>
        </w:rPr>
        <w:t xml:space="preserve">Diabetes Obes Metab</w:t>
      </w:r>
      <w:r>
        <w:t xml:space="preserve"> </w:t>
      </w:r>
      <w:r>
        <w:t xml:space="preserve">· Liraglutide suppresses postprandial triglyceride and apolipoprotein B48 elevations after a fat-rich meal in patients with type 2 diabetes: a randomized, double-blind, placebo-controlled, cross-over trial. PMID 23683069</w:t>
      </w:r>
    </w:p>
    <w:p>
      <w:pPr>
        <w:numPr>
          <w:ilvl w:val="0"/>
          <w:numId w:val="1377"/>
        </w:numPr>
        <w:pStyle w:val="Compact"/>
      </w:pPr>
      <w:r>
        <w:t xml:space="preserve">2013 · Suzuki D ·</w:t>
      </w:r>
      <w:r>
        <w:t xml:space="preserve"> </w:t>
      </w:r>
      <w:r>
        <w:rPr>
          <w:iCs/>
          <w:i/>
        </w:rPr>
        <w:t xml:space="preserve">Intern Med</w:t>
      </w:r>
      <w:r>
        <w:t xml:space="preserve"> </w:t>
      </w:r>
      <w:r>
        <w:t xml:space="preserve">· Effects of liraglutide, a human glucagon-like peptide-1 analogue, on body weight, body fat area and body fat-related markers in patients with type 2 diabetes mellitus. PMID 23676586</w:t>
      </w:r>
    </w:p>
    <w:p>
      <w:pPr>
        <w:numPr>
          <w:ilvl w:val="0"/>
          <w:numId w:val="1377"/>
        </w:numPr>
        <w:pStyle w:val="Compact"/>
      </w:pPr>
      <w:r>
        <w:t xml:space="preserve">2013 · Charbonnel B ·</w:t>
      </w:r>
      <w:r>
        <w:t xml:space="preserve"> </w:t>
      </w:r>
      <w:r>
        <w:rPr>
          <w:iCs/>
          <w:i/>
        </w:rPr>
        <w:t xml:space="preserve">Diabetologia</w:t>
      </w:r>
      <w:r>
        <w:t xml:space="preserve"> </w:t>
      </w:r>
      <w:r>
        <w:t xml:space="preserve">· Efficacy and safety over 26 weeks of an oral treatment strategy including sitagliptin compared with an injectable treatment strategy with liraglutide in patients with type 2 diabetes mellitus inadequately controlled on metformin: a randomised clinical trial. PMID 23604551</w:t>
      </w:r>
    </w:p>
    <w:p>
      <w:pPr>
        <w:numPr>
          <w:ilvl w:val="0"/>
          <w:numId w:val="1377"/>
        </w:numPr>
        <w:pStyle w:val="Compact"/>
      </w:pPr>
      <w:r>
        <w:t xml:space="preserve">2013 · Flint A ·</w:t>
      </w:r>
      <w:r>
        <w:t xml:space="preserve"> </w:t>
      </w:r>
      <w:r>
        <w:rPr>
          <w:iCs/>
          <w:i/>
        </w:rPr>
        <w:t xml:space="preserve">Diabetes Obes Metab</w:t>
      </w:r>
      <w:r>
        <w:t xml:space="preserve"> </w:t>
      </w:r>
      <w:r>
        <w:t xml:space="preserve">· The once-daily human GLP-1 analogue liraglutide impacts appetite and energy intake in patients with type 2 diabetes after short-term treatment. PMID 23551925</w:t>
      </w:r>
    </w:p>
    <w:p>
      <w:pPr>
        <w:numPr>
          <w:ilvl w:val="0"/>
          <w:numId w:val="1377"/>
        </w:numPr>
        <w:pStyle w:val="Compact"/>
      </w:pPr>
      <w:r>
        <w:t xml:space="preserve">2013 · Kapitza C ·</w:t>
      </w:r>
      <w:r>
        <w:t xml:space="preserve"> </w:t>
      </w:r>
      <w:r>
        <w:rPr>
          <w:iCs/>
          <w:i/>
        </w:rPr>
        <w:t xml:space="preserve">Diabetes Obes Metab</w:t>
      </w:r>
      <w:r>
        <w:t xml:space="preserve"> </w:t>
      </w:r>
      <w:r>
        <w:t xml:space="preserve">· Pharmacodynamic characteristics of lixisenatide once daily versus liraglutide once daily in patients with type 2 diabetes insufficiently controlled on metformin. PMID 23368510</w:t>
      </w:r>
    </w:p>
    <w:p>
      <w:pPr>
        <w:numPr>
          <w:ilvl w:val="0"/>
          <w:numId w:val="1377"/>
        </w:numPr>
        <w:pStyle w:val="Compact"/>
      </w:pPr>
      <w:r>
        <w:t xml:space="preserve">2013 · Yang M ·</w:t>
      </w:r>
      <w:r>
        <w:t xml:space="preserve"> </w:t>
      </w:r>
      <w:r>
        <w:rPr>
          <w:iCs/>
          <w:i/>
        </w:rPr>
        <w:t xml:space="preserve">Diabetes Care</w:t>
      </w:r>
      <w:r>
        <w:t xml:space="preserve"> </w:t>
      </w:r>
      <w:r>
        <w:t xml:space="preserve">· Zinc-α2-glycoprotein is associated with insulin resistance in humans and is regulated by hyperglycemia, hyperinsulinemia, or liraglutide administration: cross-sectional and interventional studies in normal subjects, insulin-resistant subjects, and subjects with newly diagnosed diabetes. PMID 23275352</w:t>
      </w:r>
    </w:p>
    <w:p>
      <w:pPr>
        <w:numPr>
          <w:ilvl w:val="0"/>
          <w:numId w:val="1377"/>
        </w:numPr>
        <w:pStyle w:val="Compact"/>
      </w:pPr>
      <w:r>
        <w:t xml:space="preserve">2013 · Hu W ·</w:t>
      </w:r>
      <w:r>
        <w:t xml:space="preserve"> </w:t>
      </w:r>
      <w:r>
        <w:rPr>
          <w:iCs/>
          <w:i/>
        </w:rPr>
        <w:t xml:space="preserve">J Clin Endocrinol Metab</w:t>
      </w:r>
      <w:r>
        <w:t xml:space="preserve"> </w:t>
      </w:r>
      <w:r>
        <w:t xml:space="preserve">· Circulating Sfrp5 is a signature of obesity-related metabolic disorders and is regulated by glucose and liraglutide in humans. PMID 23185036</w:t>
      </w:r>
    </w:p>
    <w:p>
      <w:pPr>
        <w:numPr>
          <w:ilvl w:val="0"/>
          <w:numId w:val="1377"/>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7"/>
        </w:numPr>
        <w:pStyle w:val="Compact"/>
      </w:pPr>
      <w:r>
        <w:t xml:space="preserve">2013 · Iwao T ·</w:t>
      </w:r>
      <w:r>
        <w:t xml:space="preserve"> </w:t>
      </w:r>
      <w:r>
        <w:rPr>
          <w:iCs/>
          <w:i/>
        </w:rPr>
        <w:t xml:space="preserve">J Diabetes Complications</w:t>
      </w:r>
      <w:r>
        <w:t xml:space="preserve"> </w:t>
      </w:r>
      <w:r>
        <w:t xml:space="preserve">· Postprandial serum C-peptide is a useful parameter in the prediction of successful switching to liraglutide monotherapy from complex insulin therapy in Japanese patients with type 2 diabetes. PMID 22863615</w:t>
      </w:r>
    </w:p>
    <w:p>
      <w:pPr>
        <w:numPr>
          <w:ilvl w:val="0"/>
          <w:numId w:val="1377"/>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7"/>
        </w:numPr>
        <w:pStyle w:val="Compact"/>
      </w:pPr>
      <w:r>
        <w:t xml:space="preserve">2013 · Rotondo A ·</w:t>
      </w:r>
      <w:r>
        <w:t xml:space="preserve"> </w:t>
      </w:r>
      <w:r>
        <w:rPr>
          <w:iCs/>
          <w:i/>
        </w:rPr>
        <w:t xml:space="preserve">Int J Obes (Lond)</w:t>
      </w:r>
      <w:r>
        <w:t xml:space="preserve"> </w:t>
      </w:r>
      <w:r>
        <w:t xml:space="preserve">· Effect of the GLP-1 analog liraglutide on satiation and gastric sensorimotor function during nutrient-drink ingestion. PMID 22846777</w:t>
      </w:r>
    </w:p>
    <w:p>
      <w:pPr>
        <w:numPr>
          <w:ilvl w:val="0"/>
          <w:numId w:val="1377"/>
        </w:numPr>
        <w:pStyle w:val="Compact"/>
      </w:pPr>
      <w:r>
        <w:t xml:space="preserve">2012 · Egefjord L ·</w:t>
      </w:r>
      <w:r>
        <w:t xml:space="preserve"> </w:t>
      </w:r>
      <w:r>
        <w:rPr>
          <w:iCs/>
          <w:i/>
        </w:rPr>
        <w:t xml:space="preserve">Dan Med J</w:t>
      </w:r>
      <w:r>
        <w:t xml:space="preserve"> </w:t>
      </w:r>
      <w:r>
        <w:t xml:space="preserve">· Effects of liraglutide on neurodegeneration, blood flow and cognition in Alzheimer´s disease - protocol for a controlled, randomized double-blinded trial. PMID 23158895</w:t>
      </w:r>
    </w:p>
    <w:p>
      <w:pPr>
        <w:numPr>
          <w:ilvl w:val="0"/>
          <w:numId w:val="1377"/>
        </w:numPr>
        <w:pStyle w:val="Compact"/>
      </w:pPr>
      <w:r>
        <w:t xml:space="preserve">2012 · Li CJ ·</w:t>
      </w:r>
      <w:r>
        <w:t xml:space="preserve"> </w:t>
      </w:r>
      <w:r>
        <w:rPr>
          <w:iCs/>
          <w:i/>
        </w:rPr>
        <w:t xml:space="preserve">Cardiovasc Diabetol</w:t>
      </w:r>
      <w:r>
        <w:t xml:space="preserve"> </w:t>
      </w:r>
      <w:r>
        <w:t xml:space="preserve">· Efficacy and safety comparison between liraglutide as add-on therapy to insulin and insulin dose-increase in Chinese subjects with poorly controlled type 2 diabetes and abdominal obesity. PMID 23153177</w:t>
      </w:r>
    </w:p>
    <w:p>
      <w:pPr>
        <w:numPr>
          <w:ilvl w:val="0"/>
          <w:numId w:val="1377"/>
        </w:numPr>
        <w:pStyle w:val="Compact"/>
      </w:pPr>
      <w:r>
        <w:t xml:space="preserve">2012 · Pratley RE ·</w:t>
      </w:r>
      <w:r>
        <w:t xml:space="preserve"> </w:t>
      </w:r>
      <w:r>
        <w:rPr>
          <w:iCs/>
          <w:i/>
        </w:rPr>
        <w:t xml:space="preserve">Diabetes Care</w:t>
      </w:r>
      <w:r>
        <w:t xml:space="preserve"> </w:t>
      </w:r>
      <w:r>
        <w:t xml:space="preserve">· Efficacy and safety of switching from the DPP-4 inhibitor sitagliptin to the human GLP-1 analog liraglutide after 52 weeks in metformin-treated patients with type 2 diabetes: a randomized, open-label trial. PMID 22851600</w:t>
      </w:r>
    </w:p>
    <w:p>
      <w:pPr>
        <w:numPr>
          <w:ilvl w:val="0"/>
          <w:numId w:val="1377"/>
        </w:numPr>
        <w:pStyle w:val="Compact"/>
      </w:pPr>
      <w:r>
        <w:t xml:space="preserve">2012 · DeVries JH ·</w:t>
      </w:r>
      <w:r>
        <w:t xml:space="preserve"> </w:t>
      </w:r>
      <w:r>
        <w:rPr>
          <w:iCs/>
          <w:i/>
        </w:rPr>
        <w:t xml:space="preserve">Diabetes Care</w:t>
      </w:r>
      <w:r>
        <w:t xml:space="preserve"> </w:t>
      </w:r>
      <w:r>
        <w:t xml:space="preserve">· Sequential intensification of metformin treatment in type 2 diabetes with liraglutide followed by randomized addition of basal insulin prompted by A1C targets. PMID 22584132</w:t>
      </w:r>
    </w:p>
    <w:p>
      <w:pPr>
        <w:numPr>
          <w:ilvl w:val="0"/>
          <w:numId w:val="1377"/>
        </w:numPr>
        <w:pStyle w:val="Compact"/>
      </w:pPr>
      <w:r>
        <w:t xml:space="preserve">2012 · Horowitz M ·</w:t>
      </w:r>
      <w:r>
        <w:t xml:space="preserve"> </w:t>
      </w:r>
      <w:r>
        <w:rPr>
          <w:iCs/>
          <w:i/>
        </w:rPr>
        <w:t xml:space="preserve">Diabetes Res Clin Pract</w:t>
      </w:r>
      <w:r>
        <w:t xml:space="preserve"> </w:t>
      </w:r>
      <w:r>
        <w:t xml:space="preserve">· Effect of the once-daily human GLP-1 analogue liraglutide on appetite, energy intake, energy expenditure and gastric emptying in type 2 diabetes. PMID 22446097</w:t>
      </w:r>
    </w:p>
    <w:p>
      <w:pPr>
        <w:numPr>
          <w:ilvl w:val="0"/>
          <w:numId w:val="1377"/>
        </w:numPr>
        <w:pStyle w:val="Compact"/>
      </w:pPr>
      <w:r>
        <w:t xml:space="preserve">2012 · Forst T ·</w:t>
      </w:r>
      <w:r>
        <w:t xml:space="preserve"> </w:t>
      </w:r>
      <w:r>
        <w:rPr>
          <w:iCs/>
          <w:i/>
        </w:rPr>
        <w:t xml:space="preserve">Diabet Med</w:t>
      </w:r>
      <w:r>
        <w:t xml:space="preserve"> </w:t>
      </w:r>
      <w:r>
        <w:t xml:space="preserve">· Addition of liraglutide in patients with Type 2 diabetes well controlled on metformin monotherapy improves several markers of vascular function. PMID 22288732</w:t>
      </w:r>
    </w:p>
    <w:p>
      <w:pPr>
        <w:numPr>
          <w:ilvl w:val="0"/>
          <w:numId w:val="1377"/>
        </w:numPr>
        <w:pStyle w:val="Compact"/>
      </w:pPr>
      <w:r>
        <w:t xml:space="preserve">2012 · Ingwersen SH ·</w:t>
      </w:r>
      <w:r>
        <w:t xml:space="preserve"> </w:t>
      </w:r>
      <w:r>
        <w:rPr>
          <w:iCs/>
          <w:i/>
        </w:rPr>
        <w:t xml:space="preserve">J Clin Pharmacol</w:t>
      </w:r>
      <w:r>
        <w:t xml:space="preserve"> </w:t>
      </w:r>
      <w:r>
        <w:t xml:space="preserve">· Dosing rationale for liraglutide in type 2 diabetes mellitus: a pharmacometric assessment. PMID 22174428</w:t>
      </w:r>
    </w:p>
    <w:p>
      <w:pPr>
        <w:numPr>
          <w:ilvl w:val="0"/>
          <w:numId w:val="1377"/>
        </w:numPr>
        <w:pStyle w:val="Compact"/>
      </w:pPr>
      <w:r>
        <w:t xml:space="preserve">2012 · Astrup A ·</w:t>
      </w:r>
      <w:r>
        <w:t xml:space="preserve"> </w:t>
      </w:r>
      <w:r>
        <w:rPr>
          <w:iCs/>
          <w:i/>
        </w:rPr>
        <w:t xml:space="preserve">Int J Obes (Lond)</w:t>
      </w:r>
      <w:r>
        <w:t xml:space="preserve"> </w:t>
      </w:r>
      <w:r>
        <w:t xml:space="preserve">· Safety, tolerability and sustained weight loss over 2 years with the once-daily human GLP-1 analog, liraglutide. PMID 21844879</w:t>
      </w:r>
    </w:p>
    <w:p>
      <w:pPr>
        <w:numPr>
          <w:ilvl w:val="0"/>
          <w:numId w:val="1377"/>
        </w:numPr>
        <w:pStyle w:val="Compact"/>
      </w:pPr>
      <w:r>
        <w:t xml:space="preserve">2011 · Mori Y ·</w:t>
      </w:r>
      <w:r>
        <w:t xml:space="preserve"> </w:t>
      </w:r>
      <w:r>
        <w:rPr>
          <w:iCs/>
          <w:i/>
        </w:rPr>
        <w:t xml:space="preserve">Diabetes Technol Ther</w:t>
      </w:r>
      <w:r>
        <w:t xml:space="preserve"> </w:t>
      </w:r>
      <w:r>
        <w:t xml:space="preserve">· Liraglutide narrows the range of circadian glycemic variations in Japanese type 2 diabetes patients and nearly flattens these variations in drug-naive type 2 diabetes patients: a continuous glucose monitoring-based study. PMID 21877924</w:t>
      </w:r>
    </w:p>
    <w:p>
      <w:pPr>
        <w:numPr>
          <w:ilvl w:val="0"/>
          <w:numId w:val="1377"/>
        </w:numPr>
        <w:pStyle w:val="Compact"/>
      </w:pPr>
      <w:r>
        <w:t xml:space="preserve">2011 · Kapitza C ·</w:t>
      </w:r>
      <w:r>
        <w:t xml:space="preserve"> </w:t>
      </w:r>
      <w:r>
        <w:rPr>
          <w:iCs/>
          <w:i/>
        </w:rPr>
        <w:t xml:space="preserve">Adv Ther</w:t>
      </w:r>
      <w:r>
        <w:t xml:space="preserve"> </w:t>
      </w:r>
      <w:r>
        <w:t xml:space="preserve">· The effect of the once-daily human glucagon-like peptide 1 analog liraglutide on the pharmacokinetics of acetaminophen. PMID 21792552</w:t>
      </w:r>
    </w:p>
    <w:p>
      <w:pPr>
        <w:numPr>
          <w:ilvl w:val="0"/>
          <w:numId w:val="1377"/>
        </w:numPr>
        <w:pStyle w:val="Compact"/>
      </w:pPr>
      <w:r>
        <w:t xml:space="preserve">2011 · Kielgast U ·</w:t>
      </w:r>
      <w:r>
        <w:t xml:space="preserve"> </w:t>
      </w:r>
      <w:r>
        <w:rPr>
          <w:iCs/>
          <w:i/>
        </w:rPr>
        <w:t xml:space="preserve">Diabetes Care</w:t>
      </w:r>
      <w:r>
        <w:t xml:space="preserve"> </w:t>
      </w:r>
      <w:r>
        <w:t xml:space="preserve">· Four weeks of treatment with liraglutide reduces insulin dose without loss of glycemic control in type 1 diabetic patients with and without residual beta-cell function. PMID 21593296</w:t>
      </w:r>
    </w:p>
    <w:p>
      <w:pPr>
        <w:numPr>
          <w:ilvl w:val="0"/>
          <w:numId w:val="1377"/>
        </w:numPr>
        <w:pStyle w:val="Compact"/>
      </w:pPr>
      <w:r>
        <w:t xml:space="preserve">2011 · Yan P ·</w:t>
      </w:r>
      <w:r>
        <w:t xml:space="preserve"> </w:t>
      </w:r>
      <w:r>
        <w:rPr>
          <w:iCs/>
          <w:i/>
        </w:rPr>
        <w:t xml:space="preserve">Diabetes Res Clin Pract</w:t>
      </w:r>
      <w:r>
        <w:t xml:space="preserve"> </w:t>
      </w:r>
      <w:r>
        <w:t xml:space="preserve">· Effects of the long-acting human glucagon-like peptide-1 analog liraglutide on plasma omentin-1 levels in patients with type 2 diabetes mellitus. PMID 21458097</w:t>
      </w:r>
    </w:p>
    <w:p>
      <w:pPr>
        <w:numPr>
          <w:ilvl w:val="0"/>
          <w:numId w:val="1377"/>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7"/>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7"/>
        </w:numPr>
        <w:pStyle w:val="Compact"/>
      </w:pPr>
      <w:r>
        <w:t xml:space="preserve">2011 · Pratley R ·</w:t>
      </w:r>
      <w:r>
        <w:t xml:space="preserve"> </w:t>
      </w:r>
      <w:r>
        <w:rPr>
          <w:iCs/>
          <w:i/>
        </w:rPr>
        <w:t xml:space="preserve">Int J Clin Pract</w:t>
      </w:r>
      <w:r>
        <w:t xml:space="preserve"> </w:t>
      </w:r>
      <w:r>
        <w:t xml:space="preserve">· One year of liraglutide treatment offers sustained and more effective glycaemic control and weight reduction compared with sitagliptin, both in combination with metformin, in patients with type 2 diabetes: a randomised, parallel-group, open-label trial. PMID 21355967</w:t>
      </w:r>
    </w:p>
    <w:p>
      <w:pPr>
        <w:numPr>
          <w:ilvl w:val="0"/>
          <w:numId w:val="1377"/>
        </w:numPr>
        <w:pStyle w:val="Compact"/>
      </w:pPr>
      <w:r>
        <w:t xml:space="preserve">2011 · Lee WC ·</w:t>
      </w:r>
      <w:r>
        <w:t xml:space="preserve"> </w:t>
      </w:r>
      <w:r>
        <w:rPr>
          <w:iCs/>
          <w:i/>
        </w:rPr>
        <w:t xml:space="preserve">Curr Med Res Opin</w:t>
      </w:r>
      <w:r>
        <w:t xml:space="preserve"> </w:t>
      </w:r>
      <w:r>
        <w:t xml:space="preserve">· Cost-effectiveness of liraglutide versus rosiglitazone, both in combination with glimepiride in treatment of type 2 diabetes in the US. PMID 21348806</w:t>
      </w:r>
    </w:p>
    <w:p>
      <w:pPr>
        <w:numPr>
          <w:ilvl w:val="0"/>
          <w:numId w:val="1377"/>
        </w:numPr>
        <w:pStyle w:val="Compact"/>
      </w:pPr>
      <w:r>
        <w:t xml:space="preserve">2011 · Flint A ·</w:t>
      </w:r>
      <w:r>
        <w:t xml:space="preserve"> </w:t>
      </w:r>
      <w:r>
        <w:rPr>
          <w:iCs/>
          <w:i/>
        </w:rPr>
        <w:t xml:space="preserve">Adv Ther</w:t>
      </w:r>
      <w:r>
        <w:t xml:space="preserve"> </w:t>
      </w:r>
      <w:r>
        <w:t xml:space="preserve">· The once-daily human glucagon-like peptide-1 (GLP-1) analog liraglutide improves postprandial glucose levels in type 2 diabetes patients. PMID 21340616</w:t>
      </w:r>
    </w:p>
    <w:p>
      <w:pPr>
        <w:numPr>
          <w:ilvl w:val="0"/>
          <w:numId w:val="1377"/>
        </w:numPr>
        <w:pStyle w:val="Compact"/>
      </w:pPr>
      <w:r>
        <w:t xml:space="preserve">2011 · Davies M ·</w:t>
      </w:r>
      <w:r>
        <w:t xml:space="preserve"> </w:t>
      </w:r>
      <w:r>
        <w:rPr>
          <w:iCs/>
          <w:i/>
        </w:rPr>
        <w:t xml:space="preserve">Diabet Med</w:t>
      </w:r>
      <w:r>
        <w:t xml:space="preserve"> </w:t>
      </w:r>
      <w:r>
        <w:t xml:space="preserve">· Liraglutide improves treatment satisfaction in people with Type 2 diabetes compared with sitagliptin, each as an add on to metformin. PMID 21309842</w:t>
      </w:r>
    </w:p>
    <w:p>
      <w:pPr>
        <w:numPr>
          <w:ilvl w:val="0"/>
          <w:numId w:val="1377"/>
        </w:numPr>
        <w:pStyle w:val="Compact"/>
      </w:pPr>
      <w:r>
        <w:t xml:space="preserve">2011 · Jiang J ·</w:t>
      </w:r>
      <w:r>
        <w:t xml:space="preserve"> </w:t>
      </w:r>
      <w:r>
        <w:rPr>
          <w:iCs/>
          <w:i/>
        </w:rPr>
        <w:t xml:space="preserve">J Clin Pharmacol</w:t>
      </w:r>
      <w:r>
        <w:t xml:space="preserve"> </w:t>
      </w:r>
      <w:r>
        <w:t xml:space="preserve">· The pharmacokinetics, pharmacodynamics, and tolerability of liraglutide, a once-daily human GLP-1 analogue, after multiple subcutaneous administration in healthy Chinese male subjects. PMID 21273395</w:t>
      </w:r>
    </w:p>
    <w:p>
      <w:pPr>
        <w:numPr>
          <w:ilvl w:val="0"/>
          <w:numId w:val="1377"/>
        </w:numPr>
        <w:pStyle w:val="Compact"/>
      </w:pPr>
      <w:r>
        <w:t xml:space="preserve">2011 · Jacobsen LV ·</w:t>
      </w:r>
      <w:r>
        <w:t xml:space="preserve"> </w:t>
      </w:r>
      <w:r>
        <w:rPr>
          <w:iCs/>
          <w:i/>
        </w:rPr>
        <w:t xml:space="preserve">J Clin Pharmacol</w:t>
      </w:r>
      <w:r>
        <w:t xml:space="preserve"> </w:t>
      </w:r>
      <w:r>
        <w:t xml:space="preserve">· Treatment with liraglutide–a once-daily GLP-1 analog–does not reduce the bioavailability of ethinyl estradiol/levonorgestrel taken as an oral combination contraceptive drug. PMID 21228406</w:t>
      </w:r>
    </w:p>
    <w:p>
      <w:pPr>
        <w:numPr>
          <w:ilvl w:val="0"/>
          <w:numId w:val="1377"/>
        </w:numPr>
        <w:pStyle w:val="Compact"/>
      </w:pPr>
      <w:r>
        <w:t xml:space="preserve">2011 · Hegedüs L ·</w:t>
      </w:r>
      <w:r>
        <w:t xml:space="preserve"> </w:t>
      </w:r>
      <w:r>
        <w:rPr>
          <w:iCs/>
          <w:i/>
        </w:rPr>
        <w:t xml:space="preserve">J Clin Endocrinol Metab</w:t>
      </w:r>
      <w:r>
        <w:t xml:space="preserve"> </w:t>
      </w:r>
      <w:r>
        <w:t xml:space="preserve">· GLP-1 and calcitonin concentration in humans: lack of evidence of calcitonin release from sequential screening in over 5000 subjects with type 2 diabetes or nondiabetic obese subjects treated with the human GLP-1 analog, liraglutide. PMID 21209033</w:t>
      </w:r>
    </w:p>
    <w:p>
      <w:pPr>
        <w:numPr>
          <w:ilvl w:val="0"/>
          <w:numId w:val="1377"/>
        </w:numPr>
        <w:pStyle w:val="Compact"/>
      </w:pPr>
      <w:r>
        <w:t xml:space="preserve">2011 · Garber A ·</w:t>
      </w:r>
      <w:r>
        <w:t xml:space="preserve"> </w:t>
      </w:r>
      <w:r>
        <w:rPr>
          <w:iCs/>
          <w:i/>
        </w:rPr>
        <w:t xml:space="preserve">Diabetes Obes Metab</w:t>
      </w:r>
      <w:r>
        <w:t xml:space="preserve"> </w:t>
      </w:r>
      <w:r>
        <w:t xml:space="preserve">· Liraglutide, a once-daily human glucagon-like peptide 1 analogue, provides sustained improvements in glycaemic control and weight for 2 years as monotherapy compared with glimepiride in patients with type 2 diabetes. PMID 21205128</w:t>
      </w:r>
    </w:p>
    <w:p>
      <w:pPr>
        <w:numPr>
          <w:ilvl w:val="0"/>
          <w:numId w:val="1377"/>
        </w:numPr>
        <w:pStyle w:val="Compact"/>
      </w:pPr>
      <w:r>
        <w:t xml:space="preserve">2011 · Yang W ·</w:t>
      </w:r>
      <w:r>
        <w:t xml:space="preserve"> </w:t>
      </w:r>
      <w:r>
        <w:rPr>
          <w:iCs/>
          <w:i/>
        </w:rPr>
        <w:t xml:space="preserve">Diabetes Obes Metab</w:t>
      </w:r>
      <w:r>
        <w:t xml:space="preserve"> </w:t>
      </w:r>
      <w:r>
        <w:t xml:space="preserve">· Liraglutide provides similar glycaemic control as glimepiride (both in combination with metformin) and reduces body weight and systolic blood pressure in Asian population with type 2 diabetes from China, South Korea and India: a 16-week, randomized, double-blind, active control trial(*). PMID 21114607</w:t>
      </w:r>
    </w:p>
    <w:p>
      <w:pPr>
        <w:numPr>
          <w:ilvl w:val="0"/>
          <w:numId w:val="1377"/>
        </w:numPr>
        <w:pStyle w:val="Compact"/>
      </w:pPr>
      <w:r>
        <w:t xml:space="preserve">2011 · Kapitza C ·</w:t>
      </w:r>
      <w:r>
        <w:t xml:space="preserve"> </w:t>
      </w:r>
      <w:r>
        <w:rPr>
          <w:iCs/>
          <w:i/>
        </w:rPr>
        <w:t xml:space="preserve">J Clin Pharmacol</w:t>
      </w:r>
      <w:r>
        <w:t xml:space="preserve"> </w:t>
      </w:r>
      <w:r>
        <w:t xml:space="preserve">· Effect of three different injection sites on the pharmacokinetics of the once-daily human GLP-1 analogue liraglutide. PMID 20671294</w:t>
      </w:r>
    </w:p>
    <w:p>
      <w:pPr>
        <w:numPr>
          <w:ilvl w:val="0"/>
          <w:numId w:val="1377"/>
        </w:numPr>
        <w:pStyle w:val="Compact"/>
      </w:pPr>
      <w:r>
        <w:t xml:space="preserve">2010 · García-Hernández P ·</w:t>
      </w:r>
      <w:r>
        <w:t xml:space="preserve"> </w:t>
      </w:r>
      <w:r>
        <w:rPr>
          <w:iCs/>
          <w:i/>
        </w:rPr>
        <w:t xml:space="preserve">Rev Med Inst Mex Seguro Soc</w:t>
      </w:r>
      <w:r>
        <w:t xml:space="preserve"> </w:t>
      </w:r>
      <w:r>
        <w:t xml:space="preserve">· [Liraglutide and glimepiride on glycaemic control in type 2 diabetes in the Mexican cohort (LEAD 3)]. PMID 21205505</w:t>
      </w:r>
    </w:p>
    <w:p>
      <w:pPr>
        <w:numPr>
          <w:ilvl w:val="0"/>
          <w:numId w:val="1377"/>
        </w:numPr>
        <w:pStyle w:val="Compact"/>
      </w:pPr>
      <w:r>
        <w:t xml:space="preserve">2010 · Flint A ·</w:t>
      </w:r>
      <w:r>
        <w:t xml:space="preserve"> </w:t>
      </w:r>
      <w:r>
        <w:rPr>
          <w:iCs/>
          <w:i/>
        </w:rPr>
        <w:t xml:space="preserve">Br J Clin Pharmacol</w:t>
      </w:r>
      <w:r>
        <w:t xml:space="preserve"> </w:t>
      </w:r>
      <w:r>
        <w:t xml:space="preserve">· Influence of hepatic impairment on pharmacokinetics of the human GLP-1 analogue, liraglutide. PMID 21175436</w:t>
      </w:r>
    </w:p>
    <w:p>
      <w:pPr>
        <w:numPr>
          <w:ilvl w:val="0"/>
          <w:numId w:val="1377"/>
        </w:numPr>
        <w:pStyle w:val="Compact"/>
      </w:pPr>
      <w:r>
        <w:t xml:space="preserve">2010 · Malm-Erjefält M ·</w:t>
      </w:r>
      <w:r>
        <w:t xml:space="preserve"> </w:t>
      </w:r>
      <w:r>
        <w:rPr>
          <w:iCs/>
          <w:i/>
        </w:rPr>
        <w:t xml:space="preserve">Drug Metab Dispos</w:t>
      </w:r>
      <w:r>
        <w:t xml:space="preserve"> </w:t>
      </w:r>
      <w:r>
        <w:t xml:space="preserve">· Metabolism and excretion of the once-daily human glucagon-like peptide-1 analog liraglutide in healthy male subjects and its in vitro degradation by dipeptidyl peptidase IV and neutral endopeptidase. PMID 20709939</w:t>
      </w:r>
    </w:p>
    <w:p>
      <w:pPr>
        <w:numPr>
          <w:ilvl w:val="0"/>
          <w:numId w:val="1377"/>
        </w:numPr>
        <w:pStyle w:val="Compact"/>
      </w:pPr>
      <w:r>
        <w:t xml:space="preserve">2010 · Bode BW ·</w:t>
      </w:r>
      <w:r>
        <w:t xml:space="preserve"> </w:t>
      </w:r>
      <w:r>
        <w:rPr>
          <w:iCs/>
          <w:i/>
        </w:rPr>
        <w:t xml:space="preserve">Diabetes Obes Metab</w:t>
      </w:r>
      <w:r>
        <w:t xml:space="preserve"> </w:t>
      </w:r>
      <w:r>
        <w:t xml:space="preserve">· Patient-reported outcomes following treatment with the human GLP-1 analogue liraglutide or glimepiride in monotherapy: results from a randomized controlled trial in patients with type 2 diabetes. PMID 20590735</w:t>
      </w:r>
    </w:p>
    <w:p>
      <w:pPr>
        <w:numPr>
          <w:ilvl w:val="0"/>
          <w:numId w:val="1377"/>
        </w:numPr>
        <w:pStyle w:val="Compact"/>
      </w:pPr>
      <w:r>
        <w:t xml:space="preserve">2010 · Hermansen K ·</w:t>
      </w:r>
      <w:r>
        <w:t xml:space="preserve"> </w:t>
      </w:r>
      <w:r>
        <w:rPr>
          <w:iCs/>
          <w:i/>
        </w:rPr>
        <w:t xml:space="preserve">Prim Care Diabetes</w:t>
      </w:r>
      <w:r>
        <w:t xml:space="preserve"> </w:t>
      </w:r>
      <w:r>
        <w:t xml:space="preserve">· Patient-reported outcomes in patients with type 2 diabetes treated with liraglutide or glimepiride, both as add-on to metformin. PMID 20444662</w:t>
      </w:r>
    </w:p>
    <w:p>
      <w:pPr>
        <w:numPr>
          <w:ilvl w:val="0"/>
          <w:numId w:val="1377"/>
        </w:numPr>
        <w:pStyle w:val="Compact"/>
      </w:pPr>
      <w:r>
        <w:t xml:space="preserve">2010 · Pratley RE ·</w:t>
      </w:r>
      <w:r>
        <w:t xml:space="preserve"> </w:t>
      </w:r>
      <w:r>
        <w:rPr>
          <w:iCs/>
          <w:i/>
        </w:rPr>
        <w:t xml:space="preserve">Lancet</w:t>
      </w:r>
      <w:r>
        <w:t xml:space="preserve"> </w:t>
      </w:r>
      <w:r>
        <w:t xml:space="preserve">· Liraglutide versus sitagliptin for patients with type 2 diabetes who did not have adequate glycaemic control with metformin: a 26-week, randomised, parallel-group, open-label trial. PMID 20417856</w:t>
      </w:r>
    </w:p>
    <w:p>
      <w:pPr>
        <w:numPr>
          <w:ilvl w:val="0"/>
          <w:numId w:val="1377"/>
        </w:numPr>
        <w:pStyle w:val="Compact"/>
      </w:pPr>
      <w:r>
        <w:t xml:space="preserve">2010 · Kaku K ·</w:t>
      </w:r>
      <w:r>
        <w:t xml:space="preserve"> </w:t>
      </w:r>
      <w:r>
        <w:rPr>
          <w:iCs/>
          <w:i/>
        </w:rPr>
        <w:t xml:space="preserve">Diabetes Obes Metab</w:t>
      </w:r>
      <w:r>
        <w:t xml:space="preserve"> </w:t>
      </w:r>
      <w:r>
        <w:t xml:space="preserve">· Improved glycaemic control with minimal hypoglycaemia and no weight change with the once-daily human glucagon-like peptide-1 analogue liraglutide as add-on to sulphonylurea in Japanese patients with type 2 diabetes. PMID 20380655</w:t>
      </w:r>
    </w:p>
    <w:p>
      <w:pPr>
        <w:numPr>
          <w:ilvl w:val="0"/>
          <w:numId w:val="1377"/>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7"/>
        </w:numPr>
        <w:pStyle w:val="Compact"/>
      </w:pPr>
      <w:r>
        <w:t xml:space="preserve">2010 · Bjerre Knudsen L ·</w:t>
      </w:r>
      <w:r>
        <w:t xml:space="preserve"> </w:t>
      </w:r>
      <w:r>
        <w:rPr>
          <w:iCs/>
          <w:i/>
        </w:rPr>
        <w:t xml:space="preserve">Endocrinology</w:t>
      </w:r>
      <w:r>
        <w:t xml:space="preserve"> </w:t>
      </w:r>
      <w:r>
        <w:t xml:space="preserve">· Glucagon-like Peptide-1 receptor agonists activate rodent thyroid C-cells causing calcitonin release and C-cell proliferation. PMID 20203154</w:t>
      </w:r>
    </w:p>
    <w:p>
      <w:pPr>
        <w:numPr>
          <w:ilvl w:val="0"/>
          <w:numId w:val="1377"/>
        </w:numPr>
        <w:pStyle w:val="Compact"/>
      </w:pPr>
      <w:r>
        <w:t xml:space="preserve">2010 · Seino Y ·</w:t>
      </w:r>
      <w:r>
        <w:t xml:space="preserve"> </w:t>
      </w:r>
      <w:r>
        <w:rPr>
          <w:iCs/>
          <w:i/>
        </w:rPr>
        <w:t xml:space="preserve">Curr Med Res Opin</w:t>
      </w:r>
      <w:r>
        <w:t xml:space="preserve"> </w:t>
      </w:r>
      <w:r>
        <w:t xml:space="preserve">· Efficacy and safety of the once-daily human GLP-1 analogue, liraglutide, vs glibenclamide monotherapy in Japanese patients with type 2 diabetes. PMID 20199137</w:t>
      </w:r>
    </w:p>
    <w:p>
      <w:pPr>
        <w:numPr>
          <w:ilvl w:val="0"/>
          <w:numId w:val="1377"/>
        </w:numPr>
        <w:pStyle w:val="Compact"/>
      </w:pPr>
      <w:r>
        <w:t xml:space="preserve">2010 · Gallwitz B ·</w:t>
      </w:r>
      <w:r>
        <w:t xml:space="preserve"> </w:t>
      </w:r>
      <w:r>
        <w:rPr>
          <w:iCs/>
          <w:i/>
        </w:rPr>
        <w:t xml:space="preserve">Int J Clin Pract</w:t>
      </w:r>
      <w:r>
        <w:t xml:space="preserve"> </w:t>
      </w:r>
      <w:r>
        <w:t xml:space="preserve">· Adding liraglutide to oral antidiabetic drug therapy: onset of treatment effects over time. PMID 19925617</w:t>
      </w:r>
    </w:p>
    <w:p>
      <w:pPr>
        <w:numPr>
          <w:ilvl w:val="0"/>
          <w:numId w:val="1377"/>
        </w:numPr>
        <w:pStyle w:val="Compact"/>
      </w:pPr>
      <w:r>
        <w:t xml:space="preserve">2009 · Jacobsen LV ·</w:t>
      </w:r>
      <w:r>
        <w:t xml:space="preserve"> </w:t>
      </w:r>
      <w:r>
        <w:rPr>
          <w:iCs/>
          <w:i/>
        </w:rPr>
        <w:t xml:space="preserve">Br J Clin Pharmacol</w:t>
      </w:r>
      <w:r>
        <w:t xml:space="preserve"> </w:t>
      </w:r>
      <w:r>
        <w:t xml:space="preserve">· Effect of renal impairment on the pharmacokinetics of the GLP-1 analogue liraglutide. PMID 20002084</w:t>
      </w:r>
    </w:p>
    <w:p>
      <w:pPr>
        <w:numPr>
          <w:ilvl w:val="0"/>
          <w:numId w:val="1377"/>
        </w:numPr>
        <w:pStyle w:val="Compact"/>
      </w:pPr>
      <w:r>
        <w:t xml:space="preserve">2009 · Jendle J ·</w:t>
      </w:r>
      <w:r>
        <w:t xml:space="preserve"> </w:t>
      </w:r>
      <w:r>
        <w:rPr>
          <w:iCs/>
          <w:i/>
        </w:rPr>
        <w:t xml:space="preserve">Diabetes Obes Metab</w:t>
      </w:r>
      <w:r>
        <w:t xml:space="preserve"> </w:t>
      </w:r>
      <w:r>
        <w:t xml:space="preserve">· Weight loss with liraglutide, a once-daily human glucagon-like peptide-1 analogue for type 2 diabetes treatment as monotherapy or added to metformin, is primarily as a result of a reduction in fat tissue. PMID 19930006</w:t>
      </w:r>
    </w:p>
    <w:p>
      <w:pPr>
        <w:numPr>
          <w:ilvl w:val="0"/>
          <w:numId w:val="1377"/>
        </w:numPr>
        <w:pStyle w:val="Compact"/>
      </w:pPr>
      <w:r>
        <w:t xml:space="preserve">2009 · Sullivan SD ·</w:t>
      </w:r>
      <w:r>
        <w:t xml:space="preserve"> </w:t>
      </w:r>
      <w:r>
        <w:rPr>
          <w:iCs/>
          <w:i/>
        </w:rPr>
        <w:t xml:space="preserve">Pharmacotherapy</w:t>
      </w:r>
      <w:r>
        <w:t xml:space="preserve"> </w:t>
      </w:r>
      <w:r>
        <w:t xml:space="preserve">· A simulation of the comparative long-term effectiveness of liraglutide and glimepiride monotherapies in patients with type 2 diabetes mellitus. PMID 19873688</w:t>
      </w:r>
    </w:p>
    <w:p>
      <w:pPr>
        <w:numPr>
          <w:ilvl w:val="0"/>
          <w:numId w:val="1377"/>
        </w:numPr>
        <w:pStyle w:val="Compact"/>
      </w:pPr>
      <w:r>
        <w:t xml:space="preserve">2009 · Astrup A ·</w:t>
      </w:r>
      <w:r>
        <w:t xml:space="preserve"> </w:t>
      </w:r>
      <w:r>
        <w:rPr>
          <w:iCs/>
          <w:i/>
        </w:rPr>
        <w:t xml:space="preserve">Lancet</w:t>
      </w:r>
      <w:r>
        <w:t xml:space="preserve"> </w:t>
      </w:r>
      <w:r>
        <w:t xml:space="preserve">· Effects of liraglutide in the treatment of obesity: a randomised, double-blind, placebo-controlled study. PMID 19853906</w:t>
      </w:r>
    </w:p>
    <w:p>
      <w:pPr>
        <w:numPr>
          <w:ilvl w:val="0"/>
          <w:numId w:val="1377"/>
        </w:numPr>
        <w:pStyle w:val="Compact"/>
      </w:pPr>
      <w:r>
        <w:t xml:space="preserve">2009 · Chatterjee DJ ·</w:t>
      </w:r>
      <w:r>
        <w:t xml:space="preserve"> </w:t>
      </w:r>
      <w:r>
        <w:rPr>
          <w:iCs/>
          <w:i/>
        </w:rPr>
        <w:t xml:space="preserve">J Clin Pharmacol</w:t>
      </w:r>
      <w:r>
        <w:t xml:space="preserve"> </w:t>
      </w:r>
      <w:r>
        <w:t xml:space="preserve">· Absence of QTc prolongation in a thorough QT study with subcutaneous liraglutide, a once-daily human GLP-1 analog for treatment of type 2 diabetes. PMID 19737980</w:t>
      </w:r>
    </w:p>
    <w:p>
      <w:pPr>
        <w:numPr>
          <w:ilvl w:val="0"/>
          <w:numId w:val="1377"/>
        </w:numPr>
        <w:pStyle w:val="Compact"/>
      </w:pPr>
      <w:r>
        <w:t xml:space="preserve">2009 · Russell-Jones D ·</w:t>
      </w:r>
      <w:r>
        <w:t xml:space="preserve"> </w:t>
      </w:r>
      <w:r>
        <w:rPr>
          <w:iCs/>
          <w:i/>
        </w:rPr>
        <w:t xml:space="preserve">Diabetologia</w:t>
      </w:r>
      <w:r>
        <w:t xml:space="preserve"> </w:t>
      </w:r>
      <w:r>
        <w:t xml:space="preserve">· Liraglutide vs insulin glargine and placebo in combination with metformin and sulfonylurea therapy in type 2 diabetes mellitus (LEAD-5 met+SU): a randomised controlled trial. PMID 19688338</w:t>
      </w:r>
    </w:p>
    <w:p>
      <w:pPr>
        <w:numPr>
          <w:ilvl w:val="0"/>
          <w:numId w:val="1377"/>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7"/>
        </w:numPr>
        <w:pStyle w:val="Compact"/>
      </w:pPr>
      <w:r>
        <w:t xml:space="preserve">2009 · Nauck M ·</w:t>
      </w:r>
      <w:r>
        <w:t xml:space="preserve"> </w:t>
      </w:r>
      <w:r>
        <w:rPr>
          <w:iCs/>
          <w:i/>
        </w:rPr>
        <w:t xml:space="preserve">Postgrad Med</w:t>
      </w:r>
      <w:r>
        <w:t xml:space="preserve"> </w:t>
      </w:r>
      <w:r>
        <w:t xml:space="preserve">· Adding liraglutide to oral antidiabetic drug monotherapy: efficacy and weight benefits. PMID 19491535</w:t>
      </w:r>
    </w:p>
    <w:p>
      <w:pPr>
        <w:numPr>
          <w:ilvl w:val="0"/>
          <w:numId w:val="1377"/>
        </w:numPr>
        <w:pStyle w:val="Compact"/>
      </w:pPr>
      <w:r>
        <w:t xml:space="preserve">2009 · Marre M ·</w:t>
      </w:r>
      <w:r>
        <w:t xml:space="preserve"> </w:t>
      </w:r>
      <w:r>
        <w:rPr>
          <w:iCs/>
          <w:i/>
        </w:rPr>
        <w:t xml:space="preserve">Diabet Med</w:t>
      </w:r>
      <w:r>
        <w:t xml:space="preserve"> </w:t>
      </w:r>
      <w:r>
        <w:t xml:space="preserve">· Liraglutide, a once-daily human GLP-1 analogue, added to a sulphonylurea over 26 weeks produces greater improvements in glycaemic and weight control compared with adding rosiglitazone or placebo in subjects with Type 2 diabetes (LEAD-1 SU). PMID 19317822</w:t>
      </w:r>
    </w:p>
    <w:p>
      <w:pPr>
        <w:numPr>
          <w:ilvl w:val="0"/>
          <w:numId w:val="1377"/>
        </w:numPr>
        <w:pStyle w:val="Compact"/>
      </w:pPr>
      <w:r>
        <w:t xml:space="preserve">2009 · Zinman B ·</w:t>
      </w:r>
      <w:r>
        <w:t xml:space="preserve"> </w:t>
      </w:r>
      <w:r>
        <w:rPr>
          <w:iCs/>
          <w:i/>
        </w:rPr>
        <w:t xml:space="preserve">Diabetes Care</w:t>
      </w:r>
      <w:r>
        <w:t xml:space="preserve"> </w:t>
      </w:r>
      <w:r>
        <w:t xml:space="preserve">· Efficacy and safety of the human glucagon-like peptide-1 analog liraglutide in combination with metformin and thiazolidinedione in patients with type 2 diabetes (LEAD-4 Met+TZD). PMID 19289857</w:t>
      </w:r>
    </w:p>
    <w:p>
      <w:pPr>
        <w:numPr>
          <w:ilvl w:val="0"/>
          <w:numId w:val="1377"/>
        </w:numPr>
        <w:pStyle w:val="Compact"/>
      </w:pPr>
      <w:r>
        <w:t xml:space="preserve">2009 · Sullivan SD ·</w:t>
      </w:r>
      <w:r>
        <w:t xml:space="preserve"> </w:t>
      </w:r>
      <w:r>
        <w:rPr>
          <w:iCs/>
          <w:i/>
        </w:rPr>
        <w:t xml:space="preserve">Cardiovasc Diabetol</w:t>
      </w:r>
      <w:r>
        <w:t xml:space="preserve"> </w:t>
      </w:r>
      <w:r>
        <w:t xml:space="preserve">· Long-term outcomes in patients with type 2 diabetes receiving glimepiride combined with liraglutide or rosiglitazone. PMID 19245711</w:t>
      </w:r>
    </w:p>
    <w:p>
      <w:pPr>
        <w:numPr>
          <w:ilvl w:val="0"/>
          <w:numId w:val="1377"/>
        </w:numPr>
        <w:pStyle w:val="Compact"/>
      </w:pPr>
      <w:r>
        <w:t xml:space="preserve">2009 · Nauck M ·</w:t>
      </w:r>
      <w:r>
        <w:t xml:space="preserve"> </w:t>
      </w:r>
      <w:r>
        <w:rPr>
          <w:iCs/>
          <w:i/>
        </w:rPr>
        <w:t xml:space="preserve">Diabetes Care</w:t>
      </w:r>
      <w:r>
        <w:t xml:space="preserve"> </w:t>
      </w:r>
      <w:r>
        <w:t xml:space="preserve">· Efficacy and safety comparison of liraglutide, glimepiride, and placebo, all in combination with metformin, in type 2 diabetes: the LEAD (liraglutide effect and action in diabetes)-2 study. PMID 18931095</w:t>
      </w:r>
    </w:p>
    <w:p>
      <w:pPr>
        <w:numPr>
          <w:ilvl w:val="0"/>
          <w:numId w:val="1377"/>
        </w:numPr>
        <w:pStyle w:val="Compact"/>
      </w:pPr>
      <w:r>
        <w:t xml:space="preserve">2009 · Garber A ·</w:t>
      </w:r>
      <w:r>
        <w:t xml:space="preserve"> </w:t>
      </w:r>
      <w:r>
        <w:rPr>
          <w:iCs/>
          <w:i/>
        </w:rPr>
        <w:t xml:space="preserve">Lancet</w:t>
      </w:r>
      <w:r>
        <w:t xml:space="preserve"> </w:t>
      </w:r>
      <w:r>
        <w:t xml:space="preserve">· Liraglutide versus glimepiride monotherapy for type 2 diabetes (LEAD-3 Mono): a randomised, 52-week, phase III, double-blind, parallel-treatment trial. PMID 18819705</w:t>
      </w:r>
    </w:p>
    <w:p>
      <w:pPr>
        <w:numPr>
          <w:ilvl w:val="0"/>
          <w:numId w:val="1377"/>
        </w:numPr>
        <w:pStyle w:val="Compact"/>
      </w:pPr>
      <w:r>
        <w:t xml:space="preserve">2008 · Courrèges JP ·</w:t>
      </w:r>
      <w:r>
        <w:t xml:space="preserve"> </w:t>
      </w:r>
      <w:r>
        <w:rPr>
          <w:iCs/>
          <w:i/>
        </w:rPr>
        <w:t xml:space="preserve">Diabet Med</w:t>
      </w:r>
      <w:r>
        <w:t xml:space="preserve"> </w:t>
      </w:r>
      <w:r>
        <w:t xml:space="preserve">· Beneficial effects of once-daily liraglutide, a human glucagon-like peptide-1 analogue, on cardiovascular risk biomarkers in patients with Type 2 diabetes. PMID 19183322</w:t>
      </w:r>
    </w:p>
    <w:p>
      <w:pPr>
        <w:numPr>
          <w:ilvl w:val="0"/>
          <w:numId w:val="1377"/>
        </w:numPr>
        <w:pStyle w:val="Compact"/>
      </w:pPr>
      <w:r>
        <w:t xml:space="preserve">2008 · Irie S ·</w:t>
      </w:r>
      <w:r>
        <w:t xml:space="preserve"> </w:t>
      </w:r>
      <w:r>
        <w:rPr>
          <w:iCs/>
          <w:i/>
        </w:rPr>
        <w:t xml:space="preserve">Int J Clin Pharmacol Ther</w:t>
      </w:r>
      <w:r>
        <w:t xml:space="preserve"> </w:t>
      </w:r>
      <w:r>
        <w:t xml:space="preserve">· Tolerability, pharmacokinetics and pharmacodynamics of the once-daily human GLP-1 analog liraglutide in Japanese healthy subjects: a randomized, double-blind, placebo-controlled dose-escalation study. PMID 18541123</w:t>
      </w:r>
    </w:p>
    <w:p>
      <w:pPr>
        <w:numPr>
          <w:ilvl w:val="0"/>
          <w:numId w:val="1377"/>
        </w:numPr>
        <w:pStyle w:val="Compact"/>
      </w:pPr>
      <w:r>
        <w:t xml:space="preserve">2008 · Seino Y ·</w:t>
      </w:r>
      <w:r>
        <w:t xml:space="preserve"> </w:t>
      </w:r>
      <w:r>
        <w:rPr>
          <w:iCs/>
          <w:i/>
        </w:rPr>
        <w:t xml:space="preserve">Diabetes Res Clin Pract</w:t>
      </w:r>
      <w:r>
        <w:t xml:space="preserve"> </w:t>
      </w:r>
      <w:r>
        <w:t xml:space="preserve">· Dose-dependent improvement in glycemia with once-daily liraglutide without hypoglycemia or weight gain: A double-blind, randomized, controlled trial in Japanese patients with type 2 diabetes. PMID 18495285</w:t>
      </w:r>
    </w:p>
    <w:p>
      <w:pPr>
        <w:numPr>
          <w:ilvl w:val="0"/>
          <w:numId w:val="1377"/>
        </w:numPr>
        <w:pStyle w:val="Compact"/>
      </w:pPr>
      <w:r>
        <w:t xml:space="preserve">2008 · Horowitz M ·</w:t>
      </w:r>
      <w:r>
        <w:t xml:space="preserve"> </w:t>
      </w:r>
      <w:r>
        <w:rPr>
          <w:iCs/>
          <w:i/>
        </w:rPr>
        <w:t xml:space="preserve">Diabetes Obes Metab</w:t>
      </w:r>
      <w:r>
        <w:t xml:space="preserve"> </w:t>
      </w:r>
      <w:r>
        <w:t xml:space="preserve">· Patient-reported rating of gastrointestinal adverse effects during treatment of type 2 diabetes with the once-daily human GLP-1 analogue, liraglutide. PMID 18435773</w:t>
      </w:r>
    </w:p>
    <w:p>
      <w:pPr>
        <w:numPr>
          <w:ilvl w:val="0"/>
          <w:numId w:val="1377"/>
        </w:numPr>
        <w:pStyle w:val="Compact"/>
      </w:pPr>
      <w:r>
        <w:t xml:space="preserve">2008 · Vilsbøll T ·</w:t>
      </w:r>
      <w:r>
        <w:t xml:space="preserve"> </w:t>
      </w:r>
      <w:r>
        <w:rPr>
          <w:iCs/>
          <w:i/>
        </w:rPr>
        <w:t xml:space="preserve">Diabet Med</w:t>
      </w:r>
      <w:r>
        <w:t xml:space="preserve"> </w:t>
      </w:r>
      <w:r>
        <w:t xml:space="preserve">· Liraglutide, a once-daily human GLP-1 analogue, improves pancreatic B-cell function and arginine-stimulated insulin secretion during hyperglycaemia in patients with Type 2 diabetes mellitus. PMID 18201212</w:t>
      </w:r>
    </w:p>
    <w:p>
      <w:pPr>
        <w:numPr>
          <w:ilvl w:val="0"/>
          <w:numId w:val="1377"/>
        </w:numPr>
        <w:pStyle w:val="Compact"/>
      </w:pPr>
      <w:r>
        <w:t xml:space="preserve">2007 · Mari A ·</w:t>
      </w:r>
      <w:r>
        <w:t xml:space="preserve"> </w:t>
      </w:r>
      <w:r>
        <w:rPr>
          <w:iCs/>
          <w:i/>
        </w:rPr>
        <w:t xml:space="preserve">Diabetes Care</w:t>
      </w:r>
      <w:r>
        <w:t xml:space="preserve"> </w:t>
      </w:r>
      <w:r>
        <w:t xml:space="preserve">· Effects of the long-acting human glucagon-like peptide-1 analog liraglutide on beta-cell function in normal living conditions. PMID 17468345</w:t>
      </w:r>
    </w:p>
    <w:p>
      <w:pPr>
        <w:numPr>
          <w:ilvl w:val="0"/>
          <w:numId w:val="1377"/>
        </w:numPr>
        <w:pStyle w:val="Compact"/>
      </w:pPr>
      <w:r>
        <w:t xml:space="preserve">2007 · Vilsbøll T ·</w:t>
      </w:r>
      <w:r>
        <w:t xml:space="preserve"> </w:t>
      </w:r>
      <w:r>
        <w:rPr>
          <w:iCs/>
          <w:i/>
        </w:rPr>
        <w:t xml:space="preserve">Diabetes Care</w:t>
      </w:r>
      <w:r>
        <w:t xml:space="preserve"> </w:t>
      </w:r>
      <w:r>
        <w:t xml:space="preserve">· Liraglutide, a long-acting human glucagon-like peptide-1 analog, given as monotherapy significantly improves glycemic control and lowers body weight without risk of hypoglycemia in patients with type 2 diabetes. PMID 17372153</w:t>
      </w:r>
    </w:p>
    <w:p>
      <w:pPr>
        <w:numPr>
          <w:ilvl w:val="0"/>
          <w:numId w:val="1377"/>
        </w:numPr>
        <w:pStyle w:val="Compact"/>
      </w:pPr>
      <w:r>
        <w:t xml:space="preserve">2006 · Nauck MA ·</w:t>
      </w:r>
      <w:r>
        <w:t xml:space="preserve"> </w:t>
      </w:r>
      <w:r>
        <w:rPr>
          <w:iCs/>
          <w:i/>
        </w:rPr>
        <w:t xml:space="preserve">Exp Clin Endocrinol Diabetes</w:t>
      </w:r>
      <w:r>
        <w:t xml:space="preserve"> </w:t>
      </w:r>
      <w:r>
        <w:t xml:space="preserve">· Five weeks of treatment with the GLP-1 analogue liraglutide improves glycaemic control and lowers body weight in subjects with type 2 diabetes. PMID 17039422</w:t>
      </w:r>
    </w:p>
    <w:p>
      <w:pPr>
        <w:numPr>
          <w:ilvl w:val="0"/>
          <w:numId w:val="1377"/>
        </w:numPr>
        <w:pStyle w:val="Compact"/>
      </w:pPr>
      <w:r>
        <w:t xml:space="preserve">2006 · Damholt B ·</w:t>
      </w:r>
      <w:r>
        <w:t xml:space="preserve"> </w:t>
      </w:r>
      <w:r>
        <w:rPr>
          <w:iCs/>
          <w:i/>
        </w:rPr>
        <w:t xml:space="preserve">J Clin Pharmacol</w:t>
      </w:r>
      <w:r>
        <w:t xml:space="preserve"> </w:t>
      </w:r>
      <w:r>
        <w:t xml:space="preserve">· An open-label, parallel group study investigating the effects of age and gender on the pharmacokinetics of the once-daily glucagon-like peptide-1 analogue liraglutide. PMID 16707410</w:t>
      </w:r>
    </w:p>
    <w:p>
      <w:pPr>
        <w:numPr>
          <w:ilvl w:val="0"/>
          <w:numId w:val="1377"/>
        </w:numPr>
        <w:pStyle w:val="Compact"/>
      </w:pPr>
      <w:r>
        <w:t xml:space="preserve">2005 · Feinglos MN ·</w:t>
      </w:r>
      <w:r>
        <w:t xml:space="preserve"> </w:t>
      </w:r>
      <w:r>
        <w:rPr>
          <w:iCs/>
          <w:i/>
        </w:rPr>
        <w:t xml:space="preserve">Diabet Med</w:t>
      </w:r>
      <w:r>
        <w:t xml:space="preserve"> </w:t>
      </w:r>
      <w:r>
        <w:t xml:space="preserve">· Effects of liraglutide (NN2211), a long-acting GLP-1 analogue, on glycaemic control and bodyweight in subjects with Type 2 diabetes. PMID 16026367</w:t>
      </w:r>
    </w:p>
    <w:p>
      <w:pPr>
        <w:numPr>
          <w:ilvl w:val="0"/>
          <w:numId w:val="1377"/>
        </w:numPr>
        <w:pStyle w:val="Compact"/>
      </w:pPr>
      <w:r>
        <w:t xml:space="preserve">2004 · Harder H ·</w:t>
      </w:r>
      <w:r>
        <w:t xml:space="preserve"> </w:t>
      </w:r>
      <w:r>
        <w:rPr>
          <w:iCs/>
          <w:i/>
        </w:rPr>
        <w:t xml:space="preserve">Diabetes Care</w:t>
      </w:r>
      <w:r>
        <w:t xml:space="preserve"> </w:t>
      </w:r>
      <w:r>
        <w:t xml:space="preserve">· The effect of liraglutide, a long-acting glucagon-like peptide 1 derivative, on glycemic control, body composition, and 24-h energy expenditure in patients with type 2 diabetes. PMID 15277417</w:t>
      </w:r>
    </w:p>
    <w:p>
      <w:pPr>
        <w:numPr>
          <w:ilvl w:val="0"/>
          <w:numId w:val="1377"/>
        </w:numPr>
        <w:pStyle w:val="Compact"/>
      </w:pPr>
      <w:r>
        <w:t xml:space="preserve">2004 · Madsbad S ·</w:t>
      </w:r>
      <w:r>
        <w:t xml:space="preserve"> </w:t>
      </w:r>
      <w:r>
        <w:rPr>
          <w:iCs/>
          <w:i/>
        </w:rPr>
        <w:t xml:space="preserve">Diabetes Care</w:t>
      </w:r>
      <w:r>
        <w:t xml:space="preserve"> </w:t>
      </w:r>
      <w:r>
        <w:t xml:space="preserve">· Improved glycemic control with no weight increase in patients with type 2 diabetes after once-daily treatment with the long-acting glucagon-like peptide 1 analog liraglutide (NN2211): a 12-week, double-blind, randomized, controlled trial. PMID 15161785</w:t>
      </w:r>
    </w:p>
    <w:p>
      <w:pPr>
        <w:numPr>
          <w:ilvl w:val="0"/>
          <w:numId w:val="1377"/>
        </w:numPr>
        <w:pStyle w:val="Compact"/>
      </w:pPr>
      <w:r>
        <w:t xml:space="preserve">2004 · Degn KB ·</w:t>
      </w:r>
      <w:r>
        <w:t xml:space="preserve"> </w:t>
      </w:r>
      <w:r>
        <w:rPr>
          <w:iCs/>
          <w:i/>
        </w:rPr>
        <w:t xml:space="preserve">Diabetes</w:t>
      </w:r>
      <w:r>
        <w:t xml:space="preserve"> </w:t>
      </w:r>
      <w:r>
        <w:t xml:space="preserve">· One week’s treatment with the long-acting glucagon-like peptide 1 derivative liraglutide (NN2211) markedly improves 24-h glycemia and alpha- and beta-cell function and reduces endogenous glucose release in patients with type 2 diabetes. PMID 15111485</w:t>
      </w:r>
    </w:p>
    <w:bookmarkEnd w:id="3012"/>
    <w:bookmarkStart w:id="3013" w:name="dulaglutida-158"/>
    <w:p>
      <w:pPr>
        <w:pStyle w:val="Heading2"/>
      </w:pPr>
      <w:r>
        <w:t xml:space="preserve">Dulaglutida (158)</w:t>
      </w:r>
    </w:p>
    <w:p>
      <w:pPr>
        <w:numPr>
          <w:ilvl w:val="0"/>
          <w:numId w:val="1378"/>
        </w:numPr>
        <w:pStyle w:val="Compact"/>
      </w:pPr>
      <w:r>
        <w:t xml:space="preserve">2026 · Adly AAM ·</w:t>
      </w:r>
      <w:r>
        <w:t xml:space="preserve"> </w:t>
      </w:r>
      <w:r>
        <w:rPr>
          <w:iCs/>
          <w:i/>
        </w:rPr>
        <w:t xml:space="preserve">Diabetologia</w:t>
      </w:r>
      <w:r>
        <w:t xml:space="preserve"> </w:t>
      </w:r>
      <w:r>
        <w:t xml:space="preserve">· Dulaglutide vs insulin in adolescents with thalassaemia-induced diabetes: effect on metabolism and atherogenesis (DIADEMA). PMID 42618811</w:t>
      </w:r>
    </w:p>
    <w:p>
      <w:pPr>
        <w:numPr>
          <w:ilvl w:val="0"/>
          <w:numId w:val="1378"/>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78"/>
        </w:numPr>
        <w:pStyle w:val="Compact"/>
      </w:pPr>
      <w:r>
        <w:t xml:space="preserve">2026 · Jun JE ·</w:t>
      </w:r>
      <w:r>
        <w:t xml:space="preserve"> </w:t>
      </w:r>
      <w:r>
        <w:rPr>
          <w:iCs/>
          <w:i/>
        </w:rPr>
        <w:t xml:space="preserve">Front Endocrinol (Lausanne)</w:t>
      </w:r>
      <w:r>
        <w:t xml:space="preserve"> </w:t>
      </w:r>
      <w:r>
        <w:t xml:space="preserve">· Dulaglutide versus empagliflozin as add-on therapy to metformin and sulfonylurea in type 2 diabetes: a randomized pilot study with exploratory metabolomic and microbiome analyses. PMID 42388875</w:t>
      </w:r>
    </w:p>
    <w:p>
      <w:pPr>
        <w:numPr>
          <w:ilvl w:val="0"/>
          <w:numId w:val="1378"/>
        </w:numPr>
        <w:pStyle w:val="Compact"/>
      </w:pPr>
      <w:r>
        <w:t xml:space="preserve">2026 · Heise T ·</w:t>
      </w:r>
      <w:r>
        <w:t xml:space="preserve"> </w:t>
      </w:r>
      <w:r>
        <w:rPr>
          <w:iCs/>
          <w:i/>
        </w:rPr>
        <w:t xml:space="preserve">Diabetes Obes Metab</w:t>
      </w:r>
      <w:r>
        <w:t xml:space="preserve"> </w:t>
      </w:r>
      <w:r>
        <w:t xml:space="preserve">· Insulin Sensitivity and Beta Cell Function With Macupatide Alone or With Dulaglutide in Type 2 Diabetes: A Phase 1b, Randomised Controlled Trial. PMID 42229460</w:t>
      </w:r>
    </w:p>
    <w:p>
      <w:pPr>
        <w:numPr>
          <w:ilvl w:val="0"/>
          <w:numId w:val="1378"/>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78"/>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78"/>
        </w:numPr>
        <w:pStyle w:val="Compact"/>
      </w:pPr>
      <w:r>
        <w:t xml:space="preserve">2026 · Wilson JM ·</w:t>
      </w:r>
      <w:r>
        <w:t xml:space="preserve"> </w:t>
      </w:r>
      <w:r>
        <w:rPr>
          <w:iCs/>
          <w:i/>
        </w:rPr>
        <w:t xml:space="preserve">Alzheimers Dement</w:t>
      </w:r>
      <w:r>
        <w:t xml:space="preserve"> </w:t>
      </w:r>
      <w:r>
        <w:t xml:space="preserve">· Dulaglutide and neurodegeneration biomarkers: REWIND post hoc analysis. PMID 41988866</w:t>
      </w:r>
    </w:p>
    <w:p>
      <w:pPr>
        <w:numPr>
          <w:ilvl w:val="0"/>
          <w:numId w:val="1378"/>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78"/>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78"/>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78"/>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8"/>
        </w:numPr>
        <w:pStyle w:val="Compact"/>
      </w:pPr>
      <w:r>
        <w:t xml:space="preserve">2026 · Leibnitz S ·</w:t>
      </w:r>
      <w:r>
        <w:t xml:space="preserve"> </w:t>
      </w:r>
      <w:r>
        <w:rPr>
          <w:iCs/>
          <w:i/>
        </w:rPr>
        <w:t xml:space="preserve">Eur J Endocrinol</w:t>
      </w:r>
      <w:r>
        <w:t xml:space="preserve"> </w:t>
      </w:r>
      <w:r>
        <w:t xml:space="preserve">· Effects of GLP-1 receptor agonists on copeptin in euvolemic participants. PMID 41525326</w:t>
      </w:r>
    </w:p>
    <w:p>
      <w:pPr>
        <w:numPr>
          <w:ilvl w:val="0"/>
          <w:numId w:val="1378"/>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78"/>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78"/>
        </w:numPr>
        <w:pStyle w:val="Compact"/>
      </w:pPr>
      <w:r>
        <w:t xml:space="preserve">2025 · Gao R ·</w:t>
      </w:r>
      <w:r>
        <w:t xml:space="preserve"> </w:t>
      </w:r>
      <w:r>
        <w:rPr>
          <w:iCs/>
          <w:i/>
        </w:rPr>
        <w:t xml:space="preserve">Pak J Pharm Sci</w:t>
      </w:r>
      <w:r>
        <w:t xml:space="preserve"> </w:t>
      </w:r>
      <w:r>
        <w:t xml:space="preserve">· Effect of ketogenic diet plus dulaglutide on glucose and lipid metabolism in diabetes mellitus. PMID 41241797</w:t>
      </w:r>
    </w:p>
    <w:p>
      <w:pPr>
        <w:numPr>
          <w:ilvl w:val="0"/>
          <w:numId w:val="1378"/>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78"/>
        </w:numPr>
        <w:pStyle w:val="Compact"/>
      </w:pPr>
      <w:r>
        <w:t xml:space="preserve">2025 · He Y ·</w:t>
      </w:r>
      <w:r>
        <w:t xml:space="preserve"> </w:t>
      </w:r>
      <w:r>
        <w:rPr>
          <w:iCs/>
          <w:i/>
        </w:rPr>
        <w:t xml:space="preserve">Lancet Diabetes Endocrinol</w:t>
      </w:r>
      <w:r>
        <w:t xml:space="preserve"> </w:t>
      </w:r>
      <w:r>
        <w:t xml:space="preserve">· Efficacy and safety of cAMP-biased GLP-1 receptor agonist ecnoglutide versus dulaglutide in patients with type 2 diabetes and elevated glucose concentrations on metformin monotherapy (EECOH-2): a 52-week, multicentre, open-label, non-inferiority, randomised, phase 3 trial. PMID 40854315</w:t>
      </w:r>
    </w:p>
    <w:p>
      <w:pPr>
        <w:numPr>
          <w:ilvl w:val="0"/>
          <w:numId w:val="1378"/>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78"/>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78"/>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78"/>
        </w:numPr>
        <w:pStyle w:val="Compact"/>
      </w:pPr>
      <w:r>
        <w:t xml:space="preserve">2025 · Tian J ·</w:t>
      </w:r>
      <w:r>
        <w:t xml:space="preserve"> </w:t>
      </w:r>
      <w:r>
        <w:rPr>
          <w:iCs/>
          <w:i/>
        </w:rPr>
        <w:t xml:space="preserve">Hormones (Athens)</w:t>
      </w:r>
      <w:r>
        <w:t xml:space="preserve"> </w:t>
      </w:r>
      <w:r>
        <w:t xml:space="preserve">· Comparative evaluation of dulaglutide alone vs. dulaglutide combined with probiotics on cardiovascular risk factors in T2DM. PMID 40214965</w:t>
      </w:r>
    </w:p>
    <w:p>
      <w:pPr>
        <w:numPr>
          <w:ilvl w:val="0"/>
          <w:numId w:val="1378"/>
        </w:numPr>
        <w:pStyle w:val="Compact"/>
      </w:pPr>
      <w:r>
        <w:t xml:space="preserve">2025 · Liu L ·</w:t>
      </w:r>
      <w:r>
        <w:t xml:space="preserve"> </w:t>
      </w:r>
      <w:r>
        <w:rPr>
          <w:iCs/>
          <w:i/>
        </w:rPr>
        <w:t xml:space="preserve">J Diabetes</w:t>
      </w:r>
      <w:r>
        <w:t xml:space="preserve"> </w:t>
      </w:r>
      <w:r>
        <w:t xml:space="preserve">· Efficacy and Safety of Dulaglutide Biosimilar LY05008 Versus the Reference Product Dulaglutide (Trulicity) in Chinese Adults With Type 2 Diabetes Mellitus: A Randomized, Open-Label, Active Comparator Study. PMID 40214296</w:t>
      </w:r>
    </w:p>
    <w:p>
      <w:pPr>
        <w:numPr>
          <w:ilvl w:val="0"/>
          <w:numId w:val="1378"/>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78"/>
        </w:numPr>
        <w:pStyle w:val="Compact"/>
      </w:pPr>
      <w:r>
        <w:t xml:space="preserve">2025 · Beck J ·</w:t>
      </w:r>
      <w:r>
        <w:t xml:space="preserve"> </w:t>
      </w:r>
      <w:r>
        <w:rPr>
          <w:iCs/>
          <w:i/>
        </w:rPr>
        <w:t xml:space="preserve">Eur J Prev Cardiol</w:t>
      </w:r>
      <w:r>
        <w:t xml:space="preserve"> </w:t>
      </w:r>
      <w:r>
        <w:t xml:space="preserve">· Blood pressure changes during smoking cessation in a randomized, double-blind, placebo-controlled trial of dulaglutide treatment. PMID 40037282</w:t>
      </w:r>
    </w:p>
    <w:p>
      <w:pPr>
        <w:numPr>
          <w:ilvl w:val="0"/>
          <w:numId w:val="1378"/>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78"/>
        </w:numPr>
        <w:pStyle w:val="Compact"/>
      </w:pPr>
      <w:r>
        <w:t xml:space="preserve">2025 · Liu C ·</w:t>
      </w:r>
      <w:r>
        <w:t xml:space="preserve"> </w:t>
      </w:r>
      <w:r>
        <w:rPr>
          <w:iCs/>
          <w:i/>
        </w:rPr>
        <w:t xml:space="preserve">Endocrinol Diabetes Metab</w:t>
      </w:r>
      <w:r>
        <w:t xml:space="preserve"> </w:t>
      </w:r>
      <w:r>
        <w:t xml:space="preserve">· Reduction of Hepatic Fat Content by Dulaglutide for the Treatment of Diabetes Mellitus: A Two-Centre Open, Single-Arm Trial. PMID 39718468</w:t>
      </w:r>
    </w:p>
    <w:p>
      <w:pPr>
        <w:numPr>
          <w:ilvl w:val="0"/>
          <w:numId w:val="1378"/>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8"/>
        </w:numPr>
        <w:pStyle w:val="Compact"/>
      </w:pPr>
      <w:r>
        <w:t xml:space="preserve">2024 · Lengsfeld S ·</w:t>
      </w:r>
      <w:r>
        <w:t xml:space="preserve"> </w:t>
      </w:r>
      <w:r>
        <w:rPr>
          <w:iCs/>
          <w:i/>
        </w:rPr>
        <w:t xml:space="preserve">EBioMedicine</w:t>
      </w:r>
      <w:r>
        <w:t xml:space="preserve"> </w:t>
      </w:r>
      <w:r>
        <w:t xml:space="preserve">· Effects of the glucagon-like peptide-1 receptor agonist dulaglutide on sexuality in healthy men: a randomised, double-blind, placebo-controlled crossover study. PMID 39232425</w:t>
      </w:r>
    </w:p>
    <w:p>
      <w:pPr>
        <w:numPr>
          <w:ilvl w:val="0"/>
          <w:numId w:val="1378"/>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78"/>
        </w:numPr>
        <w:pStyle w:val="Compact"/>
      </w:pPr>
      <w:r>
        <w:t xml:space="preserve">2024 · Bjornstad P ·</w:t>
      </w:r>
      <w:r>
        <w:t xml:space="preserve"> </w:t>
      </w:r>
      <w:r>
        <w:rPr>
          <w:iCs/>
          <w:i/>
        </w:rPr>
        <w:t xml:space="preserve">Diabetes Care</w:t>
      </w:r>
      <w:r>
        <w:t xml:space="preserve"> </w:t>
      </w:r>
      <w:r>
        <w:t xml:space="preserve">· Dulaglutide and Glomerular Hyperfiltration, Proteinuria, and Albuminuria in Youth With Type 2 Diabetes: Post Hoc Analysis of the AWARD-PEDS Study. PMID 38954432</w:t>
      </w:r>
    </w:p>
    <w:p>
      <w:pPr>
        <w:numPr>
          <w:ilvl w:val="0"/>
          <w:numId w:val="1378"/>
        </w:numPr>
        <w:pStyle w:val="Compact"/>
      </w:pPr>
      <w:r>
        <w:t xml:space="preserve">2024 · Morioka T ·</w:t>
      </w:r>
      <w:r>
        <w:t xml:space="preserve"> </w:t>
      </w:r>
      <w:r>
        <w:rPr>
          <w:iCs/>
          <w:i/>
        </w:rPr>
        <w:t xml:space="preserve">Diabetes Obes Metab</w:t>
      </w:r>
      <w:r>
        <w:t xml:space="preserve"> </w:t>
      </w:r>
      <w:r>
        <w:t xml:space="preserve">· A randomized, double-blind trial assessing the efficacy and safety of two doses of dulaglutide in Japanese participants with type 2 diabetes (AWARD-JPN). PMID 38715179</w:t>
      </w:r>
    </w:p>
    <w:p>
      <w:pPr>
        <w:numPr>
          <w:ilvl w:val="0"/>
          <w:numId w:val="1378"/>
        </w:numPr>
        <w:pStyle w:val="Compact"/>
      </w:pPr>
      <w:r>
        <w:t xml:space="preserve">2024 · Gao X ·</w:t>
      </w:r>
      <w:r>
        <w:t xml:space="preserve"> </w:t>
      </w:r>
      <w:r>
        <w:rPr>
          <w:iCs/>
          <w:i/>
        </w:rPr>
        <w:t xml:space="preserve">Clin Transl Sci</w:t>
      </w:r>
      <w:r>
        <w:t xml:space="preserve"> </w:t>
      </w:r>
      <w:r>
        <w:t xml:space="preserve">· A pharmacokinetic study comparing the biosimilar HEC14028 and Dulaglutide (Trulicity®) in healthy Chinese subjects. PMID 38651744</w:t>
      </w:r>
    </w:p>
    <w:p>
      <w:pPr>
        <w:numPr>
          <w:ilvl w:val="0"/>
          <w:numId w:val="1378"/>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78"/>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78"/>
        </w:numPr>
        <w:pStyle w:val="Compact"/>
      </w:pPr>
      <w:r>
        <w:t xml:space="preserve">2023 · Probst L ·</w:t>
      </w:r>
      <w:r>
        <w:t xml:space="preserve"> </w:t>
      </w:r>
      <w:r>
        <w:rPr>
          <w:iCs/>
          <w:i/>
        </w:rPr>
        <w:t xml:space="preserve">JCI Insight</w:t>
      </w:r>
      <w:r>
        <w:t xml:space="preserve"> </w:t>
      </w:r>
      <w:r>
        <w:t xml:space="preserve">· Effects of dulaglutide on alcohol consumption during smoking cessation. PMID 37991022</w:t>
      </w:r>
    </w:p>
    <w:p>
      <w:pPr>
        <w:numPr>
          <w:ilvl w:val="0"/>
          <w:numId w:val="1378"/>
        </w:numPr>
        <w:pStyle w:val="Compact"/>
      </w:pPr>
      <w:r>
        <w:t xml:space="preserve">2023 · Wang W ·</w:t>
      </w:r>
      <w:r>
        <w:t xml:space="preserve"> </w:t>
      </w:r>
      <w:r>
        <w:rPr>
          <w:iCs/>
          <w:i/>
        </w:rPr>
        <w:t xml:space="preserve">Diabetes Obes Metab</w:t>
      </w:r>
      <w:r>
        <w:t xml:space="preserve"> </w:t>
      </w:r>
      <w:r>
        <w:t xml:space="preserve">· Efficacy and safety of adding once-weekly dulaglutide to basal insulin for inadequately controlled type 2 diabetes in Chinese patients (AWARD-CHN3): A randomized, double-blind, placebo-controlled, phase III trial. PMID 37732487</w:t>
      </w:r>
    </w:p>
    <w:p>
      <w:pPr>
        <w:numPr>
          <w:ilvl w:val="0"/>
          <w:numId w:val="1378"/>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8"/>
        </w:numPr>
        <w:pStyle w:val="Compact"/>
      </w:pPr>
      <w:r>
        <w:t xml:space="preserve">2023 · Lee EY ·</w:t>
      </w:r>
      <w:r>
        <w:t xml:space="preserve"> </w:t>
      </w:r>
      <w:r>
        <w:rPr>
          <w:iCs/>
          <w:i/>
        </w:rPr>
        <w:t xml:space="preserve">Diabetes Res Clin Pract</w:t>
      </w:r>
      <w:r>
        <w:t xml:space="preserve"> </w:t>
      </w:r>
      <w:r>
        <w:t xml:space="preserve">· Glucometabolic control of once-weekly dulaglutide switched from DPP4 inhibitor versus daily empagliflozin add-on in patients with type 2 diabetes inadequately controlled with metformin, sulfonylurea, and DPP4 inhibitor: A randomised trial. PMID 37595844</w:t>
      </w:r>
    </w:p>
    <w:p>
      <w:pPr>
        <w:numPr>
          <w:ilvl w:val="0"/>
          <w:numId w:val="1378"/>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78"/>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8"/>
        </w:numPr>
        <w:pStyle w:val="Compact"/>
      </w:pPr>
      <w:r>
        <w:t xml:space="preserve">2023 · Gerstein HC ·</w:t>
      </w:r>
      <w:r>
        <w:t xml:space="preserve"> </w:t>
      </w:r>
      <w:r>
        <w:rPr>
          <w:iCs/>
          <w:i/>
        </w:rPr>
        <w:t xml:space="preserve">Diabetes Care</w:t>
      </w:r>
      <w:r>
        <w:t xml:space="preserve"> </w:t>
      </w:r>
      <w:r>
        <w:t xml:space="preserve">· Biomarker Changes Associated With Both Dulaglutide and Cardiovascular Events in the REWIND Randomized Controlled Trial: A Nested Case-Control Post Hoc Analysis. PMID 36897834</w:t>
      </w:r>
    </w:p>
    <w:p>
      <w:pPr>
        <w:numPr>
          <w:ilvl w:val="0"/>
          <w:numId w:val="1378"/>
        </w:numPr>
        <w:pStyle w:val="Compact"/>
      </w:pPr>
      <w:r>
        <w:t xml:space="preserve">2023 · Zhang Q ·</w:t>
      </w:r>
      <w:r>
        <w:t xml:space="preserve"> </w:t>
      </w:r>
      <w:r>
        <w:rPr>
          <w:iCs/>
          <w:i/>
        </w:rPr>
        <w:t xml:space="preserve">Expert Opin Biol Ther</w:t>
      </w:r>
      <w:r>
        <w:t xml:space="preserve"> </w:t>
      </w:r>
      <w:r>
        <w:t xml:space="preserve">· Pharmacokinetic similarity study comparing the biosimilar candidate, LY05008, with its reference product dulaglutide in healthy Chinese male subjects. PMID 36880118</w:t>
      </w:r>
    </w:p>
    <w:p>
      <w:pPr>
        <w:numPr>
          <w:ilvl w:val="0"/>
          <w:numId w:val="1378"/>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8"/>
        </w:numPr>
        <w:pStyle w:val="Compact"/>
      </w:pPr>
      <w:r>
        <w:t xml:space="preserve">2023 · Thivolet C ·</w:t>
      </w:r>
      <w:r>
        <w:t xml:space="preserve"> </w:t>
      </w:r>
      <w:r>
        <w:rPr>
          <w:iCs/>
          <w:i/>
        </w:rPr>
        <w:t xml:space="preserve">Diabetes Metab</w:t>
      </w:r>
      <w:r>
        <w:t xml:space="preserve"> </w:t>
      </w:r>
      <w:r>
        <w:t xml:space="preserve">· Dulaglutide and insulin microsecretion in people with type 1 diabetes (DIAMOND-GLP-1): A randomized double-blind placebo-controlled trial. PMID 36781064</w:t>
      </w:r>
    </w:p>
    <w:p>
      <w:pPr>
        <w:numPr>
          <w:ilvl w:val="0"/>
          <w:numId w:val="1378"/>
        </w:numPr>
        <w:pStyle w:val="Compact"/>
      </w:pPr>
      <w:r>
        <w:t xml:space="preserve">2023 · Zhang Y ·</w:t>
      </w:r>
      <w:r>
        <w:t xml:space="preserve"> </w:t>
      </w:r>
      <w:r>
        <w:rPr>
          <w:iCs/>
          <w:i/>
        </w:rPr>
        <w:t xml:space="preserve">Nutrients</w:t>
      </w:r>
      <w:r>
        <w:t xml:space="preserve"> </w:t>
      </w:r>
      <w:r>
        <w:t xml:space="preserve">· Effects of a Dulaglutide plus Calorie-Restricted Diet versus a Calorie-Restricted Diet on Visceral Fat and Metabolic Profiles in Women with Polycystic Ovary Syndrome: A Randomized Controlled Trial. PMID 36771262</w:t>
      </w:r>
    </w:p>
    <w:p>
      <w:pPr>
        <w:numPr>
          <w:ilvl w:val="0"/>
          <w:numId w:val="1378"/>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8"/>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8"/>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78"/>
        </w:numPr>
        <w:pStyle w:val="Compact"/>
      </w:pPr>
      <w:r>
        <w:t xml:space="preserve">2022 · Urva S ·</w:t>
      </w:r>
      <w:r>
        <w:t xml:space="preserve"> </w:t>
      </w:r>
      <w:r>
        <w:rPr>
          <w:iCs/>
          <w:i/>
        </w:rPr>
        <w:t xml:space="preserve">Lancet</w:t>
      </w:r>
      <w:r>
        <w:t xml:space="preserve"> </w:t>
      </w:r>
      <w:r>
        <w:t xml:space="preserve">· LY3437943, a novel triple GIP, GLP-1, and glucagon receptor agonist in people with type 2 diabetes: a phase 1b, multicentre, double-blind, placebo-controlled, randomised, multiple-ascending dose trial. PMID 36354040</w:t>
      </w:r>
    </w:p>
    <w:p>
      <w:pPr>
        <w:numPr>
          <w:ilvl w:val="0"/>
          <w:numId w:val="1378"/>
        </w:numPr>
        <w:pStyle w:val="Compact"/>
      </w:pPr>
      <w:r>
        <w:t xml:space="preserve">2022 · Branch KRH ·</w:t>
      </w:r>
      <w:r>
        <w:t xml:space="preserve"> </w:t>
      </w:r>
      <w:r>
        <w:rPr>
          <w:iCs/>
          <w:i/>
        </w:rPr>
        <w:t xml:space="preserve">Eur J Heart Fail</w:t>
      </w:r>
      <w:r>
        <w:t xml:space="preserve"> </w:t>
      </w:r>
      <w:r>
        <w:t xml:space="preserve">· Dulaglutide and cardiovascular and heart failure outcomes in patients with and without heart failure: a post-hoc analysis from the REWIND randomized trial. PMID 36073143</w:t>
      </w:r>
    </w:p>
    <w:p>
      <w:pPr>
        <w:numPr>
          <w:ilvl w:val="0"/>
          <w:numId w:val="1378"/>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8"/>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78"/>
        </w:numPr>
        <w:pStyle w:val="Compact"/>
      </w:pPr>
      <w:r>
        <w:t xml:space="preserve">2022 · Jiang H ·</w:t>
      </w:r>
      <w:r>
        <w:t xml:space="preserve"> </w:t>
      </w:r>
      <w:r>
        <w:rPr>
          <w:iCs/>
          <w:i/>
        </w:rPr>
        <w:t xml:space="preserve">Nat Commun</w:t>
      </w:r>
      <w:r>
        <w:t xml:space="preserve"> </w:t>
      </w:r>
      <w:r>
        <w:t xml:space="preserve">· A phase 1b randomised controlled trial of a glucagon-like peptide-1 and glucagon receptor dual agonist IBI362 (LY3305677) in Chinese patients with type 2 diabetes. PMID 35750681</w:t>
      </w:r>
    </w:p>
    <w:p>
      <w:pPr>
        <w:numPr>
          <w:ilvl w:val="0"/>
          <w:numId w:val="1378"/>
        </w:numPr>
        <w:pStyle w:val="Compact"/>
      </w:pPr>
      <w:r>
        <w:t xml:space="preserve">2022 · Arslanian SA ·</w:t>
      </w:r>
      <w:r>
        <w:t xml:space="preserve"> </w:t>
      </w:r>
      <w:r>
        <w:rPr>
          <w:iCs/>
          <w:i/>
        </w:rPr>
        <w:t xml:space="preserve">N Engl J Med</w:t>
      </w:r>
      <w:r>
        <w:t xml:space="preserve"> </w:t>
      </w:r>
      <w:r>
        <w:t xml:space="preserve">· Once-Weekly Dulaglutide for the Treatment of Youths with Type 2 Diabetes. PMID 35658022</w:t>
      </w:r>
    </w:p>
    <w:p>
      <w:pPr>
        <w:numPr>
          <w:ilvl w:val="0"/>
          <w:numId w:val="1378"/>
        </w:numPr>
        <w:pStyle w:val="Compact"/>
      </w:pPr>
      <w:r>
        <w:t xml:space="preserve">2022 · Cox DA ·</w:t>
      </w:r>
      <w:r>
        <w:t xml:space="preserve"> </w:t>
      </w:r>
      <w:r>
        <w:rPr>
          <w:iCs/>
          <w:i/>
        </w:rPr>
        <w:t xml:space="preserve">Diabetes Obes Metab</w:t>
      </w:r>
      <w:r>
        <w:t xml:space="preserve"> </w:t>
      </w:r>
      <w:r>
        <w:t xml:space="preserve">· Effect of expanded dulaglutide weekly doses (3.0 mg and 4.5 mg) on cardiovascular disease risk factors in participants with type 2 diabetes at increased cardiovascular disease risk: a post hoc analysis of the AWARD-11 study. PMID 35546790</w:t>
      </w:r>
    </w:p>
    <w:p>
      <w:pPr>
        <w:numPr>
          <w:ilvl w:val="0"/>
          <w:numId w:val="1378"/>
        </w:numPr>
        <w:pStyle w:val="Compact"/>
      </w:pPr>
      <w:r>
        <w:t xml:space="preserve">2022 · Vukajlovic T ·</w:t>
      </w:r>
      <w:r>
        <w:t xml:space="preserve"> </w:t>
      </w:r>
      <w:r>
        <w:rPr>
          <w:iCs/>
          <w:i/>
        </w:rPr>
        <w:t xml:space="preserve">J Clin Endocrinol Metab</w:t>
      </w:r>
      <w:r>
        <w:t xml:space="preserve"> </w:t>
      </w:r>
      <w:r>
        <w:t xml:space="preserve">· Effect of a 3-Week Treatment with GLP-1 Receptor Agonists on Vasoactive Hormones in Euvolemic Participants. PMID 35134170</w:t>
      </w:r>
    </w:p>
    <w:p>
      <w:pPr>
        <w:numPr>
          <w:ilvl w:val="0"/>
          <w:numId w:val="1378"/>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8"/>
        </w:numPr>
        <w:pStyle w:val="Compact"/>
      </w:pPr>
      <w:r>
        <w:t xml:space="preserve">2022 · Kwan AYM ·</w:t>
      </w:r>
      <w:r>
        <w:t xml:space="preserve"> </w:t>
      </w:r>
      <w:r>
        <w:rPr>
          <w:iCs/>
          <w:i/>
        </w:rPr>
        <w:t xml:space="preserve">Diabetes Care</w:t>
      </w:r>
      <w:r>
        <w:t xml:space="preserve"> </w:t>
      </w:r>
      <w:r>
        <w:t xml:space="preserve">· HbA1c Reduction in Dulaglutide-Treated Patients Irrespective of Duration of Diabetes, Microvascular Disease, and BMI: A Post Hoc Analysis From the REWIND Trial. PMID 35043140</w:t>
      </w:r>
    </w:p>
    <w:p>
      <w:pPr>
        <w:numPr>
          <w:ilvl w:val="0"/>
          <w:numId w:val="1378"/>
        </w:numPr>
        <w:pStyle w:val="Compact"/>
      </w:pPr>
      <w:r>
        <w:t xml:space="preserve">2022 · Raubenheimer PJ ·</w:t>
      </w:r>
      <w:r>
        <w:t xml:space="preserve"> </w:t>
      </w:r>
      <w:r>
        <w:rPr>
          <w:iCs/>
          <w:i/>
        </w:rPr>
        <w:t xml:space="preserve">Diabetes Obes Metab</w:t>
      </w:r>
      <w:r>
        <w:t xml:space="preserve"> </w:t>
      </w:r>
      <w:r>
        <w:t xml:space="preserve">· Dulaglutide and incident atrial fibrillation or flutter in patients with type 2 diabetes: A post hoc analysis from the REWIND randomized trial. PMID 34984808</w:t>
      </w:r>
    </w:p>
    <w:p>
      <w:pPr>
        <w:numPr>
          <w:ilvl w:val="0"/>
          <w:numId w:val="1378"/>
        </w:numPr>
        <w:pStyle w:val="Compact"/>
      </w:pPr>
      <w:r>
        <w:t xml:space="preserve">2022 · Xu J ·</w:t>
      </w:r>
      <w:r>
        <w:t xml:space="preserve"> </w:t>
      </w:r>
      <w:r>
        <w:rPr>
          <w:iCs/>
          <w:i/>
        </w:rPr>
        <w:t xml:space="preserve">Adv Ther</w:t>
      </w:r>
      <w:r>
        <w:t xml:space="preserve"> </w:t>
      </w:r>
      <w:r>
        <w:t xml:space="preserve">· Pharmacokinetics, Pharmacodynamics, and Safety of Dulaglutide After Single or Multiple Doses in Chinese Healthy Subjects and Patients with T2DM: A Randomized, Placebo-Controlled, Phase I Study. PMID 34787823</w:t>
      </w:r>
    </w:p>
    <w:p>
      <w:pPr>
        <w:numPr>
          <w:ilvl w:val="0"/>
          <w:numId w:val="1378"/>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8"/>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78"/>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78"/>
        </w:numPr>
        <w:pStyle w:val="Compact"/>
      </w:pPr>
      <w:r>
        <w:t xml:space="preserve">2021 · Tuttle KR ·</w:t>
      </w:r>
      <w:r>
        <w:t xml:space="preserve"> </w:t>
      </w:r>
      <w:r>
        <w:rPr>
          <w:iCs/>
          <w:i/>
        </w:rPr>
        <w:t xml:space="preserve">Kidney360</w:t>
      </w:r>
      <w:r>
        <w:t xml:space="preserve"> </w:t>
      </w:r>
      <w:r>
        <w:t xml:space="preserve">· Clinical Outcomes by Albuminuria Status with Dulaglutide versus Insulin Glargine in Participants with Diabetes and CKD: AWARD-7 Exploratory Analysis. PMID 35373017</w:t>
      </w:r>
    </w:p>
    <w:p>
      <w:pPr>
        <w:numPr>
          <w:ilvl w:val="0"/>
          <w:numId w:val="1378"/>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8"/>
        </w:numPr>
        <w:pStyle w:val="Compact"/>
      </w:pPr>
      <w:r>
        <w:t xml:space="preserve">2021 · Konig M ·</w:t>
      </w:r>
      <w:r>
        <w:t xml:space="preserve"> </w:t>
      </w:r>
      <w:r>
        <w:rPr>
          <w:iCs/>
          <w:i/>
        </w:rPr>
        <w:t xml:space="preserve">Cardiovasc Diabetol</w:t>
      </w:r>
      <w:r>
        <w:t xml:space="preserve"> </w:t>
      </w:r>
      <w:r>
        <w:t xml:space="preserve">· Exploring potential mediators of the cardiovascular benefit of dulaglutide in type 2 diabetes patients in REWIND. PMID 34563178</w:t>
      </w:r>
    </w:p>
    <w:p>
      <w:pPr>
        <w:numPr>
          <w:ilvl w:val="0"/>
          <w:numId w:val="1378"/>
        </w:numPr>
        <w:pStyle w:val="Compact"/>
      </w:pPr>
      <w:r>
        <w:t xml:space="preserve">2021 · Winzeler B ·</w:t>
      </w:r>
      <w:r>
        <w:t xml:space="preserve"> </w:t>
      </w:r>
      <w:r>
        <w:rPr>
          <w:iCs/>
          <w:i/>
        </w:rPr>
        <w:t xml:space="preserve">J Clin Invest</w:t>
      </w:r>
      <w:r>
        <w:t xml:space="preserve"> </w:t>
      </w:r>
      <w:r>
        <w:t xml:space="preserve">· A randomized controlled trial of the GLP-1 receptor agonist dulaglutide in primary polydipsia. PMID 34473645</w:t>
      </w:r>
    </w:p>
    <w:p>
      <w:pPr>
        <w:numPr>
          <w:ilvl w:val="0"/>
          <w:numId w:val="1378"/>
        </w:numPr>
        <w:pStyle w:val="Compact"/>
      </w:pPr>
      <w:r>
        <w:t xml:space="preserve">2021 · Frias JP ·</w:t>
      </w:r>
      <w:r>
        <w:t xml:space="preserve"> </w:t>
      </w:r>
      <w:r>
        <w:rPr>
          <w:iCs/>
          <w:i/>
        </w:rPr>
        <w:t xml:space="preserve">Diabetes Obes Metab</w:t>
      </w:r>
      <w:r>
        <w:t xml:space="preserve"> </w:t>
      </w:r>
      <w:r>
        <w:t xml:space="preserve">· Glycaemic efficacy of an expanded dose range of dulaglutide according to baseline glycated haemoglobin (HbA1c) subgroup: Post hoc analysis of AWARD-11. PMID 34463420</w:t>
      </w:r>
    </w:p>
    <w:p>
      <w:pPr>
        <w:numPr>
          <w:ilvl w:val="0"/>
          <w:numId w:val="1378"/>
        </w:numPr>
        <w:pStyle w:val="Compact"/>
      </w:pPr>
      <w:r>
        <w:t xml:space="preserve">2021 · Bonora E ·</w:t>
      </w:r>
      <w:r>
        <w:t xml:space="preserve"> </w:t>
      </w:r>
      <w:r>
        <w:rPr>
          <w:iCs/>
          <w:i/>
        </w:rPr>
        <w:t xml:space="preserve">Diabetes Obes Metab</w:t>
      </w:r>
      <w:r>
        <w:t xml:space="preserve"> </w:t>
      </w:r>
      <w:r>
        <w:t xml:space="preserve">· Effect of dulaglutide 3.0 and 4.5 mg on weight in patients with type 2 diabetes: Exploratory analyses of AWARD-11. PMID 34189841</w:t>
      </w:r>
    </w:p>
    <w:p>
      <w:pPr>
        <w:numPr>
          <w:ilvl w:val="0"/>
          <w:numId w:val="1378"/>
        </w:numPr>
        <w:pStyle w:val="Compact"/>
      </w:pPr>
      <w:r>
        <w:t xml:space="preserve">2021 · Frias JP ·</w:t>
      </w:r>
      <w:r>
        <w:t xml:space="preserve"> </w:t>
      </w:r>
      <w:r>
        <w:rPr>
          <w:iCs/>
          <w:i/>
        </w:rPr>
        <w:t xml:space="preserve">Diabetes Obes Metab</w:t>
      </w:r>
      <w:r>
        <w:t xml:space="preserve"> </w:t>
      </w:r>
      <w:r>
        <w:t xml:space="preserve">· Efficacy and safety of dulaglutide 3.0 and 4.5 mg in patients aged younger than 65 and 65 years or older: Post hoc analysis of the AWARD-11 trial. PMID 34159708</w:t>
      </w:r>
    </w:p>
    <w:p>
      <w:pPr>
        <w:numPr>
          <w:ilvl w:val="0"/>
          <w:numId w:val="1378"/>
        </w:numPr>
        <w:pStyle w:val="Compact"/>
      </w:pPr>
      <w:r>
        <w:t xml:space="preserve">2021 · Bajaj HS ·</w:t>
      </w:r>
      <w:r>
        <w:t xml:space="preserve"> </w:t>
      </w:r>
      <w:r>
        <w:rPr>
          <w:iCs/>
          <w:i/>
        </w:rPr>
        <w:t xml:space="preserve">Lancet Diabetes Endocrinol</w:t>
      </w:r>
      <w:r>
        <w:t xml:space="preserve"> </w:t>
      </w:r>
      <w:r>
        <w:t xml:space="preserve">· Erectile function in men with type 2 diabetes treated with dulaglutide: an exploratory analysis of the REWIND placebo-controlled randomised trial. PMID 34153269</w:t>
      </w:r>
    </w:p>
    <w:p>
      <w:pPr>
        <w:numPr>
          <w:ilvl w:val="0"/>
          <w:numId w:val="1378"/>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8"/>
        </w:numPr>
        <w:pStyle w:val="Compact"/>
      </w:pPr>
      <w:r>
        <w:t xml:space="preserve">2021 · Riddle MC ·</w:t>
      </w:r>
      <w:r>
        <w:t xml:space="preserve"> </w:t>
      </w:r>
      <w:r>
        <w:rPr>
          <w:iCs/>
          <w:i/>
        </w:rPr>
        <w:t xml:space="preserve">J Clin Endocrinol Metab</w:t>
      </w:r>
      <w:r>
        <w:t xml:space="preserve"> </w:t>
      </w:r>
      <w:r>
        <w:t xml:space="preserve">· Efficacy and Safety of Dulaglutide in Older Patients: A post hoc Analysis of the REWIND trial. PMID 33537745</w:t>
      </w:r>
    </w:p>
    <w:p>
      <w:pPr>
        <w:numPr>
          <w:ilvl w:val="0"/>
          <w:numId w:val="1378"/>
        </w:numPr>
        <w:pStyle w:val="Compact"/>
      </w:pPr>
      <w:r>
        <w:t xml:space="preserve">2021 · Frias JP ·</w:t>
      </w:r>
      <w:r>
        <w:t xml:space="preserve"> </w:t>
      </w:r>
      <w:r>
        <w:rPr>
          <w:iCs/>
          <w:i/>
        </w:rPr>
        <w:t xml:space="preserve">Diabetes Care</w:t>
      </w:r>
      <w:r>
        <w:t xml:space="preserve"> </w:t>
      </w:r>
      <w:r>
        <w:t xml:space="preserve">· Efficacy and Safety of Dulaglutide 3.0 mg and 4.5 mg Versus Dulaglutide 1.5 mg in Metformin-Treated Patients With Type 2 Diabetes in a Randomized Controlled Trial (AWARD-11). PMID 33397768</w:t>
      </w:r>
    </w:p>
    <w:p>
      <w:pPr>
        <w:numPr>
          <w:ilvl w:val="0"/>
          <w:numId w:val="1378"/>
        </w:numPr>
        <w:pStyle w:val="Compact"/>
      </w:pPr>
      <w:r>
        <w:t xml:space="preserve">2021 · Tuttolomondo A ·</w:t>
      </w:r>
      <w:r>
        <w:t xml:space="preserve"> </w:t>
      </w:r>
      <w:r>
        <w:rPr>
          <w:iCs/>
          <w:i/>
        </w:rPr>
        <w:t xml:space="preserve">Cardiovasc Diabetol</w:t>
      </w:r>
      <w:r>
        <w:t xml:space="preserve"> </w:t>
      </w:r>
      <w:r>
        <w:t xml:space="preserve">· Efficacy of dulaglutide on vascular health indexes in subjects with type 2 diabetes: a randomized trial. PMID 33397395</w:t>
      </w:r>
    </w:p>
    <w:p>
      <w:pPr>
        <w:numPr>
          <w:ilvl w:val="0"/>
          <w:numId w:val="1378"/>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78"/>
        </w:numPr>
        <w:pStyle w:val="Compact"/>
      </w:pPr>
      <w:r>
        <w:t xml:space="preserve">2021 · Ferrannini G ·</w:t>
      </w:r>
      <w:r>
        <w:t xml:space="preserve"> </w:t>
      </w:r>
      <w:r>
        <w:rPr>
          <w:iCs/>
          <w:i/>
        </w:rPr>
        <w:t xml:space="preserve">Eur Heart J</w:t>
      </w:r>
      <w:r>
        <w:t xml:space="preserve"> </w:t>
      </w:r>
      <w:r>
        <w:t xml:space="preserve">· Similar cardiovascular outcomes in patients with diabetes and established or high risk for coronary vascular disease treated with dulaglutide with and without baseline metformin. PMID 33197271</w:t>
      </w:r>
    </w:p>
    <w:p>
      <w:pPr>
        <w:numPr>
          <w:ilvl w:val="0"/>
          <w:numId w:val="1378"/>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78"/>
        </w:numPr>
        <w:pStyle w:val="Compact"/>
      </w:pPr>
      <w:r>
        <w:t xml:space="preserve">2020 · Dagenais GR ·</w:t>
      </w:r>
      <w:r>
        <w:t xml:space="preserve"> </w:t>
      </w:r>
      <w:r>
        <w:rPr>
          <w:iCs/>
          <w:i/>
        </w:rPr>
        <w:t xml:space="preserve">Cardiovasc Diabetol</w:t>
      </w:r>
      <w:r>
        <w:t xml:space="preserve"> </w:t>
      </w:r>
      <w:r>
        <w:t xml:space="preserve">· Total cardiovascular or fatal events in people with type 2 diabetes and cardiovascular risk factors treated with dulaglutide in the REWIND trail: a post hoc analysis. PMID 33239067</w:t>
      </w:r>
    </w:p>
    <w:p>
      <w:pPr>
        <w:numPr>
          <w:ilvl w:val="0"/>
          <w:numId w:val="1378"/>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8"/>
        </w:numPr>
        <w:pStyle w:val="Compact"/>
      </w:pPr>
      <w:r>
        <w:t xml:space="preserve">2020 · Winzeler B ·</w:t>
      </w:r>
      <w:r>
        <w:t xml:space="preserve"> </w:t>
      </w:r>
      <w:r>
        <w:rPr>
          <w:iCs/>
          <w:i/>
        </w:rPr>
        <w:t xml:space="preserve">Endocrine</w:t>
      </w:r>
      <w:r>
        <w:t xml:space="preserve"> </w:t>
      </w:r>
      <w:r>
        <w:t xml:space="preserve">· Effects of glucagon-like peptide-1 receptor agonists on fluid intake in healthy volunteers. PMID 32623637</w:t>
      </w:r>
    </w:p>
    <w:p>
      <w:pPr>
        <w:numPr>
          <w:ilvl w:val="0"/>
          <w:numId w:val="1378"/>
        </w:numPr>
        <w:pStyle w:val="Compact"/>
      </w:pPr>
      <w:r>
        <w:t xml:space="preserve">2020 · Cukierman-Yaffe T ·</w:t>
      </w:r>
      <w:r>
        <w:t xml:space="preserve"> </w:t>
      </w:r>
      <w:r>
        <w:rPr>
          <w:iCs/>
          <w:i/>
        </w:rPr>
        <w:t xml:space="preserve">Lancet Neurol</w:t>
      </w:r>
      <w:r>
        <w:t xml:space="preserve"> </w:t>
      </w:r>
      <w:r>
        <w:t xml:space="preserve">· Effect of dulaglutide on cognitive impairment in type 2 diabetes: an exploratory analysis of the REWIND trial. PMID 32562683</w:t>
      </w:r>
    </w:p>
    <w:p>
      <w:pPr>
        <w:numPr>
          <w:ilvl w:val="0"/>
          <w:numId w:val="1378"/>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8"/>
        </w:numPr>
        <w:pStyle w:val="Compact"/>
      </w:pPr>
      <w:r>
        <w:t xml:space="preserve">2020 · An IB ·</w:t>
      </w:r>
      <w:r>
        <w:t xml:space="preserve"> </w:t>
      </w:r>
      <w:r>
        <w:rPr>
          <w:iCs/>
          <w:i/>
        </w:rPr>
        <w:t xml:space="preserve">Diabetes Obes Metab</w:t>
      </w:r>
      <w:r>
        <w:t xml:space="preserve"> </w:t>
      </w:r>
      <w:r>
        <w:t xml:space="preserve">· A glycosylated Fc-fused glucagon-like peptide-1 receptor agonist exhibits equivalent glucose lowering to but fewer gastrointestinal side effects than dulaglutide. PMID 32314505</w:t>
      </w:r>
    </w:p>
    <w:p>
      <w:pPr>
        <w:numPr>
          <w:ilvl w:val="0"/>
          <w:numId w:val="1378"/>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78"/>
        </w:numPr>
        <w:pStyle w:val="Compact"/>
      </w:pPr>
      <w:r>
        <w:t xml:space="preserve">2020 · Romera I ·</w:t>
      </w:r>
      <w:r>
        <w:t xml:space="preserve"> </w:t>
      </w:r>
      <w:r>
        <w:rPr>
          <w:iCs/>
          <w:i/>
        </w:rPr>
        <w:t xml:space="preserve">J Diabetes Complications</w:t>
      </w:r>
      <w:r>
        <w:t xml:space="preserve"> </w:t>
      </w:r>
      <w:r>
        <w:t xml:space="preserve">· Once-weekly dulaglutide versus insulin glargine in the early control of fasting serum glucose and HbA1c. PMID 32220551</w:t>
      </w:r>
    </w:p>
    <w:p>
      <w:pPr>
        <w:numPr>
          <w:ilvl w:val="0"/>
          <w:numId w:val="1378"/>
        </w:numPr>
        <w:pStyle w:val="Compact"/>
      </w:pPr>
      <w:r>
        <w:t xml:space="preserve">2020 · Asakura T ·</w:t>
      </w:r>
      <w:r>
        <w:t xml:space="preserve"> </w:t>
      </w:r>
      <w:r>
        <w:rPr>
          <w:iCs/>
          <w:i/>
        </w:rPr>
        <w:t xml:space="preserve">Curr Med Res Opin</w:t>
      </w:r>
      <w:r>
        <w:t xml:space="preserve"> </w:t>
      </w:r>
      <w:r>
        <w:t xml:space="preserve">· Comparative study of dulaglutide single-use pen Ateos versus insulin degludec FlexTouch on learning and mock administration time in Japanese patients with type 2 diabetes mellitus - a post-hoc analysis. PMID 32141343</w:t>
      </w:r>
    </w:p>
    <w:p>
      <w:pPr>
        <w:numPr>
          <w:ilvl w:val="0"/>
          <w:numId w:val="1378"/>
        </w:numPr>
        <w:pStyle w:val="Compact"/>
      </w:pPr>
      <w:r>
        <w:t xml:space="preserve">2020 · Gerstein HC ·</w:t>
      </w:r>
      <w:r>
        <w:t xml:space="preserve"> </w:t>
      </w:r>
      <w:r>
        <w:rPr>
          <w:iCs/>
          <w:i/>
        </w:rPr>
        <w:t xml:space="preserve">Lancet Diabetes Endocrinol</w:t>
      </w:r>
      <w:r>
        <w:t xml:space="preserve"> </w:t>
      </w:r>
      <w:r>
        <w:t xml:space="preserve">· The effect of dulaglutide on stroke: an exploratory analysis of the REWIND trial. PMID 31924562</w:t>
      </w:r>
    </w:p>
    <w:p>
      <w:pPr>
        <w:numPr>
          <w:ilvl w:val="0"/>
          <w:numId w:val="1378"/>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8"/>
        </w:numPr>
        <w:pStyle w:val="Compact"/>
      </w:pPr>
      <w:r>
        <w:t xml:space="preserve">2020 · Xiao X ·</w:t>
      </w:r>
      <w:r>
        <w:t xml:space="preserve"> </w:t>
      </w:r>
      <w:r>
        <w:rPr>
          <w:iCs/>
          <w:i/>
        </w:rPr>
        <w:t xml:space="preserve">J Diabetes Investig</w:t>
      </w:r>
      <w:r>
        <w:t xml:space="preserve"> </w:t>
      </w:r>
      <w:r>
        <w:t xml:space="preserve">· Achieving the composite end-point of glycated hemoglobin &lt;7.0% without weight gain or hypoglycemia with once-weekly dulaglutide in Chinese patients with type 2 diabetes: A post-hoc analysis. PMID 31758850</w:t>
      </w:r>
    </w:p>
    <w:p>
      <w:pPr>
        <w:numPr>
          <w:ilvl w:val="0"/>
          <w:numId w:val="1378"/>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8"/>
        </w:numPr>
        <w:pStyle w:val="Compact"/>
      </w:pPr>
      <w:r>
        <w:t xml:space="preserve">2020 · Fushimi N ·</w:t>
      </w:r>
      <w:r>
        <w:t xml:space="preserve"> </w:t>
      </w:r>
      <w:r>
        <w:rPr>
          <w:iCs/>
          <w:i/>
        </w:rPr>
        <w:t xml:space="preserve">J Diabetes Investig</w:t>
      </w:r>
      <w:r>
        <w:t xml:space="preserve"> </w:t>
      </w:r>
      <w:r>
        <w:t xml:space="preserve">· Dulaglutide-combined basal plus correction insulin therapy contributes to ideal glycemic control in non-critical hospitalized patients. PMID 31168938</w:t>
      </w:r>
    </w:p>
    <w:p>
      <w:pPr>
        <w:numPr>
          <w:ilvl w:val="0"/>
          <w:numId w:val="1378"/>
        </w:numPr>
        <w:pStyle w:val="Compact"/>
      </w:pPr>
      <w:r>
        <w:t xml:space="preserve">2020 · Shi LX ·</w:t>
      </w:r>
      <w:r>
        <w:t xml:space="preserve"> </w:t>
      </w:r>
      <w:r>
        <w:rPr>
          <w:iCs/>
          <w:i/>
        </w:rPr>
        <w:t xml:space="preserve">J Diabetes Investig</w:t>
      </w:r>
      <w:r>
        <w:t xml:space="preserve"> </w:t>
      </w:r>
      <w:r>
        <w:t xml:space="preserve">· Efficacy and safety of dulaglutide monotherapy compared with glimepiride in Chinese patients with type 2 diabetes: Post-hoc analyses of a randomized, double-blind, phase III study. PMID 31102326</w:t>
      </w:r>
    </w:p>
    <w:p>
      <w:pPr>
        <w:numPr>
          <w:ilvl w:val="0"/>
          <w:numId w:val="1378"/>
        </w:numPr>
        <w:pStyle w:val="Compact"/>
      </w:pPr>
      <w:r>
        <w:t xml:space="preserve">2019 · Wang J ·</w:t>
      </w:r>
      <w:r>
        <w:t xml:space="preserve"> </w:t>
      </w:r>
      <w:r>
        <w:rPr>
          <w:iCs/>
          <w:i/>
        </w:rPr>
        <w:t xml:space="preserve">Biomed Res Int</w:t>
      </w:r>
      <w:r>
        <w:t xml:space="preserve"> </w:t>
      </w:r>
      <w:r>
        <w:t xml:space="preserve">· The Effects of Once-Weekly Dulaglutide and Insulin Glargine on Glucose Fluctuation in Poorly Oral-Antidiabetic Controlled Patients with Type 2 Diabetes Mellitus. PMID 31950036</w:t>
      </w:r>
    </w:p>
    <w:p>
      <w:pPr>
        <w:numPr>
          <w:ilvl w:val="0"/>
          <w:numId w:val="1378"/>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8"/>
        </w:numPr>
        <w:pStyle w:val="Compact"/>
      </w:pPr>
      <w:r>
        <w:t xml:space="preserve">2019 · Kutoh E ·</w:t>
      </w:r>
      <w:r>
        <w:t xml:space="preserve"> </w:t>
      </w:r>
      <w:r>
        <w:rPr>
          <w:iCs/>
          <w:i/>
        </w:rPr>
        <w:t xml:space="preserve">Endocr Regul</w:t>
      </w:r>
      <w:r>
        <w:t xml:space="preserve"> </w:t>
      </w:r>
      <w:r>
        <w:t xml:space="preserve">· Efficacy and safety of dulaglutide in patients with absolute insulin deficiency. PMID 31517629</w:t>
      </w:r>
    </w:p>
    <w:p>
      <w:pPr>
        <w:numPr>
          <w:ilvl w:val="0"/>
          <w:numId w:val="1378"/>
        </w:numPr>
        <w:pStyle w:val="Compact"/>
      </w:pPr>
      <w:r>
        <w:t xml:space="preserve">2019 · Gentilella R ·</w:t>
      </w:r>
      <w:r>
        <w:t xml:space="preserve"> </w:t>
      </w:r>
      <w:r>
        <w:rPr>
          <w:iCs/>
          <w:i/>
        </w:rPr>
        <w:t xml:space="preserve">Diabetes Obes Metab</w:t>
      </w:r>
      <w:r>
        <w:t xml:space="preserve"> </w:t>
      </w:r>
      <w:r>
        <w:t xml:space="preserve">· Dulaglutide is an effective treatment for lowering HbA1c in patients with type 2 diabetes regardless of body mass index. PMID 31392822</w:t>
      </w:r>
    </w:p>
    <w:p>
      <w:pPr>
        <w:numPr>
          <w:ilvl w:val="0"/>
          <w:numId w:val="1378"/>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8"/>
        </w:numPr>
        <w:pStyle w:val="Compact"/>
      </w:pPr>
      <w:r>
        <w:t xml:space="preserve">2019 · Gerstein HC ·</w:t>
      </w:r>
      <w:r>
        <w:t xml:space="preserve"> </w:t>
      </w:r>
      <w:r>
        <w:rPr>
          <w:iCs/>
          <w:i/>
        </w:rPr>
        <w:t xml:space="preserve">Lancet</w:t>
      </w:r>
      <w:r>
        <w:t xml:space="preserve"> </w:t>
      </w:r>
      <w:r>
        <w:t xml:space="preserve">· Dulaglutide and cardiovascular outcomes in type 2 diabetes (REWIND): a double-blind, randomised placebo-controlled trial. PMID 31189511</w:t>
      </w:r>
    </w:p>
    <w:p>
      <w:pPr>
        <w:numPr>
          <w:ilvl w:val="0"/>
          <w:numId w:val="1378"/>
        </w:numPr>
        <w:pStyle w:val="Compact"/>
      </w:pPr>
      <w:r>
        <w:t xml:space="preserve">2019 · Gerstein HC ·</w:t>
      </w:r>
      <w:r>
        <w:t xml:space="preserve"> </w:t>
      </w:r>
      <w:r>
        <w:rPr>
          <w:iCs/>
          <w:i/>
        </w:rPr>
        <w:t xml:space="preserve">Lancet</w:t>
      </w:r>
      <w:r>
        <w:t xml:space="preserve"> </w:t>
      </w:r>
      <w:r>
        <w:t xml:space="preserve">· Dulaglutide and renal outcomes in type 2 diabetes: an exploratory analysis of the REWIND randomised, placebo-controlled trial. PMID 31189509</w:t>
      </w:r>
    </w:p>
    <w:p>
      <w:pPr>
        <w:numPr>
          <w:ilvl w:val="0"/>
          <w:numId w:val="1378"/>
        </w:numPr>
        <w:pStyle w:val="Compact"/>
      </w:pPr>
      <w:r>
        <w:t xml:space="preserve">2019 · Li H ·</w:t>
      </w:r>
      <w:r>
        <w:t xml:space="preserve"> </w:t>
      </w:r>
      <w:r>
        <w:rPr>
          <w:iCs/>
          <w:i/>
        </w:rPr>
        <w:t xml:space="preserve">J Diabetes Res</w:t>
      </w:r>
      <w:r>
        <w:t xml:space="preserve"> </w:t>
      </w:r>
      <w:r>
        <w:t xml:space="preserve">· A Randomized Study to Compare the Effects of Once-Weekly Dulaglutide Injection and Once-Daily Glimepiride on Glucose Fluctuation of Type 2 Diabetes Mellitus Patients: A 26-Week Follow-Up. PMID 31183384</w:t>
      </w:r>
    </w:p>
    <w:p>
      <w:pPr>
        <w:numPr>
          <w:ilvl w:val="0"/>
          <w:numId w:val="1378"/>
        </w:numPr>
        <w:pStyle w:val="Compact"/>
      </w:pPr>
      <w:r>
        <w:t xml:space="preserve">2019 · Frias JP ·</w:t>
      </w:r>
      <w:r>
        <w:t xml:space="preserve"> </w:t>
      </w:r>
      <w:r>
        <w:rPr>
          <w:iCs/>
          <w:i/>
        </w:rPr>
        <w:t xml:space="preserve">Diabetes Obes Metab</w:t>
      </w:r>
      <w:r>
        <w:t xml:space="preserve"> </w:t>
      </w:r>
      <w:r>
        <w:t xml:space="preserve">· Efficacy and safety of an expanded dulaglutide dose range: A phase 2, placebo-controlled trial in patients with type 2 diabetes using metformin. PMID 31050143</w:t>
      </w:r>
    </w:p>
    <w:p>
      <w:pPr>
        <w:numPr>
          <w:ilvl w:val="0"/>
          <w:numId w:val="1378"/>
        </w:numPr>
        <w:pStyle w:val="Compact"/>
      </w:pPr>
      <w:r>
        <w:t xml:space="preserve">2019 · Tuttle KR ·</w:t>
      </w:r>
      <w:r>
        <w:t xml:space="preserve"> </w:t>
      </w:r>
      <w:r>
        <w:rPr>
          <w:iCs/>
          <w:i/>
        </w:rPr>
        <w:t xml:space="preserve">Diabetes Obes Metab</w:t>
      </w:r>
      <w:r>
        <w:t xml:space="preserve"> </w:t>
      </w:r>
      <w:r>
        <w:t xml:space="preserve">· Body weight and eGFR during dulaglutide treatment in type 2 diabetes and moderate-to-severe chronic kidney disease (AWARD-7). PMID 30762290</w:t>
      </w:r>
    </w:p>
    <w:p>
      <w:pPr>
        <w:numPr>
          <w:ilvl w:val="0"/>
          <w:numId w:val="1378"/>
        </w:numPr>
        <w:pStyle w:val="Compact"/>
      </w:pPr>
      <w:r>
        <w:t xml:space="preserve">2019 · Fuechtenbusch M ·</w:t>
      </w:r>
      <w:r>
        <w:t xml:space="preserve"> </w:t>
      </w:r>
      <w:r>
        <w:rPr>
          <w:iCs/>
          <w:i/>
        </w:rPr>
        <w:t xml:space="preserve">Diabetes Obes Metab</w:t>
      </w:r>
      <w:r>
        <w:t xml:space="preserve"> </w:t>
      </w:r>
      <w:r>
        <w:t xml:space="preserve">· Weight loss in patients with type 2 diabetes receiving once-weekly dulaglutide plus insulin lispro or insulin glargine plus insulin lispro: A post-hoc analysis of the AWARD-4 study across baseline body mass index subgroups. PMID 30737891</w:t>
      </w:r>
    </w:p>
    <w:p>
      <w:pPr>
        <w:numPr>
          <w:ilvl w:val="0"/>
          <w:numId w:val="1378"/>
        </w:numPr>
        <w:pStyle w:val="Compact"/>
      </w:pPr>
      <w:r>
        <w:t xml:space="preserve">2019 · Wang W ·</w:t>
      </w:r>
      <w:r>
        <w:t xml:space="preserve"> </w:t>
      </w:r>
      <w:r>
        <w:rPr>
          <w:iCs/>
          <w:i/>
        </w:rPr>
        <w:t xml:space="preserve">Diabetes Obes Metab</w:t>
      </w:r>
      <w:r>
        <w:t xml:space="preserve"> </w:t>
      </w:r>
      <w:r>
        <w:t xml:space="preserve">· Efficacy and safety of once-weekly dulaglutide versus insulin glargine in mainly Asian patients with type 2 diabetes mellitus on metformin and/or a sulphonylurea: A 52-week open-label, randomized phase III trial. PMID 30129089</w:t>
      </w:r>
    </w:p>
    <w:p>
      <w:pPr>
        <w:numPr>
          <w:ilvl w:val="0"/>
          <w:numId w:val="1378"/>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8"/>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8"/>
        </w:numPr>
        <w:pStyle w:val="Compact"/>
      </w:pPr>
      <w:r>
        <w:t xml:space="preserve">2018 · Coskun T ·</w:t>
      </w:r>
      <w:r>
        <w:t xml:space="preserve"> </w:t>
      </w:r>
      <w:r>
        <w:rPr>
          <w:iCs/>
          <w:i/>
        </w:rPr>
        <w:t xml:space="preserve">Mol Metab</w:t>
      </w:r>
      <w:r>
        <w:t xml:space="preserve"> </w:t>
      </w:r>
      <w:r>
        <w:t xml:space="preserve">· LY3298176, a novel dual GIP and GLP-1 receptor agonist for the treatment of type 2 diabetes mellitus: From discovery to clinical proof of concept. PMID 30473097</w:t>
      </w:r>
    </w:p>
    <w:p>
      <w:pPr>
        <w:numPr>
          <w:ilvl w:val="0"/>
          <w:numId w:val="1378"/>
        </w:numPr>
        <w:pStyle w:val="Compact"/>
      </w:pPr>
      <w:r>
        <w:t xml:space="preserve">2018 · Frias JP ·</w:t>
      </w:r>
      <w:r>
        <w:t xml:space="preserve"> </w:t>
      </w:r>
      <w:r>
        <w:rPr>
          <w:iCs/>
          <w:i/>
        </w:rPr>
        <w:t xml:space="preserve">Lancet</w:t>
      </w:r>
      <w:r>
        <w:t xml:space="preserve"> </w:t>
      </w:r>
      <w:r>
        <w:t xml:space="preserve">· Efficacy and safety of LY3298176, a novel dual GIP and GLP-1 receptor agonist, in patients with type 2 diabetes: a randomised, placebo-controlled and active comparator-controlled phase 2 trial. PMID 30293770</w:t>
      </w:r>
    </w:p>
    <w:p>
      <w:pPr>
        <w:numPr>
          <w:ilvl w:val="0"/>
          <w:numId w:val="1378"/>
        </w:numPr>
        <w:pStyle w:val="Compact"/>
      </w:pPr>
      <w:r>
        <w:t xml:space="preserve">2018 · Tuttle KR ·</w:t>
      </w:r>
      <w:r>
        <w:t xml:space="preserve"> </w:t>
      </w:r>
      <w:r>
        <w:rPr>
          <w:iCs/>
          <w:i/>
        </w:rPr>
        <w:t xml:space="preserve">Lancet Diabetes Endocrinol</w:t>
      </w:r>
      <w:r>
        <w:t xml:space="preserve"> </w:t>
      </w:r>
      <w:r>
        <w:t xml:space="preserve">· Dulaglutide versus insulin glargine in patients with type 2 diabetes and moderate-to-severe chronic kidney disease (AWARD-7): a multicentre, open-label, randomised trial. PMID 29910024</w:t>
      </w:r>
    </w:p>
    <w:p>
      <w:pPr>
        <w:numPr>
          <w:ilvl w:val="0"/>
          <w:numId w:val="1378"/>
        </w:numPr>
        <w:pStyle w:val="Compact"/>
      </w:pPr>
      <w:r>
        <w:t xml:space="preserve">2018 · Chen YH ·</w:t>
      </w:r>
      <w:r>
        <w:t xml:space="preserve"> </w:t>
      </w:r>
      <w:r>
        <w:rPr>
          <w:iCs/>
          <w:i/>
        </w:rPr>
        <w:t xml:space="preserve">Diabetes Obes Metab</w:t>
      </w:r>
      <w:r>
        <w:t xml:space="preserve"> </w:t>
      </w:r>
      <w:r>
        <w:t xml:space="preserve">· Efficacy and safety of dulaglutide monotherapy compared with glimepiride in East-Asian patients with type 2 diabetes in a multicentre, double-blind, randomized, parallel-arm, active comparator, phase III trial. PMID 29708650</w:t>
      </w:r>
    </w:p>
    <w:p>
      <w:pPr>
        <w:numPr>
          <w:ilvl w:val="0"/>
          <w:numId w:val="1378"/>
        </w:numPr>
        <w:pStyle w:val="Compact"/>
      </w:pPr>
      <w:r>
        <w:t xml:space="preserve">2018 · Mathieu C ·</w:t>
      </w:r>
      <w:r>
        <w:t xml:space="preserve"> </w:t>
      </w:r>
      <w:r>
        <w:rPr>
          <w:iCs/>
          <w:i/>
        </w:rPr>
        <w:t xml:space="preserve">Diabetes Obes Metab</w:t>
      </w:r>
      <w:r>
        <w:t xml:space="preserve"> </w:t>
      </w:r>
      <w:r>
        <w:t xml:space="preserve">· Effect of once weekly dulaglutide by baseline beta-cell function in people with type 2 diabetes in the AWARD programme. PMID 29603872</w:t>
      </w:r>
    </w:p>
    <w:p>
      <w:pPr>
        <w:numPr>
          <w:ilvl w:val="0"/>
          <w:numId w:val="1378"/>
        </w:numPr>
        <w:pStyle w:val="Compact"/>
      </w:pPr>
      <w:r>
        <w:t xml:space="preserve">2018 · Asakura T ·</w:t>
      </w:r>
      <w:r>
        <w:t xml:space="preserve"> </w:t>
      </w:r>
      <w:r>
        <w:rPr>
          <w:iCs/>
          <w:i/>
        </w:rPr>
        <w:t xml:space="preserve">Curr Med Res Opin</w:t>
      </w:r>
      <w:r>
        <w:t xml:space="preserve"> </w:t>
      </w:r>
      <w:r>
        <w:t xml:space="preserve">· Comparative usability study of the dulaglutide single-use pen versus the insulin degludec FlexTouch(®) among self-injection-naïve patients with type 2 diabetes mellitus in Japan. PMID 29504812</w:t>
      </w:r>
    </w:p>
    <w:p>
      <w:pPr>
        <w:numPr>
          <w:ilvl w:val="0"/>
          <w:numId w:val="1378"/>
        </w:numPr>
        <w:pStyle w:val="Compact"/>
      </w:pPr>
      <w:r>
        <w:t xml:space="preserve">2018 · Ludvik B ·</w:t>
      </w:r>
      <w:r>
        <w:t xml:space="preserve"> </w:t>
      </w:r>
      <w:r>
        <w:rPr>
          <w:iCs/>
          <w:i/>
        </w:rPr>
        <w:t xml:space="preserve">Lancet Diabetes Endocrinol</w:t>
      </w:r>
      <w:r>
        <w:t xml:space="preserve"> </w:t>
      </w:r>
      <w:r>
        <w:t xml:space="preserve">· Dulaglutide as add-on therapy to SGLT2 inhibitors in patients with inadequately controlled type 2 diabetes (AWARD-10): a 24-week, randomised, double-blind, placebo-controlled trial. PMID 29483060</w:t>
      </w:r>
    </w:p>
    <w:p>
      <w:pPr>
        <w:numPr>
          <w:ilvl w:val="0"/>
          <w:numId w:val="1378"/>
        </w:numPr>
        <w:pStyle w:val="Compact"/>
      </w:pPr>
      <w:r>
        <w:t xml:space="preserve">2018 · Pantalone KM ·</w:t>
      </w:r>
      <w:r>
        <w:t xml:space="preserve"> </w:t>
      </w:r>
      <w:r>
        <w:rPr>
          <w:iCs/>
          <w:i/>
        </w:rPr>
        <w:t xml:space="preserve">Diabetes Obes Metab</w:t>
      </w:r>
      <w:r>
        <w:t xml:space="preserve"> </w:t>
      </w:r>
      <w:r>
        <w:t xml:space="preserve">· Dulaglutide 1.5 mg as an add-on option for patients uncontrolled on insulin: Subgroup analysis by age, duration of diabetes and baseline glycated haemoglobin concentration. PMID 29430801</w:t>
      </w:r>
    </w:p>
    <w:p>
      <w:pPr>
        <w:numPr>
          <w:ilvl w:val="0"/>
          <w:numId w:val="1378"/>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8"/>
        </w:numPr>
        <w:pStyle w:val="Compact"/>
      </w:pPr>
      <w:r>
        <w:t xml:space="preserve">2018 · Pozzilli P ·</w:t>
      </w:r>
      <w:r>
        <w:t xml:space="preserve"> </w:t>
      </w:r>
      <w:r>
        <w:rPr>
          <w:iCs/>
          <w:i/>
        </w:rPr>
        <w:t xml:space="preserve">Diabetes Obes Metab</w:t>
      </w:r>
      <w:r>
        <w:t xml:space="preserve"> </w:t>
      </w:r>
      <w:r>
        <w:t xml:space="preserve">· Dulaglutide treatment results in effective glycaemic control in latent autoimmune diabetes in adults (LADA): A post-hoc analysis of the AWARD-2, -4 and -5 Trials. PMID 29377522</w:t>
      </w:r>
    </w:p>
    <w:p>
      <w:pPr>
        <w:numPr>
          <w:ilvl w:val="0"/>
          <w:numId w:val="1378"/>
        </w:numPr>
        <w:pStyle w:val="Compact"/>
      </w:pPr>
      <w:r>
        <w:t xml:space="preserve">2018 · Gallwitz B ·</w:t>
      </w:r>
      <w:r>
        <w:t xml:space="preserve"> </w:t>
      </w:r>
      <w:r>
        <w:rPr>
          <w:iCs/>
          <w:i/>
        </w:rPr>
        <w:t xml:space="preserve">Diabetes Obes Metab</w:t>
      </w:r>
      <w:r>
        <w:t xml:space="preserve"> </w:t>
      </w:r>
      <w:r>
        <w:t xml:space="preserve">· Effect of once-weekly dulaglutide on glycated haemoglobin (HbA1c) and fasting blood glucose in patient subpopulations by gender, duration of diabetes and baseline HbA1c. PMID 28817231</w:t>
      </w:r>
    </w:p>
    <w:p>
      <w:pPr>
        <w:numPr>
          <w:ilvl w:val="0"/>
          <w:numId w:val="1378"/>
        </w:numPr>
        <w:pStyle w:val="Compact"/>
      </w:pPr>
      <w:r>
        <w:t xml:space="preserve">2017 · Yu M ·</w:t>
      </w:r>
      <w:r>
        <w:t xml:space="preserve"> </w:t>
      </w:r>
      <w:r>
        <w:rPr>
          <w:iCs/>
          <w:i/>
        </w:rPr>
        <w:t xml:space="preserve">Clin Ther</w:t>
      </w:r>
      <w:r>
        <w:t xml:space="preserve"> </w:t>
      </w:r>
      <w:r>
        <w:t xml:space="preserve">· Patient-reported Outcomes in Patients with Type 2 Diabetes Treated with Dulaglutide Added to Titrated Insulin Glargine (AWARD-9). PMID 29110972</w:t>
      </w:r>
    </w:p>
    <w:p>
      <w:pPr>
        <w:numPr>
          <w:ilvl w:val="0"/>
          <w:numId w:val="1378"/>
        </w:numPr>
        <w:pStyle w:val="Compact"/>
      </w:pPr>
      <w:r>
        <w:t xml:space="preserve">2017 · Kaneko S ·</w:t>
      </w:r>
      <w:r>
        <w:t xml:space="preserve"> </w:t>
      </w:r>
      <w:r>
        <w:rPr>
          <w:iCs/>
          <w:i/>
        </w:rPr>
        <w:t xml:space="preserve">Endocr J</w:t>
      </w:r>
      <w:r>
        <w:t xml:space="preserve"> </w:t>
      </w:r>
      <w:r>
        <w:t xml:space="preserve">· Efficacy and safety of subgroup analysis stratified by baseline HbA1c in a Japanese phase 3 study of dulaglutide 0.75 mg compared with insulin glargine in patients with type 2 diabetes. PMID 28904247</w:t>
      </w:r>
    </w:p>
    <w:p>
      <w:pPr>
        <w:numPr>
          <w:ilvl w:val="0"/>
          <w:numId w:val="1378"/>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8"/>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8"/>
        </w:numPr>
        <w:pStyle w:val="Compact"/>
      </w:pPr>
      <w:r>
        <w:t xml:space="preserve">2017 · de la Peña A ·</w:t>
      </w:r>
      <w:r>
        <w:t xml:space="preserve"> </w:t>
      </w:r>
      <w:r>
        <w:rPr>
          <w:iCs/>
          <w:i/>
        </w:rPr>
        <w:t xml:space="preserve">Clin Pharmacokinet</w:t>
      </w:r>
      <w:r>
        <w:t xml:space="preserve"> </w:t>
      </w:r>
      <w:r>
        <w:t xml:space="preserve">· No Dose Adjustment is Recommended for Digoxin, Warfarin, Atorvastatin or a Combination Oral Contraceptive When Coadministered with Dulaglutide. PMID 28357715</w:t>
      </w:r>
    </w:p>
    <w:p>
      <w:pPr>
        <w:numPr>
          <w:ilvl w:val="0"/>
          <w:numId w:val="1378"/>
        </w:numPr>
        <w:pStyle w:val="Compact"/>
      </w:pPr>
      <w:r>
        <w:t xml:space="preserve">2017 · Hamano K ·</w:t>
      </w:r>
      <w:r>
        <w:t xml:space="preserve"> </w:t>
      </w:r>
      <w:r>
        <w:rPr>
          <w:iCs/>
          <w:i/>
        </w:rPr>
        <w:t xml:space="preserve">Endocr J</w:t>
      </w:r>
      <w:r>
        <w:t xml:space="preserve"> </w:t>
      </w:r>
      <w:r>
        <w:t xml:space="preserve">· Efficacy and safety analyses across 4 subgroups combining low and high age and body mass index groups in Japanese phase 3 studies of dulaglutide 0.75 mg after 26 weeks of treatment. PMID 28302958</w:t>
      </w:r>
    </w:p>
    <w:p>
      <w:pPr>
        <w:numPr>
          <w:ilvl w:val="0"/>
          <w:numId w:val="1378"/>
        </w:numPr>
        <w:pStyle w:val="Compact"/>
      </w:pPr>
      <w:r>
        <w:t xml:space="preserve">2017 · Pozzilli P ·</w:t>
      </w:r>
      <w:r>
        <w:t xml:space="preserve"> </w:t>
      </w:r>
      <w:r>
        <w:rPr>
          <w:iCs/>
          <w:i/>
        </w:rPr>
        <w:t xml:space="preserve">Diabetes Obes Metab</w:t>
      </w:r>
      <w:r>
        <w:t xml:space="preserve"> </w:t>
      </w:r>
      <w:r>
        <w:t xml:space="preserve">· Placebo-controlled, randomized trial of the addition of once-weekly glucagon-like peptide-1 receptor agonist dulaglutide to titrated daily insulin glargine in patients with type 2 diabetes (AWARD-9). PMID 28294499</w:t>
      </w:r>
    </w:p>
    <w:p>
      <w:pPr>
        <w:numPr>
          <w:ilvl w:val="0"/>
          <w:numId w:val="1378"/>
        </w:numPr>
        <w:pStyle w:val="Compact"/>
      </w:pPr>
      <w:r>
        <w:t xml:space="preserve">2017 · de la Peña A ·</w:t>
      </w:r>
      <w:r>
        <w:t xml:space="preserve"> </w:t>
      </w:r>
      <w:r>
        <w:rPr>
          <w:iCs/>
          <w:i/>
        </w:rPr>
        <w:t xml:space="preserve">Diabetes Obes Metab</w:t>
      </w:r>
      <w:r>
        <w:t xml:space="preserve"> </w:t>
      </w:r>
      <w:r>
        <w:t xml:space="preserve">· Once-weekly dulaglutide 1.5 mg restores insulin secretion in response to intravenous glucose infusion. PMID 27976833</w:t>
      </w:r>
    </w:p>
    <w:p>
      <w:pPr>
        <w:numPr>
          <w:ilvl w:val="0"/>
          <w:numId w:val="1378"/>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8"/>
        </w:numPr>
        <w:pStyle w:val="Compact"/>
      </w:pPr>
      <w:r>
        <w:t xml:space="preserve">2016 · Davidson JA ·</w:t>
      </w:r>
      <w:r>
        <w:t xml:space="preserve"> </w:t>
      </w:r>
      <w:r>
        <w:rPr>
          <w:iCs/>
          <w:i/>
        </w:rPr>
        <w:t xml:space="preserve">Endocr Pract</w:t>
      </w:r>
      <w:r>
        <w:t xml:space="preserve"> </w:t>
      </w:r>
      <w:r>
        <w:t xml:space="preserve">· EFFICACY AND SAFETY OF DULAGLUTIDE IN HISPANIC/LATINO PATIENTS WITH TYPE 2 DIABETES IN THE AWARD CLINICAL PROGRAM. PMID 27540883</w:t>
      </w:r>
    </w:p>
    <w:p>
      <w:pPr>
        <w:numPr>
          <w:ilvl w:val="0"/>
          <w:numId w:val="1378"/>
        </w:numPr>
        <w:pStyle w:val="Compact"/>
      </w:pPr>
      <w:r>
        <w:t xml:space="preserve">2016 · Inagaki N ·</w:t>
      </w:r>
      <w:r>
        <w:t xml:space="preserve"> </w:t>
      </w:r>
      <w:r>
        <w:rPr>
          <w:iCs/>
          <w:i/>
        </w:rPr>
        <w:t xml:space="preserve">Diabetes Obes Metab</w:t>
      </w:r>
      <w:r>
        <w:t xml:space="preserve"> </w:t>
      </w:r>
      <w:r>
        <w:t xml:space="preserve">· The combination of dulaglutide and biguanide reduced bodyweight in Japanese patients with type 2 diabetes. PMID 27488246</w:t>
      </w:r>
    </w:p>
    <w:p>
      <w:pPr>
        <w:numPr>
          <w:ilvl w:val="0"/>
          <w:numId w:val="1378"/>
        </w:numPr>
        <w:pStyle w:val="Compact"/>
      </w:pPr>
      <w:r>
        <w:t xml:space="preserve">2016 · Jendle J ·</w:t>
      </w:r>
      <w:r>
        <w:t xml:space="preserve"> </w:t>
      </w:r>
      <w:r>
        <w:rPr>
          <w:iCs/>
          <w:i/>
        </w:rPr>
        <w:t xml:space="preserve">Diabetes Obes Metab</w:t>
      </w:r>
      <w:r>
        <w:t xml:space="preserve"> </w:t>
      </w:r>
      <w:r>
        <w:t xml:space="preserve">· Continuous glucose monitoring in patients with type 2 diabetes treated with glucagon-like peptide-1 receptor agonist dulaglutide in combination with prandial insulin lispro: an AWARD-4 substudy. PMID 27279266</w:t>
      </w:r>
    </w:p>
    <w:p>
      <w:pPr>
        <w:numPr>
          <w:ilvl w:val="0"/>
          <w:numId w:val="1378"/>
        </w:numPr>
        <w:pStyle w:val="Compact"/>
      </w:pPr>
      <w:r>
        <w:t xml:space="preserve">2016 · Wysham C ·</w:t>
      </w:r>
      <w:r>
        <w:t xml:space="preserve"> </w:t>
      </w:r>
      <w:r>
        <w:rPr>
          <w:iCs/>
          <w:i/>
        </w:rPr>
        <w:t xml:space="preserve">Diabetes Obes Metab</w:t>
      </w:r>
      <w:r>
        <w:t xml:space="preserve"> </w:t>
      </w:r>
      <w:r>
        <w:t xml:space="preserve">· Baseline factors associated with glycaemic response to treatment with once-weekly dulaglutide in patients with type 2 diabetes. PMID 27265893</w:t>
      </w:r>
    </w:p>
    <w:p>
      <w:pPr>
        <w:numPr>
          <w:ilvl w:val="0"/>
          <w:numId w:val="1378"/>
        </w:numPr>
        <w:pStyle w:val="Compact"/>
      </w:pPr>
      <w:r>
        <w:t xml:space="preserve">2016 · Umpierrez GE ·</w:t>
      </w:r>
      <w:r>
        <w:t xml:space="preserve"> </w:t>
      </w:r>
      <w:r>
        <w:rPr>
          <w:iCs/>
          <w:i/>
        </w:rPr>
        <w:t xml:space="preserve">Diabetes Obes Metab</w:t>
      </w:r>
      <w:r>
        <w:t xml:space="preserve"> </w:t>
      </w:r>
      <w:r>
        <w:t xml:space="preserve">· Relationship between weight change and glycaemic control in patients with type 2 diabetes receiving once-weekly dulaglutide treatment. PMID 26969812</w:t>
      </w:r>
    </w:p>
    <w:p>
      <w:pPr>
        <w:numPr>
          <w:ilvl w:val="0"/>
          <w:numId w:val="1378"/>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8"/>
        </w:numPr>
        <w:pStyle w:val="Compact"/>
      </w:pPr>
      <w:r>
        <w:t xml:space="preserve">2016 · Dungan KM ·</w:t>
      </w:r>
      <w:r>
        <w:t xml:space="preserve"> </w:t>
      </w:r>
      <w:r>
        <w:rPr>
          <w:iCs/>
          <w:i/>
        </w:rPr>
        <w:t xml:space="preserve">Diabetes Obes Metab</w:t>
      </w:r>
      <w:r>
        <w:t xml:space="preserve"> </w:t>
      </w:r>
      <w:r>
        <w:t xml:space="preserve">· A 24-week study to evaluate the efficacy and safety of once-weekly dulaglutide added on to glimepiride in type 2 diabetes (AWARD-8). PMID 26799540</w:t>
      </w:r>
    </w:p>
    <w:p>
      <w:pPr>
        <w:numPr>
          <w:ilvl w:val="0"/>
          <w:numId w:val="1378"/>
        </w:numPr>
        <w:pStyle w:val="Compact"/>
      </w:pPr>
      <w:r>
        <w:t xml:space="preserve">2016 · Onishi Y ·</w:t>
      </w:r>
      <w:r>
        <w:t xml:space="preserve"> </w:t>
      </w:r>
      <w:r>
        <w:rPr>
          <w:iCs/>
          <w:i/>
        </w:rPr>
        <w:t xml:space="preserve">Endocr J</w:t>
      </w:r>
      <w:r>
        <w:t xml:space="preserve"> </w:t>
      </w:r>
      <w:r>
        <w:t xml:space="preserve">· Subgroup analysis of phase 3 studies of dulaglutide in Japanese patients with type 2 diabetes. PMID 26698689</w:t>
      </w:r>
    </w:p>
    <w:p>
      <w:pPr>
        <w:numPr>
          <w:ilvl w:val="0"/>
          <w:numId w:val="1378"/>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8"/>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8"/>
        </w:numPr>
        <w:pStyle w:val="Compact"/>
      </w:pPr>
      <w:r>
        <w:t xml:space="preserve">2016 · Geiser JS ·</w:t>
      </w:r>
      <w:r>
        <w:t xml:space="preserve"> </w:t>
      </w:r>
      <w:r>
        <w:rPr>
          <w:iCs/>
          <w:i/>
        </w:rPr>
        <w:t xml:space="preserve">Clin Pharmacokinet</w:t>
      </w:r>
      <w:r>
        <w:t xml:space="preserve"> </w:t>
      </w:r>
      <w:r>
        <w:t xml:space="preserve">· Clinical Pharmacokinetics of Dulaglutide in Patients with Type 2 Diabetes: Analyses of Data from Clinical Trials. PMID 26507721</w:t>
      </w:r>
    </w:p>
    <w:p>
      <w:pPr>
        <w:numPr>
          <w:ilvl w:val="0"/>
          <w:numId w:val="1378"/>
        </w:numPr>
        <w:pStyle w:val="Compact"/>
      </w:pPr>
      <w:r>
        <w:t xml:space="preserve">2016 · Grunberger G ·</w:t>
      </w:r>
      <w:r>
        <w:t xml:space="preserve"> </w:t>
      </w:r>
      <w:r>
        <w:rPr>
          <w:iCs/>
          <w:i/>
        </w:rPr>
        <w:t xml:space="preserve">Diabet Med</w:t>
      </w:r>
      <w:r>
        <w:t xml:space="preserve"> </w:t>
      </w:r>
      <w:r>
        <w:t xml:space="preserve">· Early fasting glucose measurements can predict later glycaemic response to once weekly dulaglutide. PMID 26179454</w:t>
      </w:r>
    </w:p>
    <w:p>
      <w:pPr>
        <w:numPr>
          <w:ilvl w:val="0"/>
          <w:numId w:val="1378"/>
        </w:numPr>
        <w:pStyle w:val="Compact"/>
      </w:pPr>
      <w:r>
        <w:t xml:space="preserve">2015 · Emoto M ·</w:t>
      </w:r>
      <w:r>
        <w:t xml:space="preserve"> </w:t>
      </w:r>
      <w:r>
        <w:rPr>
          <w:iCs/>
          <w:i/>
        </w:rPr>
        <w:t xml:space="preserve">Endocr J</w:t>
      </w:r>
      <w:r>
        <w:t xml:space="preserve"> </w:t>
      </w:r>
      <w:r>
        <w:t xml:space="preserve">· A 1-year safety study of dulaglutide in Japanese patients with type 2 diabetes on a single oral hypoglycemic agent: an open-label, nonrandomized, phase 3 trial. PMID 26477324</w:t>
      </w:r>
    </w:p>
    <w:p>
      <w:pPr>
        <w:numPr>
          <w:ilvl w:val="0"/>
          <w:numId w:val="1378"/>
        </w:numPr>
        <w:pStyle w:val="Compact"/>
      </w:pPr>
      <w:r>
        <w:t xml:space="preserve">2015 · Usborne A ·</w:t>
      </w:r>
      <w:r>
        <w:t xml:space="preserve"> </w:t>
      </w:r>
      <w:r>
        <w:rPr>
          <w:iCs/>
          <w:i/>
        </w:rPr>
        <w:t xml:space="preserve">Toxicol Pathol</w:t>
      </w:r>
      <w:r>
        <w:t xml:space="preserve"> </w:t>
      </w:r>
      <w:r>
        <w:t xml:space="preserve">· An Investigative Study of Pancreatic Exocrine Biomarkers, Histology, and Histomorphometry in Male Zucker Diabetic Fatty (ZDF) Rats Given Dulaglutide by Subcutaneous Injection Twice Weekly for 13 Weeks. PMID 26269615</w:t>
      </w:r>
    </w:p>
    <w:p>
      <w:pPr>
        <w:numPr>
          <w:ilvl w:val="0"/>
          <w:numId w:val="1378"/>
        </w:numPr>
        <w:pStyle w:val="Compact"/>
      </w:pPr>
      <w:r>
        <w:t xml:space="preserve">2015 · Araki E ·</w:t>
      </w:r>
      <w:r>
        <w:t xml:space="preserve"> </w:t>
      </w:r>
      <w:r>
        <w:rPr>
          <w:iCs/>
          <w:i/>
        </w:rPr>
        <w:t xml:space="preserve">Diabetes Obes Metab</w:t>
      </w:r>
      <w:r>
        <w:t xml:space="preserve"> </w:t>
      </w:r>
      <w:r>
        <w:t xml:space="preserve">· Efficacy and safety of once-weekly dulaglutide in combination with sulphonylurea and/or biguanide compared with once-daily insulin glargine in Japanese patients with type 2 diabetes: a randomized, open-label, phase III, non-inferiority study. PMID 26179754</w:t>
      </w:r>
    </w:p>
    <w:p>
      <w:pPr>
        <w:numPr>
          <w:ilvl w:val="0"/>
          <w:numId w:val="1378"/>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8"/>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8"/>
        </w:numPr>
        <w:pStyle w:val="Compact"/>
      </w:pPr>
      <w:r>
        <w:t xml:space="preserve">2015 · Giorgino F ·</w:t>
      </w:r>
      <w:r>
        <w:t xml:space="preserve"> </w:t>
      </w:r>
      <w:r>
        <w:rPr>
          <w:iCs/>
          <w:i/>
        </w:rPr>
        <w:t xml:space="preserve">Diabetes Care</w:t>
      </w:r>
      <w:r>
        <w:t xml:space="preserve"> </w:t>
      </w:r>
      <w:r>
        <w:t xml:space="preserve">· Efficacy and Safety of Once-Weekly Dulaglutide Versus Insulin Glargine in Patients With Type 2 Diabetes on Metformin and Glimepiride (AWARD-2). PMID 26089386</w:t>
      </w:r>
    </w:p>
    <w:p>
      <w:pPr>
        <w:numPr>
          <w:ilvl w:val="0"/>
          <w:numId w:val="1378"/>
        </w:numPr>
        <w:pStyle w:val="Compact"/>
      </w:pPr>
      <w:r>
        <w:t xml:space="preserve">2015 · Blonde L ·</w:t>
      </w:r>
      <w:r>
        <w:t xml:space="preserve"> </w:t>
      </w:r>
      <w:r>
        <w:rPr>
          <w:iCs/>
          <w:i/>
        </w:rPr>
        <w:t xml:space="preserve">Lancet</w:t>
      </w:r>
      <w:r>
        <w:t xml:space="preserve"> </w:t>
      </w:r>
      <w:r>
        <w:t xml:space="preserve">· Once-weekly dulaglutide versus bedtime insulin glargine, both in combination with prandial insulin lispro, in patients with type 2 diabetes (AWARD-4): a randomised, open-label, phase 3, non-inferiority study. PMID 26009229</w:t>
      </w:r>
    </w:p>
    <w:p>
      <w:pPr>
        <w:numPr>
          <w:ilvl w:val="0"/>
          <w:numId w:val="1378"/>
        </w:numPr>
        <w:pStyle w:val="Compact"/>
      </w:pPr>
      <w:r>
        <w:t xml:space="preserve">2015 · Weinstock RS ·</w:t>
      </w:r>
      <w:r>
        <w:t xml:space="preserve"> </w:t>
      </w:r>
      <w:r>
        <w:rPr>
          <w:iCs/>
          <w:i/>
        </w:rPr>
        <w:t xml:space="preserve">Diabetes Obes Metab</w:t>
      </w:r>
      <w:r>
        <w:t xml:space="preserve"> </w:t>
      </w:r>
      <w:r>
        <w:t xml:space="preserve">· Safety and efficacy of once-weekly dulaglutide versus sitagliptin after 2 years in metformin-treated patients with type 2 diabetes (AWARD-5): a randomized, phase III study. PMID 25912221</w:t>
      </w:r>
    </w:p>
    <w:p>
      <w:pPr>
        <w:numPr>
          <w:ilvl w:val="0"/>
          <w:numId w:val="1378"/>
        </w:numPr>
        <w:pStyle w:val="Compact"/>
      </w:pPr>
      <w:r>
        <w:t xml:space="preserve">2015 · Matfin G ·</w:t>
      </w:r>
      <w:r>
        <w:t xml:space="preserve"> </w:t>
      </w:r>
      <w:r>
        <w:rPr>
          <w:iCs/>
          <w:i/>
        </w:rPr>
        <w:t xml:space="preserve">J Diabetes Sci Technol</w:t>
      </w:r>
      <w:r>
        <w:t xml:space="preserve"> </w:t>
      </w:r>
      <w:r>
        <w:t xml:space="preserve">· Safe and Effective Use of the Once Weekly Dulaglutide Single-Dose Pen in Injection-Naïve Patients With Type 2 Diabetes. PMID 25901022</w:t>
      </w:r>
    </w:p>
    <w:p>
      <w:pPr>
        <w:numPr>
          <w:ilvl w:val="0"/>
          <w:numId w:val="1378"/>
        </w:numPr>
        <w:pStyle w:val="Compact"/>
      </w:pPr>
      <w:r>
        <w:t xml:space="preserve">2014 · Terauchi Y ·</w:t>
      </w:r>
      <w:r>
        <w:t xml:space="preserve"> </w:t>
      </w:r>
      <w:r>
        <w:rPr>
          <w:iCs/>
          <w:i/>
        </w:rPr>
        <w:t xml:space="preserve">Endocr J</w:t>
      </w:r>
      <w:r>
        <w:t xml:space="preserve"> </w:t>
      </w:r>
      <w:r>
        <w:t xml:space="preserve">· Monotherapy with the once weekly GLP-1 receptor agonist dulaglutide for 12 weeks in Japanese patients with type 2 diabetes: dose-dependent effects on glycaemic control in a randomised, double-blind, placebo-controlled study. PMID 25029955</w:t>
      </w:r>
    </w:p>
    <w:p>
      <w:pPr>
        <w:numPr>
          <w:ilvl w:val="0"/>
          <w:numId w:val="1378"/>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8"/>
        </w:numPr>
        <w:pStyle w:val="Compact"/>
      </w:pPr>
      <w:r>
        <w:t xml:space="preserve">2014 · Ferdinand KC ·</w:t>
      </w:r>
      <w:r>
        <w:t xml:space="preserve"> </w:t>
      </w:r>
      <w:r>
        <w:rPr>
          <w:iCs/>
          <w:i/>
        </w:rPr>
        <w:t xml:space="preserve">Hypertension</w:t>
      </w:r>
      <w:r>
        <w:t xml:space="preserve"> </w:t>
      </w:r>
      <w:r>
        <w:t xml:space="preserve">· Effects of the once-weekly glucagon-like peptide-1 receptor agonist dulaglutide on ambulatory blood pressure and heart rate in patients with type 2 diabetes mellitus. PMID 24980665</w:t>
      </w:r>
    </w:p>
    <w:p>
      <w:pPr>
        <w:numPr>
          <w:ilvl w:val="0"/>
          <w:numId w:val="1378"/>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8"/>
        </w:numPr>
        <w:pStyle w:val="Compact"/>
      </w:pPr>
      <w:r>
        <w:t xml:space="preserve">2014 · Umpierrez G ·</w:t>
      </w:r>
      <w:r>
        <w:t xml:space="preserve"> </w:t>
      </w:r>
      <w:r>
        <w:rPr>
          <w:iCs/>
          <w:i/>
        </w:rPr>
        <w:t xml:space="preserve">Diabetes Care</w:t>
      </w:r>
      <w:r>
        <w:t xml:space="preserve"> </w:t>
      </w:r>
      <w:r>
        <w:t xml:space="preserve">· Efficacy and safety of dulaglutide monotherapy versus metformin in type 2 diabetes in a randomized controlled trial (AWARD-3). PMID 24842985</w:t>
      </w:r>
    </w:p>
    <w:p>
      <w:pPr>
        <w:numPr>
          <w:ilvl w:val="0"/>
          <w:numId w:val="1378"/>
        </w:numPr>
        <w:pStyle w:val="Compact"/>
      </w:pPr>
      <w:r>
        <w:t xml:space="preserve">2014 · Skrivanek Z ·</w:t>
      </w:r>
      <w:r>
        <w:t xml:space="preserve"> </w:t>
      </w:r>
      <w:r>
        <w:rPr>
          <w:iCs/>
          <w:i/>
        </w:rPr>
        <w:t xml:space="preserve">Diabetes Obes Metab</w:t>
      </w:r>
      <w:r>
        <w:t xml:space="preserve"> </w:t>
      </w:r>
      <w:r>
        <w:t xml:space="preserve">· Dose-finding results in an adaptive, seamless, randomized trial of once-weekly dulaglutide combined with metformin in type 2 diabetes patients (AWARD-5). PMID 24762094</w:t>
      </w:r>
    </w:p>
    <w:p>
      <w:pPr>
        <w:numPr>
          <w:ilvl w:val="0"/>
          <w:numId w:val="1378"/>
        </w:numPr>
        <w:pStyle w:val="Compact"/>
      </w:pPr>
      <w:r>
        <w:t xml:space="preserve">2014 · Nauck M ·</w:t>
      </w:r>
      <w:r>
        <w:t xml:space="preserve"> </w:t>
      </w:r>
      <w:r>
        <w:rPr>
          <w:iCs/>
          <w:i/>
        </w:rPr>
        <w:t xml:space="preserve">Diabetes Care</w:t>
      </w:r>
      <w:r>
        <w:t xml:space="preserve"> </w:t>
      </w:r>
      <w:r>
        <w:t xml:space="preserve">· Efficacy and safety of dulaglutide versus sitagliptin after 52 weeks in type 2 diabetes in a randomized controlled trial (AWARD-5). PMID 24742660</w:t>
      </w:r>
    </w:p>
    <w:p>
      <w:pPr>
        <w:numPr>
          <w:ilvl w:val="0"/>
          <w:numId w:val="1378"/>
        </w:numPr>
        <w:pStyle w:val="Compact"/>
      </w:pPr>
      <w:r>
        <w:t xml:space="preserve">2012 · Geiger MJ ·</w:t>
      </w:r>
      <w:r>
        <w:t xml:space="preserve"> </w:t>
      </w:r>
      <w:r>
        <w:rPr>
          <w:iCs/>
          <w:i/>
        </w:rPr>
        <w:t xml:space="preserve">J Diabetes Sci Technol</w:t>
      </w:r>
      <w:r>
        <w:t xml:space="preserve"> </w:t>
      </w:r>
      <w:r>
        <w:t xml:space="preserve">· An adaptive, dose-finding, seamless phase 2/3 study of a long-acting glucagon-like peptide-1 analog (dulaglutide): trial design and baseline characteristics. PMID 23294776</w:t>
      </w:r>
    </w:p>
    <w:p>
      <w:pPr>
        <w:numPr>
          <w:ilvl w:val="0"/>
          <w:numId w:val="1378"/>
        </w:numPr>
        <w:pStyle w:val="Compact"/>
      </w:pPr>
      <w:r>
        <w:t xml:space="preserve">2012 · Skrivanek Z ·</w:t>
      </w:r>
      <w:r>
        <w:t xml:space="preserve"> </w:t>
      </w:r>
      <w:r>
        <w:rPr>
          <w:iCs/>
          <w:i/>
        </w:rPr>
        <w:t xml:space="preserve">J Diabetes Sci Technol</w:t>
      </w:r>
      <w:r>
        <w:t xml:space="preserve"> </w:t>
      </w:r>
      <w:r>
        <w:t xml:space="preserve">· Application of adaptive design methodology in development of a long-acting glucagon-like peptide-1 analog (dulaglutide): statistical design and simulations. PMID 23294775</w:t>
      </w:r>
    </w:p>
    <w:p>
      <w:pPr>
        <w:numPr>
          <w:ilvl w:val="0"/>
          <w:numId w:val="1378"/>
        </w:numPr>
        <w:pStyle w:val="Compact"/>
      </w:pPr>
      <w:r>
        <w:t xml:space="preserve">2012 · Grunberger G ·</w:t>
      </w:r>
      <w:r>
        <w:t xml:space="preserve"> </w:t>
      </w:r>
      <w:r>
        <w:rPr>
          <w:iCs/>
          <w:i/>
        </w:rPr>
        <w:t xml:space="preserve">Diabet Med</w:t>
      </w:r>
      <w:r>
        <w:t xml:space="preserve"> </w:t>
      </w:r>
      <w:r>
        <w:t xml:space="preserve">· Monotherapy with the once-weekly GLP-1 analogue dulaglutide for 12 weeks in patients with Type 2 diabetes: dose-dependent effects on glycaemic control in a randomized, double-blind, placebo-controlled study. PMID 22804250</w:t>
      </w:r>
    </w:p>
    <w:bookmarkEnd w:id="3013"/>
    <w:bookmarkStart w:id="3014" w:name="semaglutida-342"/>
    <w:p>
      <w:pPr>
        <w:pStyle w:val="Heading2"/>
      </w:pPr>
      <w:r>
        <w:t xml:space="preserve">Semaglutida (342)</w:t>
      </w:r>
    </w:p>
    <w:p>
      <w:pPr>
        <w:numPr>
          <w:ilvl w:val="0"/>
          <w:numId w:val="1379"/>
        </w:numPr>
        <w:pStyle w:val="Compact"/>
      </w:pPr>
      <w:r>
        <w:t xml:space="preserve">2026 · Zhang Z ·</w:t>
      </w:r>
      <w:r>
        <w:t xml:space="preserve"> </w:t>
      </w:r>
      <w:r>
        <w:rPr>
          <w:iCs/>
          <w:i/>
        </w:rPr>
        <w:t xml:space="preserve">Psychol Med</w:t>
      </w:r>
      <w:r>
        <w:t xml:space="preserve"> </w:t>
      </w:r>
      <w:r>
        <w:t xml:space="preserve">· Semaglutide modulates explore/exploit decision-making in major depressive disorder: A randomized clinical trial. PMID 42904347</w:t>
      </w:r>
    </w:p>
    <w:p>
      <w:pPr>
        <w:numPr>
          <w:ilvl w:val="0"/>
          <w:numId w:val="1379"/>
        </w:numPr>
        <w:pStyle w:val="Compact"/>
      </w:pPr>
      <w:r>
        <w:t xml:space="preserve">2026 · Estica M ·</w:t>
      </w:r>
      <w:r>
        <w:t xml:space="preserve"> </w:t>
      </w:r>
      <w:r>
        <w:rPr>
          <w:iCs/>
          <w:i/>
        </w:rPr>
        <w:t xml:space="preserve">Rev Med Chil</w:t>
      </w:r>
      <w:r>
        <w:t xml:space="preserve"> </w:t>
      </w:r>
      <w:r>
        <w:t xml:space="preserve">· Effectiveness of Weekly Semaglutide Treatment (0.5 or 1 mg) in Chilean Patients with Type 2 Diabetes Mellitus. PMID 42899606</w:t>
      </w:r>
    </w:p>
    <w:p>
      <w:pPr>
        <w:numPr>
          <w:ilvl w:val="0"/>
          <w:numId w:val="1379"/>
        </w:numPr>
        <w:pStyle w:val="Compact"/>
      </w:pPr>
      <w:r>
        <w:t xml:space="preserve">2026 · Gullaksen S ·</w:t>
      </w:r>
      <w:r>
        <w:t xml:space="preserve"> </w:t>
      </w:r>
      <w:r>
        <w:rPr>
          <w:iCs/>
          <w:i/>
        </w:rPr>
        <w:t xml:space="preserve">J Diabetes Complications</w:t>
      </w:r>
      <w:r>
        <w:t xml:space="preserve"> </w:t>
      </w:r>
      <w:r>
        <w:t xml:space="preserve">· Effects of semaglutide and empagliflozin on markers of endothelial function in persons with type 2 diabetes: A post hoc analysis of a randomized clinical trial. PMID 42679726</w:t>
      </w:r>
    </w:p>
    <w:p>
      <w:pPr>
        <w:numPr>
          <w:ilvl w:val="0"/>
          <w:numId w:val="1379"/>
        </w:numPr>
        <w:pStyle w:val="Compact"/>
      </w:pPr>
      <w:r>
        <w:t xml:space="preserve">2026 · Montaser E ·</w:t>
      </w:r>
      <w:r>
        <w:t xml:space="preserve"> </w:t>
      </w:r>
      <w:r>
        <w:rPr>
          <w:iCs/>
          <w:i/>
        </w:rPr>
        <w:t xml:space="preserve">Diabetes Obes Metab</w:t>
      </w:r>
      <w:r>
        <w:t xml:space="preserve"> </w:t>
      </w:r>
      <w:r>
        <w:t xml:space="preserve">· Glycaemic Changes After Semaglutide Discontinuation in Adults With Type 1 Diabetes Using Automated Insulin Delivery: Analysis of the ADJUST-T1D Extension Study. PMID 42675550</w:t>
      </w:r>
    </w:p>
    <w:p>
      <w:pPr>
        <w:numPr>
          <w:ilvl w:val="0"/>
          <w:numId w:val="1379"/>
        </w:numPr>
        <w:pStyle w:val="Compact"/>
      </w:pPr>
      <w:r>
        <w:t xml:space="preserve">2026 · Plutzky J ·</w:t>
      </w:r>
      <w:r>
        <w:t xml:space="preserve"> </w:t>
      </w:r>
      <w:r>
        <w:rPr>
          <w:iCs/>
          <w:i/>
        </w:rPr>
        <w:t xml:space="preserve">Circulation</w:t>
      </w:r>
      <w:r>
        <w:t xml:space="preserve"> </w:t>
      </w:r>
      <w:r>
        <w:t xml:space="preserve">· Effect of Semaglutide on the Inflammatory Biomarker High-Sensitivity CRP in Patients With Established Cardiovascular Disease and Overweight or Obesity in SELECT: A Prespecified Secondary Analysis. PMID 42610271</w:t>
      </w:r>
    </w:p>
    <w:p>
      <w:pPr>
        <w:numPr>
          <w:ilvl w:val="0"/>
          <w:numId w:val="1379"/>
        </w:numPr>
        <w:pStyle w:val="Compact"/>
      </w:pPr>
      <w:r>
        <w:t xml:space="preserve">2026 · Miyake T ·</w:t>
      </w:r>
      <w:r>
        <w:t xml:space="preserve"> </w:t>
      </w:r>
      <w:r>
        <w:rPr>
          <w:iCs/>
          <w:i/>
        </w:rPr>
        <w:t xml:space="preserve">Diabetes Obes Metab</w:t>
      </w:r>
      <w:r>
        <w:t xml:space="preserve"> </w:t>
      </w:r>
      <w:r>
        <w:t xml:space="preserve">· Efficacy of Luseogliflozin Added to Semaglutide in Patients With Metabolic Dysfunction-Associated Steatohepatitis and Type 2 Diabetes Mellitus: A Randomised, Open-Label Trial. PMID 42605535</w:t>
      </w:r>
    </w:p>
    <w:p>
      <w:pPr>
        <w:numPr>
          <w:ilvl w:val="0"/>
          <w:numId w:val="1379"/>
        </w:numPr>
        <w:pStyle w:val="Compact"/>
      </w:pPr>
      <w:r>
        <w:t xml:space="preserve">2026 · Ji L ·</w:t>
      </w:r>
      <w:r>
        <w:t xml:space="preserve"> </w:t>
      </w:r>
      <w:r>
        <w:rPr>
          <w:iCs/>
          <w:i/>
        </w:rPr>
        <w:t xml:space="preserve">Lancet Diabetes Endocrinol</w:t>
      </w:r>
      <w:r>
        <w:t xml:space="preserve"> </w:t>
      </w:r>
      <w:r>
        <w:t xml:space="preserve">· Once-weekly IcoSema versus once-daily insulin glargine U100 in type 2 diabetes management (COMBINE 4): an open-label, multicentre, treat-to-target, randomised, phase 3b trial. PMID 42594928</w:t>
      </w:r>
    </w:p>
    <w:p>
      <w:pPr>
        <w:numPr>
          <w:ilvl w:val="0"/>
          <w:numId w:val="1379"/>
        </w:numPr>
        <w:pStyle w:val="Compact"/>
      </w:pPr>
      <w:r>
        <w:t xml:space="preserve">2026 · Guo L ·</w:t>
      </w:r>
      <w:r>
        <w:t xml:space="preserve"> </w:t>
      </w:r>
      <w:r>
        <w:rPr>
          <w:iCs/>
          <w:i/>
        </w:rPr>
        <w:t xml:space="preserve">Lancet Diabetes Endocrinol</w:t>
      </w:r>
      <w:r>
        <w:t xml:space="preserve"> </w:t>
      </w:r>
      <w:r>
        <w:t xml:space="preserve">· Efficacy and safety of once-weekly semaglutide 2·4 mg in Chinese adults with overweight or obesity (STEP 12): a randomised, double-blind, placebo-controlled, multicentre, phase 3b trial. PMID 42575111</w:t>
      </w:r>
    </w:p>
    <w:p>
      <w:pPr>
        <w:numPr>
          <w:ilvl w:val="0"/>
          <w:numId w:val="1379"/>
        </w:numPr>
        <w:pStyle w:val="Compact"/>
      </w:pPr>
      <w:r>
        <w:t xml:space="preserve">2026 · Mann JFE ·</w:t>
      </w:r>
      <w:r>
        <w:t xml:space="preserve"> </w:t>
      </w:r>
      <w:r>
        <w:rPr>
          <w:iCs/>
          <w:i/>
        </w:rPr>
        <w:t xml:space="preserve">Lancet Diabetes Endocrinol</w:t>
      </w:r>
      <w:r>
        <w:t xml:space="preserve"> </w:t>
      </w:r>
      <w:r>
        <w:t xml:space="preserve">· Effect of semaglutide on kidney outcomes in the SELECT, FLOW, and SOUL trials: a prespecified pooled analysis. PMID 42567173</w:t>
      </w:r>
    </w:p>
    <w:p>
      <w:pPr>
        <w:numPr>
          <w:ilvl w:val="0"/>
          <w:numId w:val="1379"/>
        </w:numPr>
        <w:pStyle w:val="Compact"/>
      </w:pPr>
      <w:r>
        <w:t xml:space="preserve">2026 · Ji L ·</w:t>
      </w:r>
      <w:r>
        <w:t xml:space="preserve"> </w:t>
      </w:r>
      <w:r>
        <w:rPr>
          <w:iCs/>
          <w:i/>
        </w:rPr>
        <w:t xml:space="preserve">Diabetes Obes Metab</w:t>
      </w:r>
      <w:r>
        <w:t xml:space="preserve"> </w:t>
      </w:r>
      <w:r>
        <w:t xml:space="preserve">· Efficacy and Hypoglycaemia Outcomes With Once-Weekly IcoSema Versus Comparators in Individuals With Type 2 Diabetes by Kidney and Liver Function: A Post Hoc Analysis of the COMBINE 1-3 Trials. PMID 42557064</w:t>
      </w:r>
    </w:p>
    <w:p>
      <w:pPr>
        <w:numPr>
          <w:ilvl w:val="0"/>
          <w:numId w:val="1379"/>
        </w:numPr>
        <w:pStyle w:val="Compact"/>
      </w:pPr>
      <w:r>
        <w:t xml:space="preserve">2026 · Schacht JP ·</w:t>
      </w:r>
      <w:r>
        <w:t xml:space="preserve"> </w:t>
      </w:r>
      <w:r>
        <w:rPr>
          <w:iCs/>
          <w:i/>
        </w:rPr>
        <w:t xml:space="preserve">Am J Psychiatry</w:t>
      </w:r>
      <w:r>
        <w:t xml:space="preserve"> </w:t>
      </w:r>
      <w:r>
        <w:t xml:space="preserve">· Oral Semaglutide for Alcohol Use Disorder: A Randomized Clinical Trial. PMID 42522065</w:t>
      </w:r>
    </w:p>
    <w:p>
      <w:pPr>
        <w:numPr>
          <w:ilvl w:val="0"/>
          <w:numId w:val="1379"/>
        </w:numPr>
        <w:pStyle w:val="Compact"/>
      </w:pPr>
      <w:r>
        <w:t xml:space="preserve">2026 · Lake JE ·</w:t>
      </w:r>
      <w:r>
        <w:t xml:space="preserve"> </w:t>
      </w:r>
      <w:r>
        <w:rPr>
          <w:iCs/>
          <w:i/>
        </w:rPr>
        <w:t xml:space="preserve">HIV Med</w:t>
      </w:r>
      <w:r>
        <w:t xml:space="preserve"> </w:t>
      </w:r>
      <w:r>
        <w:t xml:space="preserve">· Semaglutide improves MASLD and MASH in people with HIV: The SLIM LIVER study. PMID 42517548</w:t>
      </w:r>
    </w:p>
    <w:p>
      <w:pPr>
        <w:numPr>
          <w:ilvl w:val="0"/>
          <w:numId w:val="1379"/>
        </w:numPr>
        <w:pStyle w:val="Compact"/>
      </w:pPr>
      <w:r>
        <w:t xml:space="preserve">2026 · Rodbard HW ·</w:t>
      </w:r>
      <w:r>
        <w:t xml:space="preserve"> </w:t>
      </w:r>
      <w:r>
        <w:rPr>
          <w:iCs/>
          <w:i/>
        </w:rPr>
        <w:t xml:space="preserve">Diabetes Obes Metab</w:t>
      </w:r>
      <w:r>
        <w:t xml:space="preserve"> </w:t>
      </w:r>
      <w:r>
        <w:t xml:space="preserve">· Efficacy and Safety of Once-Weekly Semaglutide 2.0 mg as an Add-On to Dose-Reduced Insulin Glargine versus Dose-Titrated Insulin Glargine in People With Type 2 Diabetes and Overweight (SUSTAIN OPTIMIZE). PMID 42504064</w:t>
      </w:r>
    </w:p>
    <w:p>
      <w:pPr>
        <w:numPr>
          <w:ilvl w:val="0"/>
          <w:numId w:val="1379"/>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79"/>
        </w:numPr>
        <w:pStyle w:val="Compact"/>
      </w:pPr>
      <w:r>
        <w:t xml:space="preserve">2026 · Timmons JG ·</w:t>
      </w:r>
      <w:r>
        <w:t xml:space="preserve"> </w:t>
      </w:r>
      <w:r>
        <w:rPr>
          <w:iCs/>
          <w:i/>
        </w:rPr>
        <w:t xml:space="preserve">Diabetes Obes Metab</w:t>
      </w:r>
      <w:r>
        <w:t xml:space="preserve"> </w:t>
      </w:r>
      <w:r>
        <w:t xml:space="preserve">· Insulin, Semaglutide and Dapagliflozin in Adults With Type 1 Diabetes: Design and Methods of Triple Therapy for Type 1 Diabetes (TTT1)-An International Phase 3 Clinical Trial. PMID 42473259</w:t>
      </w:r>
    </w:p>
    <w:p>
      <w:pPr>
        <w:numPr>
          <w:ilvl w:val="0"/>
          <w:numId w:val="1379"/>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79"/>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79"/>
        </w:numPr>
        <w:pStyle w:val="Compact"/>
      </w:pPr>
      <w:r>
        <w:t xml:space="preserve">2026 · Rahman E ·</w:t>
      </w:r>
      <w:r>
        <w:t xml:space="preserve"> </w:t>
      </w:r>
      <w:r>
        <w:rPr>
          <w:iCs/>
          <w:i/>
        </w:rPr>
        <w:t xml:space="preserve">Aesthetic Plast Surg</w:t>
      </w:r>
      <w:r>
        <w:t xml:space="preserve"> </w:t>
      </w:r>
      <w:r>
        <w:t xml:space="preserve">· Computational Trial of Prophylactic Biostimulator Interventions to Mitigate Facial Sagging Associated With GLP-1 Receptor Agonist Induced Weight Loss. PMID 42414642</w:t>
      </w:r>
    </w:p>
    <w:p>
      <w:pPr>
        <w:numPr>
          <w:ilvl w:val="0"/>
          <w:numId w:val="1379"/>
        </w:numPr>
        <w:pStyle w:val="Compact"/>
      </w:pPr>
      <w:r>
        <w:t xml:space="preserve">2026 · Ambika Gopalakrishnan U ·</w:t>
      </w:r>
      <w:r>
        <w:t xml:space="preserve"> </w:t>
      </w:r>
      <w:r>
        <w:rPr>
          <w:iCs/>
          <w:i/>
        </w:rPr>
        <w:t xml:space="preserve">Diabetes Obes Metab</w:t>
      </w:r>
      <w:r>
        <w:t xml:space="preserve"> </w:t>
      </w:r>
      <w:r>
        <w:t xml:space="preserve">· Semaglutide Injection Once-Weekly for Weight Management in Adults: Results From A Randomized Phase III, Active-Controlled Study. PMID 42403263</w:t>
      </w:r>
    </w:p>
    <w:p>
      <w:pPr>
        <w:numPr>
          <w:ilvl w:val="0"/>
          <w:numId w:val="1379"/>
        </w:numPr>
        <w:pStyle w:val="Compact"/>
      </w:pPr>
      <w:r>
        <w:t xml:space="preserve">2026 · Strojek K ·</w:t>
      </w:r>
      <w:r>
        <w:t xml:space="preserve"> </w:t>
      </w:r>
      <w:r>
        <w:rPr>
          <w:iCs/>
          <w:i/>
        </w:rPr>
        <w:t xml:space="preserve">Diabetes Obes Metab</w:t>
      </w:r>
      <w:r>
        <w:t xml:space="preserve"> </w:t>
      </w:r>
      <w:r>
        <w:t xml:space="preserve">· Efficacy and Safety of Intensifying Once-Weekly Insulin Icodec Treatment With Once-Weekly Semaglutide in Adults With Type 2 Diabetes: A Single-Arm, Open-Label, Treat-to-Target, Phase 3b Trial (ONWARDS 8). PMID 42387310</w:t>
      </w:r>
    </w:p>
    <w:p>
      <w:pPr>
        <w:numPr>
          <w:ilvl w:val="0"/>
          <w:numId w:val="1379"/>
        </w:numPr>
        <w:pStyle w:val="Compact"/>
      </w:pPr>
      <w:r>
        <w:t xml:space="preserve">2026 · Liu M ·</w:t>
      </w:r>
      <w:r>
        <w:t xml:space="preserve"> </w:t>
      </w:r>
      <w:r>
        <w:rPr>
          <w:iCs/>
          <w:i/>
        </w:rPr>
        <w:t xml:space="preserve">Ann Intern Med</w:t>
      </w:r>
      <w:r>
        <w:t xml:space="preserve"> </w:t>
      </w:r>
      <w:r>
        <w:t xml:space="preserve">· Weekly and Biweekly Treatment With Bofanglutide Versus Semaglutide in Chinese Patients With Type 2 Diabetes : A Phase 2b Randomized Clinical Trial. PMID 42372276</w:t>
      </w:r>
    </w:p>
    <w:p>
      <w:pPr>
        <w:numPr>
          <w:ilvl w:val="0"/>
          <w:numId w:val="1379"/>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79"/>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79"/>
        </w:numPr>
        <w:pStyle w:val="Compact"/>
      </w:pPr>
      <w:r>
        <w:t xml:space="preserve">2026 · Tronieri JS ·</w:t>
      </w:r>
      <w:r>
        <w:t xml:space="preserve"> </w:t>
      </w:r>
      <w:r>
        <w:rPr>
          <w:iCs/>
          <w:i/>
        </w:rPr>
        <w:t xml:space="preserve">Am J Clin Nutr</w:t>
      </w:r>
      <w:r>
        <w:t xml:space="preserve"> </w:t>
      </w:r>
      <w:r>
        <w:t xml:space="preserve">· Short- and long-term effects of semaglutide 2.4 mg on energy intake, appetite, and food reward: a 60-week, double-blind randomized controlled trial. PMID 42323166</w:t>
      </w:r>
    </w:p>
    <w:p>
      <w:pPr>
        <w:numPr>
          <w:ilvl w:val="0"/>
          <w:numId w:val="1379"/>
        </w:numPr>
        <w:pStyle w:val="Compact"/>
      </w:pPr>
      <w:r>
        <w:t xml:space="preserve">2026 · Rahman E ·</w:t>
      </w:r>
      <w:r>
        <w:t xml:space="preserve"> </w:t>
      </w:r>
      <w:r>
        <w:rPr>
          <w:iCs/>
          <w:i/>
        </w:rPr>
        <w:t xml:space="preserve">Aesthetic Plast Surg</w:t>
      </w:r>
      <w:r>
        <w:t xml:space="preserve"> </w:t>
      </w:r>
      <w:r>
        <w:t xml:space="preserve">· A Computational Trial of Dermal Mechanotransduction in GLP-1 Receptor Agonist-Associated Premature Facial Ageing. PMID 42310090</w:t>
      </w:r>
    </w:p>
    <w:p>
      <w:pPr>
        <w:numPr>
          <w:ilvl w:val="0"/>
          <w:numId w:val="1379"/>
        </w:numPr>
        <w:pStyle w:val="Compact"/>
      </w:pPr>
      <w:r>
        <w:t xml:space="preserve">2026 · Heerspink HJL ·</w:t>
      </w:r>
      <w:r>
        <w:t xml:space="preserve"> </w:t>
      </w:r>
      <w:r>
        <w:rPr>
          <w:iCs/>
          <w:i/>
        </w:rPr>
        <w:t xml:space="preserve">Clin J Am Soc Nephrol</w:t>
      </w:r>
      <w:r>
        <w:t xml:space="preserve"> </w:t>
      </w:r>
      <w:r>
        <w:t xml:space="preserve">· Effects of Semaglutide on Body Composition and GFR: A Prespecified Analysis of the SMART Trial. PMID 42308057</w:t>
      </w:r>
    </w:p>
    <w:p>
      <w:pPr>
        <w:numPr>
          <w:ilvl w:val="0"/>
          <w:numId w:val="1379"/>
        </w:numPr>
        <w:pStyle w:val="Compact"/>
      </w:pPr>
      <w:r>
        <w:t xml:space="preserve">2026 · Aroda VR ·</w:t>
      </w:r>
      <w:r>
        <w:t xml:space="preserve"> </w:t>
      </w:r>
      <w:r>
        <w:rPr>
          <w:iCs/>
          <w:i/>
        </w:rPr>
        <w:t xml:space="preserve">Lancet</w:t>
      </w:r>
      <w:r>
        <w:t xml:space="preserve"> </w:t>
      </w:r>
      <w:r>
        <w:t xml:space="preserve">· Elecoglipron, an oral small molecule GLP-1 receptor agonist in adults with type 2 diabetes (SOLSTICE): a multicentre, phase 2b, randomised, placebo-controlled trial. PMID 42259343</w:t>
      </w:r>
    </w:p>
    <w:p>
      <w:pPr>
        <w:numPr>
          <w:ilvl w:val="0"/>
          <w:numId w:val="1379"/>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79"/>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79"/>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79"/>
        </w:numPr>
        <w:pStyle w:val="Compact"/>
      </w:pPr>
      <w:r>
        <w:t xml:space="preserve">2026 · Tuttle KR ·</w:t>
      </w:r>
      <w:r>
        <w:t xml:space="preserve"> </w:t>
      </w:r>
      <w:r>
        <w:rPr>
          <w:iCs/>
          <w:i/>
        </w:rPr>
        <w:t xml:space="preserve">J Am Coll Cardiol</w:t>
      </w:r>
      <w:r>
        <w:t xml:space="preserve"> </w:t>
      </w:r>
      <w:r>
        <w:t xml:space="preserve">· Kidney and Survival Benefits of Semaglutide in Diabetes With Chronic Kidney Disease: FLOW Trial Cardiovascular Subgroup Analyses. PMID 42233552</w:t>
      </w:r>
    </w:p>
    <w:p>
      <w:pPr>
        <w:numPr>
          <w:ilvl w:val="0"/>
          <w:numId w:val="1379"/>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79"/>
        </w:numPr>
        <w:pStyle w:val="Compact"/>
      </w:pPr>
      <w:r>
        <w:t xml:space="preserve">2026 · Plotkin M ·</w:t>
      </w:r>
      <w:r>
        <w:t xml:space="preserve"> </w:t>
      </w:r>
      <w:r>
        <w:rPr>
          <w:iCs/>
          <w:i/>
        </w:rPr>
        <w:t xml:space="preserve">Diabetes Obes Metab</w:t>
      </w:r>
      <w:r>
        <w:t xml:space="preserve"> </w:t>
      </w:r>
      <w:r>
        <w:t xml:space="preserve">· Semaglutide 25 mg Oral Versus Semaglutide 2.4 mg Injectable: An Indirect Treatment Comparison of Weight Loss Outcomes. PMID 42225300</w:t>
      </w:r>
    </w:p>
    <w:p>
      <w:pPr>
        <w:numPr>
          <w:ilvl w:val="0"/>
          <w:numId w:val="1379"/>
        </w:numPr>
        <w:pStyle w:val="Compact"/>
      </w:pPr>
      <w:r>
        <w:t xml:space="preserve">2026 · Ambika Gopalakrishnan U ·</w:t>
      </w:r>
      <w:r>
        <w:t xml:space="preserve"> </w:t>
      </w:r>
      <w:r>
        <w:rPr>
          <w:iCs/>
          <w:i/>
        </w:rPr>
        <w:t xml:space="preserve">Diabetes Obes Metab</w:t>
      </w:r>
      <w:r>
        <w:t xml:space="preserve"> </w:t>
      </w:r>
      <w:r>
        <w:t xml:space="preserve">· Semaglutide Injection in Indian Patients With Type 2 Diabetes Mellitus: A Randomised, Phase III, Active-Controlled Study. PMID 42219226</w:t>
      </w:r>
    </w:p>
    <w:p>
      <w:pPr>
        <w:numPr>
          <w:ilvl w:val="0"/>
          <w:numId w:val="1379"/>
        </w:numPr>
        <w:pStyle w:val="Compact"/>
      </w:pPr>
      <w:r>
        <w:t xml:space="preserve">2026 · Jin P ·</w:t>
      </w:r>
      <w:r>
        <w:t xml:space="preserve"> </w:t>
      </w:r>
      <w:r>
        <w:rPr>
          <w:iCs/>
          <w:i/>
        </w:rPr>
        <w:t xml:space="preserve">Diabetes Obes Metab</w:t>
      </w:r>
      <w:r>
        <w:t xml:space="preserve"> </w:t>
      </w:r>
      <w:r>
        <w:t xml:space="preserve">· Evaluation of the Safety, Efficacy and Pharmacokinetics of BGM0504 in Chinese Adults With Type 2 Diabetes: A Multicentre, Randomised, Controlled and Double-Blind Phase II Trial. PMID 42219225</w:t>
      </w:r>
    </w:p>
    <w:p>
      <w:pPr>
        <w:numPr>
          <w:ilvl w:val="0"/>
          <w:numId w:val="1379"/>
        </w:numPr>
        <w:pStyle w:val="Compact"/>
      </w:pPr>
      <w:r>
        <w:t xml:space="preserve">2026 · Hendershot CS ·</w:t>
      </w:r>
      <w:r>
        <w:t xml:space="preserve"> </w:t>
      </w:r>
      <w:r>
        <w:rPr>
          <w:iCs/>
          <w:i/>
        </w:rPr>
        <w:t xml:space="preserve">JAMA Netw Open</w:t>
      </w:r>
      <w:r>
        <w:t xml:space="preserve"> </w:t>
      </w:r>
      <w:r>
        <w:t xml:space="preserve">· Once-Weekly Semaglutide in Adults With Daily Cigarette Use: A Randomized Clinical Trial. PMID 42189538</w:t>
      </w:r>
    </w:p>
    <w:p>
      <w:pPr>
        <w:numPr>
          <w:ilvl w:val="0"/>
          <w:numId w:val="1379"/>
        </w:numPr>
        <w:pStyle w:val="Compact"/>
      </w:pPr>
      <w:r>
        <w:t xml:space="preserve">2026 · Stanley C ·</w:t>
      </w:r>
      <w:r>
        <w:t xml:space="preserve"> </w:t>
      </w:r>
      <w:r>
        <w:rPr>
          <w:iCs/>
          <w:i/>
        </w:rPr>
        <w:t xml:space="preserve">Nat Med</w:t>
      </w:r>
      <w:r>
        <w:t xml:space="preserve"> </w:t>
      </w:r>
      <w:r>
        <w:t xml:space="preserve">· Semaglutide versus placebo in individuals with poor weight loss after bariatric surgery: a double-blinded, randomized, placebo-controlled trial. PMID 42174253</w:t>
      </w:r>
    </w:p>
    <w:p>
      <w:pPr>
        <w:numPr>
          <w:ilvl w:val="0"/>
          <w:numId w:val="1379"/>
        </w:numPr>
        <w:pStyle w:val="Compact"/>
      </w:pPr>
      <w:r>
        <w:t xml:space="preserve">2026 · Huang YS ·</w:t>
      </w:r>
      <w:r>
        <w:t xml:space="preserve"> </w:t>
      </w:r>
      <w:r>
        <w:rPr>
          <w:iCs/>
          <w:i/>
        </w:rPr>
        <w:t xml:space="preserve">Obes Surg</w:t>
      </w:r>
      <w:r>
        <w:t xml:space="preserve"> </w:t>
      </w:r>
      <w:r>
        <w:t xml:space="preserve">· Early Adjuvant Treatment with Semaglutide After Sleeve Gastrectomy in Patients with Class II-III Obesity: A Prospective Non-Randomized Controlled Study. PMID 42174244</w:t>
      </w:r>
    </w:p>
    <w:p>
      <w:pPr>
        <w:numPr>
          <w:ilvl w:val="0"/>
          <w:numId w:val="1379"/>
        </w:numPr>
        <w:pStyle w:val="Compact"/>
      </w:pPr>
      <w:r>
        <w:t xml:space="preserve">2026 · Helsted MM ·</w:t>
      </w:r>
      <w:r>
        <w:t xml:space="preserve"> </w:t>
      </w:r>
      <w:r>
        <w:rPr>
          <w:iCs/>
          <w:i/>
        </w:rPr>
        <w:t xml:space="preserve">Lancet Diabetes Endocrinol</w:t>
      </w:r>
      <w:r>
        <w:t xml:space="preserve"> </w:t>
      </w:r>
      <w:r>
        <w:t xml:space="preserve">· Effects of a 6-week subcutaneous infusion of native GIP alone or as add-on to semaglutide in people with type 2 diabetes: a single-centre, double-blind, parallel-group, randomised, placebo-controlled trial. PMID 42173109</w:t>
      </w:r>
    </w:p>
    <w:p>
      <w:pPr>
        <w:numPr>
          <w:ilvl w:val="0"/>
          <w:numId w:val="1379"/>
        </w:numPr>
        <w:pStyle w:val="Compact"/>
      </w:pPr>
      <w:r>
        <w:t xml:space="preserve">2026 · Long W ·</w:t>
      </w:r>
      <w:r>
        <w:t xml:space="preserve"> </w:t>
      </w:r>
      <w:r>
        <w:rPr>
          <w:iCs/>
          <w:i/>
        </w:rPr>
        <w:t xml:space="preserve">Pak J Pharm Sci</w:t>
      </w:r>
      <w:r>
        <w:t xml:space="preserve"> </w:t>
      </w:r>
      <w:r>
        <w:t xml:space="preserve">· Short-term comparative effects of semaglutide, either alone or in conjunction with canagliflozin, on early diabetic kidney disease. PMID 42170981</w:t>
      </w:r>
    </w:p>
    <w:p>
      <w:pPr>
        <w:numPr>
          <w:ilvl w:val="0"/>
          <w:numId w:val="1379"/>
        </w:numPr>
        <w:pStyle w:val="Compact"/>
      </w:pPr>
      <w:r>
        <w:t xml:space="preserve">2026 · Corley MJ ·</w:t>
      </w:r>
      <w:r>
        <w:t xml:space="preserve"> </w:t>
      </w:r>
      <w:r>
        <w:rPr>
          <w:iCs/>
          <w:i/>
        </w:rPr>
        <w:t xml:space="preserve">Nat Commun</w:t>
      </w:r>
      <w:r>
        <w:t xml:space="preserve"> </w:t>
      </w:r>
      <w:r>
        <w:t xml:space="preserve">· Semaglutide slows epigenetic aging in a randomized trial of HIV-associated lipohypertrophy. PMID 42156721</w:t>
      </w:r>
    </w:p>
    <w:p>
      <w:pPr>
        <w:numPr>
          <w:ilvl w:val="0"/>
          <w:numId w:val="137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79"/>
        </w:numPr>
        <w:pStyle w:val="Compact"/>
      </w:pPr>
      <w:r>
        <w:t xml:space="preserve">2026 · Lake JE ·</w:t>
      </w:r>
      <w:r>
        <w:t xml:space="preserve"> </w:t>
      </w:r>
      <w:r>
        <w:rPr>
          <w:iCs/>
          <w:i/>
        </w:rPr>
        <w:t xml:space="preserve">AIDS</w:t>
      </w:r>
      <w:r>
        <w:t xml:space="preserve"> </w:t>
      </w:r>
      <w:r>
        <w:t xml:space="preserve">· Semaglutide improves markers of cardiovascular risk in people with HIV. PMID 42084141</w:t>
      </w:r>
    </w:p>
    <w:p>
      <w:pPr>
        <w:numPr>
          <w:ilvl w:val="0"/>
          <w:numId w:val="1379"/>
        </w:numPr>
        <w:pStyle w:val="Compact"/>
      </w:pPr>
      <w:r>
        <w:t xml:space="preserve">2026 · Klausen MK ·</w:t>
      </w:r>
      <w:r>
        <w:t xml:space="preserve"> </w:t>
      </w:r>
      <w:r>
        <w:rPr>
          <w:iCs/>
          <w:i/>
        </w:rPr>
        <w:t xml:space="preserve">Lancet</w:t>
      </w:r>
      <w:r>
        <w:t xml:space="preserve"> </w:t>
      </w:r>
      <w:r>
        <w:t xml:space="preserve">· Once-weekly semaglutide versus placebo in patients with alcohol use disorder and comorbid obesity: a randomised, double-blind, placebo-controlled trial. PMID 42070571</w:t>
      </w:r>
    </w:p>
    <w:p>
      <w:pPr>
        <w:numPr>
          <w:ilvl w:val="0"/>
          <w:numId w:val="1379"/>
        </w:numPr>
        <w:pStyle w:val="Compact"/>
      </w:pPr>
      <w:r>
        <w:t xml:space="preserve">2026 · Gill H ·</w:t>
      </w:r>
      <w:r>
        <w:t xml:space="preserve"> </w:t>
      </w:r>
      <w:r>
        <w:rPr>
          <w:iCs/>
          <w:i/>
        </w:rPr>
        <w:t xml:space="preserve">JAMA Psychiatry</w:t>
      </w:r>
      <w:r>
        <w:t xml:space="preserve"> </w:t>
      </w:r>
      <w:r>
        <w:t xml:space="preserve">· Semaglutide and Effort-Based Decision-Making in Major Depressive Disorder: A Randomized Clinical Trial. PMID 42054055</w:t>
      </w:r>
    </w:p>
    <w:p>
      <w:pPr>
        <w:numPr>
          <w:ilvl w:val="0"/>
          <w:numId w:val="1379"/>
        </w:numPr>
        <w:pStyle w:val="Compact"/>
      </w:pPr>
      <w:r>
        <w:t xml:space="preserve">2026 · Cronenberger C ·</w:t>
      </w:r>
      <w:r>
        <w:t xml:space="preserve"> </w:t>
      </w:r>
      <w:r>
        <w:rPr>
          <w:iCs/>
          <w:i/>
        </w:rPr>
        <w:t xml:space="preserve">J Clin Pharmacol</w:t>
      </w:r>
      <w:r>
        <w:t xml:space="preserve"> </w:t>
      </w:r>
      <w:r>
        <w:t xml:space="preserve">· Assessment of the Drug-Drug Interaction Potential of Lotiglipron (PF-07081532) with Midazolam, Omeprazole, Dabigatran, Rosuvastatin, and the Oral Contraceptives Levonorgestrel and Ethinyl Estradiol. PMID 42053447</w:t>
      </w:r>
    </w:p>
    <w:p>
      <w:pPr>
        <w:numPr>
          <w:ilvl w:val="0"/>
          <w:numId w:val="1379"/>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79"/>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79"/>
        </w:numPr>
        <w:pStyle w:val="Compact"/>
      </w:pPr>
      <w:r>
        <w:t xml:space="preserve">2026 · Zaccardi F ·</w:t>
      </w:r>
      <w:r>
        <w:t xml:space="preserve"> </w:t>
      </w:r>
      <w:r>
        <w:rPr>
          <w:iCs/>
          <w:i/>
        </w:rPr>
        <w:t xml:space="preserve">Diabetes Obes Metab</w:t>
      </w:r>
      <w:r>
        <w:t xml:space="preserve"> </w:t>
      </w:r>
      <w:r>
        <w:t xml:space="preserve">· Semaglutide Treatment in Young Adults Living With Type 2 Diabetes: A Post Hoc Analysis From the SUSTAIN and PIONEER Clinical Trials. PMID 41994903</w:t>
      </w:r>
    </w:p>
    <w:p>
      <w:pPr>
        <w:numPr>
          <w:ilvl w:val="0"/>
          <w:numId w:val="1379"/>
        </w:numPr>
        <w:pStyle w:val="Compact"/>
      </w:pPr>
      <w:r>
        <w:t xml:space="preserve">2026 · Meyhöfer SM ·</w:t>
      </w:r>
      <w:r>
        <w:t xml:space="preserve"> </w:t>
      </w:r>
      <w:r>
        <w:rPr>
          <w:iCs/>
          <w:i/>
        </w:rPr>
        <w:t xml:space="preserve">Nat Med</w:t>
      </w:r>
      <w:r>
        <w:t xml:space="preserve"> </w:t>
      </w:r>
      <w:r>
        <w:t xml:space="preserve">· Semaglutide on liver fibrosis and heart outcomes in patients at high risk of liver fibrosis: a prespecified analysis of the SELECT randomized trial. PMID 41928037</w:t>
      </w:r>
    </w:p>
    <w:p>
      <w:pPr>
        <w:numPr>
          <w:ilvl w:val="0"/>
          <w:numId w:val="1379"/>
        </w:numPr>
        <w:pStyle w:val="Compact"/>
      </w:pPr>
      <w:r>
        <w:t xml:space="preserve">2026 · Moreno-Pérez Ó ·</w:t>
      </w:r>
      <w:r>
        <w:t xml:space="preserve"> </w:t>
      </w:r>
      <w:r>
        <w:rPr>
          <w:iCs/>
          <w:i/>
        </w:rPr>
        <w:t xml:space="preserve">Cardiovasc Diabetol</w:t>
      </w:r>
      <w:r>
        <w:t xml:space="preserve"> </w:t>
      </w:r>
      <w:r>
        <w:t xml:space="preserve">· Inpatient safety, effectiveness of SGLT2 inhibitors and GLP-1 RAs in type 2 diabetes: ENDOCARE, a pragmatic prospective cohort study. PMID 41913157</w:t>
      </w:r>
    </w:p>
    <w:p>
      <w:pPr>
        <w:numPr>
          <w:ilvl w:val="0"/>
          <w:numId w:val="1379"/>
        </w:numPr>
        <w:pStyle w:val="Compact"/>
      </w:pPr>
      <w:r>
        <w:t xml:space="preserve">2026 · Mulvagh SL ·</w:t>
      </w:r>
      <w:r>
        <w:t xml:space="preserve"> </w:t>
      </w:r>
      <w:r>
        <w:rPr>
          <w:iCs/>
          <w:i/>
        </w:rPr>
        <w:t xml:space="preserve">JAMA Cardiol</w:t>
      </w:r>
      <w:r>
        <w:t xml:space="preserve"> </w:t>
      </w:r>
      <w:r>
        <w:t xml:space="preserve">· Oral Semaglutide and Change in Cardiovascular Risk Factors in High-Risk Type 2 Diabetes: A Post Hoc Secondary Analysis of the SOUL Randomized Clinical Trial. PMID 41879791</w:t>
      </w:r>
    </w:p>
    <w:p>
      <w:pPr>
        <w:numPr>
          <w:ilvl w:val="0"/>
          <w:numId w:val="1379"/>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79"/>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79"/>
        </w:numPr>
        <w:pStyle w:val="Compact"/>
      </w:pPr>
      <w:r>
        <w:t xml:space="preserve">2026 · Cummings JL ·</w:t>
      </w:r>
      <w:r>
        <w:t xml:space="preserve"> </w:t>
      </w:r>
      <w:r>
        <w:rPr>
          <w:iCs/>
          <w:i/>
        </w:rPr>
        <w:t xml:space="preserve">Lancet</w:t>
      </w:r>
      <w:r>
        <w:t xml:space="preserve"> </w:t>
      </w:r>
      <w:r>
        <w:t xml:space="preserve">· Efficacy and safety of oral semaglutide 14 mg (flexible dose) in early-stage symptomatic Alzheimer’s disease (evoke and evoke+): two phase 3, randomised, placebo-controlled trials. PMID 41865758</w:t>
      </w:r>
    </w:p>
    <w:p>
      <w:pPr>
        <w:numPr>
          <w:ilvl w:val="0"/>
          <w:numId w:val="1379"/>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9"/>
        </w:numPr>
        <w:pStyle w:val="Compact"/>
      </w:pPr>
      <w:r>
        <w:t xml:space="preserve">2026 · Schrage B ·</w:t>
      </w:r>
      <w:r>
        <w:t xml:space="preserve"> </w:t>
      </w:r>
      <w:r>
        <w:rPr>
          <w:iCs/>
          <w:i/>
        </w:rPr>
        <w:t xml:space="preserve">J Am Coll Cardiol</w:t>
      </w:r>
      <w:r>
        <w:t xml:space="preserve"> </w:t>
      </w:r>
      <w:r>
        <w:t xml:space="preserve">· Emulated Effects of Glucagon-Like Peptide 1 Receptor Agonist Therapy in the General Population. PMID 41811277</w:t>
      </w:r>
    </w:p>
    <w:p>
      <w:pPr>
        <w:numPr>
          <w:ilvl w:val="0"/>
          <w:numId w:val="1379"/>
        </w:numPr>
        <w:pStyle w:val="Compact"/>
      </w:pPr>
      <w:r>
        <w:t xml:space="preserve">2026 · Ganeshalingam AA ·</w:t>
      </w:r>
      <w:r>
        <w:t xml:space="preserve"> </w:t>
      </w:r>
      <w:r>
        <w:rPr>
          <w:iCs/>
          <w:i/>
        </w:rPr>
        <w:t xml:space="preserve">Diabetes Care</w:t>
      </w:r>
      <w:r>
        <w:t xml:space="preserve"> </w:t>
      </w:r>
      <w:r>
        <w:t xml:space="preserve">· Semaglutide Effects on Insulin Sensitivity and β-Cell Function in Patients With Schizophrenia, Prediabetes, and Obesity Treated With Second-Generation Antipsychotics: Findings From the HISTORI Trial, a 30-Week Randomized, Placebo-Controlled Trial With Semaglutide 1.0 mg Weekly. PMID 41778920</w:t>
      </w:r>
    </w:p>
    <w:p>
      <w:pPr>
        <w:numPr>
          <w:ilvl w:val="0"/>
          <w:numId w:val="1379"/>
        </w:numPr>
        <w:pStyle w:val="Compact"/>
      </w:pPr>
      <w:r>
        <w:t xml:space="preserve">2026 · Heymsfield SB ·</w:t>
      </w:r>
      <w:r>
        <w:t xml:space="preserve"> </w:t>
      </w:r>
      <w:r>
        <w:rPr>
          <w:iCs/>
          <w:i/>
        </w:rPr>
        <w:t xml:space="preserve">Nat Med</w:t>
      </w:r>
      <w:r>
        <w:t xml:space="preserve"> </w:t>
      </w:r>
      <w:r>
        <w:t xml:space="preserve">· Bimagrumab plus semaglutide alone or in combination for the treatment of obesity: a randomized phase 2 trial. PMID 41772149</w:t>
      </w:r>
    </w:p>
    <w:p>
      <w:pPr>
        <w:numPr>
          <w:ilvl w:val="0"/>
          <w:numId w:val="1379"/>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79"/>
        </w:numPr>
        <w:pStyle w:val="Compact"/>
      </w:pPr>
      <w:r>
        <w:t xml:space="preserve">2026 · Rayner B ·</w:t>
      </w:r>
      <w:r>
        <w:t xml:space="preserve"> </w:t>
      </w:r>
      <w:r>
        <w:rPr>
          <w:iCs/>
          <w:i/>
        </w:rPr>
        <w:t xml:space="preserve">Nephrol Dial Transplant</w:t>
      </w:r>
      <w:r>
        <w:t xml:space="preserve"> </w:t>
      </w:r>
      <w:r>
        <w:t xml:space="preserve">· Effect of semaglutide on COVID-19 and other infections: an analysis from the FLOW randomized clinical trial. PMID 41728915</w:t>
      </w:r>
    </w:p>
    <w:p>
      <w:pPr>
        <w:numPr>
          <w:ilvl w:val="0"/>
          <w:numId w:val="1379"/>
        </w:numPr>
        <w:pStyle w:val="Compact"/>
      </w:pPr>
      <w:r>
        <w:t xml:space="preserve">2026 · Uhrenholt N ·</w:t>
      </w:r>
      <w:r>
        <w:t xml:space="preserve"> </w:t>
      </w:r>
      <w:r>
        <w:rPr>
          <w:iCs/>
          <w:i/>
        </w:rPr>
        <w:t xml:space="preserve">Schizophr Res</w:t>
      </w:r>
      <w:r>
        <w:t xml:space="preserve"> </w:t>
      </w:r>
      <w:r>
        <w:t xml:space="preserve">· Improved quality of life with semaglutide in schizophrenia: Secondary analyses from a randomized controlled trial. PMID 41702353</w:t>
      </w:r>
    </w:p>
    <w:p>
      <w:pPr>
        <w:numPr>
          <w:ilvl w:val="0"/>
          <w:numId w:val="1379"/>
        </w:numPr>
        <w:pStyle w:val="Compact"/>
      </w:pPr>
      <w:r>
        <w:t xml:space="preserve">2026 · Pop-Busui R ·</w:t>
      </w:r>
      <w:r>
        <w:t xml:space="preserve"> </w:t>
      </w:r>
      <w:r>
        <w:rPr>
          <w:iCs/>
          <w:i/>
        </w:rPr>
        <w:t xml:space="preserve">JAMA Intern Med</w:t>
      </w:r>
      <w:r>
        <w:t xml:space="preserve"> </w:t>
      </w:r>
      <w:r>
        <w:t xml:space="preserve">· Oral Semaglutide and Heart Failure Outcomes in Persons With Type 2 Diabetes: A Secondary Analysis of the SOUL Randomized Clinical Trial. PMID 41627802</w:t>
      </w:r>
    </w:p>
    <w:p>
      <w:pPr>
        <w:numPr>
          <w:ilvl w:val="0"/>
          <w:numId w:val="1379"/>
        </w:numPr>
        <w:pStyle w:val="Compact"/>
      </w:pPr>
      <w:r>
        <w:t xml:space="preserve">2026 · Yen Y ·</w:t>
      </w:r>
      <w:r>
        <w:t xml:space="preserve"> </w:t>
      </w:r>
      <w:r>
        <w:rPr>
          <w:iCs/>
          <w:i/>
        </w:rPr>
        <w:t xml:space="preserve">BMC Med</w:t>
      </w:r>
      <w:r>
        <w:t xml:space="preserve"> </w:t>
      </w:r>
      <w:r>
        <w:t xml:space="preserve">· Comparative effectiveness of sleeve gastrectomy and semaglutide for weight loss and metabolic outcomes: a prospective non-randomized study. PMID 41572274</w:t>
      </w:r>
    </w:p>
    <w:p>
      <w:pPr>
        <w:numPr>
          <w:ilvl w:val="0"/>
          <w:numId w:val="1379"/>
        </w:numPr>
        <w:pStyle w:val="Compact"/>
      </w:pPr>
      <w:r>
        <w:t xml:space="preserve">2026 · Bøg M ·</w:t>
      </w:r>
      <w:r>
        <w:t xml:space="preserve"> </w:t>
      </w:r>
      <w:r>
        <w:rPr>
          <w:iCs/>
          <w:i/>
        </w:rPr>
        <w:t xml:space="preserve">Pharmacoeconomics</w:t>
      </w:r>
      <w:r>
        <w:t xml:space="preserve"> </w:t>
      </w:r>
      <w:r>
        <w:t xml:space="preserve">· Development of Cardiovascular Risk Equations in People with Overweight or Obesity and Established Cardiovascular Disease Without Diabetes Based on the SELECT Trial. PMID 41553702</w:t>
      </w:r>
    </w:p>
    <w:p>
      <w:pPr>
        <w:numPr>
          <w:ilvl w:val="0"/>
          <w:numId w:val="1379"/>
        </w:numPr>
        <w:pStyle w:val="Compact"/>
      </w:pPr>
      <w:r>
        <w:t xml:space="preserve">2026 · Ajmera V ·</w:t>
      </w:r>
      <w:r>
        <w:t xml:space="preserve"> </w:t>
      </w:r>
      <w:r>
        <w:rPr>
          <w:iCs/>
          <w:i/>
        </w:rPr>
        <w:t xml:space="preserve">Aliment Pharmacol Ther</w:t>
      </w:r>
      <w:r>
        <w:t xml:space="preserve"> </w:t>
      </w:r>
      <w:r>
        <w:t xml:space="preserve">· Clinical Trial: Semaglutide Versus Placebo in NIT-Assessed MASH-A Multicenter Randomised Placebo-Controlled Trial (SAMARA). PMID 41527269</w:t>
      </w:r>
    </w:p>
    <w:p>
      <w:pPr>
        <w:numPr>
          <w:ilvl w:val="0"/>
          <w:numId w:val="1379"/>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9"/>
        </w:numPr>
        <w:pStyle w:val="Compact"/>
      </w:pPr>
      <w:r>
        <w:t xml:space="preserve">2026 · Ferrulli A ·</w:t>
      </w:r>
      <w:r>
        <w:t xml:space="preserve"> </w:t>
      </w:r>
      <w:r>
        <w:rPr>
          <w:iCs/>
          <w:i/>
        </w:rPr>
        <w:t xml:space="preserve">Obesity (Silver Spring)</w:t>
      </w:r>
      <w:r>
        <w:t xml:space="preserve"> </w:t>
      </w:r>
      <w:r>
        <w:t xml:space="preserve">· Weight Loss With SGLT2 Inhibitors, Semaglutide, and Transcranial Magnetic Stimulation in Type 2 Diabetes and Obesity. PMID 41451880</w:t>
      </w:r>
    </w:p>
    <w:p>
      <w:pPr>
        <w:numPr>
          <w:ilvl w:val="0"/>
          <w:numId w:val="1379"/>
        </w:numPr>
        <w:pStyle w:val="Compact"/>
      </w:pPr>
      <w:r>
        <w:t xml:space="preserve">2026 · Nicholls SJ ·</w:t>
      </w:r>
      <w:r>
        <w:t xml:space="preserve"> </w:t>
      </w:r>
      <w:r>
        <w:rPr>
          <w:iCs/>
          <w:i/>
        </w:rPr>
        <w:t xml:space="preserve">JAMA Cardiol</w:t>
      </w:r>
      <w:r>
        <w:t xml:space="preserve"> </w:t>
      </w:r>
      <w:r>
        <w:t xml:space="preserve">· Semaglutide and Hospitalizations in Patients With Obesity and Established Cardiovascular Disease: An Exploratory Analysis of the SELECT Randomized Clinical Trial. PMID 41433034</w:t>
      </w:r>
    </w:p>
    <w:p>
      <w:pPr>
        <w:numPr>
          <w:ilvl w:val="0"/>
          <w:numId w:val="1379"/>
        </w:numPr>
        <w:pStyle w:val="Compact"/>
      </w:pPr>
      <w:r>
        <w:t xml:space="preserve">2026 · Karakus KE ·</w:t>
      </w:r>
      <w:r>
        <w:t xml:space="preserve"> </w:t>
      </w:r>
      <w:r>
        <w:rPr>
          <w:iCs/>
          <w:i/>
        </w:rPr>
        <w:t xml:space="preserve">Diabetes Care</w:t>
      </w:r>
      <w:r>
        <w:t xml:space="preserve"> </w:t>
      </w:r>
      <w:r>
        <w:t xml:space="preserve">· Effect of Semaglutide on Insulin Dose Reduction in Adults With Type 1 Diabetes and Obesity Using Automated Insulin Delivery Systems: ADJUST-T1D Post Hoc Analysis. PMID 41429002</w:t>
      </w:r>
    </w:p>
    <w:p>
      <w:pPr>
        <w:numPr>
          <w:ilvl w:val="0"/>
          <w:numId w:val="1379"/>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79"/>
        </w:numPr>
        <w:pStyle w:val="Compact"/>
      </w:pPr>
      <w:r>
        <w:t xml:space="preserve">2026 · Mann JFE ·</w:t>
      </w:r>
      <w:r>
        <w:t xml:space="preserve"> </w:t>
      </w:r>
      <w:r>
        <w:rPr>
          <w:iCs/>
          <w:i/>
        </w:rPr>
        <w:t xml:space="preserve">Diabetes Care</w:t>
      </w:r>
      <w:r>
        <w:t xml:space="preserve"> </w:t>
      </w:r>
      <w:r>
        <w:t xml:space="preserve">· Impact of Oral Semaglutide on Kidney Outcomes in People With Type 2 Diabetes: Results From the SOUL Randomized Trial. PMID 41380027</w:t>
      </w:r>
    </w:p>
    <w:p>
      <w:pPr>
        <w:numPr>
          <w:ilvl w:val="0"/>
          <w:numId w:val="1379"/>
        </w:numPr>
        <w:pStyle w:val="Compact"/>
      </w:pPr>
      <w:r>
        <w:t xml:space="preserve">2026 · Sass MR ·</w:t>
      </w:r>
      <w:r>
        <w:t xml:space="preserve"> </w:t>
      </w:r>
      <w:r>
        <w:rPr>
          <w:iCs/>
          <w:i/>
        </w:rPr>
        <w:t xml:space="preserve">JAMA Psychiatry</w:t>
      </w:r>
      <w:r>
        <w:t xml:space="preserve"> </w:t>
      </w:r>
      <w:r>
        <w:t xml:space="preserve">· Semaglutide and Early-Stage Metabolic Abnormalities in Individuals With Schizophrenia Spectrum Disorders: A Randomized Clinical Trial. PMID 41335431</w:t>
      </w:r>
    </w:p>
    <w:p>
      <w:pPr>
        <w:numPr>
          <w:ilvl w:val="0"/>
          <w:numId w:val="1379"/>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79"/>
        </w:numPr>
        <w:pStyle w:val="Compact"/>
      </w:pPr>
      <w:r>
        <w:t xml:space="preserve">2026 · Arslanian S ·</w:t>
      </w:r>
      <w:r>
        <w:t xml:space="preserve"> </w:t>
      </w:r>
      <w:r>
        <w:rPr>
          <w:iCs/>
          <w:i/>
        </w:rPr>
        <w:t xml:space="preserve">Diabetes Care</w:t>
      </w:r>
      <w:r>
        <w:t xml:space="preserve"> </w:t>
      </w:r>
      <w:r>
        <w:t xml:space="preserve">· Effect of Semaglutide on Insulin Sensitivity and Cardiometabolic Risk Factors in Adolescents With Obesity: The STEP TEENS Study. PMID 41296499</w:t>
      </w:r>
    </w:p>
    <w:p>
      <w:pPr>
        <w:numPr>
          <w:ilvl w:val="0"/>
          <w:numId w:val="1379"/>
        </w:numPr>
        <w:pStyle w:val="Compact"/>
      </w:pPr>
      <w:r>
        <w:t xml:space="preserve">2026 · Badulescu S ·</w:t>
      </w:r>
      <w:r>
        <w:t xml:space="preserve"> </w:t>
      </w:r>
      <w:r>
        <w:rPr>
          <w:iCs/>
          <w:i/>
        </w:rPr>
        <w:t xml:space="preserve">Med</w:t>
      </w:r>
      <w:r>
        <w:t xml:space="preserve"> </w:t>
      </w:r>
      <w:r>
        <w:t xml:space="preserve">· Semaglutide for the treatment of cognitive dysfunction in major depressive disorder: A randomized clinical trial. PMID 41218611</w:t>
      </w:r>
    </w:p>
    <w:p>
      <w:pPr>
        <w:numPr>
          <w:ilvl w:val="0"/>
          <w:numId w:val="1379"/>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79"/>
        </w:numPr>
        <w:pStyle w:val="Compact"/>
      </w:pPr>
      <w:r>
        <w:t xml:space="preserve">2026 · Pasqua MR ·</w:t>
      </w:r>
      <w:r>
        <w:t xml:space="preserve"> </w:t>
      </w:r>
      <w:r>
        <w:rPr>
          <w:iCs/>
          <w:i/>
        </w:rPr>
        <w:t xml:space="preserve">Can J Diabetes</w:t>
      </w:r>
      <w:r>
        <w:t xml:space="preserve"> </w:t>
      </w:r>
      <w:r>
        <w:t xml:space="preserve">· Semaglutide Use With Automated Insulin Delivery in Adults With Type 1 Diabetes: Qualitative Analyses and Patient-reported Outcomes From a Randomized Controlled Trial. PMID 41175929</w:t>
      </w:r>
    </w:p>
    <w:p>
      <w:pPr>
        <w:numPr>
          <w:ilvl w:val="0"/>
          <w:numId w:val="1379"/>
        </w:numPr>
        <w:pStyle w:val="Compact"/>
      </w:pPr>
      <w:r>
        <w:t xml:space="preserve">2026 · Pasqua MR ·</w:t>
      </w:r>
      <w:r>
        <w:t xml:space="preserve"> </w:t>
      </w:r>
      <w:r>
        <w:rPr>
          <w:iCs/>
          <w:i/>
        </w:rPr>
        <w:t xml:space="preserve">Diabetes Obes Metab</w:t>
      </w:r>
      <w:r>
        <w:t xml:space="preserve"> </w:t>
      </w:r>
      <w:r>
        <w:t xml:space="preserve">· Changes to insulin requirements over time with semaglutide in adults with type 1 diabetes on insulin pump therapy: A post-hoc analysis of a double-blinded, randomised, crossover trial. PMID 41144928</w:t>
      </w:r>
    </w:p>
    <w:p>
      <w:pPr>
        <w:numPr>
          <w:ilvl w:val="0"/>
          <w:numId w:val="1379"/>
        </w:numPr>
        <w:pStyle w:val="Compact"/>
      </w:pPr>
      <w:r>
        <w:t xml:space="preserve">2026 · Atieh O ·</w:t>
      </w:r>
      <w:r>
        <w:t xml:space="preserve"> </w:t>
      </w:r>
      <w:r>
        <w:rPr>
          <w:iCs/>
          <w:i/>
        </w:rPr>
        <w:t xml:space="preserve">Clin Infect Dis</w:t>
      </w:r>
      <w:r>
        <w:t xml:space="preserve"> </w:t>
      </w:r>
      <w:r>
        <w:t xml:space="preserve">· Effects of Semaglutide on Cognitive Function in People With HIV: A Randomized, Controlled Trial. PMID 41098140</w:t>
      </w:r>
    </w:p>
    <w:p>
      <w:pPr>
        <w:numPr>
          <w:ilvl w:val="0"/>
          <w:numId w:val="1379"/>
        </w:numPr>
        <w:pStyle w:val="Compact"/>
      </w:pPr>
      <w:r>
        <w:t xml:space="preserve">2026 · Katrevula A ·</w:t>
      </w:r>
      <w:r>
        <w:t xml:space="preserve"> </w:t>
      </w:r>
      <w:r>
        <w:rPr>
          <w:iCs/>
          <w:i/>
        </w:rPr>
        <w:t xml:space="preserve">Indian J Gastroenterol</w:t>
      </w:r>
      <w:r>
        <w:t xml:space="preserve"> </w:t>
      </w:r>
      <w:r>
        <w:t xml:space="preserve">· Oral semaglutide for weight loss and liver fibrosis in overweight and obesity: A randomized controlled trial. PMID 41066034</w:t>
      </w:r>
    </w:p>
    <w:p>
      <w:pPr>
        <w:numPr>
          <w:ilvl w:val="0"/>
          <w:numId w:val="1379"/>
        </w:numPr>
        <w:pStyle w:val="Compact"/>
      </w:pPr>
      <w:r>
        <w:t xml:space="preserve">2026 · Nitze LM ·</w:t>
      </w:r>
      <w:r>
        <w:t xml:space="preserve"> </w:t>
      </w:r>
      <w:r>
        <w:rPr>
          <w:iCs/>
          <w:i/>
        </w:rPr>
        <w:t xml:space="preserve">Aliment Pharmacol Ther</w:t>
      </w:r>
      <w:r>
        <w:t xml:space="preserve"> </w:t>
      </w:r>
      <w:r>
        <w:t xml:space="preserve">· Exploration of Multiple Non-Invasive Tests for Assessing Response to Treatment in a Semaglutide Phase 2b Trial in Patients with MASH. PMID 40985232</w:t>
      </w:r>
    </w:p>
    <w:p>
      <w:pPr>
        <w:numPr>
          <w:ilvl w:val="0"/>
          <w:numId w:val="1379"/>
        </w:numPr>
        <w:pStyle w:val="Compact"/>
      </w:pPr>
      <w:r>
        <w:t xml:space="preserve">2026 · Park B ·</w:t>
      </w:r>
      <w:r>
        <w:t xml:space="preserve"> </w:t>
      </w:r>
      <w:r>
        <w:rPr>
          <w:iCs/>
          <w:i/>
        </w:rPr>
        <w:t xml:space="preserve">Eur Heart J</w:t>
      </w:r>
      <w:r>
        <w:t xml:space="preserve"> </w:t>
      </w:r>
      <w:r>
        <w:t xml:space="preserve">· Semaglutide promotes bone marrow-derived progenitor cell flux towards an anti-inflammatory and pro-regenerative profile in high-risk patients: the SEMA-VR CardioLink-15 trial. PMID 40886061</w:t>
      </w:r>
    </w:p>
    <w:p>
      <w:pPr>
        <w:numPr>
          <w:ilvl w:val="0"/>
          <w:numId w:val="1379"/>
        </w:numPr>
        <w:pStyle w:val="Compact"/>
      </w:pPr>
      <w:r>
        <w:t xml:space="preserve">2025 · Youovop J ·</w:t>
      </w:r>
      <w:r>
        <w:t xml:space="preserve"> </w:t>
      </w:r>
      <w:r>
        <w:rPr>
          <w:iCs/>
          <w:i/>
        </w:rPr>
        <w:t xml:space="preserve">Medicina (Kaunas)</w:t>
      </w:r>
      <w:r>
        <w:t xml:space="preserve"> </w:t>
      </w:r>
      <w:r>
        <w:t xml:space="preserve">· Effects of Dichrostachys glomerata and Cissus quadrangularis Extracts on GLP-1 Secretion and DPP-4 Activity in Overweight and Obese Individuals: A Randomized Controlled Trial. PMID 41597327</w:t>
      </w:r>
    </w:p>
    <w:p>
      <w:pPr>
        <w:numPr>
          <w:ilvl w:val="0"/>
          <w:numId w:val="1379"/>
        </w:numPr>
        <w:pStyle w:val="Compact"/>
      </w:pPr>
      <w:r>
        <w:t xml:space="preserve">2025 · Rossing P ·</w:t>
      </w:r>
      <w:r>
        <w:t xml:space="preserve"> </w:t>
      </w:r>
      <w:r>
        <w:rPr>
          <w:iCs/>
          <w:i/>
        </w:rPr>
        <w:t xml:space="preserve">Cardiovasc Diabetol</w:t>
      </w:r>
      <w:r>
        <w:t xml:space="preserve"> </w:t>
      </w:r>
      <w:r>
        <w:t xml:space="preserve">· Once-weekly semaglutide versus placebo for the treatment of type 2 diabetes and chronic kidney disease in Denmark: A long-term cost-effectiveness analysis based on FLOW. PMID 41422027</w:t>
      </w:r>
    </w:p>
    <w:p>
      <w:pPr>
        <w:numPr>
          <w:ilvl w:val="0"/>
          <w:numId w:val="1379"/>
        </w:numPr>
        <w:pStyle w:val="Compact"/>
      </w:pPr>
      <w:r>
        <w:t xml:space="preserve">2025 · Wang H ·</w:t>
      </w:r>
      <w:r>
        <w:t xml:space="preserve"> </w:t>
      </w:r>
      <w:r>
        <w:rPr>
          <w:iCs/>
          <w:i/>
        </w:rPr>
        <w:t xml:space="preserve">Nat Commun</w:t>
      </w:r>
      <w:r>
        <w:t xml:space="preserve"> </w:t>
      </w:r>
      <w:r>
        <w:t xml:space="preserve">· Glucagon-like peptide-1 receptor agonist in large vessel occlusion treated by reperfusion therapy-a phase 2 randomized trial. PMID 41392086</w:t>
      </w:r>
    </w:p>
    <w:p>
      <w:pPr>
        <w:numPr>
          <w:ilvl w:val="0"/>
          <w:numId w:val="1379"/>
        </w:numPr>
        <w:pStyle w:val="Compact"/>
      </w:pPr>
      <w:r>
        <w:t xml:space="preserve">2025 · Pandey A ·</w:t>
      </w:r>
      <w:r>
        <w:t xml:space="preserve"> </w:t>
      </w:r>
      <w:r>
        <w:rPr>
          <w:iCs/>
          <w:i/>
        </w:rPr>
        <w:t xml:space="preserve">Eur J Heart Fail</w:t>
      </w:r>
      <w:r>
        <w:t xml:space="preserve"> </w:t>
      </w:r>
      <w:r>
        <w:t xml:space="preserve">· Effects of semaglutide in obesity-related heart failure with preserved ejection fraction across the age spectrum: Findings from the STEP-HFpEF programme. PMID 41290376</w:t>
      </w:r>
    </w:p>
    <w:p>
      <w:pPr>
        <w:numPr>
          <w:ilvl w:val="0"/>
          <w:numId w:val="1379"/>
        </w:numPr>
        <w:pStyle w:val="Compact"/>
      </w:pPr>
      <w:r>
        <w:t xml:space="preserve">2025 · Barakat KE ·</w:t>
      </w:r>
      <w:r>
        <w:t xml:space="preserve"> </w:t>
      </w:r>
      <w:r>
        <w:rPr>
          <w:iCs/>
          <w:i/>
        </w:rPr>
        <w:t xml:space="preserve">Obes Surg</w:t>
      </w:r>
      <w:r>
        <w:t xml:space="preserve"> </w:t>
      </w:r>
      <w:r>
        <w:t xml:space="preserve">· Adjunctive Semaglutide in Patients Undergoing Intragastric Balloon for Weight Loss: 12-Month Prospective Comparative Study. PMID 41212463</w:t>
      </w:r>
    </w:p>
    <w:p>
      <w:pPr>
        <w:numPr>
          <w:ilvl w:val="0"/>
          <w:numId w:val="1379"/>
        </w:numPr>
        <w:pStyle w:val="Compact"/>
      </w:pPr>
      <w:r>
        <w:t xml:space="preserve">2025 · Kattinakere Sreedhara S ·</w:t>
      </w:r>
      <w:r>
        <w:t xml:space="preserve"> </w:t>
      </w:r>
      <w:r>
        <w:rPr>
          <w:iCs/>
          <w:i/>
        </w:rPr>
        <w:t xml:space="preserve">BMJ Open Diabetes Res Care</w:t>
      </w:r>
      <w:r>
        <w:t xml:space="preserve"> </w:t>
      </w:r>
      <w:r>
        <w:t xml:space="preserve">· Using real-world data to predict findings of an ongoing phase IV trial: glycemic control of semaglutide versus standard of care. PMID 41161770</w:t>
      </w:r>
    </w:p>
    <w:p>
      <w:pPr>
        <w:numPr>
          <w:ilvl w:val="0"/>
          <w:numId w:val="1379"/>
        </w:numPr>
        <w:pStyle w:val="Compact"/>
      </w:pPr>
      <w:r>
        <w:t xml:space="preserve">2025 · Deanfield J ·</w:t>
      </w:r>
      <w:r>
        <w:t xml:space="preserve"> </w:t>
      </w:r>
      <w:r>
        <w:rPr>
          <w:iCs/>
          <w:i/>
        </w:rPr>
        <w:t xml:space="preserve">Lancet</w:t>
      </w:r>
      <w:r>
        <w:t xml:space="preserve"> </w:t>
      </w:r>
      <w:r>
        <w:t xml:space="preserve">· Semaglutide and cardiovascular outcomes by baseline and changes in adiposity measurements: a prespecified analysis of the SELECT trial. PMID 41138739</w:t>
      </w:r>
    </w:p>
    <w:p>
      <w:pPr>
        <w:numPr>
          <w:ilvl w:val="0"/>
          <w:numId w:val="1379"/>
        </w:numPr>
        <w:pStyle w:val="Compact"/>
      </w:pPr>
      <w:r>
        <w:t xml:space="preserve">2025 · Buse JB ·</w:t>
      </w:r>
      <w:r>
        <w:t xml:space="preserve"> </w:t>
      </w:r>
      <w:r>
        <w:rPr>
          <w:iCs/>
          <w:i/>
        </w:rPr>
        <w:t xml:space="preserve">BMJ Open Diabetes Res Care</w:t>
      </w:r>
      <w:r>
        <w:t xml:space="preserve"> </w:t>
      </w:r>
      <w:r>
        <w:t xml:space="preserve">· Long-term comparative effectiveness of once-weekly semaglutide versus alternative treatments in a real-world US adult population with type 2 diabetes: a randomized pragmatic clinical trial. PMID 41093600</w:t>
      </w:r>
    </w:p>
    <w:p>
      <w:pPr>
        <w:numPr>
          <w:ilvl w:val="0"/>
          <w:numId w:val="1379"/>
        </w:numPr>
        <w:pStyle w:val="Compact"/>
      </w:pPr>
      <w:r>
        <w:t xml:space="preserve">2025 · Borlaug BA ·</w:t>
      </w:r>
      <w:r>
        <w:t xml:space="preserve"> </w:t>
      </w:r>
      <w:r>
        <w:rPr>
          <w:iCs/>
          <w:i/>
        </w:rPr>
        <w:t xml:space="preserve">JACC Heart Fail</w:t>
      </w:r>
      <w:r>
        <w:t xml:space="preserve"> </w:t>
      </w:r>
      <w:r>
        <w:t xml:space="preserve">· Semaglutide and Exercise Function in Obesity-Related HFpEF: Insights From the STEP-HFpEF Program. PMID 41045908</w:t>
      </w:r>
    </w:p>
    <w:p>
      <w:pPr>
        <w:numPr>
          <w:ilvl w:val="0"/>
          <w:numId w:val="1379"/>
        </w:numPr>
        <w:pStyle w:val="Compact"/>
      </w:pPr>
      <w:r>
        <w:t xml:space="preserve">2025 · Lingvay I ·</w:t>
      </w:r>
      <w:r>
        <w:t xml:space="preserve"> </w:t>
      </w:r>
      <w:r>
        <w:rPr>
          <w:iCs/>
          <w:i/>
        </w:rPr>
        <w:t xml:space="preserve">Lancet Diabetes Endocrinol</w:t>
      </w:r>
      <w:r>
        <w:t xml:space="preserve"> </w:t>
      </w:r>
      <w:r>
        <w:t xml:space="preserve">· Once-weekly semaglutide 7·2 mg in adults with obesity and type 2 diabetes (STEP UP T2D): a randomised, controlled, phase 3b trial. PMID 40961953</w:t>
      </w:r>
    </w:p>
    <w:p>
      <w:pPr>
        <w:numPr>
          <w:ilvl w:val="0"/>
          <w:numId w:val="1379"/>
        </w:numPr>
        <w:pStyle w:val="Compact"/>
      </w:pPr>
      <w:r>
        <w:t xml:space="preserve">2025 · Wharton S ·</w:t>
      </w:r>
      <w:r>
        <w:t xml:space="preserve"> </w:t>
      </w:r>
      <w:r>
        <w:rPr>
          <w:iCs/>
          <w:i/>
        </w:rPr>
        <w:t xml:space="preserve">Lancet Diabetes Endocrinol</w:t>
      </w:r>
      <w:r>
        <w:t xml:space="preserve"> </w:t>
      </w:r>
      <w:r>
        <w:t xml:space="preserve">· Once-weekly semaglutide 7·2 mg in adults with obesity (STEP UP): a randomised, controlled, phase 3b trial. PMID 40961952</w:t>
      </w:r>
    </w:p>
    <w:p>
      <w:pPr>
        <w:numPr>
          <w:ilvl w:val="0"/>
          <w:numId w:val="1379"/>
        </w:numPr>
        <w:pStyle w:val="Compact"/>
      </w:pPr>
      <w:r>
        <w:t xml:space="preserve">2025 · Pandey A ·</w:t>
      </w:r>
      <w:r>
        <w:t xml:space="preserve"> </w:t>
      </w:r>
      <w:r>
        <w:rPr>
          <w:iCs/>
          <w:i/>
        </w:rPr>
        <w:t xml:space="preserve">JACC Heart Fail</w:t>
      </w:r>
      <w:r>
        <w:t xml:space="preserve"> </w:t>
      </w:r>
      <w:r>
        <w:t xml:space="preserve">· Frailty and Effects of Semaglutide in Obesity-Related HFpEF: Findings From the STEP-HFpEF Program. PMID 40956259</w:t>
      </w:r>
    </w:p>
    <w:p>
      <w:pPr>
        <w:numPr>
          <w:ilvl w:val="0"/>
          <w:numId w:val="1379"/>
        </w:numPr>
        <w:pStyle w:val="Compact"/>
      </w:pPr>
      <w:r>
        <w:t xml:space="preserve">2025 · Wharton S ·</w:t>
      </w:r>
      <w:r>
        <w:t xml:space="preserve"> </w:t>
      </w:r>
      <w:r>
        <w:rPr>
          <w:iCs/>
          <w:i/>
        </w:rPr>
        <w:t xml:space="preserve">N Engl J Med</w:t>
      </w:r>
      <w:r>
        <w:t xml:space="preserve"> </w:t>
      </w:r>
      <w:r>
        <w:t xml:space="preserve">· Oral Semaglutide at a Dose of 25 mg in Adults with Overweight or Obesity. PMID 40934115</w:t>
      </w:r>
    </w:p>
    <w:p>
      <w:pPr>
        <w:numPr>
          <w:ilvl w:val="0"/>
          <w:numId w:val="1379"/>
        </w:numPr>
        <w:pStyle w:val="Compact"/>
      </w:pPr>
      <w:r>
        <w:t xml:space="preserve">2025 · Ganeshalingam AA ·</w:t>
      </w:r>
      <w:r>
        <w:t xml:space="preserve"> </w:t>
      </w:r>
      <w:r>
        <w:rPr>
          <w:iCs/>
          <w:i/>
        </w:rPr>
        <w:t xml:space="preserve">JAMA Psychiatry</w:t>
      </w:r>
      <w:r>
        <w:t xml:space="preserve"> </w:t>
      </w:r>
      <w:r>
        <w:t xml:space="preserve">· Semaglutide Treatment of Antipsychotic-Treated Patients With Schizophrenia, Prediabetes, and Obesity: The HISTORI Randomized Clinical Trial. PMID 40900607</w:t>
      </w:r>
    </w:p>
    <w:p>
      <w:pPr>
        <w:numPr>
          <w:ilvl w:val="0"/>
          <w:numId w:val="1379"/>
        </w:numPr>
        <w:pStyle w:val="Compact"/>
      </w:pPr>
      <w:r>
        <w:t xml:space="preserve">2025 · Verma S ·</w:t>
      </w:r>
      <w:r>
        <w:t xml:space="preserve"> </w:t>
      </w:r>
      <w:r>
        <w:rPr>
          <w:iCs/>
          <w:i/>
        </w:rPr>
        <w:t xml:space="preserve">J Am Coll Cardiol</w:t>
      </w:r>
      <w:r>
        <w:t xml:space="preserve"> </w:t>
      </w:r>
      <w:r>
        <w:t xml:space="preserve">· Sex Differences in Effectiveness of Semaglutide in Patients With Peripheral Artery Disease: The STRIDE Trial. PMID 40892617</w:t>
      </w:r>
    </w:p>
    <w:p>
      <w:pPr>
        <w:numPr>
          <w:ilvl w:val="0"/>
          <w:numId w:val="1379"/>
        </w:numPr>
        <w:pStyle w:val="Compact"/>
      </w:pPr>
      <w:r>
        <w:t xml:space="preserve">2025 · Ji L ·</w:t>
      </w:r>
      <w:r>
        <w:t xml:space="preserve"> </w:t>
      </w:r>
      <w:r>
        <w:rPr>
          <w:iCs/>
          <w:i/>
        </w:rPr>
        <w:t xml:space="preserve">Diabetes Obes Metab</w:t>
      </w:r>
      <w:r>
        <w:t xml:space="preserve"> </w:t>
      </w:r>
      <w:r>
        <w:t xml:space="preserve">· Efficacy and safety of oral semaglutide in Chinese participants with type 2 diabetes: Subgroup analyses by baseline characteristics in the PIONEER 11 and 12 randomised controlled trials. PMID 40843773</w:t>
      </w:r>
    </w:p>
    <w:p>
      <w:pPr>
        <w:numPr>
          <w:ilvl w:val="0"/>
          <w:numId w:val="1379"/>
        </w:numPr>
        <w:pStyle w:val="Compact"/>
      </w:pPr>
      <w:r>
        <w:t xml:space="preserve">2025 · Lim S ·</w:t>
      </w:r>
      <w:r>
        <w:t xml:space="preserve"> </w:t>
      </w:r>
      <w:r>
        <w:rPr>
          <w:iCs/>
          <w:i/>
        </w:rPr>
        <w:t xml:space="preserve">Lancet Diabetes Endocrinol</w:t>
      </w:r>
      <w:r>
        <w:t xml:space="preserve"> </w:t>
      </w:r>
      <w:r>
        <w:t xml:space="preserve">· Once-weekly semaglutide 2·4 mg in an Asian population with obesity, defined as BMI ≥25 kg/m(2), in South Korea and Thailand (STEP 11): a randomised, double-blind, placebo-controlled, phase 3 trial. PMID 40825340</w:t>
      </w:r>
    </w:p>
    <w:p>
      <w:pPr>
        <w:numPr>
          <w:ilvl w:val="0"/>
          <w:numId w:val="1379"/>
        </w:numPr>
        <w:pStyle w:val="Compact"/>
      </w:pPr>
      <w:r>
        <w:t xml:space="preserve">2025 · Kadowaki T ·</w:t>
      </w:r>
      <w:r>
        <w:t xml:space="preserve"> </w:t>
      </w:r>
      <w:r>
        <w:rPr>
          <w:iCs/>
          <w:i/>
        </w:rPr>
        <w:t xml:space="preserve">JAMA Intern Med</w:t>
      </w:r>
      <w:r>
        <w:t xml:space="preserve"> </w:t>
      </w:r>
      <w:r>
        <w:t xml:space="preserve">· Oral Semaglutide in an East Asian Population With Overweight or Obesity, With or Without Type 2 Diabetes: The OASIS 2 Randomized Clinical Trial. PMID 40758358</w:t>
      </w:r>
    </w:p>
    <w:p>
      <w:pPr>
        <w:numPr>
          <w:ilvl w:val="0"/>
          <w:numId w:val="1379"/>
        </w:numPr>
        <w:pStyle w:val="Compact"/>
      </w:pPr>
      <w:r>
        <w:t xml:space="preserve">2025 · Rossing P ·</w:t>
      </w:r>
      <w:r>
        <w:t xml:space="preserve"> </w:t>
      </w:r>
      <w:r>
        <w:rPr>
          <w:iCs/>
          <w:i/>
        </w:rPr>
        <w:t xml:space="preserve">Diabetes Care</w:t>
      </w:r>
      <w:r>
        <w:t xml:space="preserve"> </w:t>
      </w:r>
      <w:r>
        <w:t xml:space="preserve">· Effects of Semaglutide With or Without Concomitant Mineralocorticoid Receptor Antagonist Use in Participants With Type 2 Diabetes and Chronic Kidney Disease: A FLOW Trial Prespecified Secondary Analysis. PMID 40730031</w:t>
      </w:r>
    </w:p>
    <w:p>
      <w:pPr>
        <w:numPr>
          <w:ilvl w:val="0"/>
          <w:numId w:val="1379"/>
        </w:numPr>
        <w:pStyle w:val="Compact"/>
      </w:pPr>
      <w:r>
        <w:t xml:space="preserve">2025 · Chen H ·</w:t>
      </w:r>
      <w:r>
        <w:t xml:space="preserve"> </w:t>
      </w:r>
      <w:r>
        <w:rPr>
          <w:iCs/>
          <w:i/>
        </w:rPr>
        <w:t xml:space="preserve">Reprod Biol Endocrinol</w:t>
      </w:r>
      <w:r>
        <w:t xml:space="preserve"> </w:t>
      </w:r>
      <w:r>
        <w:t xml:space="preserve">· Effects of combined metformin and semaglutide therapy on body weight, metabolic parameters, and reproductive outcomes in overweight/obese women with polycystic ovary syndrome: a prospective, randomized, controlled, open-label clinical trial. PMID 40713699</w:t>
      </w:r>
    </w:p>
    <w:p>
      <w:pPr>
        <w:numPr>
          <w:ilvl w:val="0"/>
          <w:numId w:val="1379"/>
        </w:numPr>
        <w:pStyle w:val="Compact"/>
      </w:pPr>
      <w:r>
        <w:t xml:space="preserve">2025 · Zhou J ·</w:t>
      </w:r>
      <w:r>
        <w:t xml:space="preserve"> </w:t>
      </w:r>
      <w:r>
        <w:rPr>
          <w:iCs/>
          <w:i/>
        </w:rPr>
        <w:t xml:space="preserve">Diabetes Obes Metab</w:t>
      </w:r>
      <w:r>
        <w:t xml:space="preserve"> </w:t>
      </w:r>
      <w:r>
        <w:t xml:space="preserve">· Effect of semaglutide versus placebo on cardiorenal outcomes by prior cardiovascular disease and baseline body mass index: Pooled post hoc analysis of SUSTAIN 6 and PIONEER 6. PMID 40704485</w:t>
      </w:r>
    </w:p>
    <w:p>
      <w:pPr>
        <w:numPr>
          <w:ilvl w:val="0"/>
          <w:numId w:val="1379"/>
        </w:numPr>
        <w:pStyle w:val="Compact"/>
      </w:pPr>
      <w:r>
        <w:t xml:space="preserve">2025 · Eldor R ·</w:t>
      </w:r>
      <w:r>
        <w:t xml:space="preserve"> </w:t>
      </w:r>
      <w:r>
        <w:rPr>
          <w:iCs/>
          <w:i/>
        </w:rPr>
        <w:t xml:space="preserve">Diabetes Care</w:t>
      </w:r>
      <w:r>
        <w:t xml:space="preserve"> </w:t>
      </w:r>
      <w:r>
        <w:t xml:space="preserve">· Gradual Titration of Semaglutide Results in Better Treatment Adherence and Fewer Adverse Events: A Randomized Controlled Open-Label Pilot Study Examining a 16-Week Flexible Titration Regimen Versus Label-Recommended 8-Week Semaglutide Titration Regimen. PMID 40673973</w:t>
      </w:r>
    </w:p>
    <w:p>
      <w:pPr>
        <w:numPr>
          <w:ilvl w:val="0"/>
          <w:numId w:val="1379"/>
        </w:numPr>
        <w:pStyle w:val="Compact"/>
      </w:pPr>
      <w:r>
        <w:t xml:space="preserve">2025 · Tóth LI ·</w:t>
      </w:r>
      <w:r>
        <w:t xml:space="preserve"> </w:t>
      </w:r>
      <w:r>
        <w:rPr>
          <w:iCs/>
          <w:i/>
        </w:rPr>
        <w:t xml:space="preserve">Int J Mol Sci</w:t>
      </w:r>
      <w:r>
        <w:t xml:space="preserve"> </w:t>
      </w:r>
      <w:r>
        <w:t xml:space="preserve">· Semaglutide Improves Lipid Subfraction Profiles in Type 2 Diabetes: Insights from a One-Year Follow-Up Study. PMID 40649729</w:t>
      </w:r>
    </w:p>
    <w:p>
      <w:pPr>
        <w:numPr>
          <w:ilvl w:val="0"/>
          <w:numId w:val="1379"/>
        </w:numPr>
        <w:pStyle w:val="Compact"/>
      </w:pPr>
      <w:r>
        <w:t xml:space="preserve">2025 · Wulff BS ·</w:t>
      </w:r>
      <w:r>
        <w:t xml:space="preserve"> </w:t>
      </w:r>
      <w:r>
        <w:rPr>
          <w:iCs/>
          <w:i/>
        </w:rPr>
        <w:t xml:space="preserve">Obesity (Silver Spring)</w:t>
      </w:r>
      <w:r>
        <w:t xml:space="preserve"> </w:t>
      </w:r>
      <w:r>
        <w:t xml:space="preserve">· Long-acting PYY(3) (-36) analogue with semaglutide for obesity: from preclinical assessment through randomized clinical studies. PMID 40629530</w:t>
      </w:r>
    </w:p>
    <w:p>
      <w:pPr>
        <w:numPr>
          <w:ilvl w:val="0"/>
          <w:numId w:val="1379"/>
        </w:numPr>
        <w:pStyle w:val="Compact"/>
      </w:pPr>
      <w:r>
        <w:t xml:space="preserve">2025 · Shah VN ·</w:t>
      </w:r>
      <w:r>
        <w:t xml:space="preserve"> </w:t>
      </w:r>
      <w:r>
        <w:rPr>
          <w:iCs/>
          <w:i/>
        </w:rPr>
        <w:t xml:space="preserve">NEJM Evid</w:t>
      </w:r>
      <w:r>
        <w:t xml:space="preserve"> </w:t>
      </w:r>
      <w:r>
        <w:t xml:space="preserve">· Semaglutide in Adults with Type 1 Diabetes and Obesity. PMID 40550013</w:t>
      </w:r>
    </w:p>
    <w:p>
      <w:pPr>
        <w:numPr>
          <w:ilvl w:val="0"/>
          <w:numId w:val="1379"/>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79"/>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79"/>
        </w:numPr>
        <w:pStyle w:val="Compact"/>
      </w:pPr>
      <w:r>
        <w:t xml:space="preserve">2025 · Rasouli N ·</w:t>
      </w:r>
      <w:r>
        <w:t xml:space="preserve"> </w:t>
      </w:r>
      <w:r>
        <w:rPr>
          <w:iCs/>
          <w:i/>
        </w:rPr>
        <w:t xml:space="preserve">Diabetes Care</w:t>
      </w:r>
      <w:r>
        <w:t xml:space="preserve"> </w:t>
      </w:r>
      <w:r>
        <w:t xml:space="preserve">· Benefit of Semaglutide in Symptomatic Peripheral Artery Disease by Baseline Type 2 Diabetes Characteristics: Insights From STRIDE, a Randomized, Placebo-Controlled, Double-Blind Trial. PMID 40543068</w:t>
      </w:r>
    </w:p>
    <w:p>
      <w:pPr>
        <w:numPr>
          <w:ilvl w:val="0"/>
          <w:numId w:val="1379"/>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79"/>
        </w:numPr>
        <w:pStyle w:val="Compact"/>
      </w:pPr>
      <w:r>
        <w:t xml:space="preserve">2025 · Siskind D ·</w:t>
      </w:r>
      <w:r>
        <w:t xml:space="preserve"> </w:t>
      </w:r>
      <w:r>
        <w:rPr>
          <w:iCs/>
          <w:i/>
        </w:rPr>
        <w:t xml:space="preserve">Lancet Psychiatry</w:t>
      </w:r>
      <w:r>
        <w:t xml:space="preserve"> </w:t>
      </w:r>
      <w:r>
        <w:t xml:space="preserve">· Efficacy and safety of semaglutide versus placebo for people with schizophrenia on clozapine with obesity (COaST): a phase 2, multi-centre, participant and investigator- blinded, randomised controlled trial in Australia. PMID 40506208</w:t>
      </w:r>
    </w:p>
    <w:p>
      <w:pPr>
        <w:numPr>
          <w:ilvl w:val="0"/>
          <w:numId w:val="1379"/>
        </w:numPr>
        <w:pStyle w:val="Compact"/>
      </w:pPr>
      <w:r>
        <w:t xml:space="preserve">2025 · Mathieu C ·</w:t>
      </w:r>
      <w:r>
        <w:t xml:space="preserve"> </w:t>
      </w:r>
      <w:r>
        <w:rPr>
          <w:iCs/>
          <w:i/>
        </w:rPr>
        <w:t xml:space="preserve">Lancet Diabetes Endocrinol</w:t>
      </w:r>
      <w:r>
        <w:t xml:space="preserve"> </w:t>
      </w:r>
      <w:r>
        <w:t xml:space="preserve">· Once‑weekly IcoSema versus once‑weekly insulin icodec in type 2 diabetes management (COMBINE 1): an open‑label, multicentre, treat‑to‑target, randomised, phase 3a trial. PMID 40482671</w:t>
      </w:r>
    </w:p>
    <w:p>
      <w:pPr>
        <w:numPr>
          <w:ilvl w:val="0"/>
          <w:numId w:val="1379"/>
        </w:numPr>
        <w:pStyle w:val="Compact"/>
      </w:pPr>
      <w:r>
        <w:t xml:space="preserve">2025 · Billings LK ·</w:t>
      </w:r>
      <w:r>
        <w:t xml:space="preserve"> </w:t>
      </w:r>
      <w:r>
        <w:rPr>
          <w:iCs/>
          <w:i/>
        </w:rPr>
        <w:t xml:space="preserve">Lancet Diabetes Endocrinol</w:t>
      </w:r>
      <w:r>
        <w:t xml:space="preserve"> </w:t>
      </w:r>
      <w:r>
        <w:t xml:space="preserve">· Once-weekly IcoSema versus multiple daily insulin injections in type 2 diabetes management (COMBINE 3): an open-label, multicentre, treat-to-target, non-inferiority, randomised, phase 3a trial. PMID 40482670</w:t>
      </w:r>
    </w:p>
    <w:p>
      <w:pPr>
        <w:numPr>
          <w:ilvl w:val="0"/>
          <w:numId w:val="1379"/>
        </w:numPr>
        <w:pStyle w:val="Compact"/>
      </w:pPr>
      <w:r>
        <w:t xml:space="preserve">2025 · von Huth Smith L ·</w:t>
      </w:r>
      <w:r>
        <w:t xml:space="preserve"> </w:t>
      </w:r>
      <w:r>
        <w:rPr>
          <w:iCs/>
          <w:i/>
        </w:rPr>
        <w:t xml:space="preserve">Clin Obes</w:t>
      </w:r>
      <w:r>
        <w:t xml:space="preserve"> </w:t>
      </w:r>
      <w:r>
        <w:t xml:space="preserve">· Impact of weight on daily activities questionnaire in patients with overweight or obesity: Psychometric evaluation using data from the OASIS 1 trial. PMID 40452267</w:t>
      </w:r>
    </w:p>
    <w:p>
      <w:pPr>
        <w:numPr>
          <w:ilvl w:val="0"/>
          <w:numId w:val="1379"/>
        </w:numPr>
        <w:pStyle w:val="Compact"/>
      </w:pPr>
      <w:r>
        <w:t xml:space="preserve">2025 · Bouhajib M ·</w:t>
      </w:r>
      <w:r>
        <w:t xml:space="preserve"> </w:t>
      </w:r>
      <w:r>
        <w:rPr>
          <w:iCs/>
          <w:i/>
        </w:rPr>
        <w:t xml:space="preserve">J Basic Clin Physiol Pharmacol</w:t>
      </w:r>
      <w:r>
        <w:t xml:space="preserve"> </w:t>
      </w:r>
      <w:r>
        <w:t xml:space="preserve">· The pharmacokinetics and comparative bioavailabilty of oral and subcutaneous semaglutide in healthy volunteers. PMID 40425315</w:t>
      </w:r>
    </w:p>
    <w:p>
      <w:pPr>
        <w:numPr>
          <w:ilvl w:val="0"/>
          <w:numId w:val="1379"/>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79"/>
        </w:numPr>
        <w:pStyle w:val="Compact"/>
      </w:pPr>
      <w:r>
        <w:t xml:space="preserve">2025 · James S ·</w:t>
      </w:r>
      <w:r>
        <w:t xml:space="preserve"> </w:t>
      </w:r>
      <w:r>
        <w:rPr>
          <w:iCs/>
          <w:i/>
        </w:rPr>
        <w:t xml:space="preserve">Am Heart J</w:t>
      </w:r>
      <w:r>
        <w:t xml:space="preserve"> </w:t>
      </w:r>
      <w:r>
        <w:t xml:space="preserve">· Effect of once-weekly subcutaneous semaglutide on arterial inflammation in people with type 2 diabetes and cardiovascular disease using PET-MRI: Primary results of a randomized, double-blind, placebo-controlled trial. PMID 40345413</w:t>
      </w:r>
    </w:p>
    <w:p>
      <w:pPr>
        <w:numPr>
          <w:ilvl w:val="0"/>
          <w:numId w:val="1379"/>
        </w:numPr>
        <w:pStyle w:val="Compact"/>
      </w:pPr>
      <w:r>
        <w:t xml:space="preserve">2025 · Yu H ·</w:t>
      </w:r>
      <w:r>
        <w:t xml:space="preserve"> </w:t>
      </w:r>
      <w:r>
        <w:rPr>
          <w:iCs/>
          <w:i/>
        </w:rPr>
        <w:t xml:space="preserve">Br J Clin Pharmacol</w:t>
      </w:r>
      <w:r>
        <w:t xml:space="preserve"> </w:t>
      </w:r>
      <w:r>
        <w:t xml:space="preserve">· Pharmacokinetic-pharmacodynamic (PK/PD) modelling of cotadutide effect in patients with chronic kidney disease and type 2 diabetes mellitus. PMID 40344607</w:t>
      </w:r>
    </w:p>
    <w:p>
      <w:pPr>
        <w:numPr>
          <w:ilvl w:val="0"/>
          <w:numId w:val="1379"/>
        </w:numPr>
        <w:pStyle w:val="Compact"/>
      </w:pPr>
      <w:r>
        <w:t xml:space="preserve">2025 · Jensterle M ·</w:t>
      </w:r>
      <w:r>
        <w:t xml:space="preserve"> </w:t>
      </w:r>
      <w:r>
        <w:rPr>
          <w:iCs/>
          <w:i/>
        </w:rPr>
        <w:t xml:space="preserve">J Clin Endocrinol Metab</w:t>
      </w:r>
      <w:r>
        <w:t xml:space="preserve"> </w:t>
      </w:r>
      <w:r>
        <w:t xml:space="preserve">· Semaglutide and Taste in Women With Obesity and Polycystic Ovary Syndrome: A Randomized Placebo-Controlled Study. PMID 40341357</w:t>
      </w:r>
    </w:p>
    <w:p>
      <w:pPr>
        <w:numPr>
          <w:ilvl w:val="0"/>
          <w:numId w:val="1379"/>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79"/>
        </w:numPr>
        <w:pStyle w:val="Compact"/>
      </w:pPr>
      <w:r>
        <w:t xml:space="preserve">2025 · Sanyal AJ ·</w:t>
      </w:r>
      <w:r>
        <w:t xml:space="preserve"> </w:t>
      </w:r>
      <w:r>
        <w:rPr>
          <w:iCs/>
          <w:i/>
        </w:rPr>
        <w:t xml:space="preserve">N Engl J Med</w:t>
      </w:r>
      <w:r>
        <w:t xml:space="preserve"> </w:t>
      </w:r>
      <w:r>
        <w:t xml:space="preserve">· Phase 3 Trial of Semaglutide in Metabolic Dysfunction-Associated Steatohepatitis. PMID 40305708</w:t>
      </w:r>
    </w:p>
    <w:p>
      <w:pPr>
        <w:numPr>
          <w:ilvl w:val="0"/>
          <w:numId w:val="1379"/>
        </w:numPr>
        <w:pStyle w:val="Compact"/>
      </w:pPr>
      <w:r>
        <w:t xml:space="preserve">2025 · Golub IS ·</w:t>
      </w:r>
      <w:r>
        <w:t xml:space="preserve"> </w:t>
      </w:r>
      <w:r>
        <w:rPr>
          <w:iCs/>
          <w:i/>
        </w:rPr>
        <w:t xml:space="preserve">Nutr Metab Cardiovasc Dis</w:t>
      </w:r>
      <w:r>
        <w:t xml:space="preserve"> </w:t>
      </w:r>
      <w:r>
        <w:t xml:space="preserve">· The impact of semaglutide on liver fat assessed by serial cardiac CT scans in patients with type 2 diabetes: Results from STOP trial. PMID 40287313</w:t>
      </w:r>
    </w:p>
    <w:p>
      <w:pPr>
        <w:numPr>
          <w:ilvl w:val="0"/>
          <w:numId w:val="1379"/>
        </w:numPr>
        <w:pStyle w:val="Compact"/>
      </w:pPr>
      <w:r>
        <w:t xml:space="preserve">2025 · Aroda VR ·</w:t>
      </w:r>
      <w:r>
        <w:t xml:space="preserve"> </w:t>
      </w:r>
      <w:r>
        <w:rPr>
          <w:iCs/>
          <w:i/>
        </w:rPr>
        <w:t xml:space="preserve">Diabetes Care</w:t>
      </w:r>
      <w:r>
        <w:t xml:space="preserve"> </w:t>
      </w:r>
      <w:r>
        <w:t xml:space="preserve">· High-Dose Semaglutide (Up to 16 mg) in People With Type 2 Diabetes and Overweight or Obesity: A Randomized, Placebo-Controlled, Phase 2 Trial. PMID 40279144</w:t>
      </w:r>
    </w:p>
    <w:p>
      <w:pPr>
        <w:numPr>
          <w:ilvl w:val="0"/>
          <w:numId w:val="1379"/>
        </w:numPr>
        <w:pStyle w:val="Compact"/>
      </w:pPr>
      <w:r>
        <w:t xml:space="preserve">2025 · Gullaksen S ·</w:t>
      </w:r>
      <w:r>
        <w:t xml:space="preserve"> </w:t>
      </w:r>
      <w:r>
        <w:rPr>
          <w:iCs/>
          <w:i/>
        </w:rPr>
        <w:t xml:space="preserve">J Diabetes Complications</w:t>
      </w:r>
      <w:r>
        <w:t xml:space="preserve"> </w:t>
      </w:r>
      <w:r>
        <w:t xml:space="preserve">· Semaglutide, central retinal thickness and continuous glucose monitoring in persons with type 2 diabetes: A post-hoc analysis from a randomised trial. PMID 40239470</w:t>
      </w:r>
    </w:p>
    <w:p>
      <w:pPr>
        <w:numPr>
          <w:ilvl w:val="0"/>
          <w:numId w:val="1379"/>
        </w:numPr>
        <w:pStyle w:val="Compact"/>
      </w:pPr>
      <w:r>
        <w:t xml:space="preserve">2025 · Kadowaki T ·</w:t>
      </w:r>
      <w:r>
        <w:t xml:space="preserve"> </w:t>
      </w:r>
      <w:r>
        <w:rPr>
          <w:iCs/>
          <w:i/>
        </w:rPr>
        <w:t xml:space="preserve">Obes Res Clin Pract</w:t>
      </w:r>
      <w:r>
        <w:t xml:space="preserve"> </w:t>
      </w:r>
      <w:r>
        <w:t xml:space="preserve">· Effect of once-weekly subcutaneous semaglutide on abdominal visceral fat area in Japanese adults with overweight and obesity: A post hoc analysis of the STEP 6 trial. PMID 40189961</w:t>
      </w:r>
    </w:p>
    <w:p>
      <w:pPr>
        <w:numPr>
          <w:ilvl w:val="0"/>
          <w:numId w:val="1379"/>
        </w:numPr>
        <w:pStyle w:val="Compact"/>
      </w:pPr>
      <w:r>
        <w:t xml:space="preserve">2025 · Bonaca MP ·</w:t>
      </w:r>
      <w:r>
        <w:t xml:space="preserve"> </w:t>
      </w:r>
      <w:r>
        <w:rPr>
          <w:iCs/>
          <w:i/>
        </w:rPr>
        <w:t xml:space="preserve">Lancet</w:t>
      </w:r>
      <w:r>
        <w:t xml:space="preserve"> </w:t>
      </w:r>
      <w:r>
        <w:t xml:space="preserve">· Semaglutide and walking capacity in people with symptomatic peripheral artery disease and type 2 diabetes (STRIDE): a phase 3b, double-blind, randomised, placebo-controlled trial. PMID 40169145</w:t>
      </w:r>
    </w:p>
    <w:p>
      <w:pPr>
        <w:numPr>
          <w:ilvl w:val="0"/>
          <w:numId w:val="1379"/>
        </w:numPr>
        <w:pStyle w:val="Compact"/>
      </w:pPr>
      <w:r>
        <w:t xml:space="preserve">2025 · McGuire DK ·</w:t>
      </w:r>
      <w:r>
        <w:t xml:space="preserve"> </w:t>
      </w:r>
      <w:r>
        <w:rPr>
          <w:iCs/>
          <w:i/>
        </w:rPr>
        <w:t xml:space="preserve">N Engl J Med</w:t>
      </w:r>
      <w:r>
        <w:t xml:space="preserve"> </w:t>
      </w:r>
      <w:r>
        <w:t xml:space="preserve">· Oral Semaglutide and Cardiovascular Outcomes in High-Risk Type 2 Diabetes. PMID 40162642</w:t>
      </w:r>
    </w:p>
    <w:p>
      <w:pPr>
        <w:numPr>
          <w:ilvl w:val="0"/>
          <w:numId w:val="1379"/>
        </w:numPr>
        <w:pStyle w:val="Compact"/>
      </w:pPr>
      <w:r>
        <w:t xml:space="preserve">2025 · Marx N ·</w:t>
      </w:r>
      <w:r>
        <w:t xml:space="preserve"> </w:t>
      </w:r>
      <w:r>
        <w:rPr>
          <w:iCs/>
          <w:i/>
        </w:rPr>
        <w:t xml:space="preserve">Circulation</w:t>
      </w:r>
      <w:r>
        <w:t xml:space="preserve"> </w:t>
      </w:r>
      <w:r>
        <w:t xml:space="preserve">· Oral Semaglutide and Cardiovascular Outcomes in People With Type 2 Diabetes, According to SGLT2i Use: Prespecified Analyses of the SOUL Randomized Trial. PMID 40156843</w:t>
      </w:r>
    </w:p>
    <w:p>
      <w:pPr>
        <w:numPr>
          <w:ilvl w:val="0"/>
          <w:numId w:val="1379"/>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79"/>
        </w:numPr>
        <w:pStyle w:val="Compact"/>
      </w:pPr>
      <w:r>
        <w:t xml:space="preserve">2025 · Gu W ·</w:t>
      </w:r>
      <w:r>
        <w:t xml:space="preserve"> </w:t>
      </w:r>
      <w:r>
        <w:rPr>
          <w:iCs/>
          <w:i/>
        </w:rPr>
        <w:t xml:space="preserve">Diabetes Obes Metab</w:t>
      </w:r>
      <w:r>
        <w:t xml:space="preserve"> </w:t>
      </w:r>
      <w:r>
        <w:t xml:space="preserve">· Efficacy and safety of once-weekly semaglutide 2.4 mg for weight management in participants from China: A prespecified analysis of the STEP 7 randomized clinical trial. PMID 40069849</w:t>
      </w:r>
    </w:p>
    <w:p>
      <w:pPr>
        <w:numPr>
          <w:ilvl w:val="0"/>
          <w:numId w:val="1379"/>
        </w:numPr>
        <w:pStyle w:val="Compact"/>
      </w:pPr>
      <w:r>
        <w:t xml:space="preserve">2025 · Kushner RF ·</w:t>
      </w:r>
      <w:r>
        <w:t xml:space="preserve"> </w:t>
      </w:r>
      <w:r>
        <w:rPr>
          <w:iCs/>
          <w:i/>
        </w:rPr>
        <w:t xml:space="preserve">Obesity (Silver Spring)</w:t>
      </w:r>
      <w:r>
        <w:t xml:space="preserve"> </w:t>
      </w:r>
      <w:r>
        <w:t xml:space="preserve">· Safety profile of semaglutide versus placebo in the SELECT study: a randomized controlled trial. PMID 39948761</w:t>
      </w:r>
    </w:p>
    <w:p>
      <w:pPr>
        <w:numPr>
          <w:ilvl w:val="0"/>
          <w:numId w:val="1379"/>
        </w:numPr>
        <w:pStyle w:val="Compact"/>
      </w:pPr>
      <w:r>
        <w:t xml:space="preserve">2025 · Hendershot CS ·</w:t>
      </w:r>
      <w:r>
        <w:t xml:space="preserve"> </w:t>
      </w:r>
      <w:r>
        <w:rPr>
          <w:iCs/>
          <w:i/>
        </w:rPr>
        <w:t xml:space="preserve">JAMA Psychiatry</w:t>
      </w:r>
      <w:r>
        <w:t xml:space="preserve"> </w:t>
      </w:r>
      <w:r>
        <w:t xml:space="preserve">· Once-Weekly Semaglutide in Adults With Alcohol Use Disorder: A Randomized Clinical Trial. PMID 39937469</w:t>
      </w:r>
    </w:p>
    <w:p>
      <w:pPr>
        <w:numPr>
          <w:ilvl w:val="0"/>
          <w:numId w:val="1379"/>
        </w:numPr>
        <w:pStyle w:val="Compact"/>
      </w:pPr>
      <w:r>
        <w:t xml:space="preserve">2025 · McEwan P ·</w:t>
      </w:r>
      <w:r>
        <w:t xml:space="preserve"> </w:t>
      </w:r>
      <w:r>
        <w:rPr>
          <w:iCs/>
          <w:i/>
        </w:rPr>
        <w:t xml:space="preserve">J Med Econ</w:t>
      </w:r>
      <w:r>
        <w:t xml:space="preserve"> </w:t>
      </w:r>
      <w:r>
        <w:t xml:space="preserve">· Cost-effectiveness of semaglutide in people with obesity and cardiovascular disease without diabetes. PMID 39882599</w:t>
      </w:r>
    </w:p>
    <w:p>
      <w:pPr>
        <w:numPr>
          <w:ilvl w:val="0"/>
          <w:numId w:val="1379"/>
        </w:numPr>
        <w:pStyle w:val="Compact"/>
      </w:pPr>
      <w:r>
        <w:t xml:space="preserve">2025 · Petković-Dabić J ·</w:t>
      </w:r>
      <w:r>
        <w:t xml:space="preserve"> </w:t>
      </w:r>
      <w:r>
        <w:rPr>
          <w:iCs/>
          <w:i/>
        </w:rPr>
        <w:t xml:space="preserve">Biomolecules</w:t>
      </w:r>
      <w:r>
        <w:t xml:space="preserve"> </w:t>
      </w:r>
      <w:r>
        <w:t xml:space="preserve">· Effects of Semaglutide Treatment on Psoriatic Lesions in Obese Patients with Type 2 Diabetes Mellitus: An Open-Label, Randomized Clinical Trial. PMID 39858442</w:t>
      </w:r>
    </w:p>
    <w:p>
      <w:pPr>
        <w:numPr>
          <w:ilvl w:val="0"/>
          <w:numId w:val="1379"/>
        </w:numPr>
        <w:pStyle w:val="Compact"/>
      </w:pPr>
      <w:r>
        <w:t xml:space="preserve">2025 · Davies MJ ·</w:t>
      </w:r>
      <w:r>
        <w:t xml:space="preserve"> </w:t>
      </w:r>
      <w:r>
        <w:rPr>
          <w:iCs/>
          <w:i/>
        </w:rPr>
        <w:t xml:space="preserve">Lancet Diabetes Endocrinol</w:t>
      </w:r>
      <w:r>
        <w:t xml:space="preserve"> </w:t>
      </w:r>
      <w:r>
        <w:t xml:space="preserve">· Semaglutide in obesity-related heart failure with preserved ejection fraction and type 2 diabetes across baseline HbA(1c) levels (STEP-HFpEF DM): a prespecified analysis of heart failure and metabolic outcomes from a randomised, placebo-controlled trial. PMID 39848268</w:t>
      </w:r>
    </w:p>
    <w:p>
      <w:pPr>
        <w:numPr>
          <w:ilvl w:val="0"/>
          <w:numId w:val="1379"/>
        </w:numPr>
        <w:pStyle w:val="Compact"/>
      </w:pPr>
      <w:r>
        <w:t xml:space="preserve">2025 · Lingvay I ·</w:t>
      </w:r>
      <w:r>
        <w:t xml:space="preserve"> </w:t>
      </w:r>
      <w:r>
        <w:rPr>
          <w:iCs/>
          <w:i/>
        </w:rPr>
        <w:t xml:space="preserve">Diabetologia</w:t>
      </w:r>
      <w:r>
        <w:t xml:space="preserve"> </w:t>
      </w:r>
      <w:r>
        <w:t xml:space="preserve">· Once-weekly IcoSema versus once-weekly semaglutide in adults with type 2 diabetes: the COMBINE 2 randomised clinical trial. PMID 39820580</w:t>
      </w:r>
    </w:p>
    <w:p>
      <w:pPr>
        <w:numPr>
          <w:ilvl w:val="0"/>
          <w:numId w:val="1379"/>
        </w:numPr>
        <w:pStyle w:val="Compact"/>
      </w:pPr>
      <w:r>
        <w:t xml:space="preserve">2025 · Razavi AC ·</w:t>
      </w:r>
      <w:r>
        <w:t xml:space="preserve"> </w:t>
      </w:r>
      <w:r>
        <w:rPr>
          <w:iCs/>
          <w:i/>
        </w:rPr>
        <w:t xml:space="preserve">JACC Cardiovasc Imaging</w:t>
      </w:r>
      <w:r>
        <w:t xml:space="preserve"> </w:t>
      </w:r>
      <w:r>
        <w:t xml:space="preserve">· Allocation of Semaglutide According to Coronary Artery Calcium and BMI: Applying the SELECT Trial to MESA. PMID 39797878</w:t>
      </w:r>
    </w:p>
    <w:p>
      <w:pPr>
        <w:numPr>
          <w:ilvl w:val="0"/>
          <w:numId w:val="1379"/>
        </w:numPr>
        <w:pStyle w:val="Compact"/>
      </w:pPr>
      <w:r>
        <w:t xml:space="preserve">2025 · Pasqua MR ·</w:t>
      </w:r>
      <w:r>
        <w:t xml:space="preserve"> </w:t>
      </w:r>
      <w:r>
        <w:rPr>
          <w:iCs/>
          <w:i/>
        </w:rPr>
        <w:t xml:space="preserve">Nat Med</w:t>
      </w:r>
      <w:r>
        <w:t xml:space="preserve"> </w:t>
      </w:r>
      <w:r>
        <w:t xml:space="preserve">· Subcutaneous weekly semaglutide with automated insulin delivery in type 1 diabetes: a double-blind, randomized, crossover trial. PMID 39794615</w:t>
      </w:r>
    </w:p>
    <w:p>
      <w:pPr>
        <w:numPr>
          <w:ilvl w:val="0"/>
          <w:numId w:val="1379"/>
        </w:numPr>
        <w:pStyle w:val="Compact"/>
      </w:pPr>
      <w:r>
        <w:t xml:space="preserve">2025 · Cummings JL ·</w:t>
      </w:r>
      <w:r>
        <w:t xml:space="preserve"> </w:t>
      </w:r>
      <w:r>
        <w:rPr>
          <w:iCs/>
          <w:i/>
        </w:rPr>
        <w:t xml:space="preserve">Alzheimers Res Ther</w:t>
      </w:r>
      <w:r>
        <w:t xml:space="preserve"> </w:t>
      </w:r>
      <w:r>
        <w:t xml:space="preserve">· evoke and evoke+: design of two large-scale, double-blind, placebo-controlled, phase 3 studies evaluating efficacy, safety, and tolerability of semaglutide in early-stage symptomatic Alzheimer’s disease. PMID 39780249</w:t>
      </w:r>
    </w:p>
    <w:p>
      <w:pPr>
        <w:numPr>
          <w:ilvl w:val="0"/>
          <w:numId w:val="1379"/>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79"/>
        </w:numPr>
        <w:pStyle w:val="Compact"/>
      </w:pPr>
      <w:r>
        <w:t xml:space="preserve">2025 · Tchang BG ·</w:t>
      </w:r>
      <w:r>
        <w:t xml:space="preserve"> </w:t>
      </w:r>
      <w:r>
        <w:rPr>
          <w:iCs/>
          <w:i/>
        </w:rPr>
        <w:t xml:space="preserve">Obesity (Silver Spring)</w:t>
      </w:r>
      <w:r>
        <w:t xml:space="preserve"> </w:t>
      </w:r>
      <w:r>
        <w:t xml:space="preserve">· Effect of semaglutide 2.4 mg on use of antihypertensive and lipid-lowering treatment in five randomized controlled STEP trials. PMID 39756397</w:t>
      </w:r>
    </w:p>
    <w:p>
      <w:pPr>
        <w:numPr>
          <w:ilvl w:val="0"/>
          <w:numId w:val="1379"/>
        </w:numPr>
        <w:pStyle w:val="Compact"/>
      </w:pPr>
      <w:r>
        <w:t xml:space="preserve">2025 · Armstrong MJ ·</w:t>
      </w:r>
      <w:r>
        <w:t xml:space="preserve"> </w:t>
      </w:r>
      <w:r>
        <w:rPr>
          <w:iCs/>
          <w:i/>
        </w:rPr>
        <w:t xml:space="preserve">Diabetes Obes Metab</w:t>
      </w:r>
      <w:r>
        <w:t xml:space="preserve"> </w:t>
      </w:r>
      <w:r>
        <w:t xml:space="preserve">· Similar weight loss with semaglutide regardless of diabetes and cardiometabolic risk parameters in individuals with metabolic dysfunction-associated steatotic liver disease: Post hoc analysis of three randomised controlled trials. PMID 39609879</w:t>
      </w:r>
    </w:p>
    <w:p>
      <w:pPr>
        <w:numPr>
          <w:ilvl w:val="0"/>
          <w:numId w:val="1379"/>
        </w:numPr>
        <w:pStyle w:val="Compact"/>
      </w:pPr>
      <w:r>
        <w:t xml:space="preserve">2025 · Rodriguez P ·</w:t>
      </w:r>
      <w:r>
        <w:t xml:space="preserve"> </w:t>
      </w:r>
      <w:r>
        <w:rPr>
          <w:iCs/>
          <w:i/>
        </w:rPr>
        <w:t xml:space="preserve">Diabetes Obes Metab</w:t>
      </w:r>
      <w:r>
        <w:t xml:space="preserve"> </w:t>
      </w:r>
      <w:r>
        <w:t xml:space="preserve">· De-intensification of basal-bolus therapy by replacing prandial insulin with once-weekly subcutaneous semaglutide in individuals with well-controlled type 2 diabetes: A single-centre, open-label randomised trial (TRANSITION-T2D). PMID 39532398</w:t>
      </w:r>
    </w:p>
    <w:p>
      <w:pPr>
        <w:numPr>
          <w:ilvl w:val="0"/>
          <w:numId w:val="1379"/>
        </w:numPr>
        <w:pStyle w:val="Compact"/>
      </w:pPr>
      <w:r>
        <w:t xml:space="preserve">2025 · Gregorič N ·</w:t>
      </w:r>
      <w:r>
        <w:t xml:space="preserve"> </w:t>
      </w:r>
      <w:r>
        <w:rPr>
          <w:iCs/>
          <w:i/>
        </w:rPr>
        <w:t xml:space="preserve">Diabetes Obes Metab</w:t>
      </w:r>
      <w:r>
        <w:t xml:space="preserve"> </w:t>
      </w:r>
      <w:r>
        <w:t xml:space="preserve">· Semaglutide improved sperm morphology in obese men with type 2 diabetes mellitus and functional hypogonadism. PMID 39511836</w:t>
      </w:r>
    </w:p>
    <w:p>
      <w:pPr>
        <w:numPr>
          <w:ilvl w:val="0"/>
          <w:numId w:val="1379"/>
        </w:numPr>
        <w:pStyle w:val="Compact"/>
      </w:pPr>
      <w:r>
        <w:t xml:space="preserve">2025 · Apperloo EM ·</w:t>
      </w:r>
      <w:r>
        <w:t xml:space="preserve"> </w:t>
      </w:r>
      <w:r>
        <w:rPr>
          <w:iCs/>
          <w:i/>
        </w:rPr>
        <w:t xml:space="preserve">Nat Med</w:t>
      </w:r>
      <w:r>
        <w:t xml:space="preserve"> </w:t>
      </w:r>
      <w:r>
        <w:t xml:space="preserve">· Semaglutide in patients with overweight or obesity and chronic kidney disease without diabetes: a randomized double-blind placebo-controlled clinical trial. PMID 39455729</w:t>
      </w:r>
    </w:p>
    <w:p>
      <w:pPr>
        <w:numPr>
          <w:ilvl w:val="0"/>
          <w:numId w:val="1379"/>
        </w:numPr>
        <w:pStyle w:val="Compact"/>
      </w:pPr>
      <w:r>
        <w:t xml:space="preserve">2025 · Mahaffey KW ·</w:t>
      </w:r>
      <w:r>
        <w:t xml:space="preserve"> </w:t>
      </w:r>
      <w:r>
        <w:rPr>
          <w:iCs/>
          <w:i/>
        </w:rPr>
        <w:t xml:space="preserve">Eur Heart J</w:t>
      </w:r>
      <w:r>
        <w:t xml:space="preserve"> </w:t>
      </w:r>
      <w:r>
        <w:t xml:space="preserve">· Cardiovascular outcomes with semaglutide by severity of chronic kidney disease in type 2 diabetes: the FLOW trial. PMID 39211948</w:t>
      </w:r>
    </w:p>
    <w:p>
      <w:pPr>
        <w:numPr>
          <w:ilvl w:val="0"/>
          <w:numId w:val="1379"/>
        </w:numPr>
        <w:pStyle w:val="Compact"/>
      </w:pPr>
      <w:r>
        <w:t xml:space="preserve">2025 · Ditzenberger GL ·</w:t>
      </w:r>
      <w:r>
        <w:t xml:space="preserve"> </w:t>
      </w:r>
      <w:r>
        <w:rPr>
          <w:iCs/>
          <w:i/>
        </w:rPr>
        <w:t xml:space="preserve">Clin Infect Dis</w:t>
      </w:r>
      <w:r>
        <w:t xml:space="preserve"> </w:t>
      </w:r>
      <w:r>
        <w:t xml:space="preserve">· Effects of Semaglutide on Muscle Structure and Function in the SLIM LIVER Study. PMID 39046173</w:t>
      </w:r>
    </w:p>
    <w:p>
      <w:pPr>
        <w:numPr>
          <w:ilvl w:val="0"/>
          <w:numId w:val="1379"/>
        </w:numPr>
        <w:pStyle w:val="Compact"/>
      </w:pPr>
      <w:r>
        <w:t xml:space="preserve">2025 · Apperloo EM ·</w:t>
      </w:r>
      <w:r>
        <w:t xml:space="preserve"> </w:t>
      </w:r>
      <w:r>
        <w:rPr>
          <w:iCs/>
          <w:i/>
        </w:rPr>
        <w:t xml:space="preserve">Nephrol Dial Transplant</w:t>
      </w:r>
      <w:r>
        <w:t xml:space="preserve"> </w:t>
      </w:r>
      <w:r>
        <w:t xml:space="preserve">· Effect of semaglutide on kidney function across different levels of baseline HbA1c, blood pressure, body weight and albuminuria in SUSTAIN 6 and PIONEER 6. PMID 38955363</w:t>
      </w:r>
    </w:p>
    <w:p>
      <w:pPr>
        <w:numPr>
          <w:ilvl w:val="0"/>
          <w:numId w:val="1379"/>
        </w:numPr>
        <w:pStyle w:val="Compact"/>
      </w:pPr>
      <w:r>
        <w:t xml:space="preserve">2025 · Nomoto H ·</w:t>
      </w:r>
      <w:r>
        <w:t xml:space="preserve"> </w:t>
      </w:r>
      <w:r>
        <w:rPr>
          <w:iCs/>
          <w:i/>
        </w:rPr>
        <w:t xml:space="preserve">J Clin Endocrinol Metab</w:t>
      </w:r>
      <w:r>
        <w:t xml:space="preserve"> </w:t>
      </w:r>
      <w:r>
        <w:t xml:space="preserve">· Improvement of β-Cell Function After Switching From DPP-4 Inhibitors to Oral Semaglutide: SWITCH-SEMA2 Post Hoc Analysis. PMID 38695547</w:t>
      </w:r>
    </w:p>
    <w:p>
      <w:pPr>
        <w:numPr>
          <w:ilvl w:val="0"/>
          <w:numId w:val="1379"/>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9"/>
        </w:numPr>
        <w:pStyle w:val="Compact"/>
      </w:pPr>
      <w:r>
        <w:t xml:space="preserve">2024 · Kadowaki T ·</w:t>
      </w:r>
      <w:r>
        <w:t xml:space="preserve"> </w:t>
      </w:r>
      <w:r>
        <w:rPr>
          <w:iCs/>
          <w:i/>
        </w:rPr>
        <w:t xml:space="preserve">Obes Res Clin Pract</w:t>
      </w:r>
      <w:r>
        <w:t xml:space="preserve"> </w:t>
      </w:r>
      <w:r>
        <w:t xml:space="preserve">· Clinical characteristics affecting weight loss in an East Asian population receiving semaglutide: A STEP 6 subgroup analysis. PMID 39824696</w:t>
      </w:r>
    </w:p>
    <w:p>
      <w:pPr>
        <w:numPr>
          <w:ilvl w:val="0"/>
          <w:numId w:val="1379"/>
        </w:numPr>
        <w:pStyle w:val="Compact"/>
      </w:pPr>
      <w:r>
        <w:t xml:space="preserve">2024 · Westergaard L ·</w:t>
      </w:r>
      <w:r>
        <w:t xml:space="preserve"> </w:t>
      </w:r>
      <w:r>
        <w:rPr>
          <w:iCs/>
          <w:i/>
        </w:rPr>
        <w:t xml:space="preserve">Clin Drug Investig</w:t>
      </w:r>
      <w:r>
        <w:t xml:space="preserve"> </w:t>
      </w:r>
      <w:r>
        <w:t xml:space="preserve">· Pharmacokinetic Properties of a Once-Weekly Fixed-Ratio Combination of Insulin Icodec and Semaglutide Compared with Separate Administration of Each Component in Individuals with Type 2 Diabetes Mellitus. PMID 39488821</w:t>
      </w:r>
    </w:p>
    <w:p>
      <w:pPr>
        <w:numPr>
          <w:ilvl w:val="0"/>
          <w:numId w:val="1379"/>
        </w:numPr>
        <w:pStyle w:val="Compact"/>
      </w:pPr>
      <w:r>
        <w:t xml:space="preserve">2024 · Bliddal H ·</w:t>
      </w:r>
      <w:r>
        <w:t xml:space="preserve"> </w:t>
      </w:r>
      <w:r>
        <w:rPr>
          <w:iCs/>
          <w:i/>
        </w:rPr>
        <w:t xml:space="preserve">N Engl J Med</w:t>
      </w:r>
      <w:r>
        <w:t xml:space="preserve"> </w:t>
      </w:r>
      <w:r>
        <w:t xml:space="preserve">· Once-Weekly Semaglutide in Persons with Obesity and Knee Osteoarthritis. PMID 39476339</w:t>
      </w:r>
    </w:p>
    <w:p>
      <w:pPr>
        <w:numPr>
          <w:ilvl w:val="0"/>
          <w:numId w:val="1379"/>
        </w:numPr>
        <w:pStyle w:val="Compact"/>
      </w:pPr>
      <w:r>
        <w:t xml:space="preserve">2024 · Saravanan P ·</w:t>
      </w:r>
      <w:r>
        <w:t xml:space="preserve"> </w:t>
      </w:r>
      <w:r>
        <w:rPr>
          <w:iCs/>
          <w:i/>
        </w:rPr>
        <w:t xml:space="preserve">Adv Ther</w:t>
      </w:r>
      <w:r>
        <w:t xml:space="preserve"> </w:t>
      </w:r>
      <w:r>
        <w:t xml:space="preserve">· PIONEER REAL UK: A Multi-Centre, Prospective, Real-World Study of Once-Daily Oral Semaglutide Use in Adults with Type 2 Diabetes. PMID 39316289</w:t>
      </w:r>
    </w:p>
    <w:p>
      <w:pPr>
        <w:numPr>
          <w:ilvl w:val="0"/>
          <w:numId w:val="1379"/>
        </w:numPr>
        <w:pStyle w:val="Compact"/>
      </w:pPr>
      <w:r>
        <w:t xml:space="preserve">2024 · Ji L ·</w:t>
      </w:r>
      <w:r>
        <w:t xml:space="preserve"> </w:t>
      </w:r>
      <w:r>
        <w:rPr>
          <w:iCs/>
          <w:i/>
        </w:rPr>
        <w:t xml:space="preserve">Diabetes Obes Metab</w:t>
      </w:r>
      <w:r>
        <w:t xml:space="preserve"> </w:t>
      </w:r>
      <w:r>
        <w:t xml:space="preserve">· Impact of baseline characteristics on the efficacy of once-weekly subcutaneous semaglutide among participants with type 2 diabetes: A post hoc analysis of SUSTAIN China. PMID 39279647</w:t>
      </w:r>
    </w:p>
    <w:p>
      <w:pPr>
        <w:numPr>
          <w:ilvl w:val="0"/>
          <w:numId w:val="1379"/>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79"/>
        </w:numPr>
        <w:pStyle w:val="Compact"/>
      </w:pPr>
      <w:r>
        <w:t xml:space="preserve">2024 · Wadden TA ·</w:t>
      </w:r>
      <w:r>
        <w:t xml:space="preserve"> </w:t>
      </w:r>
      <w:r>
        <w:rPr>
          <w:iCs/>
          <w:i/>
        </w:rPr>
        <w:t xml:space="preserve">JAMA Intern Med</w:t>
      </w:r>
      <w:r>
        <w:t xml:space="preserve"> </w:t>
      </w:r>
      <w:r>
        <w:t xml:space="preserve">· Psychiatric Safety of Semaglutide for Weight Management in People Without Known Major Psychopathology: Post Hoc Analysis of the STEP 1, 2, 3, and 5 Trials. PMID 39226070</w:t>
      </w:r>
    </w:p>
    <w:p>
      <w:pPr>
        <w:numPr>
          <w:ilvl w:val="0"/>
          <w:numId w:val="1379"/>
        </w:numPr>
        <w:pStyle w:val="Compact"/>
      </w:pPr>
      <w:r>
        <w:t xml:space="preserve">2024 · Kosiborod MN ·</w:t>
      </w:r>
      <w:r>
        <w:t xml:space="preserve"> </w:t>
      </w:r>
      <w:r>
        <w:rPr>
          <w:iCs/>
          <w:i/>
        </w:rPr>
        <w:t xml:space="preserve">Lancet</w:t>
      </w:r>
      <w:r>
        <w:t xml:space="preserve"> </w:t>
      </w:r>
      <w:r>
        <w:t xml:space="preserve">· Semaglutide versus placebo in patients with heart failure and mildly reduced or preserved ejection fraction: a pooled analysis of the SELECT, FLOW, STEP-HFpEF, and STEP-HFpEF DM randomised trials. PMID 39222642</w:t>
      </w:r>
    </w:p>
    <w:p>
      <w:pPr>
        <w:numPr>
          <w:ilvl w:val="0"/>
          <w:numId w:val="1379"/>
        </w:numPr>
        <w:pStyle w:val="Compact"/>
      </w:pPr>
      <w:r>
        <w:t xml:space="preserve">2024 · Selvarajah V ·</w:t>
      </w:r>
      <w:r>
        <w:t xml:space="preserve"> </w:t>
      </w:r>
      <w:r>
        <w:rPr>
          <w:iCs/>
          <w:i/>
        </w:rPr>
        <w:t xml:space="preserve">Kidney Int</w:t>
      </w:r>
      <w:r>
        <w:t xml:space="preserve"> </w:t>
      </w:r>
      <w:r>
        <w:t xml:space="preserve">· A randomized phase 2b trial examined the effects of the glucagon-like peptide-1 and glucagon receptor agonist cotadutide on kidney outcomes in patients with diabetic kidney disease. PMID 39218393</w:t>
      </w:r>
    </w:p>
    <w:p>
      <w:pPr>
        <w:numPr>
          <w:ilvl w:val="0"/>
          <w:numId w:val="1379"/>
        </w:numPr>
        <w:pStyle w:val="Compact"/>
      </w:pPr>
      <w:r>
        <w:t xml:space="preserve">2024 · Solomon SD ·</w:t>
      </w:r>
      <w:r>
        <w:t xml:space="preserve"> </w:t>
      </w:r>
      <w:r>
        <w:rPr>
          <w:iCs/>
          <w:i/>
        </w:rPr>
        <w:t xml:space="preserve">J Am Coll Cardiol</w:t>
      </w:r>
      <w:r>
        <w:t xml:space="preserve"> </w:t>
      </w:r>
      <w:r>
        <w:t xml:space="preserve">· Effect of Semaglutide on Cardiac Structure and Function in Patients With Obesity-Related Heart Failure. PMID 39217567</w:t>
      </w:r>
    </w:p>
    <w:p>
      <w:pPr>
        <w:numPr>
          <w:ilvl w:val="0"/>
          <w:numId w:val="1379"/>
        </w:numPr>
        <w:pStyle w:val="Compact"/>
      </w:pPr>
      <w:r>
        <w:t xml:space="preserve">2024 · Verma S ·</w:t>
      </w:r>
      <w:r>
        <w:t xml:space="preserve"> </w:t>
      </w:r>
      <w:r>
        <w:rPr>
          <w:iCs/>
          <w:i/>
        </w:rPr>
        <w:t xml:space="preserve">J Am Coll Cardiol</w:t>
      </w:r>
      <w:r>
        <w:t xml:space="preserve"> </w:t>
      </w:r>
      <w:r>
        <w:t xml:space="preserve">· Atrial Fibrillation and Semaglutide Effects in Obesity-Related Heart Failure With Preserved Ejection Fraction: STEP-HFpEF Program. PMID 39217565</w:t>
      </w:r>
    </w:p>
    <w:p>
      <w:pPr>
        <w:numPr>
          <w:ilvl w:val="0"/>
          <w:numId w:val="1379"/>
        </w:numPr>
        <w:pStyle w:val="Compact"/>
      </w:pPr>
      <w:r>
        <w:t xml:space="preserve">2024 · Verma S ·</w:t>
      </w:r>
      <w:r>
        <w:t xml:space="preserve"> </w:t>
      </w:r>
      <w:r>
        <w:rPr>
          <w:iCs/>
          <w:i/>
        </w:rPr>
        <w:t xml:space="preserve">J Am Coll Cardiol</w:t>
      </w:r>
      <w:r>
        <w:t xml:space="preserve"> </w:t>
      </w:r>
      <w:r>
        <w:t xml:space="preserve">· Inflammation in Obesity-Related HFpEF: The STEP-HFpEF Program. PMID 39217564</w:t>
      </w:r>
    </w:p>
    <w:p>
      <w:pPr>
        <w:numPr>
          <w:ilvl w:val="0"/>
          <w:numId w:val="1379"/>
        </w:numPr>
        <w:pStyle w:val="Compact"/>
      </w:pPr>
      <w:r>
        <w:t xml:space="preserve">2024 · Scirica BM ·</w:t>
      </w:r>
      <w:r>
        <w:t xml:space="preserve"> </w:t>
      </w:r>
      <w:r>
        <w:rPr>
          <w:iCs/>
          <w:i/>
        </w:rPr>
        <w:t xml:space="preserve">J Am Coll Cardiol</w:t>
      </w:r>
      <w:r>
        <w:t xml:space="preserve"> </w:t>
      </w:r>
      <w:r>
        <w:t xml:space="preserve">· The Effect of Semaglutide on Mortality and COVID-19-Related Deaths: An Analysis From the SELECT Trial. PMID 39217559</w:t>
      </w:r>
    </w:p>
    <w:p>
      <w:pPr>
        <w:numPr>
          <w:ilvl w:val="0"/>
          <w:numId w:val="1379"/>
        </w:numPr>
        <w:pStyle w:val="Compact"/>
      </w:pPr>
      <w:r>
        <w:t xml:space="preserve">2024 · Pratley RE ·</w:t>
      </w:r>
      <w:r>
        <w:t xml:space="preserve"> </w:t>
      </w:r>
      <w:r>
        <w:rPr>
          <w:iCs/>
          <w:i/>
        </w:rPr>
        <w:t xml:space="preserve">J Am Coll Cardiol</w:t>
      </w:r>
      <w:r>
        <w:t xml:space="preserve"> </w:t>
      </w:r>
      <w:r>
        <w:t xml:space="preserve">· Effects of Semaglutide on Heart Failure Outcomes in Diabetes and Chronic Kidney Disease in the FLOW Trial. PMID 39217553</w:t>
      </w:r>
    </w:p>
    <w:p>
      <w:pPr>
        <w:numPr>
          <w:ilvl w:val="0"/>
          <w:numId w:val="1379"/>
        </w:numPr>
        <w:pStyle w:val="Compact"/>
      </w:pPr>
      <w:r>
        <w:t xml:space="preserve">2024 · Younis IR ·</w:t>
      </w:r>
      <w:r>
        <w:t xml:space="preserve"> </w:t>
      </w:r>
      <w:r>
        <w:rPr>
          <w:iCs/>
          <w:i/>
        </w:rPr>
        <w:t xml:space="preserve">J Clin Pharmacol</w:t>
      </w:r>
      <w:r>
        <w:t xml:space="preserve"> </w:t>
      </w:r>
      <w:r>
        <w:t xml:space="preserve">· Pharmacokinetics and Safety of Cilofexor and Firsocostat in Healthy Japanese and Non-Japanese Participants. PMID 39213138</w:t>
      </w:r>
    </w:p>
    <w:p>
      <w:pPr>
        <w:numPr>
          <w:ilvl w:val="0"/>
          <w:numId w:val="1379"/>
        </w:numPr>
        <w:pStyle w:val="Compact"/>
      </w:pPr>
      <w:r>
        <w:t xml:space="preserve">2024 · Wang J ·</w:t>
      </w:r>
      <w:r>
        <w:t xml:space="preserve"> </w:t>
      </w:r>
      <w:r>
        <w:rPr>
          <w:iCs/>
          <w:i/>
        </w:rPr>
        <w:t xml:space="preserve">Diabetes Obes Metab</w:t>
      </w:r>
      <w:r>
        <w:t xml:space="preserve"> </w:t>
      </w:r>
      <w:r>
        <w:t xml:space="preserve">· Effect of semaglutide on primary prevention of diabetic kidney disease in people with type 2 diabetes: A post hoc analysis of the SUSTAIN 6 randomized controlled trial. PMID 39188242</w:t>
      </w:r>
    </w:p>
    <w:p>
      <w:pPr>
        <w:numPr>
          <w:ilvl w:val="0"/>
          <w:numId w:val="1379"/>
        </w:numPr>
        <w:pStyle w:val="Compact"/>
      </w:pPr>
      <w:r>
        <w:t xml:space="preserve">2024 · Deanfield J ·</w:t>
      </w:r>
      <w:r>
        <w:t xml:space="preserve"> </w:t>
      </w:r>
      <w:r>
        <w:rPr>
          <w:iCs/>
          <w:i/>
        </w:rPr>
        <w:t xml:space="preserve">Lancet</w:t>
      </w:r>
      <w:r>
        <w:t xml:space="preserve"> </w:t>
      </w:r>
      <w:r>
        <w:t xml:space="preserve">· Semaglutide and cardiovascular outcomes in patients with obesity and prevalent heart failure: a prespecified analysis of the SELECT trial. PMID 39181597</w:t>
      </w:r>
    </w:p>
    <w:p>
      <w:pPr>
        <w:numPr>
          <w:ilvl w:val="0"/>
          <w:numId w:val="1379"/>
        </w:numPr>
        <w:pStyle w:val="Compact"/>
      </w:pPr>
      <w:r>
        <w:t xml:space="preserve">2024 · El-Nayir M ·</w:t>
      </w:r>
      <w:r>
        <w:t xml:space="preserve"> </w:t>
      </w:r>
      <w:r>
        <w:rPr>
          <w:iCs/>
          <w:i/>
        </w:rPr>
        <w:t xml:space="preserve">Trials</w:t>
      </w:r>
      <w:r>
        <w:t xml:space="preserve"> </w:t>
      </w:r>
      <w:r>
        <w:t xml:space="preserve">· Patient and public involvement and engagement in the ASCEND PLUS trial: reflections from the design of a streamlined and decentralised clinical trial. PMID 39175005</w:t>
      </w:r>
    </w:p>
    <w:p>
      <w:pPr>
        <w:numPr>
          <w:ilvl w:val="0"/>
          <w:numId w:val="1379"/>
        </w:numPr>
        <w:pStyle w:val="Compact"/>
      </w:pPr>
      <w:r>
        <w:t xml:space="preserve">2024 · Liu X ·</w:t>
      </w:r>
      <w:r>
        <w:t xml:space="preserve"> </w:t>
      </w:r>
      <w:r>
        <w:rPr>
          <w:iCs/>
          <w:i/>
        </w:rPr>
        <w:t xml:space="preserve">J Diabetes Investig</w:t>
      </w:r>
      <w:r>
        <w:t xml:space="preserve"> </w:t>
      </w:r>
      <w:r>
        <w:t xml:space="preserve">· Application of the integrated data platform combined with dietary management for adults with diabetes: A prospective randomized controlled trial. PMID 39171608</w:t>
      </w:r>
    </w:p>
    <w:p>
      <w:pPr>
        <w:numPr>
          <w:ilvl w:val="0"/>
          <w:numId w:val="1379"/>
        </w:numPr>
        <w:pStyle w:val="Compact"/>
      </w:pPr>
      <w:r>
        <w:t xml:space="preserve">2024 · Manubolu VS ·</w:t>
      </w:r>
      <w:r>
        <w:t xml:space="preserve"> </w:t>
      </w:r>
      <w:r>
        <w:rPr>
          <w:iCs/>
          <w:i/>
        </w:rPr>
        <w:t xml:space="preserve">J Am Coll Cardiol</w:t>
      </w:r>
      <w:r>
        <w:t xml:space="preserve"> </w:t>
      </w:r>
      <w:r>
        <w:t xml:space="preserve">· Effect of Semaglutide on Epicardial Adipose Tissue in Type 2 Diabetes: Insights From the STOP (Semaglutide Treatment effect On coronary atherosclerosis Progression) Randomized Trial. PMID 39168573</w:t>
      </w:r>
    </w:p>
    <w:p>
      <w:pPr>
        <w:numPr>
          <w:ilvl w:val="0"/>
          <w:numId w:val="1379"/>
        </w:numPr>
        <w:pStyle w:val="Compact"/>
      </w:pPr>
      <w:r>
        <w:t xml:space="preserve">2024 · Yang W ·</w:t>
      </w:r>
      <w:r>
        <w:t xml:space="preserve"> </w:t>
      </w:r>
      <w:r>
        <w:rPr>
          <w:iCs/>
          <w:i/>
        </w:rPr>
        <w:t xml:space="preserve">Medicine (Baltimore)</w:t>
      </w:r>
      <w:r>
        <w:t xml:space="preserve"> </w:t>
      </w:r>
      <w:r>
        <w:t xml:space="preserve">· Real world study of GLP-1 receptor agonists in overweight or obese type 2 diabetes by using repeated measurement analysis of variance. PMID 39121301</w:t>
      </w:r>
    </w:p>
    <w:p>
      <w:pPr>
        <w:numPr>
          <w:ilvl w:val="0"/>
          <w:numId w:val="1379"/>
        </w:numPr>
        <w:pStyle w:val="Compact"/>
      </w:pPr>
      <w:r>
        <w:t xml:space="preserve">2024 · McGowan BM ·</w:t>
      </w:r>
      <w:r>
        <w:t xml:space="preserve"> </w:t>
      </w:r>
      <w:r>
        <w:rPr>
          <w:iCs/>
          <w:i/>
        </w:rPr>
        <w:t xml:space="preserve">Lancet Diabetes Endocrinol</w:t>
      </w:r>
      <w:r>
        <w:t xml:space="preserve"> </w:t>
      </w:r>
      <w:r>
        <w:t xml:space="preserve">· Efficacy and safety of once-weekly semaglutide 2·4 mg versus placebo in people with obesity and prediabetes (STEP 10): a randomised, double-blind, placebo-controlled, multicentre phase 3 trial. PMID 39089293</w:t>
      </w:r>
    </w:p>
    <w:p>
      <w:pPr>
        <w:numPr>
          <w:ilvl w:val="0"/>
          <w:numId w:val="1379"/>
        </w:numPr>
        <w:pStyle w:val="Compact"/>
      </w:pPr>
      <w:r>
        <w:t xml:space="preserve">2024 · Gabe MBN ·</w:t>
      </w:r>
      <w:r>
        <w:t xml:space="preserve"> </w:t>
      </w:r>
      <w:r>
        <w:rPr>
          <w:iCs/>
          <w:i/>
        </w:rPr>
        <w:t xml:space="preserve">Diabetes Obes Metab</w:t>
      </w:r>
      <w:r>
        <w:t xml:space="preserve"> </w:t>
      </w:r>
      <w:r>
        <w:t xml:space="preserve">· Effect of oral semaglutide on energy intake, appetite, control of eating and gastric emptying in adults living with obesity: A randomized controlled trial. PMID 39082206</w:t>
      </w:r>
    </w:p>
    <w:p>
      <w:pPr>
        <w:numPr>
          <w:ilvl w:val="0"/>
          <w:numId w:val="1379"/>
        </w:numPr>
        <w:pStyle w:val="Compact"/>
      </w:pPr>
      <w:r>
        <w:t xml:space="preserve">2024 · Vernstrøm L ·</w:t>
      </w:r>
      <w:r>
        <w:t xml:space="preserve"> </w:t>
      </w:r>
      <w:r>
        <w:rPr>
          <w:iCs/>
          <w:i/>
        </w:rPr>
        <w:t xml:space="preserve">Diabetologia</w:t>
      </w:r>
      <w:r>
        <w:t xml:space="preserve"> </w:t>
      </w:r>
      <w:r>
        <w:t xml:space="preserve">· Effects of semaglutide, empagliflozin and their combination on renal diffusion-weighted MRI and total kidney volume in patients with type 2 diabetes: a post hoc analysis from a 32 week randomised trial. PMID 39078489</w:t>
      </w:r>
    </w:p>
    <w:p>
      <w:pPr>
        <w:numPr>
          <w:ilvl w:val="0"/>
          <w:numId w:val="1379"/>
        </w:numPr>
        <w:pStyle w:val="Compact"/>
      </w:pPr>
      <w:r>
        <w:t xml:space="preserve">2024 · Anyiam O ·</w:t>
      </w:r>
      <w:r>
        <w:t xml:space="preserve"> </w:t>
      </w:r>
      <w:r>
        <w:rPr>
          <w:iCs/>
          <w:i/>
        </w:rPr>
        <w:t xml:space="preserve">Clin Nutr</w:t>
      </w:r>
      <w:r>
        <w:t xml:space="preserve"> </w:t>
      </w:r>
      <w:r>
        <w:t xml:space="preserve">· Metabolic effects of very-low calorie diet, Semaglutide, or combination of the two, in individuals with type 2 diabetes mellitus. PMID 38996661</w:t>
      </w:r>
    </w:p>
    <w:p>
      <w:pPr>
        <w:numPr>
          <w:ilvl w:val="0"/>
          <w:numId w:val="1379"/>
        </w:numPr>
        <w:pStyle w:val="Compact"/>
      </w:pPr>
      <w:r>
        <w:t xml:space="preserve">2024 · Wang W ·</w:t>
      </w:r>
      <w:r>
        <w:t xml:space="preserve"> </w:t>
      </w:r>
      <w:r>
        <w:rPr>
          <w:iCs/>
          <w:i/>
        </w:rPr>
        <w:t xml:space="preserve">Diabetologia</w:t>
      </w:r>
      <w:r>
        <w:t xml:space="preserve"> </w:t>
      </w:r>
      <w:r>
        <w:t xml:space="preserve">· Efficacy and safety of oral semaglutide monotherapy vs placebo in a predominantly Chinese population with type 2 diabetes (PIONEER 11): a double-blind, Phase IIIa, randomised trial. PMID 38985162</w:t>
      </w:r>
    </w:p>
    <w:p>
      <w:pPr>
        <w:numPr>
          <w:ilvl w:val="0"/>
          <w:numId w:val="1379"/>
        </w:numPr>
        <w:pStyle w:val="Compact"/>
      </w:pPr>
      <w:r>
        <w:t xml:space="preserve">2024 · Ji L ·</w:t>
      </w:r>
      <w:r>
        <w:t xml:space="preserve"> </w:t>
      </w:r>
      <w:r>
        <w:rPr>
          <w:iCs/>
          <w:i/>
        </w:rPr>
        <w:t xml:space="preserve">Diabetologia</w:t>
      </w:r>
      <w:r>
        <w:t xml:space="preserve"> </w:t>
      </w:r>
      <w:r>
        <w:t xml:space="preserve">· Efficacy and safety of oral semaglutide vs sitagliptin in a predominantly Chinese population with type 2 diabetes uncontrolled with metformin: PIONEER 12, a double-blind, Phase IIIa, randomised trial. PMID 38985161</w:t>
      </w:r>
    </w:p>
    <w:p>
      <w:pPr>
        <w:numPr>
          <w:ilvl w:val="0"/>
          <w:numId w:val="1379"/>
        </w:numPr>
        <w:pStyle w:val="Compact"/>
      </w:pPr>
      <w:r>
        <w:t xml:space="preserve">2024 · Eckard AR ·</w:t>
      </w:r>
      <w:r>
        <w:t xml:space="preserve"> </w:t>
      </w:r>
      <w:r>
        <w:rPr>
          <w:iCs/>
          <w:i/>
        </w:rPr>
        <w:t xml:space="preserve">Lancet Diabetes Endocrinol</w:t>
      </w:r>
      <w:r>
        <w:t xml:space="preserve"> </w:t>
      </w:r>
      <w:r>
        <w:t xml:space="preserve">· Once-weekly semaglutide in people with HIV-associated lipohypertrophy: a randomised, double-blind, placebo-controlled phase 2b single-centre clinical trial. PMID 38964353</w:t>
      </w:r>
    </w:p>
    <w:p>
      <w:pPr>
        <w:numPr>
          <w:ilvl w:val="0"/>
          <w:numId w:val="1379"/>
        </w:numPr>
        <w:pStyle w:val="Compact"/>
      </w:pPr>
      <w:r>
        <w:t xml:space="preserve">2024 · Mann JFE ·</w:t>
      </w:r>
      <w:r>
        <w:t xml:space="preserve"> </w:t>
      </w:r>
      <w:r>
        <w:rPr>
          <w:iCs/>
          <w:i/>
        </w:rPr>
        <w:t xml:space="preserve">Nat Med</w:t>
      </w:r>
      <w:r>
        <w:t xml:space="preserve"> </w:t>
      </w:r>
      <w:r>
        <w:t xml:space="preserve">· Effects of semaglutide with and without concomitant SGLT2 inhibitor use in participants with type 2 diabetes and chronic kidney disease in the FLOW trial. PMID 38914124</w:t>
      </w:r>
    </w:p>
    <w:p>
      <w:pPr>
        <w:numPr>
          <w:ilvl w:val="0"/>
          <w:numId w:val="1379"/>
        </w:numPr>
        <w:pStyle w:val="Compact"/>
      </w:pPr>
      <w:r>
        <w:t xml:space="preserve">2024 · Schou M ·</w:t>
      </w:r>
      <w:r>
        <w:t xml:space="preserve"> </w:t>
      </w:r>
      <w:r>
        <w:rPr>
          <w:iCs/>
          <w:i/>
        </w:rPr>
        <w:t xml:space="preserve">J Am Coll Cardiol</w:t>
      </w:r>
      <w:r>
        <w:t xml:space="preserve"> </w:t>
      </w:r>
      <w:r>
        <w:t xml:space="preserve">· Semaglutide and NYHA Functional Class in Obesity-Related Heart Failure With Preserved Ejection Fraction: The STEP-HFpEF Program. PMID 38913004</w:t>
      </w:r>
    </w:p>
    <w:p>
      <w:pPr>
        <w:numPr>
          <w:ilvl w:val="0"/>
          <w:numId w:val="1379"/>
        </w:numPr>
        <w:pStyle w:val="Compact"/>
      </w:pPr>
      <w:r>
        <w:t xml:space="preserve">2024 · Verma S ·</w:t>
      </w:r>
      <w:r>
        <w:t xml:space="preserve"> </w:t>
      </w:r>
      <w:r>
        <w:rPr>
          <w:iCs/>
          <w:i/>
        </w:rPr>
        <w:t xml:space="preserve">J Am Coll Cardiol</w:t>
      </w:r>
      <w:r>
        <w:t xml:space="preserve"> </w:t>
      </w:r>
      <w:r>
        <w:t xml:space="preserve">· Efficacy of Semaglutide by Sex in Obesity-Related Heart Failure With Preserved Ejection Fraction: STEP-HFpEF Trials. PMID 38913003</w:t>
      </w:r>
    </w:p>
    <w:p>
      <w:pPr>
        <w:numPr>
          <w:ilvl w:val="0"/>
          <w:numId w:val="1379"/>
        </w:numPr>
        <w:pStyle w:val="Compact"/>
      </w:pPr>
      <w:r>
        <w:t xml:space="preserve">2024 · Lingvay I ·</w:t>
      </w:r>
      <w:r>
        <w:t xml:space="preserve"> </w:t>
      </w:r>
      <w:r>
        <w:rPr>
          <w:iCs/>
          <w:i/>
        </w:rPr>
        <w:t xml:space="preserve">Diabetes Care</w:t>
      </w:r>
      <w:r>
        <w:t xml:space="preserve"> </w:t>
      </w:r>
      <w:r>
        <w:t xml:space="preserve">· Semaglutide and Cardiovascular Outcomes by Baseline HbA1c and Change in HbA1c in People With Overweight or Obesity but Without Diabetes in SELECT. PMID 38907684</w:t>
      </w:r>
    </w:p>
    <w:p>
      <w:pPr>
        <w:numPr>
          <w:ilvl w:val="0"/>
          <w:numId w:val="1379"/>
        </w:numPr>
        <w:pStyle w:val="Compact"/>
      </w:pPr>
      <w:r>
        <w:t xml:space="preserve">2024 · Kahn SE ·</w:t>
      </w:r>
      <w:r>
        <w:t xml:space="preserve"> </w:t>
      </w:r>
      <w:r>
        <w:rPr>
          <w:iCs/>
          <w:i/>
        </w:rPr>
        <w:t xml:space="preserve">Diabetes Care</w:t>
      </w:r>
      <w:r>
        <w:t xml:space="preserve"> </w:t>
      </w:r>
      <w:r>
        <w:t xml:space="preserve">· Effect of Semaglutide on Regression and Progression of Glycemia in People With Overweight or Obesity but Without Diabetes in the SELECT Trial. PMID 38907683</w:t>
      </w:r>
    </w:p>
    <w:p>
      <w:pPr>
        <w:numPr>
          <w:ilvl w:val="0"/>
          <w:numId w:val="1379"/>
        </w:numPr>
        <w:pStyle w:val="Compact"/>
      </w:pPr>
      <w:r>
        <w:t xml:space="preserve">2024 · Petrie MC ·</w:t>
      </w:r>
      <w:r>
        <w:t xml:space="preserve"> </w:t>
      </w:r>
      <w:r>
        <w:rPr>
          <w:iCs/>
          <w:i/>
        </w:rPr>
        <w:t xml:space="preserve">J Am Coll Cardiol</w:t>
      </w:r>
      <w:r>
        <w:t xml:space="preserve"> </w:t>
      </w:r>
      <w:r>
        <w:t xml:space="preserve">· Semaglutide and NT-proBNP in Obesity-Related HFpEF: Insights From the STEP-HFpEF Program. PMID 38819334</w:t>
      </w:r>
    </w:p>
    <w:p>
      <w:pPr>
        <w:numPr>
          <w:ilvl w:val="0"/>
          <w:numId w:val="1379"/>
        </w:numPr>
        <w:pStyle w:val="Compact"/>
      </w:pPr>
      <w:r>
        <w:t xml:space="preserve">2024 · Xie P ·</w:t>
      </w:r>
      <w:r>
        <w:t xml:space="preserve"> </w:t>
      </w:r>
      <w:r>
        <w:rPr>
          <w:iCs/>
          <w:i/>
        </w:rPr>
        <w:t xml:space="preserve">Diabetes Obes Metab</w:t>
      </w:r>
      <w:r>
        <w:t xml:space="preserve"> </w:t>
      </w:r>
      <w:r>
        <w:t xml:space="preserve">· A phase 1, randomized, double-blind, placebo-controlled trial investigating the pharmacokinetics, pharmacodynamics, safety and tolerability of oral semaglutide in healthy Chinese subjects. PMID 38808476</w:t>
      </w:r>
    </w:p>
    <w:p>
      <w:pPr>
        <w:numPr>
          <w:ilvl w:val="0"/>
          <w:numId w:val="1379"/>
        </w:numPr>
        <w:pStyle w:val="Compact"/>
      </w:pPr>
      <w:r>
        <w:t xml:space="preserve">2024 · Colhoun HM ·</w:t>
      </w:r>
      <w:r>
        <w:t xml:space="preserve"> </w:t>
      </w:r>
      <w:r>
        <w:rPr>
          <w:iCs/>
          <w:i/>
        </w:rPr>
        <w:t xml:space="preserve">Nat Med</w:t>
      </w:r>
      <w:r>
        <w:t xml:space="preserve"> </w:t>
      </w:r>
      <w:r>
        <w:t xml:space="preserve">· Long-term kidney outcomes of semaglutide in obesity and cardiovascular disease in the SELECT trial. PMID 38796653</w:t>
      </w:r>
    </w:p>
    <w:p>
      <w:pPr>
        <w:numPr>
          <w:ilvl w:val="0"/>
          <w:numId w:val="1379"/>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79"/>
        </w:numPr>
        <w:pStyle w:val="Compact"/>
      </w:pPr>
      <w:r>
        <w:t xml:space="preserve">2024 · Perkovic V ·</w:t>
      </w:r>
      <w:r>
        <w:t xml:space="preserve"> </w:t>
      </w:r>
      <w:r>
        <w:rPr>
          <w:iCs/>
          <w:i/>
        </w:rPr>
        <w:t xml:space="preserve">N Engl J Med</w:t>
      </w:r>
      <w:r>
        <w:t xml:space="preserve"> </w:t>
      </w:r>
      <w:r>
        <w:t xml:space="preserve">· Effects of Semaglutide on Chronic Kidney Disease in Patients with Type 2 Diabetes. PMID 38785209</w:t>
      </w:r>
    </w:p>
    <w:p>
      <w:pPr>
        <w:numPr>
          <w:ilvl w:val="0"/>
          <w:numId w:val="1379"/>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79"/>
        </w:numPr>
        <w:pStyle w:val="Compact"/>
      </w:pPr>
      <w:r>
        <w:t xml:space="preserve">2024 · Ryan DH ·</w:t>
      </w:r>
      <w:r>
        <w:t xml:space="preserve"> </w:t>
      </w:r>
      <w:r>
        <w:rPr>
          <w:iCs/>
          <w:i/>
        </w:rPr>
        <w:t xml:space="preserve">Nat Med</w:t>
      </w:r>
      <w:r>
        <w:t xml:space="preserve"> </w:t>
      </w:r>
      <w:r>
        <w:t xml:space="preserve">· Long-term weight loss effects of semaglutide in obesity without diabetes in the SELECT trial. PMID 38740993</w:t>
      </w:r>
    </w:p>
    <w:p>
      <w:pPr>
        <w:numPr>
          <w:ilvl w:val="0"/>
          <w:numId w:val="1379"/>
        </w:numPr>
        <w:pStyle w:val="Compact"/>
      </w:pPr>
      <w:r>
        <w:t xml:space="preserve">2024 · Shah SJ ·</w:t>
      </w:r>
      <w:r>
        <w:t xml:space="preserve"> </w:t>
      </w:r>
      <w:r>
        <w:rPr>
          <w:iCs/>
          <w:i/>
        </w:rPr>
        <w:t xml:space="preserve">Eur Heart J</w:t>
      </w:r>
      <w:r>
        <w:t xml:space="preserve"> </w:t>
      </w:r>
      <w:r>
        <w:t xml:space="preserve">· Semaglutide and diuretic use in obesity-related heart failure with preserved ejection fraction: a pooled analysis of the STEP-HFpEF and STEP-HFpEF-DM trials. PMID 38739118</w:t>
      </w:r>
    </w:p>
    <w:p>
      <w:pPr>
        <w:numPr>
          <w:ilvl w:val="0"/>
          <w:numId w:val="1379"/>
        </w:numPr>
        <w:pStyle w:val="Compact"/>
      </w:pPr>
      <w:r>
        <w:t xml:space="preserve">2024 · Rubino D ·</w:t>
      </w:r>
      <w:r>
        <w:t xml:space="preserve"> </w:t>
      </w:r>
      <w:r>
        <w:rPr>
          <w:iCs/>
          <w:i/>
        </w:rPr>
        <w:t xml:space="preserve">Diabetes Obes Metab</w:t>
      </w:r>
      <w:r>
        <w:t xml:space="preserve"> </w:t>
      </w:r>
      <w:r>
        <w:t xml:space="preserve">· Effect of semaglutide 2.4 mg on physical functioning and weight- and health-related quality of life in adults with overweight or obesity: Patient-reported outcomes from the STEP 1-4 trials. PMID 38698650</w:t>
      </w:r>
    </w:p>
    <w:p>
      <w:pPr>
        <w:numPr>
          <w:ilvl w:val="0"/>
          <w:numId w:val="1379"/>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79"/>
        </w:numPr>
        <w:pStyle w:val="Compact"/>
      </w:pPr>
      <w:r>
        <w:t xml:space="preserve">2024 · Butler J ·</w:t>
      </w:r>
      <w:r>
        <w:t xml:space="preserve"> </w:t>
      </w:r>
      <w:r>
        <w:rPr>
          <w:iCs/>
          <w:i/>
        </w:rPr>
        <w:t xml:space="preserve">Lancet</w:t>
      </w:r>
      <w:r>
        <w:t xml:space="preserve"> </w:t>
      </w:r>
      <w:r>
        <w:t xml:space="preserve">· Semaglutide versus placebo in people with obesity-related heart failure with preserved ejection fraction: a pooled analysis of the STEP-HFpEF and STEP-HFpEF DM randomised trials. PMID 38599221</w:t>
      </w:r>
    </w:p>
    <w:p>
      <w:pPr>
        <w:numPr>
          <w:ilvl w:val="0"/>
          <w:numId w:val="1379"/>
        </w:numPr>
        <w:pStyle w:val="Compact"/>
      </w:pPr>
      <w:r>
        <w:t xml:space="preserve">2024 · Kosiborod MN ·</w:t>
      </w:r>
      <w:r>
        <w:t xml:space="preserve"> </w:t>
      </w:r>
      <w:r>
        <w:rPr>
          <w:iCs/>
          <w:i/>
        </w:rPr>
        <w:t xml:space="preserve">N Engl J Med</w:t>
      </w:r>
      <w:r>
        <w:t xml:space="preserve"> </w:t>
      </w:r>
      <w:r>
        <w:t xml:space="preserve">· Semaglutide in Patients with Obesity-Related Heart Failure and Type 2 Diabetes. PMID 38587233</w:t>
      </w:r>
    </w:p>
    <w:p>
      <w:pPr>
        <w:numPr>
          <w:ilvl w:val="0"/>
          <w:numId w:val="1379"/>
        </w:numPr>
        <w:pStyle w:val="Compact"/>
      </w:pPr>
      <w:r>
        <w:t xml:space="preserve">2024 · Weber EJ ·</w:t>
      </w:r>
      <w:r>
        <w:t xml:space="preserve"> </w:t>
      </w:r>
      <w:r>
        <w:rPr>
          <w:iCs/>
          <w:i/>
        </w:rPr>
        <w:t xml:space="preserve">Clin Pharmacol Drug Dev</w:t>
      </w:r>
      <w:r>
        <w:t xml:space="preserve"> </w:t>
      </w:r>
      <w:r>
        <w:t xml:space="preserve">· Evaluation of the Effects of Meal Type and Acid-Reducing Agents on the Pharmacokinetics of Cilofexor, a Selective Nonsteroidal Farnesoid X Receptor Agonist. PMID 38346861</w:t>
      </w:r>
    </w:p>
    <w:p>
      <w:pPr>
        <w:numPr>
          <w:ilvl w:val="0"/>
          <w:numId w:val="1379"/>
        </w:numPr>
        <w:pStyle w:val="Compact"/>
      </w:pPr>
      <w:r>
        <w:t xml:space="preserve">2024 · Mu Y ·</w:t>
      </w:r>
      <w:r>
        <w:t xml:space="preserve"> </w:t>
      </w:r>
      <w:r>
        <w:rPr>
          <w:iCs/>
          <w:i/>
        </w:rPr>
        <w:t xml:space="preserve">Lancet Diabetes Endocrinol</w:t>
      </w:r>
      <w:r>
        <w:t xml:space="preserve"> </w:t>
      </w:r>
      <w:r>
        <w:t xml:space="preserve">· Efficacy and safety of once weekly semaglutide 2·4 mg for weight management in a predominantly east Asian population with overweight or obesity (STEP 7): a double-blind, multicentre, randomised controlled trial. PMID 38330988</w:t>
      </w:r>
    </w:p>
    <w:p>
      <w:pPr>
        <w:numPr>
          <w:ilvl w:val="0"/>
          <w:numId w:val="1379"/>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79"/>
        </w:numPr>
        <w:pStyle w:val="Compact"/>
      </w:pPr>
      <w:r>
        <w:t xml:space="preserve">2024 · Vernstrøm L ·</w:t>
      </w:r>
      <w:r>
        <w:t xml:space="preserve"> </w:t>
      </w:r>
      <w:r>
        <w:rPr>
          <w:iCs/>
          <w:i/>
        </w:rPr>
        <w:t xml:space="preserve">Diabetes Obes Metab</w:t>
      </w:r>
      <w:r>
        <w:t xml:space="preserve"> </w:t>
      </w:r>
      <w:r>
        <w:t xml:space="preserve">· Separate and combined effects of empagliflozin and semaglutide on vascular function: A 32-week randomized trial. PMID 38240066</w:t>
      </w:r>
    </w:p>
    <w:p>
      <w:pPr>
        <w:numPr>
          <w:ilvl w:val="0"/>
          <w:numId w:val="1379"/>
        </w:numPr>
        <w:pStyle w:val="Compact"/>
      </w:pPr>
      <w:r>
        <w:t xml:space="preserve">2024 · Gullaksen S ·</w:t>
      </w:r>
      <w:r>
        <w:t xml:space="preserve"> </w:t>
      </w:r>
      <w:r>
        <w:rPr>
          <w:iCs/>
          <w:i/>
        </w:rPr>
        <w:t xml:space="preserve">J Diabetes Complications</w:t>
      </w:r>
      <w:r>
        <w:t xml:space="preserve"> </w:t>
      </w:r>
      <w:r>
        <w:t xml:space="preserve">· The effects of semaglutide, empagliflozin and their combination on the kidney sodium signal from magnetic resonance imaging: A prespecified, secondary analysis from a randomized, clinical trial. PMID 38219335</w:t>
      </w:r>
    </w:p>
    <w:p>
      <w:pPr>
        <w:numPr>
          <w:ilvl w:val="0"/>
          <w:numId w:val="1379"/>
        </w:numPr>
        <w:pStyle w:val="Compact"/>
      </w:pPr>
      <w:r>
        <w:t xml:space="preserve">2024 · Dwibedi C ·</w:t>
      </w:r>
      <w:r>
        <w:t xml:space="preserve"> </w:t>
      </w:r>
      <w:r>
        <w:rPr>
          <w:iCs/>
          <w:i/>
        </w:rPr>
        <w:t xml:space="preserve">Nat Metab</w:t>
      </w:r>
      <w:r>
        <w:t xml:space="preserve"> </w:t>
      </w:r>
      <w:r>
        <w:t xml:space="preserve">· Randomized open-label trial of semaglutide and dapagliflozin in patients with type 2 diabetes of different pathophysiology. PMID 38177805</w:t>
      </w:r>
    </w:p>
    <w:p>
      <w:pPr>
        <w:numPr>
          <w:ilvl w:val="0"/>
          <w:numId w:val="1379"/>
        </w:numPr>
        <w:pStyle w:val="Compact"/>
      </w:pPr>
      <w:r>
        <w:t xml:space="preserve">2024 · Ratziu V ·</w:t>
      </w:r>
      <w:r>
        <w:t xml:space="preserve"> </w:t>
      </w:r>
      <w:r>
        <w:rPr>
          <w:iCs/>
          <w:i/>
        </w:rPr>
        <w:t xml:space="preserve">Hepatology</w:t>
      </w:r>
      <w:r>
        <w:t xml:space="preserve"> </w:t>
      </w:r>
      <w:r>
        <w:t xml:space="preserve">· Artificial intelligence scoring of liver biopsies in a phase II trial of semaglutide in nonalcoholic steatohepatitis. PMID 38112484</w:t>
      </w:r>
    </w:p>
    <w:p>
      <w:pPr>
        <w:numPr>
          <w:ilvl w:val="0"/>
          <w:numId w:val="1379"/>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p>
      <w:pPr>
        <w:numPr>
          <w:ilvl w:val="0"/>
          <w:numId w:val="1379"/>
        </w:numPr>
        <w:pStyle w:val="Compact"/>
      </w:pPr>
      <w:r>
        <w:t xml:space="preserve">2024 · Mathur W ·</w:t>
      </w:r>
      <w:r>
        <w:t xml:space="preserve"> </w:t>
      </w:r>
      <w:r>
        <w:rPr>
          <w:iCs/>
          <w:i/>
        </w:rPr>
        <w:t xml:space="preserve">Obes Surg</w:t>
      </w:r>
      <w:r>
        <w:t xml:space="preserve"> </w:t>
      </w:r>
      <w:r>
        <w:t xml:space="preserve">· Effect of Swallow Balloon Therapy with the Combination of Semaglutide Oral Formulation: a Randomised Double-Blind Single-Centre Study. PMID 38091192</w:t>
      </w:r>
    </w:p>
    <w:p>
      <w:pPr>
        <w:numPr>
          <w:ilvl w:val="0"/>
          <w:numId w:val="1379"/>
        </w:numPr>
        <w:pStyle w:val="Compact"/>
      </w:pPr>
      <w:r>
        <w:t xml:space="preserve">2024 · Furusawa S ·</w:t>
      </w:r>
      <w:r>
        <w:t xml:space="preserve"> </w:t>
      </w:r>
      <w:r>
        <w:rPr>
          <w:iCs/>
          <w:i/>
        </w:rPr>
        <w:t xml:space="preserve">Diabetes Obes Metab</w:t>
      </w:r>
      <w:r>
        <w:t xml:space="preserve"> </w:t>
      </w:r>
      <w:r>
        <w:t xml:space="preserve">· Glycaemic control efficacy of switching from dipeptidyl peptidase-4 inhibitors to oral semaglutide in subjects with type 2 diabetes: A multicentre, prospective, randomized, open-label, parallel-group comparison study (SWITCH-SEMA 2 study). PMID 38073422</w:t>
      </w:r>
    </w:p>
    <w:p>
      <w:pPr>
        <w:numPr>
          <w:ilvl w:val="0"/>
          <w:numId w:val="1379"/>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79"/>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79"/>
        </w:numPr>
        <w:pStyle w:val="Compact"/>
      </w:pPr>
      <w:r>
        <w:t xml:space="preserve">2024 · Ji L ·</w:t>
      </w:r>
      <w:r>
        <w:t xml:space="preserve"> </w:t>
      </w:r>
      <w:r>
        <w:rPr>
          <w:iCs/>
          <w:i/>
        </w:rPr>
        <w:t xml:space="preserve">Diabetes Obes Metab</w:t>
      </w:r>
      <w:r>
        <w:t xml:space="preserve"> </w:t>
      </w:r>
      <w:r>
        <w:t xml:space="preserve">· Proportion of participants with type 2 diabetes achieving a metabolic composite endpoint with once-weekly semaglutide treatment versus comparators: Post hoc pooled analysis from SUSTAIN 1-5, 7-10 and SUSTAIN China. PMID 37822270</w:t>
      </w:r>
    </w:p>
    <w:p>
      <w:pPr>
        <w:numPr>
          <w:ilvl w:val="0"/>
          <w:numId w:val="1379"/>
        </w:numPr>
        <w:pStyle w:val="Compact"/>
      </w:pPr>
      <w:r>
        <w:t xml:space="preserve">2024 · Sivalingam S ·</w:t>
      </w:r>
      <w:r>
        <w:t xml:space="preserve"> </w:t>
      </w:r>
      <w:r>
        <w:rPr>
          <w:iCs/>
          <w:i/>
        </w:rPr>
        <w:t xml:space="preserve">Diabetes Obes Metab</w:t>
      </w:r>
      <w:r>
        <w:t xml:space="preserve"> </w:t>
      </w:r>
      <w:r>
        <w:t xml:space="preserve">· Albuminuria-lowering effect of adding semaglutide on top of empagliflozin in individuals with type 2 diabetes: A randomized and placebo-controlled study. PMID 37722966</w:t>
      </w:r>
    </w:p>
    <w:p>
      <w:pPr>
        <w:numPr>
          <w:ilvl w:val="0"/>
          <w:numId w:val="1379"/>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9"/>
        </w:numPr>
        <w:pStyle w:val="Compact"/>
      </w:pPr>
      <w:r>
        <w:t xml:space="preserve">2024 · Cirnigliaro CM ·</w:t>
      </w:r>
      <w:r>
        <w:t xml:space="preserve"> </w:t>
      </w:r>
      <w:r>
        <w:rPr>
          <w:iCs/>
          <w:i/>
        </w:rPr>
        <w:t xml:space="preserve">J Spinal Cord Med</w:t>
      </w:r>
      <w:r>
        <w:t xml:space="preserve"> </w:t>
      </w:r>
      <w:r>
        <w:t xml:space="preserve">· Preliminary observations on the administration of a glucagon-like peptide-1 receptor agonist on body weight and select carbohydrate endpoints in persons with spinal cord injury: A controlled case series. PMID 37158751</w:t>
      </w:r>
    </w:p>
    <w:p>
      <w:pPr>
        <w:numPr>
          <w:ilvl w:val="0"/>
          <w:numId w:val="1379"/>
        </w:numPr>
        <w:pStyle w:val="Compact"/>
      </w:pPr>
      <w:r>
        <w:t xml:space="preserve">2023 · Lincoff AM ·</w:t>
      </w:r>
      <w:r>
        <w:t xml:space="preserve"> </w:t>
      </w:r>
      <w:r>
        <w:rPr>
          <w:iCs/>
          <w:i/>
        </w:rPr>
        <w:t xml:space="preserve">N Engl J Med</w:t>
      </w:r>
      <w:r>
        <w:t xml:space="preserve"> </w:t>
      </w:r>
      <w:r>
        <w:t xml:space="preserve">· Semaglutide and Cardiovascular Outcomes in Obesity without Diabetes. PMID 37952131</w:t>
      </w:r>
    </w:p>
    <w:p>
      <w:pPr>
        <w:numPr>
          <w:ilvl w:val="0"/>
          <w:numId w:val="1379"/>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9"/>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9"/>
        </w:numPr>
        <w:pStyle w:val="Compact"/>
      </w:pPr>
      <w:r>
        <w:t xml:space="preserve">2023 · Kosiborod MN ·</w:t>
      </w:r>
      <w:r>
        <w:t xml:space="preserve"> </w:t>
      </w:r>
      <w:r>
        <w:rPr>
          <w:iCs/>
          <w:i/>
        </w:rPr>
        <w:t xml:space="preserve">N Engl J Med</w:t>
      </w:r>
      <w:r>
        <w:t xml:space="preserve"> </w:t>
      </w:r>
      <w:r>
        <w:t xml:space="preserve">· Semaglutide in Patients with Heart Failure with Preserved Ejection Fraction and Obesity. PMID 37622681</w:t>
      </w:r>
    </w:p>
    <w:p>
      <w:pPr>
        <w:numPr>
          <w:ilvl w:val="0"/>
          <w:numId w:val="1379"/>
        </w:numPr>
        <w:pStyle w:val="Compact"/>
      </w:pPr>
      <w:r>
        <w:t xml:space="preserve">2023 · Wilkinson L ·</w:t>
      </w:r>
      <w:r>
        <w:t xml:space="preserve"> </w:t>
      </w:r>
      <w:r>
        <w:rPr>
          <w:iCs/>
          <w:i/>
        </w:rPr>
        <w:t xml:space="preserve">Obesity (Silver Spring)</w:t>
      </w:r>
      <w:r>
        <w:t xml:space="preserve"> </w:t>
      </w:r>
      <w:r>
        <w:t xml:space="preserve">· Effect of semaglutide 2.4 mg once weekly on 10-year type 2 diabetes risk in adults with overweight or obesity. PMID 37605636</w:t>
      </w:r>
    </w:p>
    <w:p>
      <w:pPr>
        <w:numPr>
          <w:ilvl w:val="0"/>
          <w:numId w:val="1379"/>
        </w:numPr>
        <w:pStyle w:val="Compact"/>
      </w:pPr>
      <w:r>
        <w:t xml:space="preserve">2023 · Aroda VR ·</w:t>
      </w:r>
      <w:r>
        <w:t xml:space="preserve"> </w:t>
      </w:r>
      <w:r>
        <w:rPr>
          <w:iCs/>
          <w:i/>
        </w:rPr>
        <w:t xml:space="preserve">Lancet</w:t>
      </w:r>
      <w:r>
        <w:t xml:space="preserve"> </w:t>
      </w:r>
      <w:r>
        <w:t xml:space="preserve">· Efficacy and safety of once-daily oral semaglutide 25 mg and 50 mg compared with 14 mg in adults with type 2 diabetes (PIONEER PLUS): a multicentre, randomised, phase 3b trial. PMID 37385279</w:t>
      </w:r>
    </w:p>
    <w:p>
      <w:pPr>
        <w:numPr>
          <w:ilvl w:val="0"/>
          <w:numId w:val="1379"/>
        </w:numPr>
        <w:pStyle w:val="Compact"/>
      </w:pPr>
      <w:r>
        <w:t xml:space="preserve">2023 · Knop FK ·</w:t>
      </w:r>
      <w:r>
        <w:t xml:space="preserve"> </w:t>
      </w:r>
      <w:r>
        <w:rPr>
          <w:iCs/>
          <w:i/>
        </w:rPr>
        <w:t xml:space="preserve">Lancet</w:t>
      </w:r>
      <w:r>
        <w:t xml:space="preserve"> </w:t>
      </w:r>
      <w:r>
        <w:t xml:space="preserve">· Oral semaglutide 50 mg taken once per day in adults with overweight or obesity (OASIS 1): a randomised, double-blind, placebo-controlled, phase 3 trial. PMID 37385278</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9"/>
        </w:numPr>
        <w:pStyle w:val="Compact"/>
      </w:pPr>
      <w:r>
        <w:t xml:space="preserve">2023 · Guo W ·</w:t>
      </w:r>
      <w:r>
        <w:t xml:space="preserve"> </w:t>
      </w:r>
      <w:r>
        <w:rPr>
          <w:iCs/>
          <w:i/>
        </w:rPr>
        <w:t xml:space="preserve">Mol Metab</w:t>
      </w:r>
      <w:r>
        <w:t xml:space="preserve"> </w:t>
      </w:r>
      <w:r>
        <w:t xml:space="preserve">· Discovery of ecnoglutide - A novel, long-acting, cAMP-biased glucagon-like peptide-1 (GLP-1) analog. PMID 37364710</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79"/>
        </w:numPr>
        <w:pStyle w:val="Compact"/>
      </w:pPr>
      <w:r>
        <w:t xml:space="preserve">2023 · Romero-Gómez M ·</w:t>
      </w:r>
      <w:r>
        <w:t xml:space="preserve"> </w:t>
      </w:r>
      <w:r>
        <w:rPr>
          <w:iCs/>
          <w:i/>
        </w:rPr>
        <w:t xml:space="preserve">J Hepatol</w:t>
      </w:r>
      <w:r>
        <w:t xml:space="preserve"> </w:t>
      </w:r>
      <w:r>
        <w:t xml:space="preserve">· A phase IIa active-comparator-controlled study to evaluate the efficacy and safety of efinopegdutide in patients with non-alcoholic fatty liver disease. PMID 37355043</w:t>
      </w:r>
    </w:p>
    <w:p>
      <w:pPr>
        <w:numPr>
          <w:ilvl w:val="0"/>
          <w:numId w:val="1379"/>
        </w:numPr>
        <w:pStyle w:val="Compact"/>
      </w:pPr>
      <w:r>
        <w:t xml:space="preserve">2023 · Romero-Gómez M ·</w:t>
      </w:r>
      <w:r>
        <w:t xml:space="preserve"> </w:t>
      </w:r>
      <w:r>
        <w:rPr>
          <w:iCs/>
          <w:i/>
        </w:rPr>
        <w:t xml:space="preserve">Aliment Pharmacol Ther</w:t>
      </w:r>
      <w:r>
        <w:t xml:space="preserve"> </w:t>
      </w:r>
      <w:r>
        <w:t xml:space="preserve">· Improved health-related quality of life with semaglutide in people with non-alcoholic steatohepatitis: A randomised trial. PMID 37328931</w:t>
      </w:r>
    </w:p>
    <w:p>
      <w:pPr>
        <w:numPr>
          <w:ilvl w:val="0"/>
          <w:numId w:val="1379"/>
        </w:numPr>
        <w:pStyle w:val="Compact"/>
      </w:pPr>
      <w:r>
        <w:t xml:space="preserve">2023 · Ingersen A ·</w:t>
      </w:r>
      <w:r>
        <w:t xml:space="preserve"> </w:t>
      </w:r>
      <w:r>
        <w:rPr>
          <w:iCs/>
          <w:i/>
        </w:rPr>
        <w:t xml:space="preserve">J Clin Endocrinol Metab</w:t>
      </w:r>
      <w:r>
        <w:t xml:space="preserve"> </w:t>
      </w:r>
      <w:r>
        <w:t xml:space="preserve">· Effects of Aerobic Training and Semaglutide Treatment on Pancreatic β-Cell Secretory Function in Patients With Type 2 Diabetes. PMID 37265222</w:t>
      </w:r>
    </w:p>
    <w:p>
      <w:pPr>
        <w:numPr>
          <w:ilvl w:val="0"/>
          <w:numId w:val="1379"/>
        </w:numPr>
        <w:pStyle w:val="Compact"/>
      </w:pPr>
      <w:r>
        <w:t xml:space="preserve">2023 · Kelly AS ·</w:t>
      </w:r>
      <w:r>
        <w:t xml:space="preserve"> </w:t>
      </w:r>
      <w:r>
        <w:rPr>
          <w:iCs/>
          <w:i/>
        </w:rPr>
        <w:t xml:space="preserve">Obesity (Silver Spring)</w:t>
      </w:r>
      <w:r>
        <w:t xml:space="preserve"> </w:t>
      </w:r>
      <w:r>
        <w:t xml:space="preserve">· Reducing BMI below the obesity threshold in adolescents treated with once-weekly subcutaneous semaglutide 2.4 mg. PMID 37196421</w:t>
      </w:r>
    </w:p>
    <w:p>
      <w:pPr>
        <w:numPr>
          <w:ilvl w:val="0"/>
          <w:numId w:val="1379"/>
        </w:numPr>
        <w:pStyle w:val="Compact"/>
      </w:pPr>
      <w:r>
        <w:t xml:space="preserve">2023 · Gullaksen S ·</w:t>
      </w:r>
      <w:r>
        <w:t xml:space="preserve"> </w:t>
      </w:r>
      <w:r>
        <w:rPr>
          <w:iCs/>
          <w:i/>
        </w:rPr>
        <w:t xml:space="preserve">J Diabetes Complications</w:t>
      </w:r>
      <w:r>
        <w:t xml:space="preserve"> </w:t>
      </w:r>
      <w:r>
        <w:t xml:space="preserve">· Effects of semaglutide and empagliflozin on oxygenation, vascular autoregulation, and central thickness of the retina in people with type 2 diabetes: A prespecified secondary analysis of a randomised clinical trial. PMID 37062189</w:t>
      </w:r>
    </w:p>
    <w:p>
      <w:pPr>
        <w:numPr>
          <w:ilvl w:val="0"/>
          <w:numId w:val="1379"/>
        </w:numPr>
        <w:pStyle w:val="Compact"/>
      </w:pPr>
      <w:r>
        <w:t xml:space="preserve">2023 · Bjorner JB ·</w:t>
      </w:r>
      <w:r>
        <w:t xml:space="preserve"> </w:t>
      </w:r>
      <w:r>
        <w:rPr>
          <w:iCs/>
          <w:i/>
        </w:rPr>
        <w:t xml:space="preserve">Diabetes Obes Metab</w:t>
      </w:r>
      <w:r>
        <w:t xml:space="preserve"> </w:t>
      </w:r>
      <w:r>
        <w:t xml:space="preserve">· The improved health utility of once-weekly subcutaneous semaglutide 2.4 mg compared with placebo in the STEP 1-4 obesity trials. PMID 37055712</w:t>
      </w:r>
    </w:p>
    <w:p>
      <w:pPr>
        <w:numPr>
          <w:ilvl w:val="0"/>
          <w:numId w:val="1379"/>
        </w:numPr>
        <w:pStyle w:val="Compact"/>
      </w:pPr>
      <w:r>
        <w:t xml:space="preserve">2023 · Loomba R ·</w:t>
      </w:r>
      <w:r>
        <w:t xml:space="preserve"> </w:t>
      </w:r>
      <w:r>
        <w:rPr>
          <w:iCs/>
          <w:i/>
        </w:rPr>
        <w:t xml:space="preserve">Lancet Gastroenterol Hepatol</w:t>
      </w:r>
      <w:r>
        <w:t xml:space="preserve"> </w:t>
      </w:r>
      <w:r>
        <w:t xml:space="preserve">· Semaglutide 2·4 mg once weekly in patients with non-alcoholic steatohepatitis-related cirrhosis: a randomised, placebo-controlled phase 2 trial. PMID 36934740</w:t>
      </w:r>
    </w:p>
    <w:p>
      <w:pPr>
        <w:numPr>
          <w:ilvl w:val="0"/>
          <w:numId w:val="1379"/>
        </w:numPr>
        <w:pStyle w:val="Compact"/>
      </w:pPr>
      <w:r>
        <w:t xml:space="preserve">2023 · van Hout M ·</w:t>
      </w:r>
      <w:r>
        <w:t xml:space="preserve"> </w:t>
      </w:r>
      <w:r>
        <w:rPr>
          <w:iCs/>
          <w:i/>
        </w:rPr>
        <w:t xml:space="preserve">Clin Pharmacokinet</w:t>
      </w:r>
      <w:r>
        <w:t xml:space="preserve"> </w:t>
      </w:r>
      <w:r>
        <w:t xml:space="preserve">· Effect of Various Dosing Schedules on the Pharmacokinetics of Oral Semaglutide: A Randomised Trial in Healthy Subjects. PMID 36932262</w:t>
      </w:r>
    </w:p>
    <w:p>
      <w:pPr>
        <w:numPr>
          <w:ilvl w:val="0"/>
          <w:numId w:val="1379"/>
        </w:numPr>
        <w:pStyle w:val="Compact"/>
      </w:pPr>
      <w:r>
        <w:t xml:space="preserve">2023 · Kolotkin RL ·</w:t>
      </w:r>
      <w:r>
        <w:t xml:space="preserve"> </w:t>
      </w:r>
      <w:r>
        <w:rPr>
          <w:iCs/>
          <w:i/>
        </w:rPr>
        <w:t xml:space="preserve">Clin Obes</w:t>
      </w:r>
      <w:r>
        <w:t xml:space="preserve"> </w:t>
      </w:r>
      <w:r>
        <w:t xml:space="preserve">· Effect of once-weekly subcutaneous semaglutide 2.4 mg on weight- and health-related quality of life in an East Asian population: Patient-reported outcomes from the STEP 6 trial. PMID 36905345</w:t>
      </w:r>
    </w:p>
    <w:p>
      <w:pPr>
        <w:numPr>
          <w:ilvl w:val="0"/>
          <w:numId w:val="1379"/>
        </w:numPr>
        <w:pStyle w:val="Compact"/>
      </w:pPr>
      <w:r>
        <w:t xml:space="preserve">2023 · McGowan BM ·</w:t>
      </w:r>
      <w:r>
        <w:t xml:space="preserve"> </w:t>
      </w:r>
      <w:r>
        <w:rPr>
          <w:iCs/>
          <w:i/>
        </w:rPr>
        <w:t xml:space="preserve">Obesity (Silver Spring)</w:t>
      </w:r>
      <w:r>
        <w:t xml:space="preserve"> </w:t>
      </w:r>
      <w:r>
        <w:t xml:space="preserve">· Impact of BMI and comorbidities on efficacy of once-weekly semaglutide: Post hoc analyses of the STEP 1 randomized trial. PMID 36876594</w:t>
      </w:r>
    </w:p>
    <w:p>
      <w:pPr>
        <w:numPr>
          <w:ilvl w:val="0"/>
          <w:numId w:val="1379"/>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9"/>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79"/>
        </w:numPr>
        <w:pStyle w:val="Compact"/>
      </w:pPr>
      <w:r>
        <w:t xml:space="preserve">2023 · Gullaksen S ·</w:t>
      </w:r>
      <w:r>
        <w:t xml:space="preserve"> </w:t>
      </w:r>
      <w:r>
        <w:rPr>
          <w:iCs/>
          <w:i/>
        </w:rPr>
        <w:t xml:space="preserve">Diabetologia</w:t>
      </w:r>
      <w:r>
        <w:t xml:space="preserve"> </w:t>
      </w:r>
      <w:r>
        <w:t xml:space="preserve">· Separate and combined effects of semaglutide and empagliflozin on kidney oxygenation and perfusion in people with type 2 diabetes: a randomised trial. PMID 36746803</w:t>
      </w:r>
    </w:p>
    <w:p>
      <w:pPr>
        <w:numPr>
          <w:ilvl w:val="0"/>
          <w:numId w:val="1379"/>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9"/>
        </w:numPr>
        <w:pStyle w:val="Compact"/>
      </w:pPr>
      <w:r>
        <w:t xml:space="preserve">2023 · Wharton S ·</w:t>
      </w:r>
      <w:r>
        <w:t xml:space="preserve"> </w:t>
      </w:r>
      <w:r>
        <w:rPr>
          <w:iCs/>
          <w:i/>
        </w:rPr>
        <w:t xml:space="preserve">Obesity (Silver Spring)</w:t>
      </w:r>
      <w:r>
        <w:t xml:space="preserve"> </w:t>
      </w:r>
      <w:r>
        <w:t xml:space="preserve">· Two-year effect of semaglutide 2.4 mg on control of eating in adults with overweight/obesity: STEP 5. PMID 36655300</w:t>
      </w:r>
    </w:p>
    <w:p>
      <w:pPr>
        <w:numPr>
          <w:ilvl w:val="0"/>
          <w:numId w:val="1379"/>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79"/>
        </w:numPr>
        <w:pStyle w:val="Compact"/>
      </w:pPr>
      <w:r>
        <w:t xml:space="preserve">2023 · Jensterle M ·</w:t>
      </w:r>
      <w:r>
        <w:t xml:space="preserve"> </w:t>
      </w:r>
      <w:r>
        <w:rPr>
          <w:iCs/>
          <w:i/>
        </w:rPr>
        <w:t xml:space="preserve">Diabetes Obes Metab</w:t>
      </w:r>
      <w:r>
        <w:t xml:space="preserve"> </w:t>
      </w:r>
      <w:r>
        <w:t xml:space="preserve">· Semaglutide delays 4-hour gastric emptying in women with polycystic ovary syndrome and obesity. PMID 36511825</w:t>
      </w:r>
    </w:p>
    <w:p>
      <w:pPr>
        <w:numPr>
          <w:ilvl w:val="0"/>
          <w:numId w:val="1379"/>
        </w:numPr>
        <w:pStyle w:val="Compact"/>
      </w:pPr>
      <w:r>
        <w:t xml:space="preserve">2023 · Lingvay I ·</w:t>
      </w:r>
      <w:r>
        <w:t xml:space="preserve"> </w:t>
      </w:r>
      <w:r>
        <w:rPr>
          <w:iCs/>
          <w:i/>
        </w:rPr>
        <w:t xml:space="preserve">Obesity (Silver Spring)</w:t>
      </w:r>
      <w:r>
        <w:t xml:space="preserve"> </w:t>
      </w:r>
      <w:r>
        <w:t xml:space="preserve">· Semaglutide for cardiovascular event reduction in people with overweight or obesity: SELECT study baseline characteristics. PMID 36502289</w:t>
      </w:r>
    </w:p>
    <w:p>
      <w:pPr>
        <w:numPr>
          <w:ilvl w:val="0"/>
          <w:numId w:val="1379"/>
        </w:numPr>
        <w:pStyle w:val="Compact"/>
      </w:pPr>
      <w:r>
        <w:t xml:space="preserve">2022 · Amaro A ·</w:t>
      </w:r>
      <w:r>
        <w:t xml:space="preserve"> </w:t>
      </w:r>
      <w:r>
        <w:rPr>
          <w:iCs/>
          <w:i/>
        </w:rPr>
        <w:t xml:space="preserve">Postgrad Med</w:t>
      </w:r>
      <w:r>
        <w:t xml:space="preserve"> </w:t>
      </w:r>
      <w:r>
        <w:t xml:space="preserve">· Cardiometabolic risk factors efficacy of semaglutide in the STEP program. PMID 36691308</w:t>
      </w:r>
    </w:p>
    <w:p>
      <w:pPr>
        <w:numPr>
          <w:ilvl w:val="0"/>
          <w:numId w:val="1379"/>
        </w:numPr>
        <w:pStyle w:val="Compact"/>
      </w:pPr>
      <w:r>
        <w:t xml:space="preserve">2022 · Weghuber D ·</w:t>
      </w:r>
      <w:r>
        <w:t xml:space="preserve"> </w:t>
      </w:r>
      <w:r>
        <w:rPr>
          <w:iCs/>
          <w:i/>
        </w:rPr>
        <w:t xml:space="preserve">N Engl J Med</w:t>
      </w:r>
      <w:r>
        <w:t xml:space="preserve"> </w:t>
      </w:r>
      <w:r>
        <w:t xml:space="preserve">· Once-Weekly Semaglutide in Adolescents with Obesity. PMID 36322838</w:t>
      </w:r>
    </w:p>
    <w:p>
      <w:pPr>
        <w:numPr>
          <w:ilvl w:val="0"/>
          <w:numId w:val="1379"/>
        </w:numPr>
        <w:pStyle w:val="Compact"/>
      </w:pPr>
      <w:r>
        <w:t xml:space="preserve">2022 · Garvey WT ·</w:t>
      </w:r>
      <w:r>
        <w:t xml:space="preserve"> </w:t>
      </w:r>
      <w:r>
        <w:rPr>
          <w:iCs/>
          <w:i/>
        </w:rPr>
        <w:t xml:space="preserve">Nat Med</w:t>
      </w:r>
      <w:r>
        <w:t xml:space="preserve"> </w:t>
      </w:r>
      <w:r>
        <w:t xml:space="preserve">· Two-year effects of semaglutide in adults with overweight or obesity: the STEP 5 trial. PMID 36216945</w:t>
      </w:r>
    </w:p>
    <w:p>
      <w:pPr>
        <w:numPr>
          <w:ilvl w:val="0"/>
          <w:numId w:val="1379"/>
        </w:numPr>
        <w:pStyle w:val="Compact"/>
      </w:pPr>
      <w:r>
        <w:t xml:space="preserve">2022 · Ghusn W ·</w:t>
      </w:r>
      <w:r>
        <w:t xml:space="preserve"> </w:t>
      </w:r>
      <w:r>
        <w:rPr>
          <w:iCs/>
          <w:i/>
        </w:rPr>
        <w:t xml:space="preserve">JAMA Netw Open</w:t>
      </w:r>
      <w:r>
        <w:t xml:space="preserve"> </w:t>
      </w:r>
      <w:r>
        <w:t xml:space="preserve">· Weight Loss Outcomes Associated With Semaglutide Treatment for Patients With Overweight or Obesity. PMID 36121652</w:t>
      </w:r>
    </w:p>
    <w:p>
      <w:pPr>
        <w:numPr>
          <w:ilvl w:val="0"/>
          <w:numId w:val="1379"/>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9"/>
        </w:numPr>
        <w:pStyle w:val="Compact"/>
      </w:pPr>
      <w:r>
        <w:t xml:space="preserve">2022 · Snitker S ·</w:t>
      </w:r>
      <w:r>
        <w:t xml:space="preserve"> </w:t>
      </w:r>
      <w:r>
        <w:rPr>
          <w:iCs/>
          <w:i/>
        </w:rPr>
        <w:t xml:space="preserve">Diabetes Obes Metab</w:t>
      </w:r>
      <w:r>
        <w:t xml:space="preserve"> </w:t>
      </w:r>
      <w:r>
        <w:t xml:space="preserve">· Ease-of-use and acceptability of the novel semaglutide 2.4 mg single-dose pen-injector in people with overweight or obesity in the STEP 8 phase III trial. PMID 35791625</w:t>
      </w:r>
    </w:p>
    <w:p>
      <w:pPr>
        <w:numPr>
          <w:ilvl w:val="0"/>
          <w:numId w:val="1379"/>
        </w:numPr>
        <w:pStyle w:val="Compact"/>
      </w:pPr>
      <w:r>
        <w:t xml:space="preserve">2022 · Strain WD ·</w:t>
      </w:r>
      <w:r>
        <w:t xml:space="preserve"> </w:t>
      </w:r>
      <w:r>
        <w:rPr>
          <w:iCs/>
          <w:i/>
        </w:rPr>
        <w:t xml:space="preserve">Stroke</w:t>
      </w:r>
      <w:r>
        <w:t xml:space="preserve"> </w:t>
      </w:r>
      <w:r>
        <w:t xml:space="preserve">· Effects of Semaglutide on Stroke Subtypes in Type 2 Diabetes: Post Hoc Analysis of the Randomized SUSTAIN 6 and PIONEER 6. PMID 35582947</w:t>
      </w:r>
    </w:p>
    <w:p>
      <w:pPr>
        <w:numPr>
          <w:ilvl w:val="0"/>
          <w:numId w:val="1379"/>
        </w:numPr>
        <w:pStyle w:val="Compact"/>
      </w:pPr>
      <w:r>
        <w:t xml:space="preserve">2022 · Kellerer M ·</w:t>
      </w:r>
      <w:r>
        <w:t xml:space="preserve"> </w:t>
      </w:r>
      <w:r>
        <w:rPr>
          <w:iCs/>
          <w:i/>
        </w:rPr>
        <w:t xml:space="preserve">Diabetes Obes Metab</w:t>
      </w:r>
      <w:r>
        <w:t xml:space="preserve"> </w:t>
      </w:r>
      <w:r>
        <w:t xml:space="preserve">· Effect of once-weekly semaglutide versus thrice-daily insulin aspart, both as add-on to metformin and optimized insulin glargine treatment in participants with type 2 diabetes (SUSTAIN 11): A randomized, open-label, multinational, phase 3b trial. PMID 35546450</w:t>
      </w:r>
    </w:p>
    <w:p>
      <w:pPr>
        <w:numPr>
          <w:ilvl w:val="0"/>
          <w:numId w:val="1379"/>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79"/>
        </w:numPr>
        <w:pStyle w:val="Compact"/>
      </w:pPr>
      <w:r>
        <w:t xml:space="preserve">2022 · Wilding JPH ·</w:t>
      </w:r>
      <w:r>
        <w:t xml:space="preserve"> </w:t>
      </w:r>
      <w:r>
        <w:rPr>
          <w:iCs/>
          <w:i/>
        </w:rPr>
        <w:t xml:space="preserve">Diabetes Obes Metab</w:t>
      </w:r>
      <w:r>
        <w:t xml:space="preserve"> </w:t>
      </w:r>
      <w:r>
        <w:t xml:space="preserve">· Weight regain and cardiometabolic effects after withdrawal of semaglutide: The STEP 1 trial extension. PMID 35441470</w:t>
      </w:r>
    </w:p>
    <w:p>
      <w:pPr>
        <w:numPr>
          <w:ilvl w:val="0"/>
          <w:numId w:val="1379"/>
        </w:numPr>
        <w:pStyle w:val="Compact"/>
      </w:pPr>
      <w:r>
        <w:t xml:space="preserve">2022 · Alkhouri N ·</w:t>
      </w:r>
      <w:r>
        <w:t xml:space="preserve"> </w:t>
      </w:r>
      <w:r>
        <w:rPr>
          <w:iCs/>
          <w:i/>
        </w:rPr>
        <w:t xml:space="preserve">J Hepatol</w:t>
      </w:r>
      <w:r>
        <w:t xml:space="preserve"> </w:t>
      </w:r>
      <w:r>
        <w:t xml:space="preserve">· Safety and efficacy of combination therapy with semaglutide, cilofexor and firsocostat in patients with non-alcoholic steatohepatitis: A randomised, open-label phase II trial. PMID 35439567</w:t>
      </w:r>
    </w:p>
    <w:p>
      <w:pPr>
        <w:numPr>
          <w:ilvl w:val="0"/>
          <w:numId w:val="1379"/>
        </w:numPr>
        <w:pStyle w:val="Compact"/>
      </w:pPr>
      <w:r>
        <w:t xml:space="preserve">2022 · Stafford S ·</w:t>
      </w:r>
      <w:r>
        <w:t xml:space="preserve"> </w:t>
      </w:r>
      <w:r>
        <w:rPr>
          <w:iCs/>
          <w:i/>
        </w:rPr>
        <w:t xml:space="preserve">Appl Health Econ Health Policy</w:t>
      </w:r>
      <w:r>
        <w:t xml:space="preserve"> </w:t>
      </w:r>
      <w:r>
        <w:t xml:space="preserve">· Cost-Effectiveness of Once-Weekly Semaglutide 1 mg versus Canagliflozin 300 mg in Patients with Type 2 Diabetes Mellitus in a Canadian Setting. PMID 35344191</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once-weekly semaglutide in Japanese individuals with type 2 diabetes by baseline age and body mass index. PMID 35174649</w:t>
      </w:r>
    </w:p>
    <w:p>
      <w:pPr>
        <w:numPr>
          <w:ilvl w:val="0"/>
          <w:numId w:val="1379"/>
        </w:numPr>
        <w:pStyle w:val="Compact"/>
      </w:pPr>
      <w:r>
        <w:t xml:space="preserve">2022 · Kadowaki T ·</w:t>
      </w:r>
      <w:r>
        <w:t xml:space="preserve"> </w:t>
      </w:r>
      <w:r>
        <w:rPr>
          <w:iCs/>
          <w:i/>
        </w:rPr>
        <w:t xml:space="preserve">Lancet Diabetes Endocrinol</w:t>
      </w:r>
      <w:r>
        <w:t xml:space="preserve"> </w:t>
      </w:r>
      <w:r>
        <w:t xml:space="preserve">· Semaglutide once a week in adults with overweight or obesity, with or without type 2 diabetes in an east Asian population (STEP 6): a randomised, double-blind, double-dummy, placebo-controlled, phase 3a trial. PMID 35131037</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9"/>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9"/>
        </w:numPr>
        <w:pStyle w:val="Compact"/>
      </w:pPr>
      <w:r>
        <w:t xml:space="preserve">2022 · Meier JJ ·</w:t>
      </w:r>
      <w:r>
        <w:t xml:space="preserve"> </w:t>
      </w:r>
      <w:r>
        <w:rPr>
          <w:iCs/>
          <w:i/>
        </w:rPr>
        <w:t xml:space="preserve">Diabetes Obes Metab</w:t>
      </w:r>
      <w:r>
        <w:t xml:space="preserve"> </w:t>
      </w:r>
      <w:r>
        <w:t xml:space="preserve">· Effect of upper gastrointestinal disease on the pharmacokinetics of oral semaglutide in subjects with type 2 diabetes. PMID 34957654</w:t>
      </w:r>
    </w:p>
    <w:p>
      <w:pPr>
        <w:numPr>
          <w:ilvl w:val="0"/>
          <w:numId w:val="1379"/>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9"/>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9"/>
        </w:numPr>
        <w:pStyle w:val="Compact"/>
      </w:pPr>
      <w:r>
        <w:t xml:space="preserve">2022 · Wharton S ·</w:t>
      </w:r>
      <w:r>
        <w:t xml:space="preserve"> </w:t>
      </w:r>
      <w:r>
        <w:rPr>
          <w:iCs/>
          <w:i/>
        </w:rPr>
        <w:t xml:space="preserve">Diabetes Obes Metab</w:t>
      </w:r>
      <w:r>
        <w:t xml:space="preserve"> </w:t>
      </w:r>
      <w:r>
        <w:t xml:space="preserve">· Gastrointestinal tolerability of once-weekly semaglutide 2.4 mg in adults with overweight or obesity, and the relationship between gastrointestinal adverse events and weight loss. PMID 34514682</w:t>
      </w:r>
    </w:p>
    <w:p>
      <w:pPr>
        <w:numPr>
          <w:ilvl w:val="0"/>
          <w:numId w:val="1379"/>
        </w:numPr>
        <w:pStyle w:val="Compact"/>
      </w:pPr>
      <w:r>
        <w:t xml:space="preserve">2021 · Paquot N ·</w:t>
      </w:r>
      <w:r>
        <w:t xml:space="preserve"> </w:t>
      </w:r>
      <w:r>
        <w:rPr>
          <w:iCs/>
          <w:i/>
        </w:rPr>
        <w:t xml:space="preserve">Rev Med Liege</w:t>
      </w:r>
      <w:r>
        <w:t xml:space="preserve"> </w:t>
      </w:r>
      <w:r>
        <w:t xml:space="preserve">· [Oral semaglutide, first oral GLP-1 receptor agonist (Rybelsus®)]. PMID 34881835</w:t>
      </w:r>
    </w:p>
    <w:p>
      <w:pPr>
        <w:numPr>
          <w:ilvl w:val="0"/>
          <w:numId w:val="1379"/>
        </w:numPr>
        <w:pStyle w:val="Compact"/>
      </w:pPr>
      <w:r>
        <w:t xml:space="preserve">2021 · Overgaard RV ·</w:t>
      </w:r>
      <w:r>
        <w:t xml:space="preserve"> </w:t>
      </w:r>
      <w:r>
        <w:rPr>
          <w:iCs/>
          <w:i/>
        </w:rPr>
        <w:t xml:space="preserve">Cell Rep Med</w:t>
      </w:r>
      <w:r>
        <w:t xml:space="preserve"> </w:t>
      </w:r>
      <w:r>
        <w:t xml:space="preserve">· Levels of circulating semaglutide determine reductions in HbA1c and body weight in people with type 2 diabetes. PMID 34622228</w:t>
      </w:r>
    </w:p>
    <w:p>
      <w:pPr>
        <w:numPr>
          <w:ilvl w:val="0"/>
          <w:numId w:val="1379"/>
        </w:numPr>
        <w:pStyle w:val="Compact"/>
      </w:pPr>
      <w:r>
        <w:t xml:space="preserve">2021 · Flint A ·</w:t>
      </w:r>
      <w:r>
        <w:t xml:space="preserve"> </w:t>
      </w:r>
      <w:r>
        <w:rPr>
          <w:iCs/>
          <w:i/>
        </w:rPr>
        <w:t xml:space="preserve">Aliment Pharmacol Ther</w:t>
      </w:r>
      <w:r>
        <w:t xml:space="preserve"> </w:t>
      </w:r>
      <w:r>
        <w:t xml:space="preserve">· Randomised clinical trial: semaglutide versus placebo reduced liver steatosis but not liver stiffness in subjects with non-alcoholic fatty liver disease assessed by magnetic resonance imaging. PMID 34570916</w:t>
      </w:r>
    </w:p>
    <w:p>
      <w:pPr>
        <w:numPr>
          <w:ilvl w:val="0"/>
          <w:numId w:val="1379"/>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9"/>
        </w:numPr>
        <w:pStyle w:val="Compact"/>
      </w:pPr>
      <w:r>
        <w:t xml:space="preserve">2021 · Frías JP ·</w:t>
      </w:r>
      <w:r>
        <w:t xml:space="preserve"> </w:t>
      </w:r>
      <w:r>
        <w:rPr>
          <w:iCs/>
          <w:i/>
        </w:rPr>
        <w:t xml:space="preserve">Lancet Diabetes Endocrinol</w:t>
      </w:r>
      <w:r>
        <w:t xml:space="preserve"> </w:t>
      </w:r>
      <w:r>
        <w:t xml:space="preserve">· Efficacy and safety of once-weekly semaglutide 2·0 mg versus 1·0 mg in patients with type 2 diabetes (SUSTAIN FORTE): a double-blind, randomised, phase 3B trial. PMID 34293304</w:t>
      </w:r>
    </w:p>
    <w:p>
      <w:pPr>
        <w:numPr>
          <w:ilvl w:val="0"/>
          <w:numId w:val="1379"/>
        </w:numPr>
        <w:pStyle w:val="Compact"/>
      </w:pPr>
      <w:r>
        <w:t xml:space="preserve">2021 · Hauge C ·</w:t>
      </w:r>
      <w:r>
        <w:t xml:space="preserve"> </w:t>
      </w:r>
      <w:r>
        <w:rPr>
          <w:iCs/>
          <w:i/>
        </w:rPr>
        <w:t xml:space="preserve">Expert Opin Drug Metab Toxicol</w:t>
      </w:r>
      <w:r>
        <w:t xml:space="preserve"> </w:t>
      </w:r>
      <w:r>
        <w:t xml:space="preserve">· Effect of oral semaglutide on the pharmacokinetics of thyroxine after dosing of levothyroxine and the influence of co-administered tablets on the pharmacokinetics of oral semaglutide in healthy subjects: an open-label, one-sequence crossover, single-center, multiple-dose, two-part trial. PMID 34289755</w:t>
      </w:r>
    </w:p>
    <w:p>
      <w:pPr>
        <w:numPr>
          <w:ilvl w:val="0"/>
          <w:numId w:val="1379"/>
        </w:numPr>
        <w:pStyle w:val="Compact"/>
      </w:pPr>
      <w:r>
        <w:t xml:space="preserve">2021 · Jensterle M ·</w:t>
      </w:r>
      <w:r>
        <w:t xml:space="preserve"> </w:t>
      </w:r>
      <w:r>
        <w:rPr>
          <w:iCs/>
          <w:i/>
        </w:rPr>
        <w:t xml:space="preserve">Diabetes Res Clin Pract</w:t>
      </w:r>
      <w:r>
        <w:t xml:space="preserve"> </w:t>
      </w:r>
      <w:r>
        <w:t xml:space="preserve">· Semaglutide reduces fat accumulation in the tongue: A randomized single-blind, pilot study. PMID 34217774</w:t>
      </w:r>
    </w:p>
    <w:p>
      <w:pPr>
        <w:numPr>
          <w:ilvl w:val="0"/>
          <w:numId w:val="1379"/>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79"/>
        </w:numPr>
        <w:pStyle w:val="Compact"/>
      </w:pPr>
      <w:r>
        <w:t xml:space="preserve">2021 · Dichtel LE ·</w:t>
      </w:r>
      <w:r>
        <w:t xml:space="preserve"> </w:t>
      </w:r>
      <w:r>
        <w:rPr>
          <w:iCs/>
          <w:i/>
        </w:rPr>
        <w:t xml:space="preserve">Hepatology</w:t>
      </w:r>
      <w:r>
        <w:t xml:space="preserve"> </w:t>
      </w:r>
      <w:r>
        <w:t xml:space="preserve">· The Glucagon-Like Peptide-1 Receptor Agonist, Semaglutide, for the Treatment of Nonalcoholic Steatohepatitis. PMID 33960005</w:t>
      </w:r>
    </w:p>
    <w:p>
      <w:pPr>
        <w:numPr>
          <w:ilvl w:val="0"/>
          <w:numId w:val="1379"/>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p>
      <w:pPr>
        <w:numPr>
          <w:ilvl w:val="0"/>
          <w:numId w:val="1379"/>
        </w:numPr>
        <w:pStyle w:val="Compact"/>
      </w:pPr>
      <w:r>
        <w:t xml:space="preserve">2021 · Jordy AB ·</w:t>
      </w:r>
      <w:r>
        <w:t xml:space="preserve"> </w:t>
      </w:r>
      <w:r>
        <w:rPr>
          <w:iCs/>
          <w:i/>
        </w:rPr>
        <w:t xml:space="preserve">Clin Pharmacokinet</w:t>
      </w:r>
      <w:r>
        <w:t xml:space="preserve"> </w:t>
      </w:r>
      <w:r>
        <w:t xml:space="preserve">· Effect of Oral Semaglutide on the Pharmacokinetics of Levonorgestrel and Ethinylestradiol in Healthy Postmenopausal Women and Furosemide and Rosuvastatin in Healthy Subjects. PMID 33782832</w:t>
      </w:r>
    </w:p>
    <w:p>
      <w:pPr>
        <w:numPr>
          <w:ilvl w:val="0"/>
          <w:numId w:val="1379"/>
        </w:numPr>
        <w:pStyle w:val="Compact"/>
      </w:pPr>
      <w:r>
        <w:t xml:space="preserve">2021 · Rubino D ·</w:t>
      </w:r>
      <w:r>
        <w:t xml:space="preserve"> </w:t>
      </w:r>
      <w:r>
        <w:rPr>
          <w:iCs/>
          <w:i/>
        </w:rPr>
        <w:t xml:space="preserve">JAMA</w:t>
      </w:r>
      <w:r>
        <w:t xml:space="preserve"> </w:t>
      </w:r>
      <w:r>
        <w:t xml:space="preserve">· Effect of Continued Weekly Subcutaneous Semaglutide vs Placebo on Weight Loss Maintenance in Adults With Overweight or Obesity: The STEP 4 Randomized Clinical Trial. PMID 33755728</w:t>
      </w:r>
    </w:p>
    <w:p>
      <w:pPr>
        <w:numPr>
          <w:ilvl w:val="0"/>
          <w:numId w:val="1379"/>
        </w:numPr>
        <w:pStyle w:val="Compact"/>
      </w:pPr>
      <w:r>
        <w:t xml:space="preserve">2021 · Baekdal TA ·</w:t>
      </w:r>
      <w:r>
        <w:t xml:space="preserve"> </w:t>
      </w:r>
      <w:r>
        <w:rPr>
          <w:iCs/>
          <w:i/>
        </w:rPr>
        <w:t xml:space="preserve">Clin Pharmacol Drug Dev</w:t>
      </w:r>
      <w:r>
        <w:t xml:space="preserve"> </w:t>
      </w:r>
      <w:r>
        <w:t xml:space="preserve">· Relationship Between Oral Semaglutide Tablet Erosion and Pharmacokinetics: A Pharmacoscintigraphic Study. PMID 33750044</w:t>
      </w:r>
    </w:p>
    <w:p>
      <w:pPr>
        <w:numPr>
          <w:ilvl w:val="0"/>
          <w:numId w:val="1379"/>
        </w:numPr>
        <w:pStyle w:val="Compact"/>
      </w:pPr>
      <w:r>
        <w:t xml:space="preserve">2021 · Dahl K ·</w:t>
      </w:r>
      <w:r>
        <w:t xml:space="preserve"> </w:t>
      </w:r>
      <w:r>
        <w:rPr>
          <w:iCs/>
          <w:i/>
        </w:rPr>
        <w:t xml:space="preserve">Diabetes Obes Metab</w:t>
      </w:r>
      <w:r>
        <w:t xml:space="preserve"> </w:t>
      </w:r>
      <w:r>
        <w:t xml:space="preserve">· Oral semaglutide improves postprandial glucose and lipid metabolism, and delays gastric emptying, in subjects with type 2 diabetes. PMID 33710717</w:t>
      </w:r>
    </w:p>
    <w:p>
      <w:pPr>
        <w:numPr>
          <w:ilvl w:val="0"/>
          <w:numId w:val="1379"/>
        </w:numPr>
        <w:pStyle w:val="Compact"/>
      </w:pPr>
      <w:r>
        <w:t xml:space="preserve">2021 · Davies M ·</w:t>
      </w:r>
      <w:r>
        <w:t xml:space="preserve"> </w:t>
      </w:r>
      <w:r>
        <w:rPr>
          <w:iCs/>
          <w:i/>
        </w:rPr>
        <w:t xml:space="preserve">Lancet</w:t>
      </w:r>
      <w:r>
        <w:t xml:space="preserve"> </w:t>
      </w:r>
      <w:r>
        <w:t xml:space="preserve">· Semaglutide 2·4 mg once a week in adults with overweight or obesity, and type 2 diabetes (STEP 2): a randomised, double-blind, double-dummy, placebo-controlled, phase 3 trial. PMID 33667417</w:t>
      </w:r>
    </w:p>
    <w:p>
      <w:pPr>
        <w:numPr>
          <w:ilvl w:val="0"/>
          <w:numId w:val="1379"/>
        </w:numPr>
        <w:pStyle w:val="Compact"/>
      </w:pPr>
      <w:r>
        <w:t xml:space="preserve">2021 · Wadden TA ·</w:t>
      </w:r>
      <w:r>
        <w:t xml:space="preserve"> </w:t>
      </w:r>
      <w:r>
        <w:rPr>
          <w:iCs/>
          <w:i/>
        </w:rPr>
        <w:t xml:space="preserve">JAMA</w:t>
      </w:r>
      <w:r>
        <w:t xml:space="preserve"> </w:t>
      </w:r>
      <w:r>
        <w:t xml:space="preserve">· Effect of Subcutaneous Semaglutide vs Placebo as an Adjunct to Intensive Behavioral Therapy on Body Weight in Adults With Overweight or Obesity: The STEP 3 Randomized Clinical Trial. PMID 33625476</w:t>
      </w:r>
    </w:p>
    <w:p>
      <w:pPr>
        <w:numPr>
          <w:ilvl w:val="0"/>
          <w:numId w:val="1379"/>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9"/>
        </w:numPr>
        <w:pStyle w:val="Compact"/>
      </w:pPr>
      <w:r>
        <w:t xml:space="preserve">2021 · Wilding JPH ·</w:t>
      </w:r>
      <w:r>
        <w:t xml:space="preserve"> </w:t>
      </w:r>
      <w:r>
        <w:rPr>
          <w:iCs/>
          <w:i/>
        </w:rPr>
        <w:t xml:space="preserve">N Engl J Med</w:t>
      </w:r>
      <w:r>
        <w:t xml:space="preserve"> </w:t>
      </w:r>
      <w:r>
        <w:t xml:space="preserve">· Once-Weekly Semaglutide in Adults with Overweight or Obesity. PMID 33567185</w:t>
      </w:r>
    </w:p>
    <w:p>
      <w:pPr>
        <w:numPr>
          <w:ilvl w:val="0"/>
          <w:numId w:val="1379"/>
        </w:numPr>
        <w:pStyle w:val="Compact"/>
      </w:pPr>
      <w:r>
        <w:t xml:space="preserve">2021 · Birudaraju D ·</w:t>
      </w:r>
      <w:r>
        <w:t xml:space="preserve"> </w:t>
      </w:r>
      <w:r>
        <w:rPr>
          <w:iCs/>
          <w:i/>
        </w:rPr>
        <w:t xml:space="preserve">J Diabetes Complications</w:t>
      </w:r>
      <w:r>
        <w:t xml:space="preserve"> </w:t>
      </w:r>
      <w:r>
        <w:t xml:space="preserve">· Prevalence of normal coronary arteries by coronary computed tomography angiography (CCTA) in patients with type 2 diabetes mellitus from Semaglutide Treatment on Coronary Plaque Progression (STOP) trial. PMID 33419635</w:t>
      </w:r>
    </w:p>
    <w:p>
      <w:pPr>
        <w:numPr>
          <w:ilvl w:val="0"/>
          <w:numId w:val="1379"/>
        </w:numPr>
        <w:pStyle w:val="Compact"/>
      </w:pPr>
      <w:r>
        <w:t xml:space="preserve">2021 · Friedrichsen M ·</w:t>
      </w:r>
      <w:r>
        <w:t xml:space="preserve"> </w:t>
      </w:r>
      <w:r>
        <w:rPr>
          <w:iCs/>
          <w:i/>
        </w:rPr>
        <w:t xml:space="preserve">Diabetes Obes Metab</w:t>
      </w:r>
      <w:r>
        <w:t xml:space="preserve"> </w:t>
      </w:r>
      <w:r>
        <w:t xml:space="preserve">· The effect of semaglutide 2.4 mg once weekly on energy intake, appetite, control of eating, and gastric emptying in adults with obesity. PMID 33269530</w:t>
      </w:r>
    </w:p>
    <w:p>
      <w:pPr>
        <w:numPr>
          <w:ilvl w:val="0"/>
          <w:numId w:val="1379"/>
        </w:numPr>
        <w:pStyle w:val="Compact"/>
      </w:pPr>
      <w:r>
        <w:t xml:space="preserve">2021 · Newsome PN ·</w:t>
      </w:r>
      <w:r>
        <w:t xml:space="preserve"> </w:t>
      </w:r>
      <w:r>
        <w:rPr>
          <w:iCs/>
          <w:i/>
        </w:rPr>
        <w:t xml:space="preserve">N Engl J Med</w:t>
      </w:r>
      <w:r>
        <w:t xml:space="preserve"> </w:t>
      </w:r>
      <w:r>
        <w:t xml:space="preserve">· A Placebo-Controlled Trial of Subcutaneous Semaglutide in Nonalcoholic Steatohepatitis. PMID 33185364</w:t>
      </w:r>
    </w:p>
    <w:p>
      <w:pPr>
        <w:numPr>
          <w:ilvl w:val="0"/>
          <w:numId w:val="1379"/>
        </w:numPr>
        <w:pStyle w:val="Compact"/>
      </w:pPr>
      <w:r>
        <w:t xml:space="preserve">2021 · Gibbons C ·</w:t>
      </w:r>
      <w:r>
        <w:t xml:space="preserve"> </w:t>
      </w:r>
      <w:r>
        <w:rPr>
          <w:iCs/>
          <w:i/>
        </w:rPr>
        <w:t xml:space="preserve">Diabetes Obes Metab</w:t>
      </w:r>
      <w:r>
        <w:t xml:space="preserve"> </w:t>
      </w:r>
      <w:r>
        <w:t xml:space="preserve">· Effects of oral semaglutide on energy intake, food preference, appetite, control of eating and body weight in subjects with type 2 diabetes. PMID 33184979</w:t>
      </w:r>
    </w:p>
    <w:p>
      <w:pPr>
        <w:numPr>
          <w:ilvl w:val="0"/>
          <w:numId w:val="1379"/>
        </w:numPr>
        <w:pStyle w:val="Compact"/>
      </w:pPr>
      <w:r>
        <w:t xml:space="preserve">2021 · Shi A ·</w:t>
      </w:r>
      <w:r>
        <w:t xml:space="preserve"> </w:t>
      </w:r>
      <w:r>
        <w:rPr>
          <w:iCs/>
          <w:i/>
        </w:rPr>
        <w:t xml:space="preserve">Adv Ther</w:t>
      </w:r>
      <w:r>
        <w:t xml:space="preserve"> </w:t>
      </w:r>
      <w:r>
        <w:t xml:space="preserve">· Pharmacokinetics, Safety and Tolerability of Once-Weekly Subcutaneous Semaglutide in Healthy Chinese Subjects: A Double-Blind, Phase 1, Randomized Controlled Trial. PMID 33159658</w:t>
      </w:r>
    </w:p>
    <w:p>
      <w:pPr>
        <w:numPr>
          <w:ilvl w:val="0"/>
          <w:numId w:val="1379"/>
        </w:numPr>
        <w:pStyle w:val="Compact"/>
      </w:pPr>
      <w:r>
        <w:t xml:space="preserve">2021 · Ji L ·</w:t>
      </w:r>
      <w:r>
        <w:t xml:space="preserve"> </w:t>
      </w:r>
      <w:r>
        <w:rPr>
          <w:iCs/>
          <w:i/>
        </w:rPr>
        <w:t xml:space="preserve">Diabetes Obes Metab</w:t>
      </w:r>
      <w:r>
        <w:t xml:space="preserve"> </w:t>
      </w:r>
      <w:r>
        <w:t xml:space="preserve">· Efficacy and safety of once-weekly semaglutide versus once-daily sitagliptin as add-on to metformin in patients with type 2 diabetes in SUSTAIN China: A 30-week, double-blind, phase 3a, randomized trial. PMID 33074557</w:t>
      </w:r>
    </w:p>
    <w:p>
      <w:pPr>
        <w:numPr>
          <w:ilvl w:val="0"/>
          <w:numId w:val="1379"/>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9"/>
        </w:numPr>
        <w:pStyle w:val="Compact"/>
      </w:pPr>
      <w:r>
        <w:t xml:space="preserve">2020 · Buse JB ·</w:t>
      </w:r>
      <w:r>
        <w:t xml:space="preserve"> </w:t>
      </w:r>
      <w:r>
        <w:rPr>
          <w:iCs/>
          <w:i/>
        </w:rPr>
        <w:t xml:space="preserve">BMJ Open Diabetes Res Care</w:t>
      </w:r>
      <w:r>
        <w:t xml:space="preserve"> </w:t>
      </w:r>
      <w:r>
        <w:t xml:space="preserve">· Long-term efficacy and safety of oral semaglutide and the effect of switching from sitagliptin to oral semaglutide in patients with type 2 diabetes: a 52-week, randomized, open-label extension of the PIONEER 7 trial. PMID 33318068</w:t>
      </w:r>
    </w:p>
    <w:p>
      <w:pPr>
        <w:numPr>
          <w:ilvl w:val="0"/>
          <w:numId w:val="1379"/>
        </w:numPr>
        <w:pStyle w:val="Compact"/>
      </w:pPr>
      <w:r>
        <w:t xml:space="preserve">2020 · Mann JFE ·</w:t>
      </w:r>
      <w:r>
        <w:t xml:space="preserve"> </w:t>
      </w:r>
      <w:r>
        <w:rPr>
          <w:iCs/>
          <w:i/>
        </w:rPr>
        <w:t xml:space="preserve">Lancet Diabetes Endocrinol</w:t>
      </w:r>
      <w:r>
        <w:t xml:space="preserve"> </w:t>
      </w:r>
      <w:r>
        <w:t xml:space="preserve">· Effects of once-weekly subcutaneous semaglutide on kidney function and safety in patients with type 2 diabetes: a post-hoc analysis of the SUSTAIN 1-7 randomised controlled trials. PMID 32971040</w:t>
      </w:r>
    </w:p>
    <w:p>
      <w:pPr>
        <w:numPr>
          <w:ilvl w:val="0"/>
          <w:numId w:val="1379"/>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9"/>
        </w:numPr>
        <w:pStyle w:val="Compact"/>
      </w:pPr>
      <w:r>
        <w:t xml:space="preserve">2020 · Kushner RF ·</w:t>
      </w:r>
      <w:r>
        <w:t xml:space="preserve"> </w:t>
      </w:r>
      <w:r>
        <w:rPr>
          <w:iCs/>
          <w:i/>
        </w:rPr>
        <w:t xml:space="preserve">Obesity (Silver Spring)</w:t>
      </w:r>
      <w:r>
        <w:t xml:space="preserve"> </w:t>
      </w:r>
      <w:r>
        <w:t xml:space="preserve">· Semaglutide 2.4 mg for the Treatment of Obesity: Key Elements of the STEP Trials 1 to 5. PMID 32441473</w:t>
      </w:r>
    </w:p>
    <w:p>
      <w:pPr>
        <w:numPr>
          <w:ilvl w:val="0"/>
          <w:numId w:val="1379"/>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9"/>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9"/>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9"/>
        </w:numPr>
        <w:pStyle w:val="Compact"/>
      </w:pPr>
      <w:r>
        <w:t xml:space="preserve">2020 · Jódar E ·</w:t>
      </w:r>
      <w:r>
        <w:t xml:space="preserve"> </w:t>
      </w:r>
      <w:r>
        <w:rPr>
          <w:iCs/>
          <w:i/>
        </w:rPr>
        <w:t xml:space="preserve">Diabetes Obes Metab</w:t>
      </w:r>
      <w:r>
        <w:t xml:space="preserve"> </w:t>
      </w:r>
      <w:r>
        <w:t xml:space="preserve">· Semaglutide improves health-related quality of life versus placebo when added to standard of care in patients with type 2 diabetes at high cardiovascular risk (SUSTAIN 6). PMID 32227613</w:t>
      </w:r>
    </w:p>
    <w:p>
      <w:pPr>
        <w:numPr>
          <w:ilvl w:val="0"/>
          <w:numId w:val="1379"/>
        </w:numPr>
        <w:pStyle w:val="Compact"/>
      </w:pPr>
      <w:r>
        <w:t xml:space="preserve">2020 · Doggrell SA ·</w:t>
      </w:r>
      <w:r>
        <w:t xml:space="preserve"> </w:t>
      </w:r>
      <w:r>
        <w:rPr>
          <w:iCs/>
          <w:i/>
        </w:rPr>
        <w:t xml:space="preserve">Expert Opin Biol Ther</w:t>
      </w:r>
      <w:r>
        <w:t xml:space="preserve"> </w:t>
      </w:r>
      <w:r>
        <w:t xml:space="preserve">· Will oral semaglutide be used to reduce cardiovascular risk in subjects with type 2 diabetes instead of subcutaneous semaglutide?. PMID 32005073</w:t>
      </w:r>
    </w:p>
    <w:p>
      <w:pPr>
        <w:numPr>
          <w:ilvl w:val="0"/>
          <w:numId w:val="1379"/>
        </w:numPr>
        <w:pStyle w:val="Compact"/>
      </w:pPr>
      <w:r>
        <w:t xml:space="preserve">2020 · McCrimmon RJ ·</w:t>
      </w:r>
      <w:r>
        <w:t xml:space="preserve"> </w:t>
      </w:r>
      <w:r>
        <w:rPr>
          <w:iCs/>
          <w:i/>
        </w:rPr>
        <w:t xml:space="preserve">Diabetologia</w:t>
      </w:r>
      <w:r>
        <w:t xml:space="preserve"> </w:t>
      </w:r>
      <w:r>
        <w:t xml:space="preserve">· Effects of once-weekly semaglutide vs once-daily canagliflozin on body composition in type 2 diabetes: a substudy of the SUSTAIN 8 randomised controlled clinical trial. PMID 31897524</w:t>
      </w:r>
    </w:p>
    <w:p>
      <w:pPr>
        <w:numPr>
          <w:ilvl w:val="0"/>
          <w:numId w:val="1379"/>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9"/>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9"/>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9"/>
        </w:numPr>
        <w:pStyle w:val="Compact"/>
      </w:pPr>
      <w:r>
        <w:t xml:space="preserve">2019 · Lingvay I ·</w:t>
      </w:r>
      <w:r>
        <w:t xml:space="preserve"> </w:t>
      </w:r>
      <w:r>
        <w:rPr>
          <w:iCs/>
          <w:i/>
        </w:rPr>
        <w:t xml:space="preserve">Lancet Diabetes Endocrinol</w:t>
      </w:r>
      <w:r>
        <w:t xml:space="preserve"> </w:t>
      </w:r>
      <w:r>
        <w:t xml:space="preserve">· Efficacy and safety of once-weekly semaglutide versus daily canagliflozin as add-on to metformin in patients with type 2 diabetes (SUSTAIN 8): a double-blind, phase 3b, randomised controlled trial. PMID 31540867</w:t>
      </w:r>
    </w:p>
    <w:p>
      <w:pPr>
        <w:numPr>
          <w:ilvl w:val="0"/>
          <w:numId w:val="1379"/>
        </w:numPr>
        <w:pStyle w:val="Compact"/>
      </w:pPr>
      <w:r>
        <w:t xml:space="preserve">2019 · Zinman B ·</w:t>
      </w:r>
      <w:r>
        <w:t xml:space="preserve"> </w:t>
      </w:r>
      <w:r>
        <w:rPr>
          <w:iCs/>
          <w:i/>
        </w:rPr>
        <w:t xml:space="preserve">Diabetes Care</w:t>
      </w:r>
      <w:r>
        <w:t xml:space="preserve"> </w:t>
      </w:r>
      <w:r>
        <w:t xml:space="preserve">· Efficacy, Safety, and Tolerability of Oral Semaglutide Versus Placebo Added to Insulin With or Without Metformin in Patients With Type 2 Diabetes: The PIONEER 8 Trial. PMID 31530667</w:t>
      </w:r>
    </w:p>
    <w:p>
      <w:pPr>
        <w:numPr>
          <w:ilvl w:val="0"/>
          <w:numId w:val="1379"/>
        </w:numPr>
        <w:pStyle w:val="Compact"/>
      </w:pPr>
      <w:r>
        <w:t xml:space="preserve">2019 · Rodbard HW ·</w:t>
      </w:r>
      <w:r>
        <w:t xml:space="preserve"> </w:t>
      </w:r>
      <w:r>
        <w:rPr>
          <w:iCs/>
          <w:i/>
        </w:rPr>
        <w:t xml:space="preserve">Diabetes Care</w:t>
      </w:r>
      <w:r>
        <w:t xml:space="preserve"> </w:t>
      </w:r>
      <w:r>
        <w:t xml:space="preserve">· Oral Semaglutide Versus Empagliflozin in Patients With Type 2 Diabetes Uncontrolled on Metformin: The PIONEER 2 Trial. PMID 31530666</w:t>
      </w:r>
    </w:p>
    <w:p>
      <w:pPr>
        <w:numPr>
          <w:ilvl w:val="0"/>
          <w:numId w:val="1379"/>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9"/>
        </w:numPr>
        <w:pStyle w:val="Compact"/>
      </w:pPr>
      <w:r>
        <w:t xml:space="preserve">2019 · Pieber TR ·</w:t>
      </w:r>
      <w:r>
        <w:t xml:space="preserve"> </w:t>
      </w:r>
      <w:r>
        <w:rPr>
          <w:iCs/>
          <w:i/>
        </w:rPr>
        <w:t xml:space="preserve">Lancet Diabetes Endocrinol</w:t>
      </w:r>
      <w:r>
        <w:t xml:space="preserve"> </w:t>
      </w:r>
      <w:r>
        <w:t xml:space="preserve">· Efficacy and safety of oral semaglutide with flexible dose adjustment versus sitagliptin in type 2 diabetes (PIONEER 7): a multicentre, open-label, randomised, phase 3a trial. PMID 31189520</w:t>
      </w:r>
    </w:p>
    <w:p>
      <w:pPr>
        <w:numPr>
          <w:ilvl w:val="0"/>
          <w:numId w:val="1379"/>
        </w:numPr>
        <w:pStyle w:val="Compact"/>
      </w:pPr>
      <w:r>
        <w:t xml:space="preserve">2019 · Mosenzon O ·</w:t>
      </w:r>
      <w:r>
        <w:t xml:space="preserve"> </w:t>
      </w:r>
      <w:r>
        <w:rPr>
          <w:iCs/>
          <w:i/>
        </w:rPr>
        <w:t xml:space="preserve">Lancet Diabetes Endocrinol</w:t>
      </w:r>
      <w:r>
        <w:t xml:space="preserve"> </w:t>
      </w:r>
      <w:r>
        <w:t xml:space="preserve">· Efficacy and safety of oral semaglutide in patients with type 2 diabetes and moderate renal impairment (PIONEER 5): a placebo-controlled, randomised, phase 3a trial. PMID 31189517</w:t>
      </w:r>
    </w:p>
    <w:p>
      <w:pPr>
        <w:numPr>
          <w:ilvl w:val="0"/>
          <w:numId w:val="1379"/>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9"/>
        </w:numPr>
        <w:pStyle w:val="Compact"/>
      </w:pPr>
      <w:r>
        <w:t xml:space="preserve">2019 · Husain M ·</w:t>
      </w:r>
      <w:r>
        <w:t xml:space="preserve"> </w:t>
      </w:r>
      <w:r>
        <w:rPr>
          <w:iCs/>
          <w:i/>
        </w:rPr>
        <w:t xml:space="preserve">N Engl J Med</w:t>
      </w:r>
      <w:r>
        <w:t xml:space="preserve"> </w:t>
      </w:r>
      <w:r>
        <w:t xml:space="preserve">· Oral Semaglutide and Cardiovascular Outcomes in Patients with Type 2 Diabetes. PMID 31185157</w:t>
      </w:r>
    </w:p>
    <w:p>
      <w:pPr>
        <w:numPr>
          <w:ilvl w:val="0"/>
          <w:numId w:val="1379"/>
        </w:numPr>
        <w:pStyle w:val="Compact"/>
      </w:pPr>
      <w:r>
        <w:t xml:space="preserve">2019 · Bækdal TA ·</w:t>
      </w:r>
      <w:r>
        <w:t xml:space="preserve"> </w:t>
      </w:r>
      <w:r>
        <w:rPr>
          <w:iCs/>
          <w:i/>
        </w:rPr>
        <w:t xml:space="preserve">Clin Pharmacokinet</w:t>
      </w:r>
      <w:r>
        <w:t xml:space="preserve"> </w:t>
      </w:r>
      <w:r>
        <w:t xml:space="preserve">· Effect of Oral Semaglutide on the Pharmacokinetics of Lisinopril, Warfarin, Digoxin, and Metformin in Healthy Subjects. PMID 30945118</w:t>
      </w:r>
    </w:p>
    <w:p>
      <w:pPr>
        <w:numPr>
          <w:ilvl w:val="0"/>
          <w:numId w:val="1379"/>
        </w:numPr>
        <w:pStyle w:val="Compact"/>
      </w:pPr>
      <w:r>
        <w:t xml:space="preserve">2019 · Rosenstock J ·</w:t>
      </w:r>
      <w:r>
        <w:t xml:space="preserve"> </w:t>
      </w:r>
      <w:r>
        <w:rPr>
          <w:iCs/>
          <w:i/>
        </w:rPr>
        <w:t xml:space="preserve">JAMA</w:t>
      </w:r>
      <w:r>
        <w:t xml:space="preserve"> </w:t>
      </w:r>
      <w:r>
        <w:t xml:space="preserve">· Effect of Additional Oral Semaglutide vs Sitagliptin on Glycated Hemoglobin in Adults With Type 2 Diabetes Uncontrolled With Metformin Alone or With Sulfonylurea: The PIONEER 3 Randomized Clinical Trial. PMID 30903796</w:t>
      </w:r>
    </w:p>
    <w:p>
      <w:pPr>
        <w:numPr>
          <w:ilvl w:val="0"/>
          <w:numId w:val="1379"/>
        </w:numPr>
        <w:pStyle w:val="Compact"/>
      </w:pPr>
      <w:r>
        <w:t xml:space="preserve">2019 · Zinman B ·</w:t>
      </w:r>
      <w:r>
        <w:t xml:space="preserve"> </w:t>
      </w:r>
      <w:r>
        <w:rPr>
          <w:iCs/>
          <w:i/>
        </w:rPr>
        <w:t xml:space="preserve">Lancet Diabetes Endocrinol</w:t>
      </w:r>
      <w:r>
        <w:t xml:space="preserve"> </w:t>
      </w:r>
      <w:r>
        <w:t xml:space="preserve">· Semaglutide once weekly as add-on to SGLT-2 inhibitor therapy in type 2 diabetes (SUSTAIN 9): a randomised, placebo-controlled trial. PMID 30833170</w:t>
      </w:r>
    </w:p>
    <w:p>
      <w:pPr>
        <w:numPr>
          <w:ilvl w:val="0"/>
          <w:numId w:val="1379"/>
        </w:numPr>
        <w:pStyle w:val="Compact"/>
      </w:pPr>
      <w:r>
        <w:t xml:space="preserve">2019 · Granhall C ·</w:t>
      </w:r>
      <w:r>
        <w:t xml:space="preserve"> </w:t>
      </w:r>
      <w:r>
        <w:rPr>
          <w:iCs/>
          <w:i/>
        </w:rPr>
        <w:t xml:space="preserve">Clin Pharmacokinet</w:t>
      </w:r>
      <w:r>
        <w:t xml:space="preserve"> </w:t>
      </w:r>
      <w:r>
        <w:t xml:space="preserve">· Safety and Pharmacokinetics of Single and Multiple Ascending Doses of the Novel Oral Human GLP-1 Analogue, Oral Semaglutide, in Healthy Subjects and Subjects with Type 2 Diabetes. PMID 30565096</w:t>
      </w:r>
    </w:p>
    <w:p>
      <w:pPr>
        <w:numPr>
          <w:ilvl w:val="0"/>
          <w:numId w:val="1379"/>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9"/>
        </w:numPr>
        <w:pStyle w:val="Compact"/>
      </w:pPr>
      <w:r>
        <w:t xml:space="preserve">2018 · Buckley ST ·</w:t>
      </w:r>
      <w:r>
        <w:t xml:space="preserve"> </w:t>
      </w:r>
      <w:r>
        <w:rPr>
          <w:iCs/>
          <w:i/>
        </w:rPr>
        <w:t xml:space="preserve">Sci Transl Med</w:t>
      </w:r>
      <w:r>
        <w:t xml:space="preserve"> </w:t>
      </w:r>
      <w:r>
        <w:t xml:space="preserve">· Transcellular stomach absorption of a derivatized glucagon-like peptide-1 receptor agonist. PMID 30429357</w:t>
      </w:r>
    </w:p>
    <w:p>
      <w:pPr>
        <w:numPr>
          <w:ilvl w:val="0"/>
          <w:numId w:val="1379"/>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9"/>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9"/>
        </w:numPr>
        <w:pStyle w:val="Compact"/>
      </w:pPr>
      <w:r>
        <w:t xml:space="preserve">2018 · Bækdal TA ·</w:t>
      </w:r>
      <w:r>
        <w:t xml:space="preserve"> </w:t>
      </w:r>
      <w:r>
        <w:rPr>
          <w:iCs/>
          <w:i/>
        </w:rPr>
        <w:t xml:space="preserve">Expert Opin Drug Metab Toxicol</w:t>
      </w:r>
      <w:r>
        <w:t xml:space="preserve"> </w:t>
      </w:r>
      <w:r>
        <w:t xml:space="preserve">· A randomized study investigating the effect of omeprazole on the pharmacokinetics of oral semaglutide. PMID 29897249</w:t>
      </w:r>
    </w:p>
    <w:p>
      <w:pPr>
        <w:numPr>
          <w:ilvl w:val="0"/>
          <w:numId w:val="1379"/>
        </w:numPr>
        <w:pStyle w:val="Compact"/>
      </w:pPr>
      <w:r>
        <w:t xml:space="preserve">2018 · Korsatko S ·</w:t>
      </w:r>
      <w:r>
        <w:t xml:space="preserve"> </w:t>
      </w:r>
      <w:r>
        <w:rPr>
          <w:iCs/>
          <w:i/>
        </w:rPr>
        <w:t xml:space="preserve">Diabetes Obes Metab</w:t>
      </w:r>
      <w:r>
        <w:t xml:space="preserve"> </w:t>
      </w:r>
      <w:r>
        <w:t xml:space="preserve">· Effect of once-weekly semaglutide on the counterregulatory response to hypoglycaemia in people with type 2 diabetes: A randomized, placebo-controlled, double-blind, crossover trial. PMID 29893488</w:t>
      </w:r>
    </w:p>
    <w:p>
      <w:pPr>
        <w:numPr>
          <w:ilvl w:val="0"/>
          <w:numId w:val="1379"/>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9"/>
        </w:numPr>
        <w:pStyle w:val="Compact"/>
      </w:pPr>
      <w:r>
        <w:t xml:space="preserve">2018 · Baekdal TA ·</w:t>
      </w:r>
      <w:r>
        <w:t xml:space="preserve"> </w:t>
      </w:r>
      <w:r>
        <w:rPr>
          <w:iCs/>
          <w:i/>
        </w:rPr>
        <w:t xml:space="preserve">J Clin Pharmacol</w:t>
      </w:r>
      <w:r>
        <w:t xml:space="preserve"> </w:t>
      </w:r>
      <w:r>
        <w:t xml:space="preserve">· Pharmacokinetics, Safety, and Tolerability of Oral Semaglutide in Subjects With Hepatic Impairment. PMID 29693715</w:t>
      </w:r>
    </w:p>
    <w:p>
      <w:pPr>
        <w:numPr>
          <w:ilvl w:val="0"/>
          <w:numId w:val="1379"/>
        </w:numPr>
        <w:pStyle w:val="Compact"/>
      </w:pPr>
      <w:r>
        <w:t xml:space="preserve">2018 · Rodbard HW ·</w:t>
      </w:r>
      <w:r>
        <w:t xml:space="preserve"> </w:t>
      </w:r>
      <w:r>
        <w:rPr>
          <w:iCs/>
          <w:i/>
        </w:rPr>
        <w:t xml:space="preserve">J Clin Endocrinol Metab</w:t>
      </w:r>
      <w:r>
        <w:t xml:space="preserve"> </w:t>
      </w:r>
      <w:r>
        <w:t xml:space="preserve">· Semaglutide Added to Basal Insulin in Type 2 Diabetes (SUSTAIN 5): A Randomized, Controlled Trial. PMID 29688502</w:t>
      </w:r>
    </w:p>
    <w:p>
      <w:pPr>
        <w:numPr>
          <w:ilvl w:val="0"/>
          <w:numId w:val="1379"/>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9"/>
        </w:numPr>
        <w:pStyle w:val="Compact"/>
      </w:pPr>
      <w:r>
        <w:t xml:space="preserve">2018 · Granhall C ·</w:t>
      </w:r>
      <w:r>
        <w:t xml:space="preserve"> </w:t>
      </w:r>
      <w:r>
        <w:rPr>
          <w:iCs/>
          <w:i/>
        </w:rPr>
        <w:t xml:space="preserve">Clin Pharmacokinet</w:t>
      </w:r>
      <w:r>
        <w:t xml:space="preserve"> </w:t>
      </w:r>
      <w:r>
        <w:t xml:space="preserve">· Pharmacokinetics, Safety and Tolerability of Oral Semaglutide in Subjects with Renal Impairment. PMID 29623579</w:t>
      </w:r>
    </w:p>
    <w:p>
      <w:pPr>
        <w:numPr>
          <w:ilvl w:val="0"/>
          <w:numId w:val="1379"/>
        </w:numPr>
        <w:pStyle w:val="Compact"/>
      </w:pPr>
      <w:r>
        <w:t xml:space="preserve">2018 · Ikushima I ·</w:t>
      </w:r>
      <w:r>
        <w:t xml:space="preserve"> </w:t>
      </w:r>
      <w:r>
        <w:rPr>
          <w:iCs/>
          <w:i/>
        </w:rPr>
        <w:t xml:space="preserve">Adv Ther</w:t>
      </w:r>
      <w:r>
        <w:t xml:space="preserve"> </w:t>
      </w:r>
      <w:r>
        <w:t xml:space="preserve">· A Randomized Trial Investigating the Pharmacokinetics, Pharmacodynamics, and Safety of Subcutaneous Semaglutide Once-Weekly in Healthy Male Japanese and Caucasian Subjects. PMID 29536338</w:t>
      </w:r>
    </w:p>
    <w:p>
      <w:pPr>
        <w:numPr>
          <w:ilvl w:val="0"/>
          <w:numId w:val="1379"/>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9"/>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9"/>
        </w:numPr>
        <w:pStyle w:val="Compact"/>
      </w:pPr>
      <w:r>
        <w:t xml:space="preserve">2018 · Kaku K ·</w:t>
      </w:r>
      <w:r>
        <w:t xml:space="preserve"> </w:t>
      </w:r>
      <w:r>
        <w:rPr>
          <w:iCs/>
          <w:i/>
        </w:rPr>
        <w:t xml:space="preserve">Diabetes Obes Metab</w:t>
      </w:r>
      <w:r>
        <w:t xml:space="preserve"> </w:t>
      </w:r>
      <w:r>
        <w:t xml:space="preserve">· Safety and efficacy of once-weekly semaglutide vs additional oral antidiabetic drugs in Japanese people with inadequately controlled type 2 diabetes: A randomized trial. PMID 29322610</w:t>
      </w:r>
    </w:p>
    <w:p>
      <w:pPr>
        <w:numPr>
          <w:ilvl w:val="0"/>
          <w:numId w:val="1379"/>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9"/>
        </w:numPr>
        <w:pStyle w:val="Compact"/>
      </w:pPr>
      <w:r>
        <w:t xml:space="preserve">2018 · Jensen L ·</w:t>
      </w:r>
      <w:r>
        <w:t xml:space="preserve"> </w:t>
      </w:r>
      <w:r>
        <w:rPr>
          <w:iCs/>
          <w:i/>
        </w:rPr>
        <w:t xml:space="preserve">Diabetes Obes Metab</w:t>
      </w:r>
      <w:r>
        <w:t xml:space="preserve"> </w:t>
      </w:r>
      <w:r>
        <w:t xml:space="preserve">· Pharmacokinetics and tolerability of semaglutide in people with hepatic impairment. PMID 29205786</w:t>
      </w:r>
    </w:p>
    <w:p>
      <w:pPr>
        <w:numPr>
          <w:ilvl w:val="0"/>
          <w:numId w:val="1379"/>
        </w:numPr>
        <w:pStyle w:val="Compact"/>
      </w:pPr>
      <w:r>
        <w:t xml:space="preserve">2018 · Vilsbøll T ·</w:t>
      </w:r>
      <w:r>
        <w:t xml:space="preserve"> </w:t>
      </w:r>
      <w:r>
        <w:rPr>
          <w:iCs/>
          <w:i/>
        </w:rPr>
        <w:t xml:space="preserve">Diabetes Obes Metab</w:t>
      </w:r>
      <w:r>
        <w:t xml:space="preserve"> </w:t>
      </w:r>
      <w:r>
        <w:t xml:space="preserve">· Semaglutide, reduction in glycated haemoglobin and the risk of diabetic retinopathy. PMID 29178519</w:t>
      </w:r>
    </w:p>
    <w:p>
      <w:pPr>
        <w:numPr>
          <w:ilvl w:val="0"/>
          <w:numId w:val="1379"/>
        </w:numPr>
        <w:pStyle w:val="Compact"/>
      </w:pPr>
      <w:r>
        <w:t xml:space="preserve">2018 · Hjerpsted JB ·</w:t>
      </w:r>
      <w:r>
        <w:t xml:space="preserve"> </w:t>
      </w:r>
      <w:r>
        <w:rPr>
          <w:iCs/>
          <w:i/>
        </w:rPr>
        <w:t xml:space="preserve">Diabetes Obes Metab</w:t>
      </w:r>
      <w:r>
        <w:t xml:space="preserve"> </w:t>
      </w:r>
      <w:r>
        <w:t xml:space="preserve">· Semaglutide improves postprandial glucose and lipid metabolism, and delays first-hour gastric emptying in subjects with obesity. PMID 28941314</w:t>
      </w:r>
    </w:p>
    <w:p>
      <w:pPr>
        <w:numPr>
          <w:ilvl w:val="0"/>
          <w:numId w:val="1379"/>
        </w:numPr>
        <w:pStyle w:val="Compact"/>
      </w:pPr>
      <w:r>
        <w:t xml:space="preserve">2018 · Seino Y ·</w:t>
      </w:r>
      <w:r>
        <w:t xml:space="preserve"> </w:t>
      </w:r>
      <w:r>
        <w:rPr>
          <w:iCs/>
          <w:i/>
        </w:rPr>
        <w:t xml:space="preserve">Diabetes Obes Metab</w:t>
      </w:r>
      <w:r>
        <w:t xml:space="preserve"> </w:t>
      </w:r>
      <w:r>
        <w:t xml:space="preserve">· Safety and efficacy of semaglutide once weekly vs sitagliptin once daily, both as monotherapy in Japanese people with type 2 diabetes. PMID 28786547</w:t>
      </w:r>
    </w:p>
    <w:p>
      <w:pPr>
        <w:numPr>
          <w:ilvl w:val="0"/>
          <w:numId w:val="1379"/>
        </w:numPr>
        <w:pStyle w:val="Compact"/>
      </w:pPr>
      <w:r>
        <w:t xml:space="preserve">2017 · Davies M ·</w:t>
      </w:r>
      <w:r>
        <w:t xml:space="preserve"> </w:t>
      </w:r>
      <w:r>
        <w:rPr>
          <w:iCs/>
          <w:i/>
        </w:rPr>
        <w:t xml:space="preserve">JAMA</w:t>
      </w:r>
      <w:r>
        <w:t xml:space="preserve"> </w:t>
      </w:r>
      <w:r>
        <w:t xml:space="preserve">· Effect of Oral Semaglutide Compared With Placebo and Subcutaneous Semaglutide on Glycemic Control in Patients With Type 2 Diabetes: A Randomized Clinical Trial. PMID 29049653</w:t>
      </w:r>
    </w:p>
    <w:p>
      <w:pPr>
        <w:numPr>
          <w:ilvl w:val="0"/>
          <w:numId w:val="1379"/>
        </w:numPr>
        <w:pStyle w:val="Compact"/>
      </w:pPr>
      <w:r>
        <w:t xml:space="preserve">2017 · Kapitza C ·</w:t>
      </w:r>
      <w:r>
        <w:t xml:space="preserve"> </w:t>
      </w:r>
      <w:r>
        <w:rPr>
          <w:iCs/>
          <w:i/>
        </w:rPr>
        <w:t xml:space="preserve">Diabetologia</w:t>
      </w:r>
      <w:r>
        <w:t xml:space="preserve"> </w:t>
      </w:r>
      <w:r>
        <w:t xml:space="preserve">· Effects of semaglutide on beta cell function and glycaemic control in participants with type 2 diabetes: a randomised, double-blind, placebo-controlled trial. PMID 28526920</w:t>
      </w:r>
    </w:p>
    <w:p>
      <w:pPr>
        <w:numPr>
          <w:ilvl w:val="0"/>
          <w:numId w:val="1379"/>
        </w:numPr>
        <w:pStyle w:val="Compact"/>
      </w:pPr>
      <w:r>
        <w:t xml:space="preserve">2017 · Ahrén B ·</w:t>
      </w:r>
      <w:r>
        <w:t xml:space="preserve"> </w:t>
      </w:r>
      <w:r>
        <w:rPr>
          <w:iCs/>
          <w:i/>
        </w:rPr>
        <w:t xml:space="preserve">Lancet Diabetes Endocrinol</w:t>
      </w:r>
      <w:r>
        <w:t xml:space="preserve"> </w:t>
      </w:r>
      <w:r>
        <w:t xml:space="preserve">· Efficacy and safety of once-weekly semaglutide versus once-daily sitagliptin as an add-on to metformin, thiazolidinediones, or both, in patients with type 2 diabetes (SUSTAIN 2): a 56-week, double-blind, phase 3a, randomised trial. PMID 28385659</w:t>
      </w:r>
    </w:p>
    <w:p>
      <w:pPr>
        <w:numPr>
          <w:ilvl w:val="0"/>
          <w:numId w:val="1379"/>
        </w:numPr>
        <w:pStyle w:val="Compact"/>
      </w:pPr>
      <w:r>
        <w:t xml:space="preserve">2017 · Hausner H ·</w:t>
      </w:r>
      <w:r>
        <w:t xml:space="preserve"> </w:t>
      </w:r>
      <w:r>
        <w:rPr>
          <w:iCs/>
          <w:i/>
        </w:rPr>
        <w:t xml:space="preserve">Clin Pharmacokinet</w:t>
      </w:r>
      <w:r>
        <w:t xml:space="preserve"> </w:t>
      </w:r>
      <w:r>
        <w:t xml:space="preserve">· Effect of Semaglutide on the Pharmacokinetics of Metformin, Warfarin, Atorvastatin and Digoxin in Healthy Subjects. PMID 28349387</w:t>
      </w:r>
    </w:p>
    <w:p>
      <w:pPr>
        <w:numPr>
          <w:ilvl w:val="0"/>
          <w:numId w:val="1379"/>
        </w:numPr>
        <w:pStyle w:val="Compact"/>
      </w:pPr>
      <w:r>
        <w:t xml:space="preserve">2017 · Marbury TC ·</w:t>
      </w:r>
      <w:r>
        <w:t xml:space="preserve"> </w:t>
      </w:r>
      <w:r>
        <w:rPr>
          <w:iCs/>
          <w:i/>
        </w:rPr>
        <w:t xml:space="preserve">Clin Pharmacokinet</w:t>
      </w:r>
      <w:r>
        <w:t xml:space="preserve"> </w:t>
      </w:r>
      <w:r>
        <w:t xml:space="preserve">· Pharmacokinetics and Tolerability of a Single Dose of Semaglutide, a Human Glucagon-Like Peptide-1 Analog, in Subjects With and Without Renal Impairment. PMID 28349386</w:t>
      </w:r>
    </w:p>
    <w:p>
      <w:pPr>
        <w:numPr>
          <w:ilvl w:val="0"/>
          <w:numId w:val="1379"/>
        </w:numPr>
        <w:pStyle w:val="Compact"/>
      </w:pPr>
      <w:r>
        <w:t xml:space="preserve">2017 · Aroda VR ·</w:t>
      </w:r>
      <w:r>
        <w:t xml:space="preserve"> </w:t>
      </w:r>
      <w:r>
        <w:rPr>
          <w:iCs/>
          <w:i/>
        </w:rPr>
        <w:t xml:space="preserve">Lancet Diabetes Endocrinol</w:t>
      </w:r>
      <w:r>
        <w:t xml:space="preserve"> </w:t>
      </w:r>
      <w:r>
        <w:t xml:space="preserve">· Efficacy and safety of once-weekly semaglutide versus once-daily insulin glargine as add-on to metformin (with or without sulfonylureas) in insulin-naive patients with type 2 diabetes (SUSTAIN 4): a randomised, open-label, parallel-group, multicentre, multinational, phase 3a trial. PMID 28344112</w:t>
      </w:r>
    </w:p>
    <w:p>
      <w:pPr>
        <w:numPr>
          <w:ilvl w:val="0"/>
          <w:numId w:val="1379"/>
        </w:numPr>
        <w:pStyle w:val="Compact"/>
      </w:pPr>
      <w:r>
        <w:t xml:space="preserve">2017 · Ebell MH ·</w:t>
      </w:r>
      <w:r>
        <w:t xml:space="preserve"> </w:t>
      </w:r>
      <w:r>
        <w:rPr>
          <w:iCs/>
          <w:i/>
        </w:rPr>
        <w:t xml:space="preserve">Am Fam Physician</w:t>
      </w:r>
      <w:r>
        <w:t xml:space="preserve"> </w:t>
      </w:r>
      <w:r>
        <w:t xml:space="preserve">· Semaglutide Reduces CV Events in High-Risk Patients with Type 2 Diabetes Mellitus. PMID 28318215</w:t>
      </w:r>
    </w:p>
    <w:p>
      <w:pPr>
        <w:numPr>
          <w:ilvl w:val="0"/>
          <w:numId w:val="1379"/>
        </w:numPr>
        <w:pStyle w:val="Compact"/>
      </w:pPr>
      <w:r>
        <w:t xml:space="preserve">2017 · Blundell J ·</w:t>
      </w:r>
      <w:r>
        <w:t xml:space="preserve"> </w:t>
      </w:r>
      <w:r>
        <w:rPr>
          <w:iCs/>
          <w:i/>
        </w:rPr>
        <w:t xml:space="preserve">Diabetes Obes Metab</w:t>
      </w:r>
      <w:r>
        <w:t xml:space="preserve"> </w:t>
      </w:r>
      <w:r>
        <w:t xml:space="preserve">· Effects of once-weekly semaglutide on appetite, energy intake, control of eating, food preference and body weight in subjects with obesity. PMID 28266779</w:t>
      </w:r>
    </w:p>
    <w:p>
      <w:pPr>
        <w:numPr>
          <w:ilvl w:val="0"/>
          <w:numId w:val="1379"/>
        </w:numPr>
        <w:pStyle w:val="Compact"/>
      </w:pPr>
      <w:r>
        <w:t xml:space="preserve">2017 · Sorli C ·</w:t>
      </w:r>
      <w:r>
        <w:t xml:space="preserve"> </w:t>
      </w:r>
      <w:r>
        <w:rPr>
          <w:iCs/>
          <w:i/>
        </w:rPr>
        <w:t xml:space="preserve">Lancet Diabetes Endocrinol</w:t>
      </w:r>
      <w:r>
        <w:t xml:space="preserve"> </w:t>
      </w:r>
      <w:r>
        <w:t xml:space="preserve">· Efficacy and safety of once-weekly semaglutide monotherapy versus placebo in patients with type 2 diabetes (SUSTAIN 1): a double-blind, randomised, placebo-controlled, parallel-group, multinational, multicentre phase 3a trial. PMID 28110911</w:t>
      </w:r>
    </w:p>
    <w:p>
      <w:pPr>
        <w:numPr>
          <w:ilvl w:val="0"/>
          <w:numId w:val="1379"/>
        </w:numPr>
        <w:pStyle w:val="Compact"/>
      </w:pPr>
      <w:r>
        <w:t xml:space="preserve">2016 · Marso SP ·</w:t>
      </w:r>
      <w:r>
        <w:t xml:space="preserve"> </w:t>
      </w:r>
      <w:r>
        <w:rPr>
          <w:iCs/>
          <w:i/>
        </w:rPr>
        <w:t xml:space="preserve">N Engl J Med</w:t>
      </w:r>
      <w:r>
        <w:t xml:space="preserve"> </w:t>
      </w:r>
      <w:r>
        <w:t xml:space="preserve">· Semaglutide and Cardiovascular Outcomes in Patients with Type 2 Diabetes. PMID 27633186</w:t>
      </w:r>
    </w:p>
    <w:p>
      <w:pPr>
        <w:numPr>
          <w:ilvl w:val="0"/>
          <w:numId w:val="1379"/>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bookmarkEnd w:id="3014"/>
    <w:bookmarkStart w:id="3015" w:name="tirzepatida-144"/>
    <w:p>
      <w:pPr>
        <w:pStyle w:val="Heading2"/>
      </w:pPr>
      <w:r>
        <w:t xml:space="preserve">Tirzepatida (144)</w:t>
      </w:r>
    </w:p>
    <w:p>
      <w:pPr>
        <w:numPr>
          <w:ilvl w:val="0"/>
          <w:numId w:val="1380"/>
        </w:numPr>
        <w:pStyle w:val="Compact"/>
      </w:pPr>
      <w:r>
        <w:t xml:space="preserve">2026 · Falcon B ·</w:t>
      </w:r>
      <w:r>
        <w:t xml:space="preserve"> </w:t>
      </w:r>
      <w:r>
        <w:rPr>
          <w:iCs/>
          <w:i/>
        </w:rPr>
        <w:t xml:space="preserve">J Clin Sleep Med</w:t>
      </w:r>
      <w:r>
        <w:t xml:space="preserve"> </w:t>
      </w:r>
      <w:r>
        <w:t xml:space="preserve">· Association of tirzepatide with changes in OSA-related measures based on baseline characteristics - post hoc analyses of SURMOUNT-OSA. PMID 42675225</w:t>
      </w:r>
    </w:p>
    <w:p>
      <w:pPr>
        <w:numPr>
          <w:ilvl w:val="0"/>
          <w:numId w:val="1380"/>
        </w:numPr>
        <w:pStyle w:val="Compact"/>
      </w:pPr>
      <w:r>
        <w:t xml:space="preserve">2026 · Sattar N ·</w:t>
      </w:r>
      <w:r>
        <w:t xml:space="preserve"> </w:t>
      </w:r>
      <w:r>
        <w:rPr>
          <w:iCs/>
          <w:i/>
        </w:rPr>
        <w:t xml:space="preserve">PLoS One</w:t>
      </w:r>
      <w:r>
        <w:t xml:space="preserve"> </w:t>
      </w:r>
      <w:r>
        <w:t xml:space="preserve">· Achieving the triple endpoint of body weight reduction thresholds, systolic blood pressure reduction ≥5 mmHg and non-HDL cholesterol &lt;130 mg/dL with tirzepatide in people with obesity: A post hoc analysis from the SURMOUNT trials. PMID 42594122</w:t>
      </w:r>
    </w:p>
    <w:p>
      <w:pPr>
        <w:numPr>
          <w:ilvl w:val="0"/>
          <w:numId w:val="1380"/>
        </w:numPr>
        <w:pStyle w:val="Compact"/>
      </w:pPr>
      <w:r>
        <w:t xml:space="preserve">2026 · Cusi K ·</w:t>
      </w:r>
      <w:r>
        <w:t xml:space="preserve"> </w:t>
      </w:r>
      <w:r>
        <w:rPr>
          <w:iCs/>
          <w:i/>
        </w:rPr>
        <w:t xml:space="preserve">Liver Int</w:t>
      </w:r>
      <w:r>
        <w:t xml:space="preserve"> </w:t>
      </w:r>
      <w:r>
        <w:t xml:space="preserve">· Liver Fat Changes in Patients With Type 2 Diabetes by Presence of Genetic Hepatic Steatosis: A Post Hoc Analysis of SURPASS-3 MRI. PMID 42576670</w:t>
      </w:r>
    </w:p>
    <w:p>
      <w:pPr>
        <w:numPr>
          <w:ilvl w:val="0"/>
          <w:numId w:val="1380"/>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80"/>
        </w:numPr>
        <w:pStyle w:val="Compact"/>
      </w:pPr>
      <w:r>
        <w:t xml:space="preserve">2026 · Kanu C ·</w:t>
      </w:r>
      <w:r>
        <w:t xml:space="preserve"> </w:t>
      </w:r>
      <w:r>
        <w:rPr>
          <w:iCs/>
          <w:i/>
        </w:rPr>
        <w:t xml:space="preserve">Sleep</w:t>
      </w:r>
      <w:r>
        <w:t xml:space="preserve"> </w:t>
      </w:r>
      <w:r>
        <w:t xml:space="preserve">· Changes in patient-reported outcomes and objective assessments based on baseline symptom severity in SURMOUNT-OSA: post-hoc analyses. PMID 42412744</w:t>
      </w:r>
    </w:p>
    <w:p>
      <w:pPr>
        <w:numPr>
          <w:ilvl w:val="0"/>
          <w:numId w:val="1380"/>
        </w:numPr>
        <w:pStyle w:val="Compact"/>
      </w:pPr>
      <w:r>
        <w:t xml:space="preserve">2026 · Kokkinos A ·</w:t>
      </w:r>
      <w:r>
        <w:t xml:space="preserve"> </w:t>
      </w:r>
      <w:r>
        <w:rPr>
          <w:iCs/>
          <w:i/>
        </w:rPr>
        <w:t xml:space="preserve">Diabetes Obes Metab</w:t>
      </w:r>
      <w:r>
        <w:t xml:space="preserve"> </w:t>
      </w:r>
      <w:r>
        <w:t xml:space="preserve">· Tirzepatide Efficacy and Tolerability According to Early Weight Response: A Post Hoc Analysis of the SURMOUNT-1 and SURMOUNT-2 Trials. PMID 42348366</w:t>
      </w:r>
    </w:p>
    <w:p>
      <w:pPr>
        <w:numPr>
          <w:ilvl w:val="0"/>
          <w:numId w:val="1380"/>
        </w:numPr>
        <w:pStyle w:val="Compact"/>
      </w:pPr>
      <w:r>
        <w:t xml:space="preserve">2026 · Yin Y ·</w:t>
      </w:r>
      <w:r>
        <w:t xml:space="preserve"> </w:t>
      </w:r>
      <w:r>
        <w:rPr>
          <w:iCs/>
          <w:i/>
        </w:rPr>
        <w:t xml:space="preserve">Med</w:t>
      </w:r>
      <w:r>
        <w:t xml:space="preserve"> </w:t>
      </w:r>
      <w:r>
        <w:t xml:space="preserve">· Tirzepatide monotherapy in Chinese patients with early type 2 diabetes: A randomized, double-blind, placebo-controlled phase 3 trial (SURPASS-CN-MONO). PMID 42296968</w:t>
      </w:r>
    </w:p>
    <w:p>
      <w:pPr>
        <w:numPr>
          <w:ilvl w:val="0"/>
          <w:numId w:val="1380"/>
        </w:numPr>
        <w:pStyle w:val="Compact"/>
      </w:pPr>
      <w:r>
        <w:t xml:space="preserve">2026 · Node K ·</w:t>
      </w:r>
      <w:r>
        <w:t xml:space="preserve"> </w:t>
      </w:r>
      <w:r>
        <w:rPr>
          <w:iCs/>
          <w:i/>
        </w:rPr>
        <w:t xml:space="preserve">Curr Med Res Opin</w:t>
      </w:r>
      <w:r>
        <w:t xml:space="preserve"> </w:t>
      </w:r>
      <w:r>
        <w:t xml:space="preserve">· Post hoc analysis of SURMOUNT-J: tirzepatide versus placebo and predicted 10-year cardiovascular disease risk in Japanese adults with obesity disease. PMID 42287159</w:t>
      </w:r>
    </w:p>
    <w:p>
      <w:pPr>
        <w:numPr>
          <w:ilvl w:val="0"/>
          <w:numId w:val="1380"/>
        </w:numPr>
        <w:pStyle w:val="Compact"/>
      </w:pPr>
      <w:r>
        <w:t xml:space="preserve">2026 · Pratley RE ·</w:t>
      </w:r>
      <w:r>
        <w:t xml:space="preserve"> </w:t>
      </w:r>
      <w:r>
        <w:rPr>
          <w:iCs/>
          <w:i/>
        </w:rPr>
        <w:t xml:space="preserve">Nat Med</w:t>
      </w:r>
      <w:r>
        <w:t xml:space="preserve"> </w:t>
      </w:r>
      <w:r>
        <w:t xml:space="preserve">· Apitegromab for lean mass preservation during tirzepatide-induced weight loss: a randomized, double-blind, placebo-controlled phase 2 trial. PMID 42260100</w:t>
      </w:r>
    </w:p>
    <w:p>
      <w:pPr>
        <w:numPr>
          <w:ilvl w:val="0"/>
          <w:numId w:val="1380"/>
        </w:numPr>
        <w:pStyle w:val="Compact"/>
      </w:pPr>
      <w:r>
        <w:t xml:space="preserve">2026 · Yang Z ·</w:t>
      </w:r>
      <w:r>
        <w:t xml:space="preserve"> </w:t>
      </w:r>
      <w:r>
        <w:rPr>
          <w:iCs/>
          <w:i/>
        </w:rPr>
        <w:t xml:space="preserve">Diabetes Obes Metab</w:t>
      </w:r>
      <w:r>
        <w:t xml:space="preserve"> </w:t>
      </w:r>
      <w:r>
        <w:t xml:space="preserve">· Short-Term Combined Treatment With Tirzepatide and Metformin for Overweight/Obese Chinese Women With Polycystic Ovary Syndrome: A Prospective, Open-Label, Randomised Controlled Trial. PMID 42236268</w:t>
      </w:r>
    </w:p>
    <w:p>
      <w:pPr>
        <w:numPr>
          <w:ilvl w:val="0"/>
          <w:numId w:val="1380"/>
        </w:numPr>
        <w:pStyle w:val="Compact"/>
      </w:pPr>
      <w:r>
        <w:t xml:space="preserve">2026 · Sattar N ·</w:t>
      </w:r>
      <w:r>
        <w:t xml:space="preserve"> </w:t>
      </w:r>
      <w:r>
        <w:rPr>
          <w:iCs/>
          <w:i/>
        </w:rPr>
        <w:t xml:space="preserve">J Am Coll Cardiol</w:t>
      </w:r>
      <w:r>
        <w:t xml:space="preserve"> </w:t>
      </w:r>
      <w:r>
        <w:t xml:space="preserve">· Comprehensive Long-Term Changes in Cardiovascular Risk Biomarkers With Tirzepatide: A SURMOUNT-1 Post Hoc Analysis. PMID 42233927</w:t>
      </w:r>
    </w:p>
    <w:p>
      <w:pPr>
        <w:numPr>
          <w:ilvl w:val="0"/>
          <w:numId w:val="1380"/>
        </w:numPr>
        <w:pStyle w:val="Compact"/>
      </w:pPr>
      <w:r>
        <w:t xml:space="preserve">2026 · Del Prato S ·</w:t>
      </w:r>
      <w:r>
        <w:t xml:space="preserve"> </w:t>
      </w:r>
      <w:r>
        <w:rPr>
          <w:iCs/>
          <w:i/>
        </w:rPr>
        <w:t xml:space="preserve">Ann Intern Med</w:t>
      </w:r>
      <w:r>
        <w:t xml:space="preserve"> </w:t>
      </w:r>
      <w:r>
        <w:t xml:space="preserve">· Tirzepatide Versus Intensified Conventional Care After 2 Years of Treatment in Early Type 2 Diabetes : A Randomized Clinical Trial. PMID 42184419</w:t>
      </w:r>
    </w:p>
    <w:p>
      <w:pPr>
        <w:numPr>
          <w:ilvl w:val="0"/>
          <w:numId w:val="1380"/>
        </w:numPr>
        <w:pStyle w:val="Compact"/>
      </w:pPr>
      <w:r>
        <w:t xml:space="preserve">2026 · Lebwohl M ·</w:t>
      </w:r>
      <w:r>
        <w:t xml:space="preserve"> </w:t>
      </w:r>
      <w:r>
        <w:rPr>
          <w:iCs/>
          <w:i/>
        </w:rPr>
        <w:t xml:space="preserve">JAMA Dermatol</w:t>
      </w:r>
      <w:r>
        <w:t xml:space="preserve"> </w:t>
      </w:r>
      <w:r>
        <w:t xml:space="preserve">· Ixekizumab With or Without Tirzepatide in Adults With Psoriasis and Overweight or Obesity: A Phase 3b Randomized Clinical Trial. PMID 42139049</w:t>
      </w:r>
    </w:p>
    <w:p>
      <w:pPr>
        <w:numPr>
          <w:ilvl w:val="0"/>
          <w:numId w:val="1380"/>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0"/>
        </w:numPr>
        <w:pStyle w:val="Compact"/>
      </w:pPr>
      <w:r>
        <w:t xml:space="preserve">2026 · Horn DB ·</w:t>
      </w:r>
      <w:r>
        <w:t xml:space="preserve"> </w:t>
      </w:r>
      <w:r>
        <w:rPr>
          <w:iCs/>
          <w:i/>
        </w:rPr>
        <w:t xml:space="preserve">Lancet</w:t>
      </w:r>
      <w:r>
        <w:t xml:space="preserve"> </w:t>
      </w:r>
      <w:r>
        <w:t xml:space="preserve">· Tirzepatide for maintenance of bodyweight reduction in people with obesity in the USA (SURMOUNT-MAINTAIN): a multicentre, double-blind, randomised, placebo-controlled trial. PMID 42119587</w:t>
      </w:r>
    </w:p>
    <w:p>
      <w:pPr>
        <w:numPr>
          <w:ilvl w:val="0"/>
          <w:numId w:val="1380"/>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80"/>
        </w:numPr>
        <w:pStyle w:val="Compact"/>
      </w:pPr>
      <w:r>
        <w:t xml:space="preserve">2026 · Masuzaki H ·</w:t>
      </w:r>
      <w:r>
        <w:t xml:space="preserve"> </w:t>
      </w:r>
      <w:r>
        <w:rPr>
          <w:iCs/>
          <w:i/>
        </w:rPr>
        <w:t xml:space="preserve">Diabetes Obes Metab</w:t>
      </w:r>
      <w:r>
        <w:t xml:space="preserve"> </w:t>
      </w:r>
      <w:r>
        <w:t xml:space="preserve">· Effect of Tirzepatide on Health-Related Quality of Life in Japanese Patients With Obesity Disease: Patient-Reported Outcomes From the SURMOUNT-J Study. PMID 42108080</w:t>
      </w:r>
    </w:p>
    <w:p>
      <w:pPr>
        <w:numPr>
          <w:ilvl w:val="0"/>
          <w:numId w:val="1380"/>
        </w:numPr>
        <w:pStyle w:val="Compact"/>
      </w:pPr>
      <w:r>
        <w:t xml:space="preserve">2026 · Sattar N ·</w:t>
      </w:r>
      <w:r>
        <w:t xml:space="preserve"> </w:t>
      </w:r>
      <w:r>
        <w:rPr>
          <w:iCs/>
          <w:i/>
        </w:rPr>
        <w:t xml:space="preserve">J Endocrinol Invest</w:t>
      </w:r>
      <w:r>
        <w:t xml:space="preserve"> </w:t>
      </w:r>
      <w:r>
        <w:t xml:space="preserve">· Shifts in waist-to-height ratio categories within tirzepatide groups: a post-hoc analysis of SURMOUNT-1. PMID 42082865</w:t>
      </w:r>
    </w:p>
    <w:p>
      <w:pPr>
        <w:numPr>
          <w:ilvl w:val="0"/>
          <w:numId w:val="1380"/>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80"/>
        </w:numPr>
        <w:pStyle w:val="Compact"/>
      </w:pPr>
      <w:r>
        <w:t xml:space="preserve">2026 · Thirugnanam AM ·</w:t>
      </w:r>
      <w:r>
        <w:t xml:space="preserve"> </w:t>
      </w:r>
      <w:r>
        <w:rPr>
          <w:iCs/>
          <w:i/>
        </w:rPr>
        <w:t xml:space="preserve">Cardiovasc Revasc Med</w:t>
      </w:r>
      <w:r>
        <w:t xml:space="preserve"> </w:t>
      </w:r>
      <w:r>
        <w:t xml:space="preserve">· Tirzepatide therapy reduces subclinical leaflet thrombosis and paravalvular leak after transcatheter aortic valve replacement in obese patients: The TAVR-MET trial. PMID 42000295</w:t>
      </w:r>
    </w:p>
    <w:p>
      <w:pPr>
        <w:numPr>
          <w:ilvl w:val="0"/>
          <w:numId w:val="1380"/>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80"/>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80"/>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80"/>
        </w:numPr>
        <w:pStyle w:val="Compact"/>
      </w:pPr>
      <w:r>
        <w:t xml:space="preserve">2026 · Merola JF ·</w:t>
      </w:r>
      <w:r>
        <w:t xml:space="preserve"> </w:t>
      </w:r>
      <w:r>
        <w:rPr>
          <w:iCs/>
          <w:i/>
        </w:rPr>
        <w:t xml:space="preserve">Arthritis Rheumatol</w:t>
      </w:r>
      <w:r>
        <w:t xml:space="preserve"> </w:t>
      </w:r>
      <w:r>
        <w:t xml:space="preserve">· Ixekizumab With Tirzepatide Achieved Greater Disease Control Than Ixekizumab Alone in Adults With Psoriatic Arthritis and Overweight or Obesity: Results From a Randomized Clinical Trial. PMID 41903163</w:t>
      </w:r>
    </w:p>
    <w:p>
      <w:pPr>
        <w:numPr>
          <w:ilvl w:val="0"/>
          <w:numId w:val="1380"/>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80"/>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80"/>
        </w:numPr>
        <w:pStyle w:val="Compact"/>
      </w:pPr>
      <w:r>
        <w:t xml:space="preserve">2026 · Zheng Z ·</w:t>
      </w:r>
      <w:r>
        <w:t xml:space="preserve"> </w:t>
      </w:r>
      <w:r>
        <w:rPr>
          <w:iCs/>
          <w:i/>
        </w:rPr>
        <w:t xml:space="preserve">Mol Metab</w:t>
      </w:r>
      <w:r>
        <w:t xml:space="preserve"> </w:t>
      </w:r>
      <w:r>
        <w:t xml:space="preserve">· ARD-101, a gut-restricted TAS2R agonist, reduces hunger in adults and promotes weight loss in DIO mice with DPP-4 inhibition. PMID 41833222</w:t>
      </w:r>
    </w:p>
    <w:p>
      <w:pPr>
        <w:numPr>
          <w:ilvl w:val="0"/>
          <w:numId w:val="1380"/>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80"/>
        </w:numPr>
        <w:pStyle w:val="Compact"/>
      </w:pPr>
      <w:r>
        <w:t xml:space="preserve">2026 · Ishigaki Y ·</w:t>
      </w:r>
      <w:r>
        <w:t xml:space="preserve"> </w:t>
      </w:r>
      <w:r>
        <w:rPr>
          <w:iCs/>
          <w:i/>
        </w:rPr>
        <w:t xml:space="preserve">Obesity (Silver Spring)</w:t>
      </w:r>
      <w:r>
        <w:t xml:space="preserve"> </w:t>
      </w:r>
      <w:r>
        <w:t xml:space="preserve">· Efficacy and Safety of Tirzepatide in Japanese Participants With Obesity: A Subpopulation Analysis of the SURMOUNT-1 Trial. PMID 41612966</w:t>
      </w:r>
    </w:p>
    <w:p>
      <w:pPr>
        <w:numPr>
          <w:ilvl w:val="0"/>
          <w:numId w:val="1380"/>
        </w:numPr>
        <w:pStyle w:val="Compact"/>
      </w:pPr>
      <w:r>
        <w:t xml:space="preserve">2026 · Malhotra A ·</w:t>
      </w:r>
      <w:r>
        <w:t xml:space="preserve"> </w:t>
      </w:r>
      <w:r>
        <w:rPr>
          <w:iCs/>
          <w:i/>
        </w:rPr>
        <w:t xml:space="preserve">Nat Med</w:t>
      </w:r>
      <w:r>
        <w:t xml:space="preserve"> </w:t>
      </w:r>
      <w:r>
        <w:t xml:space="preserve">· Tirzepatide on obstructive sleep apnea-related cardiometabolic risk: secondary outcomes of the SURMOUNT-OSA randomized trial. PMID 41540105</w:t>
      </w:r>
    </w:p>
    <w:p>
      <w:pPr>
        <w:numPr>
          <w:ilvl w:val="0"/>
          <w:numId w:val="1380"/>
        </w:numPr>
        <w:pStyle w:val="Compact"/>
      </w:pPr>
      <w:r>
        <w:t xml:space="preserve">2026 · Wadden TA ·</w:t>
      </w:r>
      <w:r>
        <w:t xml:space="preserve"> </w:t>
      </w:r>
      <w:r>
        <w:rPr>
          <w:iCs/>
          <w:i/>
        </w:rPr>
        <w:t xml:space="preserve">Obesity (Silver Spring)</w:t>
      </w:r>
      <w:r>
        <w:t xml:space="preserve"> </w:t>
      </w:r>
      <w:r>
        <w:t xml:space="preserve">· Psychiatric Safety of Tirzepatide in People With Obesity and No Known Major Psychopathology: A Post Hoc Analysis of SURMOUNT. PMID 41537305</w:t>
      </w:r>
    </w:p>
    <w:p>
      <w:pPr>
        <w:numPr>
          <w:ilvl w:val="0"/>
          <w:numId w:val="1380"/>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80"/>
        </w:numPr>
        <w:pStyle w:val="Compact"/>
      </w:pPr>
      <w:r>
        <w:t xml:space="preserve">2026 · Roell W ·</w:t>
      </w:r>
      <w:r>
        <w:t xml:space="preserve"> </w:t>
      </w:r>
      <w:r>
        <w:rPr>
          <w:iCs/>
          <w:i/>
        </w:rPr>
        <w:t xml:space="preserve">Mol Metab</w:t>
      </w:r>
      <w:r>
        <w:t xml:space="preserve"> </w:t>
      </w:r>
      <w:r>
        <w:t xml:space="preserve">· Long-acting GIPR agonist LY3537021 reduces body weight and fasting blood glucose in patients with T2D: Preclinical development and phase 1 randomized ascending dose studies. PMID 41391569</w:t>
      </w:r>
    </w:p>
    <w:p>
      <w:pPr>
        <w:numPr>
          <w:ilvl w:val="0"/>
          <w:numId w:val="1380"/>
        </w:numPr>
        <w:pStyle w:val="Compact"/>
      </w:pPr>
      <w:r>
        <w:t xml:space="preserve">2026 · Yokote K ·</w:t>
      </w:r>
      <w:r>
        <w:t xml:space="preserve"> </w:t>
      </w:r>
      <w:r>
        <w:rPr>
          <w:iCs/>
          <w:i/>
        </w:rPr>
        <w:t xml:space="preserve">Diabetes Obes Metab</w:t>
      </w:r>
      <w:r>
        <w:t xml:space="preserve"> </w:t>
      </w:r>
      <w:r>
        <w:t xml:space="preserve">· Association of baseline characteristics with clinical outcomes of tirzepatide treatment in Japanese patients with obesity disease: A subgroup analysis of the SURMOUNT-J trial. PMID 41290555</w:t>
      </w:r>
    </w:p>
    <w:p>
      <w:pPr>
        <w:numPr>
          <w:ilvl w:val="0"/>
          <w:numId w:val="1380"/>
        </w:numPr>
        <w:pStyle w:val="Compact"/>
      </w:pPr>
      <w:r>
        <w:t xml:space="preserve">2026 · Horn DB ·</w:t>
      </w:r>
      <w:r>
        <w:t xml:space="preserve"> </w:t>
      </w:r>
      <w:r>
        <w:rPr>
          <w:iCs/>
          <w:i/>
        </w:rPr>
        <w:t xml:space="preserve">JAMA Intern Med</w:t>
      </w:r>
      <w:r>
        <w:t xml:space="preserve"> </w:t>
      </w:r>
      <w:r>
        <w:t xml:space="preserve">· Cardiometabolic Parameter Change by Weight Regain on Tirzepatide Withdrawal in Adults With Obesity: A Post Hoc Analysis of the SURMOUNT-4 Trial. PMID 41284285</w:t>
      </w:r>
    </w:p>
    <w:p>
      <w:pPr>
        <w:numPr>
          <w:ilvl w:val="0"/>
          <w:numId w:val="1380"/>
        </w:numPr>
        <w:pStyle w:val="Compact"/>
      </w:pPr>
      <w:r>
        <w:t xml:space="preserve">2026 · Snaith JR ·</w:t>
      </w:r>
      <w:r>
        <w:t xml:space="preserve"> </w:t>
      </w:r>
      <w:r>
        <w:rPr>
          <w:iCs/>
          <w:i/>
        </w:rPr>
        <w:t xml:space="preserve">Diabetes Care</w:t>
      </w:r>
      <w:r>
        <w:t xml:space="preserve"> </w:t>
      </w:r>
      <w:r>
        <w:t xml:space="preserve">· Tirzepatide in Adults With Type 1 Diabetes: A Phase 2 Randomized Placebo-Controlled Clinical Trial. PMID 41264593</w:t>
      </w:r>
    </w:p>
    <w:p>
      <w:pPr>
        <w:numPr>
          <w:ilvl w:val="0"/>
          <w:numId w:val="1380"/>
        </w:numPr>
        <w:pStyle w:val="Compact"/>
      </w:pPr>
      <w:r>
        <w:t xml:space="preserve">2026 · Sattar N ·</w:t>
      </w:r>
      <w:r>
        <w:t xml:space="preserve"> </w:t>
      </w:r>
      <w:r>
        <w:rPr>
          <w:iCs/>
          <w:i/>
        </w:rPr>
        <w:t xml:space="preserve">Ann Rheum Dis</w:t>
      </w:r>
      <w:r>
        <w:t xml:space="preserve"> </w:t>
      </w:r>
      <w:r>
        <w:t xml:space="preserve">· Tirzepatide and change in uric acid and its association with weight reduction: post hoc analyses of the SURMOUNT-1 randomised placebo-controlled trial. PMID 41198460</w:t>
      </w:r>
    </w:p>
    <w:p>
      <w:pPr>
        <w:numPr>
          <w:ilvl w:val="0"/>
          <w:numId w:val="1380"/>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80"/>
        </w:numPr>
        <w:pStyle w:val="Compact"/>
      </w:pPr>
      <w:r>
        <w:t xml:space="preserve">2026 · Li X ·</w:t>
      </w:r>
      <w:r>
        <w:t xml:space="preserve"> </w:t>
      </w:r>
      <w:r>
        <w:rPr>
          <w:iCs/>
          <w:i/>
        </w:rPr>
        <w:t xml:space="preserve">Obesity (Silver Spring)</w:t>
      </w:r>
      <w:r>
        <w:t xml:space="preserve"> </w:t>
      </w:r>
      <w:r>
        <w:t xml:space="preserve">· People With Lowest Physical Functioning Scores Showed Greatest Improvement After Tirzepatide Treatment. PMID 41187013</w:t>
      </w:r>
    </w:p>
    <w:p>
      <w:pPr>
        <w:numPr>
          <w:ilvl w:val="0"/>
          <w:numId w:val="1380"/>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80"/>
        </w:numPr>
        <w:pStyle w:val="Compact"/>
      </w:pPr>
      <w:r>
        <w:t xml:space="preserve">2025 · Guo L ·</w:t>
      </w:r>
      <w:r>
        <w:t xml:space="preserve"> </w:t>
      </w:r>
      <w:r>
        <w:rPr>
          <w:iCs/>
          <w:i/>
        </w:rPr>
        <w:t xml:space="preserve">Lancet Diabetes Endocrinol</w:t>
      </w:r>
      <w:r>
        <w:t xml:space="preserve"> </w:t>
      </w:r>
      <w:r>
        <w:t xml:space="preserve">· Efficacy and safety of tirzepatide added to basal insulin in patients with type 2 diabetes in China (SURPASS-CN-INS): a double-blind, multicentre, randomised, placebo-controlled, phase 3 trial. PMID 41167231</w:t>
      </w:r>
    </w:p>
    <w:p>
      <w:pPr>
        <w:numPr>
          <w:ilvl w:val="0"/>
          <w:numId w:val="1380"/>
        </w:numPr>
        <w:pStyle w:val="Compact"/>
      </w:pPr>
      <w:r>
        <w:t xml:space="preserve">2025 · Malhotra A ·</w:t>
      </w:r>
      <w:r>
        <w:t xml:space="preserve"> </w:t>
      </w:r>
      <w:r>
        <w:rPr>
          <w:iCs/>
          <w:i/>
        </w:rPr>
        <w:t xml:space="preserve">Sleep Med</w:t>
      </w:r>
      <w:r>
        <w:t xml:space="preserve"> </w:t>
      </w:r>
      <w:r>
        <w:t xml:space="preserve">· Tirzepatide for sleep-disordered breathing in SURMOUNT-OSA: Time course and association with body weight. PMID 41135142</w:t>
      </w:r>
    </w:p>
    <w:p>
      <w:pPr>
        <w:numPr>
          <w:ilvl w:val="0"/>
          <w:numId w:val="1380"/>
        </w:numPr>
        <w:pStyle w:val="Compact"/>
      </w:pPr>
      <w:r>
        <w:t xml:space="preserve">2025 · Caussy C ·</w:t>
      </w:r>
      <w:r>
        <w:t xml:space="preserve"> </w:t>
      </w:r>
      <w:r>
        <w:rPr>
          <w:iCs/>
          <w:i/>
        </w:rPr>
        <w:t xml:space="preserve">Diabetes Care</w:t>
      </w:r>
      <w:r>
        <w:t xml:space="preserve"> </w:t>
      </w:r>
      <w:r>
        <w:t xml:space="preserve">· Relationship Between Metabolic and Histological Responses in People With Metabolic Dysfunction- Associated Steatohepatitis With and Without Type 2 Diabetes: Participant-Level Exploratory Analysis of the SYNERGY-NASH Trial With Tirzepatide. PMID 41066427</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and the 10-year predicted risk of cardiovascular disease and type 2 diabetes in adults with obesity and prediabetes: A post hoc analysis from the three-year SURMOUNT-1 trial. PMID 41017451</w:t>
      </w:r>
    </w:p>
    <w:p>
      <w:pPr>
        <w:numPr>
          <w:ilvl w:val="0"/>
          <w:numId w:val="1380"/>
        </w:numPr>
        <w:pStyle w:val="Compact"/>
      </w:pPr>
      <w:r>
        <w:t xml:space="preserve">2025 · Hannon TS ·</w:t>
      </w:r>
      <w:r>
        <w:t xml:space="preserve"> </w:t>
      </w:r>
      <w:r>
        <w:rPr>
          <w:iCs/>
          <w:i/>
        </w:rPr>
        <w:t xml:space="preserve">Lancet</w:t>
      </w:r>
      <w:r>
        <w:t xml:space="preserve"> </w:t>
      </w:r>
      <w:r>
        <w:t xml:space="preserve">· Efficacy and safety of tirzepatide in children and adolescents with type 2 diabetes (SURPASS-PEDS): a randomised, double-blind, placebo-controlled, phase 3 trial. PMID 40975112</w:t>
      </w:r>
    </w:p>
    <w:p>
      <w:pPr>
        <w:numPr>
          <w:ilvl w:val="0"/>
          <w:numId w:val="1380"/>
        </w:numPr>
        <w:pStyle w:val="Compact"/>
      </w:pPr>
      <w:r>
        <w:t xml:space="preserve">2025 · Pieber TR ·</w:t>
      </w:r>
      <w:r>
        <w:t xml:space="preserve"> </w:t>
      </w:r>
      <w:r>
        <w:rPr>
          <w:iCs/>
          <w:i/>
        </w:rPr>
        <w:t xml:space="preserve">Front Endocrinol (Lausanne)</w:t>
      </w:r>
      <w:r>
        <w:t xml:space="preserve"> </w:t>
      </w:r>
      <w:r>
        <w:t xml:space="preserve">· Counterregulatory response to hypoglycemia during a hypoglycemic clamp in people with type 2 diabetes treated with tirzepatide. PMID 40964167</w:t>
      </w:r>
    </w:p>
    <w:p>
      <w:pPr>
        <w:numPr>
          <w:ilvl w:val="0"/>
          <w:numId w:val="1380"/>
        </w:numPr>
        <w:pStyle w:val="Compact"/>
      </w:pPr>
      <w:r>
        <w:t xml:space="preserve">2025 · Lee BW ·</w:t>
      </w:r>
      <w:r>
        <w:t xml:space="preserve"> </w:t>
      </w:r>
      <w:r>
        <w:rPr>
          <w:iCs/>
          <w:i/>
        </w:rPr>
        <w:t xml:space="preserve">Diabetes Obes Metab</w:t>
      </w:r>
      <w:r>
        <w:t xml:space="preserve"> </w:t>
      </w:r>
      <w:r>
        <w:t xml:space="preserve">· Efficacy and safety in tirzepatide-treated Korean adults with type 2 diabetes-A post hoc analysis of SURPASS-AP-combo and SURPASS-3. PMID 40954943</w:t>
      </w:r>
    </w:p>
    <w:p>
      <w:pPr>
        <w:numPr>
          <w:ilvl w:val="0"/>
          <w:numId w:val="1380"/>
        </w:numPr>
        <w:pStyle w:val="Compact"/>
      </w:pPr>
      <w:r>
        <w:t xml:space="preserve">2025 · Guan H ·</w:t>
      </w:r>
      <w:r>
        <w:t xml:space="preserve"> </w:t>
      </w:r>
      <w:r>
        <w:rPr>
          <w:iCs/>
          <w:i/>
        </w:rPr>
        <w:t xml:space="preserve">Diabetes Obes Metab</w:t>
      </w:r>
      <w:r>
        <w:t xml:space="preserve"> </w:t>
      </w:r>
      <w:r>
        <w:t xml:space="preserve">· Long-term efficacy and safety of tirzepatide in participants with type 2 diabetes with inadequate glycaemic control on metformin and/or sulfonylurea: Post-hoc analysis of SURPASS-4. PMID 40926359</w:t>
      </w:r>
    </w:p>
    <w:p>
      <w:pPr>
        <w:numPr>
          <w:ilvl w:val="0"/>
          <w:numId w:val="1380"/>
        </w:numPr>
        <w:pStyle w:val="Compact"/>
      </w:pPr>
      <w:r>
        <w:t xml:space="preserve">2025 · Gibble TH ·</w:t>
      </w:r>
      <w:r>
        <w:t xml:space="preserve"> </w:t>
      </w:r>
      <w:r>
        <w:rPr>
          <w:iCs/>
          <w:i/>
        </w:rPr>
        <w:t xml:space="preserve">Obesity (Silver Spring)</w:t>
      </w:r>
      <w:r>
        <w:t xml:space="preserve"> </w:t>
      </w:r>
      <w:r>
        <w:t xml:space="preserve">· Tirzepatide Associated With Improved Health-Related Quality of Life in Adults With Obesity or Overweight in SURMOUNT-4. PMID 40903801</w:t>
      </w:r>
    </w:p>
    <w:p>
      <w:pPr>
        <w:numPr>
          <w:ilvl w:val="0"/>
          <w:numId w:val="1380"/>
        </w:numPr>
        <w:pStyle w:val="Compact"/>
      </w:pPr>
      <w:r>
        <w:t xml:space="preserve">2025 · Packer M ·</w:t>
      </w:r>
      <w:r>
        <w:t xml:space="preserve"> </w:t>
      </w:r>
      <w:r>
        <w:rPr>
          <w:iCs/>
          <w:i/>
        </w:rPr>
        <w:t xml:space="preserve">J Am Coll Cardiol</w:t>
      </w:r>
      <w:r>
        <w:t xml:space="preserve"> </w:t>
      </w:r>
      <w:r>
        <w:t xml:space="preserve">· Influence of Type 2 Diabetes on the Effects of Tirzepatide in Patients With Heart Failure and a Preserved Ejection Fraction With Obesity: A Prespecified Stratification-Based Analysis. PMID 40903131</w:t>
      </w:r>
    </w:p>
    <w:p>
      <w:pPr>
        <w:numPr>
          <w:ilvl w:val="0"/>
          <w:numId w:val="1380"/>
        </w:numPr>
        <w:pStyle w:val="Compact"/>
      </w:pPr>
      <w:r>
        <w:t xml:space="preserve">2025 · Bhatnagar P ·</w:t>
      </w:r>
      <w:r>
        <w:t xml:space="preserve"> </w:t>
      </w:r>
      <w:r>
        <w:rPr>
          <w:iCs/>
          <w:i/>
        </w:rPr>
        <w:t xml:space="preserve">Nat Med</w:t>
      </w:r>
      <w:r>
        <w:t xml:space="preserve"> </w:t>
      </w:r>
      <w:r>
        <w:t xml:space="preserve">· Tirzepatide leads to weight reduction in people with obesity due to MC4R deficiency. PMID 40858971</w:t>
      </w:r>
    </w:p>
    <w:p>
      <w:pPr>
        <w:numPr>
          <w:ilvl w:val="0"/>
          <w:numId w:val="1380"/>
        </w:numPr>
        <w:pStyle w:val="Compact"/>
      </w:pPr>
      <w:r>
        <w:t xml:space="preserve">2025 · Schiavo L ·</w:t>
      </w:r>
      <w:r>
        <w:t xml:space="preserve"> </w:t>
      </w:r>
      <w:r>
        <w:rPr>
          <w:iCs/>
          <w:i/>
        </w:rPr>
        <w:t xml:space="preserve">Nutrients</w:t>
      </w:r>
      <w:r>
        <w:t xml:space="preserve"> </w:t>
      </w:r>
      <w:r>
        <w:t xml:space="preserve">· Beyond Weight Loss: Comparative Effects of Tirzepatide Plus Low-Energy Ketogenic Versus Low-Calorie Diet on Hepatic Steatosis and Stiffness in MASLD. PMID 40805994</w:t>
      </w:r>
    </w:p>
    <w:p>
      <w:pPr>
        <w:numPr>
          <w:ilvl w:val="0"/>
          <w:numId w:val="1380"/>
        </w:numPr>
        <w:pStyle w:val="Compact"/>
      </w:pPr>
      <w:r>
        <w:t xml:space="preserve">2025 · Kanu C ·</w:t>
      </w:r>
      <w:r>
        <w:t xml:space="preserve"> </w:t>
      </w:r>
      <w:r>
        <w:rPr>
          <w:iCs/>
          <w:i/>
        </w:rPr>
        <w:t xml:space="preserve">Sleep Med</w:t>
      </w:r>
      <w:r>
        <w:t xml:space="preserve"> </w:t>
      </w:r>
      <w:r>
        <w:t xml:space="preserve">· Effect of tirzepatide treatment on patient-reported outcomes among SURMOUNT-OSA participants with obstructive sleep apnea and obesity. PMID 40774158</w:t>
      </w:r>
    </w:p>
    <w:p>
      <w:pPr>
        <w:numPr>
          <w:ilvl w:val="0"/>
          <w:numId w:val="1380"/>
        </w:numPr>
        <w:pStyle w:val="Compact"/>
      </w:pPr>
      <w:r>
        <w:t xml:space="preserve">2025 · Gourgari E ·</w:t>
      </w:r>
      <w:r>
        <w:t xml:space="preserve"> </w:t>
      </w:r>
      <w:r>
        <w:rPr>
          <w:iCs/>
          <w:i/>
        </w:rPr>
        <w:t xml:space="preserve">Obesity (Silver Spring)</w:t>
      </w:r>
      <w:r>
        <w:t xml:space="preserve"> </w:t>
      </w:r>
      <w:r>
        <w:t xml:space="preserve">· Early-Onset Obesity and Tirzepatide Treatment: A Post Hoc Analysis of the SURMOUNT Clinical Trials. PMID 40717199</w:t>
      </w:r>
    </w:p>
    <w:p>
      <w:pPr>
        <w:numPr>
          <w:ilvl w:val="0"/>
          <w:numId w:val="1380"/>
        </w:numPr>
        <w:pStyle w:val="Compact"/>
      </w:pPr>
      <w:r>
        <w:t xml:space="preserve">2025 · Borlaug BA ·</w:t>
      </w:r>
      <w:r>
        <w:t xml:space="preserve"> </w:t>
      </w:r>
      <w:r>
        <w:rPr>
          <w:iCs/>
          <w:i/>
        </w:rPr>
        <w:t xml:space="preserve">J Am Coll Cardiol</w:t>
      </w:r>
      <w:r>
        <w:t xml:space="preserve"> </w:t>
      </w:r>
      <w:r>
        <w:t xml:space="preserve">· Impact of Body Mass Index, Central Adiposity, and Weight Loss on the Benefits of Tirzepatide in HFpEF: The SUMMIT Trial. PMID 40701669</w:t>
      </w:r>
    </w:p>
    <w:p>
      <w:pPr>
        <w:numPr>
          <w:ilvl w:val="0"/>
          <w:numId w:val="1380"/>
        </w:numPr>
        <w:pStyle w:val="Compact"/>
      </w:pPr>
      <w:r>
        <w:t xml:space="preserve">2025 · Mari A ·</w:t>
      </w:r>
      <w:r>
        <w:t xml:space="preserve"> </w:t>
      </w:r>
      <w:r>
        <w:rPr>
          <w:iCs/>
          <w:i/>
        </w:rPr>
        <w:t xml:space="preserve">Diabetes Care</w:t>
      </w:r>
      <w:r>
        <w:t xml:space="preserve"> </w:t>
      </w:r>
      <w:r>
        <w:t xml:space="preserve">· Tirzepatide Treatment and Associated Changes in β-Cell Function and Insulin Sensitivity in People With Obesity or Overweight With Prediabetes or Normoglycemia: A Post Hoc Analysis From the SURMOUNT-1 Trial. PMID 40694530</w:t>
      </w:r>
    </w:p>
    <w:p>
      <w:pPr>
        <w:numPr>
          <w:ilvl w:val="0"/>
          <w:numId w:val="1380"/>
        </w:numPr>
        <w:pStyle w:val="Compact"/>
      </w:pPr>
      <w:r>
        <w:t xml:space="preserve">2025 · Yamaguchi Y ·</w:t>
      </w:r>
      <w:r>
        <w:t xml:space="preserve"> </w:t>
      </w:r>
      <w:r>
        <w:rPr>
          <w:iCs/>
          <w:i/>
        </w:rPr>
        <w:t xml:space="preserve">Diabetologia</w:t>
      </w:r>
      <w:r>
        <w:t xml:space="preserve"> </w:t>
      </w:r>
      <w:r>
        <w:t xml:space="preserve">· Early induction of insulin sensitisation treated by tirzepatide: a prospective, single-arm, open-label study in Japanese individuals with obesity and type 2 diabetes. PMID 40694059</w:t>
      </w:r>
    </w:p>
    <w:p>
      <w:pPr>
        <w:numPr>
          <w:ilvl w:val="0"/>
          <w:numId w:val="1380"/>
        </w:numPr>
        <w:pStyle w:val="Compact"/>
      </w:pPr>
      <w:r>
        <w:t xml:space="preserve">2025 · Ard J ·</w:t>
      </w:r>
      <w:r>
        <w:t xml:space="preserve"> </w:t>
      </w:r>
      <w:r>
        <w:rPr>
          <w:iCs/>
          <w:i/>
        </w:rPr>
        <w:t xml:space="preserve">Diabetes Obes Metab</w:t>
      </w:r>
      <w:r>
        <w:t xml:space="preserve"> </w:t>
      </w:r>
      <w:r>
        <w:t xml:space="preserve">· Weight reduction over time in tirzepatide-treated participants by early weight loss response: Post hoc analysis in SURMOUNT-1. PMID 40677091</w:t>
      </w:r>
    </w:p>
    <w:p>
      <w:pPr>
        <w:numPr>
          <w:ilvl w:val="0"/>
          <w:numId w:val="1380"/>
        </w:numPr>
        <w:pStyle w:val="Compact"/>
      </w:pPr>
      <w:r>
        <w:t xml:space="preserve">2025 · Pearson ER ·</w:t>
      </w:r>
      <w:r>
        <w:t xml:space="preserve"> </w:t>
      </w:r>
      <w:r>
        <w:rPr>
          <w:iCs/>
          <w:i/>
        </w:rPr>
        <w:t xml:space="preserve">Diabetes</w:t>
      </w:r>
      <w:r>
        <w:t xml:space="preserve"> </w:t>
      </w:r>
      <w:r>
        <w:t xml:space="preserve">· Predictors of Initial and Sustained Glycemic and Weight Response to Tirzepatide: A Post Hoc Analysis of SURPASS-4. PMID 40633089</w:t>
      </w:r>
    </w:p>
    <w:p>
      <w:pPr>
        <w:numPr>
          <w:ilvl w:val="0"/>
          <w:numId w:val="1380"/>
        </w:numPr>
        <w:pStyle w:val="Compact"/>
      </w:pPr>
      <w:r>
        <w:t xml:space="preserve">2025 · Chigutsa E ·</w:t>
      </w:r>
      <w:r>
        <w:t xml:space="preserve"> </w:t>
      </w:r>
      <w:r>
        <w:rPr>
          <w:iCs/>
          <w:i/>
        </w:rPr>
        <w:t xml:space="preserve">Clin Pharmacol Ther</w:t>
      </w:r>
      <w:r>
        <w:t xml:space="preserve"> </w:t>
      </w:r>
      <w:r>
        <w:t xml:space="preserve">· A Pharmacometric Method for Quantitative Determination of Improvement in Body Composition and Characterization of the Exposure-Response Relationship during Treatment of Obesity with Tirzepatide. PMID 40556483</w:t>
      </w:r>
    </w:p>
    <w:p>
      <w:pPr>
        <w:numPr>
          <w:ilvl w:val="0"/>
          <w:numId w:val="1380"/>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80"/>
        </w:numPr>
        <w:pStyle w:val="Compact"/>
      </w:pPr>
      <w:r>
        <w:t xml:space="preserve">2025 · Linetzky B ·</w:t>
      </w:r>
      <w:r>
        <w:t xml:space="preserve"> </w:t>
      </w:r>
      <w:r>
        <w:rPr>
          <w:iCs/>
          <w:i/>
        </w:rPr>
        <w:t xml:space="preserve">Ann Intern Med</w:t>
      </w:r>
      <w:r>
        <w:t xml:space="preserve"> </w:t>
      </w:r>
      <w:r>
        <w:t xml:space="preserve">· Improvements in Cardiometabolic Risk Factors by Weight Reduction: A Post Hoc Analysis of Adults With Obesity Randomly Assigned to Tirzepatide. PMID 40550133</w:t>
      </w:r>
    </w:p>
    <w:p>
      <w:pPr>
        <w:numPr>
          <w:ilvl w:val="0"/>
          <w:numId w:val="1380"/>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80"/>
        </w:numPr>
        <w:pStyle w:val="Compact"/>
      </w:pPr>
      <w:r>
        <w:t xml:space="preserve">2025 · Yamauchi T ·</w:t>
      </w:r>
      <w:r>
        <w:t xml:space="preserve"> </w:t>
      </w:r>
      <w:r>
        <w:rPr>
          <w:iCs/>
          <w:i/>
        </w:rPr>
        <w:t xml:space="preserve">Diabetes Obes Metab</w:t>
      </w:r>
      <w:r>
        <w:t xml:space="preserve"> </w:t>
      </w:r>
      <w:r>
        <w:t xml:space="preserve">· Efficacy and safety of once-weekly tirzepatide in Japanese participants with type 2 diabetes who have obesity or overweight: Subpopulation analysis of the SURMOUNT-2 trial. PMID 40490415</w:t>
      </w:r>
    </w:p>
    <w:p>
      <w:pPr>
        <w:numPr>
          <w:ilvl w:val="0"/>
          <w:numId w:val="1380"/>
        </w:numPr>
        <w:pStyle w:val="Compact"/>
      </w:pPr>
      <w:r>
        <w:t xml:space="preserve">2025 · Zhao L ·</w:t>
      </w:r>
      <w:r>
        <w:t xml:space="preserve"> </w:t>
      </w:r>
      <w:r>
        <w:rPr>
          <w:iCs/>
          <w:i/>
        </w:rPr>
        <w:t xml:space="preserve">Obesity (Silver Spring)</w:t>
      </w:r>
      <w:r>
        <w:t xml:space="preserve"> </w:t>
      </w:r>
      <w:r>
        <w:t xml:space="preserve">· Association of tirzepatide with cardiometabolic benefits in Chinese adults: post hoc subgroup analysis of SURMOUNT-CN study. PMID 40437798</w:t>
      </w:r>
    </w:p>
    <w:p>
      <w:pPr>
        <w:numPr>
          <w:ilvl w:val="0"/>
          <w:numId w:val="1380"/>
        </w:numPr>
        <w:pStyle w:val="Compact"/>
      </w:pPr>
      <w:r>
        <w:t xml:space="preserve">2025 · Gibble TH ·</w:t>
      </w:r>
      <w:r>
        <w:t xml:space="preserve"> </w:t>
      </w:r>
      <w:r>
        <w:rPr>
          <w:iCs/>
          <w:i/>
        </w:rPr>
        <w:t xml:space="preserve">Diabetes Obes Metab</w:t>
      </w:r>
      <w:r>
        <w:t xml:space="preserve"> </w:t>
      </w:r>
      <w:r>
        <w:t xml:space="preserve">· Tirzepatide and health-related quality of life in adults with obesity or overweight: Results from the SURMOUNT-3 phase 3 randomized trial. PMID 40365662</w:t>
      </w:r>
    </w:p>
    <w:p>
      <w:pPr>
        <w:numPr>
          <w:ilvl w:val="0"/>
          <w:numId w:val="1380"/>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80"/>
        </w:numPr>
        <w:pStyle w:val="Compact"/>
      </w:pPr>
      <w:r>
        <w:t xml:space="preserve">2025 · Zhao L ·</w:t>
      </w:r>
      <w:r>
        <w:t xml:space="preserve"> </w:t>
      </w:r>
      <w:r>
        <w:rPr>
          <w:iCs/>
          <w:i/>
        </w:rPr>
        <w:t xml:space="preserve">Diabetes Obes Metab</w:t>
      </w:r>
      <w:r>
        <w:t xml:space="preserve"> </w:t>
      </w:r>
      <w:r>
        <w:t xml:space="preserve">· Predicting 10-year risk of type 2 diabetes in Chinese people with overweight or obesity treated with Tirzepatide: Post hoc analysis of SURMOUNT-CN trial. PMID 40329666</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80"/>
        </w:numPr>
        <w:pStyle w:val="Compact"/>
      </w:pPr>
      <w:r>
        <w:t xml:space="preserve">2025 · Sattar N ·</w:t>
      </w:r>
      <w:r>
        <w:t xml:space="preserve"> </w:t>
      </w:r>
      <w:r>
        <w:rPr>
          <w:iCs/>
          <w:i/>
        </w:rPr>
        <w:t xml:space="preserve">Lancet Diabetes Endocrinol</w:t>
      </w:r>
      <w:r>
        <w:t xml:space="preserve"> </w:t>
      </w:r>
      <w:r>
        <w:t xml:space="preserve">· Tirzepatide and muscle composition changes in people with type 2 diabetes (SURPASS-3 MRI): a post-hoc analysis of a randomised, open-label, parallel-group, phase 3 trial. PMID 40318682</w:t>
      </w:r>
    </w:p>
    <w:p>
      <w:pPr>
        <w:numPr>
          <w:ilvl w:val="0"/>
          <w:numId w:val="1380"/>
        </w:numPr>
        <w:pStyle w:val="Compact"/>
      </w:pPr>
      <w:r>
        <w:t xml:space="preserve">2025 · Evans M ·</w:t>
      </w:r>
      <w:r>
        <w:t xml:space="preserve"> </w:t>
      </w:r>
      <w:r>
        <w:rPr>
          <w:iCs/>
          <w:i/>
        </w:rPr>
        <w:t xml:space="preserve">Adv Ther</w:t>
      </w:r>
      <w:r>
        <w:t xml:space="preserve"> </w:t>
      </w:r>
      <w:r>
        <w:t xml:space="preserve">· Analysis of Tirzepatide Acquisition Costs and Weight Reduction Outcomes in the United Kingdom: Insights from the SURMOUNT-1 Study. PMID 40251452</w:t>
      </w:r>
    </w:p>
    <w:p>
      <w:pPr>
        <w:numPr>
          <w:ilvl w:val="0"/>
          <w:numId w:val="1380"/>
        </w:numPr>
        <w:pStyle w:val="Compact"/>
      </w:pPr>
      <w:r>
        <w:t xml:space="preserve">2025 · Ravussin E ·</w:t>
      </w:r>
      <w:r>
        <w:t xml:space="preserve"> </w:t>
      </w:r>
      <w:r>
        <w:rPr>
          <w:iCs/>
          <w:i/>
        </w:rPr>
        <w:t xml:space="preserve">Cell Metab</w:t>
      </w:r>
      <w:r>
        <w:t xml:space="preserve"> </w:t>
      </w:r>
      <w:r>
        <w:t xml:space="preserve">· Tirzepatide did not impact metabolic adaptation in people with obesity, but increased fat oxidation. PMID 40203836</w:t>
      </w:r>
    </w:p>
    <w:p>
      <w:pPr>
        <w:numPr>
          <w:ilvl w:val="0"/>
          <w:numId w:val="1380"/>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80"/>
        </w:numPr>
        <w:pStyle w:val="Compact"/>
      </w:pPr>
      <w:r>
        <w:t xml:space="preserve">2025 · Packer M ·</w:t>
      </w:r>
      <w:r>
        <w:t xml:space="preserve"> </w:t>
      </w:r>
      <w:r>
        <w:rPr>
          <w:iCs/>
          <w:i/>
        </w:rPr>
        <w:t xml:space="preserve">J Am Coll Cardiol</w:t>
      </w:r>
      <w:r>
        <w:t xml:space="preserve"> </w:t>
      </w:r>
      <w:r>
        <w:t xml:space="preserve">· Interplay of Chronic Kidney Disease and the Effects of Tirzepatide in Patients With Heart Failure, Preserved Ejection Fraction, and Obesity: The SUMMIT Trial. PMID 40162940</w:t>
      </w:r>
    </w:p>
    <w:p>
      <w:pPr>
        <w:numPr>
          <w:ilvl w:val="0"/>
          <w:numId w:val="1380"/>
        </w:numPr>
        <w:pStyle w:val="Compact"/>
      </w:pPr>
      <w:r>
        <w:t xml:space="preserve">2025 · Giorgino F ·</w:t>
      </w:r>
      <w:r>
        <w:t xml:space="preserve"> </w:t>
      </w:r>
      <w:r>
        <w:rPr>
          <w:iCs/>
          <w:i/>
        </w:rPr>
        <w:t xml:space="preserve">Diabetes Care</w:t>
      </w:r>
      <w:r>
        <w:t xml:space="preserve"> </w:t>
      </w:r>
      <w:r>
        <w:t xml:space="preserve">· Early Fasting Serum Glucose or Weight Reduction With Tirzepatide and Metabolic Outcomes in People With Type 2 Diabetes: A Post Hoc Analysis of the SURPASS Trials. PMID 40100982</w:t>
      </w:r>
    </w:p>
    <w:p>
      <w:pPr>
        <w:numPr>
          <w:ilvl w:val="0"/>
          <w:numId w:val="1380"/>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80"/>
        </w:numPr>
        <w:pStyle w:val="Compact"/>
      </w:pPr>
      <w:r>
        <w:t xml:space="preserve">2025 · Kadowaki T ·</w:t>
      </w:r>
      <w:r>
        <w:t xml:space="preserve"> </w:t>
      </w:r>
      <w:r>
        <w:rPr>
          <w:iCs/>
          <w:i/>
        </w:rPr>
        <w:t xml:space="preserve">Lancet Diabetes Endocrinol</w:t>
      </w:r>
      <w:r>
        <w:t xml:space="preserve"> </w:t>
      </w:r>
      <w:r>
        <w:t xml:space="preserve">· Efficacy and safety of once-weekly tirzepatide in Japanese patients with obesity disease (SURMOUNT-J): a multicentre, randomised, double-blind, placebo-controlled phase 3 trial. PMID 40031941</w:t>
      </w:r>
    </w:p>
    <w:p>
      <w:pPr>
        <w:numPr>
          <w:ilvl w:val="0"/>
          <w:numId w:val="1380"/>
        </w:numPr>
        <w:pStyle w:val="Compact"/>
      </w:pPr>
      <w:r>
        <w:t xml:space="preserve">2025 · Look M ·</w:t>
      </w:r>
      <w:r>
        <w:t xml:space="preserve"> </w:t>
      </w:r>
      <w:r>
        <w:rPr>
          <w:iCs/>
          <w:i/>
        </w:rPr>
        <w:t xml:space="preserve">Diabetes Obes Metab</w:t>
      </w:r>
      <w:r>
        <w:t xml:space="preserve"> </w:t>
      </w:r>
      <w:r>
        <w:t xml:space="preserve">· Body composition changes during weight reduction with tirzepatide in the SURMOUNT-1 study of adults with obesity or overweight. PMID 39996356</w:t>
      </w:r>
    </w:p>
    <w:p>
      <w:pPr>
        <w:numPr>
          <w:ilvl w:val="0"/>
          <w:numId w:val="1380"/>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80"/>
        </w:numPr>
        <w:pStyle w:val="Compact"/>
      </w:pPr>
      <w:r>
        <w:t xml:space="preserve">2025 · Fan Y ·</w:t>
      </w:r>
      <w:r>
        <w:t xml:space="preserve"> </w:t>
      </w:r>
      <w:r>
        <w:rPr>
          <w:iCs/>
          <w:i/>
        </w:rPr>
        <w:t xml:space="preserve">Diabetes Obes Metab</w:t>
      </w:r>
      <w:r>
        <w:t xml:space="preserve"> </w:t>
      </w:r>
      <w:r>
        <w:t xml:space="preserve">· The safety, tolerability, pharmacokinetics and pharmacodynamics of an optimized dual GLP-1/GIP receptor agonist (BGM0504) in healthy volunteers: A dose-escalation Phase I study. PMID 39840511</w:t>
      </w:r>
    </w:p>
    <w:p>
      <w:pPr>
        <w:numPr>
          <w:ilvl w:val="0"/>
          <w:numId w:val="1380"/>
        </w:numPr>
        <w:pStyle w:val="Compact"/>
      </w:pPr>
      <w:r>
        <w:t xml:space="preserve">2025 · Horn DB ·</w:t>
      </w:r>
      <w:r>
        <w:t xml:space="preserve"> </w:t>
      </w:r>
      <w:r>
        <w:rPr>
          <w:iCs/>
          <w:i/>
        </w:rPr>
        <w:t xml:space="preserve">Clin Obes</w:t>
      </w:r>
      <w:r>
        <w:t xml:space="preserve"> </w:t>
      </w:r>
      <w:r>
        <w:t xml:space="preserve">· Time to weight plateau with tirzepatide treatment in the SURMOUNT-1 and SURMOUNT-4 clinical trials. PMID 39800653</w:t>
      </w:r>
    </w:p>
    <w:p>
      <w:pPr>
        <w:numPr>
          <w:ilvl w:val="0"/>
          <w:numId w:val="1380"/>
        </w:numPr>
        <w:pStyle w:val="Compact"/>
      </w:pPr>
      <w:r>
        <w:t xml:space="preserve">2025 · Rubino DM ·</w:t>
      </w:r>
      <w:r>
        <w:t xml:space="preserve"> </w:t>
      </w:r>
      <w:r>
        <w:rPr>
          <w:iCs/>
          <w:i/>
        </w:rPr>
        <w:t xml:space="preserve">Diabetes Obes Metab</w:t>
      </w:r>
      <w:r>
        <w:t xml:space="preserve"> </w:t>
      </w:r>
      <w:r>
        <w:t xml:space="preserve">· Gastrointestinal tolerability and weight reduction associated with tirzepatide in adults with obesity or overweight with and without type 2 diabetes in the SURMOUNT-1 to -4 trials. PMID 39789843</w:t>
      </w:r>
    </w:p>
    <w:p>
      <w:pPr>
        <w:numPr>
          <w:ilvl w:val="0"/>
          <w:numId w:val="1380"/>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80"/>
        </w:numPr>
        <w:pStyle w:val="Compact"/>
      </w:pPr>
      <w:r>
        <w:t xml:space="preserve">2025 · Apperloo EM ·</w:t>
      </w:r>
      <w:r>
        <w:t xml:space="preserve"> </w:t>
      </w:r>
      <w:r>
        <w:rPr>
          <w:iCs/>
          <w:i/>
        </w:rPr>
        <w:t xml:space="preserve">Diabetes Care</w:t>
      </w:r>
      <w:r>
        <w:t xml:space="preserve"> </w:t>
      </w:r>
      <w:r>
        <w:t xml:space="preserve">· Tirzepatide Associated With Reduced Albuminuria in Participants With Type 2 Diabetes: Pooled Post Hoc Analysis From the Randomized Active- and Placebo-Controlled SURPASS-1-5 Clinical Trials. PMID 39746157</w:t>
      </w:r>
    </w:p>
    <w:p>
      <w:pPr>
        <w:numPr>
          <w:ilvl w:val="0"/>
          <w:numId w:val="1380"/>
        </w:numPr>
        <w:pStyle w:val="Compact"/>
      </w:pPr>
      <w:r>
        <w:t xml:space="preserve">2025 · Kramer CM ·</w:t>
      </w:r>
      <w:r>
        <w:t xml:space="preserve"> </w:t>
      </w:r>
      <w:r>
        <w:rPr>
          <w:iCs/>
          <w:i/>
        </w:rPr>
        <w:t xml:space="preserve">J Am Coll Cardiol</w:t>
      </w:r>
      <w:r>
        <w:t xml:space="preserve"> </w:t>
      </w:r>
      <w:r>
        <w:t xml:space="preserve">· Tirzepatide Reduces LV Mass and Paracardiac Adipose Tissue in Obesity-Related Heart Failure: SUMMIT CMR Substudy. PMID 39566869</w:t>
      </w:r>
    </w:p>
    <w:p>
      <w:pPr>
        <w:numPr>
          <w:ilvl w:val="0"/>
          <w:numId w:val="1380"/>
        </w:numPr>
        <w:pStyle w:val="Compact"/>
      </w:pPr>
      <w:r>
        <w:t xml:space="preserve">2025 · Zile MR ·</w:t>
      </w:r>
      <w:r>
        <w:t xml:space="preserve"> </w:t>
      </w:r>
      <w:r>
        <w:rPr>
          <w:iCs/>
          <w:i/>
        </w:rPr>
        <w:t xml:space="preserve">Circulation</w:t>
      </w:r>
      <w:r>
        <w:t xml:space="preserve"> </w:t>
      </w:r>
      <w:r>
        <w:t xml:space="preserve">· Effects of Tirzepatide on the Clinical Trajectory of Patients With Heart Failure, Preserved Ejection Fraction, and Obesity. PMID 39556714</w:t>
      </w:r>
    </w:p>
    <w:p>
      <w:pPr>
        <w:numPr>
          <w:ilvl w:val="0"/>
          <w:numId w:val="1380"/>
        </w:numPr>
        <w:pStyle w:val="Compact"/>
      </w:pPr>
      <w:r>
        <w:t xml:space="preserve">2025 · Packer M ·</w:t>
      </w:r>
      <w:r>
        <w:t xml:space="preserve"> </w:t>
      </w:r>
      <w:r>
        <w:rPr>
          <w:iCs/>
          <w:i/>
        </w:rPr>
        <w:t xml:space="preserve">N Engl J Med</w:t>
      </w:r>
      <w:r>
        <w:t xml:space="preserve"> </w:t>
      </w:r>
      <w:r>
        <w:t xml:space="preserve">· Tirzepatide for Heart Failure with Preserved Ejection Fraction and Obesity. PMID 39555826</w:t>
      </w:r>
    </w:p>
    <w:p>
      <w:pPr>
        <w:numPr>
          <w:ilvl w:val="0"/>
          <w:numId w:val="1380"/>
        </w:numPr>
        <w:pStyle w:val="Compact"/>
      </w:pPr>
      <w:r>
        <w:t xml:space="preserve">2025 · Borlaug BA ·</w:t>
      </w:r>
      <w:r>
        <w:t xml:space="preserve"> </w:t>
      </w:r>
      <w:r>
        <w:rPr>
          <w:iCs/>
          <w:i/>
        </w:rPr>
        <w:t xml:space="preserve">Nat Med</w:t>
      </w:r>
      <w:r>
        <w:t xml:space="preserve"> </w:t>
      </w:r>
      <w:r>
        <w:t xml:space="preserve">· Effects of tirzepatide on circulatory overload and end-organ damage in heart failure with preserved ejection fraction and obesity: a secondary analysis of the SUMMIT trial. PMID 39551891</w:t>
      </w:r>
    </w:p>
    <w:p>
      <w:pPr>
        <w:numPr>
          <w:ilvl w:val="0"/>
          <w:numId w:val="1380"/>
        </w:numPr>
        <w:pStyle w:val="Compact"/>
      </w:pPr>
      <w:r>
        <w:t xml:space="preserve">2025 · Jastreboff AM ·</w:t>
      </w:r>
      <w:r>
        <w:t xml:space="preserve"> </w:t>
      </w:r>
      <w:r>
        <w:rPr>
          <w:iCs/>
          <w:i/>
        </w:rPr>
        <w:t xml:space="preserve">N Engl J Med</w:t>
      </w:r>
      <w:r>
        <w:t xml:space="preserve"> </w:t>
      </w:r>
      <w:r>
        <w:t xml:space="preserve">· Tirzepatide for Obesity Treatment and Diabetes Prevention. PMID 39536238</w:t>
      </w:r>
    </w:p>
    <w:p>
      <w:pPr>
        <w:numPr>
          <w:ilvl w:val="0"/>
          <w:numId w:val="1380"/>
        </w:numPr>
        <w:pStyle w:val="Compact"/>
      </w:pPr>
      <w:r>
        <w:t xml:space="preserve">2025 · Gudzune KA ·</w:t>
      </w:r>
      <w:r>
        <w:t xml:space="preserve"> </w:t>
      </w:r>
      <w:r>
        <w:rPr>
          <w:iCs/>
          <w:i/>
        </w:rPr>
        <w:t xml:space="preserve">Diabetes Obes Metab</w:t>
      </w:r>
      <w:r>
        <w:t xml:space="preserve"> </w:t>
      </w:r>
      <w:r>
        <w:t xml:space="preserve">· Association between weight reduction achieved with tirzepatide and quality of life in adults with obesity: Results from the SURMOUNT-1 study. PMID 39497468</w:t>
      </w:r>
    </w:p>
    <w:p>
      <w:pPr>
        <w:numPr>
          <w:ilvl w:val="0"/>
          <w:numId w:val="1380"/>
        </w:numPr>
        <w:pStyle w:val="Compact"/>
      </w:pPr>
      <w:r>
        <w:t xml:space="preserve">2025 · Peters AL ·</w:t>
      </w:r>
      <w:r>
        <w:t xml:space="preserve"> </w:t>
      </w:r>
      <w:r>
        <w:rPr>
          <w:iCs/>
          <w:i/>
        </w:rPr>
        <w:t xml:space="preserve">J Clin Endocrinol Metab</w:t>
      </w:r>
      <w:r>
        <w:t xml:space="preserve"> </w:t>
      </w:r>
      <w:r>
        <w:t xml:space="preserve">· Improved HbA1c and Body Weight in GADA-Positive Individuals Treated With Tirzepatide: A Post Hoc Analysis of SURPASS. PMID 38824910</w:t>
      </w:r>
    </w:p>
    <w:p>
      <w:pPr>
        <w:numPr>
          <w:ilvl w:val="0"/>
          <w:numId w:val="1380"/>
        </w:numPr>
        <w:pStyle w:val="Compact"/>
      </w:pPr>
      <w:r>
        <w:t xml:space="preserve">2024 · Martin JA ·</w:t>
      </w:r>
      <w:r>
        <w:t xml:space="preserve"> </w:t>
      </w:r>
      <w:r>
        <w:rPr>
          <w:iCs/>
          <w:i/>
        </w:rPr>
        <w:t xml:space="preserve">Eur J Pharm Sci</w:t>
      </w:r>
      <w:r>
        <w:t xml:space="preserve"> </w:t>
      </w:r>
      <w:r>
        <w:t xml:space="preserve">· Absorption, distribution, metabolism, and excretion of tirzepatide in humans, rats, and monkeys. PMID 39243911</w:t>
      </w:r>
    </w:p>
    <w:p>
      <w:pPr>
        <w:numPr>
          <w:ilvl w:val="0"/>
          <w:numId w:val="1380"/>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80"/>
        </w:numPr>
        <w:pStyle w:val="Compact"/>
      </w:pPr>
      <w:r>
        <w:t xml:space="preserve">2024 · Krumholz HM ·</w:t>
      </w:r>
      <w:r>
        <w:t xml:space="preserve"> </w:t>
      </w:r>
      <w:r>
        <w:rPr>
          <w:iCs/>
          <w:i/>
        </w:rPr>
        <w:t xml:space="preserve">Heart</w:t>
      </w:r>
      <w:r>
        <w:t xml:space="preserve"> </w:t>
      </w:r>
      <w:r>
        <w:t xml:space="preserve">· Tirzepatide and blood pressure reduction: stratified analyses of the SURMOUNT-1 randomised controlled trial. PMID 39084707</w:t>
      </w:r>
    </w:p>
    <w:p>
      <w:pPr>
        <w:numPr>
          <w:ilvl w:val="0"/>
          <w:numId w:val="1380"/>
        </w:numPr>
        <w:pStyle w:val="Compact"/>
      </w:pPr>
      <w:r>
        <w:t xml:space="preserve">2024 · Malhotra A ·</w:t>
      </w:r>
      <w:r>
        <w:t xml:space="preserve"> </w:t>
      </w:r>
      <w:r>
        <w:rPr>
          <w:iCs/>
          <w:i/>
        </w:rPr>
        <w:t xml:space="preserve">N Engl J Med</w:t>
      </w:r>
      <w:r>
        <w:t xml:space="preserve"> </w:t>
      </w:r>
      <w:r>
        <w:t xml:space="preserve">· Tirzepatide for the Treatment of Obstructive Sleep Apnea and Obesity. PMID 38912654</w:t>
      </w:r>
    </w:p>
    <w:p>
      <w:pPr>
        <w:numPr>
          <w:ilvl w:val="0"/>
          <w:numId w:val="1380"/>
        </w:numPr>
        <w:pStyle w:val="Compact"/>
      </w:pPr>
      <w:r>
        <w:t xml:space="preserve">2024 · Loomba R ·</w:t>
      </w:r>
      <w:r>
        <w:t xml:space="preserve"> </w:t>
      </w:r>
      <w:r>
        <w:rPr>
          <w:iCs/>
          <w:i/>
        </w:rPr>
        <w:t xml:space="preserve">N Engl J Med</w:t>
      </w:r>
      <w:r>
        <w:t xml:space="preserve"> </w:t>
      </w:r>
      <w:r>
        <w:t xml:space="preserve">· Tirzepatide for Metabolic Dysfunction-Associated Steatohepatitis with Liver Fibrosis. PMID 38856224</w:t>
      </w:r>
    </w:p>
    <w:p>
      <w:pPr>
        <w:numPr>
          <w:ilvl w:val="0"/>
          <w:numId w:val="1380"/>
        </w:numPr>
        <w:pStyle w:val="Compact"/>
      </w:pPr>
      <w:r>
        <w:t xml:space="preserve">2024 · Zhao L ·</w:t>
      </w:r>
      <w:r>
        <w:t xml:space="preserve"> </w:t>
      </w:r>
      <w:r>
        <w:rPr>
          <w:iCs/>
          <w:i/>
        </w:rPr>
        <w:t xml:space="preserve">JAMA</w:t>
      </w:r>
      <w:r>
        <w:t xml:space="preserve"> </w:t>
      </w:r>
      <w:r>
        <w:t xml:space="preserve">· Tirzepatide for Weight Reduction in Chinese Adults With Obesity: The SURMOUNT-CN Randomized Clinical Trial. PMID 38819983</w:t>
      </w:r>
    </w:p>
    <w:p>
      <w:pPr>
        <w:numPr>
          <w:ilvl w:val="0"/>
          <w:numId w:val="1380"/>
        </w:numPr>
        <w:pStyle w:val="Compact"/>
      </w:pPr>
      <w:r>
        <w:t xml:space="preserve">2024 · Bao Y ·</w:t>
      </w:r>
      <w:r>
        <w:t xml:space="preserve"> </w:t>
      </w:r>
      <w:r>
        <w:rPr>
          <w:iCs/>
          <w:i/>
        </w:rPr>
        <w:t xml:space="preserve">Obesity (Silver Spring)</w:t>
      </w:r>
      <w:r>
        <w:t xml:space="preserve"> </w:t>
      </w:r>
      <w:r>
        <w:t xml:space="preserve">· Characterization of tirzepatide-treated patients achieving different glycemic control levels in SURPASS-AP-Combo. PMID 38803303</w:t>
      </w:r>
    </w:p>
    <w:p>
      <w:pPr>
        <w:numPr>
          <w:ilvl w:val="0"/>
          <w:numId w:val="1380"/>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80"/>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80"/>
        </w:numPr>
        <w:pStyle w:val="Compact"/>
      </w:pPr>
      <w:r>
        <w:t xml:space="preserve">2024 · Vuppalanchi R ·</w:t>
      </w:r>
      <w:r>
        <w:t xml:space="preserve"> </w:t>
      </w:r>
      <w:r>
        <w:rPr>
          <w:iCs/>
          <w:i/>
        </w:rPr>
        <w:t xml:space="preserve">Aliment Pharmacol Ther</w:t>
      </w:r>
      <w:r>
        <w:t xml:space="preserve"> </w:t>
      </w:r>
      <w:r>
        <w:t xml:space="preserve">· Randomised clinical trial: Design of the SYNERGY-NASH phase 2b trial to evaluate tirzepatide as a treatment for metabolic dysfunction-associated steatohepatitis and modification of screening strategy to reduce screen failures. PMID 38768298</w:t>
      </w:r>
    </w:p>
    <w:p>
      <w:pPr>
        <w:numPr>
          <w:ilvl w:val="0"/>
          <w:numId w:val="1380"/>
        </w:numPr>
        <w:pStyle w:val="Compact"/>
      </w:pPr>
      <w:r>
        <w:t xml:space="preserve">2024 · Bagherzadeh-Rahmani B ·</w:t>
      </w:r>
      <w:r>
        <w:t xml:space="preserve"> </w:t>
      </w:r>
      <w:r>
        <w:rPr>
          <w:iCs/>
          <w:i/>
        </w:rPr>
        <w:t xml:space="preserve">Clin Hemorheol Microcirc</w:t>
      </w:r>
      <w:r>
        <w:t xml:space="preserve"> </w:t>
      </w:r>
      <w:r>
        <w:t xml:space="preserve">· Tirzepatide and exercise training in obesity. PMID 38640145</w:t>
      </w:r>
    </w:p>
    <w:p>
      <w:pPr>
        <w:numPr>
          <w:ilvl w:val="0"/>
          <w:numId w:val="1380"/>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80"/>
        </w:numPr>
        <w:pStyle w:val="Compact"/>
      </w:pPr>
      <w:r>
        <w:t xml:space="preserve">2024 · Giorgino F ·</w:t>
      </w:r>
      <w:r>
        <w:t xml:space="preserve"> </w:t>
      </w:r>
      <w:r>
        <w:rPr>
          <w:iCs/>
          <w:i/>
        </w:rPr>
        <w:t xml:space="preserve">Diabetes Care</w:t>
      </w:r>
      <w:r>
        <w:t xml:space="preserve"> </w:t>
      </w:r>
      <w:r>
        <w:t xml:space="preserve">· Effects of Tirzepatide Versus Basal Insulins in People With Type 2 Diabetes and Different Baseline Glycemic Patterns: Post Hoc Analyses of the SURPASS-3 and SURPASS-4 Trials. PMID 38530948</w:t>
      </w:r>
    </w:p>
    <w:p>
      <w:pPr>
        <w:numPr>
          <w:ilvl w:val="0"/>
          <w:numId w:val="1380"/>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80"/>
        </w:numPr>
        <w:pStyle w:val="Compact"/>
      </w:pPr>
      <w:r>
        <w:t xml:space="preserve">2024 · Aronne LJ ·</w:t>
      </w:r>
      <w:r>
        <w:t xml:space="preserve"> </w:t>
      </w:r>
      <w:r>
        <w:rPr>
          <w:iCs/>
          <w:i/>
        </w:rPr>
        <w:t xml:space="preserve">JAMA</w:t>
      </w:r>
      <w:r>
        <w:t xml:space="preserve"> </w:t>
      </w:r>
      <w:r>
        <w:t xml:space="preserve">· Continued Treatment With Tirzepatide for Maintenance of Weight Reduction in Adults With Obesity: The SURMOUNT-4 Randomized Clinical Trial. PMID 38078870</w:t>
      </w:r>
    </w:p>
    <w:p>
      <w:pPr>
        <w:numPr>
          <w:ilvl w:val="0"/>
          <w:numId w:val="1380"/>
        </w:numPr>
        <w:pStyle w:val="Compact"/>
      </w:pPr>
      <w:r>
        <w:t xml:space="preserve">2024 · Hankosky ER ·</w:t>
      </w:r>
      <w:r>
        <w:t xml:space="preserve"> </w:t>
      </w:r>
      <w:r>
        <w:rPr>
          <w:iCs/>
          <w:i/>
        </w:rPr>
        <w:t xml:space="preserve">Diabetes Obes Metab</w:t>
      </w:r>
      <w:r>
        <w:t xml:space="preserve"> </w:t>
      </w:r>
      <w:r>
        <w:t xml:space="preserve">· Tirzepatide reduces the predicted risk of atherosclerotic cardiovascular disease and improves cardiometabolic risk factors in adults with obesity or overweight: SURMOUNT-1 post hoc analysis. PMID 37932236</w:t>
      </w:r>
    </w:p>
    <w:p>
      <w:pPr>
        <w:numPr>
          <w:ilvl w:val="0"/>
          <w:numId w:val="1380"/>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80"/>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80"/>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80"/>
        </w:numPr>
        <w:pStyle w:val="Compact"/>
      </w:pPr>
      <w:r>
        <w:t xml:space="preserve">2023 · Wadden TA ·</w:t>
      </w:r>
      <w:r>
        <w:t xml:space="preserve"> </w:t>
      </w:r>
      <w:r>
        <w:rPr>
          <w:iCs/>
          <w:i/>
        </w:rPr>
        <w:t xml:space="preserve">Nat Med</w:t>
      </w:r>
      <w:r>
        <w:t xml:space="preserve"> </w:t>
      </w:r>
      <w:r>
        <w:t xml:space="preserve">· Tirzepatide after intensive lifestyle intervention in adults with overweight or obesity: the SURMOUNT-3 phase 3 trial. PMID 37840095</w:t>
      </w:r>
    </w:p>
    <w:p>
      <w:pPr>
        <w:numPr>
          <w:ilvl w:val="0"/>
          <w:numId w:val="1380"/>
        </w:numPr>
        <w:pStyle w:val="Compact"/>
      </w:pPr>
      <w:r>
        <w:t xml:space="preserve">2023 · Małecki MT ·</w:t>
      </w:r>
      <w:r>
        <w:t xml:space="preserve"> </w:t>
      </w:r>
      <w:r>
        <w:rPr>
          <w:iCs/>
          <w:i/>
        </w:rPr>
        <w:t xml:space="preserve">Diabetes Care</w:t>
      </w:r>
      <w:r>
        <w:t xml:space="preserve"> </w:t>
      </w:r>
      <w:r>
        <w:t xml:space="preserve">· Predictors of ≥15% Weight Reduction and Associated Changes in Cardiometabolic Risk Factors With Tirzepatide in Adults With Type 2 Diabetes in SURPASS 1-4. PMID 37824793</w:t>
      </w:r>
    </w:p>
    <w:p>
      <w:pPr>
        <w:numPr>
          <w:ilvl w:val="0"/>
          <w:numId w:val="1380"/>
        </w:numPr>
        <w:pStyle w:val="Compact"/>
      </w:pPr>
      <w:r>
        <w:t xml:space="preserve">2023 · Rosenstock J ·</w:t>
      </w:r>
      <w:r>
        <w:t xml:space="preserve"> </w:t>
      </w:r>
      <w:r>
        <w:rPr>
          <w:iCs/>
          <w:i/>
        </w:rPr>
        <w:t xml:space="preserve">JAMA</w:t>
      </w:r>
      <w:r>
        <w:t xml:space="preserve"> </w:t>
      </w:r>
      <w:r>
        <w:t xml:space="preserve">· Tirzepatide vs Insulin Lispro Added to Basal Insulin in Type 2 Diabetes: The SURPASS-6 Randomized Clinical Trial. PMID 37786396</w:t>
      </w:r>
    </w:p>
    <w:p>
      <w:pPr>
        <w:numPr>
          <w:ilvl w:val="0"/>
          <w:numId w:val="1380"/>
        </w:numPr>
        <w:pStyle w:val="Compact"/>
      </w:pPr>
      <w:r>
        <w:t xml:space="preserve">2023 · Hankosky ER ·</w:t>
      </w:r>
      <w:r>
        <w:t xml:space="preserve"> </w:t>
      </w:r>
      <w:r>
        <w:rPr>
          <w:iCs/>
          <w:i/>
        </w:rPr>
        <w:t xml:space="preserve">Diabetes Obes Metab</w:t>
      </w:r>
      <w:r>
        <w:t xml:space="preserve"> </w:t>
      </w:r>
      <w:r>
        <w:t xml:space="preserve">· Tirzepatide reduces the predicted risk of developing type 2 diabetes in people with obesity or overweight: Post hoc analysis of the SURMOUNT-1 trial. PMID 37700443</w:t>
      </w:r>
    </w:p>
    <w:p>
      <w:pPr>
        <w:numPr>
          <w:ilvl w:val="0"/>
          <w:numId w:val="1380"/>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80"/>
        </w:numPr>
        <w:pStyle w:val="Compact"/>
      </w:pPr>
      <w:r>
        <w:t xml:space="preserve">2023 · Garvey WT ·</w:t>
      </w:r>
      <w:r>
        <w:t xml:space="preserve"> </w:t>
      </w:r>
      <w:r>
        <w:rPr>
          <w:iCs/>
          <w:i/>
        </w:rPr>
        <w:t xml:space="preserve">Lancet</w:t>
      </w:r>
      <w:r>
        <w:t xml:space="preserve"> </w:t>
      </w:r>
      <w:r>
        <w:t xml:space="preserve">· Tirzepatide once weekly for the treatment of obesity in people with type 2 diabetes (SURMOUNT-2): a double-blind, randomised, multicentre, placebo-controlled, phase 3 trial. PMID 37385275</w:t>
      </w:r>
    </w:p>
    <w:p>
      <w:pPr>
        <w:numPr>
          <w:ilvl w:val="0"/>
          <w:numId w:val="1380"/>
        </w:numPr>
        <w:pStyle w:val="Compact"/>
      </w:pPr>
      <w:r>
        <w:t xml:space="preserve">2023 · Feng P ·</w:t>
      </w:r>
      <w:r>
        <w:t xml:space="preserve"> </w:t>
      </w:r>
      <w:r>
        <w:rPr>
          <w:iCs/>
          <w:i/>
        </w:rPr>
        <w:t xml:space="preserve">Adv Ther</w:t>
      </w:r>
      <w:r>
        <w:t xml:space="preserve"> </w:t>
      </w:r>
      <w:r>
        <w:t xml:space="preserve">· A Phase 1 Multiple Dose Study of Tirzepatide in Chinese Patients with Type 2 Diabetes. PMID 37285081</w:t>
      </w:r>
    </w:p>
    <w:p>
      <w:pPr>
        <w:numPr>
          <w:ilvl w:val="0"/>
          <w:numId w:val="1380"/>
        </w:numPr>
        <w:pStyle w:val="Compact"/>
      </w:pPr>
      <w:r>
        <w:t xml:space="preserve">2023 · Gao L ·</w:t>
      </w:r>
      <w:r>
        <w:t xml:space="preserve"> </w:t>
      </w:r>
      <w:r>
        <w:rPr>
          <w:iCs/>
          <w:i/>
        </w:rPr>
        <w:t xml:space="preserve">Nat Med</w:t>
      </w:r>
      <w:r>
        <w:t xml:space="preserve"> </w:t>
      </w:r>
      <w:r>
        <w:t xml:space="preserve">· Tirzepatide versus insulin glargine as second-line or third-line therapy in type 2 diabetes in the Asia-Pacific region: the SURPASS-AP-Combo trial. PMID 37231074</w:t>
      </w:r>
    </w:p>
    <w:p>
      <w:pPr>
        <w:numPr>
          <w:ilvl w:val="0"/>
          <w:numId w:val="1380"/>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80"/>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80"/>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80"/>
        </w:numPr>
        <w:pStyle w:val="Compact"/>
      </w:pPr>
      <w:r>
        <w:t xml:space="preserve">2022 · Heerspink HJL ·</w:t>
      </w:r>
      <w:r>
        <w:t xml:space="preserve"> </w:t>
      </w:r>
      <w:r>
        <w:rPr>
          <w:iCs/>
          <w:i/>
        </w:rPr>
        <w:t xml:space="preserve">Lancet Diabetes Endocrinol</w:t>
      </w:r>
      <w:r>
        <w:t xml:space="preserve"> </w:t>
      </w:r>
      <w:r>
        <w:t xml:space="preserve">· Effects of tirzepatide versus insulin glargine on kidney outcomes in type 2 diabetes in the SURPASS-4 trial: post-hoc analysis of an open-label, randomised, phase 3 trial. PMID 36152639</w:t>
      </w:r>
    </w:p>
    <w:p>
      <w:pPr>
        <w:numPr>
          <w:ilvl w:val="0"/>
          <w:numId w:val="1380"/>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80"/>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80"/>
        </w:numPr>
        <w:pStyle w:val="Compact"/>
      </w:pPr>
      <w:r>
        <w:t xml:space="preserve">2022 · Kadowaki T ·</w:t>
      </w:r>
      <w:r>
        <w:t xml:space="preserve"> </w:t>
      </w:r>
      <w:r>
        <w:rPr>
          <w:iCs/>
          <w:i/>
        </w:rPr>
        <w:t xml:space="preserve">Lancet Diabetes Endocrinol</w:t>
      </w:r>
      <w:r>
        <w:t xml:space="preserve"> </w:t>
      </w:r>
      <w:r>
        <w:t xml:space="preserve">· Safety and efficacy of tirzepatide as an add-on to single oral antihyperglycaemic medication in patients with type 2 diabetes in Japan (SURPASS J-combo): a multicentre, randomised, open-label, parallel-group, phase 3 trial. PMID 35914542</w:t>
      </w:r>
    </w:p>
    <w:p>
      <w:pPr>
        <w:numPr>
          <w:ilvl w:val="0"/>
          <w:numId w:val="1380"/>
        </w:numPr>
        <w:pStyle w:val="Compact"/>
      </w:pPr>
      <w:r>
        <w:t xml:space="preserve">2022 · Slomski A ·</w:t>
      </w:r>
      <w:r>
        <w:t xml:space="preserve"> </w:t>
      </w:r>
      <w:r>
        <w:rPr>
          <w:iCs/>
          <w:i/>
        </w:rPr>
        <w:t xml:space="preserve">JAMA</w:t>
      </w:r>
      <w:r>
        <w:t xml:space="preserve"> </w:t>
      </w:r>
      <w:r>
        <w:t xml:space="preserve">· Tirzepatide Trial Demonstrates Substantial Weight Loss. PMID 35881126</w:t>
      </w:r>
    </w:p>
    <w:p>
      <w:pPr>
        <w:numPr>
          <w:ilvl w:val="0"/>
          <w:numId w:val="1380"/>
        </w:numPr>
        <w:pStyle w:val="Compact"/>
      </w:pPr>
      <w:r>
        <w:t xml:space="preserve">2022 · Hindson J ·</w:t>
      </w:r>
      <w:r>
        <w:t xml:space="preserve"> </w:t>
      </w:r>
      <w:r>
        <w:rPr>
          <w:iCs/>
          <w:i/>
        </w:rPr>
        <w:t xml:space="preserve">Nat Rev Gastroenterol Hepatol</w:t>
      </w:r>
      <w:r>
        <w:t xml:space="preserve"> </w:t>
      </w:r>
      <w:r>
        <w:t xml:space="preserve">· Tirzepatide to treat obesity: phase III results. PMID 35773392</w:t>
      </w:r>
    </w:p>
    <w:p>
      <w:pPr>
        <w:numPr>
          <w:ilvl w:val="0"/>
          <w:numId w:val="1380"/>
        </w:numPr>
        <w:pStyle w:val="Compact"/>
      </w:pPr>
      <w:r>
        <w:t xml:space="preserve">2022 · Jastreboff AM ·</w:t>
      </w:r>
      <w:r>
        <w:t xml:space="preserve"> </w:t>
      </w:r>
      <w:r>
        <w:rPr>
          <w:iCs/>
          <w:i/>
        </w:rPr>
        <w:t xml:space="preserve">N Engl J Med</w:t>
      </w:r>
      <w:r>
        <w:t xml:space="preserve"> </w:t>
      </w:r>
      <w:r>
        <w:t xml:space="preserve">· Tirzepatide Once Weekly for the Treatment of Obesity. PMID 35658024</w:t>
      </w:r>
    </w:p>
    <w:p>
      <w:pPr>
        <w:numPr>
          <w:ilvl w:val="0"/>
          <w:numId w:val="1380"/>
        </w:numPr>
        <w:pStyle w:val="Compact"/>
      </w:pPr>
      <w:r>
        <w:t xml:space="preserve">2022 · Gastaldelli A ·</w:t>
      </w:r>
      <w:r>
        <w:t xml:space="preserve"> </w:t>
      </w:r>
      <w:r>
        <w:rPr>
          <w:iCs/>
          <w:i/>
        </w:rPr>
        <w:t xml:space="preserve">Lancet Diabetes Endocrinol</w:t>
      </w:r>
      <w:r>
        <w:t xml:space="preserve"> </w:t>
      </w:r>
      <w:r>
        <w:t xml:space="preserve">· Effect of tirzepatide versus insulin degludec on liver fat content and abdominal adipose tissue in people with type 2 diabetes (SURPASS-3 MRI): a substudy of the randomised, open-label, parallel-group, phase 3 SURPASS-3 trial. PMID 35468325</w:t>
      </w:r>
    </w:p>
    <w:p>
      <w:pPr>
        <w:numPr>
          <w:ilvl w:val="0"/>
          <w:numId w:val="1380"/>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80"/>
        </w:numPr>
        <w:pStyle w:val="Compact"/>
      </w:pPr>
      <w:r>
        <w:t xml:space="preserve">2022 · Battelino T ·</w:t>
      </w:r>
      <w:r>
        <w:t xml:space="preserve"> </w:t>
      </w:r>
      <w:r>
        <w:rPr>
          <w:iCs/>
          <w:i/>
        </w:rPr>
        <w:t xml:space="preserve">Lancet Diabetes Endocrinol</w:t>
      </w:r>
      <w:r>
        <w:t xml:space="preserve"> </w:t>
      </w:r>
      <w:r>
        <w:t xml:space="preserve">· Efficacy of once-weekly tirzepatide versus once-daily insulin degludec on glycaemic control measured by continuous glucose monitoring in adults with type 2 diabetes (SURPASS-3 CGM): a substudy of the randomised, open-label, parallel-group, phase 3 SURPASS-3 trial. PMID 35468321</w:t>
      </w:r>
    </w:p>
    <w:p>
      <w:pPr>
        <w:numPr>
          <w:ilvl w:val="0"/>
          <w:numId w:val="1380"/>
        </w:numPr>
        <w:pStyle w:val="Compact"/>
      </w:pPr>
      <w:r>
        <w:t xml:space="preserve">2022 · Dahl D ·</w:t>
      </w:r>
      <w:r>
        <w:t xml:space="preserve"> </w:t>
      </w:r>
      <w:r>
        <w:rPr>
          <w:iCs/>
          <w:i/>
        </w:rPr>
        <w:t xml:space="preserve">JAMA</w:t>
      </w:r>
      <w:r>
        <w:t xml:space="preserve"> </w:t>
      </w:r>
      <w:r>
        <w:t xml:space="preserve">· Effect of Subcutaneous Tirzepatide vs Placebo Added to Titrated Insulin Glargine on Glycemic Control in Patients With Type 2 Diabetes: The SURPASS-5 Randomized Clinical Trial. PMID 35133415</w:t>
      </w:r>
    </w:p>
    <w:p>
      <w:pPr>
        <w:numPr>
          <w:ilvl w:val="0"/>
          <w:numId w:val="1380"/>
        </w:numPr>
        <w:pStyle w:val="Compact"/>
      </w:pPr>
      <w:r>
        <w:t xml:space="preserve">2022 · Furihata K ·</w:t>
      </w:r>
      <w:r>
        <w:t xml:space="preserve"> </w:t>
      </w:r>
      <w:r>
        <w:rPr>
          <w:iCs/>
          <w:i/>
        </w:rPr>
        <w:t xml:space="preserve">Diabetes Obes Metab</w:t>
      </w:r>
      <w:r>
        <w:t xml:space="preserve"> </w:t>
      </w:r>
      <w:r>
        <w:t xml:space="preserve">· A phase 1 multiple-ascending dose study of tirzepatide in Japanese participants with type 2 diabetes. PMID 34647404</w:t>
      </w:r>
    </w:p>
    <w:p>
      <w:pPr>
        <w:numPr>
          <w:ilvl w:val="0"/>
          <w:numId w:val="1380"/>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80"/>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80"/>
        </w:numPr>
        <w:pStyle w:val="Compact"/>
      </w:pPr>
      <w:r>
        <w:t xml:space="preserve">2021 · Del Prato S ·</w:t>
      </w:r>
      <w:r>
        <w:t xml:space="preserve"> </w:t>
      </w:r>
      <w:r>
        <w:rPr>
          <w:iCs/>
          <w:i/>
        </w:rPr>
        <w:t xml:space="preserve">Lancet</w:t>
      </w:r>
      <w:r>
        <w:t xml:space="preserve"> </w:t>
      </w:r>
      <w:r>
        <w:t xml:space="preserve">· Tirzepatide versus insulin glargine in type 2 diabetes and increased cardiovascular risk (SURPASS-4): a randomised, open-label, parallel-group, multicentre, phase 3 trial. PMID 34672967</w:t>
      </w:r>
    </w:p>
    <w:p>
      <w:pPr>
        <w:numPr>
          <w:ilvl w:val="0"/>
          <w:numId w:val="1380"/>
        </w:numPr>
        <w:pStyle w:val="Compact"/>
      </w:pPr>
      <w:r>
        <w:t xml:space="preserve">2021 · Ludvik B ·</w:t>
      </w:r>
      <w:r>
        <w:t xml:space="preserve"> </w:t>
      </w:r>
      <w:r>
        <w:rPr>
          <w:iCs/>
          <w:i/>
        </w:rPr>
        <w:t xml:space="preserve">Lancet</w:t>
      </w:r>
      <w:r>
        <w:t xml:space="preserve"> </w:t>
      </w:r>
      <w:r>
        <w:t xml:space="preserve">· Once-weekly tirzepatide versus once-daily insulin degludec as add-on to metformin with or without SGLT2 inhibitors in patients with type 2 diabetes (SURPASS-3): a randomised, open-label, parallel-group, phase 3 trial. PMID 34370970</w:t>
      </w:r>
    </w:p>
    <w:p>
      <w:pPr>
        <w:numPr>
          <w:ilvl w:val="0"/>
          <w:numId w:val="1380"/>
        </w:numPr>
        <w:pStyle w:val="Compact"/>
      </w:pPr>
      <w:r>
        <w:t xml:space="preserve">2021 · Rosenstock J ·</w:t>
      </w:r>
      <w:r>
        <w:t xml:space="preserve"> </w:t>
      </w:r>
      <w:r>
        <w:rPr>
          <w:iCs/>
          <w:i/>
        </w:rPr>
        <w:t xml:space="preserve">Lancet</w:t>
      </w:r>
      <w:r>
        <w:t xml:space="preserve"> </w:t>
      </w:r>
      <w:r>
        <w:t xml:space="preserve">· Efficacy and safety of a novel dual GIP and GLP-1 receptor agonist tirzepatide in patients with type 2 diabetes (SURPASS-1): a double-blind, randomised, phase 3 trial. PMID 34186022</w:t>
      </w:r>
    </w:p>
    <w:p>
      <w:pPr>
        <w:numPr>
          <w:ilvl w:val="0"/>
          <w:numId w:val="1380"/>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80"/>
        </w:numPr>
        <w:pStyle w:val="Compact"/>
      </w:pPr>
      <w:r>
        <w:t xml:space="preserve">2021 · Urva S ·</w:t>
      </w:r>
      <w:r>
        <w:t xml:space="preserve"> </w:t>
      </w:r>
      <w:r>
        <w:rPr>
          <w:iCs/>
          <w:i/>
        </w:rPr>
        <w:t xml:space="preserve">Clin Pharmacokinet</w:t>
      </w:r>
      <w:r>
        <w:t xml:space="preserve"> </w:t>
      </w:r>
      <w:r>
        <w:t xml:space="preserve">· Effects of Renal Impairment on the Pharmacokinetics of the Dual GIP and GLP-1 Receptor Agonist Tirzepatide. PMID 33778934</w:t>
      </w:r>
    </w:p>
    <w:p>
      <w:pPr>
        <w:numPr>
          <w:ilvl w:val="0"/>
          <w:numId w:val="1380"/>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80"/>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80"/>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80"/>
        </w:numPr>
        <w:pStyle w:val="Compact"/>
      </w:pPr>
      <w:r>
        <w:t xml:space="preserve">2020 · Frias JP ·</w:t>
      </w:r>
      <w:r>
        <w:t xml:space="preserve"> </w:t>
      </w:r>
      <w:r>
        <w:rPr>
          <w:iCs/>
          <w:i/>
        </w:rPr>
        <w:t xml:space="preserve">Diabetes Obes Metab</w:t>
      </w:r>
      <w:r>
        <w:t xml:space="preserve"> </w:t>
      </w:r>
      <w:r>
        <w:t xml:space="preserve">· Efficacy and tolerability of tirzepatide, a dual glucose-dependent insulinotropic peptide and glucagon-like peptide-1 receptor agonist in patients with type 2 diabetes: A 12-week, randomized, double-blind, placebo-controlled study to evaluate different dose-escalation regimens. PMID 31984598</w:t>
      </w:r>
    </w:p>
    <w:bookmarkEnd w:id="3015"/>
    <w:bookmarkStart w:id="3016" w:name="retatrutida-10"/>
    <w:p>
      <w:pPr>
        <w:pStyle w:val="Heading2"/>
      </w:pPr>
      <w:r>
        <w:t xml:space="preserve">Retatrutida (10)</w:t>
      </w:r>
    </w:p>
    <w:p>
      <w:pPr>
        <w:numPr>
          <w:ilvl w:val="0"/>
          <w:numId w:val="1381"/>
        </w:numPr>
        <w:pStyle w:val="Compact"/>
      </w:pPr>
      <w:r>
        <w:t xml:space="preserve">2026 · Bellido V ·</w:t>
      </w:r>
      <w:r>
        <w:t xml:space="preserve"> </w:t>
      </w:r>
      <w:r>
        <w:rPr>
          <w:iCs/>
          <w:i/>
        </w:rPr>
        <w:t xml:space="preserve">Lancet</w:t>
      </w:r>
      <w:r>
        <w:t xml:space="preserve"> </w:t>
      </w:r>
      <w:r>
        <w:t xml:space="preserve">· Retatrutide in adults with obesity and type 2 diabetes (TRIUMPH-2): a double-blind, parallel-group, randomised, placebo-controlled, phase 3 trial. PMID 42810372</w:t>
      </w:r>
    </w:p>
    <w:p>
      <w:pPr>
        <w:numPr>
          <w:ilvl w:val="0"/>
          <w:numId w:val="1381"/>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81"/>
        </w:numPr>
        <w:pStyle w:val="Compact"/>
      </w:pPr>
      <w:r>
        <w:t xml:space="preserve">2026 · Bajaj HS ·</w:t>
      </w:r>
      <w:r>
        <w:t xml:space="preserve"> </w:t>
      </w:r>
      <w:r>
        <w:rPr>
          <w:iCs/>
          <w:i/>
        </w:rPr>
        <w:t xml:space="preserve">Lancet</w:t>
      </w:r>
      <w:r>
        <w:t xml:space="preserve"> </w:t>
      </w:r>
      <w:r>
        <w:t xml:space="preserve">· Efficacy and safety of retatrutide, a GIP, GLP-1, and glucagon receptor agonist, in people with type 2 diabetes and inadequate glycaemic control with diet and exercise (TRANSCEND-T2D-1): a double-blind, randomised, phase 3 trial. PMID 42250575</w:t>
      </w:r>
    </w:p>
    <w:p>
      <w:pPr>
        <w:numPr>
          <w:ilvl w:val="0"/>
          <w:numId w:val="1381"/>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81"/>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81"/>
        </w:numPr>
        <w:pStyle w:val="Compact"/>
      </w:pPr>
      <w:r>
        <w:t xml:space="preserve">2025 · Wen Y ·</w:t>
      </w:r>
      <w:r>
        <w:t xml:space="preserve"> </w:t>
      </w:r>
      <w:r>
        <w:rPr>
          <w:iCs/>
          <w:i/>
        </w:rPr>
        <w:t xml:space="preserve">Diabetes Obes Metab</w:t>
      </w:r>
      <w:r>
        <w:t xml:space="preserve"> </w:t>
      </w:r>
      <w:r>
        <w:t xml:space="preserve">· Decreases in circulating ANGPTL3/8 concentrations following retatrutide treatment parallel reductions in serum lipids. PMID 40726454</w:t>
      </w:r>
    </w:p>
    <w:p>
      <w:pPr>
        <w:numPr>
          <w:ilvl w:val="0"/>
          <w:numId w:val="1381"/>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81"/>
        </w:numPr>
        <w:pStyle w:val="Compact"/>
      </w:pPr>
      <w:r>
        <w:t xml:space="preserve">2024 · Sanyal AJ ·</w:t>
      </w:r>
      <w:r>
        <w:t xml:space="preserve"> </w:t>
      </w:r>
      <w:r>
        <w:rPr>
          <w:iCs/>
          <w:i/>
        </w:rPr>
        <w:t xml:space="preserve">Nat Med</w:t>
      </w:r>
      <w:r>
        <w:t xml:space="preserve"> </w:t>
      </w:r>
      <w:r>
        <w:t xml:space="preserve">· Triple hormone receptor agonist retatrutide for metabolic dysfunction-associated steatotic liver disease: a randomized phase 2a trial. PMID 38858523</w:t>
      </w:r>
    </w:p>
    <w:p>
      <w:pPr>
        <w:numPr>
          <w:ilvl w:val="0"/>
          <w:numId w:val="1381"/>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81"/>
        </w:numPr>
        <w:pStyle w:val="Compact"/>
      </w:pPr>
      <w:r>
        <w:t xml:space="preserve">2023 · Jastreboff AM ·</w:t>
      </w:r>
      <w:r>
        <w:t xml:space="preserve"> </w:t>
      </w:r>
      <w:r>
        <w:rPr>
          <w:iCs/>
          <w:i/>
        </w:rPr>
        <w:t xml:space="preserve">N Engl J Med</w:t>
      </w:r>
      <w:r>
        <w:t xml:space="preserve"> </w:t>
      </w:r>
      <w:r>
        <w:t xml:space="preserve">· Triple-Hormone-Receptor Agonist Retatrutide for Obesity - A Phase 2 Trial. PMID 37366315</w:t>
      </w:r>
    </w:p>
    <w:bookmarkEnd w:id="3016"/>
    <w:bookmarkStart w:id="3017" w:name="survodutida-10"/>
    <w:p>
      <w:pPr>
        <w:pStyle w:val="Heading2"/>
      </w:pPr>
      <w:r>
        <w:t xml:space="preserve">Survodutida (10)</w:t>
      </w:r>
    </w:p>
    <w:p>
      <w:pPr>
        <w:numPr>
          <w:ilvl w:val="0"/>
          <w:numId w:val="1382"/>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82"/>
        </w:numPr>
        <w:pStyle w:val="Compact"/>
      </w:pPr>
      <w:r>
        <w:t xml:space="preserve">2026 · le Roux CW ·</w:t>
      </w:r>
      <w:r>
        <w:t xml:space="preserve"> </w:t>
      </w:r>
      <w:r>
        <w:rPr>
          <w:iCs/>
          <w:i/>
        </w:rPr>
        <w:t xml:space="preserve">N Engl J Med</w:t>
      </w:r>
      <w:r>
        <w:t xml:space="preserve"> </w:t>
      </w:r>
      <w:r>
        <w:t xml:space="preserve">· Survodutide Once Weekly for the Treatment of Adults with Obesity. PMID 42253238</w:t>
      </w:r>
    </w:p>
    <w:p>
      <w:pPr>
        <w:numPr>
          <w:ilvl w:val="0"/>
          <w:numId w:val="1382"/>
        </w:numPr>
        <w:pStyle w:val="Compact"/>
      </w:pPr>
      <w:r>
        <w:t xml:space="preserve">2026 · Kaplan LM ·</w:t>
      </w:r>
      <w:r>
        <w:t xml:space="preserve"> </w:t>
      </w:r>
      <w:r>
        <w:rPr>
          <w:iCs/>
          <w:i/>
        </w:rPr>
        <w:t xml:space="preserve">Nat Med</w:t>
      </w:r>
      <w:r>
        <w:t xml:space="preserve"> </w:t>
      </w:r>
      <w:r>
        <w:t xml:space="preserve">· Survodutide in adults with obesity and metabolic dysfunction-associated steatotic liver disease: SYNCHRONIZE-MASLD, a randomized, double-blind, placebo-controlled phase 3 trial. PMID 42252333</w:t>
      </w:r>
    </w:p>
    <w:p>
      <w:pPr>
        <w:numPr>
          <w:ilvl w:val="0"/>
          <w:numId w:val="1382"/>
        </w:numPr>
        <w:pStyle w:val="Compact"/>
      </w:pPr>
      <w:r>
        <w:t xml:space="preserve">2026 · Wharton S ·</w:t>
      </w:r>
      <w:r>
        <w:t xml:space="preserve"> </w:t>
      </w:r>
      <w:r>
        <w:rPr>
          <w:iCs/>
          <w:i/>
        </w:rPr>
        <w:t xml:space="preserve">Diabetes Obes Metab</w:t>
      </w:r>
      <w:r>
        <w:t xml:space="preserve"> </w:t>
      </w:r>
      <w:r>
        <w:t xml:space="preserve">· Baseline characteristics in the SYNCHRONIZE™-2 randomized phase 3 trial of survodutide, a glucagon receptor/GLP-1 receptor dual agonist, for obesity in people with type 2 diabetes. PMID 41216778</w:t>
      </w:r>
    </w:p>
    <w:p>
      <w:pPr>
        <w:numPr>
          <w:ilvl w:val="0"/>
          <w:numId w:val="1382"/>
        </w:numPr>
        <w:pStyle w:val="Compact"/>
      </w:pPr>
      <w:r>
        <w:t xml:space="preserve">2026 · le Roux CW ·</w:t>
      </w:r>
      <w:r>
        <w:t xml:space="preserve"> </w:t>
      </w:r>
      <w:r>
        <w:rPr>
          <w:iCs/>
          <w:i/>
        </w:rPr>
        <w:t xml:space="preserve">Diabetes Obes Metab</w:t>
      </w:r>
      <w:r>
        <w:t xml:space="preserve"> </w:t>
      </w:r>
      <w:r>
        <w:t xml:space="preserve">· Survodutide for treatment of obesity: Baseline characteristics of participants in a randomized, double-blind, placebo-controlled, phase 3 trial (SYNCHRONIZE™-1). PMID 41187967</w:t>
      </w:r>
    </w:p>
    <w:p>
      <w:pPr>
        <w:numPr>
          <w:ilvl w:val="0"/>
          <w:numId w:val="1382"/>
        </w:numPr>
        <w:pStyle w:val="Compact"/>
      </w:pPr>
      <w:r>
        <w:t xml:space="preserve">2025 · le Roux CW ·</w:t>
      </w:r>
      <w:r>
        <w:t xml:space="preserve"> </w:t>
      </w:r>
      <w:r>
        <w:rPr>
          <w:iCs/>
          <w:i/>
        </w:rPr>
        <w:t xml:space="preserve">Diabetes Obes Metab</w:t>
      </w:r>
      <w:r>
        <w:t xml:space="preserve"> </w:t>
      </w:r>
      <w:r>
        <w:t xml:space="preserve">· Subgroup analysis by sex and baseline BMI in people with a BMI ≥27 kg/m(2) in the phase 2 trial of survodutide, a glucagon/GLP-1 receptor dual agonist. PMID 39821928</w:t>
      </w:r>
    </w:p>
    <w:p>
      <w:pPr>
        <w:numPr>
          <w:ilvl w:val="0"/>
          <w:numId w:val="1382"/>
        </w:numPr>
        <w:pStyle w:val="Compact"/>
      </w:pPr>
      <w:r>
        <w:t xml:space="preserve">2024 · Lawitz EJ ·</w:t>
      </w:r>
      <w:r>
        <w:t xml:space="preserve"> </w:t>
      </w:r>
      <w:r>
        <w:rPr>
          <w:iCs/>
          <w:i/>
        </w:rPr>
        <w:t xml:space="preserve">J Hepatol</w:t>
      </w:r>
      <w:r>
        <w:t xml:space="preserve"> </w:t>
      </w:r>
      <w:r>
        <w:t xml:space="preserve">· Efficacy, tolerability and pharmacokinetics of survodutide, a glucagon/glucagon-like peptide-1 receptor dual agonist, in cirrhosis. PMID 38857788</w:t>
      </w:r>
    </w:p>
    <w:p>
      <w:pPr>
        <w:numPr>
          <w:ilvl w:val="0"/>
          <w:numId w:val="1382"/>
        </w:numPr>
        <w:pStyle w:val="Compact"/>
      </w:pPr>
      <w:r>
        <w:t xml:space="preserve">2024 · Sanyal AJ ·</w:t>
      </w:r>
      <w:r>
        <w:t xml:space="preserve"> </w:t>
      </w:r>
      <w:r>
        <w:rPr>
          <w:iCs/>
          <w:i/>
        </w:rPr>
        <w:t xml:space="preserve">N Engl J Med</w:t>
      </w:r>
      <w:r>
        <w:t xml:space="preserve"> </w:t>
      </w:r>
      <w:r>
        <w:t xml:space="preserve">· A Phase 2 Randomized Trial of Survodutide in MASH and Fibrosis. PMID 38847460</w:t>
      </w:r>
    </w:p>
    <w:p>
      <w:pPr>
        <w:numPr>
          <w:ilvl w:val="0"/>
          <w:numId w:val="1382"/>
        </w:numPr>
        <w:pStyle w:val="Compact"/>
      </w:pPr>
      <w:r>
        <w:t xml:space="preserve">2024 · le Roux CW ·</w:t>
      </w:r>
      <w:r>
        <w:t xml:space="preserve"> </w:t>
      </w:r>
      <w:r>
        <w:rPr>
          <w:iCs/>
          <w:i/>
        </w:rPr>
        <w:t xml:space="preserve">Lancet Diabetes Endocrinol</w:t>
      </w:r>
      <w:r>
        <w:t xml:space="preserve"> </w:t>
      </w:r>
      <w:r>
        <w:t xml:space="preserve">· Glucagon and GLP-1 receptor dual agonist survodutide for obesity: a randomised, double-blind, placebo-controlled, dose-finding phase 2 trial. PMID 38330987</w:t>
      </w:r>
    </w:p>
    <w:p>
      <w:pPr>
        <w:numPr>
          <w:ilvl w:val="0"/>
          <w:numId w:val="1382"/>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bookmarkEnd w:id="3017"/>
    <w:bookmarkStart w:id="3018" w:name="mazdutida-9"/>
    <w:p>
      <w:pPr>
        <w:pStyle w:val="Heading2"/>
      </w:pPr>
      <w:r>
        <w:t xml:space="preserve">Mazdutida (9)</w:t>
      </w:r>
    </w:p>
    <w:p>
      <w:pPr>
        <w:numPr>
          <w:ilvl w:val="0"/>
          <w:numId w:val="1383"/>
        </w:numPr>
        <w:pStyle w:val="Compact"/>
      </w:pPr>
      <w:r>
        <w:t xml:space="preserve">2026 · Hsia SH ·</w:t>
      </w:r>
      <w:r>
        <w:t xml:space="preserve"> </w:t>
      </w:r>
      <w:r>
        <w:rPr>
          <w:iCs/>
          <w:i/>
        </w:rPr>
        <w:t xml:space="preserve">Lancet Diabetes Endocrinol</w:t>
      </w:r>
      <w:r>
        <w:t xml:space="preserve"> </w:t>
      </w:r>
      <w:r>
        <w:t xml:space="preserve">· Efficacy and safety of mazdutide in adults with obesity or overweight: a US-based, multicentre, phase 2, randomised, placebo-controlled clinical trial. PMID 42628555</w:t>
      </w:r>
    </w:p>
    <w:p>
      <w:pPr>
        <w:numPr>
          <w:ilvl w:val="0"/>
          <w:numId w:val="1383"/>
        </w:numPr>
        <w:pStyle w:val="Compact"/>
      </w:pPr>
      <w:r>
        <w:t xml:space="preserve">2026 · Gao L ·</w:t>
      </w:r>
      <w:r>
        <w:t xml:space="preserve"> </w:t>
      </w:r>
      <w:r>
        <w:rPr>
          <w:iCs/>
          <w:i/>
        </w:rPr>
        <w:t xml:space="preserve">JAMA</w:t>
      </w:r>
      <w:r>
        <w:t xml:space="preserve"> </w:t>
      </w:r>
      <w:r>
        <w:t xml:space="preserve">· Treatment With 9-mg Mazdutide for Weight Reduction in Chinese Adults With Obesity: The GLORY-2 Randomized Clinical Trial. PMID 42251595</w:t>
      </w:r>
    </w:p>
    <w:p>
      <w:pPr>
        <w:numPr>
          <w:ilvl w:val="0"/>
          <w:numId w:val="1383"/>
        </w:numPr>
        <w:pStyle w:val="Compact"/>
      </w:pPr>
      <w:r>
        <w:t xml:space="preserve">2026 · Ji L ·</w:t>
      </w:r>
      <w:r>
        <w:t xml:space="preserve"> </w:t>
      </w:r>
      <w:r>
        <w:rPr>
          <w:iCs/>
          <w:i/>
        </w:rPr>
        <w:t xml:space="preserve">Med</w:t>
      </w:r>
      <w:r>
        <w:t xml:space="preserve"> </w:t>
      </w:r>
      <w:r>
        <w:t xml:space="preserve">· Mazdutide 9 mg in Chinese adults with a body mass index ≥30 kg/m(2) but without diabetes: A phase 2 randomized controlled trial. PMID 41875890</w:t>
      </w:r>
    </w:p>
    <w:p>
      <w:pPr>
        <w:numPr>
          <w:ilvl w:val="0"/>
          <w:numId w:val="1383"/>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83"/>
        </w:numPr>
        <w:pStyle w:val="Compact"/>
      </w:pPr>
      <w:r>
        <w:t xml:space="preserve">2026 · Zhu D ·</w:t>
      </w:r>
      <w:r>
        <w:t xml:space="preserve"> </w:t>
      </w:r>
      <w:r>
        <w:rPr>
          <w:iCs/>
          <w:i/>
        </w:rPr>
        <w:t xml:space="preserve">Nature</w:t>
      </w:r>
      <w:r>
        <w:t xml:space="preserve"> </w:t>
      </w:r>
      <w:r>
        <w:t xml:space="preserve">· Mazdutide versus placebo in Chinese adults with type 2 diabetes. PMID 41407859</w:t>
      </w:r>
    </w:p>
    <w:p>
      <w:pPr>
        <w:numPr>
          <w:ilvl w:val="0"/>
          <w:numId w:val="1383"/>
        </w:numPr>
        <w:pStyle w:val="Compact"/>
      </w:pPr>
      <w:r>
        <w:t xml:space="preserve">2025 · Bhattachar SN ·</w:t>
      </w:r>
      <w:r>
        <w:t xml:space="preserve"> </w:t>
      </w:r>
      <w:r>
        <w:rPr>
          <w:iCs/>
          <w:i/>
        </w:rPr>
        <w:t xml:space="preserve">Diabetes Obes Metab</w:t>
      </w:r>
      <w:r>
        <w:t xml:space="preserve"> </w:t>
      </w:r>
      <w:r>
        <w:t xml:space="preserve">· Mazdutide reduces body weight in adults with overweight or obesity: A high-dose Phase 1 trial. PMID 40832785</w:t>
      </w:r>
    </w:p>
    <w:p>
      <w:pPr>
        <w:numPr>
          <w:ilvl w:val="0"/>
          <w:numId w:val="1383"/>
        </w:numPr>
        <w:pStyle w:val="Compact"/>
      </w:pPr>
      <w:r>
        <w:t xml:space="preserve">2025 · Ji L ·</w:t>
      </w:r>
      <w:r>
        <w:t xml:space="preserve"> </w:t>
      </w:r>
      <w:r>
        <w:rPr>
          <w:iCs/>
          <w:i/>
        </w:rPr>
        <w:t xml:space="preserve">N Engl J Med</w:t>
      </w:r>
      <w:r>
        <w:t xml:space="preserve"> </w:t>
      </w:r>
      <w:r>
        <w:t xml:space="preserve">· Once-Weekly Mazdutide in Chinese Adults with Obesity or Overweight. PMID 40421736</w:t>
      </w:r>
    </w:p>
    <w:p>
      <w:pPr>
        <w:numPr>
          <w:ilvl w:val="0"/>
          <w:numId w:val="1383"/>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83"/>
        </w:numPr>
        <w:pStyle w:val="Compact"/>
      </w:pPr>
      <w:r>
        <w:t xml:space="preserve">2023 · Ji L ·</w:t>
      </w:r>
      <w:r>
        <w:t xml:space="preserve"> </w:t>
      </w:r>
      <w:r>
        <w:rPr>
          <w:iCs/>
          <w:i/>
        </w:rPr>
        <w:t xml:space="preserve">Nat Commun</w:t>
      </w:r>
      <w:r>
        <w:t xml:space="preserve"> </w:t>
      </w:r>
      <w:r>
        <w:t xml:space="preserve">· A phase 2 randomised controlled trial of mazdutide in Chinese overweight adults or adults with obesity. PMID 38092790</w:t>
      </w:r>
    </w:p>
    <w:bookmarkEnd w:id="3018"/>
    <w:bookmarkStart w:id="3019" w:name="cagrilintida-e-cagrisema-15"/>
    <w:p>
      <w:pPr>
        <w:pStyle w:val="Heading2"/>
      </w:pPr>
      <w:r>
        <w:t xml:space="preserve">Cagrilintida e CagriSema (15)</w:t>
      </w:r>
    </w:p>
    <w:p>
      <w:pPr>
        <w:numPr>
          <w:ilvl w:val="0"/>
          <w:numId w:val="1384"/>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84"/>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84"/>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84"/>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84"/>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84"/>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84"/>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84"/>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84"/>
        </w:numPr>
        <w:pStyle w:val="Compact"/>
      </w:pPr>
      <w:r>
        <w:t xml:space="preserve">2025 · Briere DA ·</w:t>
      </w:r>
      <w:r>
        <w:t xml:space="preserve"> </w:t>
      </w:r>
      <w:r>
        <w:rPr>
          <w:iCs/>
          <w:i/>
        </w:rPr>
        <w:t xml:space="preserve">Mol Metab</w:t>
      </w:r>
      <w:r>
        <w:t xml:space="preserve"> </w:t>
      </w:r>
      <w:r>
        <w:t xml:space="preserve">· Eloralintide (LY3841136), a novel amylin receptor agonist for the treatment of obesity: From discovery to clinical proof of concept. PMID 41109426</w:t>
      </w:r>
    </w:p>
    <w:p>
      <w:pPr>
        <w:numPr>
          <w:ilvl w:val="0"/>
          <w:numId w:val="1384"/>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84"/>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84"/>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84"/>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84"/>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84"/>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bookmarkEnd w:id="3019"/>
    <w:bookmarkStart w:id="3020" w:name="amicretina-zenagamtida-4"/>
    <w:p>
      <w:pPr>
        <w:pStyle w:val="Heading2"/>
      </w:pPr>
      <w:r>
        <w:t xml:space="preserve">Amicretina (zenagamtida) (4)</w:t>
      </w:r>
    </w:p>
    <w:p>
      <w:pPr>
        <w:numPr>
          <w:ilvl w:val="0"/>
          <w:numId w:val="1385"/>
        </w:numPr>
        <w:pStyle w:val="Compact"/>
      </w:pPr>
      <w:r>
        <w:t xml:space="preserve">2026 · Mora P ·</w:t>
      </w:r>
      <w:r>
        <w:t xml:space="preserve"> </w:t>
      </w:r>
      <w:r>
        <w:rPr>
          <w:iCs/>
          <w:i/>
        </w:rPr>
        <w:t xml:space="preserve">Lancet</w:t>
      </w:r>
      <w:r>
        <w:t xml:space="preserve"> </w:t>
      </w:r>
      <w:r>
        <w:t xml:space="preserve">· Efficacy and safety of once-weekly subcutaneous zenagamtide, a novel unimolecular GLP-1 and amylin receptor agonist, in type 2 diabetes: a multicentre, randomised, parallel, double-blind, placebo-controlled, dose-finding, phase 2 trial. PMID 42532080</w:t>
      </w:r>
    </w:p>
    <w:p>
      <w:pPr>
        <w:numPr>
          <w:ilvl w:val="0"/>
          <w:numId w:val="1385"/>
        </w:numPr>
        <w:pStyle w:val="Compact"/>
      </w:pPr>
      <w:r>
        <w:t xml:space="preserve">2026 · Mora P ·</w:t>
      </w:r>
      <w:r>
        <w:t xml:space="preserve"> </w:t>
      </w:r>
      <w:r>
        <w:rPr>
          <w:iCs/>
          <w:i/>
        </w:rPr>
        <w:t xml:space="preserve">Lancet</w:t>
      </w:r>
      <w:r>
        <w:t xml:space="preserve"> </w:t>
      </w:r>
      <w:r>
        <w:t xml:space="preserve">· Efficacy and safety of once-daily oral zenagamtide, a novel unimolecular GLP-1 and amylin receptor agonist, in adults with type 2 diabetes: a multicentre, randomised, parallel, double-blind, placebo-controlled, dose-finding, phase 2 trial. PMID 42532079</w:t>
      </w:r>
    </w:p>
    <w:p>
      <w:pPr>
        <w:numPr>
          <w:ilvl w:val="0"/>
          <w:numId w:val="1385"/>
        </w:numPr>
        <w:pStyle w:val="Compact"/>
      </w:pPr>
      <w:r>
        <w:t xml:space="preserve">2025 · Dahl K ·</w:t>
      </w:r>
      <w:r>
        <w:t xml:space="preserve"> </w:t>
      </w:r>
      <w:r>
        <w:rPr>
          <w:iCs/>
          <w:i/>
        </w:rPr>
        <w:t xml:space="preserve">Lancet</w:t>
      </w:r>
      <w:r>
        <w:t xml:space="preserve"> </w:t>
      </w:r>
      <w:r>
        <w:t xml:space="preserve">· Amycretin, a novel, unimolecular GLP-1 and amylin receptor agonist administered subcutaneously: results from a phase 1b/2a randomised controlled study. PMID 40550231</w:t>
      </w:r>
    </w:p>
    <w:p>
      <w:pPr>
        <w:numPr>
          <w:ilvl w:val="0"/>
          <w:numId w:val="1385"/>
        </w:numPr>
        <w:pStyle w:val="Compact"/>
      </w:pPr>
      <w:r>
        <w:t xml:space="preserve">2025 · Gasiorek A ·</w:t>
      </w:r>
      <w:r>
        <w:t xml:space="preserve"> </w:t>
      </w:r>
      <w:r>
        <w:rPr>
          <w:iCs/>
          <w:i/>
        </w:rPr>
        <w:t xml:space="preserve">Lancet</w:t>
      </w:r>
      <w:r>
        <w:t xml:space="preserve"> </w:t>
      </w:r>
      <w:r>
        <w:t xml:space="preserve">· Safety, tolerability, pharmacokinetics, and pharmacodynamics of the first-in-class GLP-1 and amylin receptor agonist, amycretin: a first-in-human, phase 1, double-blind, randomised, placebo-controlled trial. PMID 40550229</w:t>
      </w:r>
    </w:p>
    <w:bookmarkEnd w:id="3020"/>
    <w:bookmarkStart w:id="3021" w:name="maridebarte-cafraglutida-maritide-2"/>
    <w:p>
      <w:pPr>
        <w:pStyle w:val="Heading2"/>
      </w:pPr>
      <w:r>
        <w:t xml:space="preserve">Maridebarte cafraglutida (MariTide) (2)</w:t>
      </w:r>
    </w:p>
    <w:p>
      <w:pPr>
        <w:numPr>
          <w:ilvl w:val="0"/>
          <w:numId w:val="1386"/>
        </w:numPr>
        <w:pStyle w:val="Compact"/>
      </w:pPr>
      <w:r>
        <w:t xml:space="preserve">2025 · Jastreboff AM ·</w:t>
      </w:r>
      <w:r>
        <w:t xml:space="preserve"> </w:t>
      </w:r>
      <w:r>
        <w:rPr>
          <w:iCs/>
          <w:i/>
        </w:rPr>
        <w:t xml:space="preserve">N Engl J Med</w:t>
      </w:r>
      <w:r>
        <w:t xml:space="preserve"> </w:t>
      </w:r>
      <w:r>
        <w:t xml:space="preserve">· Once-Monthly Maridebart Cafraglutide for the Treatment of Obesity - A Phase 2 Trial. PMID 40549887</w:t>
      </w:r>
    </w:p>
    <w:p>
      <w:pPr>
        <w:numPr>
          <w:ilvl w:val="0"/>
          <w:numId w:val="1386"/>
        </w:numPr>
        <w:pStyle w:val="Compact"/>
      </w:pPr>
      <w:r>
        <w:t xml:space="preserve">2024 · Véniant MM ·</w:t>
      </w:r>
      <w:r>
        <w:t xml:space="preserve"> </w:t>
      </w:r>
      <w:r>
        <w:rPr>
          <w:iCs/>
          <w:i/>
        </w:rPr>
        <w:t xml:space="preserve">Nat Metab</w:t>
      </w:r>
      <w:r>
        <w:t xml:space="preserve"> </w:t>
      </w:r>
      <w:r>
        <w:t xml:space="preserve">· A GIPR antagonist conjugated to GLP-1 analogues promotes weight loss with improved metabolic parameters in preclinical and phase 1 settings. PMID 38316982</w:t>
      </w:r>
    </w:p>
    <w:bookmarkEnd w:id="3021"/>
    <w:bookmarkStart w:id="3022" w:name="pranlintida-76"/>
    <w:p>
      <w:pPr>
        <w:pStyle w:val="Heading2"/>
      </w:pPr>
      <w:r>
        <w:t xml:space="preserve">Pranlintida (76)</w:t>
      </w:r>
    </w:p>
    <w:p>
      <w:pPr>
        <w:numPr>
          <w:ilvl w:val="0"/>
          <w:numId w:val="1387"/>
        </w:numPr>
        <w:pStyle w:val="Compact"/>
      </w:pPr>
      <w:r>
        <w:t xml:space="preserve">2025 · Odabassian M ·</w:t>
      </w:r>
      <w:r>
        <w:t xml:space="preserve"> </w:t>
      </w:r>
      <w:r>
        <w:rPr>
          <w:iCs/>
          <w:i/>
        </w:rPr>
        <w:t xml:space="preserve">J Diabetes Sci Technol</w:t>
      </w:r>
      <w:r>
        <w:t xml:space="preserve"> </w:t>
      </w:r>
      <w:r>
        <w:t xml:space="preserve">· A Pilot Outpatient Assessment of a Fully Closed-Loop Insulin and Pramlintide System. PMID 41174925</w:t>
      </w:r>
    </w:p>
    <w:p>
      <w:pPr>
        <w:numPr>
          <w:ilvl w:val="0"/>
          <w:numId w:val="1387"/>
        </w:numPr>
        <w:pStyle w:val="Compact"/>
      </w:pPr>
      <w:r>
        <w:t xml:space="preserve">2024 · Andersen G ·</w:t>
      </w:r>
      <w:r>
        <w:t xml:space="preserve"> </w:t>
      </w:r>
      <w:r>
        <w:rPr>
          <w:iCs/>
          <w:i/>
        </w:rPr>
        <w:t xml:space="preserve">Diabetes Obes Metab</w:t>
      </w:r>
      <w:r>
        <w:t xml:space="preserve"> </w:t>
      </w:r>
      <w:r>
        <w:t xml:space="preserve">· ADO09, a co-formulation of pramlintide and insulin A21G, lowers body weight versus insulin lispro in type 1 diabetes. PMID 39109464</w:t>
      </w:r>
    </w:p>
    <w:p>
      <w:pPr>
        <w:numPr>
          <w:ilvl w:val="0"/>
          <w:numId w:val="1387"/>
        </w:numPr>
        <w:pStyle w:val="Compact"/>
      </w:pPr>
      <w:r>
        <w:t xml:space="preserve">2024 · Cohen E ·</w:t>
      </w:r>
      <w:r>
        <w:t xml:space="preserve"> </w:t>
      </w:r>
      <w:r>
        <w:rPr>
          <w:iCs/>
          <w:i/>
        </w:rPr>
        <w:t xml:space="preserve">Lancet Digit Health</w:t>
      </w:r>
      <w:r>
        <w:t xml:space="preserve"> </w:t>
      </w:r>
      <w:r>
        <w:t xml:space="preserve">· Simple meal announcements and pramlintide delivery versus carbohydrate counting in type 1 diabetes with automated fast-acting insulin aspart delivery: a randomised crossover trial in Montreal, Canada. PMID 38906614</w:t>
      </w:r>
    </w:p>
    <w:p>
      <w:pPr>
        <w:numPr>
          <w:ilvl w:val="0"/>
          <w:numId w:val="1387"/>
        </w:numPr>
        <w:pStyle w:val="Compact"/>
      </w:pPr>
      <w:r>
        <w:t xml:space="preserve">2023 · Andersen G ·</w:t>
      </w:r>
      <w:r>
        <w:t xml:space="preserve"> </w:t>
      </w:r>
      <w:r>
        <w:rPr>
          <w:iCs/>
          <w:i/>
        </w:rPr>
        <w:t xml:space="preserve">Diabetes Obes Metab</w:t>
      </w:r>
      <w:r>
        <w:t xml:space="preserve"> </w:t>
      </w:r>
      <w:r>
        <w:t xml:space="preserve">· A co-formulation of pramlintide and insulin A21G (ADO09) improves postprandial glucose and short-term control of mean glucose, time in range, and body weight versus insulin aspart in adults with type 1 diabetes. PMID 36633505</w:t>
      </w:r>
    </w:p>
    <w:p>
      <w:pPr>
        <w:numPr>
          <w:ilvl w:val="0"/>
          <w:numId w:val="1387"/>
        </w:numPr>
        <w:pStyle w:val="Compact"/>
      </w:pPr>
      <w:r>
        <w:t xml:space="preserve">2021 · Tsoukas MA ·</w:t>
      </w:r>
      <w:r>
        <w:t xml:space="preserve"> </w:t>
      </w:r>
      <w:r>
        <w:rPr>
          <w:iCs/>
          <w:i/>
        </w:rPr>
        <w:t xml:space="preserve">Lancet Digit Health</w:t>
      </w:r>
      <w:r>
        <w:t xml:space="preserve"> </w:t>
      </w:r>
      <w:r>
        <w:t xml:space="preserve">· A fully artificial pancreas versus a hybrid artificial pancreas for type 1 diabetes: a single-centre, open-label, randomised controlled, crossover, non-inferiority trial. PMID 34580055</w:t>
      </w:r>
    </w:p>
    <w:p>
      <w:pPr>
        <w:numPr>
          <w:ilvl w:val="0"/>
          <w:numId w:val="1387"/>
        </w:numPr>
        <w:pStyle w:val="Compact"/>
      </w:pPr>
      <w:r>
        <w:t xml:space="preserve">2021 · Ghanizada H ·</w:t>
      </w:r>
      <w:r>
        <w:t xml:space="preserve"> </w:t>
      </w:r>
      <w:r>
        <w:rPr>
          <w:iCs/>
          <w:i/>
        </w:rPr>
        <w:t xml:space="preserve">Ann Neurol</w:t>
      </w:r>
      <w:r>
        <w:t xml:space="preserve"> </w:t>
      </w:r>
      <w:r>
        <w:t xml:space="preserve">· Amylin Analog Pramlintide Induces Migraine-like Attacks in Patients. PMID 33772845</w:t>
      </w:r>
    </w:p>
    <w:p>
      <w:pPr>
        <w:numPr>
          <w:ilvl w:val="0"/>
          <w:numId w:val="1387"/>
        </w:numPr>
        <w:pStyle w:val="Compact"/>
      </w:pPr>
      <w:r>
        <w:t xml:space="preserve">2020 · Haidar A ·</w:t>
      </w:r>
      <w:r>
        <w:t xml:space="preserve"> </w:t>
      </w:r>
      <w:r>
        <w:rPr>
          <w:iCs/>
          <w:i/>
        </w:rPr>
        <w:t xml:space="preserve">Diabetes Care</w:t>
      </w:r>
      <w:r>
        <w:t xml:space="preserve"> </w:t>
      </w:r>
      <w:r>
        <w:t xml:space="preserve">· A Novel Dual-Hormone Insulin-and-Pramlintide Artificial Pancreas for Type 1 Diabetes: A Randomized Controlled Crossover Trial. PMID 31974099</w:t>
      </w:r>
    </w:p>
    <w:p>
      <w:pPr>
        <w:numPr>
          <w:ilvl w:val="0"/>
          <w:numId w:val="1387"/>
        </w:numPr>
        <w:pStyle w:val="Compact"/>
      </w:pPr>
      <w:r>
        <w:t xml:space="preserve">2018 · Riddle MC ·</w:t>
      </w:r>
      <w:r>
        <w:t xml:space="preserve"> </w:t>
      </w:r>
      <w:r>
        <w:rPr>
          <w:iCs/>
          <w:i/>
        </w:rPr>
        <w:t xml:space="preserve">Diabetes Care</w:t>
      </w:r>
      <w:r>
        <w:t xml:space="preserve"> </w:t>
      </w:r>
      <w:r>
        <w:t xml:space="preserve">· Control of Postprandial Hyperglycemia in Type 1 Diabetes by 24-Hour Fixed-Dose Coadministration of Pramlintide and Regular Human Insulin: A Randomized, Two-Way Crossover Study. PMID 30213882</w:t>
      </w:r>
    </w:p>
    <w:p>
      <w:pPr>
        <w:numPr>
          <w:ilvl w:val="0"/>
          <w:numId w:val="1387"/>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87"/>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87"/>
        </w:numPr>
        <w:pStyle w:val="Compact"/>
      </w:pPr>
      <w:r>
        <w:t xml:space="preserve">2016 · Herrmann K ·</w:t>
      </w:r>
      <w:r>
        <w:t xml:space="preserve"> </w:t>
      </w:r>
      <w:r>
        <w:rPr>
          <w:iCs/>
          <w:i/>
        </w:rPr>
        <w:t xml:space="preserve">Adv Ther</w:t>
      </w:r>
      <w:r>
        <w:t xml:space="preserve"> </w:t>
      </w:r>
      <w:r>
        <w:t xml:space="preserve">· Impact of Disease Duration on the Effects of Pramlintide in Type 1 Diabetes: A Post Hoc Analysis of Three Clinical Trials. PMID 27071768</w:t>
      </w:r>
    </w:p>
    <w:p>
      <w:pPr>
        <w:numPr>
          <w:ilvl w:val="0"/>
          <w:numId w:val="1387"/>
        </w:numPr>
        <w:pStyle w:val="Compact"/>
      </w:pPr>
      <w:r>
        <w:t xml:space="preserve">2016 · Hinshaw L ·</w:t>
      </w:r>
      <w:r>
        <w:t xml:space="preserve"> </w:t>
      </w:r>
      <w:r>
        <w:rPr>
          <w:iCs/>
          <w:i/>
        </w:rPr>
        <w:t xml:space="preserve">J Clin Endocrinol Metab</w:t>
      </w:r>
      <w:r>
        <w:t xml:space="preserve"> </w:t>
      </w:r>
      <w:r>
        <w:t xml:space="preserve">· Effect of Pramlintide on Postprandial Glucose Fluxes in Type 1 Diabetes. PMID 26930181</w:t>
      </w:r>
    </w:p>
    <w:p>
      <w:pPr>
        <w:numPr>
          <w:ilvl w:val="0"/>
          <w:numId w:val="1387"/>
        </w:numPr>
        <w:pStyle w:val="Compact"/>
      </w:pPr>
      <w:r>
        <w:t xml:space="preserve">2016 · Chan JL ·</w:t>
      </w:r>
      <w:r>
        <w:t xml:space="preserve"> </w:t>
      </w:r>
      <w:r>
        <w:rPr>
          <w:iCs/>
          <w:i/>
        </w:rPr>
        <w:t xml:space="preserve">Clin Endocrinol (Oxf)</w:t>
      </w:r>
      <w:r>
        <w:t xml:space="preserve"> </w:t>
      </w:r>
      <w:r>
        <w:t xml:space="preserve">· Immunogenicity associated with metreleptin treatment in patients with obesity or lipodystrophy. PMID 26589105</w:t>
      </w:r>
    </w:p>
    <w:p>
      <w:pPr>
        <w:numPr>
          <w:ilvl w:val="0"/>
          <w:numId w:val="1387"/>
        </w:numPr>
        <w:pStyle w:val="Compact"/>
      </w:pPr>
      <w:r>
        <w:t xml:space="preserve">2015 · Riddle MC ·</w:t>
      </w:r>
      <w:r>
        <w:t xml:space="preserve"> </w:t>
      </w:r>
      <w:r>
        <w:rPr>
          <w:iCs/>
          <w:i/>
        </w:rPr>
        <w:t xml:space="preserve">Diabetes Obes Metab</w:t>
      </w:r>
      <w:r>
        <w:t xml:space="preserve"> </w:t>
      </w:r>
      <w:r>
        <w:t xml:space="preserve">· Fixed ratio dosing of pramlintide with regular insulin before a standard meal in patients with type 1 diabetes. PMID 26040429</w:t>
      </w:r>
    </w:p>
    <w:p>
      <w:pPr>
        <w:numPr>
          <w:ilvl w:val="0"/>
          <w:numId w:val="1387"/>
        </w:numPr>
        <w:pStyle w:val="Compact"/>
      </w:pPr>
      <w:r>
        <w:t xml:space="preserve">2014 · Herrmann K ·</w:t>
      </w:r>
      <w:r>
        <w:t xml:space="preserve"> </w:t>
      </w:r>
      <w:r>
        <w:rPr>
          <w:iCs/>
          <w:i/>
        </w:rPr>
        <w:t xml:space="preserve">Endocr Pract</w:t>
      </w:r>
      <w:r>
        <w:t xml:space="preserve"> </w:t>
      </w:r>
      <w:r>
        <w:t xml:space="preserve">· Effects of pramlintide in patients with type 2 diabetes mellitus: an analysis using daily insulin dose tertiles. PMID 25100363</w:t>
      </w:r>
    </w:p>
    <w:p>
      <w:pPr>
        <w:numPr>
          <w:ilvl w:val="0"/>
          <w:numId w:val="1387"/>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87"/>
        </w:numPr>
        <w:pStyle w:val="Compact"/>
      </w:pPr>
      <w:r>
        <w:t xml:space="preserve">2013 · Herrmann K ·</w:t>
      </w:r>
      <w:r>
        <w:t xml:space="preserve"> </w:t>
      </w:r>
      <w:r>
        <w:rPr>
          <w:iCs/>
          <w:i/>
        </w:rPr>
        <w:t xml:space="preserve">Postgrad Med</w:t>
      </w:r>
      <w:r>
        <w:t xml:space="preserve"> </w:t>
      </w:r>
      <w:r>
        <w:t xml:space="preserve">· Pramlintide improved measures of glycemic control and body weight in patients with type 1 diabetes mellitus undergoing continuous subcutaneous insulin infusion therapy. PMID 23748514</w:t>
      </w:r>
    </w:p>
    <w:p>
      <w:pPr>
        <w:numPr>
          <w:ilvl w:val="0"/>
          <w:numId w:val="1387"/>
        </w:numPr>
        <w:pStyle w:val="Compact"/>
      </w:pPr>
      <w:r>
        <w:t xml:space="preserve">2013 · Fang J ·</w:t>
      </w:r>
      <w:r>
        <w:t xml:space="preserve"> </w:t>
      </w:r>
      <w:r>
        <w:rPr>
          <w:iCs/>
          <w:i/>
        </w:rPr>
        <w:t xml:space="preserve">AAPS J</w:t>
      </w:r>
      <w:r>
        <w:t xml:space="preserve"> </w:t>
      </w:r>
      <w:r>
        <w:t xml:space="preserve">· Study reanalysis using a mechanism-based pharmacokinetic/pharmacodynamic model of pramlintide in subjects with type 1 diabetes. PMID 23054970</w:t>
      </w:r>
    </w:p>
    <w:p>
      <w:pPr>
        <w:numPr>
          <w:ilvl w:val="0"/>
          <w:numId w:val="1387"/>
        </w:numPr>
        <w:pStyle w:val="Compact"/>
      </w:pPr>
      <w:r>
        <w:t xml:space="preserve">2012 · Weinzimer SA ·</w:t>
      </w:r>
      <w:r>
        <w:t xml:space="preserve"> </w:t>
      </w:r>
      <w:r>
        <w:rPr>
          <w:iCs/>
          <w:i/>
        </w:rPr>
        <w:t xml:space="preserve">Diabetes Care</w:t>
      </w:r>
      <w:r>
        <w:t xml:space="preserve"> </w:t>
      </w:r>
      <w:r>
        <w:t xml:space="preserve">· Effect of pramlintide on prandial glycemic excursions during closed-loop control in adolescents and young adults with type 1 diabetes. PMID 22815298</w:t>
      </w:r>
    </w:p>
    <w:p>
      <w:pPr>
        <w:numPr>
          <w:ilvl w:val="0"/>
          <w:numId w:val="1387"/>
        </w:numPr>
        <w:pStyle w:val="Compact"/>
      </w:pPr>
      <w:r>
        <w:t xml:space="preserve">2010 · Peyrot M ·</w:t>
      </w:r>
      <w:r>
        <w:t xml:space="preserve"> </w:t>
      </w:r>
      <w:r>
        <w:rPr>
          <w:iCs/>
          <w:i/>
        </w:rPr>
        <w:t xml:space="preserve">Curr Med Res Opin</w:t>
      </w:r>
      <w:r>
        <w:t xml:space="preserve"> </w:t>
      </w:r>
      <w:r>
        <w:t xml:space="preserve">· Patient reported outcomes in adults with type 2 diabetes on basal insulin randomized to addition of mealtime pramlintide or rapid-acting insulin analogs. PMID 20199136</w:t>
      </w:r>
    </w:p>
    <w:p>
      <w:pPr>
        <w:numPr>
          <w:ilvl w:val="0"/>
          <w:numId w:val="1387"/>
        </w:numPr>
        <w:pStyle w:val="Compact"/>
      </w:pPr>
      <w:r>
        <w:t xml:space="preserve">2010 · Asmar M ·</w:t>
      </w:r>
      <w:r>
        <w:t xml:space="preserve"> </w:t>
      </w:r>
      <w:r>
        <w:rPr>
          <w:iCs/>
          <w:i/>
        </w:rPr>
        <w:t xml:space="preserve">J Clin Endocrinol Metab</w:t>
      </w:r>
      <w:r>
        <w:t xml:space="preserve"> </w:t>
      </w:r>
      <w:r>
        <w:t xml:space="preserve">· Do the actions of glucagon-like peptide-1 on gastric emptying, appetite, and food intake involve release of amylin in humans?. PMID 20194711</w:t>
      </w:r>
    </w:p>
    <w:p>
      <w:pPr>
        <w:numPr>
          <w:ilvl w:val="0"/>
          <w:numId w:val="1387"/>
        </w:numPr>
        <w:pStyle w:val="Compact"/>
      </w:pPr>
      <w:r>
        <w:t xml:space="preserve">2010 · King AB ·</w:t>
      </w:r>
      <w:r>
        <w:t xml:space="preserve"> </w:t>
      </w:r>
      <w:r>
        <w:rPr>
          <w:iCs/>
          <w:i/>
        </w:rPr>
        <w:t xml:space="preserve">Diabetes Technol Ther</w:t>
      </w:r>
      <w:r>
        <w:t xml:space="preserve"> </w:t>
      </w:r>
      <w:r>
        <w:t xml:space="preserve">· Comparison of the post-meal glucose response to different insulin bolus waveforms in insulin pump- and pre-meal pramlintide-treated type 1 diabetes patients. PMID 20105039</w:t>
      </w:r>
    </w:p>
    <w:p>
      <w:pPr>
        <w:numPr>
          <w:ilvl w:val="0"/>
          <w:numId w:val="1387"/>
        </w:numPr>
        <w:pStyle w:val="Compact"/>
      </w:pPr>
      <w:r>
        <w:t xml:space="preserve">2010 · Aronne LJ ·</w:t>
      </w:r>
      <w:r>
        <w:t xml:space="preserve"> </w:t>
      </w:r>
      <w:r>
        <w:rPr>
          <w:iCs/>
          <w:i/>
        </w:rPr>
        <w:t xml:space="preserve">Obesity (Silver Spring)</w:t>
      </w:r>
      <w:r>
        <w:t xml:space="preserve"> </w:t>
      </w:r>
      <w:r>
        <w:t xml:space="preserve">· Enhanced weight loss following coadministration of pramlintide with sibutramine or phentermine in a multicenter trial. PMID 20094043</w:t>
      </w:r>
    </w:p>
    <w:p>
      <w:pPr>
        <w:numPr>
          <w:ilvl w:val="0"/>
          <w:numId w:val="1387"/>
        </w:numPr>
        <w:pStyle w:val="Compact"/>
      </w:pPr>
      <w:r>
        <w:t xml:space="preserve">2009 · Kishiyama CM ·</w:t>
      </w:r>
      <w:r>
        <w:t xml:space="preserve"> </w:t>
      </w:r>
      <w:r>
        <w:rPr>
          <w:iCs/>
          <w:i/>
        </w:rPr>
        <w:t xml:space="preserve">Pediatrics</w:t>
      </w:r>
      <w:r>
        <w:t xml:space="preserve"> </w:t>
      </w:r>
      <w:r>
        <w:t xml:space="preserve">· A pilot trial of pramlintide home usage in adolescents with type 1 diabetes. PMID 19858155</w:t>
      </w:r>
    </w:p>
    <w:p>
      <w:pPr>
        <w:numPr>
          <w:ilvl w:val="0"/>
          <w:numId w:val="1387"/>
        </w:numPr>
        <w:pStyle w:val="Compact"/>
      </w:pPr>
      <w:r>
        <w:t xml:space="preserve">2009 · Huffman DM ·</w:t>
      </w:r>
      <w:r>
        <w:t xml:space="preserve"> </w:t>
      </w:r>
      <w:r>
        <w:rPr>
          <w:iCs/>
          <w:i/>
        </w:rPr>
        <w:t xml:space="preserve">Endocr Pract</w:t>
      </w:r>
      <w:r>
        <w:t xml:space="preserve"> </w:t>
      </w:r>
      <w:r>
        <w:t xml:space="preserve">· Continuous subcutaneous pramlintide infusion therapy in patients with type 1 diabetes: observations from a pilot study. PMID 19546056</w:t>
      </w:r>
    </w:p>
    <w:p>
      <w:pPr>
        <w:numPr>
          <w:ilvl w:val="0"/>
          <w:numId w:val="1387"/>
        </w:numPr>
        <w:pStyle w:val="Compact"/>
      </w:pPr>
      <w:r>
        <w:t xml:space="preserve">2009 · Ravussin E ·</w:t>
      </w:r>
      <w:r>
        <w:t xml:space="preserve"> </w:t>
      </w:r>
      <w:r>
        <w:rPr>
          <w:iCs/>
          <w:i/>
        </w:rPr>
        <w:t xml:space="preserve">Obesity (Silver Spring)</w:t>
      </w:r>
      <w:r>
        <w:t xml:space="preserve"> </w:t>
      </w:r>
      <w:r>
        <w:t xml:space="preserve">· Enhanced weight loss with pramlintide/metreleptin: an integrated neurohormonal approach to obesity pharmacotherapy. PMID 19521351</w:t>
      </w:r>
    </w:p>
    <w:p>
      <w:pPr>
        <w:numPr>
          <w:ilvl w:val="0"/>
          <w:numId w:val="1387"/>
        </w:numPr>
        <w:pStyle w:val="Compact"/>
      </w:pPr>
      <w:r>
        <w:t xml:space="preserve">2009 · Riddle M ·</w:t>
      </w:r>
      <w:r>
        <w:t xml:space="preserve"> </w:t>
      </w:r>
      <w:r>
        <w:rPr>
          <w:iCs/>
          <w:i/>
        </w:rPr>
        <w:t xml:space="preserve">Diabetes Care</w:t>
      </w:r>
      <w:r>
        <w:t xml:space="preserve"> </w:t>
      </w:r>
      <w:r>
        <w:t xml:space="preserve">· Randomized comparison of pramlintide or mealtime insulin added to basal insulin treatment for patients with type 2 diabetes. PMID 19502544</w:t>
      </w:r>
    </w:p>
    <w:p>
      <w:pPr>
        <w:numPr>
          <w:ilvl w:val="0"/>
          <w:numId w:val="1387"/>
        </w:numPr>
        <w:pStyle w:val="Compact"/>
      </w:pPr>
      <w:r>
        <w:t xml:space="preserve">2009 · Peyrot M ·</w:t>
      </w:r>
      <w:r>
        <w:t xml:space="preserve"> </w:t>
      </w:r>
      <w:r>
        <w:rPr>
          <w:iCs/>
          <w:i/>
        </w:rPr>
        <w:t xml:space="preserve">Diabetes Care</w:t>
      </w:r>
      <w:r>
        <w:t xml:space="preserve"> </w:t>
      </w:r>
      <w:r>
        <w:t xml:space="preserve">· How does treatment satisfaction work?: Modeling determinants of treatment satisfaction and preference. PMID 19470837</w:t>
      </w:r>
    </w:p>
    <w:p>
      <w:pPr>
        <w:numPr>
          <w:ilvl w:val="0"/>
          <w:numId w:val="1387"/>
        </w:numPr>
        <w:pStyle w:val="Compact"/>
      </w:pPr>
      <w:r>
        <w:t xml:space="preserve">2009 · Chase HP ·</w:t>
      </w:r>
      <w:r>
        <w:t xml:space="preserve"> </w:t>
      </w:r>
      <w:r>
        <w:rPr>
          <w:iCs/>
          <w:i/>
        </w:rPr>
        <w:t xml:space="preserve">J Pediatr</w:t>
      </w:r>
      <w:r>
        <w:t xml:space="preserve"> </w:t>
      </w:r>
      <w:r>
        <w:t xml:space="preserve">· Pramlintide lowered glucose excursions and was well-tolerated in adolescents with type 1 diabetes: results from a randomized, single-blind, placebo-controlled, crossover study. PMID 19464026</w:t>
      </w:r>
    </w:p>
    <w:p>
      <w:pPr>
        <w:numPr>
          <w:ilvl w:val="0"/>
          <w:numId w:val="1387"/>
        </w:numPr>
        <w:pStyle w:val="Compact"/>
      </w:pPr>
      <w:r>
        <w:t xml:space="preserve">2009 · King AB ·</w:t>
      </w:r>
      <w:r>
        <w:t xml:space="preserve"> </w:t>
      </w:r>
      <w:r>
        <w:rPr>
          <w:iCs/>
          <w:i/>
        </w:rPr>
        <w:t xml:space="preserve">Endocr Pract</w:t>
      </w:r>
      <w:r>
        <w:t xml:space="preserve"> </w:t>
      </w:r>
      <w:r>
        <w:t xml:space="preserve">· Minimal reduction in insulin dosage with pramlintide therapy when pretreatment near-normal glycemia is established and square-wave meal bolus is used. PMID 19364691</w:t>
      </w:r>
    </w:p>
    <w:p>
      <w:pPr>
        <w:numPr>
          <w:ilvl w:val="0"/>
          <w:numId w:val="1387"/>
        </w:numPr>
        <w:pStyle w:val="Compact"/>
      </w:pPr>
      <w:r>
        <w:t xml:space="preserve">2009 · Heptulla RA ·</w:t>
      </w:r>
      <w:r>
        <w:t xml:space="preserve"> </w:t>
      </w:r>
      <w:r>
        <w:rPr>
          <w:iCs/>
          <w:i/>
        </w:rPr>
        <w:t xml:space="preserve">J Clin Endocrinol Metab</w:t>
      </w:r>
      <w:r>
        <w:t xml:space="preserve"> </w:t>
      </w:r>
      <w:r>
        <w:t xml:space="preserve">· Twenty-four-hour simultaneous subcutaneous Basal-bolus administration of insulin and amylin in adolescents with type 1 diabetes decreases postprandial hyperglycemia. PMID 19190104</w:t>
      </w:r>
    </w:p>
    <w:p>
      <w:pPr>
        <w:numPr>
          <w:ilvl w:val="0"/>
          <w:numId w:val="1387"/>
        </w:numPr>
        <w:pStyle w:val="Compact"/>
      </w:pPr>
      <w:r>
        <w:t xml:space="preserve">2009 · Hassan K ·</w:t>
      </w:r>
      <w:r>
        <w:t xml:space="preserve"> </w:t>
      </w:r>
      <w:r>
        <w:rPr>
          <w:iCs/>
          <w:i/>
        </w:rPr>
        <w:t xml:space="preserve">Pediatr Diabetes</w:t>
      </w:r>
      <w:r>
        <w:t xml:space="preserve"> </w:t>
      </w:r>
      <w:r>
        <w:t xml:space="preserve">· Reducing postprandial hyperglycemia with adjuvant premeal pramlintide and postmeal insulin in children with type 1 diabetes mellitus. PMID 19140902</w:t>
      </w:r>
    </w:p>
    <w:p>
      <w:pPr>
        <w:numPr>
          <w:ilvl w:val="0"/>
          <w:numId w:val="1387"/>
        </w:numPr>
        <w:pStyle w:val="Compact"/>
      </w:pPr>
      <w:r>
        <w:t xml:space="preserve">2008 · Peyrot M ·</w:t>
      </w:r>
      <w:r>
        <w:t xml:space="preserve"> </w:t>
      </w:r>
      <w:r>
        <w:rPr>
          <w:iCs/>
          <w:i/>
        </w:rPr>
        <w:t xml:space="preserve">Diabetes Technol Ther</w:t>
      </w:r>
      <w:r>
        <w:t xml:space="preserve"> </w:t>
      </w:r>
      <w:r>
        <w:t xml:space="preserve">· Diabetes distress and its association with clinical outcomes in patients with type 2 diabetes treated with pramlintide as an adjunct to insulin therapy. PMID 19049375</w:t>
      </w:r>
    </w:p>
    <w:p>
      <w:pPr>
        <w:numPr>
          <w:ilvl w:val="0"/>
          <w:numId w:val="1387"/>
        </w:numPr>
        <w:pStyle w:val="Compact"/>
      </w:pPr>
      <w:r>
        <w:t xml:space="preserve">2008 · Smith SR ·</w:t>
      </w:r>
      <w:r>
        <w:t xml:space="preserve"> </w:t>
      </w:r>
      <w:r>
        <w:rPr>
          <w:iCs/>
          <w:i/>
        </w:rPr>
        <w:t xml:space="preserve">Diabetes Care</w:t>
      </w:r>
      <w:r>
        <w:t xml:space="preserve"> </w:t>
      </w:r>
      <w:r>
        <w:t xml:space="preserve">· Sustained weight loss following 12-month pramlintide treatment as an adjunct to lifestyle intervention in obesity. PMID 18753666</w:t>
      </w:r>
    </w:p>
    <w:p>
      <w:pPr>
        <w:numPr>
          <w:ilvl w:val="0"/>
          <w:numId w:val="1387"/>
        </w:numPr>
        <w:pStyle w:val="Compact"/>
      </w:pPr>
      <w:r>
        <w:t xml:space="preserve">2008 · Wysham C ·</w:t>
      </w:r>
      <w:r>
        <w:t xml:space="preserve"> </w:t>
      </w:r>
      <w:r>
        <w:rPr>
          <w:iCs/>
          <w:i/>
        </w:rPr>
        <w:t xml:space="preserve">Curr Med Res Opin</w:t>
      </w:r>
      <w:r>
        <w:t xml:space="preserve"> </w:t>
      </w:r>
      <w:r>
        <w:t xml:space="preserve">· Effect of pramlintide as an adjunct to basal insulin on markers of cardiovascular risk in patients with type 2 diabetes. PMID 18031595</w:t>
      </w:r>
    </w:p>
    <w:p>
      <w:pPr>
        <w:numPr>
          <w:ilvl w:val="0"/>
          <w:numId w:val="1387"/>
        </w:numPr>
        <w:pStyle w:val="Compact"/>
      </w:pPr>
      <w:r>
        <w:t xml:space="preserve">2008 · Woerle HJ ·</w:t>
      </w:r>
      <w:r>
        <w:t xml:space="preserve"> </w:t>
      </w:r>
      <w:r>
        <w:rPr>
          <w:iCs/>
          <w:i/>
        </w:rPr>
        <w:t xml:space="preserve">Am J Physiol Endocrinol Metab</w:t>
      </w:r>
      <w:r>
        <w:t xml:space="preserve"> </w:t>
      </w:r>
      <w:r>
        <w:t xml:space="preserve">· Importance of changes in gastric emptying for postprandial plasma glucose fluxes in healthy humans. PMID 17971511</w:t>
      </w:r>
    </w:p>
    <w:p>
      <w:pPr>
        <w:numPr>
          <w:ilvl w:val="0"/>
          <w:numId w:val="1387"/>
        </w:numPr>
        <w:pStyle w:val="Compact"/>
      </w:pPr>
      <w:r>
        <w:t xml:space="preserve">2008 · Ceriello A ·</w:t>
      </w:r>
      <w:r>
        <w:t xml:space="preserve"> </w:t>
      </w:r>
      <w:r>
        <w:rPr>
          <w:iCs/>
          <w:i/>
        </w:rPr>
        <w:t xml:space="preserve">Diabetes Metab Res Rev</w:t>
      </w:r>
      <w:r>
        <w:t xml:space="preserve"> </w:t>
      </w:r>
      <w:r>
        <w:t xml:space="preserve">· Pramlintide reduced markers of oxidative stress in the postprandial period in patients with type 2 diabetes. PMID 17694505</w:t>
      </w:r>
    </w:p>
    <w:p>
      <w:pPr>
        <w:numPr>
          <w:ilvl w:val="0"/>
          <w:numId w:val="1387"/>
        </w:numPr>
        <w:pStyle w:val="Compact"/>
      </w:pPr>
      <w:r>
        <w:t xml:space="preserve">2007 · Rodriguez LM ·</w:t>
      </w:r>
      <w:r>
        <w:t xml:space="preserve"> </w:t>
      </w:r>
      <w:r>
        <w:rPr>
          <w:iCs/>
          <w:i/>
        </w:rPr>
        <w:t xml:space="preserve">Pediatr Res</w:t>
      </w:r>
      <w:r>
        <w:t xml:space="preserve"> </w:t>
      </w:r>
      <w:r>
        <w:t xml:space="preserve">· The role of prandial pramlintide in the treatment of adolescents with type 1 diabetes. PMID 17957149</w:t>
      </w:r>
    </w:p>
    <w:p>
      <w:pPr>
        <w:numPr>
          <w:ilvl w:val="0"/>
          <w:numId w:val="1387"/>
        </w:numPr>
        <w:pStyle w:val="Compact"/>
      </w:pPr>
      <w:r>
        <w:t xml:space="preserve">2007 · Riddle M ·</w:t>
      </w:r>
      <w:r>
        <w:t xml:space="preserve"> </w:t>
      </w:r>
      <w:r>
        <w:rPr>
          <w:iCs/>
          <w:i/>
        </w:rPr>
        <w:t xml:space="preserve">Diabetes Care</w:t>
      </w:r>
      <w:r>
        <w:t xml:space="preserve"> </w:t>
      </w:r>
      <w:r>
        <w:t xml:space="preserve">· Pramlintide improved glycemic control and reduced weight in patients with type 2 diabetes using basal insulin. PMID 17698615</w:t>
      </w:r>
    </w:p>
    <w:p>
      <w:pPr>
        <w:numPr>
          <w:ilvl w:val="0"/>
          <w:numId w:val="1387"/>
        </w:numPr>
        <w:pStyle w:val="Compact"/>
      </w:pPr>
      <w:r>
        <w:t xml:space="preserve">2007 · Smith SR ·</w:t>
      </w:r>
      <w:r>
        <w:t xml:space="preserve"> </w:t>
      </w:r>
      <w:r>
        <w:rPr>
          <w:iCs/>
          <w:i/>
        </w:rPr>
        <w:t xml:space="preserve">Am J Physiol Endocrinol Metab</w:t>
      </w:r>
      <w:r>
        <w:t xml:space="preserve"> </w:t>
      </w:r>
      <w:r>
        <w:t xml:space="preserve">· Pramlintide treatment reduces 24-h caloric intake and meal sizes and improves control of eating in obese subjects: a 6-wk translational research study. PMID 17505051</w:t>
      </w:r>
    </w:p>
    <w:p>
      <w:pPr>
        <w:numPr>
          <w:ilvl w:val="0"/>
          <w:numId w:val="1387"/>
        </w:numPr>
        <w:pStyle w:val="Compact"/>
      </w:pPr>
      <w:r>
        <w:t xml:space="preserve">2007 · Aronne L ·</w:t>
      </w:r>
      <w:r>
        <w:t xml:space="preserve"> </w:t>
      </w:r>
      <w:r>
        <w:rPr>
          <w:iCs/>
          <w:i/>
        </w:rPr>
        <w:t xml:space="preserve">J Clin Endocrinol Metab</w:t>
      </w:r>
      <w:r>
        <w:t xml:space="preserve"> </w:t>
      </w:r>
      <w:r>
        <w:t xml:space="preserve">· Progressive reduction in body weight after treatment with the amylin analog pramlintide in obese subjects: a phase 2, randomized, placebo-controlled, dose-escalation study. PMID 17504894</w:t>
      </w:r>
    </w:p>
    <w:p>
      <w:pPr>
        <w:numPr>
          <w:ilvl w:val="0"/>
          <w:numId w:val="1387"/>
        </w:numPr>
        <w:pStyle w:val="Compact"/>
      </w:pPr>
      <w:r>
        <w:t xml:space="preserve">2007 · Chapman I ·</w:t>
      </w:r>
      <w:r>
        <w:t xml:space="preserve"> </w:t>
      </w:r>
      <w:r>
        <w:rPr>
          <w:iCs/>
          <w:i/>
        </w:rPr>
        <w:t xml:space="preserve">Obesity (Silver Spring)</w:t>
      </w:r>
      <w:r>
        <w:t xml:space="preserve"> </w:t>
      </w:r>
      <w:r>
        <w:t xml:space="preserve">· Low-dose pramlintide reduced food intake and meal duration in healthy, normal-weight subjects. PMID 17495194</w:t>
      </w:r>
    </w:p>
    <w:p>
      <w:pPr>
        <w:numPr>
          <w:ilvl w:val="0"/>
          <w:numId w:val="1387"/>
        </w:numPr>
        <w:pStyle w:val="Compact"/>
      </w:pPr>
      <w:r>
        <w:t xml:space="preserve">2007 · Kellmeyer TA ·</w:t>
      </w:r>
      <w:r>
        <w:t xml:space="preserve"> </w:t>
      </w:r>
      <w:r>
        <w:rPr>
          <w:iCs/>
          <w:i/>
        </w:rPr>
        <w:t xml:space="preserve">J Clin Pharmacol</w:t>
      </w:r>
      <w:r>
        <w:t xml:space="preserve"> </w:t>
      </w:r>
      <w:r>
        <w:t xml:space="preserve">· Pharmacokinetics of an oral drug (acetaminophen) administered at various times relative to subcutaneous injection of pramlintide in subjects with type 2 diabetes. PMID 17463219</w:t>
      </w:r>
    </w:p>
    <w:p>
      <w:pPr>
        <w:numPr>
          <w:ilvl w:val="0"/>
          <w:numId w:val="1387"/>
        </w:numPr>
        <w:pStyle w:val="Compact"/>
      </w:pPr>
      <w:r>
        <w:t xml:space="preserve">2007 · Karl D ·</w:t>
      </w:r>
      <w:r>
        <w:t xml:space="preserve"> </w:t>
      </w:r>
      <w:r>
        <w:rPr>
          <w:iCs/>
          <w:i/>
        </w:rPr>
        <w:t xml:space="preserve">Diabetes Technol Ther</w:t>
      </w:r>
      <w:r>
        <w:t xml:space="preserve"> </w:t>
      </w:r>
      <w:r>
        <w:t xml:space="preserve">· Pramlintide as an adjunct to insulin in patients with type 2 diabetes in a clinical practice setting reduced A1C, postprandial glucose excursions, and weight. PMID 17425446</w:t>
      </w:r>
    </w:p>
    <w:p>
      <w:pPr>
        <w:numPr>
          <w:ilvl w:val="0"/>
          <w:numId w:val="1387"/>
        </w:numPr>
        <w:pStyle w:val="Compact"/>
      </w:pPr>
      <w:r>
        <w:t xml:space="preserve">2007 · Marrero DG ·</w:t>
      </w:r>
      <w:r>
        <w:t xml:space="preserve"> </w:t>
      </w:r>
      <w:r>
        <w:rPr>
          <w:iCs/>
          <w:i/>
        </w:rPr>
        <w:t xml:space="preserve">Diabetes Care</w:t>
      </w:r>
      <w:r>
        <w:t xml:space="preserve"> </w:t>
      </w:r>
      <w:r>
        <w:t xml:space="preserve">· Effect of adjunctive pramlintide treatment on treatment satisfaction in patients with type 1 diabetes. PMID 17259483</w:t>
      </w:r>
    </w:p>
    <w:p>
      <w:pPr>
        <w:numPr>
          <w:ilvl w:val="0"/>
          <w:numId w:val="1387"/>
        </w:numPr>
        <w:pStyle w:val="Compact"/>
      </w:pPr>
      <w:r>
        <w:t xml:space="preserve">2006 · Edelman SV ·</w:t>
      </w:r>
      <w:r>
        <w:t xml:space="preserve"> </w:t>
      </w:r>
      <w:r>
        <w:rPr>
          <w:iCs/>
          <w:i/>
        </w:rPr>
        <w:t xml:space="preserve">Int J Clin Pract</w:t>
      </w:r>
      <w:r>
        <w:t xml:space="preserve"> </w:t>
      </w:r>
      <w:r>
        <w:t xml:space="preserve">· Pramlintide in the treatment of diabetes. PMID 17109671</w:t>
      </w:r>
    </w:p>
    <w:p>
      <w:pPr>
        <w:numPr>
          <w:ilvl w:val="0"/>
          <w:numId w:val="1387"/>
        </w:numPr>
        <w:pStyle w:val="Compact"/>
      </w:pPr>
      <w:r>
        <w:t xml:space="preserve">2006 · Edelman S ·</w:t>
      </w:r>
      <w:r>
        <w:t xml:space="preserve"> </w:t>
      </w:r>
      <w:r>
        <w:rPr>
          <w:iCs/>
          <w:i/>
        </w:rPr>
        <w:t xml:space="preserve">Diabetes Care</w:t>
      </w:r>
      <w:r>
        <w:t xml:space="preserve"> </w:t>
      </w:r>
      <w:r>
        <w:t xml:space="preserve">· A double-blind, placebo-controlled trial assessing pramlintide treatment in the setting of intensive insulin therapy in type 1 diabetes. PMID 17003291</w:t>
      </w:r>
    </w:p>
    <w:p>
      <w:pPr>
        <w:numPr>
          <w:ilvl w:val="0"/>
          <w:numId w:val="1387"/>
        </w:numPr>
        <w:pStyle w:val="Compact"/>
      </w:pPr>
      <w:r>
        <w:t xml:space="preserve">2005 · Amiel SA ·</w:t>
      </w:r>
      <w:r>
        <w:t xml:space="preserve"> </w:t>
      </w:r>
      <w:r>
        <w:rPr>
          <w:iCs/>
          <w:i/>
        </w:rPr>
        <w:t xml:space="preserve">Diabetes Obes Metab</w:t>
      </w:r>
      <w:r>
        <w:t xml:space="preserve"> </w:t>
      </w:r>
      <w:r>
        <w:t xml:space="preserve">· The effect of pramlintide on hormonal, metabolic or symptomatic responses to insulin-induced hypoglycaemia in patients with type 1 diabetes. PMID 16050943</w:t>
      </w:r>
    </w:p>
    <w:p>
      <w:pPr>
        <w:numPr>
          <w:ilvl w:val="0"/>
          <w:numId w:val="1387"/>
        </w:numPr>
        <w:pStyle w:val="Compact"/>
      </w:pPr>
      <w:r>
        <w:t xml:space="preserve">2005 · Ratner R ·</w:t>
      </w:r>
      <w:r>
        <w:t xml:space="preserve"> </w:t>
      </w:r>
      <w:r>
        <w:rPr>
          <w:iCs/>
          <w:i/>
        </w:rPr>
        <w:t xml:space="preserve">Exp Clin Endocrinol Diabetes</w:t>
      </w:r>
      <w:r>
        <w:t xml:space="preserve"> </w:t>
      </w:r>
      <w:r>
        <w:t xml:space="preserve">· Adjunctive therapy with pramlintide lowers HbA1c without concomitant weight gain and increased risk of severe hypoglycemia in patients with type 1 diabetes approaching glycemic targets. PMID 15891954</w:t>
      </w:r>
    </w:p>
    <w:p>
      <w:pPr>
        <w:numPr>
          <w:ilvl w:val="0"/>
          <w:numId w:val="1387"/>
        </w:numPr>
        <w:pStyle w:val="Compact"/>
      </w:pPr>
      <w:r>
        <w:t xml:space="preserve">2005 · Chapman I ·</w:t>
      </w:r>
      <w:r>
        <w:t xml:space="preserve"> </w:t>
      </w:r>
      <w:r>
        <w:rPr>
          <w:iCs/>
          <w:i/>
        </w:rPr>
        <w:t xml:space="preserve">Diabetologia</w:t>
      </w:r>
      <w:r>
        <w:t xml:space="preserve"> </w:t>
      </w:r>
      <w:r>
        <w:t xml:space="preserve">· Effect of pramlintide on satiety and food intake in obese subjects and subjects with type 2 diabetes. PMID 15843914</w:t>
      </w:r>
    </w:p>
    <w:p>
      <w:pPr>
        <w:numPr>
          <w:ilvl w:val="0"/>
          <w:numId w:val="1387"/>
        </w:numPr>
        <w:pStyle w:val="Compact"/>
      </w:pPr>
      <w:r>
        <w:t xml:space="preserve">2005 · Weyer C ·</w:t>
      </w:r>
      <w:r>
        <w:t xml:space="preserve"> </w:t>
      </w:r>
      <w:r>
        <w:rPr>
          <w:iCs/>
          <w:i/>
        </w:rPr>
        <w:t xml:space="preserve">Am J Health Syst Pharm</w:t>
      </w:r>
      <w:r>
        <w:t xml:space="preserve"> </w:t>
      </w:r>
      <w:r>
        <w:t xml:space="preserve">· Properties of pramlintide and insulin upon mixing. PMID 15821274</w:t>
      </w:r>
    </w:p>
    <w:p>
      <w:pPr>
        <w:numPr>
          <w:ilvl w:val="0"/>
          <w:numId w:val="1387"/>
        </w:numPr>
        <w:pStyle w:val="Compact"/>
      </w:pPr>
      <w:r>
        <w:t xml:space="preserve">2005 · Heptulla RA ·</w:t>
      </w:r>
      <w:r>
        <w:t xml:space="preserve"> </w:t>
      </w:r>
      <w:r>
        <w:rPr>
          <w:iCs/>
          <w:i/>
        </w:rPr>
        <w:t xml:space="preserve">Diabetes</w:t>
      </w:r>
      <w:r>
        <w:t xml:space="preserve"> </w:t>
      </w:r>
      <w:r>
        <w:t xml:space="preserve">· The role of amylin and glucagon in the dampening of glycemic excursions in children with type 1 diabetes. PMID 15793249</w:t>
      </w:r>
    </w:p>
    <w:p>
      <w:pPr>
        <w:numPr>
          <w:ilvl w:val="0"/>
          <w:numId w:val="1387"/>
        </w:numPr>
        <w:pStyle w:val="Compact"/>
      </w:pPr>
      <w:r>
        <w:t xml:space="preserve">2005 · Ceriello A ·</w:t>
      </w:r>
      <w:r>
        <w:t xml:space="preserve"> </w:t>
      </w:r>
      <w:r>
        <w:rPr>
          <w:iCs/>
          <w:i/>
        </w:rPr>
        <w:t xml:space="preserve">Diabetes Care</w:t>
      </w:r>
      <w:r>
        <w:t xml:space="preserve"> </w:t>
      </w:r>
      <w:r>
        <w:t xml:space="preserve">· Effects of pramlintide on postprandial glucose excursions and measures of oxidative stress in patients with type 1 diabetes. PMID 15735200</w:t>
      </w:r>
    </w:p>
    <w:p>
      <w:pPr>
        <w:numPr>
          <w:ilvl w:val="0"/>
          <w:numId w:val="1387"/>
        </w:numPr>
        <w:pStyle w:val="Compact"/>
      </w:pPr>
      <w:r>
        <w:t xml:space="preserve">2004 · Ratner RE ·</w:t>
      </w:r>
      <w:r>
        <w:t xml:space="preserve"> </w:t>
      </w:r>
      <w:r>
        <w:rPr>
          <w:iCs/>
          <w:i/>
        </w:rPr>
        <w:t xml:space="preserve">Diabet Med</w:t>
      </w:r>
      <w:r>
        <w:t xml:space="preserve"> </w:t>
      </w:r>
      <w:r>
        <w:t xml:space="preserve">· Amylin replacement with pramlintide as an adjunct to insulin therapy improves long-term glycaemic and weight control in Type 1 diabetes mellitus: a 1-year, randomized controlled trial. PMID 15498087</w:t>
      </w:r>
    </w:p>
    <w:p>
      <w:pPr>
        <w:numPr>
          <w:ilvl w:val="0"/>
          <w:numId w:val="1387"/>
        </w:numPr>
        <w:pStyle w:val="Compact"/>
      </w:pPr>
      <w:r>
        <w:t xml:space="preserve">2004 · Heise T ·</w:t>
      </w:r>
      <w:r>
        <w:t xml:space="preserve"> </w:t>
      </w:r>
      <w:r>
        <w:rPr>
          <w:iCs/>
          <w:i/>
        </w:rPr>
        <w:t xml:space="preserve">Metabolism</w:t>
      </w:r>
      <w:r>
        <w:t xml:space="preserve"> </w:t>
      </w:r>
      <w:r>
        <w:t xml:space="preserve">· Effect of pramlintide on symptom, catecholamine, and glucagon responses to hypoglycemia in healthy subjects. PMID 15334389</w:t>
      </w:r>
    </w:p>
    <w:p>
      <w:pPr>
        <w:numPr>
          <w:ilvl w:val="0"/>
          <w:numId w:val="1387"/>
        </w:numPr>
        <w:pStyle w:val="Compact"/>
      </w:pPr>
      <w:r>
        <w:t xml:space="preserve">2004 · Hollander P ·</w:t>
      </w:r>
      <w:r>
        <w:t xml:space="preserve"> </w:t>
      </w:r>
      <w:r>
        <w:rPr>
          <w:iCs/>
          <w:i/>
        </w:rPr>
        <w:t xml:space="preserve">Obes Res</w:t>
      </w:r>
      <w:r>
        <w:t xml:space="preserve"> </w:t>
      </w:r>
      <w:r>
        <w:t xml:space="preserve">· Effect of pramlintide on weight in overweight and obese insulin-treated type 2 diabetes patients. PMID 15090634</w:t>
      </w:r>
    </w:p>
    <w:p>
      <w:pPr>
        <w:numPr>
          <w:ilvl w:val="0"/>
          <w:numId w:val="1387"/>
        </w:numPr>
        <w:pStyle w:val="Compact"/>
      </w:pPr>
      <w:r>
        <w:t xml:space="preserve">2004 · Maggs DG ·</w:t>
      </w:r>
      <w:r>
        <w:t xml:space="preserve"> </w:t>
      </w:r>
      <w:r>
        <w:rPr>
          <w:iCs/>
          <w:i/>
        </w:rPr>
        <w:t xml:space="preserve">Diabetes Metab Res Rev</w:t>
      </w:r>
      <w:r>
        <w:t xml:space="preserve"> </w:t>
      </w:r>
      <w:r>
        <w:t xml:space="preserve">· Pramlintide reduces postprandial glucose excursions when added to insulin lispro in subjects with type 2 diabetes: a dose-timing study. PMID 14737746</w:t>
      </w:r>
    </w:p>
    <w:p>
      <w:pPr>
        <w:numPr>
          <w:ilvl w:val="0"/>
          <w:numId w:val="1387"/>
        </w:numPr>
        <w:pStyle w:val="Compact"/>
      </w:pPr>
      <w:r>
        <w:t xml:space="preserve">2003 · Maggs D ·</w:t>
      </w:r>
      <w:r>
        <w:t xml:space="preserve"> </w:t>
      </w:r>
      <w:r>
        <w:rPr>
          <w:iCs/>
          <w:i/>
        </w:rPr>
        <w:t xml:space="preserve">Metabolism</w:t>
      </w:r>
      <w:r>
        <w:t xml:space="preserve"> </w:t>
      </w:r>
      <w:r>
        <w:t xml:space="preserve">· Effect of pramlintide on A1C and body weight in insulin-treated African Americans and Hispanics with type 2 diabetes: a pooled post hoc analysis. PMID 14669170</w:t>
      </w:r>
    </w:p>
    <w:p>
      <w:pPr>
        <w:numPr>
          <w:ilvl w:val="0"/>
          <w:numId w:val="1387"/>
        </w:numPr>
        <w:pStyle w:val="Compact"/>
      </w:pPr>
      <w:r>
        <w:t xml:space="preserve">2003 · Weyer C ·</w:t>
      </w:r>
      <w:r>
        <w:t xml:space="preserve"> </w:t>
      </w:r>
      <w:r>
        <w:rPr>
          <w:iCs/>
          <w:i/>
        </w:rPr>
        <w:t xml:space="preserve">Diabetes Care</w:t>
      </w:r>
      <w:r>
        <w:t xml:space="preserve"> </w:t>
      </w:r>
      <w:r>
        <w:t xml:space="preserve">· Pramlintide reduces postprandial glucose excursions when added to regular insulin or insulin lispro in subjects with type 1 diabetes: a dose-timing study. PMID 14578242</w:t>
      </w:r>
    </w:p>
    <w:p>
      <w:pPr>
        <w:numPr>
          <w:ilvl w:val="0"/>
          <w:numId w:val="1387"/>
        </w:numPr>
        <w:pStyle w:val="Compact"/>
      </w:pPr>
      <w:r>
        <w:t xml:space="preserve">2003 · Hollander PA ·</w:t>
      </w:r>
      <w:r>
        <w:t xml:space="preserve"> </w:t>
      </w:r>
      <w:r>
        <w:rPr>
          <w:iCs/>
          <w:i/>
        </w:rPr>
        <w:t xml:space="preserve">Diabetes Care</w:t>
      </w:r>
      <w:r>
        <w:t xml:space="preserve"> </w:t>
      </w:r>
      <w:r>
        <w:t xml:space="preserve">· Pramlintide as an adjunct to insulin therapy improves long-term glycemic and weight control in patients with type 2 diabetes: a 1-year randomized controlled trial. PMID 12610038</w:t>
      </w:r>
    </w:p>
    <w:p>
      <w:pPr>
        <w:numPr>
          <w:ilvl w:val="0"/>
          <w:numId w:val="1387"/>
        </w:numPr>
        <w:pStyle w:val="Compact"/>
      </w:pPr>
      <w:r>
        <w:t xml:space="preserve">2003 · Levetan C ·</w:t>
      </w:r>
      <w:r>
        <w:t xml:space="preserve"> </w:t>
      </w:r>
      <w:r>
        <w:rPr>
          <w:iCs/>
          <w:i/>
        </w:rPr>
        <w:t xml:space="preserve">Diabetes Care</w:t>
      </w:r>
      <w:r>
        <w:t xml:space="preserve"> </w:t>
      </w:r>
      <w:r>
        <w:t xml:space="preserve">· Impact of pramlintide on glucose fluctuations and postprandial glucose, glucagon, and triglyceride excursions among patients with type 1 diabetes intensively treated with insulin pumps. PMID 12502651</w:t>
      </w:r>
    </w:p>
    <w:p>
      <w:pPr>
        <w:numPr>
          <w:ilvl w:val="0"/>
          <w:numId w:val="1387"/>
        </w:numPr>
        <w:pStyle w:val="Compact"/>
      </w:pPr>
      <w:r>
        <w:t xml:space="preserve">2002 · Fineman M ·</w:t>
      </w:r>
      <w:r>
        <w:t xml:space="preserve"> </w:t>
      </w:r>
      <w:r>
        <w:rPr>
          <w:iCs/>
          <w:i/>
        </w:rPr>
        <w:t xml:space="preserve">Horm Metab Res</w:t>
      </w:r>
      <w:r>
        <w:t xml:space="preserve"> </w:t>
      </w:r>
      <w:r>
        <w:t xml:space="preserve">· The human amylin analog, pramlintide, reduces postprandial hyperglucagonemia in patients with type 2 diabetes mellitus. PMID 12384827</w:t>
      </w:r>
    </w:p>
    <w:p>
      <w:pPr>
        <w:numPr>
          <w:ilvl w:val="0"/>
          <w:numId w:val="1387"/>
        </w:numPr>
        <w:pStyle w:val="Compact"/>
      </w:pPr>
      <w:r>
        <w:t xml:space="preserve">2002 · Ratner RE ·</w:t>
      </w:r>
      <w:r>
        <w:t xml:space="preserve"> </w:t>
      </w:r>
      <w:r>
        <w:rPr>
          <w:iCs/>
          <w:i/>
        </w:rPr>
        <w:t xml:space="preserve">Diabetes Technol Ther</w:t>
      </w:r>
      <w:r>
        <w:t xml:space="preserve"> </w:t>
      </w:r>
      <w:r>
        <w:t xml:space="preserve">· Adjunctive therapy with the amylin analogue pramlintide leads to a combined improvement in glycemic and weight control in insulin-treated subjects with type 2 diabetes. PMID 12017421</w:t>
      </w:r>
    </w:p>
    <w:p>
      <w:pPr>
        <w:numPr>
          <w:ilvl w:val="0"/>
          <w:numId w:val="1387"/>
        </w:numPr>
        <w:pStyle w:val="Compact"/>
      </w:pPr>
      <w:r>
        <w:t xml:space="preserve">2002 · Fineman MS ·</w:t>
      </w:r>
      <w:r>
        <w:t xml:space="preserve"> </w:t>
      </w:r>
      <w:r>
        <w:rPr>
          <w:iCs/>
          <w:i/>
        </w:rPr>
        <w:t xml:space="preserve">Metabolism</w:t>
      </w:r>
      <w:r>
        <w:t xml:space="preserve"> </w:t>
      </w:r>
      <w:r>
        <w:t xml:space="preserve">· The human amylin analog, pramlintide, corrects postprandial hyperglucagonemia in patients with type 1 diabetes. PMID 11979398</w:t>
      </w:r>
    </w:p>
    <w:p>
      <w:pPr>
        <w:numPr>
          <w:ilvl w:val="0"/>
          <w:numId w:val="1387"/>
        </w:numPr>
        <w:pStyle w:val="Compact"/>
      </w:pPr>
      <w:r>
        <w:t xml:space="preserve">2002 · Vella A ·</w:t>
      </w:r>
      <w:r>
        <w:t xml:space="preserve"> </w:t>
      </w:r>
      <w:r>
        <w:rPr>
          <w:iCs/>
          <w:i/>
        </w:rPr>
        <w:t xml:space="preserve">Neurogastroenterol Motil</w:t>
      </w:r>
      <w:r>
        <w:t xml:space="preserve"> </w:t>
      </w:r>
      <w:r>
        <w:t xml:space="preserve">· Effects of pramlintide, an amylin analogue, on gastric emptying in type 1 and 2 diabetes mellitus. PMID 11975712</w:t>
      </w:r>
    </w:p>
    <w:p>
      <w:pPr>
        <w:numPr>
          <w:ilvl w:val="0"/>
          <w:numId w:val="1387"/>
        </w:numPr>
        <w:pStyle w:val="Compact"/>
      </w:pPr>
      <w:r>
        <w:t xml:space="preserve">2002 · Whitehouse F ·</w:t>
      </w:r>
      <w:r>
        <w:t xml:space="preserve"> </w:t>
      </w:r>
      <w:r>
        <w:rPr>
          <w:iCs/>
          <w:i/>
        </w:rPr>
        <w:t xml:space="preserve">Diabetes Care</w:t>
      </w:r>
      <w:r>
        <w:t xml:space="preserve"> </w:t>
      </w:r>
      <w:r>
        <w:t xml:space="preserve">· A randomized study and open-label extension evaluating the long-term efficacy of pramlintide as an adjunct to insulin therapy in type 1 diabetes. PMID 11919132</w:t>
      </w:r>
    </w:p>
    <w:p>
      <w:pPr>
        <w:numPr>
          <w:ilvl w:val="0"/>
          <w:numId w:val="1387"/>
        </w:numPr>
        <w:pStyle w:val="Compact"/>
      </w:pPr>
      <w:r>
        <w:t xml:space="preserve">2000 · Samsom M ·</w:t>
      </w:r>
      <w:r>
        <w:t xml:space="preserve"> </w:t>
      </w:r>
      <w:r>
        <w:rPr>
          <w:iCs/>
          <w:i/>
        </w:rPr>
        <w:t xml:space="preserve">Am J Physiol Gastrointest Liver Physiol</w:t>
      </w:r>
      <w:r>
        <w:t xml:space="preserve"> </w:t>
      </w:r>
      <w:r>
        <w:t xml:space="preserve">· Pramlintide, an amylin analog, selectively delays gastric emptying: potential role of vagal inhibition. PMID 10859225</w:t>
      </w:r>
    </w:p>
    <w:p>
      <w:pPr>
        <w:numPr>
          <w:ilvl w:val="0"/>
          <w:numId w:val="1387"/>
        </w:numPr>
        <w:pStyle w:val="Compact"/>
      </w:pPr>
      <w:r>
        <w:t xml:space="preserve">1999 · Orskov L ·</w:t>
      </w:r>
      <w:r>
        <w:t xml:space="preserve"> </w:t>
      </w:r>
      <w:r>
        <w:rPr>
          <w:iCs/>
          <w:i/>
        </w:rPr>
        <w:t xml:space="preserve">Diabet Med</w:t>
      </w:r>
      <w:r>
        <w:t xml:space="preserve"> </w:t>
      </w:r>
      <w:r>
        <w:t xml:space="preserve">· Effects of the amylin analogue pramlintide on hepatic glucagon responses and intermediary metabolism in Type 1 diabetic subjects. PMID 10547215</w:t>
      </w:r>
    </w:p>
    <w:p>
      <w:pPr>
        <w:numPr>
          <w:ilvl w:val="0"/>
          <w:numId w:val="1387"/>
        </w:numPr>
        <w:pStyle w:val="Compact"/>
      </w:pPr>
      <w:r>
        <w:t xml:space="preserve">1999 · Nyholm B ·</w:t>
      </w:r>
      <w:r>
        <w:t xml:space="preserve"> </w:t>
      </w:r>
      <w:r>
        <w:rPr>
          <w:iCs/>
          <w:i/>
        </w:rPr>
        <w:t xml:space="preserve">Metabolism</w:t>
      </w:r>
      <w:r>
        <w:t xml:space="preserve"> </w:t>
      </w:r>
      <w:r>
        <w:t xml:space="preserve">· The amylin analog pramlintide improves glycemic control and reduces postprandial glucagon concentrations in patients with type 1 diabetes mellitus. PMID 10421239</w:t>
      </w:r>
    </w:p>
    <w:p>
      <w:pPr>
        <w:numPr>
          <w:ilvl w:val="0"/>
          <w:numId w:val="1387"/>
        </w:numPr>
        <w:pStyle w:val="Compact"/>
      </w:pPr>
      <w:r>
        <w:t xml:space="preserve">1998 · Kong MF ·</w:t>
      </w:r>
      <w:r>
        <w:t xml:space="preserve"> </w:t>
      </w:r>
      <w:r>
        <w:rPr>
          <w:iCs/>
          <w:i/>
        </w:rPr>
        <w:t xml:space="preserve">Diabetologia</w:t>
      </w:r>
      <w:r>
        <w:t xml:space="preserve"> </w:t>
      </w:r>
      <w:r>
        <w:t xml:space="preserve">· The effect of single doses of pramlintide on gastric emptying of two meals in men with IDDM. PMID 9628276</w:t>
      </w:r>
    </w:p>
    <w:p>
      <w:pPr>
        <w:numPr>
          <w:ilvl w:val="0"/>
          <w:numId w:val="1387"/>
        </w:numPr>
        <w:pStyle w:val="Compact"/>
      </w:pPr>
      <w:r>
        <w:t xml:space="preserve">1998 · Thompson RG ·</w:t>
      </w:r>
      <w:r>
        <w:t xml:space="preserve"> </w:t>
      </w:r>
      <w:r>
        <w:rPr>
          <w:iCs/>
          <w:i/>
        </w:rPr>
        <w:t xml:space="preserve">Diabetes Care</w:t>
      </w:r>
      <w:r>
        <w:t xml:space="preserve"> </w:t>
      </w:r>
      <w:r>
        <w:t xml:space="preserve">· Pramlintide, a synthetic analog of human amylin, improves the metabolic profile of patients with type 2 diabetes using insulin. The Pramlintide in Type 2 Diabetes Group. PMID 9614619</w:t>
      </w:r>
    </w:p>
    <w:p>
      <w:pPr>
        <w:numPr>
          <w:ilvl w:val="0"/>
          <w:numId w:val="1387"/>
        </w:numPr>
        <w:pStyle w:val="Compact"/>
      </w:pPr>
      <w:r>
        <w:t xml:space="preserve">1997 · Thompson RG ·</w:t>
      </w:r>
      <w:r>
        <w:t xml:space="preserve"> </w:t>
      </w:r>
      <w:r>
        <w:rPr>
          <w:iCs/>
          <w:i/>
        </w:rPr>
        <w:t xml:space="preserve">Diabetologia</w:t>
      </w:r>
      <w:r>
        <w:t xml:space="preserve"> </w:t>
      </w:r>
      <w:r>
        <w:t xml:space="preserve">· Effects of 4 weeks’ administration of pramlintide, a human amylin analogue, on glycaemia control in patients with IDDM: effects on plasma glucose profiles and serum fructosamine concentrations. PMID 9389419</w:t>
      </w:r>
    </w:p>
    <w:p>
      <w:pPr>
        <w:numPr>
          <w:ilvl w:val="0"/>
          <w:numId w:val="1387"/>
        </w:numPr>
        <w:pStyle w:val="Compact"/>
      </w:pPr>
      <w:r>
        <w:t xml:space="preserve">1997 · Thompson RG ·</w:t>
      </w:r>
      <w:r>
        <w:t xml:space="preserve"> </w:t>
      </w:r>
      <w:r>
        <w:rPr>
          <w:iCs/>
          <w:i/>
        </w:rPr>
        <w:t xml:space="preserve">Diabet Med</w:t>
      </w:r>
      <w:r>
        <w:t xml:space="preserve"> </w:t>
      </w:r>
      <w:r>
        <w:t xml:space="preserve">· Pramlintide: a human amylin analogue reduced postprandial plasma glucose, insulin, and C-peptide concentrations in patients with type 2 diabetes. PMID 9223392</w:t>
      </w:r>
    </w:p>
    <w:p>
      <w:pPr>
        <w:numPr>
          <w:ilvl w:val="0"/>
          <w:numId w:val="1387"/>
        </w:numPr>
        <w:pStyle w:val="Compact"/>
      </w:pPr>
      <w:r>
        <w:t xml:space="preserve">1997 · Thompson RG ·</w:t>
      </w:r>
      <w:r>
        <w:t xml:space="preserve"> </w:t>
      </w:r>
      <w:r>
        <w:rPr>
          <w:iCs/>
          <w:i/>
        </w:rPr>
        <w:t xml:space="preserve">Diabetes</w:t>
      </w:r>
      <w:r>
        <w:t xml:space="preserve"> </w:t>
      </w:r>
      <w:r>
        <w:t xml:space="preserve">· Effects of pramlintide, an analog of human amylin, on plasma glucose profiles in patients with IDDM: results of a multicenter trial. PMID 9075803</w:t>
      </w:r>
    </w:p>
    <w:p>
      <w:pPr>
        <w:numPr>
          <w:ilvl w:val="0"/>
          <w:numId w:val="1387"/>
        </w:numPr>
        <w:pStyle w:val="Compact"/>
      </w:pPr>
      <w:r>
        <w:t xml:space="preserve">1997 · Kong MF ·</w:t>
      </w:r>
      <w:r>
        <w:t xml:space="preserve"> </w:t>
      </w:r>
      <w:r>
        <w:rPr>
          <w:iCs/>
          <w:i/>
        </w:rPr>
        <w:t xml:space="preserve">Diabetologia</w:t>
      </w:r>
      <w:r>
        <w:t xml:space="preserve"> </w:t>
      </w:r>
      <w:r>
        <w:t xml:space="preserve">· Infusion of pramlintide, a human amylin analogue, delays gastric emptying in men with IDDM. PMID 9028722</w:t>
      </w:r>
    </w:p>
    <w:p>
      <w:pPr>
        <w:numPr>
          <w:ilvl w:val="0"/>
          <w:numId w:val="1387"/>
        </w:numPr>
        <w:pStyle w:val="Compact"/>
      </w:pPr>
      <w:r>
        <w:t xml:space="preserve">1996 · Kolterman OG ·</w:t>
      </w:r>
      <w:r>
        <w:t xml:space="preserve"> </w:t>
      </w:r>
      <w:r>
        <w:rPr>
          <w:iCs/>
          <w:i/>
        </w:rPr>
        <w:t xml:space="preserve">Diabetologia</w:t>
      </w:r>
      <w:r>
        <w:t xml:space="preserve"> </w:t>
      </w:r>
      <w:r>
        <w:t xml:space="preserve">· Effect of 14 days’ subcutaneous administration of the human amylin analogue, pramlintide (AC137), on an intravenous insulin challenge and response to a standard liquid meal in patients with IDDM. PMID 8778001</w:t>
      </w:r>
    </w:p>
    <w:bookmarkEnd w:id="3022"/>
    <w:bookmarkStart w:id="3023" w:name="setmelanotida-15"/>
    <w:p>
      <w:pPr>
        <w:pStyle w:val="Heading2"/>
      </w:pPr>
      <w:r>
        <w:t xml:space="preserve">Setmelanotida (15)</w:t>
      </w:r>
    </w:p>
    <w:p>
      <w:pPr>
        <w:numPr>
          <w:ilvl w:val="0"/>
          <w:numId w:val="1388"/>
        </w:numPr>
        <w:pStyle w:val="Compact"/>
      </w:pPr>
      <w:r>
        <w:t xml:space="preserve">2026 · Miller JL ·</w:t>
      </w:r>
      <w:r>
        <w:t xml:space="preserve"> </w:t>
      </w:r>
      <w:r>
        <w:rPr>
          <w:iCs/>
          <w:i/>
        </w:rPr>
        <w:t xml:space="preserve">N Engl J Med</w:t>
      </w:r>
      <w:r>
        <w:t xml:space="preserve"> </w:t>
      </w:r>
      <w:r>
        <w:t xml:space="preserve">· Setmelanotide for the Treatment of Acquired Hypothalamic Obesity. PMID 42418774</w:t>
      </w:r>
    </w:p>
    <w:p>
      <w:pPr>
        <w:numPr>
          <w:ilvl w:val="0"/>
          <w:numId w:val="1388"/>
        </w:numPr>
        <w:pStyle w:val="Compact"/>
      </w:pPr>
      <w:r>
        <w:t xml:space="preserve">2026 · Argente J ·</w:t>
      </w:r>
      <w:r>
        <w:t xml:space="preserve"> </w:t>
      </w:r>
      <w:r>
        <w:rPr>
          <w:iCs/>
          <w:i/>
        </w:rPr>
        <w:t xml:space="preserve">Obesity (Silver Spring)</w:t>
      </w:r>
      <w:r>
        <w:t xml:space="preserve"> </w:t>
      </w:r>
      <w:r>
        <w:t xml:space="preserve">· Setmelanotide in Bardet-Biedl Syndrome: A 52-Week Comparison of Phase 3 Trial Participants With a Matched Registry Cohort. PMID 41703984</w:t>
      </w:r>
    </w:p>
    <w:p>
      <w:pPr>
        <w:numPr>
          <w:ilvl w:val="0"/>
          <w:numId w:val="1388"/>
        </w:numPr>
        <w:pStyle w:val="Compact"/>
      </w:pPr>
      <w:r>
        <w:t xml:space="preserve">2025 · Haqq AM ·</w:t>
      </w:r>
      <w:r>
        <w:t xml:space="preserve"> </w:t>
      </w:r>
      <w:r>
        <w:rPr>
          <w:iCs/>
          <w:i/>
        </w:rPr>
        <w:t xml:space="preserve">J Clin Endocrinol Metab</w:t>
      </w:r>
      <w:r>
        <w:t xml:space="preserve"> </w:t>
      </w:r>
      <w:r>
        <w:t xml:space="preserve">· Impact of Setmelanotide on Metabolic Syndrome Risk in Patients With Bardet-Biedl Syndrome. PMID 39919037</w:t>
      </w:r>
    </w:p>
    <w:p>
      <w:pPr>
        <w:numPr>
          <w:ilvl w:val="0"/>
          <w:numId w:val="1388"/>
        </w:numPr>
        <w:pStyle w:val="Compact"/>
      </w:pPr>
      <w:r>
        <w:t xml:space="preserve">2025 · Argente J ·</w:t>
      </w:r>
      <w:r>
        <w:t xml:space="preserve"> </w:t>
      </w:r>
      <w:r>
        <w:rPr>
          <w:iCs/>
          <w:i/>
        </w:rPr>
        <w:t xml:space="preserve">Lancet Diabetes Endocrinol</w:t>
      </w:r>
      <w:r>
        <w:t xml:space="preserve"> </w:t>
      </w:r>
      <w:r>
        <w:t xml:space="preserve">· Setmelanotide in patients aged 2-5 years with rare MC4R pathway-associated obesity (VENTURE): a 1 year, open-label, multicenter, phase 3 trial. PMID 39549719</w:t>
      </w:r>
    </w:p>
    <w:p>
      <w:pPr>
        <w:numPr>
          <w:ilvl w:val="0"/>
          <w:numId w:val="1388"/>
        </w:numPr>
        <w:pStyle w:val="Compact"/>
      </w:pPr>
      <w:r>
        <w:t xml:space="preserve">2024 · Delplanque J ·</w:t>
      </w:r>
      <w:r>
        <w:t xml:space="preserve"> </w:t>
      </w:r>
      <w:r>
        <w:rPr>
          <w:iCs/>
          <w:i/>
        </w:rPr>
        <w:t xml:space="preserve">Am J Hum Genet</w:t>
      </w:r>
      <w:r>
        <w:t xml:space="preserve"> </w:t>
      </w:r>
      <w:r>
        <w:t xml:space="preserve">· Monoallelic pathogenic variants in LEPR do not cause obesity. PMID 39561769</w:t>
      </w:r>
    </w:p>
    <w:p>
      <w:pPr>
        <w:numPr>
          <w:ilvl w:val="0"/>
          <w:numId w:val="1388"/>
        </w:numPr>
        <w:pStyle w:val="Compact"/>
      </w:pPr>
      <w:r>
        <w:t xml:space="preserve">2024 · Roth CL ·</w:t>
      </w:r>
      <w:r>
        <w:t xml:space="preserve"> </w:t>
      </w:r>
      <w:r>
        <w:rPr>
          <w:iCs/>
          <w:i/>
        </w:rPr>
        <w:t xml:space="preserve">Lancet Diabetes Endocrinol</w:t>
      </w:r>
      <w:r>
        <w:t xml:space="preserve"> </w:t>
      </w:r>
      <w:r>
        <w:t xml:space="preserve">· Setmelanotide for the treatment of acquired hypothalamic obesity: a phase 2, open-label, multicentre trial. PMID 38697184</w:t>
      </w:r>
    </w:p>
    <w:p>
      <w:pPr>
        <w:numPr>
          <w:ilvl w:val="0"/>
          <w:numId w:val="1388"/>
        </w:numPr>
        <w:pStyle w:val="Compact"/>
      </w:pPr>
      <w:r>
        <w:t xml:space="preserve">2023 · van Santen HM ·</w:t>
      </w:r>
      <w:r>
        <w:t xml:space="preserve"> </w:t>
      </w:r>
      <w:r>
        <w:rPr>
          <w:iCs/>
          <w:i/>
        </w:rPr>
        <w:t xml:space="preserve">Front Endocrinol (Lausanne)</w:t>
      </w:r>
      <w:r>
        <w:t xml:space="preserve"> </w:t>
      </w:r>
      <w:r>
        <w:t xml:space="preserve">· Could setmelanotide be the game-changer for acquired hypothalamic obesity?. PMID 38239988</w:t>
      </w:r>
    </w:p>
    <w:p>
      <w:pPr>
        <w:numPr>
          <w:ilvl w:val="0"/>
          <w:numId w:val="1388"/>
        </w:numPr>
        <w:pStyle w:val="Compact"/>
      </w:pPr>
      <w:r>
        <w:t xml:space="preserve">2023 · Forsythe E ·</w:t>
      </w:r>
      <w:r>
        <w:t xml:space="preserve"> </w:t>
      </w:r>
      <w:r>
        <w:rPr>
          <w:iCs/>
          <w:i/>
        </w:rPr>
        <w:t xml:space="preserve">Orphanet J Rare Dis</w:t>
      </w:r>
      <w:r>
        <w:t xml:space="preserve"> </w:t>
      </w:r>
      <w:r>
        <w:t xml:space="preserve">· Quality of life improvements following one year of setmelanotide in children and adult patients with Bardet-Biedl syndrome: phase 3 trial results. PMID 36647077</w:t>
      </w:r>
    </w:p>
    <w:p>
      <w:pPr>
        <w:numPr>
          <w:ilvl w:val="0"/>
          <w:numId w:val="1388"/>
        </w:numPr>
        <w:pStyle w:val="Compact"/>
      </w:pPr>
      <w:r>
        <w:t xml:space="preserve">2022 · Haqq AM ·</w:t>
      </w:r>
      <w:r>
        <w:t xml:space="preserve"> </w:t>
      </w:r>
      <w:r>
        <w:rPr>
          <w:iCs/>
          <w:i/>
        </w:rPr>
        <w:t xml:space="preserve">Lancet Diabetes Endocrinol</w:t>
      </w:r>
      <w:r>
        <w:t xml:space="preserve"> </w:t>
      </w:r>
      <w:r>
        <w:t xml:space="preserve">· Efficacy and safety of setmelanotide, a melanocortin-4 receptor agonist, in patients with Bardet-Biedl syndrome and Alström syndrome: a multicentre, randomised, double-blind, placebo-controlled, phase 3 trial with an open-label period. PMID 36356613</w:t>
      </w:r>
    </w:p>
    <w:p>
      <w:pPr>
        <w:numPr>
          <w:ilvl w:val="0"/>
          <w:numId w:val="1388"/>
        </w:numPr>
        <w:pStyle w:val="Compact"/>
      </w:pPr>
      <w:r>
        <w:t xml:space="preserve">2022 · Kühnen P ·</w:t>
      </w:r>
      <w:r>
        <w:t xml:space="preserve"> </w:t>
      </w:r>
      <w:r>
        <w:rPr>
          <w:iCs/>
          <w:i/>
        </w:rPr>
        <w:t xml:space="preserve">Orphanet J Rare Dis</w:t>
      </w:r>
      <w:r>
        <w:t xml:space="preserve"> </w:t>
      </w:r>
      <w:r>
        <w:t xml:space="preserve">· Quality of life outcomes in two phase 3 trials of setmelanotide in patients with obesity due to LEPR or POMC deficiency. PMID 35123544</w:t>
      </w:r>
    </w:p>
    <w:p>
      <w:pPr>
        <w:numPr>
          <w:ilvl w:val="0"/>
          <w:numId w:val="1388"/>
        </w:numPr>
        <w:pStyle w:val="Compact"/>
      </w:pPr>
      <w:r>
        <w:t xml:space="preserve">2021 · Kanti V ·</w:t>
      </w:r>
      <w:r>
        <w:t xml:space="preserve"> </w:t>
      </w:r>
      <w:r>
        <w:rPr>
          <w:iCs/>
          <w:i/>
        </w:rPr>
        <w:t xml:space="preserve">Skin Pharmacol Physiol</w:t>
      </w:r>
      <w:r>
        <w:t xml:space="preserve"> </w:t>
      </w:r>
      <w:r>
        <w:t xml:space="preserve">· A Melanocortin-4 Receptor Agonist Induces Skin and Hair Pigmentation in Patients with Monogenic Mutations in the Leptin-Melanocortin Pathway. PMID 34058738</w:t>
      </w:r>
    </w:p>
    <w:p>
      <w:pPr>
        <w:numPr>
          <w:ilvl w:val="0"/>
          <w:numId w:val="1388"/>
        </w:numPr>
        <w:pStyle w:val="Compact"/>
      </w:pPr>
      <w:r>
        <w:t xml:space="preserve">2020 · Clément K ·</w:t>
      </w:r>
      <w:r>
        <w:t xml:space="preserve"> </w:t>
      </w:r>
      <w:r>
        <w:rPr>
          <w:iCs/>
          <w:i/>
        </w:rPr>
        <w:t xml:space="preserve">Lancet Diabetes Endocrinol</w:t>
      </w:r>
      <w:r>
        <w:t xml:space="preserve"> </w:t>
      </w:r>
      <w:r>
        <w:t xml:space="preserve">· Efficacy and safety of setmelanotide, an MC4R agonist, in individuals with severe obesity due to LEPR or POMC deficiency: single-arm, open-label, multicentre, phase 3 trials. PMID 33137293</w:t>
      </w:r>
    </w:p>
    <w:p>
      <w:pPr>
        <w:numPr>
          <w:ilvl w:val="0"/>
          <w:numId w:val="1388"/>
        </w:numPr>
        <w:pStyle w:val="Compact"/>
      </w:pPr>
      <w:r>
        <w:t xml:space="preserve">2018 · Clément K ·</w:t>
      </w:r>
      <w:r>
        <w:t xml:space="preserve"> </w:t>
      </w:r>
      <w:r>
        <w:rPr>
          <w:iCs/>
          <w:i/>
        </w:rPr>
        <w:t xml:space="preserve">Nat Med</w:t>
      </w:r>
      <w:r>
        <w:t xml:space="preserve"> </w:t>
      </w:r>
      <w:r>
        <w:t xml:space="preserve">· MC4R agonism promotes durable weight loss in patients with leptin receptor deficiency. PMID 29736023</w:t>
      </w:r>
    </w:p>
    <w:p>
      <w:pPr>
        <w:numPr>
          <w:ilvl w:val="0"/>
          <w:numId w:val="1388"/>
        </w:numPr>
        <w:pStyle w:val="Compact"/>
      </w:pPr>
      <w:r>
        <w:t xml:space="preserve">2017 · Collet TH ·</w:t>
      </w:r>
      <w:r>
        <w:t xml:space="preserve"> </w:t>
      </w:r>
      <w:r>
        <w:rPr>
          <w:iCs/>
          <w:i/>
        </w:rPr>
        <w:t xml:space="preserve">Mol Metab</w:t>
      </w:r>
      <w:r>
        <w:t xml:space="preserve"> </w:t>
      </w:r>
      <w:r>
        <w:t xml:space="preserve">· Evaluation of a melanocortin-4 receptor (MC4R) agonist (Setmelanotide) in MC4R deficiency. PMID 29031731</w:t>
      </w:r>
    </w:p>
    <w:p>
      <w:pPr>
        <w:numPr>
          <w:ilvl w:val="0"/>
          <w:numId w:val="1388"/>
        </w:numPr>
        <w:pStyle w:val="Compact"/>
      </w:pPr>
      <w:r>
        <w:t xml:space="preserve">2016 · Kühnen P ·</w:t>
      </w:r>
      <w:r>
        <w:t xml:space="preserve"> </w:t>
      </w:r>
      <w:r>
        <w:rPr>
          <w:iCs/>
          <w:i/>
        </w:rPr>
        <w:t xml:space="preserve">N Engl J Med</w:t>
      </w:r>
      <w:r>
        <w:t xml:space="preserve"> </w:t>
      </w:r>
      <w:r>
        <w:t xml:space="preserve">· Proopiomelanocortin Deficiency Treated with a Melanocortin-4 Receptor Agonist. PMID 27468060</w:t>
      </w:r>
    </w:p>
    <w:bookmarkEnd w:id="3023"/>
    <w:bookmarkStart w:id="3024" w:name="aod-9604-0"/>
    <w:p>
      <w:pPr>
        <w:pStyle w:val="Heading2"/>
      </w:pPr>
      <w:r>
        <w:t xml:space="preserve">AOD-9604 (0)</w:t>
      </w:r>
    </w:p>
    <w:p>
      <w:pPr>
        <w:pStyle w:val="FirstParagraph"/>
      </w:pPr>
      <w:r>
        <w:t xml:space="preserve">Nenhuma publicação de estudos clínicos em humanos encontrada.</w:t>
      </w:r>
    </w:p>
    <w:bookmarkEnd w:id="3024"/>
    <w:bookmarkStart w:id="3025" w:name="orforglipron-para-comparação-20"/>
    <w:p>
      <w:pPr>
        <w:pStyle w:val="Heading2"/>
      </w:pPr>
      <w:r>
        <w:t xml:space="preserve">Orforglipron (para comparação) (20)</w:t>
      </w:r>
    </w:p>
    <w:p>
      <w:pPr>
        <w:numPr>
          <w:ilvl w:val="0"/>
          <w:numId w:val="1389"/>
        </w:numPr>
        <w:pStyle w:val="Compact"/>
      </w:pPr>
      <w:r>
        <w:t xml:space="preserve">2026 · Klein KR ·</w:t>
      </w:r>
      <w:r>
        <w:t xml:space="preserve"> </w:t>
      </w:r>
      <w:r>
        <w:rPr>
          <w:iCs/>
          <w:i/>
        </w:rPr>
        <w:t xml:space="preserve">Lancet</w:t>
      </w:r>
      <w:r>
        <w:t xml:space="preserve"> </w:t>
      </w:r>
      <w:r>
        <w:t xml:space="preserve">· Cardiovascular safety of orforglipron versus insulin glargine in adults with type 2 diabetes at increased cardiovascular risk (ACHIEVE-4): a phase 3, event-driven, randomised, open-label, non-inferiority, active comparator trial. PMID 42815506</w:t>
      </w:r>
    </w:p>
    <w:p>
      <w:pPr>
        <w:numPr>
          <w:ilvl w:val="0"/>
          <w:numId w:val="1389"/>
        </w:numPr>
        <w:pStyle w:val="Compact"/>
      </w:pPr>
      <w:r>
        <w:t xml:space="preserve">2026 · Yabe D ·</w:t>
      </w:r>
      <w:r>
        <w:t xml:space="preserve"> </w:t>
      </w:r>
      <w:r>
        <w:rPr>
          <w:iCs/>
          <w:i/>
        </w:rPr>
        <w:t xml:space="preserve">Lancet Diabetes Endocrinol</w:t>
      </w:r>
      <w:r>
        <w:t xml:space="preserve"> </w:t>
      </w:r>
      <w:r>
        <w:t xml:space="preserve">· Long-term safety of oral orforglipron in Japanese participants with type 2 diabetes (ACHIEVE-J): a multicentre, randomised, open-label, parallel-group phase 3 trial. PMID 42607698</w:t>
      </w:r>
    </w:p>
    <w:p>
      <w:pPr>
        <w:numPr>
          <w:ilvl w:val="0"/>
          <w:numId w:val="1389"/>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89"/>
        </w:numPr>
        <w:pStyle w:val="Compact"/>
      </w:pPr>
      <w:r>
        <w:t xml:space="preserve">2026 · Welch M ·</w:t>
      </w:r>
      <w:r>
        <w:t xml:space="preserve"> </w:t>
      </w:r>
      <w:r>
        <w:rPr>
          <w:iCs/>
          <w:i/>
        </w:rPr>
        <w:t xml:space="preserve">Lancet</w:t>
      </w:r>
      <w:r>
        <w:t xml:space="preserve"> </w:t>
      </w:r>
      <w:r>
        <w:t xml:space="preserve">· Orforglipron compared with dapagliflozin in adults with type 2 diabetes and inadequate glycaemic control with metformin (ACHIEVE-2): a multicentre, randomised, non-inferiority, open-label, phase 3 trial. PMID 42259339</w:t>
      </w:r>
    </w:p>
    <w:p>
      <w:pPr>
        <w:numPr>
          <w:ilvl w:val="0"/>
          <w:numId w:val="1389"/>
        </w:numPr>
        <w:pStyle w:val="Compact"/>
      </w:pPr>
      <w:r>
        <w:t xml:space="preserve">2026 · Giorgino F ·</w:t>
      </w:r>
      <w:r>
        <w:t xml:space="preserve"> </w:t>
      </w:r>
      <w:r>
        <w:rPr>
          <w:iCs/>
          <w:i/>
        </w:rPr>
        <w:t xml:space="preserve">JAMA</w:t>
      </w:r>
      <w:r>
        <w:t xml:space="preserve"> </w:t>
      </w:r>
      <w:r>
        <w:t xml:space="preserve">· Orforglipron Added to Titrated Insulin Glargine in Type 2 Diabetes: The ACHIEVE-5 Randomized Clinical Trial. PMID 42251769</w:t>
      </w:r>
    </w:p>
    <w:p>
      <w:pPr>
        <w:numPr>
          <w:ilvl w:val="0"/>
          <w:numId w:val="138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9"/>
        </w:numPr>
        <w:pStyle w:val="Compact"/>
      </w:pPr>
      <w:r>
        <w:t xml:space="preserve">2026 · Ma X ·</w:t>
      </w:r>
      <w:r>
        <w:t xml:space="preserve"> </w:t>
      </w:r>
      <w:r>
        <w:rPr>
          <w:iCs/>
          <w:i/>
        </w:rPr>
        <w:t xml:space="preserve">Diabetes Obes Metab</w:t>
      </w:r>
      <w:r>
        <w:t xml:space="preserve"> </w:t>
      </w:r>
      <w:r>
        <w:t xml:space="preserve">· Pharmacokinetic Bioequivalence of Orforglipron Tablets and Capsules in Healthy Participants With Obesity or Overweight. PMID 41994902</w:t>
      </w:r>
    </w:p>
    <w:p>
      <w:pPr>
        <w:numPr>
          <w:ilvl w:val="0"/>
          <w:numId w:val="1389"/>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89"/>
        </w:numPr>
        <w:pStyle w:val="Compact"/>
      </w:pPr>
      <w:r>
        <w:t xml:space="preserve">2026 · Ohwaki K ·</w:t>
      </w:r>
      <w:r>
        <w:t xml:space="preserve"> </w:t>
      </w:r>
      <w:r>
        <w:rPr>
          <w:iCs/>
          <w:i/>
        </w:rPr>
        <w:t xml:space="preserve">J Diabetes Investig</w:t>
      </w:r>
      <w:r>
        <w:t xml:space="preserve"> </w:t>
      </w:r>
      <w:r>
        <w:t xml:space="preserve">· A phase 1 single and multiple ascending dose study of orforglipron in Japanese participants with type 2 diabetes. PMID 41325139</w:t>
      </w:r>
    </w:p>
    <w:p>
      <w:pPr>
        <w:numPr>
          <w:ilvl w:val="0"/>
          <w:numId w:val="1389"/>
        </w:numPr>
        <w:pStyle w:val="Compact"/>
      </w:pPr>
      <w:r>
        <w:t xml:space="preserve">2026 · Horn DB ·</w:t>
      </w:r>
      <w:r>
        <w:t xml:space="preserve"> </w:t>
      </w:r>
      <w:r>
        <w:rPr>
          <w:iCs/>
          <w:i/>
        </w:rPr>
        <w:t xml:space="preserve">Lancet</w:t>
      </w:r>
      <w:r>
        <w:t xml:space="preserve"> </w:t>
      </w:r>
      <w:r>
        <w:t xml:space="preserve">· Orforglipron, an oral small-molecule GLP-1 receptor agonist, for the treatment of obesity in people with type 2 diabetes (ATTAIN-2): a phase 3, double-blind, randomised, multicentre, placebo-controlled trial. PMID 41275875</w:t>
      </w:r>
    </w:p>
    <w:p>
      <w:pPr>
        <w:numPr>
          <w:ilvl w:val="0"/>
          <w:numId w:val="1389"/>
        </w:numPr>
        <w:pStyle w:val="Compact"/>
      </w:pPr>
      <w:r>
        <w:t xml:space="preserve">2026 · Morse BL ·</w:t>
      </w:r>
      <w:r>
        <w:t xml:space="preserve"> </w:t>
      </w:r>
      <w:r>
        <w:rPr>
          <w:iCs/>
          <w:i/>
        </w:rPr>
        <w:t xml:space="preserve">Clin Pharmacol Drug Dev</w:t>
      </w:r>
      <w:r>
        <w:t xml:space="preserve"> </w:t>
      </w:r>
      <w:r>
        <w:t xml:space="preserve">· Disposition and Absolute Bioavailability of Orally Administered Orforglipron in Healthy Participants. PMID 40888509</w:t>
      </w:r>
    </w:p>
    <w:p>
      <w:pPr>
        <w:numPr>
          <w:ilvl w:val="0"/>
          <w:numId w:val="1389"/>
        </w:numPr>
        <w:pStyle w:val="Compact"/>
      </w:pPr>
      <w:r>
        <w:t xml:space="preserve">2025 · Wharton S ·</w:t>
      </w:r>
      <w:r>
        <w:t xml:space="preserve"> </w:t>
      </w:r>
      <w:r>
        <w:rPr>
          <w:iCs/>
          <w:i/>
        </w:rPr>
        <w:t xml:space="preserve">N Engl J Med</w:t>
      </w:r>
      <w:r>
        <w:t xml:space="preserve"> </w:t>
      </w:r>
      <w:r>
        <w:t xml:space="preserve">· Orforglipron, an Oral Small-Molecule GLP-1 Receptor Agonist for Obesity Treatment. PMID 40960239</w:t>
      </w:r>
    </w:p>
    <w:p>
      <w:pPr>
        <w:numPr>
          <w:ilvl w:val="0"/>
          <w:numId w:val="1389"/>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89"/>
        </w:numPr>
        <w:pStyle w:val="Compact"/>
      </w:pPr>
      <w:r>
        <w:t xml:space="preserve">2025 · Rosenstock J ·</w:t>
      </w:r>
      <w:r>
        <w:t xml:space="preserve"> </w:t>
      </w:r>
      <w:r>
        <w:rPr>
          <w:iCs/>
          <w:i/>
        </w:rPr>
        <w:t xml:space="preserve">N Engl J Med</w:t>
      </w:r>
      <w:r>
        <w:t xml:space="preserve"> </w:t>
      </w:r>
      <w:r>
        <w:t xml:space="preserve">· Orforglipron, an Oral Small-Molecule GLP-1 Receptor Agonist, in Early Type 2 Diabetes. PMID 40544435</w:t>
      </w:r>
    </w:p>
    <w:p>
      <w:pPr>
        <w:numPr>
          <w:ilvl w:val="0"/>
          <w:numId w:val="1389"/>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89"/>
        </w:numPr>
        <w:pStyle w:val="Compact"/>
      </w:pPr>
      <w:r>
        <w:t xml:space="preserve">2024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37997518</w:t>
      </w:r>
    </w:p>
    <w:p>
      <w:pPr>
        <w:numPr>
          <w:ilvl w:val="0"/>
          <w:numId w:val="138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89"/>
        </w:numPr>
        <w:pStyle w:val="Compact"/>
      </w:pPr>
      <w:r>
        <w:t xml:space="preserve">2023 · Wharton S ·</w:t>
      </w:r>
      <w:r>
        <w:t xml:space="preserve"> </w:t>
      </w:r>
      <w:r>
        <w:rPr>
          <w:iCs/>
          <w:i/>
        </w:rPr>
        <w:t xml:space="preserve">N Engl J Med</w:t>
      </w:r>
      <w:r>
        <w:t xml:space="preserve"> </w:t>
      </w:r>
      <w:r>
        <w:t xml:space="preserve">· Daily Oral GLP-1 Receptor Agonist Orforglipron for Adults with Obesity. PMID 37351564</w:t>
      </w:r>
    </w:p>
    <w:p>
      <w:pPr>
        <w:numPr>
          <w:ilvl w:val="0"/>
          <w:numId w:val="1389"/>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1a, blinded, placebo-controlled, randomized, single- and multiple-ascending-dose study in healthy participants. PMID 37344954</w:t>
      </w:r>
    </w:p>
    <w:p>
      <w:pPr>
        <w:numPr>
          <w:ilvl w:val="0"/>
          <w:numId w:val="1389"/>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37264711</w:t>
      </w:r>
    </w:p>
    <w:bookmarkEnd w:id="3025"/>
    <w:bookmarkStart w:id="3026" w:name="bpc-157-0"/>
    <w:p>
      <w:pPr>
        <w:pStyle w:val="Heading2"/>
      </w:pPr>
      <w:r>
        <w:t xml:space="preserve">BPC-157 (0)</w:t>
      </w:r>
    </w:p>
    <w:p>
      <w:pPr>
        <w:pStyle w:val="FirstParagraph"/>
      </w:pPr>
      <w:r>
        <w:t xml:space="preserve">Nenhuma publicação de estudos clínicos em humanos encontrada.</w:t>
      </w:r>
    </w:p>
    <w:bookmarkEnd w:id="3026"/>
    <w:bookmarkStart w:id="3027" w:name="tb-500-e-timosina-beta-4-9"/>
    <w:p>
      <w:pPr>
        <w:pStyle w:val="Heading2"/>
      </w:pPr>
      <w:r>
        <w:t xml:space="preserve">TB-500 e timosina beta-4 (9)</w:t>
      </w:r>
    </w:p>
    <w:p>
      <w:pPr>
        <w:numPr>
          <w:ilvl w:val="0"/>
          <w:numId w:val="1390"/>
        </w:numPr>
        <w:pStyle w:val="Compact"/>
      </w:pPr>
      <w:r>
        <w:t xml:space="preserve">2021 · Wang X ·</w:t>
      </w:r>
      <w:r>
        <w:t xml:space="preserve"> </w:t>
      </w:r>
      <w:r>
        <w:rPr>
          <w:iCs/>
          <w:i/>
        </w:rPr>
        <w:t xml:space="preserve">J Cell Mol Med</w:t>
      </w:r>
      <w:r>
        <w:t xml:space="preserve"> </w:t>
      </w:r>
      <w:r>
        <w:t xml:space="preserve">· A first-in-human, randomized, double-blind, single- and multiple-dose, phase I study of recombinant human thymosin β4 in healthy Chinese volunteers. PMID 34346165</w:t>
      </w:r>
    </w:p>
    <w:p>
      <w:pPr>
        <w:numPr>
          <w:ilvl w:val="0"/>
          <w:numId w:val="1390"/>
        </w:numPr>
        <w:pStyle w:val="Compact"/>
      </w:pPr>
      <w:r>
        <w:t xml:space="preserve">2020 · Pathak AK ·</w:t>
      </w:r>
      <w:r>
        <w:t xml:space="preserve"> </w:t>
      </w:r>
      <w:r>
        <w:rPr>
          <w:iCs/>
          <w:i/>
        </w:rPr>
        <w:t xml:space="preserve">Sci Rep</w:t>
      </w:r>
      <w:r>
        <w:t xml:space="preserve"> </w:t>
      </w:r>
      <w:r>
        <w:t xml:space="preserve">· Logistic regression analysis of environmental and other variables and incidences of tuberculosis in respiratory patients. PMID 33318598</w:t>
      </w:r>
    </w:p>
    <w:p>
      <w:pPr>
        <w:numPr>
          <w:ilvl w:val="0"/>
          <w:numId w:val="1390"/>
        </w:numPr>
        <w:pStyle w:val="Compact"/>
      </w:pPr>
      <w:r>
        <w:t xml:space="preserve">2016 · Zhu J ·</w:t>
      </w:r>
      <w:r>
        <w:t xml:space="preserve"> </w:t>
      </w:r>
      <w:r>
        <w:rPr>
          <w:iCs/>
          <w:i/>
        </w:rPr>
        <w:t xml:space="preserve">Cytotherapy</w:t>
      </w:r>
      <w:r>
        <w:t xml:space="preserve"> </w:t>
      </w:r>
      <w:r>
        <w:t xml:space="preserve">· Safety and efficacy of autologous thymosin β4 pre-treated endothelial progenitor cell transplantation in patients with acute ST segment elevation myocardial infarction: A pilot study. PMID 27288307</w:t>
      </w:r>
    </w:p>
    <w:p>
      <w:pPr>
        <w:numPr>
          <w:ilvl w:val="0"/>
          <w:numId w:val="1390"/>
        </w:numPr>
        <w:pStyle w:val="Compact"/>
      </w:pPr>
      <w:r>
        <w:t xml:space="preserve">2015 · Choudry FA ·</w:t>
      </w:r>
      <w:r>
        <w:t xml:space="preserve"> </w:t>
      </w:r>
      <w:r>
        <w:rPr>
          <w:iCs/>
          <w:i/>
        </w:rPr>
        <w:t xml:space="preserve">Regen Med</w:t>
      </w:r>
      <w:r>
        <w:t xml:space="preserve"> </w:t>
      </w:r>
      <w:r>
        <w:t xml:space="preserve">· Increases in plasma Tβ4 after intracardiac cell therapy in chronic ischemic heart failure is associated with symptomatic improvement. PMID 26022762</w:t>
      </w:r>
    </w:p>
    <w:p>
      <w:pPr>
        <w:numPr>
          <w:ilvl w:val="0"/>
          <w:numId w:val="1390"/>
        </w:numPr>
        <w:pStyle w:val="Compact"/>
      </w:pPr>
      <w:r>
        <w:t xml:space="preserve">2015 · Sosne G ·</w:t>
      </w:r>
      <w:r>
        <w:t xml:space="preserve"> </w:t>
      </w:r>
      <w:r>
        <w:rPr>
          <w:iCs/>
          <w:i/>
        </w:rPr>
        <w:t xml:space="preserve">Cornea</w:t>
      </w:r>
      <w:r>
        <w:t xml:space="preserve"> </w:t>
      </w:r>
      <w:r>
        <w:t xml:space="preserve">· Thymosin β4 significantly improves signs and symptoms of severe dry eye in a phase 2 randomized trial. PMID 25826322</w:t>
      </w:r>
    </w:p>
    <w:p>
      <w:pPr>
        <w:numPr>
          <w:ilvl w:val="0"/>
          <w:numId w:val="1390"/>
        </w:numPr>
        <w:pStyle w:val="Compact"/>
      </w:pPr>
      <w:r>
        <w:t xml:space="preserve">2014 · Suzuki Y ·</w:t>
      </w:r>
      <w:r>
        <w:t xml:space="preserve"> </w:t>
      </w:r>
      <w:r>
        <w:rPr>
          <w:iCs/>
          <w:i/>
        </w:rPr>
        <w:t xml:space="preserve">Biol Pharm Bull</w:t>
      </w:r>
      <w:r>
        <w:t xml:space="preserve"> </w:t>
      </w:r>
      <w:r>
        <w:t xml:space="preserve">· Significant decrease in plasma N-acetyl-seryl-aspartyl-lysyl-proline level in patients with end stage renal disease after kidney transplantation. PMID 24882420</w:t>
      </w:r>
    </w:p>
    <w:p>
      <w:pPr>
        <w:numPr>
          <w:ilvl w:val="0"/>
          <w:numId w:val="1390"/>
        </w:numPr>
        <w:pStyle w:val="Compact"/>
      </w:pPr>
      <w:r>
        <w:t xml:space="preserve">2010 · Ruff D ·</w:t>
      </w:r>
      <w:r>
        <w:t xml:space="preserve"> </w:t>
      </w:r>
      <w:r>
        <w:rPr>
          <w:iCs/>
          <w:i/>
        </w:rPr>
        <w:t xml:space="preserve">Ann N Y Acad Sci</w:t>
      </w:r>
      <w:r>
        <w:t xml:space="preserve"> </w:t>
      </w:r>
      <w:r>
        <w:t xml:space="preserve">· A randomized, placebo-controlled, single and multiple dose study of intravenous thymosin beta4 in healthy volunteers. PMID 20536472</w:t>
      </w:r>
    </w:p>
    <w:p>
      <w:pPr>
        <w:numPr>
          <w:ilvl w:val="0"/>
          <w:numId w:val="1390"/>
        </w:numPr>
        <w:pStyle w:val="Compact"/>
      </w:pPr>
      <w:r>
        <w:t xml:space="preserve">2010 · Guarnera G ·</w:t>
      </w:r>
      <w:r>
        <w:t xml:space="preserve"> </w:t>
      </w:r>
      <w:r>
        <w:rPr>
          <w:iCs/>
          <w:i/>
        </w:rPr>
        <w:t xml:space="preserve">Ann N Y Acad Sci</w:t>
      </w:r>
      <w:r>
        <w:t xml:space="preserve"> </w:t>
      </w:r>
      <w:r>
        <w:t xml:space="preserve">· The effect of thymosin treatment of venous ulcers. PMID 20536470</w:t>
      </w:r>
    </w:p>
    <w:p>
      <w:pPr>
        <w:numPr>
          <w:ilvl w:val="0"/>
          <w:numId w:val="1390"/>
        </w:numPr>
        <w:pStyle w:val="Compact"/>
      </w:pPr>
      <w:r>
        <w:t xml:space="preserve">2007 · Guarnera G ·</w:t>
      </w:r>
      <w:r>
        <w:t xml:space="preserve"> </w:t>
      </w:r>
      <w:r>
        <w:rPr>
          <w:iCs/>
          <w:i/>
        </w:rPr>
        <w:t xml:space="preserve">Ann N Y Acad Sci</w:t>
      </w:r>
      <w:r>
        <w:t xml:space="preserve"> </w:t>
      </w:r>
      <w:r>
        <w:t xml:space="preserve">· Thymosin beta-4 and venous ulcers: clinical remarks on a European prospective, randomized study on safety, tolerability, and enhancement on healing. PMID 17495250</w:t>
      </w:r>
    </w:p>
    <w:bookmarkEnd w:id="3027"/>
    <w:bookmarkStart w:id="3028" w:name="timosina-alfa-1-timalfasina-90"/>
    <w:p>
      <w:pPr>
        <w:pStyle w:val="Heading2"/>
      </w:pPr>
      <w:r>
        <w:t xml:space="preserve">Timosina alfa 1 (timalfasina) (90)</w:t>
      </w:r>
    </w:p>
    <w:p>
      <w:pPr>
        <w:numPr>
          <w:ilvl w:val="0"/>
          <w:numId w:val="1391"/>
        </w:numPr>
        <w:pStyle w:val="Compact"/>
      </w:pPr>
      <w:r>
        <w:t xml:space="preserve">2026 · Zhou Y ·</w:t>
      </w:r>
      <w:r>
        <w:t xml:space="preserve"> </w:t>
      </w:r>
      <w:r>
        <w:rPr>
          <w:iCs/>
          <w:i/>
        </w:rPr>
        <w:t xml:space="preserve">Radiat Oncol</w:t>
      </w:r>
      <w:r>
        <w:t xml:space="preserve"> </w:t>
      </w:r>
      <w:r>
        <w:t xml:space="preserve">· Preliminary results from a phase II trial of spatially fractionated radiotherapy combined with immunotherapy and anti-angiogenic therapy in patients with bulky solid tumors: early evidence of promising efficacy and favorable safety. PMID 42063096</w:t>
      </w:r>
    </w:p>
    <w:p>
      <w:pPr>
        <w:numPr>
          <w:ilvl w:val="0"/>
          <w:numId w:val="1391"/>
        </w:numPr>
        <w:pStyle w:val="Compact"/>
      </w:pPr>
      <w:r>
        <w:t xml:space="preserve">2026 · Li ZH ·</w:t>
      </w:r>
      <w:r>
        <w:t xml:space="preserve"> </w:t>
      </w:r>
      <w:r>
        <w:rPr>
          <w:iCs/>
          <w:i/>
        </w:rPr>
        <w:t xml:space="preserve">Immunopharmacol Immunotoxicol</w:t>
      </w:r>
      <w:r>
        <w:t xml:space="preserve"> </w:t>
      </w:r>
      <w:r>
        <w:t xml:space="preserve">· Thymosin α1 improves the outcomes of patients with hepatitis B virus-related acute-on-chronic liver failure by restoring immune balance. PMID 41887933</w:t>
      </w:r>
    </w:p>
    <w:p>
      <w:pPr>
        <w:numPr>
          <w:ilvl w:val="0"/>
          <w:numId w:val="1391"/>
        </w:numPr>
        <w:pStyle w:val="Compact"/>
      </w:pPr>
      <w:r>
        <w:t xml:space="preserve">2026 · Xu H ·</w:t>
      </w:r>
      <w:r>
        <w:t xml:space="preserve"> </w:t>
      </w:r>
      <w:r>
        <w:rPr>
          <w:iCs/>
          <w:i/>
        </w:rPr>
        <w:t xml:space="preserve">BMC Med</w:t>
      </w:r>
      <w:r>
        <w:t xml:space="preserve"> </w:t>
      </w:r>
      <w:r>
        <w:t xml:space="preserve">· Neoadjuvant immunochemotherapy plus thymalfasin in locally advanced gastric cancer: a prospective clinical trial. PMID 41749205</w:t>
      </w:r>
    </w:p>
    <w:p>
      <w:pPr>
        <w:numPr>
          <w:ilvl w:val="0"/>
          <w:numId w:val="1391"/>
        </w:numPr>
        <w:pStyle w:val="Compact"/>
      </w:pPr>
      <w:r>
        <w:t xml:space="preserve">2025 · Yu J ·</w:t>
      </w:r>
      <w:r>
        <w:t xml:space="preserve"> </w:t>
      </w:r>
      <w:r>
        <w:rPr>
          <w:iCs/>
          <w:i/>
        </w:rPr>
        <w:t xml:space="preserve">Cancer Immunol Immunother</w:t>
      </w:r>
      <w:r>
        <w:t xml:space="preserve"> </w:t>
      </w:r>
      <w:r>
        <w:t xml:space="preserve">· Hypofractionated radiotherapy combined with a PD-1 inhibitor, granulocyte macrophage-colony stimulating factor, and thymosin-α1 in advanced metastatic solid tumors: a multicenter Phase II clinical trial. PMID 39904914</w:t>
      </w:r>
    </w:p>
    <w:p>
      <w:pPr>
        <w:numPr>
          <w:ilvl w:val="0"/>
          <w:numId w:val="1391"/>
        </w:numPr>
        <w:pStyle w:val="Compact"/>
      </w:pPr>
      <w:r>
        <w:t xml:space="preserve">2025 · Wu J ·</w:t>
      </w:r>
      <w:r>
        <w:t xml:space="preserve"> </w:t>
      </w:r>
      <w:r>
        <w:rPr>
          <w:iCs/>
          <w:i/>
        </w:rPr>
        <w:t xml:space="preserve">BMJ</w:t>
      </w:r>
      <w:r>
        <w:t xml:space="preserve"> </w:t>
      </w:r>
      <w:r>
        <w:t xml:space="preserve">· The efficacy and safety of thymosin α1 for sepsis (TESTS): multicentre, double blinded, randomised, placebo controlled, phase 3 trial. PMID 39814420</w:t>
      </w:r>
    </w:p>
    <w:p>
      <w:pPr>
        <w:numPr>
          <w:ilvl w:val="0"/>
          <w:numId w:val="1391"/>
        </w:numPr>
        <w:pStyle w:val="Compact"/>
      </w:pPr>
      <w:r>
        <w:t xml:space="preserve">2024 · Huang X ·</w:t>
      </w:r>
      <w:r>
        <w:t xml:space="preserve"> </w:t>
      </w:r>
      <w:r>
        <w:rPr>
          <w:iCs/>
          <w:i/>
        </w:rPr>
        <w:t xml:space="preserve">Gut Liver</w:t>
      </w:r>
      <w:r>
        <w:t xml:space="preserve"> </w:t>
      </w:r>
      <w:r>
        <w:t xml:space="preserve">· Immune-Enhancing Treatment among Acute Necrotizing Pancreatitis Patients with Metabolic Abnormalities: A Post Hoc Analysis of a Randomized Clinical Trial. PMID 38356344</w:t>
      </w:r>
    </w:p>
    <w:p>
      <w:pPr>
        <w:numPr>
          <w:ilvl w:val="0"/>
          <w:numId w:val="1391"/>
        </w:numPr>
        <w:pStyle w:val="Compact"/>
      </w:pPr>
      <w:r>
        <w:t xml:space="preserve">2024 · Niu W ·</w:t>
      </w:r>
      <w:r>
        <w:t xml:space="preserve"> </w:t>
      </w:r>
      <w:r>
        <w:rPr>
          <w:iCs/>
          <w:i/>
        </w:rPr>
        <w:t xml:space="preserve">Biotechnol Genet Eng Rev</w:t>
      </w:r>
      <w:r>
        <w:t xml:space="preserve"> </w:t>
      </w:r>
      <w:r>
        <w:t xml:space="preserve">· A Prospective and Randomized Control Study on Effects of Thymalfasin for Injection on Perioperative Immune Function and Long-term Prognosis of Patients with Colorectal Cancer. PMID 37248723</w:t>
      </w:r>
    </w:p>
    <w:p>
      <w:pPr>
        <w:numPr>
          <w:ilvl w:val="0"/>
          <w:numId w:val="1391"/>
        </w:numPr>
        <w:pStyle w:val="Compact"/>
      </w:pPr>
      <w:r>
        <w:t xml:space="preserve">2023 · Tuthill CW ·</w:t>
      </w:r>
      <w:r>
        <w:t xml:space="preserve"> </w:t>
      </w:r>
      <w:r>
        <w:rPr>
          <w:iCs/>
          <w:i/>
        </w:rPr>
        <w:t xml:space="preserve">Int Immunopharmacol</w:t>
      </w:r>
      <w:r>
        <w:t xml:space="preserve"> </w:t>
      </w:r>
      <w:r>
        <w:t xml:space="preserve">· A pilot trial of Thymalfasin (Ta1) to prevent covid-19 infection and morbidities in renal dialysis patients: Preliminary report. PMID 36881981</w:t>
      </w:r>
    </w:p>
    <w:p>
      <w:pPr>
        <w:numPr>
          <w:ilvl w:val="0"/>
          <w:numId w:val="1391"/>
        </w:numPr>
        <w:pStyle w:val="Compact"/>
      </w:pPr>
      <w:r>
        <w:t xml:space="preserve">2022 · Bai L ·</w:t>
      </w:r>
      <w:r>
        <w:t xml:space="preserve"> </w:t>
      </w:r>
      <w:r>
        <w:rPr>
          <w:iCs/>
          <w:i/>
        </w:rPr>
        <w:t xml:space="preserve">Altern Ther Health Med</w:t>
      </w:r>
      <w:r>
        <w:t xml:space="preserve"> </w:t>
      </w:r>
      <w:r>
        <w:t xml:space="preserve">· Value of Thymosin α1 Combined With Blood Purification to Increase Successful Rescues of Shock Patients. PMID 35951068</w:t>
      </w:r>
    </w:p>
    <w:p>
      <w:pPr>
        <w:numPr>
          <w:ilvl w:val="0"/>
          <w:numId w:val="1391"/>
        </w:numPr>
        <w:pStyle w:val="Compact"/>
      </w:pPr>
      <w:r>
        <w:t xml:space="preserve">2022 · Liu F ·</w:t>
      </w:r>
      <w:r>
        <w:t xml:space="preserve"> </w:t>
      </w:r>
      <w:r>
        <w:rPr>
          <w:iCs/>
          <w:i/>
        </w:rPr>
        <w:t xml:space="preserve">Int J Radiat Oncol Biol Phys</w:t>
      </w:r>
      <w:r>
        <w:t xml:space="preserve"> </w:t>
      </w:r>
      <w:r>
        <w:t xml:space="preserve">· Efficacy of Thymosin α1 in Management of Radiation Pneumonitis in Patients With Locally Advanced Non-Small Cell Lung Cancer Treated With Concurrent Chemoradiotherapy: A Phase 2 Clinical Trial (GASTO-1043). PMID 35870709</w:t>
      </w:r>
    </w:p>
    <w:p>
      <w:pPr>
        <w:numPr>
          <w:ilvl w:val="0"/>
          <w:numId w:val="1391"/>
        </w:numPr>
        <w:pStyle w:val="Compact"/>
      </w:pPr>
      <w:r>
        <w:t xml:space="preserve">2022 · Ke L ·</w:t>
      </w:r>
      <w:r>
        <w:t xml:space="preserve"> </w:t>
      </w:r>
      <w:r>
        <w:rPr>
          <w:iCs/>
          <w:i/>
        </w:rPr>
        <w:t xml:space="preserve">Intensive Care Med</w:t>
      </w:r>
      <w:r>
        <w:t xml:space="preserve"> </w:t>
      </w:r>
      <w:r>
        <w:t xml:space="preserve">· Immune enhancement in patients with predicted severe acute necrotising pancreatitis: a multicentre double-blind randomised controlled trial. PMID 35713670</w:t>
      </w:r>
    </w:p>
    <w:p>
      <w:pPr>
        <w:numPr>
          <w:ilvl w:val="0"/>
          <w:numId w:val="1391"/>
        </w:numPr>
        <w:pStyle w:val="Compact"/>
      </w:pPr>
      <w:r>
        <w:t xml:space="preserve">2022 · Chen JF ·</w:t>
      </w:r>
      <w:r>
        <w:t xml:space="preserve"> </w:t>
      </w:r>
      <w:r>
        <w:rPr>
          <w:iCs/>
          <w:i/>
        </w:rPr>
        <w:t xml:space="preserve">Hepatol Int</w:t>
      </w:r>
      <w:r>
        <w:t xml:space="preserve"> </w:t>
      </w:r>
      <w:r>
        <w:t xml:space="preserve">· Safety and efficacy of Thymosin α1 in the treatment of hepatitis B virus-related acute-on-chronic liver failure: a randomized controlled trial. PMID 35616850</w:t>
      </w:r>
    </w:p>
    <w:p>
      <w:pPr>
        <w:numPr>
          <w:ilvl w:val="0"/>
          <w:numId w:val="1391"/>
        </w:numPr>
        <w:pStyle w:val="Compact"/>
      </w:pPr>
      <w:r>
        <w:t xml:space="preserve">2022 · Chu C ·</w:t>
      </w:r>
      <w:r>
        <w:t xml:space="preserve"> </w:t>
      </w:r>
      <w:r>
        <w:rPr>
          <w:iCs/>
          <w:i/>
        </w:rPr>
        <w:t xml:space="preserve">Int J Radiat Oncol Biol Phys</w:t>
      </w:r>
      <w:r>
        <w:t xml:space="preserve"> </w:t>
      </w:r>
      <w:r>
        <w:t xml:space="preserve">· Hypofractionated Radiation Therapy Combined With Weekly Chemotherapy in Patients With Unresectable or Recurrent Thymic Epithelial Tumor: A Prospective, Single-Arm Phase 2 Study (GASTO-1042). PMID 35598797</w:t>
      </w:r>
    </w:p>
    <w:p>
      <w:pPr>
        <w:numPr>
          <w:ilvl w:val="0"/>
          <w:numId w:val="1391"/>
        </w:numPr>
        <w:pStyle w:val="Compact"/>
      </w:pPr>
      <w:r>
        <w:t xml:space="preserve">2021 · Meng Z ·</w:t>
      </w:r>
      <w:r>
        <w:t xml:space="preserve"> </w:t>
      </w:r>
      <w:r>
        <w:rPr>
          <w:iCs/>
          <w:i/>
        </w:rPr>
        <w:t xml:space="preserve">Curr Top Med Chem</w:t>
      </w:r>
      <w:r>
        <w:t xml:space="preserve"> </w:t>
      </w:r>
      <w:r>
        <w:t xml:space="preserve">· The Effect of Recombinant Human Interferon Alpha Nasal Drops to Prevent COVID-19 Pneumonia for Medical Staff in an Epidemic Area. PMID 33970846</w:t>
      </w:r>
    </w:p>
    <w:p>
      <w:pPr>
        <w:numPr>
          <w:ilvl w:val="0"/>
          <w:numId w:val="1391"/>
        </w:numPr>
        <w:pStyle w:val="Compact"/>
      </w:pPr>
      <w:r>
        <w:t xml:space="preserve">2019 · Ma Y ·</w:t>
      </w:r>
      <w:r>
        <w:t xml:space="preserve"> </w:t>
      </w:r>
      <w:r>
        <w:rPr>
          <w:iCs/>
          <w:i/>
        </w:rPr>
        <w:t xml:space="preserve">Cell Mol Biol (Noisy-le-grand)</w:t>
      </w:r>
      <w:r>
        <w:t xml:space="preserve"> </w:t>
      </w:r>
      <w:r>
        <w:t xml:space="preserve">· The effect of thymopentin add-on in hepatitis B e antigen positive chronic hepatitis B after virus suppression by peginterferon plus entecavir therapy. PMID 30860474</w:t>
      </w:r>
    </w:p>
    <w:p>
      <w:pPr>
        <w:numPr>
          <w:ilvl w:val="0"/>
          <w:numId w:val="1391"/>
        </w:numPr>
        <w:pStyle w:val="Compact"/>
      </w:pPr>
      <w:r>
        <w:t xml:space="preserve">2018 · Wu X ·</w:t>
      </w:r>
      <w:r>
        <w:t xml:space="preserve"> </w:t>
      </w:r>
      <w:r>
        <w:rPr>
          <w:iCs/>
          <w:i/>
        </w:rPr>
        <w:t xml:space="preserve">Expert Opin Biol Ther</w:t>
      </w:r>
      <w:r>
        <w:t xml:space="preserve"> </w:t>
      </w:r>
      <w:r>
        <w:t xml:space="preserve">· Combination of entecavir with thymosin alpha-1 in HBV-related compensated cirrhosis: a prospective multicenter randomized open-label study. PMID 30063860</w:t>
      </w:r>
    </w:p>
    <w:p>
      <w:pPr>
        <w:numPr>
          <w:ilvl w:val="0"/>
          <w:numId w:val="1391"/>
        </w:numPr>
        <w:pStyle w:val="Compact"/>
      </w:pPr>
      <w:r>
        <w:t xml:space="preserve">2017 · Fang SJ ·</w:t>
      </w:r>
      <w:r>
        <w:t xml:space="preserve"> </w:t>
      </w:r>
      <w:r>
        <w:rPr>
          <w:iCs/>
          <w:i/>
        </w:rPr>
        <w:t xml:space="preserve">Zhonghua Yi Xue Za Zhi</w:t>
      </w:r>
      <w:r>
        <w:t xml:space="preserve"> </w:t>
      </w:r>
      <w:r>
        <w:t xml:space="preserve">· [Effect of transcatheter arterial chemoembolization combined with thymosin alpha 1 on the autophagy of immune cells from advanced hepatocellular carcinoma]. PMID 28693071</w:t>
      </w:r>
    </w:p>
    <w:p>
      <w:pPr>
        <w:numPr>
          <w:ilvl w:val="0"/>
          <w:numId w:val="1391"/>
        </w:numPr>
        <w:pStyle w:val="Compact"/>
      </w:pPr>
      <w:r>
        <w:t xml:space="preserve">2016 · Al-Mahtab M ·</w:t>
      </w:r>
      <w:r>
        <w:t xml:space="preserve"> </w:t>
      </w:r>
      <w:r>
        <w:rPr>
          <w:iCs/>
          <w:i/>
        </w:rPr>
        <w:t xml:space="preserve">PLoS One</w:t>
      </w:r>
      <w:r>
        <w:t xml:space="preserve"> </w:t>
      </w:r>
      <w:r>
        <w:t xml:space="preserve">· Safety and Efficacy of Nucleic Acid Polymers in Monotherapy and Combined with Immunotherapy in Treatment-Naive Bangladeshi Patients with HBeAg+ Chronic Hepatitis B Infection. PMID 27257978</w:t>
      </w:r>
    </w:p>
    <w:p>
      <w:pPr>
        <w:numPr>
          <w:ilvl w:val="0"/>
          <w:numId w:val="1391"/>
        </w:numPr>
        <w:pStyle w:val="Compact"/>
      </w:pPr>
      <w:r>
        <w:t xml:space="preserve">2015 · Zhang SS ·</w:t>
      </w:r>
      <w:r>
        <w:t xml:space="preserve"> </w:t>
      </w:r>
      <w:r>
        <w:rPr>
          <w:iCs/>
          <w:i/>
        </w:rPr>
        <w:t xml:space="preserve">Sichuan Da Xue Xue Bao Yi Xue Ban</w:t>
      </w:r>
      <w:r>
        <w:t xml:space="preserve"> </w:t>
      </w:r>
      <w:r>
        <w:t xml:space="preserve">· [Prevention Effect of Thymosin-alpha1 Aganist Early Ventilator-associated Pneumonia in Patients with Mechanical Ventilation]. PMID 26867337</w:t>
      </w:r>
    </w:p>
    <w:p>
      <w:pPr>
        <w:numPr>
          <w:ilvl w:val="0"/>
          <w:numId w:val="1391"/>
        </w:numPr>
        <w:pStyle w:val="Compact"/>
      </w:pPr>
      <w:r>
        <w:t xml:space="preserve">2015 · Xiao QS ·</w:t>
      </w:r>
      <w:r>
        <w:t xml:space="preserve"> </w:t>
      </w:r>
      <w:r>
        <w:rPr>
          <w:iCs/>
          <w:i/>
        </w:rPr>
        <w:t xml:space="preserve">Zhongguo Zhong Xi Yi Jie He Za Zhi</w:t>
      </w:r>
      <w:r>
        <w:t xml:space="preserve"> </w:t>
      </w:r>
      <w:r>
        <w:t xml:space="preserve">· [Effect of Acupuncture on Prognosis and Immune Function of Sepsis Patients]. PMID 26380438</w:t>
      </w:r>
    </w:p>
    <w:p>
      <w:pPr>
        <w:numPr>
          <w:ilvl w:val="0"/>
          <w:numId w:val="1391"/>
        </w:numPr>
        <w:pStyle w:val="Compact"/>
      </w:pPr>
      <w:r>
        <w:t xml:space="preserve">2015 · Jia Z ·</w:t>
      </w:r>
      <w:r>
        <w:t xml:space="preserve"> </w:t>
      </w:r>
      <w:r>
        <w:rPr>
          <w:iCs/>
          <w:i/>
        </w:rPr>
        <w:t xml:space="preserve">Immunopharmacol Immunotoxicol</w:t>
      </w:r>
      <w:r>
        <w:t xml:space="preserve"> </w:t>
      </w:r>
      <w:r>
        <w:t xml:space="preserve">· Thymosin α1 plus routine treatment inhibit inflammatory reaction and improve the quality of life in AECOPD patients. PMID 26250523</w:t>
      </w:r>
    </w:p>
    <w:p>
      <w:pPr>
        <w:numPr>
          <w:ilvl w:val="0"/>
          <w:numId w:val="1391"/>
        </w:numPr>
        <w:pStyle w:val="Compact"/>
      </w:pPr>
      <w:r>
        <w:t xml:space="preserve">2015 · Qiu SJ ·</w:t>
      </w:r>
      <w:r>
        <w:t xml:space="preserve"> </w:t>
      </w:r>
      <w:r>
        <w:rPr>
          <w:iCs/>
          <w:i/>
        </w:rPr>
        <w:t xml:space="preserve">Expert Opin Biol Ther</w:t>
      </w:r>
      <w:r>
        <w:t xml:space="preserve"> </w:t>
      </w:r>
      <w:r>
        <w:t xml:space="preserve">· A multicenter, randomized, observation-controlled clinical trial to evaluate the efficacy and safety of thymalfasin adjuvant therapy in patients with HBV-related HCC after curative resection - first announcement of the protocol. PMID 26094695</w:t>
      </w:r>
    </w:p>
    <w:p>
      <w:pPr>
        <w:numPr>
          <w:ilvl w:val="0"/>
          <w:numId w:val="1391"/>
        </w:numPr>
        <w:pStyle w:val="Compact"/>
      </w:pPr>
      <w:r>
        <w:t xml:space="preserve">2013 · Wu J ·</w:t>
      </w:r>
      <w:r>
        <w:t xml:space="preserve"> </w:t>
      </w:r>
      <w:r>
        <w:rPr>
          <w:iCs/>
          <w:i/>
        </w:rPr>
        <w:t xml:space="preserve">Crit Care</w:t>
      </w:r>
      <w:r>
        <w:t xml:space="preserve"> </w:t>
      </w:r>
      <w:r>
        <w:t xml:space="preserve">· The efficacy of thymosin alpha 1 for severe sepsis (ETASS): a multicenter, single-blind, randomized and controlled trial. PMID 23327199</w:t>
      </w:r>
    </w:p>
    <w:p>
      <w:pPr>
        <w:numPr>
          <w:ilvl w:val="0"/>
          <w:numId w:val="1391"/>
        </w:numPr>
        <w:pStyle w:val="Compact"/>
      </w:pPr>
      <w:r>
        <w:t xml:space="preserve">2012 · Kim BH ·</w:t>
      </w:r>
      <w:r>
        <w:t xml:space="preserve"> </w:t>
      </w:r>
      <w:r>
        <w:rPr>
          <w:iCs/>
          <w:i/>
        </w:rPr>
        <w:t xml:space="preserve">Scand J Gastroenterol</w:t>
      </w:r>
      <w:r>
        <w:t xml:space="preserve"> </w:t>
      </w:r>
      <w:r>
        <w:t xml:space="preserve">· Efficacy of thymosin α-1 plus peginterferon α-2a combination therapy compared with peginterferon α-2a monotherapy in HBeAg-positive chronic hepatitis B: a prospective, multicenter, randomized, open-label study. PMID 22726105</w:t>
      </w:r>
    </w:p>
    <w:p>
      <w:pPr>
        <w:numPr>
          <w:ilvl w:val="0"/>
          <w:numId w:val="1391"/>
        </w:numPr>
        <w:pStyle w:val="Compact"/>
      </w:pPr>
      <w:r>
        <w:t xml:space="preserve">2012 · Ciancio A ·</w:t>
      </w:r>
      <w:r>
        <w:t xml:space="preserve"> </w:t>
      </w:r>
      <w:r>
        <w:rPr>
          <w:iCs/>
          <w:i/>
        </w:rPr>
        <w:t xml:space="preserve">J Viral Hepat</w:t>
      </w:r>
      <w:r>
        <w:t xml:space="preserve"> </w:t>
      </w:r>
      <w:r>
        <w:t xml:space="preserve">· Thymosin alpha-1 with peginterferon alfa-2a/ribavirin for chronic hepatitis C not responsive to IFN/ribavirin: an adjuvant role?. PMID 22233415</w:t>
      </w:r>
    </w:p>
    <w:p>
      <w:pPr>
        <w:numPr>
          <w:ilvl w:val="0"/>
          <w:numId w:val="1391"/>
        </w:numPr>
        <w:pStyle w:val="Compact"/>
      </w:pPr>
      <w:r>
        <w:t xml:space="preserve">2011 · Wang X ·</w:t>
      </w:r>
      <w:r>
        <w:t xml:space="preserve"> </w:t>
      </w:r>
      <w:r>
        <w:rPr>
          <w:iCs/>
          <w:i/>
        </w:rPr>
        <w:t xml:space="preserve">Inflammation</w:t>
      </w:r>
      <w:r>
        <w:t xml:space="preserve"> </w:t>
      </w:r>
      <w:r>
        <w:t xml:space="preserve">· Thymosin alpha 1 is associated with improved cellular immunity and reduced infection rate in severe acute pancreatitis patients in a double-blind randomized control study. PMID 20549321</w:t>
      </w:r>
    </w:p>
    <w:p>
      <w:pPr>
        <w:numPr>
          <w:ilvl w:val="0"/>
          <w:numId w:val="1391"/>
        </w:numPr>
        <w:pStyle w:val="Compact"/>
      </w:pPr>
      <w:r>
        <w:t xml:space="preserve">2010 · Jiang YF ·</w:t>
      </w:r>
      <w:r>
        <w:t xml:space="preserve"> </w:t>
      </w:r>
      <w:r>
        <w:rPr>
          <w:iCs/>
          <w:i/>
        </w:rPr>
        <w:t xml:space="preserve">J Int Med Res</w:t>
      </w:r>
      <w:r>
        <w:t xml:space="preserve"> </w:t>
      </w:r>
      <w:r>
        <w:t xml:space="preserve">· Effect of thymosin-α(1) on T-helper 1 cell and T-helper 2 cell cytokine synthesis in patients with hepatitis B virus e antigen-positive chronic hepatitis B. PMID 21227010</w:t>
      </w:r>
    </w:p>
    <w:p>
      <w:pPr>
        <w:numPr>
          <w:ilvl w:val="0"/>
          <w:numId w:val="1391"/>
        </w:numPr>
        <w:pStyle w:val="Compact"/>
      </w:pPr>
      <w:r>
        <w:t xml:space="preserve">2010 · Maio M ·</w:t>
      </w:r>
      <w:r>
        <w:t xml:space="preserve"> </w:t>
      </w:r>
      <w:r>
        <w:rPr>
          <w:iCs/>
          <w:i/>
        </w:rPr>
        <w:t xml:space="preserve">J Clin Oncol</w:t>
      </w:r>
      <w:r>
        <w:t xml:space="preserve"> </w:t>
      </w:r>
      <w:r>
        <w:t xml:space="preserve">· Large randomized study of thymosin alpha 1, interferon alfa, or both in combination with dacarbazine in patients with metastatic melanoma. PMID 20194853</w:t>
      </w:r>
    </w:p>
    <w:p>
      <w:pPr>
        <w:numPr>
          <w:ilvl w:val="0"/>
          <w:numId w:val="1391"/>
        </w:numPr>
        <w:pStyle w:val="Compact"/>
      </w:pPr>
      <w:r>
        <w:t xml:space="preserve">2009 · Zhou LX ·</w:t>
      </w:r>
      <w:r>
        <w:t xml:space="preserve"> </w:t>
      </w:r>
      <w:r>
        <w:rPr>
          <w:iCs/>
          <w:i/>
        </w:rPr>
        <w:t xml:space="preserve">Zhonghua Yi Xue Za Zhi</w:t>
      </w:r>
      <w:r>
        <w:t xml:space="preserve"> </w:t>
      </w:r>
      <w:r>
        <w:t xml:space="preserve">· [Immune and inflammation confusion in severe sepsis and effects of bi-immunomodulation therapy: a prospective, randomized, controlled clinical trial]. PMID 19595251</w:t>
      </w:r>
    </w:p>
    <w:p>
      <w:pPr>
        <w:numPr>
          <w:ilvl w:val="0"/>
          <w:numId w:val="1391"/>
        </w:numPr>
        <w:pStyle w:val="Compact"/>
      </w:pPr>
      <w:r>
        <w:t xml:space="preserve">2009 · Chen H ·</w:t>
      </w:r>
      <w:r>
        <w:t xml:space="preserve"> </w:t>
      </w:r>
      <w:r>
        <w:rPr>
          <w:iCs/>
          <w:i/>
        </w:rPr>
        <w:t xml:space="preserve">Chin Med J (Engl)</w:t>
      </w:r>
      <w:r>
        <w:t xml:space="preserve"> </w:t>
      </w:r>
      <w:r>
        <w:t xml:space="preserve">· Treatment of patients with severe sepsis using ulinastatin and thymosin alpha1: a prospective, randomized, controlled pilot study. PMID 19493408</w:t>
      </w:r>
    </w:p>
    <w:p>
      <w:pPr>
        <w:numPr>
          <w:ilvl w:val="0"/>
          <w:numId w:val="1391"/>
        </w:numPr>
        <w:pStyle w:val="Compact"/>
      </w:pPr>
      <w:r>
        <w:t xml:space="preserve">2009 · Su L ·</w:t>
      </w:r>
      <w:r>
        <w:t xml:space="preserve"> </w:t>
      </w:r>
      <w:r>
        <w:rPr>
          <w:iCs/>
          <w:i/>
        </w:rPr>
        <w:t xml:space="preserve">Zhongguo Wei Zhong Bing Ji Jiu Yi Xue</w:t>
      </w:r>
      <w:r>
        <w:t xml:space="preserve"> </w:t>
      </w:r>
      <w:r>
        <w:t xml:space="preserve">· [Clinical effects of ulinastatin and thymosin alpha1 on immune-modulation in septic patients]. PMID 19278583</w:t>
      </w:r>
    </w:p>
    <w:p>
      <w:pPr>
        <w:numPr>
          <w:ilvl w:val="0"/>
          <w:numId w:val="1391"/>
        </w:numPr>
        <w:pStyle w:val="Compact"/>
      </w:pPr>
      <w:r>
        <w:t xml:space="preserve">2009 · Li YN ·</w:t>
      </w:r>
      <w:r>
        <w:t xml:space="preserve"> </w:t>
      </w:r>
      <w:r>
        <w:rPr>
          <w:iCs/>
          <w:i/>
        </w:rPr>
        <w:t xml:space="preserve">Zhongguo Wei Zhong Bing Ji Jiu Yi Xue</w:t>
      </w:r>
      <w:r>
        <w:t xml:space="preserve"> </w:t>
      </w:r>
      <w:r>
        <w:t xml:space="preserve">· [Effect of continuous blood purification and thymosin alpha1 on the cellular immunity in patients with severe sepsis: a prospective, randomized, controlled clinical trial]. PMID 19278581</w:t>
      </w:r>
    </w:p>
    <w:p>
      <w:pPr>
        <w:numPr>
          <w:ilvl w:val="0"/>
          <w:numId w:val="1391"/>
        </w:numPr>
        <w:pStyle w:val="Compact"/>
      </w:pPr>
      <w:r>
        <w:t xml:space="preserve">2009 · Li Yumin ·</w:t>
      </w:r>
      <w:r>
        <w:t xml:space="preserve"> </w:t>
      </w:r>
      <w:r>
        <w:rPr>
          <w:iCs/>
          <w:i/>
        </w:rPr>
        <w:t xml:space="preserve">J Intensive Care Med</w:t>
      </w:r>
      <w:r>
        <w:t xml:space="preserve"> </w:t>
      </w:r>
      <w:r>
        <w:t xml:space="preserve">· A new immunomodulatory therapy for severe sepsis: Ulinastatin Plus Thymosin {alpha} 1. PMID 19033321</w:t>
      </w:r>
    </w:p>
    <w:p>
      <w:pPr>
        <w:numPr>
          <w:ilvl w:val="0"/>
          <w:numId w:val="1391"/>
        </w:numPr>
        <w:pStyle w:val="Compact"/>
      </w:pPr>
      <w:r>
        <w:t xml:space="preserve">2008 · Poo JL ·</w:t>
      </w:r>
      <w:r>
        <w:t xml:space="preserve"> </w:t>
      </w:r>
      <w:r>
        <w:rPr>
          <w:iCs/>
          <w:i/>
        </w:rPr>
        <w:t xml:space="preserve">Ann Hepatol</w:t>
      </w:r>
      <w:r>
        <w:t xml:space="preserve"> </w:t>
      </w:r>
      <w:r>
        <w:t xml:space="preserve">· Efficacy of triple therapy with thymalfasin, peginterferon alpha-2a, and ribavirin for the treatment of hispanic chronic HCV nonresponders. PMID 19034238</w:t>
      </w:r>
    </w:p>
    <w:p>
      <w:pPr>
        <w:numPr>
          <w:ilvl w:val="0"/>
          <w:numId w:val="1391"/>
        </w:numPr>
        <w:pStyle w:val="Compact"/>
      </w:pPr>
      <w:r>
        <w:t xml:space="preserve">2008 · Zheng BX ·</w:t>
      </w:r>
      <w:r>
        <w:t xml:space="preserve"> </w:t>
      </w:r>
      <w:r>
        <w:rPr>
          <w:iCs/>
          <w:i/>
        </w:rPr>
        <w:t xml:space="preserve">Sichuan Da Xue Xue Bao Yi Xue Ban</w:t>
      </w:r>
      <w:r>
        <w:t xml:space="preserve"> </w:t>
      </w:r>
      <w:r>
        <w:t xml:space="preserve">· [The prophylactic effect of thymosin alpha 1 on the acute exacerbation of chronic obstructive pulmonary disease]. PMID 18798500</w:t>
      </w:r>
    </w:p>
    <w:p>
      <w:pPr>
        <w:numPr>
          <w:ilvl w:val="0"/>
          <w:numId w:val="1391"/>
        </w:numPr>
        <w:pStyle w:val="Compact"/>
      </w:pPr>
      <w:r>
        <w:t xml:space="preserve">2008 · Zhang Y ·</w:t>
      </w:r>
      <w:r>
        <w:t xml:space="preserve"> </w:t>
      </w:r>
      <w:r>
        <w:rPr>
          <w:iCs/>
          <w:i/>
        </w:rPr>
        <w:t xml:space="preserve">J Infect Dis</w:t>
      </w:r>
      <w:r>
        <w:t xml:space="preserve"> </w:t>
      </w:r>
      <w:r>
        <w:t xml:space="preserve">· Thymosin alpha1- and ulinastatin-based immunomodulatory strategy for sepsis arising from intra-abdominal infection due to carbapenem-resistant bacteria. PMID 18613793</w:t>
      </w:r>
    </w:p>
    <w:p>
      <w:pPr>
        <w:numPr>
          <w:ilvl w:val="0"/>
          <w:numId w:val="1391"/>
        </w:numPr>
        <w:pStyle w:val="Compact"/>
      </w:pPr>
      <w:r>
        <w:t xml:space="preserve">2008 · Loo WT ·</w:t>
      </w:r>
      <w:r>
        <w:t xml:space="preserve"> </w:t>
      </w:r>
      <w:r>
        <w:rPr>
          <w:iCs/>
          <w:i/>
        </w:rPr>
        <w:t xml:space="preserve">Am J Emerg Med</w:t>
      </w:r>
      <w:r>
        <w:t xml:space="preserve"> </w:t>
      </w:r>
      <w:r>
        <w:t xml:space="preserve">· Thymosin alpha 1 provides short-term and long-term benefits in the reimplantation of avulsed teeth: a double-blind randomized control pilot study. PMID 18534287</w:t>
      </w:r>
    </w:p>
    <w:p>
      <w:pPr>
        <w:numPr>
          <w:ilvl w:val="0"/>
          <w:numId w:val="1391"/>
        </w:numPr>
        <w:pStyle w:val="Compact"/>
      </w:pPr>
      <w:r>
        <w:t xml:space="preserve">2008 · Lee HW ·</w:t>
      </w:r>
      <w:r>
        <w:t xml:space="preserve"> </w:t>
      </w:r>
      <w:r>
        <w:rPr>
          <w:iCs/>
          <w:i/>
        </w:rPr>
        <w:t xml:space="preserve">J Gastroenterol Hepatol</w:t>
      </w:r>
      <w:r>
        <w:t xml:space="preserve"> </w:t>
      </w:r>
      <w:r>
        <w:t xml:space="preserve">· Combination therapy of thymosin alpha-1 and lamivudine for HBeAg positive chronic hepatitis B: A prospective randomized, comparative pilot study. PMID 18410608</w:t>
      </w:r>
    </w:p>
    <w:p>
      <w:pPr>
        <w:numPr>
          <w:ilvl w:val="0"/>
          <w:numId w:val="1391"/>
        </w:numPr>
        <w:pStyle w:val="Compact"/>
      </w:pPr>
      <w:r>
        <w:t xml:space="preserve">2007 · Wang L ·</w:t>
      </w:r>
      <w:r>
        <w:t xml:space="preserve"> </w:t>
      </w:r>
      <w:r>
        <w:rPr>
          <w:iCs/>
          <w:i/>
        </w:rPr>
        <w:t xml:space="preserve">Zhonghua Nei Ke Za Zhi</w:t>
      </w:r>
      <w:r>
        <w:t xml:space="preserve"> </w:t>
      </w:r>
      <w:r>
        <w:t xml:space="preserve">· [Combination therapy of thymosin alpha1 and high dose dexamethasone in patients with chronic idiopathic thrombocytopenic purpura]. PMID 17637261</w:t>
      </w:r>
    </w:p>
    <w:p>
      <w:pPr>
        <w:numPr>
          <w:ilvl w:val="0"/>
          <w:numId w:val="1391"/>
        </w:numPr>
        <w:pStyle w:val="Compact"/>
      </w:pPr>
      <w:r>
        <w:t xml:space="preserve">2007 · Ershler WB ·</w:t>
      </w:r>
      <w:r>
        <w:t xml:space="preserve"> </w:t>
      </w:r>
      <w:r>
        <w:rPr>
          <w:iCs/>
          <w:i/>
        </w:rPr>
        <w:t xml:space="preserve">Ann N Y Acad Sci</w:t>
      </w:r>
      <w:r>
        <w:t xml:space="preserve"> </w:t>
      </w:r>
      <w:r>
        <w:t xml:space="preserve">· Thymosin alpha 1 as an adjunct to influenza vaccination in the elderly: rationale and trial summaries. PMID 17600281</w:t>
      </w:r>
    </w:p>
    <w:p>
      <w:pPr>
        <w:numPr>
          <w:ilvl w:val="0"/>
          <w:numId w:val="1391"/>
        </w:numPr>
        <w:pStyle w:val="Compact"/>
      </w:pPr>
      <w:r>
        <w:t xml:space="preserve">2007 · Cooperative Group of immunomodulatory Therapy of Sepsis ·</w:t>
      </w:r>
      <w:r>
        <w:t xml:space="preserve"> </w:t>
      </w:r>
      <w:r>
        <w:rPr>
          <w:iCs/>
          <w:i/>
        </w:rPr>
        <w:t xml:space="preserve">Zhonghua Yi Xue Za Zhi</w:t>
      </w:r>
      <w:r>
        <w:t xml:space="preserve"> </w:t>
      </w:r>
      <w:r>
        <w:t xml:space="preserve">· [Clinical trial with a new immunomodulatory strategy: treatment of severe sepsis with Ulinastatin and Maipuxin]. PMID 17459221</w:t>
      </w:r>
    </w:p>
    <w:p>
      <w:pPr>
        <w:numPr>
          <w:ilvl w:val="0"/>
          <w:numId w:val="1391"/>
        </w:numPr>
        <w:pStyle w:val="Compact"/>
      </w:pPr>
      <w:r>
        <w:t xml:space="preserve">2007 · Ma LN ·</w:t>
      </w:r>
      <w:r>
        <w:t xml:space="preserve"> </w:t>
      </w:r>
      <w:r>
        <w:rPr>
          <w:iCs/>
          <w:i/>
        </w:rPr>
        <w:t xml:space="preserve">Zhonghua Gan Zang Bing Za Zhi</w:t>
      </w:r>
      <w:r>
        <w:t xml:space="preserve"> </w:t>
      </w:r>
      <w:r>
        <w:t xml:space="preserve">· [A clinical study of thymosin alpha1 as an auxiliary in treating spontaneous peritonitis in patients with liver cirrhosis]. PMID 17407720</w:t>
      </w:r>
    </w:p>
    <w:p>
      <w:pPr>
        <w:numPr>
          <w:ilvl w:val="0"/>
          <w:numId w:val="1391"/>
        </w:numPr>
        <w:pStyle w:val="Compact"/>
      </w:pPr>
      <w:r>
        <w:t xml:space="preserve">2007 · Chen J ·</w:t>
      </w:r>
      <w:r>
        <w:t xml:space="preserve"> </w:t>
      </w:r>
      <w:r>
        <w:rPr>
          <w:iCs/>
          <w:i/>
        </w:rPr>
        <w:t xml:space="preserve">Zhongguo Wei Zhong Bing Ji Jiu Yi Xue</w:t>
      </w:r>
      <w:r>
        <w:t xml:space="preserve"> </w:t>
      </w:r>
      <w:r>
        <w:t xml:space="preserve">· [Effects of thymosin-alpha1 on cell immunity function in patients with septic shock]. PMID 17376268</w:t>
      </w:r>
    </w:p>
    <w:p>
      <w:pPr>
        <w:numPr>
          <w:ilvl w:val="0"/>
          <w:numId w:val="1391"/>
        </w:numPr>
        <w:pStyle w:val="Compact"/>
      </w:pPr>
      <w:r>
        <w:t xml:space="preserve">2006 · Chien RN ·</w:t>
      </w:r>
      <w:r>
        <w:t xml:space="preserve"> </w:t>
      </w:r>
      <w:r>
        <w:rPr>
          <w:iCs/>
          <w:i/>
        </w:rPr>
        <w:t xml:space="preserve">J Viral Hepat</w:t>
      </w:r>
      <w:r>
        <w:t xml:space="preserve"> </w:t>
      </w:r>
      <w:r>
        <w:t xml:space="preserve">· Hepatitis B virus genotype B is associated with better response to thymosin alpha1 therapy than genotype C. PMID 17109685</w:t>
      </w:r>
    </w:p>
    <w:p>
      <w:pPr>
        <w:numPr>
          <w:ilvl w:val="0"/>
          <w:numId w:val="1391"/>
        </w:numPr>
        <w:pStyle w:val="Compact"/>
      </w:pPr>
      <w:r>
        <w:t xml:space="preserve">2006 · Huang SW ·</w:t>
      </w:r>
      <w:r>
        <w:t xml:space="preserve"> </w:t>
      </w:r>
      <w:r>
        <w:rPr>
          <w:iCs/>
          <w:i/>
        </w:rPr>
        <w:t xml:space="preserve">Zhongguo Wei Zhong Bing Ji Jiu Yi Xue</w:t>
      </w:r>
      <w:r>
        <w:t xml:space="preserve"> </w:t>
      </w:r>
      <w:r>
        <w:t xml:space="preserve">· [Clinical study and long-term evaluation of immunomodulation therapy on trauma, severe sepsis and multiple organ dysfunction syndrome patients]. PMID 17092412</w:t>
      </w:r>
    </w:p>
    <w:p>
      <w:pPr>
        <w:numPr>
          <w:ilvl w:val="0"/>
          <w:numId w:val="1391"/>
        </w:numPr>
        <w:pStyle w:val="Compact"/>
      </w:pPr>
      <w:r>
        <w:t xml:space="preserve">2006 · You J ·</w:t>
      </w:r>
      <w:r>
        <w:t xml:space="preserve"> </w:t>
      </w:r>
      <w:r>
        <w:rPr>
          <w:iCs/>
          <w:i/>
        </w:rPr>
        <w:t xml:space="preserve">World J Gastroenterol</w:t>
      </w:r>
      <w:r>
        <w:t xml:space="preserve"> </w:t>
      </w:r>
      <w:r>
        <w:t xml:space="preserve">· Efficacy of thymosin alpha-1 and interferon alpha in treatment of chronic viral hepatitis B: a randomized controlled study. PMID 17075991</w:t>
      </w:r>
    </w:p>
    <w:p>
      <w:pPr>
        <w:numPr>
          <w:ilvl w:val="0"/>
          <w:numId w:val="1391"/>
        </w:numPr>
        <w:pStyle w:val="Compact"/>
      </w:pPr>
      <w:r>
        <w:t xml:space="preserve">2006 · Lim SG ·</w:t>
      </w:r>
      <w:r>
        <w:t xml:space="preserve"> </w:t>
      </w:r>
      <w:r>
        <w:rPr>
          <w:iCs/>
          <w:i/>
        </w:rPr>
        <w:t xml:space="preserve">Antivir Ther</w:t>
      </w:r>
      <w:r>
        <w:t xml:space="preserve"> </w:t>
      </w:r>
      <w:r>
        <w:t xml:space="preserve">· A randomized, placebo-controlled trial of thymosin-alpha1 and lymphoblastoid interferon for HBeAg-positive chronic hepatitis B. PMID 16640105</w:t>
      </w:r>
    </w:p>
    <w:p>
      <w:pPr>
        <w:numPr>
          <w:ilvl w:val="0"/>
          <w:numId w:val="1391"/>
        </w:numPr>
        <w:pStyle w:val="Compact"/>
      </w:pPr>
      <w:r>
        <w:t xml:space="preserve">2006 · Shuqun C ·</w:t>
      </w:r>
      <w:r>
        <w:t xml:space="preserve"> </w:t>
      </w:r>
      <w:r>
        <w:rPr>
          <w:iCs/>
          <w:i/>
        </w:rPr>
        <w:t xml:space="preserve">Hepatogastroenterology</w:t>
      </w:r>
      <w:r>
        <w:t xml:space="preserve"> </w:t>
      </w:r>
      <w:r>
        <w:t xml:space="preserve">· Antiviral therapy using lamivudine and thymosin alpha1 for hepatocellular carcinoma coexisting with chronic hepatitis B infection. PMID 16608033</w:t>
      </w:r>
    </w:p>
    <w:p>
      <w:pPr>
        <w:numPr>
          <w:ilvl w:val="0"/>
          <w:numId w:val="1391"/>
        </w:numPr>
        <w:pStyle w:val="Compact"/>
      </w:pPr>
      <w:r>
        <w:t xml:space="preserve">2006 · Huang DP ·</w:t>
      </w:r>
      <w:r>
        <w:t xml:space="preserve"> </w:t>
      </w:r>
      <w:r>
        <w:rPr>
          <w:iCs/>
          <w:i/>
        </w:rPr>
        <w:t xml:space="preserve">Nan Fang Yi Ke Da Xue Xue Bao</w:t>
      </w:r>
      <w:r>
        <w:t xml:space="preserve"> </w:t>
      </w:r>
      <w:r>
        <w:t xml:space="preserve">· [Prevention and management of lung infections with thymosin alpha1 in critical patients with tracheotomy]. PMID 16495194</w:t>
      </w:r>
    </w:p>
    <w:p>
      <w:pPr>
        <w:numPr>
          <w:ilvl w:val="0"/>
          <w:numId w:val="1391"/>
        </w:numPr>
        <w:pStyle w:val="Compact"/>
      </w:pPr>
      <w:r>
        <w:t xml:space="preserve">2005 · Cui SN ·</w:t>
      </w:r>
      <w:r>
        <w:t xml:space="preserve"> </w:t>
      </w:r>
      <w:r>
        <w:rPr>
          <w:iCs/>
          <w:i/>
        </w:rPr>
        <w:t xml:space="preserve">Zhonghua Shi Yan He Lin Chuang Bing Du Xue Za Zhi</w:t>
      </w:r>
      <w:r>
        <w:t xml:space="preserve"> </w:t>
      </w:r>
      <w:r>
        <w:t xml:space="preserve">· [Antiviral therapy of chronic hepatitis B patients resistant to lamivudine]. PMID 16416004</w:t>
      </w:r>
    </w:p>
    <w:p>
      <w:pPr>
        <w:numPr>
          <w:ilvl w:val="0"/>
          <w:numId w:val="1391"/>
        </w:numPr>
        <w:pStyle w:val="Compact"/>
      </w:pPr>
      <w:r>
        <w:t xml:space="preserve">2005 · Cheng SQ ·</w:t>
      </w:r>
      <w:r>
        <w:t xml:space="preserve"> </w:t>
      </w:r>
      <w:r>
        <w:rPr>
          <w:iCs/>
          <w:i/>
        </w:rPr>
        <w:t xml:space="preserve">Zhonghua Zhong Liu Za Zhi</w:t>
      </w:r>
      <w:r>
        <w:t xml:space="preserve"> </w:t>
      </w:r>
      <w:r>
        <w:t xml:space="preserve">· [Anti-viral therapy using lamivudine and thymosin is helpful to prevent recurrence in hepatocellular carcinoma with coexisting active hepatitis B]. PMID 15946554</w:t>
      </w:r>
    </w:p>
    <w:p>
      <w:pPr>
        <w:numPr>
          <w:ilvl w:val="0"/>
          <w:numId w:val="1391"/>
        </w:numPr>
        <w:pStyle w:val="Compact"/>
      </w:pPr>
      <w:r>
        <w:t xml:space="preserve">2005 · Iino S ·</w:t>
      </w:r>
      <w:r>
        <w:t xml:space="preserve"> </w:t>
      </w:r>
      <w:r>
        <w:rPr>
          <w:iCs/>
          <w:i/>
        </w:rPr>
        <w:t xml:space="preserve">J Viral Hepat</w:t>
      </w:r>
      <w:r>
        <w:t xml:space="preserve"> </w:t>
      </w:r>
      <w:r>
        <w:t xml:space="preserve">· The efficacy and safety of thymosin alpha-1 in Japanese patients with chronic hepatitis B; results from a randomized clinical trial. PMID 15850471</w:t>
      </w:r>
    </w:p>
    <w:p>
      <w:pPr>
        <w:numPr>
          <w:ilvl w:val="0"/>
          <w:numId w:val="1391"/>
        </w:numPr>
        <w:pStyle w:val="Compact"/>
      </w:pPr>
      <w:r>
        <w:t xml:space="preserve">2005 · You J ·</w:t>
      </w:r>
      <w:r>
        <w:t xml:space="preserve"> </w:t>
      </w:r>
      <w:r>
        <w:rPr>
          <w:iCs/>
          <w:i/>
        </w:rPr>
        <w:t xml:space="preserve">J Chin Med Assoc</w:t>
      </w:r>
      <w:r>
        <w:t xml:space="preserve"> </w:t>
      </w:r>
      <w:r>
        <w:t xml:space="preserve">· A randomized, controlled, clinical study of thymosin alpha-1 versus interferon-alpha in [corrected] patients with chronic hepatitis B lacking HBeAg in China [corrected]. PMID 15759817</w:t>
      </w:r>
    </w:p>
    <w:p>
      <w:pPr>
        <w:numPr>
          <w:ilvl w:val="0"/>
          <w:numId w:val="1391"/>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15641209</w:t>
      </w:r>
    </w:p>
    <w:p>
      <w:pPr>
        <w:numPr>
          <w:ilvl w:val="0"/>
          <w:numId w:val="1391"/>
        </w:numPr>
        <w:pStyle w:val="Compact"/>
      </w:pPr>
      <w:r>
        <w:t xml:space="preserve">2004 · Poo JL ·</w:t>
      </w:r>
      <w:r>
        <w:t xml:space="preserve"> </w:t>
      </w:r>
      <w:r>
        <w:rPr>
          <w:iCs/>
          <w:i/>
        </w:rPr>
        <w:t xml:space="preserve">J Gastroenterol Hepatol</w:t>
      </w:r>
      <w:r>
        <w:t xml:space="preserve"> </w:t>
      </w:r>
      <w:r>
        <w:t xml:space="preserve">· Triple combination of thymalfasin, peginterferon alfa-2a and ribavirin in patients with chronic hepatitis C who have failed prior interferon and ribavirin treatment: 24-week interim results of a pilot study. PMID 15546256</w:t>
      </w:r>
    </w:p>
    <w:p>
      <w:pPr>
        <w:numPr>
          <w:ilvl w:val="0"/>
          <w:numId w:val="1391"/>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15546255</w:t>
      </w:r>
    </w:p>
    <w:p>
      <w:pPr>
        <w:numPr>
          <w:ilvl w:val="0"/>
          <w:numId w:val="1391"/>
        </w:numPr>
        <w:pStyle w:val="Compact"/>
      </w:pPr>
      <w:r>
        <w:t xml:space="preserve">2004 · Chien RN ·</w:t>
      </w:r>
      <w:r>
        <w:t xml:space="preserve"> </w:t>
      </w:r>
      <w:r>
        <w:rPr>
          <w:iCs/>
          <w:i/>
        </w:rPr>
        <w:t xml:space="preserve">Expert Rev Anti Infect Ther</w:t>
      </w:r>
      <w:r>
        <w:t xml:space="preserve"> </w:t>
      </w:r>
      <w:r>
        <w:t xml:space="preserve">· Thymalfasin for the treatment of chronic hepatitis B. PMID 15482167</w:t>
      </w:r>
    </w:p>
    <w:p>
      <w:pPr>
        <w:numPr>
          <w:ilvl w:val="0"/>
          <w:numId w:val="1391"/>
        </w:numPr>
        <w:pStyle w:val="Compact"/>
      </w:pPr>
      <w:r>
        <w:t xml:space="preserve">2004 · Shuqun C ·</w:t>
      </w:r>
      <w:r>
        <w:t xml:space="preserve"> </w:t>
      </w:r>
      <w:r>
        <w:rPr>
          <w:iCs/>
          <w:i/>
        </w:rPr>
        <w:t xml:space="preserve">Hepatogastroenterology</w:t>
      </w:r>
      <w:r>
        <w:t xml:space="preserve"> </w:t>
      </w:r>
      <w:r>
        <w:t xml:space="preserve">· Combination transcatheter hepatic arterial chemoembolization with thymosin alpha1 on recurrence prevention of hepatocellular carcinoma. PMID 15362772</w:t>
      </w:r>
    </w:p>
    <w:p>
      <w:pPr>
        <w:numPr>
          <w:ilvl w:val="0"/>
          <w:numId w:val="1391"/>
        </w:numPr>
        <w:pStyle w:val="Compact"/>
      </w:pPr>
      <w:r>
        <w:t xml:space="preserve">2004 · Lei CL ·</w:t>
      </w:r>
      <w:r>
        <w:t xml:space="preserve"> </w:t>
      </w:r>
      <w:r>
        <w:rPr>
          <w:iCs/>
          <w:i/>
        </w:rPr>
        <w:t xml:space="preserve">Zhonghua Shi Yan He Lin Chuang Bing Du Xue Za Zhi</w:t>
      </w:r>
      <w:r>
        <w:t xml:space="preserve"> </w:t>
      </w:r>
      <w:r>
        <w:t xml:space="preserve">· [Clinical trial of sequential antiviral therapy for patients with chronic hepatitis B in China]. PMID 15340532</w:t>
      </w:r>
    </w:p>
    <w:p>
      <w:pPr>
        <w:numPr>
          <w:ilvl w:val="0"/>
          <w:numId w:val="1391"/>
        </w:numPr>
        <w:pStyle w:val="Compact"/>
      </w:pPr>
      <w:r>
        <w:t xml:space="preserve">2004 · Cheng SQ ·</w:t>
      </w:r>
      <w:r>
        <w:t xml:space="preserve"> </w:t>
      </w:r>
      <w:r>
        <w:rPr>
          <w:iCs/>
          <w:i/>
        </w:rPr>
        <w:t xml:space="preserve">Zhonghua Zhong Liu Za Zhi</w:t>
      </w:r>
      <w:r>
        <w:t xml:space="preserve"> </w:t>
      </w:r>
      <w:r>
        <w:t xml:space="preserve">· [Transcatheter hepatic arterial chemoembolization and thymosin alpha1 in postoperative treatment of hepatocellular carcinoma]. PMID 15312371</w:t>
      </w:r>
    </w:p>
    <w:p>
      <w:pPr>
        <w:numPr>
          <w:ilvl w:val="0"/>
          <w:numId w:val="1391"/>
        </w:numPr>
        <w:pStyle w:val="Compact"/>
      </w:pPr>
      <w:r>
        <w:t xml:space="preserve">2004 · Andreone P ·</w:t>
      </w:r>
      <w:r>
        <w:t xml:space="preserve"> </w:t>
      </w:r>
      <w:r>
        <w:rPr>
          <w:iCs/>
          <w:i/>
        </w:rPr>
        <w:t xml:space="preserve">J Viral Hepat</w:t>
      </w:r>
      <w:r>
        <w:t xml:space="preserve"> </w:t>
      </w:r>
      <w:r>
        <w:t xml:space="preserve">· Thymosin-alpha 1 plus interferon-alpha for naive patients with chronic hepatitis C: results of a randomized controlled pilot trial. PMID 14738560</w:t>
      </w:r>
    </w:p>
    <w:p>
      <w:pPr>
        <w:numPr>
          <w:ilvl w:val="0"/>
          <w:numId w:val="1391"/>
        </w:numPr>
        <w:pStyle w:val="Compact"/>
      </w:pPr>
      <w:r>
        <w:t xml:space="preserve">2003 · Chadwick D ·</w:t>
      </w:r>
      <w:r>
        <w:t xml:space="preserve"> </w:t>
      </w:r>
      <w:r>
        <w:rPr>
          <w:iCs/>
          <w:i/>
        </w:rPr>
        <w:t xml:space="preserve">Clin Exp Immunol</w:t>
      </w:r>
      <w:r>
        <w:t xml:space="preserve"> </w:t>
      </w:r>
      <w:r>
        <w:t xml:space="preserve">· A pilot study of the safety and efficacy of thymosin alpha 1 in augmenting immune reconstitution in HIV-infected patients with low CD4 counts taking highly active antiretroviral therapy. PMID 14632754</w:t>
      </w:r>
    </w:p>
    <w:p>
      <w:pPr>
        <w:numPr>
          <w:ilvl w:val="0"/>
          <w:numId w:val="1391"/>
        </w:numPr>
        <w:pStyle w:val="Compact"/>
      </w:pPr>
      <w:r>
        <w:t xml:space="preserve">2003 · Arase Y ·</w:t>
      </w:r>
      <w:r>
        <w:t xml:space="preserve"> </w:t>
      </w:r>
      <w:r>
        <w:rPr>
          <w:iCs/>
          <w:i/>
        </w:rPr>
        <w:t xml:space="preserve">Intern Med</w:t>
      </w:r>
      <w:r>
        <w:t xml:space="preserve"> </w:t>
      </w:r>
      <w:r>
        <w:t xml:space="preserve">· A pilot study of thymosin alpha1 therapy for chronic hepatitis B patients. PMID 14606705</w:t>
      </w:r>
    </w:p>
    <w:p>
      <w:pPr>
        <w:numPr>
          <w:ilvl w:val="0"/>
          <w:numId w:val="1391"/>
        </w:numPr>
        <w:pStyle w:val="Compact"/>
      </w:pPr>
      <w:r>
        <w:t xml:space="preserve">2003 · Saruc M ·</w:t>
      </w:r>
      <w:r>
        <w:t xml:space="preserve"> </w:t>
      </w:r>
      <w:r>
        <w:rPr>
          <w:iCs/>
          <w:i/>
        </w:rPr>
        <w:t xml:space="preserve">J Pharm Sci</w:t>
      </w:r>
      <w:r>
        <w:t xml:space="preserve"> </w:t>
      </w:r>
      <w:r>
        <w:t xml:space="preserve">· Long-term outcomes of thymosin-alpha 1 and interferon alpha-2b combination therapy in patients with hepatitis B e antigen (HBeAg) negative chronic hepatitis B. PMID 12820143</w:t>
      </w:r>
    </w:p>
    <w:p>
      <w:pPr>
        <w:numPr>
          <w:ilvl w:val="0"/>
          <w:numId w:val="1391"/>
        </w:numPr>
        <w:pStyle w:val="Compact"/>
      </w:pPr>
      <w:r>
        <w:t xml:space="preserve">2002 · Lau GK ·</w:t>
      </w:r>
      <w:r>
        <w:t xml:space="preserve"> </w:t>
      </w:r>
      <w:r>
        <w:rPr>
          <w:iCs/>
          <w:i/>
        </w:rPr>
        <w:t xml:space="preserve">J Viral Hepat</w:t>
      </w:r>
      <w:r>
        <w:t xml:space="preserve"> </w:t>
      </w:r>
      <w:r>
        <w:t xml:space="preserve">· Thymosin-alpha1 and famciclovir combination therapy activates T-cell response in patients with chronic hepatitis B virus infection in immune-tolerant phase. PMID 12081605</w:t>
      </w:r>
    </w:p>
    <w:p>
      <w:pPr>
        <w:numPr>
          <w:ilvl w:val="0"/>
          <w:numId w:val="1391"/>
        </w:numPr>
        <w:pStyle w:val="Compact"/>
      </w:pPr>
      <w:r>
        <w:t xml:space="preserve">2002 · Amarapurkar D ·</w:t>
      </w:r>
      <w:r>
        <w:t xml:space="preserve"> </w:t>
      </w:r>
      <w:r>
        <w:rPr>
          <w:iCs/>
          <w:i/>
        </w:rPr>
        <w:t xml:space="preserve">Indian J Gastroenterol</w:t>
      </w:r>
      <w:r>
        <w:t xml:space="preserve"> </w:t>
      </w:r>
      <w:r>
        <w:t xml:space="preserve">· Thymosin alpha in the treatment of chronic hepatitis B: an uncontrolled open-label trial. PMID 11990327</w:t>
      </w:r>
    </w:p>
    <w:p>
      <w:pPr>
        <w:numPr>
          <w:ilvl w:val="0"/>
          <w:numId w:val="1391"/>
        </w:numPr>
        <w:pStyle w:val="Compact"/>
      </w:pPr>
      <w:r>
        <w:t xml:space="preserve">2001 · Kullavanuaya P ·</w:t>
      </w:r>
      <w:r>
        <w:t xml:space="preserve"> </w:t>
      </w:r>
      <w:r>
        <w:rPr>
          <w:iCs/>
          <w:i/>
        </w:rPr>
        <w:t xml:space="preserve">J Med Assoc Thai</w:t>
      </w:r>
      <w:r>
        <w:t xml:space="preserve"> </w:t>
      </w:r>
      <w:r>
        <w:t xml:space="preserve">· The combined treatment of interferon alpha-2a and thymosin alpha 1 for chronic hepatitis C: the 48 weeks end of treatment results. PMID 11529376</w:t>
      </w:r>
    </w:p>
    <w:p>
      <w:pPr>
        <w:numPr>
          <w:ilvl w:val="0"/>
          <w:numId w:val="1391"/>
        </w:numPr>
        <w:pStyle w:val="Compact"/>
      </w:pPr>
      <w:r>
        <w:t xml:space="preserve">2000 · Rasi G ·</w:t>
      </w:r>
      <w:r>
        <w:t xml:space="preserve"> </w:t>
      </w:r>
      <w:r>
        <w:rPr>
          <w:iCs/>
          <w:i/>
        </w:rPr>
        <w:t xml:space="preserve">Melanoma Res</w:t>
      </w:r>
      <w:r>
        <w:t xml:space="preserve"> </w:t>
      </w:r>
      <w:r>
        <w:t xml:space="preserve">· Combined treatment with thymosin-alpha1 and low dose interferon-alpha after dacarbazine in advanced melanoma. PMID 10803720</w:t>
      </w:r>
    </w:p>
    <w:p>
      <w:pPr>
        <w:numPr>
          <w:ilvl w:val="0"/>
          <w:numId w:val="1391"/>
        </w:numPr>
        <w:pStyle w:val="Compact"/>
      </w:pPr>
      <w:r>
        <w:t xml:space="preserve">2000 · Zavaglia C ·</w:t>
      </w:r>
      <w:r>
        <w:t xml:space="preserve"> </w:t>
      </w:r>
      <w:r>
        <w:rPr>
          <w:iCs/>
          <w:i/>
        </w:rPr>
        <w:t xml:space="preserve">Dig Dis Sci</w:t>
      </w:r>
      <w:r>
        <w:t xml:space="preserve"> </w:t>
      </w:r>
      <w:r>
        <w:t xml:space="preserve">· A randomized, controlled study of thymosin-alpha1 therapy in patients with anti-HBe, HBV-DNA-positive chronic hepatitis B. PMID 10759236</w:t>
      </w:r>
    </w:p>
    <w:p>
      <w:pPr>
        <w:numPr>
          <w:ilvl w:val="0"/>
          <w:numId w:val="1391"/>
        </w:numPr>
        <w:pStyle w:val="Compact"/>
      </w:pPr>
      <w:r>
        <w:t xml:space="preserve">2000 · Molinero P ·</w:t>
      </w:r>
      <w:r>
        <w:t xml:space="preserve"> </w:t>
      </w:r>
      <w:r>
        <w:rPr>
          <w:iCs/>
          <w:i/>
        </w:rPr>
        <w:t xml:space="preserve">J Neuroimmunol</w:t>
      </w:r>
      <w:r>
        <w:t xml:space="preserve"> </w:t>
      </w:r>
      <w:r>
        <w:t xml:space="preserve">· Melatonin is responsible for the nocturnal increase observed in serum and thymus of thymosin alpha1 and thymulin concentrations: observations in rats and humans. PMID 10696913</w:t>
      </w:r>
    </w:p>
    <w:p>
      <w:pPr>
        <w:numPr>
          <w:ilvl w:val="0"/>
          <w:numId w:val="1391"/>
        </w:numPr>
        <w:pStyle w:val="Compact"/>
      </w:pPr>
      <w:r>
        <w:t xml:space="preserve">1999 · Mutchnick MG ·</w:t>
      </w:r>
      <w:r>
        <w:t xml:space="preserve"> </w:t>
      </w:r>
      <w:r>
        <w:rPr>
          <w:iCs/>
          <w:i/>
        </w:rPr>
        <w:t xml:space="preserve">J Viral Hepat</w:t>
      </w:r>
      <w:r>
        <w:t xml:space="preserve"> </w:t>
      </w:r>
      <w:r>
        <w:t xml:space="preserve">· Thymosin alpha1 treatment of chronic hepatitis B: results of a phase III multicentre, randomized, double-blind and placebo-controlled study. PMID 10607256</w:t>
      </w:r>
    </w:p>
    <w:p>
      <w:pPr>
        <w:numPr>
          <w:ilvl w:val="0"/>
          <w:numId w:val="1391"/>
        </w:numPr>
        <w:pStyle w:val="Compact"/>
      </w:pPr>
      <w:r>
        <w:t xml:space="preserve">1999 · Rost KL ·</w:t>
      </w:r>
      <w:r>
        <w:t xml:space="preserve"> </w:t>
      </w:r>
      <w:r>
        <w:rPr>
          <w:iCs/>
          <w:i/>
        </w:rPr>
        <w:t xml:space="preserve">Int J Clin Pharmacol Ther</w:t>
      </w:r>
      <w:r>
        <w:t xml:space="preserve"> </w:t>
      </w:r>
      <w:r>
        <w:t xml:space="preserve">· Pharmacokinetics of thymosin alpha1 after subcutaneous injection of three different formulations in healthy volunteers. PMID 10027483</w:t>
      </w:r>
    </w:p>
    <w:p>
      <w:pPr>
        <w:numPr>
          <w:ilvl w:val="0"/>
          <w:numId w:val="1391"/>
        </w:numPr>
        <w:pStyle w:val="Compact"/>
      </w:pPr>
      <w:r>
        <w:t xml:space="preserve">1998 · Moscarella S ·</w:t>
      </w:r>
      <w:r>
        <w:t xml:space="preserve"> </w:t>
      </w:r>
      <w:r>
        <w:rPr>
          <w:iCs/>
          <w:i/>
        </w:rPr>
        <w:t xml:space="preserve">Liver</w:t>
      </w:r>
      <w:r>
        <w:t xml:space="preserve"> </w:t>
      </w:r>
      <w:r>
        <w:t xml:space="preserve">· Interferon and thymosin combination therapy in naive patients with chronic hepatitis C: preliminary results. PMID 9831367</w:t>
      </w:r>
    </w:p>
    <w:p>
      <w:pPr>
        <w:numPr>
          <w:ilvl w:val="0"/>
          <w:numId w:val="1391"/>
        </w:numPr>
        <w:pStyle w:val="Compact"/>
      </w:pPr>
      <w:r>
        <w:t xml:space="preserve">1998 · Chien RN ·</w:t>
      </w:r>
      <w:r>
        <w:t xml:space="preserve"> </w:t>
      </w:r>
      <w:r>
        <w:rPr>
          <w:iCs/>
          <w:i/>
        </w:rPr>
        <w:t xml:space="preserve">Hepatology</w:t>
      </w:r>
      <w:r>
        <w:t xml:space="preserve"> </w:t>
      </w:r>
      <w:r>
        <w:t xml:space="preserve">· Efficacy of thymosin alpha1 in patients with chronic hepatitis B: a randomized, controlled trial. PMID 9581695</w:t>
      </w:r>
    </w:p>
    <w:p>
      <w:pPr>
        <w:numPr>
          <w:ilvl w:val="0"/>
          <w:numId w:val="1391"/>
        </w:numPr>
        <w:pStyle w:val="Compact"/>
      </w:pPr>
      <w:r>
        <w:t xml:space="preserve">1998 · Sherman KE ·</w:t>
      </w:r>
      <w:r>
        <w:t xml:space="preserve"> </w:t>
      </w:r>
      <w:r>
        <w:rPr>
          <w:iCs/>
          <w:i/>
        </w:rPr>
        <w:t xml:space="preserve">Hepatology</w:t>
      </w:r>
      <w:r>
        <w:t xml:space="preserve"> </w:t>
      </w:r>
      <w:r>
        <w:t xml:space="preserve">· Combination therapy with thymosin alpha1 and interferon for the treatment of chronic hepatitis C infection: a randomized, placebo-controlled double-blind trial. PMID 9537454</w:t>
      </w:r>
    </w:p>
    <w:p>
      <w:pPr>
        <w:numPr>
          <w:ilvl w:val="0"/>
          <w:numId w:val="1391"/>
        </w:numPr>
        <w:pStyle w:val="Compact"/>
      </w:pPr>
      <w:r>
        <w:t xml:space="preserve">1996 · Zavaglia C ·</w:t>
      </w:r>
      <w:r>
        <w:t xml:space="preserve"> </w:t>
      </w:r>
      <w:r>
        <w:rPr>
          <w:iCs/>
          <w:i/>
        </w:rPr>
        <w:t xml:space="preserve">J Clin Gastroenterol</w:t>
      </w:r>
      <w:r>
        <w:t xml:space="preserve"> </w:t>
      </w:r>
      <w:r>
        <w:t xml:space="preserve">· A pilot study of thymosin-alpha 1 therapy for chronic hepatitis D. PMID 8877652</w:t>
      </w:r>
    </w:p>
    <w:p>
      <w:pPr>
        <w:numPr>
          <w:ilvl w:val="0"/>
          <w:numId w:val="1391"/>
        </w:numPr>
        <w:pStyle w:val="Compact"/>
      </w:pPr>
      <w:r>
        <w:t xml:space="preserve">1996 · Andreone P ·</w:t>
      </w:r>
      <w:r>
        <w:t xml:space="preserve"> </w:t>
      </w:r>
      <w:r>
        <w:rPr>
          <w:iCs/>
          <w:i/>
        </w:rPr>
        <w:t xml:space="preserve">Liver</w:t>
      </w:r>
      <w:r>
        <w:t xml:space="preserve"> </w:t>
      </w:r>
      <w:r>
        <w:t xml:space="preserve">· A double-blind, placebo-controlled, pilot trial of thymosin alpha 1 for the treatment of chronic hepatitis C. PMID 8873009</w:t>
      </w:r>
    </w:p>
    <w:p>
      <w:pPr>
        <w:numPr>
          <w:ilvl w:val="0"/>
          <w:numId w:val="1391"/>
        </w:numPr>
        <w:pStyle w:val="Compact"/>
      </w:pPr>
      <w:r>
        <w:t xml:space="preserve">1996 · Rasi G ·</w:t>
      </w:r>
      <w:r>
        <w:t xml:space="preserve"> </w:t>
      </w:r>
      <w:r>
        <w:rPr>
          <w:iCs/>
          <w:i/>
        </w:rPr>
        <w:t xml:space="preserve">J Viral Hepat</w:t>
      </w:r>
      <w:r>
        <w:t xml:space="preserve"> </w:t>
      </w:r>
      <w:r>
        <w:t xml:space="preserve">· Combination low-dose lymphoblastoid interferon and thymosin alpha 1 therapy in the treatment of chronic hepatitis B. PMID 8871880</w:t>
      </w:r>
    </w:p>
    <w:p>
      <w:pPr>
        <w:numPr>
          <w:ilvl w:val="0"/>
          <w:numId w:val="1391"/>
        </w:numPr>
        <w:pStyle w:val="Compact"/>
      </w:pPr>
      <w:r>
        <w:t xml:space="preserve">1996 · Andreone P ·</w:t>
      </w:r>
      <w:r>
        <w:t xml:space="preserve"> </w:t>
      </w:r>
      <w:r>
        <w:rPr>
          <w:iCs/>
          <w:i/>
        </w:rPr>
        <w:t xml:space="preserve">Hepatology</w:t>
      </w:r>
      <w:r>
        <w:t xml:space="preserve"> </w:t>
      </w:r>
      <w:r>
        <w:t xml:space="preserve">· A randomized controlled trial of thymosin-alpha1 versus interferon alfa treatment in patients with hepatitis B e antigen antibody–and hepatitis B virus DNA–positive chronic hepatitis B. PMID 8855175</w:t>
      </w:r>
    </w:p>
    <w:p>
      <w:pPr>
        <w:numPr>
          <w:ilvl w:val="0"/>
          <w:numId w:val="1391"/>
        </w:numPr>
        <w:pStyle w:val="Compact"/>
      </w:pPr>
      <w:r>
        <w:t xml:space="preserve">1996 · Salvati F ·</w:t>
      </w:r>
      <w:r>
        <w:t xml:space="preserve"> </w:t>
      </w:r>
      <w:r>
        <w:rPr>
          <w:iCs/>
          <w:i/>
        </w:rPr>
        <w:t xml:space="preserve">Anticancer Res</w:t>
      </w:r>
      <w:r>
        <w:t xml:space="preserve"> </w:t>
      </w:r>
      <w:r>
        <w:t xml:space="preserve">· Combined treatment with thymosin-alpha1 and low-dose interferon-alpha after ifosfamide in non-small cell lung cancer: a phase-II controlled trial. PMID 8687090</w:t>
      </w:r>
    </w:p>
    <w:p>
      <w:pPr>
        <w:numPr>
          <w:ilvl w:val="0"/>
          <w:numId w:val="1391"/>
        </w:numPr>
        <w:pStyle w:val="Compact"/>
      </w:pPr>
      <w:r>
        <w:t xml:space="preserve">1996 · Ramachandran R ·</w:t>
      </w:r>
      <w:r>
        <w:t xml:space="preserve"> </w:t>
      </w:r>
      <w:r>
        <w:rPr>
          <w:iCs/>
          <w:i/>
        </w:rPr>
        <w:t xml:space="preserve">J Infect Dis</w:t>
      </w:r>
      <w:r>
        <w:t xml:space="preserve"> </w:t>
      </w:r>
      <w:r>
        <w:t xml:space="preserve">· Polyethylene glycol-modified interleukin-2 and thymosin alpha 1 in human immunodeficiency virus type 1 infection. PMID 8603940</w:t>
      </w:r>
    </w:p>
    <w:p>
      <w:pPr>
        <w:numPr>
          <w:ilvl w:val="0"/>
          <w:numId w:val="1391"/>
        </w:numPr>
        <w:pStyle w:val="Compact"/>
      </w:pPr>
      <w:r>
        <w:t xml:space="preserve">1995 · Garaci E ·</w:t>
      </w:r>
      <w:r>
        <w:t xml:space="preserve"> </w:t>
      </w:r>
      <w:r>
        <w:rPr>
          <w:iCs/>
          <w:i/>
        </w:rPr>
        <w:t xml:space="preserve">Eur J Cancer</w:t>
      </w:r>
      <w:r>
        <w:t xml:space="preserve"> </w:t>
      </w:r>
      <w:r>
        <w:t xml:space="preserve">· Sequential chemoimmunotherapy for advanced non-small cell lung cancer using cisplatin, etoposide, thymosin-alpha 1 and interferon-alpha 2a. PMID 8652276</w:t>
      </w:r>
    </w:p>
    <w:p>
      <w:pPr>
        <w:numPr>
          <w:ilvl w:val="0"/>
          <w:numId w:val="1391"/>
        </w:numPr>
        <w:pStyle w:val="Compact"/>
      </w:pPr>
      <w:r>
        <w:t xml:space="preserve">1995 · Naz RK ·</w:t>
      </w:r>
      <w:r>
        <w:t xml:space="preserve"> </w:t>
      </w:r>
      <w:r>
        <w:rPr>
          <w:iCs/>
          <w:i/>
        </w:rPr>
        <w:t xml:space="preserve">Arch Androl</w:t>
      </w:r>
      <w:r>
        <w:t xml:space="preserve"> </w:t>
      </w:r>
      <w:r>
        <w:t xml:space="preserve">· Treatment with thymosin alpha-1 increases fertilizing capacity of sperm of infertile men: a multicenter trial. PMID 8579476</w:t>
      </w:r>
    </w:p>
    <w:p>
      <w:pPr>
        <w:numPr>
          <w:ilvl w:val="0"/>
          <w:numId w:val="1391"/>
        </w:numPr>
        <w:pStyle w:val="Compact"/>
      </w:pPr>
      <w:r>
        <w:t xml:space="preserve">1994 · Garaci E ·</w:t>
      </w:r>
      <w:r>
        <w:t xml:space="preserve"> </w:t>
      </w:r>
      <w:r>
        <w:rPr>
          <w:iCs/>
          <w:i/>
        </w:rPr>
        <w:t xml:space="preserve">Int J Clin Lab Res</w:t>
      </w:r>
      <w:r>
        <w:t xml:space="preserve"> </w:t>
      </w:r>
      <w:r>
        <w:t xml:space="preserve">· Combination treatment with zidovudine, thymosin alpha 1 and interferon-alpha in human immunodeficiency virus infection. PMID 7910053</w:t>
      </w:r>
    </w:p>
    <w:p>
      <w:pPr>
        <w:numPr>
          <w:ilvl w:val="0"/>
          <w:numId w:val="1391"/>
        </w:numPr>
        <w:pStyle w:val="Compact"/>
      </w:pPr>
      <w:r>
        <w:t xml:space="preserve">1994 · Lopez M ·</w:t>
      </w:r>
      <w:r>
        <w:t xml:space="preserve"> </w:t>
      </w:r>
      <w:r>
        <w:rPr>
          <w:iCs/>
          <w:i/>
        </w:rPr>
        <w:t xml:space="preserve">Ann Oncol</w:t>
      </w:r>
      <w:r>
        <w:t xml:space="preserve"> </w:t>
      </w:r>
      <w:r>
        <w:t xml:space="preserve">· Biochemotherapy with thymosin alpha 1, interleukin-2 and dacarbazine in patients with metastatic melanoma: clinical and immunological effects. PMID 7826907</w:t>
      </w:r>
    </w:p>
    <w:p>
      <w:pPr>
        <w:numPr>
          <w:ilvl w:val="0"/>
          <w:numId w:val="1391"/>
        </w:numPr>
        <w:pStyle w:val="Compact"/>
      </w:pPr>
      <w:r>
        <w:t xml:space="preserve">1991 · Mutchnick MG ·</w:t>
      </w:r>
      <w:r>
        <w:t xml:space="preserve"> </w:t>
      </w:r>
      <w:r>
        <w:rPr>
          <w:iCs/>
          <w:i/>
        </w:rPr>
        <w:t xml:space="preserve">Hepatology</w:t>
      </w:r>
      <w:r>
        <w:t xml:space="preserve"> </w:t>
      </w:r>
      <w:r>
        <w:t xml:space="preserve">· Thymosin treatment of chronic hepatitis B: a placebo-controlled pilot trial. PMID 1874487</w:t>
      </w:r>
    </w:p>
    <w:p>
      <w:pPr>
        <w:numPr>
          <w:ilvl w:val="0"/>
          <w:numId w:val="1391"/>
        </w:numPr>
        <w:pStyle w:val="Compact"/>
      </w:pPr>
      <w:r>
        <w:t xml:space="preserve">1989 · Gravenstein S ·</w:t>
      </w:r>
      <w:r>
        <w:t xml:space="preserve"> </w:t>
      </w:r>
      <w:r>
        <w:rPr>
          <w:iCs/>
          <w:i/>
        </w:rPr>
        <w:t xml:space="preserve">J Am Geriatr Soc</w:t>
      </w:r>
      <w:r>
        <w:t xml:space="preserve"> </w:t>
      </w:r>
      <w:r>
        <w:t xml:space="preserve">· Augmentation of influenza antibody response in elderly men by thymosin alpha one. A double-blind placebo-controlled clinical study. PMID 2642497</w:t>
      </w:r>
    </w:p>
    <w:p>
      <w:pPr>
        <w:numPr>
          <w:ilvl w:val="0"/>
          <w:numId w:val="1391"/>
        </w:numPr>
        <w:pStyle w:val="Compact"/>
      </w:pPr>
      <w:r>
        <w:t xml:space="preserve">1985 · Schulof RS ·</w:t>
      </w:r>
      <w:r>
        <w:t xml:space="preserve"> </w:t>
      </w:r>
      <w:r>
        <w:rPr>
          <w:iCs/>
          <w:i/>
        </w:rPr>
        <w:t xml:space="preserve">J Biol Response Mod</w:t>
      </w:r>
      <w:r>
        <w:t xml:space="preserve"> </w:t>
      </w:r>
      <w:r>
        <w:t xml:space="preserve">· A randomized trial to evaluate the immunorestorative properties of synthetic thymosin-alpha 1 in patients with lung cancer. PMID 3998766</w:t>
      </w:r>
    </w:p>
    <w:p>
      <w:pPr>
        <w:numPr>
          <w:ilvl w:val="0"/>
          <w:numId w:val="1391"/>
        </w:numPr>
        <w:pStyle w:val="Compact"/>
      </w:pPr>
      <w:r>
        <w:t xml:space="preserve">1985 · Schulof RS ·</w:t>
      </w:r>
      <w:r>
        <w:t xml:space="preserve"> </w:t>
      </w:r>
      <w:r>
        <w:rPr>
          <w:iCs/>
          <w:i/>
        </w:rPr>
        <w:t xml:space="preserve">Cancer</w:t>
      </w:r>
      <w:r>
        <w:t xml:space="preserve"> </w:t>
      </w:r>
      <w:r>
        <w:t xml:space="preserve">· T-cell abnormalities after mediastinal irradiation for lung cancer. The in vitro influence of synthetic thymosin alpha-1. PMID 3155644</w:t>
      </w:r>
    </w:p>
    <w:p>
      <w:pPr>
        <w:numPr>
          <w:ilvl w:val="0"/>
          <w:numId w:val="1391"/>
        </w:numPr>
        <w:pStyle w:val="Compact"/>
      </w:pPr>
      <w:r>
        <w:t xml:space="preserve">1984 · Naylor PH ·</w:t>
      </w:r>
      <w:r>
        <w:t xml:space="preserve"> </w:t>
      </w:r>
      <w:r>
        <w:rPr>
          <w:iCs/>
          <w:i/>
        </w:rPr>
        <w:t xml:space="preserve">Ann N Y Acad Sci</w:t>
      </w:r>
      <w:r>
        <w:t xml:space="preserve"> </w:t>
      </w:r>
      <w:r>
        <w:t xml:space="preserve">· Thymosin in the early diagnosis and treatment of high risk homosexuals and hemophiliacs with AIDS-like immune dysfunction. PMID 6398657</w:t>
      </w:r>
    </w:p>
    <w:bookmarkEnd w:id="3028"/>
    <w:bookmarkStart w:id="3029" w:name="kpv-0"/>
    <w:p>
      <w:pPr>
        <w:pStyle w:val="Heading2"/>
      </w:pPr>
      <w:r>
        <w:t xml:space="preserve">KPV (0)</w:t>
      </w:r>
    </w:p>
    <w:p>
      <w:pPr>
        <w:pStyle w:val="FirstParagraph"/>
      </w:pPr>
      <w:r>
        <w:t xml:space="preserve">Nenhuma publicação de estudos clínicos em humanos encontrada.</w:t>
      </w:r>
    </w:p>
    <w:bookmarkEnd w:id="3029"/>
    <w:bookmarkStart w:id="3030" w:name="ll-37-91"/>
    <w:p>
      <w:pPr>
        <w:pStyle w:val="Heading2"/>
      </w:pPr>
      <w:r>
        <w:t xml:space="preserve">LL-37 (91)</w:t>
      </w:r>
    </w:p>
    <w:p>
      <w:pPr>
        <w:numPr>
          <w:ilvl w:val="0"/>
          <w:numId w:val="1392"/>
        </w:numPr>
        <w:pStyle w:val="Compact"/>
      </w:pPr>
      <w:r>
        <w:t xml:space="preserve">2026 · Song S ·</w:t>
      </w:r>
      <w:r>
        <w:t xml:space="preserve"> </w:t>
      </w:r>
      <w:r>
        <w:rPr>
          <w:iCs/>
          <w:i/>
        </w:rPr>
        <w:t xml:space="preserve">Probiotics Antimicrob Proteins</w:t>
      </w:r>
      <w:r>
        <w:t xml:space="preserve"> </w:t>
      </w:r>
      <w:r>
        <w:t xml:space="preserve">· Assessing the Safety and Probiotic Potential of Bifidobacterium longum subsp. infantis BI45: A Comprehensive Study from Genomic Analysis to Randomized Controlled Clinical Trial in Healthy Adults. PMID 42118446</w:t>
      </w:r>
    </w:p>
    <w:p>
      <w:pPr>
        <w:numPr>
          <w:ilvl w:val="0"/>
          <w:numId w:val="1392"/>
        </w:numPr>
        <w:pStyle w:val="Compact"/>
      </w:pPr>
      <w:r>
        <w:t xml:space="preserve">2026 · Jin M ·</w:t>
      </w:r>
      <w:r>
        <w:t xml:space="preserve"> </w:t>
      </w:r>
      <w:r>
        <w:rPr>
          <w:iCs/>
          <w:i/>
        </w:rPr>
        <w:t xml:space="preserve">Food Chem Toxicol</w:t>
      </w:r>
      <w:r>
        <w:t xml:space="preserve"> </w:t>
      </w:r>
      <w:r>
        <w:t xml:space="preserve">· Limosilactobacillus fermentum LF61: A multidimensional study on safety and functionality from genomics to clinical application. PMID 41655688</w:t>
      </w:r>
    </w:p>
    <w:p>
      <w:pPr>
        <w:numPr>
          <w:ilvl w:val="0"/>
          <w:numId w:val="1392"/>
        </w:numPr>
        <w:pStyle w:val="Compact"/>
      </w:pPr>
      <w:r>
        <w:t xml:space="preserve">2026 · Ito R ·</w:t>
      </w:r>
      <w:r>
        <w:t xml:space="preserve"> </w:t>
      </w:r>
      <w:r>
        <w:rPr>
          <w:iCs/>
          <w:i/>
        </w:rPr>
        <w:t xml:space="preserve">Eur J Appl Physiol</w:t>
      </w:r>
      <w:r>
        <w:t xml:space="preserve"> </w:t>
      </w:r>
      <w:r>
        <w:t xml:space="preserve">· Acute effects of continuous and interval cycling on salivary SIgA and anti-microbial peptide secretions: a randomized crossover trial. PMID 40810749</w:t>
      </w:r>
    </w:p>
    <w:p>
      <w:pPr>
        <w:numPr>
          <w:ilvl w:val="0"/>
          <w:numId w:val="1392"/>
        </w:numPr>
        <w:pStyle w:val="Compact"/>
      </w:pPr>
      <w:r>
        <w:t xml:space="preserve">2025 · Welling A ·</w:t>
      </w:r>
      <w:r>
        <w:t xml:space="preserve"> </w:t>
      </w:r>
      <w:r>
        <w:rPr>
          <w:iCs/>
          <w:i/>
        </w:rPr>
        <w:t xml:space="preserve">Eur Spine J</w:t>
      </w:r>
      <w:r>
        <w:t xml:space="preserve"> </w:t>
      </w:r>
      <w:r>
        <w:t xml:space="preserve">· Impact of 3-dimensional myofascial release on tumor necrosis factor (TNF) alpha biomarker in nonspecific low back pain: a randomised controlled trial. PMID 40853451</w:t>
      </w:r>
    </w:p>
    <w:p>
      <w:pPr>
        <w:numPr>
          <w:ilvl w:val="0"/>
          <w:numId w:val="1392"/>
        </w:numPr>
        <w:pStyle w:val="Compact"/>
      </w:pPr>
      <w:r>
        <w:t xml:space="preserve">2025 · Kamboj K ·</w:t>
      </w:r>
      <w:r>
        <w:t xml:space="preserve"> </w:t>
      </w:r>
      <w:r>
        <w:rPr>
          <w:iCs/>
          <w:i/>
        </w:rPr>
        <w:t xml:space="preserve">Front Immunol</w:t>
      </w:r>
      <w:r>
        <w:t xml:space="preserve"> </w:t>
      </w:r>
      <w:r>
        <w:t xml:space="preserve">· Effect of cholecalciferol on immune and vascular function in non-diabetic chronic kidney disease. PMID 40342405</w:t>
      </w:r>
    </w:p>
    <w:p>
      <w:pPr>
        <w:numPr>
          <w:ilvl w:val="0"/>
          <w:numId w:val="1392"/>
        </w:numPr>
        <w:pStyle w:val="Compact"/>
      </w:pPr>
      <w:r>
        <w:t xml:space="preserve">2025 · Gonçalves AM ·</w:t>
      </w:r>
      <w:r>
        <w:t xml:space="preserve"> </w:t>
      </w:r>
      <w:r>
        <w:rPr>
          <w:iCs/>
          <w:i/>
        </w:rPr>
        <w:t xml:space="preserve">Nutrients</w:t>
      </w:r>
      <w:r>
        <w:t xml:space="preserve"> </w:t>
      </w:r>
      <w:r>
        <w:t xml:space="preserve">· The Immunomodulatory Activity of High Doses of Vitamin D in Critical Care Patients with Severe SARS-CoV-2 Pneumonia-A Randomized Controlled Trial. PMID 39940396</w:t>
      </w:r>
    </w:p>
    <w:p>
      <w:pPr>
        <w:numPr>
          <w:ilvl w:val="0"/>
          <w:numId w:val="1392"/>
        </w:numPr>
        <w:pStyle w:val="Compact"/>
      </w:pPr>
      <w:r>
        <w:t xml:space="preserve">2025 · Picosse F ·</w:t>
      </w:r>
      <w:r>
        <w:t xml:space="preserve"> </w:t>
      </w:r>
      <w:r>
        <w:rPr>
          <w:iCs/>
          <w:i/>
        </w:rPr>
        <w:t xml:space="preserve">Int J Dermatol</w:t>
      </w:r>
      <w:r>
        <w:t xml:space="preserve"> </w:t>
      </w:r>
      <w:r>
        <w:t xml:space="preserve">· A comparative exploration of immunohistochemical markers in patients with papulopustular rosacea undergoing treatment with oral isotretinoin versus doxycycline. PMID 39097930</w:t>
      </w:r>
    </w:p>
    <w:p>
      <w:pPr>
        <w:numPr>
          <w:ilvl w:val="0"/>
          <w:numId w:val="1392"/>
        </w:numPr>
        <w:pStyle w:val="Compact"/>
      </w:pPr>
      <w:r>
        <w:t xml:space="preserve">2024 · Reyes ML ·</w:t>
      </w:r>
      <w:r>
        <w:t xml:space="preserve"> </w:t>
      </w:r>
      <w:r>
        <w:rPr>
          <w:iCs/>
          <w:i/>
        </w:rPr>
        <w:t xml:space="preserve">J Pediatr</w:t>
      </w:r>
      <w:r>
        <w:t xml:space="preserve"> </w:t>
      </w:r>
      <w:r>
        <w:t xml:space="preserve">· Weekly Vitamin D Supplementation to Prevent Acute Respiratory Infections in Young Children at Different Latitudes: A Randomized Controlled Trial. PMID 39181322</w:t>
      </w:r>
    </w:p>
    <w:p>
      <w:pPr>
        <w:numPr>
          <w:ilvl w:val="0"/>
          <w:numId w:val="1392"/>
        </w:numPr>
        <w:pStyle w:val="Compact"/>
      </w:pPr>
      <w:r>
        <w:t xml:space="preserve">2024 · Ito R ·</w:t>
      </w:r>
      <w:r>
        <w:t xml:space="preserve"> </w:t>
      </w:r>
      <w:r>
        <w:rPr>
          <w:iCs/>
          <w:i/>
        </w:rPr>
        <w:t xml:space="preserve">Am J Physiol Regul Integr Comp Physiol</w:t>
      </w:r>
      <w:r>
        <w:t xml:space="preserve"> </w:t>
      </w:r>
      <w:r>
        <w:t xml:space="preserve">· Acute salivary antimicrobial peptide secretion response to different exercise intensities and durations. PMID 39155711</w:t>
      </w:r>
    </w:p>
    <w:p>
      <w:pPr>
        <w:numPr>
          <w:ilvl w:val="0"/>
          <w:numId w:val="1392"/>
        </w:numPr>
        <w:pStyle w:val="Compact"/>
      </w:pPr>
      <w:r>
        <w:t xml:space="preserve">2024 · Ashoor TM ·</w:t>
      </w:r>
      <w:r>
        <w:t xml:space="preserve"> </w:t>
      </w:r>
      <w:r>
        <w:rPr>
          <w:iCs/>
          <w:i/>
        </w:rPr>
        <w:t xml:space="preserve">J Intensive Care Med</w:t>
      </w:r>
      <w:r>
        <w:t xml:space="preserve"> </w:t>
      </w:r>
      <w:r>
        <w:t xml:space="preserve">· Outcomes of High-Dose Versus Low-Dose Vitamin D on Prognosis of Sepsis Requiring Mechanical Ventilation: A Randomized Controlled Trial. PMID 38706151</w:t>
      </w:r>
    </w:p>
    <w:p>
      <w:pPr>
        <w:numPr>
          <w:ilvl w:val="0"/>
          <w:numId w:val="1392"/>
        </w:numPr>
        <w:pStyle w:val="Compact"/>
      </w:pPr>
      <w:r>
        <w:t xml:space="preserve">2024 · Borzutzky A ·</w:t>
      </w:r>
      <w:r>
        <w:t xml:space="preserve"> </w:t>
      </w:r>
      <w:r>
        <w:rPr>
          <w:iCs/>
          <w:i/>
        </w:rPr>
        <w:t xml:space="preserve">J Eur Acad Dermatol Venereol</w:t>
      </w:r>
      <w:r>
        <w:t xml:space="preserve"> </w:t>
      </w:r>
      <w:r>
        <w:t xml:space="preserve">· Effect of weekly vitamin D supplementation on the severity of atopic dermatitis and type 2 immunity biomarkers in children: A randomized controlled trial. PMID 38483248</w:t>
      </w:r>
    </w:p>
    <w:p>
      <w:pPr>
        <w:numPr>
          <w:ilvl w:val="0"/>
          <w:numId w:val="1392"/>
        </w:numPr>
        <w:pStyle w:val="Compact"/>
      </w:pPr>
      <w:r>
        <w:t xml:space="preserve">2024 · Chen K ·</w:t>
      </w:r>
      <w:r>
        <w:t xml:space="preserve"> </w:t>
      </w:r>
      <w:r>
        <w:rPr>
          <w:iCs/>
          <w:i/>
        </w:rPr>
        <w:t xml:space="preserve">Eur J Clin Nutr</w:t>
      </w:r>
      <w:r>
        <w:t xml:space="preserve"> </w:t>
      </w:r>
      <w:r>
        <w:t xml:space="preserve">· Adjudicative efficacy of Bifidobacterium animalis subsp. lactis BLa80 in treating acute diarrhea in children: a randomized, double-blinded, placebo-controlled study. PMID 38467857</w:t>
      </w:r>
    </w:p>
    <w:p>
      <w:pPr>
        <w:numPr>
          <w:ilvl w:val="0"/>
          <w:numId w:val="1392"/>
        </w:numPr>
        <w:pStyle w:val="Compact"/>
      </w:pPr>
      <w:r>
        <w:t xml:space="preserve">2023 · Zhao Y ·</w:t>
      </w:r>
      <w:r>
        <w:t xml:space="preserve"> </w:t>
      </w:r>
      <w:r>
        <w:rPr>
          <w:iCs/>
          <w:i/>
        </w:rPr>
        <w:t xml:space="preserve">J Med Virol</w:t>
      </w:r>
      <w:r>
        <w:t xml:space="preserve"> </w:t>
      </w:r>
      <w:r>
        <w:t xml:space="preserve">· Efficacy and safety of Oral LL-37 against the Omicron BA.5.1.3 variant of SARS-COV-2: A randomized trial. PMID 37605995</w:t>
      </w:r>
    </w:p>
    <w:p>
      <w:pPr>
        <w:numPr>
          <w:ilvl w:val="0"/>
          <w:numId w:val="1392"/>
        </w:numPr>
        <w:pStyle w:val="Compact"/>
      </w:pPr>
      <w:r>
        <w:t xml:space="preserve">2023 · Miranda E ·</w:t>
      </w:r>
      <w:r>
        <w:t xml:space="preserve"> </w:t>
      </w:r>
      <w:r>
        <w:rPr>
          <w:iCs/>
          <w:i/>
        </w:rPr>
        <w:t xml:space="preserve">Arch Dermatol Res</w:t>
      </w:r>
      <w:r>
        <w:t xml:space="preserve"> </w:t>
      </w:r>
      <w:r>
        <w:t xml:space="preserve">· Efficacy of LL-37 cream in enhancing healing of diabetic foot ulcer: a randomized double-blind controlled trial. PMID 37480520</w:t>
      </w:r>
    </w:p>
    <w:p>
      <w:pPr>
        <w:numPr>
          <w:ilvl w:val="0"/>
          <w:numId w:val="1392"/>
        </w:numPr>
        <w:pStyle w:val="Compact"/>
      </w:pPr>
      <w:r>
        <w:t xml:space="preserve">2023 · George R ·</w:t>
      </w:r>
      <w:r>
        <w:t xml:space="preserve"> </w:t>
      </w:r>
      <w:r>
        <w:rPr>
          <w:iCs/>
          <w:i/>
        </w:rPr>
        <w:t xml:space="preserve">J Drugs Dermatol</w:t>
      </w:r>
      <w:r>
        <w:t xml:space="preserve"> </w:t>
      </w:r>
      <w:r>
        <w:t xml:space="preserve">· Reduction of Erythema in Moderate-Severe Rosacea by a Low Molecular Weight Heparan Sulfate Analog (HSA). PMID 37276169</w:t>
      </w:r>
    </w:p>
    <w:p>
      <w:pPr>
        <w:numPr>
          <w:ilvl w:val="0"/>
          <w:numId w:val="1392"/>
        </w:numPr>
        <w:pStyle w:val="Compact"/>
      </w:pPr>
      <w:r>
        <w:t xml:space="preserve">2022 · Fujita K ·</w:t>
      </w:r>
      <w:r>
        <w:t xml:space="preserve"> </w:t>
      </w:r>
      <w:r>
        <w:rPr>
          <w:iCs/>
          <w:i/>
        </w:rPr>
        <w:t xml:space="preserve">BMC Pulm Med</w:t>
      </w:r>
      <w:r>
        <w:t xml:space="preserve"> </w:t>
      </w:r>
      <w:r>
        <w:t xml:space="preserve">· Comparison of frailty in patients with nontuberculous mycobacterial lung disease and bronchiectasis: a prospective cohort study. PMID 36329435</w:t>
      </w:r>
    </w:p>
    <w:p>
      <w:pPr>
        <w:numPr>
          <w:ilvl w:val="0"/>
          <w:numId w:val="1392"/>
        </w:numPr>
        <w:pStyle w:val="Compact"/>
      </w:pPr>
      <w:r>
        <w:t xml:space="preserve">2021 · Mahlapuu M ·</w:t>
      </w:r>
      <w:r>
        <w:t xml:space="preserve"> </w:t>
      </w:r>
      <w:r>
        <w:rPr>
          <w:iCs/>
          <w:i/>
        </w:rPr>
        <w:t xml:space="preserve">Wound Repair Regen</w:t>
      </w:r>
      <w:r>
        <w:t xml:space="preserve"> </w:t>
      </w:r>
      <w:r>
        <w:t xml:space="preserve">· Evaluation of LL-37 in healing of hard-to-heal venous leg ulcers: A multicentric prospective randomized placebo-controlled clinical trial. PMID 34687253</w:t>
      </w:r>
    </w:p>
    <w:p>
      <w:pPr>
        <w:numPr>
          <w:ilvl w:val="0"/>
          <w:numId w:val="1392"/>
        </w:numPr>
        <w:pStyle w:val="Compact"/>
      </w:pPr>
      <w:r>
        <w:t xml:space="preserve">2021 · Chen K ·</w:t>
      </w:r>
      <w:r>
        <w:t xml:space="preserve"> </w:t>
      </w:r>
      <w:r>
        <w:rPr>
          <w:iCs/>
          <w:i/>
        </w:rPr>
        <w:t xml:space="preserve">Benef Microbes</w:t>
      </w:r>
      <w:r>
        <w:t xml:space="preserve"> </w:t>
      </w:r>
      <w:r>
        <w:t xml:space="preserve">· Efficacy of Bifidobacterium animalis subsp. lactis, BB-12(®) on infant colic - a randomised, double-blinded, placebo-controlled study. PMID 34550055</w:t>
      </w:r>
    </w:p>
    <w:p>
      <w:pPr>
        <w:numPr>
          <w:ilvl w:val="0"/>
          <w:numId w:val="1392"/>
        </w:numPr>
        <w:pStyle w:val="Compact"/>
      </w:pPr>
      <w:r>
        <w:t xml:space="preserve">2021 · Sarker P ·</w:t>
      </w:r>
      <w:r>
        <w:t xml:space="preserve"> </w:t>
      </w:r>
      <w:r>
        <w:rPr>
          <w:iCs/>
          <w:i/>
        </w:rPr>
        <w:t xml:space="preserve">J Infect Dis</w:t>
      </w:r>
      <w:r>
        <w:t xml:space="preserve"> </w:t>
      </w:r>
      <w:r>
        <w:t xml:space="preserve">· Functional Antibodies and Innate Immune Responses to WRSS1, a Live Oral Shigella sonnei Vaccine Candidate, in Bangladeshi Adults and Children. PMID 34374425</w:t>
      </w:r>
    </w:p>
    <w:p>
      <w:pPr>
        <w:numPr>
          <w:ilvl w:val="0"/>
          <w:numId w:val="1392"/>
        </w:numPr>
        <w:pStyle w:val="Compact"/>
      </w:pPr>
      <w:r>
        <w:t xml:space="preserve">2021 · Chen K ·</w:t>
      </w:r>
      <w:r>
        <w:t xml:space="preserve"> </w:t>
      </w:r>
      <w:r>
        <w:rPr>
          <w:iCs/>
          <w:i/>
        </w:rPr>
        <w:t xml:space="preserve">Nutrition</w:t>
      </w:r>
      <w:r>
        <w:t xml:space="preserve"> </w:t>
      </w:r>
      <w:r>
        <w:t xml:space="preserve">· Dose effect of bovine lactoferrin fortification on diarrhea and respiratory tract infections in weaned infants with anemia: A randomized, controlled trial. PMID 34102559</w:t>
      </w:r>
    </w:p>
    <w:p>
      <w:pPr>
        <w:numPr>
          <w:ilvl w:val="0"/>
          <w:numId w:val="1392"/>
        </w:numPr>
        <w:pStyle w:val="Compact"/>
      </w:pPr>
      <w:r>
        <w:t xml:space="preserve">2021 · Gregório PC ·</w:t>
      </w:r>
      <w:r>
        <w:t xml:space="preserve"> </w:t>
      </w:r>
      <w:r>
        <w:rPr>
          <w:iCs/>
          <w:i/>
        </w:rPr>
        <w:t xml:space="preserve">Clinics (Sao Paulo)</w:t>
      </w:r>
      <w:r>
        <w:t xml:space="preserve"> </w:t>
      </w:r>
      <w:r>
        <w:t xml:space="preserve">· In vitro anti-inflammatory effects of vitamin D supplementation may be blurred in hemodialysis patients. PMID 33624705</w:t>
      </w:r>
    </w:p>
    <w:p>
      <w:pPr>
        <w:numPr>
          <w:ilvl w:val="0"/>
          <w:numId w:val="1392"/>
        </w:numPr>
        <w:pStyle w:val="Compact"/>
      </w:pPr>
      <w:r>
        <w:t xml:space="preserve">2021 · Farsi F ·</w:t>
      </w:r>
      <w:r>
        <w:t xml:space="preserve"> </w:t>
      </w:r>
      <w:r>
        <w:rPr>
          <w:iCs/>
          <w:i/>
        </w:rPr>
        <w:t xml:space="preserve">Eur J Nutr</w:t>
      </w:r>
      <w:r>
        <w:t xml:space="preserve"> </w:t>
      </w:r>
      <w:r>
        <w:t xml:space="preserve">· A randomized controlled trial on the coloprotective effect of coenzyme Q10 on immune-inflammatory cytokines, oxidative status, antimicrobial peptides, and microRNA-146a expression in patients with mild-to-moderate ulcerative colitis. PMID 33620550</w:t>
      </w:r>
    </w:p>
    <w:p>
      <w:pPr>
        <w:numPr>
          <w:ilvl w:val="0"/>
          <w:numId w:val="1392"/>
        </w:numPr>
        <w:pStyle w:val="Compact"/>
      </w:pPr>
      <w:r>
        <w:t xml:space="preserve">2021 · Harrison SE ·</w:t>
      </w:r>
      <w:r>
        <w:t xml:space="preserve"> </w:t>
      </w:r>
      <w:r>
        <w:rPr>
          <w:iCs/>
          <w:i/>
        </w:rPr>
        <w:t xml:space="preserve">Med Sci Sports Exerc</w:t>
      </w:r>
      <w:r>
        <w:t xml:space="preserve"> </w:t>
      </w:r>
      <w:r>
        <w:t xml:space="preserve">· Influence of Vitamin D Supplementation by Simulated Sunlight or Oral D3 on Respiratory Infection during Military Training. PMID 33481482</w:t>
      </w:r>
    </w:p>
    <w:p>
      <w:pPr>
        <w:numPr>
          <w:ilvl w:val="0"/>
          <w:numId w:val="1392"/>
        </w:numPr>
        <w:pStyle w:val="Compact"/>
      </w:pPr>
      <w:r>
        <w:t xml:space="preserve">2020 · Entrenas Castillo M ·</w:t>
      </w:r>
      <w:r>
        <w:t xml:space="preserve"> </w:t>
      </w:r>
      <w:r>
        <w:rPr>
          <w:iCs/>
          <w:i/>
        </w:rPr>
        <w:t xml:space="preserve">J Steroid Biochem Mol Biol</w:t>
      </w:r>
      <w:r>
        <w:t xml:space="preserve"> </w:t>
      </w:r>
      <w:r>
        <w:t xml:space="preserve">·</w:t>
      </w:r>
      <w:r>
        <w:t xml:space="preserve"> </w:t>
      </w:r>
      <w:r>
        <w:t xml:space="preserve">“</w:t>
      </w:r>
      <w:r>
        <w:t xml:space="preserve">Effect of calcifediol treatment and best available therapy versus best available therapy on intensive care unit admission and mortality among patients hospitalized for COVID-19: A pilot randomized clinical study</w:t>
      </w:r>
      <w:r>
        <w:t xml:space="preserve">”</w:t>
      </w:r>
      <w:r>
        <w:t xml:space="preserve">. PMID 32871238</w:t>
      </w:r>
    </w:p>
    <w:p>
      <w:pPr>
        <w:numPr>
          <w:ilvl w:val="0"/>
          <w:numId w:val="1392"/>
        </w:numPr>
        <w:pStyle w:val="Compact"/>
      </w:pPr>
      <w:r>
        <w:t xml:space="preserve">2020 · Vargas Buonfiglio LG ·</w:t>
      </w:r>
      <w:r>
        <w:t xml:space="preserve"> </w:t>
      </w:r>
      <w:r>
        <w:rPr>
          <w:iCs/>
          <w:i/>
        </w:rPr>
        <w:t xml:space="preserve">Nutrients</w:t>
      </w:r>
      <w:r>
        <w:t xml:space="preserve"> </w:t>
      </w:r>
      <w:r>
        <w:t xml:space="preserve">· Seasonal Antimicrobial Activity of the Airway: Post-Hoc Analysis of a Randomized Placebo-Controlled Double-Blind Trial. PMID 32867053</w:t>
      </w:r>
    </w:p>
    <w:p>
      <w:pPr>
        <w:numPr>
          <w:ilvl w:val="0"/>
          <w:numId w:val="1392"/>
        </w:numPr>
        <w:pStyle w:val="Compact"/>
      </w:pPr>
      <w:r>
        <w:t xml:space="preserve">2020 · Banke IJ ·</w:t>
      </w:r>
      <w:r>
        <w:t xml:space="preserve"> </w:t>
      </w:r>
      <w:r>
        <w:rPr>
          <w:iCs/>
          <w:i/>
        </w:rPr>
        <w:t xml:space="preserve">Eur J Med Res</w:t>
      </w:r>
      <w:r>
        <w:t xml:space="preserve"> </w:t>
      </w:r>
      <w:r>
        <w:t xml:space="preserve">· Antimicrobial peptides in human synovial membrane as (low-grade) periprosthetic joint infection biomarkers. PMID 32799924</w:t>
      </w:r>
    </w:p>
    <w:p>
      <w:pPr>
        <w:numPr>
          <w:ilvl w:val="0"/>
          <w:numId w:val="1392"/>
        </w:numPr>
        <w:pStyle w:val="Compact"/>
      </w:pPr>
      <w:r>
        <w:t xml:space="preserve">2020 · Nocerino R ·</w:t>
      </w:r>
      <w:r>
        <w:t xml:space="preserve"> </w:t>
      </w:r>
      <w:r>
        <w:rPr>
          <w:iCs/>
          <w:i/>
        </w:rPr>
        <w:t xml:space="preserve">Aliment Pharmacol Ther</w:t>
      </w:r>
      <w:r>
        <w:t xml:space="preserve"> </w:t>
      </w:r>
      <w:r>
        <w:t xml:space="preserve">· The therapeutic efficacy of Bifidobacterium animalis subsp. lactis BB-12(®) in infant colic: A randomised, double blind, placebo-controlled trial. PMID 31797399</w:t>
      </w:r>
    </w:p>
    <w:p>
      <w:pPr>
        <w:numPr>
          <w:ilvl w:val="0"/>
          <w:numId w:val="1392"/>
        </w:numPr>
        <w:pStyle w:val="Compact"/>
      </w:pPr>
      <w:r>
        <w:t xml:space="preserve">2019 · Huang X ·</w:t>
      </w:r>
      <w:r>
        <w:t xml:space="preserve"> </w:t>
      </w:r>
      <w:r>
        <w:rPr>
          <w:iCs/>
          <w:i/>
        </w:rPr>
        <w:t xml:space="preserve">Sci Rep</w:t>
      </w:r>
      <w:r>
        <w:t xml:space="preserve"> </w:t>
      </w:r>
      <w:r>
        <w:t xml:space="preserve">· Differential DAMP release was observed in the sputum of COPD, asthma and asthma-COPD overlap (ACO) patients. PMID 31848359</w:t>
      </w:r>
    </w:p>
    <w:p>
      <w:pPr>
        <w:numPr>
          <w:ilvl w:val="0"/>
          <w:numId w:val="1392"/>
        </w:numPr>
        <w:pStyle w:val="Compact"/>
      </w:pPr>
      <w:r>
        <w:t xml:space="preserve">2019 · Missailidis C ·</w:t>
      </w:r>
      <w:r>
        <w:t xml:space="preserve"> </w:t>
      </w:r>
      <w:r>
        <w:rPr>
          <w:iCs/>
          <w:i/>
        </w:rPr>
        <w:t xml:space="preserve">Nutrients</w:t>
      </w:r>
      <w:r>
        <w:t xml:space="preserve"> </w:t>
      </w:r>
      <w:r>
        <w:t xml:space="preserve">· Vitamin D and Phenylbutyrate Supplementation Does Not Modulate Gut Derived Immune Activation in HIV-1. PMID 31330899</w:t>
      </w:r>
    </w:p>
    <w:p>
      <w:pPr>
        <w:numPr>
          <w:ilvl w:val="0"/>
          <w:numId w:val="1392"/>
        </w:numPr>
        <w:pStyle w:val="Compact"/>
      </w:pPr>
      <w:r>
        <w:t xml:space="preserve">2019 · Scott JM ·</w:t>
      </w:r>
      <w:r>
        <w:t xml:space="preserve"> </w:t>
      </w:r>
      <w:r>
        <w:rPr>
          <w:iCs/>
          <w:i/>
        </w:rPr>
        <w:t xml:space="preserve">Scand J Med Sci Sports</w:t>
      </w:r>
      <w:r>
        <w:t xml:space="preserve"> </w:t>
      </w:r>
      <w:r>
        <w:t xml:space="preserve">· Effects of vitamin D supplementation on salivary immune responses during Marine Corps basic training. PMID 31099085</w:t>
      </w:r>
    </w:p>
    <w:p>
      <w:pPr>
        <w:numPr>
          <w:ilvl w:val="0"/>
          <w:numId w:val="1392"/>
        </w:numPr>
        <w:pStyle w:val="Compact"/>
      </w:pPr>
      <w:r>
        <w:t xml:space="preserve">2019 · Cao Y ·</w:t>
      </w:r>
      <w:r>
        <w:t xml:space="preserve"> </w:t>
      </w:r>
      <w:r>
        <w:rPr>
          <w:iCs/>
          <w:i/>
        </w:rPr>
        <w:t xml:space="preserve">Clin Exp Allergy</w:t>
      </w:r>
      <w:r>
        <w:t xml:space="preserve"> </w:t>
      </w:r>
      <w:r>
        <w:t xml:space="preserve">· LL-37 promotes neutrophil extracellular trap formation in chronic rhinosinusitis with nasal polyps. PMID 31046155</w:t>
      </w:r>
    </w:p>
    <w:p>
      <w:pPr>
        <w:numPr>
          <w:ilvl w:val="0"/>
          <w:numId w:val="1392"/>
        </w:numPr>
        <w:pStyle w:val="Compact"/>
      </w:pPr>
      <w:r>
        <w:t xml:space="preserve">2019 · Goncalves-Mendes N ·</w:t>
      </w:r>
      <w:r>
        <w:t xml:space="preserve"> </w:t>
      </w:r>
      <w:r>
        <w:rPr>
          <w:iCs/>
          <w:i/>
        </w:rPr>
        <w:t xml:space="preserve">Front Immunol</w:t>
      </w:r>
      <w:r>
        <w:t xml:space="preserve"> </w:t>
      </w:r>
      <w:r>
        <w:t xml:space="preserve">· Impact of Vitamin D Supplementation on Influenza Vaccine Response and Immune Functions in Deficient Elderly Persons: A Randomized Placebo-Controlled Trial. PMID 30800121</w:t>
      </w:r>
    </w:p>
    <w:p>
      <w:pPr>
        <w:numPr>
          <w:ilvl w:val="0"/>
          <w:numId w:val="1392"/>
        </w:numPr>
        <w:pStyle w:val="Compact"/>
      </w:pPr>
      <w:r>
        <w:t xml:space="preserve">2019 · Tangpricha V ·</w:t>
      </w:r>
      <w:r>
        <w:t xml:space="preserve"> </w:t>
      </w:r>
      <w:r>
        <w:rPr>
          <w:iCs/>
          <w:i/>
        </w:rPr>
        <w:t xml:space="preserve">Am J Clin Nutr</w:t>
      </w:r>
      <w:r>
        <w:t xml:space="preserve"> </w:t>
      </w:r>
      <w:r>
        <w:t xml:space="preserve">· Vitamin D for the Immune System in Cystic Fibrosis (DISC): a double-blind, multicenter, randomized, placebo-controlled clinical trial. PMID 30793177</w:t>
      </w:r>
    </w:p>
    <w:p>
      <w:pPr>
        <w:numPr>
          <w:ilvl w:val="0"/>
          <w:numId w:val="1392"/>
        </w:numPr>
        <w:pStyle w:val="Compact"/>
      </w:pPr>
      <w:r>
        <w:t xml:space="preserve">2019 · Hauger H ·</w:t>
      </w:r>
      <w:r>
        <w:t xml:space="preserve"> </w:t>
      </w:r>
      <w:r>
        <w:rPr>
          <w:iCs/>
          <w:i/>
        </w:rPr>
        <w:t xml:space="preserve">Eur J Nutr</w:t>
      </w:r>
      <w:r>
        <w:t xml:space="preserve"> </w:t>
      </w:r>
      <w:r>
        <w:t xml:space="preserve">· Winter cholecalciferol supplementation at 55°N has little effect on markers of innate immune defense in healthy children aged 4-8 years: a secondary analysis from a randomized controlled trial. PMID 29572676</w:t>
      </w:r>
    </w:p>
    <w:p>
      <w:pPr>
        <w:numPr>
          <w:ilvl w:val="0"/>
          <w:numId w:val="1392"/>
        </w:numPr>
        <w:pStyle w:val="Compact"/>
      </w:pPr>
      <w:r>
        <w:t xml:space="preserve">2018 · Savonius O ·</w:t>
      </w:r>
      <w:r>
        <w:t xml:space="preserve"> </w:t>
      </w:r>
      <w:r>
        <w:rPr>
          <w:iCs/>
          <w:i/>
        </w:rPr>
        <w:t xml:space="preserve">Acta Paediatr</w:t>
      </w:r>
      <w:r>
        <w:t xml:space="preserve"> </w:t>
      </w:r>
      <w:r>
        <w:t xml:space="preserve">· Vitamin D was not associated with survival or cerebrospinal fluid cathelicidin levels in children with bacterial meningitis. PMID 29751358</w:t>
      </w:r>
    </w:p>
    <w:p>
      <w:pPr>
        <w:numPr>
          <w:ilvl w:val="0"/>
          <w:numId w:val="1392"/>
        </w:numPr>
        <w:pStyle w:val="Compact"/>
      </w:pPr>
      <w:r>
        <w:t xml:space="preserve">2018 · Ramos-Martínez E ·</w:t>
      </w:r>
      <w:r>
        <w:t xml:space="preserve"> </w:t>
      </w:r>
      <w:r>
        <w:rPr>
          <w:iCs/>
          <w:i/>
        </w:rPr>
        <w:t xml:space="preserve">Cytokine</w:t>
      </w:r>
      <w:r>
        <w:t xml:space="preserve"> </w:t>
      </w:r>
      <w:r>
        <w:t xml:space="preserve">· Reduction of respiratory infections in asthma patients supplemented with vitamin D is related to increased serum IL-10 and IFNγ levels and cathelicidin expression. PMID 29402723</w:t>
      </w:r>
    </w:p>
    <w:p>
      <w:pPr>
        <w:numPr>
          <w:ilvl w:val="0"/>
          <w:numId w:val="1392"/>
        </w:numPr>
        <w:pStyle w:val="Compact"/>
      </w:pPr>
      <w:r>
        <w:t xml:space="preserve">2018 · Savonius O ·</w:t>
      </w:r>
      <w:r>
        <w:t xml:space="preserve"> </w:t>
      </w:r>
      <w:r>
        <w:rPr>
          <w:iCs/>
          <w:i/>
        </w:rPr>
        <w:t xml:space="preserve">Pediatr Infect Dis J</w:t>
      </w:r>
      <w:r>
        <w:t xml:space="preserve"> </w:t>
      </w:r>
      <w:r>
        <w:t xml:space="preserve">· Cerebrospinal Fluid Cathelicidin Correlates With the Bacterial Load and Outcomes in Childhood Bacterial Meningitis. PMID 28827496</w:t>
      </w:r>
    </w:p>
    <w:p>
      <w:pPr>
        <w:numPr>
          <w:ilvl w:val="0"/>
          <w:numId w:val="1392"/>
        </w:numPr>
        <w:pStyle w:val="Compact"/>
      </w:pPr>
      <w:r>
        <w:t xml:space="preserve">2018 · Alvarez JA ·</w:t>
      </w:r>
      <w:r>
        <w:t xml:space="preserve"> </w:t>
      </w:r>
      <w:r>
        <w:rPr>
          <w:iCs/>
          <w:i/>
        </w:rPr>
        <w:t xml:space="preserve">J Steroid Biochem Mol Biol</w:t>
      </w:r>
      <w:r>
        <w:t xml:space="preserve"> </w:t>
      </w:r>
      <w:r>
        <w:t xml:space="preserve">· Vitamin D deficiency is associated with an oxidized plasma cysteine redox potential in critically Ill children. PMID 27641738</w:t>
      </w:r>
    </w:p>
    <w:p>
      <w:pPr>
        <w:numPr>
          <w:ilvl w:val="0"/>
          <w:numId w:val="1392"/>
        </w:numPr>
        <w:pStyle w:val="Compact"/>
      </w:pPr>
      <w:r>
        <w:t xml:space="preserve">2017 · Sigal GB ·</w:t>
      </w:r>
      <w:r>
        <w:t xml:space="preserve"> </w:t>
      </w:r>
      <w:r>
        <w:rPr>
          <w:iCs/>
          <w:i/>
        </w:rPr>
        <w:t xml:space="preserve">EBioMedicine</w:t>
      </w:r>
      <w:r>
        <w:t xml:space="preserve"> </w:t>
      </w:r>
      <w:r>
        <w:t xml:space="preserve">· Biomarkers of Tuberculosis Severity and Treatment Effect: A Directed Screen of 70 Host Markers in a Randomized Clinical Trial. PMID 29100778</w:t>
      </w:r>
    </w:p>
    <w:p>
      <w:pPr>
        <w:numPr>
          <w:ilvl w:val="0"/>
          <w:numId w:val="1392"/>
        </w:numPr>
        <w:pStyle w:val="Compact"/>
      </w:pPr>
      <w:r>
        <w:t xml:space="preserve">2017 · Wirth PJ ·</w:t>
      </w:r>
      <w:r>
        <w:t xml:space="preserve"> </w:t>
      </w:r>
      <w:r>
        <w:rPr>
          <w:iCs/>
          <w:i/>
        </w:rPr>
        <w:t xml:space="preserve">Skin Therapy Lett</w:t>
      </w:r>
      <w:r>
        <w:t xml:space="preserve"> </w:t>
      </w:r>
      <w:r>
        <w:t xml:space="preserve">· Real-World Efficacy of Azelaic Acid 15% Gel for the Reduction of Inflammatory Lesions of Rosacea. PMID 29091380</w:t>
      </w:r>
    </w:p>
    <w:p>
      <w:pPr>
        <w:numPr>
          <w:ilvl w:val="0"/>
          <w:numId w:val="1392"/>
        </w:numPr>
        <w:pStyle w:val="Compact"/>
      </w:pPr>
      <w:r>
        <w:t xml:space="preserve">2017 · Uruska A ·</w:t>
      </w:r>
      <w:r>
        <w:t xml:space="preserve"> </w:t>
      </w:r>
      <w:r>
        <w:rPr>
          <w:iCs/>
          <w:i/>
        </w:rPr>
        <w:t xml:space="preserve">Clin Biochem</w:t>
      </w:r>
      <w:r>
        <w:t xml:space="preserve"> </w:t>
      </w:r>
      <w:r>
        <w:t xml:space="preserve">· Is cathelicidin a novel marker of diabetic microangiopathy in patients with type 1 diabetes?. PMID 28964758</w:t>
      </w:r>
    </w:p>
    <w:p>
      <w:pPr>
        <w:numPr>
          <w:ilvl w:val="0"/>
          <w:numId w:val="1392"/>
        </w:numPr>
        <w:pStyle w:val="Compact"/>
      </w:pPr>
      <w:r>
        <w:t xml:space="preserve">2017 · Majewski K ·</w:t>
      </w:r>
      <w:r>
        <w:t xml:space="preserve"> </w:t>
      </w:r>
      <w:r>
        <w:rPr>
          <w:iCs/>
          <w:i/>
        </w:rPr>
        <w:t xml:space="preserve">J Biol Regul Homeost Agents</w:t>
      </w:r>
      <w:r>
        <w:t xml:space="preserve"> </w:t>
      </w:r>
      <w:r>
        <w:t xml:space="preserve">· Serum level of cathelicidin LL-37 in patients with active tuberculosis and other infectious diseases. PMID 28956425</w:t>
      </w:r>
    </w:p>
    <w:p>
      <w:pPr>
        <w:numPr>
          <w:ilvl w:val="0"/>
          <w:numId w:val="1392"/>
        </w:numPr>
        <w:pStyle w:val="Compact"/>
      </w:pPr>
      <w:r>
        <w:t xml:space="preserve">2017 · Corsello G ·</w:t>
      </w:r>
      <w:r>
        <w:t xml:space="preserve"> </w:t>
      </w:r>
      <w:r>
        <w:rPr>
          <w:iCs/>
          <w:i/>
        </w:rPr>
        <w:t xml:space="preserve">Nutrients</w:t>
      </w:r>
      <w:r>
        <w:t xml:space="preserve"> </w:t>
      </w:r>
      <w:r>
        <w:t xml:space="preserve">· Preventive Effect of Cow’s Milk Fermented with Lactobacillus paracasei CBA L74 on Common Infectious Diseases in Children: A Multicenter Randomized Controlled Trial. PMID 28654019</w:t>
      </w:r>
    </w:p>
    <w:p>
      <w:pPr>
        <w:numPr>
          <w:ilvl w:val="0"/>
          <w:numId w:val="1392"/>
        </w:numPr>
        <w:pStyle w:val="Compact"/>
      </w:pPr>
      <w:r>
        <w:t xml:space="preserve">2017 · Han JE ·</w:t>
      </w:r>
      <w:r>
        <w:t xml:space="preserve"> </w:t>
      </w:r>
      <w:r>
        <w:rPr>
          <w:iCs/>
          <w:i/>
        </w:rPr>
        <w:t xml:space="preserve">Nutrition</w:t>
      </w:r>
      <w:r>
        <w:t xml:space="preserve"> </w:t>
      </w:r>
      <w:r>
        <w:t xml:space="preserve">· Impact of high-dose vitamin D(3) on plasma free 25-hydroxyvitamin D concentrations and antimicrobial peptides in critically ill mechanically ventilated adults. PMID 28526374</w:t>
      </w:r>
    </w:p>
    <w:p>
      <w:pPr>
        <w:numPr>
          <w:ilvl w:val="0"/>
          <w:numId w:val="1392"/>
        </w:numPr>
        <w:pStyle w:val="Compact"/>
      </w:pPr>
      <w:r>
        <w:t xml:space="preserve">2017 · Nakatsuji T ·</w:t>
      </w:r>
      <w:r>
        <w:t xml:space="preserve"> </w:t>
      </w:r>
      <w:r>
        <w:rPr>
          <w:iCs/>
          <w:i/>
        </w:rPr>
        <w:t xml:space="preserve">Sci Transl Med</w:t>
      </w:r>
      <w:r>
        <w:t xml:space="preserve"> </w:t>
      </w:r>
      <w:r>
        <w:t xml:space="preserve">· Antimicrobials from human skin commensal bacteria protect against Staphylococcus aureus and are deficient in atopic dermatitis. PMID 28228596</w:t>
      </w:r>
    </w:p>
    <w:p>
      <w:pPr>
        <w:numPr>
          <w:ilvl w:val="0"/>
          <w:numId w:val="1392"/>
        </w:numPr>
        <w:pStyle w:val="Compact"/>
      </w:pPr>
      <w:r>
        <w:t xml:space="preserve">2017 · Majewski K ·</w:t>
      </w:r>
      <w:r>
        <w:t xml:space="preserve"> </w:t>
      </w:r>
      <w:r>
        <w:rPr>
          <w:iCs/>
          <w:i/>
        </w:rPr>
        <w:t xml:space="preserve">Clin Invest Med</w:t>
      </w:r>
      <w:r>
        <w:t xml:space="preserve"> </w:t>
      </w:r>
      <w:r>
        <w:t xml:space="preserve">· Circulating cathelicidin LL-37 in adult patients with pulmonary infectious diseases. PMID 28218580</w:t>
      </w:r>
    </w:p>
    <w:p>
      <w:pPr>
        <w:numPr>
          <w:ilvl w:val="0"/>
          <w:numId w:val="1392"/>
        </w:numPr>
        <w:pStyle w:val="Compact"/>
      </w:pPr>
      <w:r>
        <w:t xml:space="preserve">2017 · Mathapathi MS ·</w:t>
      </w:r>
      <w:r>
        <w:t xml:space="preserve"> </w:t>
      </w:r>
      <w:r>
        <w:rPr>
          <w:iCs/>
          <w:i/>
        </w:rPr>
        <w:t xml:space="preserve">Exp Dermatol</w:t>
      </w:r>
      <w:r>
        <w:t xml:space="preserve"> </w:t>
      </w:r>
      <w:r>
        <w:t xml:space="preserve">· Niacinamide leave-on formulation provides long-lasting protection against bacteria in vivo. PMID 28094872</w:t>
      </w:r>
    </w:p>
    <w:p>
      <w:pPr>
        <w:numPr>
          <w:ilvl w:val="0"/>
          <w:numId w:val="1392"/>
        </w:numPr>
        <w:pStyle w:val="Compact"/>
      </w:pPr>
      <w:r>
        <w:t xml:space="preserve">2017 · Todd JJ ·</w:t>
      </w:r>
      <w:r>
        <w:t xml:space="preserve"> </w:t>
      </w:r>
      <w:r>
        <w:rPr>
          <w:iCs/>
          <w:i/>
        </w:rPr>
        <w:t xml:space="preserve">Scand J Med Sci Sports</w:t>
      </w:r>
      <w:r>
        <w:t xml:space="preserve"> </w:t>
      </w:r>
      <w:r>
        <w:t xml:space="preserve">· Oral spray wintertime vitamin D(3) supplementation has no impact on inflammation in Gaelic footballers. PMID 27704631</w:t>
      </w:r>
    </w:p>
    <w:p>
      <w:pPr>
        <w:numPr>
          <w:ilvl w:val="0"/>
          <w:numId w:val="1392"/>
        </w:numPr>
        <w:pStyle w:val="Compact"/>
      </w:pPr>
      <w:r>
        <w:t xml:space="preserve">2017 · Nocerino R ·</w:t>
      </w:r>
      <w:r>
        <w:t xml:space="preserve"> </w:t>
      </w:r>
      <w:r>
        <w:rPr>
          <w:iCs/>
          <w:i/>
        </w:rPr>
        <w:t xml:space="preserve">Clin Nutr</w:t>
      </w:r>
      <w:r>
        <w:t xml:space="preserve"> </w:t>
      </w:r>
      <w:r>
        <w:t xml:space="preserve">· Cow’s milk and rice fermented with Lactobacillus paracasei CBA L74 prevent infectious diseases in children: A randomized controlled trial. PMID 26732025</w:t>
      </w:r>
    </w:p>
    <w:p>
      <w:pPr>
        <w:numPr>
          <w:ilvl w:val="0"/>
          <w:numId w:val="1392"/>
        </w:numPr>
        <w:pStyle w:val="Compact"/>
      </w:pPr>
      <w:r>
        <w:t xml:space="preserve">2016 · Gupta P ·</w:t>
      </w:r>
      <w:r>
        <w:t xml:space="preserve"> </w:t>
      </w:r>
      <w:r>
        <w:rPr>
          <w:iCs/>
          <w:i/>
        </w:rPr>
        <w:t xml:space="preserve">Indian Pediatr</w:t>
      </w:r>
      <w:r>
        <w:t xml:space="preserve"> </w:t>
      </w:r>
      <w:r>
        <w:t xml:space="preserve">· Vitamin D Supplementation for Treatment and Prevention of Pneumonia in Under-five Children: A Randomized Double-blind Placebo Controlled Trial. PMID 27889723</w:t>
      </w:r>
    </w:p>
    <w:p>
      <w:pPr>
        <w:numPr>
          <w:ilvl w:val="0"/>
          <w:numId w:val="1392"/>
        </w:numPr>
        <w:pStyle w:val="Compact"/>
      </w:pPr>
      <w:r>
        <w:t xml:space="preserve">2016 · Zheng JQ ·</w:t>
      </w:r>
      <w:r>
        <w:t xml:space="preserve"> </w:t>
      </w:r>
      <w:r>
        <w:rPr>
          <w:iCs/>
          <w:i/>
        </w:rPr>
        <w:t xml:space="preserve">Nutrients</w:t>
      </w:r>
      <w:r>
        <w:t xml:space="preserve"> </w:t>
      </w:r>
      <w:r>
        <w:t xml:space="preserve">· Cholecalciferol Additively Reduces Serum Parathyroid Hormone and Increases Vitamin D and Cathelicidin Levels in Paricalcitol-Treated Secondary Hyperparathyroid Hemodialysis Patients. PMID 27827962</w:t>
      </w:r>
    </w:p>
    <w:p>
      <w:pPr>
        <w:numPr>
          <w:ilvl w:val="0"/>
          <w:numId w:val="1392"/>
        </w:numPr>
        <w:pStyle w:val="Compact"/>
      </w:pPr>
      <w:r>
        <w:t xml:space="preserve">2016 · Sharifi A ·</w:t>
      </w:r>
      <w:r>
        <w:t xml:space="preserve"> </w:t>
      </w:r>
      <w:r>
        <w:rPr>
          <w:iCs/>
          <w:i/>
        </w:rPr>
        <w:t xml:space="preserve">Saudi J Gastroenterol</w:t>
      </w:r>
      <w:r>
        <w:t xml:space="preserve"> </w:t>
      </w:r>
      <w:r>
        <w:t xml:space="preserve">· A randomized controlled trial on the effect of vitamin D3 on inflammation and cathelicidin gene expression in ulcerative colitis patients. PMID 27488327</w:t>
      </w:r>
    </w:p>
    <w:p>
      <w:pPr>
        <w:numPr>
          <w:ilvl w:val="0"/>
          <w:numId w:val="1392"/>
        </w:numPr>
        <w:pStyle w:val="Compact"/>
      </w:pPr>
      <w:r>
        <w:t xml:space="preserve">2016 · Two AM ·</w:t>
      </w:r>
      <w:r>
        <w:t xml:space="preserve"> </w:t>
      </w:r>
      <w:r>
        <w:rPr>
          <w:iCs/>
          <w:i/>
        </w:rPr>
        <w:t xml:space="preserve">J Invest Dermatol</w:t>
      </w:r>
      <w:r>
        <w:t xml:space="preserve"> </w:t>
      </w:r>
      <w:r>
        <w:t xml:space="preserve">· The Cutaneous Microbiome and Aspects of Skin Antimicrobial Defense System Resist Acute Treatment with Topical Skin Cleansers. PMID 27377698</w:t>
      </w:r>
    </w:p>
    <w:p>
      <w:pPr>
        <w:numPr>
          <w:ilvl w:val="0"/>
          <w:numId w:val="1392"/>
        </w:numPr>
        <w:pStyle w:val="Compact"/>
      </w:pPr>
      <w:r>
        <w:t xml:space="preserve">2016 · Di Nardo A ·</w:t>
      </w:r>
      <w:r>
        <w:t xml:space="preserve"> </w:t>
      </w:r>
      <w:r>
        <w:rPr>
          <w:iCs/>
          <w:i/>
        </w:rPr>
        <w:t xml:space="preserve">J Am Acad Dermatol</w:t>
      </w:r>
      <w:r>
        <w:t xml:space="preserve"> </w:t>
      </w:r>
      <w:r>
        <w:t xml:space="preserve">· Improved clinical outcome and biomarkers in adults with papulopustular rosacea treated with doxycycline modified-release capsules in a randomized trial. PMID 26951940</w:t>
      </w:r>
    </w:p>
    <w:p>
      <w:pPr>
        <w:numPr>
          <w:ilvl w:val="0"/>
          <w:numId w:val="1392"/>
        </w:numPr>
        <w:pStyle w:val="Compact"/>
      </w:pPr>
      <w:r>
        <w:t xml:space="preserve">2016 · He CS ·</w:t>
      </w:r>
      <w:r>
        <w:t xml:space="preserve"> </w:t>
      </w:r>
      <w:r>
        <w:rPr>
          <w:iCs/>
          <w:i/>
        </w:rPr>
        <w:t xml:space="preserve">J Sports Sci</w:t>
      </w:r>
      <w:r>
        <w:t xml:space="preserve"> </w:t>
      </w:r>
      <w:r>
        <w:t xml:space="preserve">· The effect of 14 weeks of vitamin D3 supplementation on antimicrobial peptides and proteins in athletes. PMID 25861808</w:t>
      </w:r>
    </w:p>
    <w:p>
      <w:pPr>
        <w:numPr>
          <w:ilvl w:val="0"/>
          <w:numId w:val="1392"/>
        </w:numPr>
        <w:pStyle w:val="Compact"/>
      </w:pPr>
      <w:r>
        <w:t xml:space="preserve">2015 · Udompataikul M ·</w:t>
      </w:r>
      <w:r>
        <w:t xml:space="preserve"> </w:t>
      </w:r>
      <w:r>
        <w:rPr>
          <w:iCs/>
          <w:i/>
        </w:rPr>
        <w:t xml:space="preserve">J Med Assoc Thai</w:t>
      </w:r>
      <w:r>
        <w:t xml:space="preserve"> </w:t>
      </w:r>
      <w:r>
        <w:t xml:space="preserve">· The Effects of Oral Vitamin D Supplement on Atopic Dermatitis: A Clinical Trial with Staphylococcus aureus Colonization Determination. PMID 26817206</w:t>
      </w:r>
    </w:p>
    <w:p>
      <w:pPr>
        <w:numPr>
          <w:ilvl w:val="0"/>
          <w:numId w:val="1392"/>
        </w:numPr>
        <w:pStyle w:val="Compact"/>
      </w:pPr>
      <w:r>
        <w:t xml:space="preserve">2015 · Thijs W ·</w:t>
      </w:r>
      <w:r>
        <w:t xml:space="preserve"> </w:t>
      </w:r>
      <w:r>
        <w:rPr>
          <w:iCs/>
          <w:i/>
        </w:rPr>
        <w:t xml:space="preserve">PLoS One</w:t>
      </w:r>
      <w:r>
        <w:t xml:space="preserve"> </w:t>
      </w:r>
      <w:r>
        <w:t xml:space="preserve">· Nasal Levels of Antimicrobial Peptides in Allergic Asthma Patients and Healthy Controls: Differences and Effect of a Short 1,25(OH)2 Vitamin D3 Treatment. PMID 26545199</w:t>
      </w:r>
    </w:p>
    <w:p>
      <w:pPr>
        <w:numPr>
          <w:ilvl w:val="0"/>
          <w:numId w:val="1392"/>
        </w:numPr>
        <w:pStyle w:val="Compact"/>
      </w:pPr>
      <w:r>
        <w:t xml:space="preserve">2015 · Mily A ·</w:t>
      </w:r>
      <w:r>
        <w:t xml:space="preserve"> </w:t>
      </w:r>
      <w:r>
        <w:rPr>
          <w:iCs/>
          <w:i/>
        </w:rPr>
        <w:t xml:space="preserve">PLoS One</w:t>
      </w:r>
      <w:r>
        <w:t xml:space="preserve"> </w:t>
      </w:r>
      <w:r>
        <w:t xml:space="preserve">· Significant Effects of Oral Phenylbutyrate and Vitamin D3 Adjunctive Therapy in Pulmonary Tuberculosis: A Randomized Controlled Trial. PMID 26394045</w:t>
      </w:r>
    </w:p>
    <w:p>
      <w:pPr>
        <w:numPr>
          <w:ilvl w:val="0"/>
          <w:numId w:val="1392"/>
        </w:numPr>
        <w:pStyle w:val="Compact"/>
      </w:pPr>
      <w:r>
        <w:t xml:space="preserve">2015 · Nair P ·</w:t>
      </w:r>
      <w:r>
        <w:t xml:space="preserve"> </w:t>
      </w:r>
      <w:r>
        <w:rPr>
          <w:iCs/>
          <w:i/>
        </w:rPr>
        <w:t xml:space="preserve">Crit Care Med</w:t>
      </w:r>
      <w:r>
        <w:t xml:space="preserve"> </w:t>
      </w:r>
      <w:r>
        <w:t xml:space="preserve">· A Randomized Study of a Single Dose of Intramuscular Cholecalciferol in Critically Ill Adults. PMID 26186566</w:t>
      </w:r>
    </w:p>
    <w:p>
      <w:pPr>
        <w:numPr>
          <w:ilvl w:val="0"/>
          <w:numId w:val="1392"/>
        </w:numPr>
        <w:pStyle w:val="Compact"/>
      </w:pPr>
      <w:r>
        <w:t xml:space="preserve">2015 · Quraishi SA ·</w:t>
      </w:r>
      <w:r>
        <w:t xml:space="preserve"> </w:t>
      </w:r>
      <w:r>
        <w:rPr>
          <w:iCs/>
          <w:i/>
        </w:rPr>
        <w:t xml:space="preserve">Crit Care Med</w:t>
      </w:r>
      <w:r>
        <w:t xml:space="preserve"> </w:t>
      </w:r>
      <w:r>
        <w:t xml:space="preserve">· Effect of Cholecalciferol Supplementation on Vitamin D Status and Cathelicidin Levels in Sepsis: A Randomized, Placebo-Controlled Trial. PMID 26086941</w:t>
      </w:r>
    </w:p>
    <w:p>
      <w:pPr>
        <w:numPr>
          <w:ilvl w:val="0"/>
          <w:numId w:val="1392"/>
        </w:numPr>
        <w:pStyle w:val="Compact"/>
      </w:pPr>
      <w:r>
        <w:t xml:space="preserve">2015 · Lachmann R ·</w:t>
      </w:r>
      <w:r>
        <w:t xml:space="preserve"> </w:t>
      </w:r>
      <w:r>
        <w:rPr>
          <w:iCs/>
          <w:i/>
        </w:rPr>
        <w:t xml:space="preserve">AIDS</w:t>
      </w:r>
      <w:r>
        <w:t xml:space="preserve"> </w:t>
      </w:r>
      <w:r>
        <w:t xml:space="preserve">· A comparative phase 1 clinical trial to identify anti-infective mechanisms of vitamin D in people with HIV infection. PMID 25870995</w:t>
      </w:r>
    </w:p>
    <w:p>
      <w:pPr>
        <w:numPr>
          <w:ilvl w:val="0"/>
          <w:numId w:val="1392"/>
        </w:numPr>
        <w:pStyle w:val="Compact"/>
      </w:pPr>
      <w:r>
        <w:t xml:space="preserve">2015 · Lim R ·</w:t>
      </w:r>
      <w:r>
        <w:t xml:space="preserve"> </w:t>
      </w:r>
      <w:r>
        <w:rPr>
          <w:iCs/>
          <w:i/>
        </w:rPr>
        <w:t xml:space="preserve">J Reprod Immunol</w:t>
      </w:r>
      <w:r>
        <w:t xml:space="preserve"> </w:t>
      </w:r>
      <w:r>
        <w:t xml:space="preserve">· Human cathelicidin antimicrobial protein 18 (hCAP18/LL-37) is increased in foetal membranes and myometrium after spontaneous labour and delivery. PMID 25435436</w:t>
      </w:r>
    </w:p>
    <w:p>
      <w:pPr>
        <w:numPr>
          <w:ilvl w:val="0"/>
          <w:numId w:val="1392"/>
        </w:numPr>
        <w:pStyle w:val="Compact"/>
      </w:pPr>
      <w:r>
        <w:t xml:space="preserve">2015 · Gad GI ·</w:t>
      </w:r>
      <w:r>
        <w:t xml:space="preserve"> </w:t>
      </w:r>
      <w:r>
        <w:rPr>
          <w:iCs/>
          <w:i/>
        </w:rPr>
        <w:t xml:space="preserve">J Matern Fetal Neonatal Med</w:t>
      </w:r>
      <w:r>
        <w:t xml:space="preserve"> </w:t>
      </w:r>
      <w:r>
        <w:t xml:space="preserve">· Diagnostic value of anti-microbial peptide, cathelicidin in congenital pneumonia. PMID 25354286</w:t>
      </w:r>
    </w:p>
    <w:p>
      <w:pPr>
        <w:numPr>
          <w:ilvl w:val="0"/>
          <w:numId w:val="1392"/>
        </w:numPr>
        <w:pStyle w:val="Compact"/>
      </w:pPr>
      <w:r>
        <w:t xml:space="preserve">2014 · Montreekachon P ·</w:t>
      </w:r>
      <w:r>
        <w:t xml:space="preserve"> </w:t>
      </w:r>
      <w:r>
        <w:rPr>
          <w:iCs/>
          <w:i/>
        </w:rPr>
        <w:t xml:space="preserve">Asian Pac J Allergy Immunol</w:t>
      </w:r>
      <w:r>
        <w:t xml:space="preserve"> </w:t>
      </w:r>
      <w:r>
        <w:t xml:space="preserve">· Favorable interleukin-8 induction in human gingival epithelial cells by the antimicrobial peptide LL-37. PMID 25268344</w:t>
      </w:r>
    </w:p>
    <w:p>
      <w:pPr>
        <w:numPr>
          <w:ilvl w:val="0"/>
          <w:numId w:val="1392"/>
        </w:numPr>
        <w:pStyle w:val="Compact"/>
      </w:pPr>
      <w:r>
        <w:t xml:space="preserve">2014 · Raqib R ·</w:t>
      </w:r>
      <w:r>
        <w:t xml:space="preserve"> </w:t>
      </w:r>
      <w:r>
        <w:rPr>
          <w:iCs/>
          <w:i/>
        </w:rPr>
        <w:t xml:space="preserve">Br J Nutr</w:t>
      </w:r>
      <w:r>
        <w:t xml:space="preserve"> </w:t>
      </w:r>
      <w:r>
        <w:t xml:space="preserve">· Prenatal vitamin D₃ supplementation suppresses LL-37 peptide expression in ex vivo activated neonatal macrophages but not their killing capacity. PMID 25089537</w:t>
      </w:r>
    </w:p>
    <w:p>
      <w:pPr>
        <w:numPr>
          <w:ilvl w:val="0"/>
          <w:numId w:val="1392"/>
        </w:numPr>
        <w:pStyle w:val="Compact"/>
      </w:pPr>
      <w:r>
        <w:t xml:space="preserve">2014 · Grönberg A ·</w:t>
      </w:r>
      <w:r>
        <w:t xml:space="preserve"> </w:t>
      </w:r>
      <w:r>
        <w:rPr>
          <w:iCs/>
          <w:i/>
        </w:rPr>
        <w:t xml:space="preserve">Wound Repair Regen</w:t>
      </w:r>
      <w:r>
        <w:t xml:space="preserve"> </w:t>
      </w:r>
      <w:r>
        <w:t xml:space="preserve">· Treatment with LL-37 is safe and effective in enhancing healing of hard-to-heal venous leg ulcers: a randomized, placebo-controlled clinical trial. PMID 25041740</w:t>
      </w:r>
    </w:p>
    <w:p>
      <w:pPr>
        <w:numPr>
          <w:ilvl w:val="0"/>
          <w:numId w:val="1392"/>
        </w:numPr>
        <w:pStyle w:val="Compact"/>
      </w:pPr>
      <w:r>
        <w:t xml:space="preserve">2014 · Leaf DE ·</w:t>
      </w:r>
      <w:r>
        <w:t xml:space="preserve"> </w:t>
      </w:r>
      <w:r>
        <w:rPr>
          <w:iCs/>
          <w:i/>
        </w:rPr>
        <w:t xml:space="preserve">Am J Respir Crit Care Med</w:t>
      </w:r>
      <w:r>
        <w:t xml:space="preserve"> </w:t>
      </w:r>
      <w:r>
        <w:t xml:space="preserve">· Randomized controlled trial of calcitriol in severe sepsis. PMID 25029202</w:t>
      </w:r>
    </w:p>
    <w:p>
      <w:pPr>
        <w:numPr>
          <w:ilvl w:val="0"/>
          <w:numId w:val="1392"/>
        </w:numPr>
        <w:pStyle w:val="Compact"/>
      </w:pPr>
      <w:r>
        <w:t xml:space="preserve">2014 · Koziel J ·</w:t>
      </w:r>
      <w:r>
        <w:t xml:space="preserve"> </w:t>
      </w:r>
      <w:r>
        <w:rPr>
          <w:iCs/>
          <w:i/>
        </w:rPr>
        <w:t xml:space="preserve">J Immunol</w:t>
      </w:r>
      <w:r>
        <w:t xml:space="preserve"> </w:t>
      </w:r>
      <w:r>
        <w:t xml:space="preserve">· Citrullination alters immunomodulatory function of LL-37 essential for prevention of endotoxin-induced sepsis. PMID 24771854</w:t>
      </w:r>
    </w:p>
    <w:p>
      <w:pPr>
        <w:numPr>
          <w:ilvl w:val="0"/>
          <w:numId w:val="1392"/>
        </w:numPr>
        <w:pStyle w:val="Compact"/>
      </w:pPr>
      <w:r>
        <w:t xml:space="preserve">2014 · Limoli DH ·</w:t>
      </w:r>
      <w:r>
        <w:t xml:space="preserve"> </w:t>
      </w:r>
      <w:r>
        <w:rPr>
          <w:iCs/>
          <w:i/>
        </w:rPr>
        <w:t xml:space="preserve">PLoS Pathog</w:t>
      </w:r>
      <w:r>
        <w:t xml:space="preserve"> </w:t>
      </w:r>
      <w:r>
        <w:t xml:space="preserve">· Cationic antimicrobial peptides promote microbial mutagenesis and pathoadaptation in chronic infections. PMID 24763694</w:t>
      </w:r>
    </w:p>
    <w:p>
      <w:pPr>
        <w:numPr>
          <w:ilvl w:val="0"/>
          <w:numId w:val="1392"/>
        </w:numPr>
        <w:pStyle w:val="Compact"/>
      </w:pPr>
      <w:r>
        <w:t xml:space="preserve">2014 · Wheelwright M ·</w:t>
      </w:r>
      <w:r>
        <w:t xml:space="preserve"> </w:t>
      </w:r>
      <w:r>
        <w:rPr>
          <w:iCs/>
          <w:i/>
        </w:rPr>
        <w:t xml:space="preserve">J Immunol</w:t>
      </w:r>
      <w:r>
        <w:t xml:space="preserve"> </w:t>
      </w:r>
      <w:r>
        <w:t xml:space="preserve">· All-trans retinoic acid-triggered antimicrobial activity against Mycobacterium tuberculosis is dependent on NPC2. PMID 24501203</w:t>
      </w:r>
    </w:p>
    <w:p>
      <w:pPr>
        <w:numPr>
          <w:ilvl w:val="0"/>
          <w:numId w:val="1392"/>
        </w:numPr>
        <w:pStyle w:val="Compact"/>
      </w:pPr>
      <w:r>
        <w:t xml:space="preserve">2014 · Das M ·</w:t>
      </w:r>
      <w:r>
        <w:t xml:space="preserve"> </w:t>
      </w:r>
      <w:r>
        <w:rPr>
          <w:iCs/>
          <w:i/>
        </w:rPr>
        <w:t xml:space="preserve">Eur J Clin Nutr</w:t>
      </w:r>
      <w:r>
        <w:t xml:space="preserve"> </w:t>
      </w:r>
      <w:r>
        <w:t xml:space="preserve">· Effect of vitamin D supplementation on cathelicidin, IFN-γ, IL-4 and Th1/Th2 transcription factors in young healthy females. PMID 24398649</w:t>
      </w:r>
    </w:p>
    <w:p>
      <w:pPr>
        <w:numPr>
          <w:ilvl w:val="0"/>
          <w:numId w:val="1392"/>
        </w:numPr>
        <w:pStyle w:val="Compact"/>
      </w:pPr>
      <w:r>
        <w:t xml:space="preserve">2014 · Hata TR ·</w:t>
      </w:r>
      <w:r>
        <w:t xml:space="preserve"> </w:t>
      </w:r>
      <w:r>
        <w:rPr>
          <w:iCs/>
          <w:i/>
        </w:rPr>
        <w:t xml:space="preserve">J Eur Acad Dermatol Venereol</w:t>
      </w:r>
      <w:r>
        <w:t xml:space="preserve"> </w:t>
      </w:r>
      <w:r>
        <w:t xml:space="preserve">· A randomized controlled double-blind investigation of the effects of vitamin D dietary supplementation in subjects with atopic dermatitis. PMID 23638978</w:t>
      </w:r>
    </w:p>
    <w:p>
      <w:pPr>
        <w:numPr>
          <w:ilvl w:val="0"/>
          <w:numId w:val="1392"/>
        </w:numPr>
        <w:pStyle w:val="Compact"/>
      </w:pPr>
      <w:r>
        <w:t xml:space="preserve">2013 · Mily A ·</w:t>
      </w:r>
      <w:r>
        <w:t xml:space="preserve"> </w:t>
      </w:r>
      <w:r>
        <w:rPr>
          <w:iCs/>
          <w:i/>
        </w:rPr>
        <w:t xml:space="preserve">BMC Pulm Med</w:t>
      </w:r>
      <w:r>
        <w:t xml:space="preserve"> </w:t>
      </w:r>
      <w:r>
        <w:t xml:space="preserve">· Oral intake of phenylbutyrate with or without vitamin D3 upregulates the cathelicidin LL-37 in human macrophages: a dose finding study for treatment of tuberculosis. PMID 23590701</w:t>
      </w:r>
    </w:p>
    <w:p>
      <w:pPr>
        <w:numPr>
          <w:ilvl w:val="0"/>
          <w:numId w:val="1392"/>
        </w:numPr>
        <w:pStyle w:val="Compact"/>
      </w:pPr>
      <w:r>
        <w:t xml:space="preserve">2013 · Gollwitzer H ·</w:t>
      </w:r>
      <w:r>
        <w:t xml:space="preserve"> </w:t>
      </w:r>
      <w:r>
        <w:rPr>
          <w:iCs/>
          <w:i/>
        </w:rPr>
        <w:t xml:space="preserve">J Bone Joint Surg Am</w:t>
      </w:r>
      <w:r>
        <w:t xml:space="preserve"> </w:t>
      </w:r>
      <w:r>
        <w:t xml:space="preserve">· Antimicrobial peptides and proinflammatory cytokines in periprosthetic joint infection. PMID 23553300</w:t>
      </w:r>
    </w:p>
    <w:p>
      <w:pPr>
        <w:numPr>
          <w:ilvl w:val="0"/>
          <w:numId w:val="1392"/>
        </w:numPr>
        <w:pStyle w:val="Compact"/>
      </w:pPr>
      <w:r>
        <w:t xml:space="preserve">2013 · Alvarez JA ·</w:t>
      </w:r>
      <w:r>
        <w:t xml:space="preserve"> </w:t>
      </w:r>
      <w:r>
        <w:rPr>
          <w:iCs/>
          <w:i/>
        </w:rPr>
        <w:t xml:space="preserve">Eur J Clin Nutr</w:t>
      </w:r>
      <w:r>
        <w:t xml:space="preserve"> </w:t>
      </w:r>
      <w:r>
        <w:t xml:space="preserve">· Effects of high-dose cholecalciferol on serum markers of inflammation and immunity in patients with early chronic kidney disease. PMID 23361158</w:t>
      </w:r>
    </w:p>
    <w:p>
      <w:pPr>
        <w:numPr>
          <w:ilvl w:val="0"/>
          <w:numId w:val="1392"/>
        </w:numPr>
        <w:pStyle w:val="Compact"/>
      </w:pPr>
      <w:r>
        <w:t xml:space="preserve">2013 · Klug-Micu GM ·</w:t>
      </w:r>
      <w:r>
        <w:t xml:space="preserve"> </w:t>
      </w:r>
      <w:r>
        <w:rPr>
          <w:iCs/>
          <w:i/>
        </w:rPr>
        <w:t xml:space="preserve">Immunology</w:t>
      </w:r>
      <w:r>
        <w:t xml:space="preserve"> </w:t>
      </w:r>
      <w:r>
        <w:t xml:space="preserve">· CD40 ligand and interferon-γ induce an antimicrobial response against Mycobacterium tuberculosis in human monocytes. PMID 23289765</w:t>
      </w:r>
    </w:p>
    <w:p>
      <w:pPr>
        <w:numPr>
          <w:ilvl w:val="0"/>
          <w:numId w:val="1392"/>
        </w:numPr>
        <w:pStyle w:val="Compact"/>
      </w:pPr>
      <w:r>
        <w:t xml:space="preserve">2012 · Campbell GR ·</w:t>
      </w:r>
      <w:r>
        <w:t xml:space="preserve"> </w:t>
      </w:r>
      <w:r>
        <w:rPr>
          <w:iCs/>
          <w:i/>
        </w:rPr>
        <w:t xml:space="preserve">PLoS Pathog</w:t>
      </w:r>
      <w:r>
        <w:t xml:space="preserve"> </w:t>
      </w:r>
      <w:r>
        <w:t xml:space="preserve">· Toll-like receptor 8 ligands activate a vitamin D mediated autophagic response that inhibits human immunodeficiency virus type 1. PMID 23166493</w:t>
      </w:r>
    </w:p>
    <w:p>
      <w:pPr>
        <w:numPr>
          <w:ilvl w:val="0"/>
          <w:numId w:val="1392"/>
        </w:numPr>
        <w:pStyle w:val="Compact"/>
      </w:pPr>
      <w:r>
        <w:t xml:space="preserve">2012 · Grossmann RE ·</w:t>
      </w:r>
      <w:r>
        <w:t xml:space="preserve"> </w:t>
      </w:r>
      <w:r>
        <w:rPr>
          <w:iCs/>
          <w:i/>
        </w:rPr>
        <w:t xml:space="preserve">Eur J Clin Nutr</w:t>
      </w:r>
      <w:r>
        <w:t xml:space="preserve"> </w:t>
      </w:r>
      <w:r>
        <w:t xml:space="preserve">· Impact of vitamin D supplementation on markers of inflammation in adults with cystic fibrosis hospitalized for a pulmonary exacerbation. PMID 22805498</w:t>
      </w:r>
    </w:p>
    <w:p>
      <w:pPr>
        <w:numPr>
          <w:ilvl w:val="0"/>
          <w:numId w:val="1392"/>
        </w:numPr>
        <w:pStyle w:val="Compact"/>
      </w:pPr>
      <w:r>
        <w:t xml:space="preserve">2012 · Raqib R ·</w:t>
      </w:r>
      <w:r>
        <w:t xml:space="preserve"> </w:t>
      </w:r>
      <w:r>
        <w:rPr>
          <w:iCs/>
          <w:i/>
        </w:rPr>
        <w:t xml:space="preserve">BMC Infect Dis</w:t>
      </w:r>
      <w:r>
        <w:t xml:space="preserve"> </w:t>
      </w:r>
      <w:r>
        <w:t xml:space="preserve">· Efficacy of sodium butyrate adjunct therapy in shigellosis: a randomized, double-blind, placebo-controlled clinical trial. PMID 22574737</w:t>
      </w:r>
    </w:p>
    <w:p>
      <w:pPr>
        <w:numPr>
          <w:ilvl w:val="0"/>
          <w:numId w:val="1392"/>
        </w:numPr>
        <w:pStyle w:val="Compact"/>
      </w:pPr>
      <w:r>
        <w:t xml:space="preserve">2012 · Nijnik A ·</w:t>
      </w:r>
      <w:r>
        <w:t xml:space="preserve"> </w:t>
      </w:r>
      <w:r>
        <w:rPr>
          <w:iCs/>
          <w:i/>
        </w:rPr>
        <w:t xml:space="preserve">J Leukoc Biol</w:t>
      </w:r>
      <w:r>
        <w:t xml:space="preserve"> </w:t>
      </w:r>
      <w:r>
        <w:t xml:space="preserve">· The role of the Src family kinase Lyn in the immunomodulatory activities of cathelicidin peptide LL-37 on monocytic cells. PMID 22246800</w:t>
      </w:r>
    </w:p>
    <w:p>
      <w:pPr>
        <w:numPr>
          <w:ilvl w:val="0"/>
          <w:numId w:val="1392"/>
        </w:numPr>
        <w:pStyle w:val="Compact"/>
      </w:pPr>
      <w:r>
        <w:t xml:space="preserve">2011 · Usui T ·</w:t>
      </w:r>
      <w:r>
        <w:t xml:space="preserve"> </w:t>
      </w:r>
      <w:r>
        <w:rPr>
          <w:iCs/>
          <w:i/>
        </w:rPr>
        <w:t xml:space="preserve">Eur J Appl Physiol</w:t>
      </w:r>
      <w:r>
        <w:t xml:space="preserve"> </w:t>
      </w:r>
      <w:r>
        <w:t xml:space="preserve">· Changes in salivary antimicrobial peptides, immunoglobulin A and cortisol after prolonged strenuous exercise. PMID 21249386</w:t>
      </w:r>
    </w:p>
    <w:p>
      <w:pPr>
        <w:numPr>
          <w:ilvl w:val="0"/>
          <w:numId w:val="1392"/>
        </w:numPr>
        <w:pStyle w:val="Compact"/>
      </w:pPr>
      <w:r>
        <w:t xml:space="preserve">2010 · Muratov V ·</w:t>
      </w:r>
      <w:r>
        <w:t xml:space="preserve"> </w:t>
      </w:r>
      <w:r>
        <w:rPr>
          <w:iCs/>
          <w:i/>
        </w:rPr>
        <w:t xml:space="preserve">J Clin Apher</w:t>
      </w:r>
      <w:r>
        <w:t xml:space="preserve"> </w:t>
      </w:r>
      <w:r>
        <w:t xml:space="preserve">· Safety and tolerability of a modified filter-type device for leukocytapheresis using ACD-A as anticoagulant in patients with mild to moderately active ulcerative colitis. Results of a pilot study. PMID 20806415</w:t>
      </w:r>
    </w:p>
    <w:p>
      <w:pPr>
        <w:numPr>
          <w:ilvl w:val="0"/>
          <w:numId w:val="1392"/>
        </w:numPr>
        <w:pStyle w:val="Compact"/>
      </w:pPr>
      <w:r>
        <w:t xml:space="preserve">2010 · Dhaliwal W ·</w:t>
      </w:r>
      <w:r>
        <w:t xml:space="preserve"> </w:t>
      </w:r>
      <w:r>
        <w:rPr>
          <w:iCs/>
          <w:i/>
        </w:rPr>
        <w:t xml:space="preserve">J Infect Dis</w:t>
      </w:r>
      <w:r>
        <w:t xml:space="preserve"> </w:t>
      </w:r>
      <w:r>
        <w:t xml:space="preserve">· Intestinal antimicrobial gene expression: impact of micronutrients in malnourished adults during a randomized trial. PMID 20695797</w:t>
      </w:r>
    </w:p>
    <w:p>
      <w:pPr>
        <w:numPr>
          <w:ilvl w:val="0"/>
          <w:numId w:val="1392"/>
        </w:numPr>
        <w:pStyle w:val="Compact"/>
      </w:pPr>
      <w:r>
        <w:t xml:space="preserve">2010 · Yamshchikov AV ·</w:t>
      </w:r>
      <w:r>
        <w:t xml:space="preserve"> </w:t>
      </w:r>
      <w:r>
        <w:rPr>
          <w:iCs/>
          <w:i/>
        </w:rPr>
        <w:t xml:space="preserve">Am J Clin Nutr</w:t>
      </w:r>
      <w:r>
        <w:t xml:space="preserve"> </w:t>
      </w:r>
      <w:r>
        <w:t xml:space="preserve">· Vitamin D status and antimicrobial peptide cathelicidin (LL-37) concentrations in patients with active pulmonary tuberculosis. PMID 20610636</w:t>
      </w:r>
    </w:p>
    <w:p>
      <w:pPr>
        <w:numPr>
          <w:ilvl w:val="0"/>
          <w:numId w:val="1392"/>
        </w:numPr>
        <w:pStyle w:val="Compact"/>
      </w:pPr>
      <w:r>
        <w:t xml:space="preserve">2010 · Park KY ·</w:t>
      </w:r>
      <w:r>
        <w:t xml:space="preserve"> </w:t>
      </w:r>
      <w:r>
        <w:rPr>
          <w:iCs/>
          <w:i/>
        </w:rPr>
        <w:t xml:space="preserve">J Korean Med Sci</w:t>
      </w:r>
      <w:r>
        <w:t xml:space="preserve"> </w:t>
      </w:r>
      <w:r>
        <w:t xml:space="preserve">· Changes of antimicrobial peptides and transepidermal water loss after topical application of tacrolimus and ceramide-dominant emollient in patients with atopic dermatitis. PMID 20436715</w:t>
      </w:r>
    </w:p>
    <w:p>
      <w:pPr>
        <w:numPr>
          <w:ilvl w:val="0"/>
          <w:numId w:val="1392"/>
        </w:numPr>
        <w:pStyle w:val="Compact"/>
      </w:pPr>
      <w:r>
        <w:t xml:space="preserve">2010 · Heilborn JD ·</w:t>
      </w:r>
      <w:r>
        <w:t xml:space="preserve"> </w:t>
      </w:r>
      <w:r>
        <w:rPr>
          <w:iCs/>
          <w:i/>
        </w:rPr>
        <w:t xml:space="preserve">Exp Dermatol</w:t>
      </w:r>
      <w:r>
        <w:t xml:space="preserve"> </w:t>
      </w:r>
      <w:r>
        <w:t xml:space="preserve">· Topical treatment with the vitamin D analogue calcipotriol enhances the upregulation of the antimicrobial protein hCAP18/LL-37 during wounding in human skin in vivo. PMID 19878298</w:t>
      </w:r>
    </w:p>
    <w:p>
      <w:pPr>
        <w:numPr>
          <w:ilvl w:val="0"/>
          <w:numId w:val="1392"/>
        </w:numPr>
        <w:pStyle w:val="Compact"/>
      </w:pPr>
      <w:r>
        <w:t xml:space="preserve">2009 · Misawa Y ·</w:t>
      </w:r>
      <w:r>
        <w:t xml:space="preserve"> </w:t>
      </w:r>
      <w:r>
        <w:rPr>
          <w:iCs/>
          <w:i/>
        </w:rPr>
        <w:t xml:space="preserve">Int J Hematol</w:t>
      </w:r>
      <w:r>
        <w:t xml:space="preserve"> </w:t>
      </w:r>
      <w:r>
        <w:t xml:space="preserve">· Vitamin D(3) induces expression of human cathelicidin antimicrobial peptide 18 in newborns. PMID 19943126</w:t>
      </w:r>
    </w:p>
    <w:p>
      <w:pPr>
        <w:numPr>
          <w:ilvl w:val="0"/>
          <w:numId w:val="1392"/>
        </w:numPr>
        <w:pStyle w:val="Compact"/>
      </w:pPr>
      <w:r>
        <w:t xml:space="preserve">2009 · Levinson P ·</w:t>
      </w:r>
      <w:r>
        <w:t xml:space="preserve"> </w:t>
      </w:r>
      <w:r>
        <w:rPr>
          <w:iCs/>
          <w:i/>
        </w:rPr>
        <w:t xml:space="preserve">AIDS</w:t>
      </w:r>
      <w:r>
        <w:t xml:space="preserve"> </w:t>
      </w:r>
      <w:r>
        <w:t xml:space="preserve">· Levels of innate immune factors in genital fluids: association of alpha defensins and LL-37 with genital infections and increased HIV acquisition. PMID 19114868</w:t>
      </w:r>
    </w:p>
    <w:p>
      <w:pPr>
        <w:numPr>
          <w:ilvl w:val="0"/>
          <w:numId w:val="1392"/>
        </w:numPr>
        <w:pStyle w:val="Compact"/>
      </w:pPr>
      <w:r>
        <w:t xml:space="preserve">2008 · Hata TR ·</w:t>
      </w:r>
      <w:r>
        <w:t xml:space="preserve"> </w:t>
      </w:r>
      <w:r>
        <w:rPr>
          <w:iCs/>
          <w:i/>
        </w:rPr>
        <w:t xml:space="preserve">J Allergy Clin Immunol</w:t>
      </w:r>
      <w:r>
        <w:t xml:space="preserve"> </w:t>
      </w:r>
      <w:r>
        <w:t xml:space="preserve">· Administration of oral vitamin D induces cathelicidin production in atopic individuals. PMID 19014773</w:t>
      </w:r>
    </w:p>
    <w:p>
      <w:pPr>
        <w:numPr>
          <w:ilvl w:val="0"/>
          <w:numId w:val="1392"/>
        </w:numPr>
        <w:pStyle w:val="Compact"/>
      </w:pPr>
      <w:r>
        <w:t xml:space="preserve">2007 · Christensen RD ·</w:t>
      </w:r>
      <w:r>
        <w:t xml:space="preserve"> </w:t>
      </w:r>
      <w:r>
        <w:rPr>
          <w:iCs/>
          <w:i/>
        </w:rPr>
        <w:t xml:space="preserve">J Perinatol</w:t>
      </w:r>
      <w:r>
        <w:t xml:space="preserve"> </w:t>
      </w:r>
      <w:r>
        <w:t xml:space="preserve">· ETCare: a randomized, controlled, masked trial comparing two solutions for upper airway care in the NICU. PMID 17568755</w:t>
      </w:r>
    </w:p>
    <w:p>
      <w:pPr>
        <w:numPr>
          <w:ilvl w:val="0"/>
          <w:numId w:val="1392"/>
        </w:numPr>
        <w:pStyle w:val="Compact"/>
      </w:pPr>
      <w:r>
        <w:t xml:space="preserve">2006 · Schauber J ·</w:t>
      </w:r>
      <w:r>
        <w:t xml:space="preserve"> </w:t>
      </w:r>
      <w:r>
        <w:rPr>
          <w:iCs/>
          <w:i/>
        </w:rPr>
        <w:t xml:space="preserve">Mol Nutr Food Res</w:t>
      </w:r>
      <w:r>
        <w:t xml:space="preserve"> </w:t>
      </w:r>
      <w:r>
        <w:t xml:space="preserve">· Human rectal mucosal gene expression after consumption of digestible and non-digestible carbohydrates. PMID 17039460</w:t>
      </w:r>
    </w:p>
    <w:bookmarkEnd w:id="3030"/>
    <w:bookmarkStart w:id="3031" w:name="ara-290-cibinetida-5"/>
    <w:p>
      <w:pPr>
        <w:pStyle w:val="Heading2"/>
      </w:pPr>
      <w:r>
        <w:t xml:space="preserve">ARA-290 (cibinetida) (5)</w:t>
      </w:r>
    </w:p>
    <w:p>
      <w:pPr>
        <w:numPr>
          <w:ilvl w:val="0"/>
          <w:numId w:val="1393"/>
        </w:numPr>
        <w:pStyle w:val="Compact"/>
      </w:pPr>
      <w:r>
        <w:t xml:space="preserve">2017 · Culver DA ·</w:t>
      </w:r>
      <w:r>
        <w:t xml:space="preserve"> </w:t>
      </w:r>
      <w:r>
        <w:rPr>
          <w:iCs/>
          <w:i/>
        </w:rPr>
        <w:t xml:space="preserve">Invest Ophthalmol Vis Sci</w:t>
      </w:r>
      <w:r>
        <w:t xml:space="preserve"> </w:t>
      </w:r>
      <w:r>
        <w:t xml:space="preserve">· Cibinetide Improves Corneal Nerve Fiber Abundance in Patients With Sarcoidosis-Associated Small Nerve Fiber Loss and Neuropathic Pain. PMID 28475703</w:t>
      </w:r>
    </w:p>
    <w:p>
      <w:pPr>
        <w:numPr>
          <w:ilvl w:val="0"/>
          <w:numId w:val="1393"/>
        </w:numPr>
        <w:pStyle w:val="Compact"/>
      </w:pPr>
      <w:r>
        <w:t xml:space="preserve">2015 · Cerit H ·</w:t>
      </w:r>
      <w:r>
        <w:t xml:space="preserve"> </w:t>
      </w:r>
      <w:r>
        <w:rPr>
          <w:iCs/>
          <w:i/>
        </w:rPr>
        <w:t xml:space="preserve">Eur Neuropsychopharmacol</w:t>
      </w:r>
      <w:r>
        <w:t xml:space="preserve"> </w:t>
      </w:r>
      <w:r>
        <w:t xml:space="preserve">· Testing the antidepressant properties of the peptide ARA290 in a human neuropsychological model of drug action. PMID 26431906</w:t>
      </w:r>
    </w:p>
    <w:p>
      <w:pPr>
        <w:numPr>
          <w:ilvl w:val="0"/>
          <w:numId w:val="1393"/>
        </w:numPr>
        <w:pStyle w:val="Compact"/>
      </w:pPr>
      <w:r>
        <w:t xml:space="preserve">2015 · Brines M ·</w:t>
      </w:r>
      <w:r>
        <w:t xml:space="preserve"> </w:t>
      </w:r>
      <w:r>
        <w:rPr>
          <w:iCs/>
          <w:i/>
        </w:rPr>
        <w:t xml:space="preserve">Mol Med</w:t>
      </w:r>
      <w:r>
        <w:t xml:space="preserve"> </w:t>
      </w:r>
      <w:r>
        <w:t xml:space="preserve">· ARA 290, a nonerythropoietic peptide engineered from erythropoietin, improves metabolic control and neuropathic symptoms in patients with type 2 diabetes. PMID 25387363</w:t>
      </w:r>
    </w:p>
    <w:p>
      <w:pPr>
        <w:numPr>
          <w:ilvl w:val="0"/>
          <w:numId w:val="1393"/>
        </w:numPr>
        <w:pStyle w:val="Compact"/>
      </w:pPr>
      <w:r>
        <w:t xml:space="preserve">2013 · Dahan A ·</w:t>
      </w:r>
      <w:r>
        <w:t xml:space="preserve"> </w:t>
      </w:r>
      <w:r>
        <w:rPr>
          <w:iCs/>
          <w:i/>
        </w:rPr>
        <w:t xml:space="preserve">Mol Med</w:t>
      </w:r>
      <w:r>
        <w:t xml:space="preserve"> </w:t>
      </w:r>
      <w:r>
        <w:t xml:space="preserve">· ARA 290 improves symptoms in patients with sarcoidosis-associated small nerve fiber loss and increases corneal nerve fiber density. PMID 24136731</w:t>
      </w:r>
    </w:p>
    <w:p>
      <w:pPr>
        <w:numPr>
          <w:ilvl w:val="0"/>
          <w:numId w:val="1393"/>
        </w:numPr>
        <w:pStyle w:val="Compact"/>
      </w:pPr>
      <w:r>
        <w:t xml:space="preserve">2012 · Heij L ·</w:t>
      </w:r>
      <w:r>
        <w:t xml:space="preserve"> </w:t>
      </w:r>
      <w:r>
        <w:rPr>
          <w:iCs/>
          <w:i/>
        </w:rPr>
        <w:t xml:space="preserve">Mol Med</w:t>
      </w:r>
      <w:r>
        <w:t xml:space="preserve"> </w:t>
      </w:r>
      <w:r>
        <w:t xml:space="preserve">· Safety and efficacy of ARA 290 in sarcoidosis patients with symptoms of small fiber neuropathy: a randomized, double-blind pilot study. PMID 23168581</w:t>
      </w:r>
    </w:p>
    <w:bookmarkEnd w:id="3031"/>
    <w:bookmarkStart w:id="3032" w:name="larazotida-4"/>
    <w:p>
      <w:pPr>
        <w:pStyle w:val="Heading2"/>
      </w:pPr>
      <w:r>
        <w:t xml:space="preserve">Larazotida (4)</w:t>
      </w:r>
    </w:p>
    <w:p>
      <w:pPr>
        <w:numPr>
          <w:ilvl w:val="0"/>
          <w:numId w:val="1394"/>
        </w:numPr>
        <w:pStyle w:val="Compact"/>
      </w:pPr>
      <w:r>
        <w:t xml:space="preserve">2025 · Yonker LM ·</w:t>
      </w:r>
      <w:r>
        <w:t xml:space="preserve"> </w:t>
      </w:r>
      <w:r>
        <w:rPr>
          <w:iCs/>
          <w:i/>
        </w:rPr>
        <w:t xml:space="preserve">Sci Transl Med</w:t>
      </w:r>
      <w:r>
        <w:t xml:space="preserve"> </w:t>
      </w:r>
      <w:r>
        <w:t xml:space="preserve">· Viral spike antigen clearance and augmented recovery in children with post-COVID multisystem inflammatory syndrome treated with larazotide. PMID 40737433</w:t>
      </w:r>
    </w:p>
    <w:p>
      <w:pPr>
        <w:numPr>
          <w:ilvl w:val="0"/>
          <w:numId w:val="1394"/>
        </w:numPr>
        <w:pStyle w:val="Compact"/>
      </w:pPr>
      <w:r>
        <w:t xml:space="preserve">2015 · Leffler DA ·</w:t>
      </w:r>
      <w:r>
        <w:t xml:space="preserve"> </w:t>
      </w:r>
      <w:r>
        <w:rPr>
          <w:iCs/>
          <w:i/>
        </w:rPr>
        <w:t xml:space="preserve">Gastroenterology</w:t>
      </w:r>
      <w:r>
        <w:t xml:space="preserve"> </w:t>
      </w:r>
      <w:r>
        <w:t xml:space="preserve">· Larazotide acetate for persistent symptoms of celiac disease despite a gluten-free diet: a randomized controlled trial. PMID 25683116</w:t>
      </w:r>
    </w:p>
    <w:p>
      <w:pPr>
        <w:numPr>
          <w:ilvl w:val="0"/>
          <w:numId w:val="1394"/>
        </w:numPr>
        <w:pStyle w:val="Compact"/>
      </w:pPr>
      <w:r>
        <w:t xml:space="preserve">2013 · Kelly CP ·</w:t>
      </w:r>
      <w:r>
        <w:t xml:space="preserve"> </w:t>
      </w:r>
      <w:r>
        <w:rPr>
          <w:iCs/>
          <w:i/>
        </w:rPr>
        <w:t xml:space="preserve">Aliment Pharmacol Ther</w:t>
      </w:r>
      <w:r>
        <w:t xml:space="preserve"> </w:t>
      </w:r>
      <w:r>
        <w:t xml:space="preserve">· Larazotide acetate in patients with coeliac disease undergoing a gluten challenge: a randomised placebo-controlled study. PMID 23163616</w:t>
      </w:r>
    </w:p>
    <w:p>
      <w:pPr>
        <w:numPr>
          <w:ilvl w:val="0"/>
          <w:numId w:val="1394"/>
        </w:numPr>
        <w:pStyle w:val="Compact"/>
      </w:pPr>
      <w:r>
        <w:t xml:space="preserve">2012 · Leffler DA ·</w:t>
      </w:r>
      <w:r>
        <w:t xml:space="preserve"> </w:t>
      </w:r>
      <w:r>
        <w:rPr>
          <w:iCs/>
          <w:i/>
        </w:rPr>
        <w:t xml:space="preserve">Am J Gastroenterol</w:t>
      </w:r>
      <w:r>
        <w:t xml:space="preserve"> </w:t>
      </w:r>
      <w:r>
        <w:t xml:space="preserve">· A randomized, double-blind study of larazotide acetate to prevent the activation of celiac disease during gluten challenge. PMID 22825365</w:t>
      </w:r>
    </w:p>
    <w:bookmarkEnd w:id="3032"/>
    <w:bookmarkStart w:id="3033" w:name="timalina-e-timogênio-17"/>
    <w:p>
      <w:pPr>
        <w:pStyle w:val="Heading2"/>
      </w:pPr>
      <w:r>
        <w:t xml:space="preserve">Timalina e timogênio (17)</w:t>
      </w:r>
    </w:p>
    <w:p>
      <w:pPr>
        <w:numPr>
          <w:ilvl w:val="0"/>
          <w:numId w:val="1395"/>
        </w:numPr>
        <w:pStyle w:val="Compact"/>
      </w:pPr>
      <w:r>
        <w:t xml:space="preserve">2015 · Litvinenko GI ·</w:t>
      </w:r>
      <w:r>
        <w:t xml:space="preserve"> </w:t>
      </w:r>
      <w:r>
        <w:rPr>
          <w:iCs/>
          <w:i/>
        </w:rPr>
        <w:t xml:space="preserve">Bull Exp Biol Med</w:t>
      </w:r>
      <w:r>
        <w:t xml:space="preserve"> </w:t>
      </w:r>
      <w:r>
        <w:t xml:space="preserve">· Chrono- and Immunocorrection of Inflammatory Disorders of Internal Reproductive Organs in Women of Reproductive Age. PMID 26033592</w:t>
      </w:r>
    </w:p>
    <w:p>
      <w:pPr>
        <w:numPr>
          <w:ilvl w:val="0"/>
          <w:numId w:val="1395"/>
        </w:numPr>
        <w:pStyle w:val="Compact"/>
      </w:pPr>
      <w:r>
        <w:t xml:space="preserve">2011 · Smirnov VS ·</w:t>
      </w:r>
      <w:r>
        <w:t xml:space="preserve"> </w:t>
      </w:r>
      <w:r>
        <w:rPr>
          <w:iCs/>
          <w:i/>
        </w:rPr>
        <w:t xml:space="preserve">Adv Gerontol</w:t>
      </w:r>
      <w:r>
        <w:t xml:space="preserve"> </w:t>
      </w:r>
      <w:r>
        <w:t xml:space="preserve">· [Application thymogen for preoperative preparation of elderly patients with tumor processes in abdominal cavity]. PMID 21957588</w:t>
      </w:r>
    </w:p>
    <w:p>
      <w:pPr>
        <w:numPr>
          <w:ilvl w:val="0"/>
          <w:numId w:val="1395"/>
        </w:numPr>
        <w:pStyle w:val="Compact"/>
      </w:pPr>
      <w:r>
        <w:t xml:space="preserve">2004 · Kopchak VM ·</w:t>
      </w:r>
      <w:r>
        <w:t xml:space="preserve"> </w:t>
      </w:r>
      <w:r>
        <w:rPr>
          <w:iCs/>
          <w:i/>
        </w:rPr>
        <w:t xml:space="preserve">Klin Khir</w:t>
      </w:r>
      <w:r>
        <w:t xml:space="preserve"> </w:t>
      </w:r>
      <w:r>
        <w:t xml:space="preserve">· [The application efficacy of immunomodulators in complex of treatment of an acute necrotic pancreatitis]. PMID 15560588</w:t>
      </w:r>
    </w:p>
    <w:p>
      <w:pPr>
        <w:numPr>
          <w:ilvl w:val="0"/>
          <w:numId w:val="1395"/>
        </w:numPr>
        <w:pStyle w:val="Compact"/>
      </w:pPr>
      <w:r>
        <w:t xml:space="preserve">2003 · Khavinson VKh ·</w:t>
      </w:r>
      <w:r>
        <w:t xml:space="preserve"> </w:t>
      </w:r>
      <w:r>
        <w:rPr>
          <w:iCs/>
          <w:i/>
        </w:rPr>
        <w:t xml:space="preserve">Neuro Endocrinol Lett</w:t>
      </w:r>
      <w:r>
        <w:t xml:space="preserve"> </w:t>
      </w:r>
      <w:r>
        <w:t xml:space="preserve">· Peptides of pineal gland and thymus prolong human life. PMID 14523363</w:t>
      </w:r>
    </w:p>
    <w:p>
      <w:pPr>
        <w:numPr>
          <w:ilvl w:val="0"/>
          <w:numId w:val="1395"/>
        </w:numPr>
        <w:pStyle w:val="Compact"/>
      </w:pPr>
      <w:r>
        <w:t xml:space="preserve">2000 · Potiĭ VV ·</w:t>
      </w:r>
      <w:r>
        <w:t xml:space="preserve"> </w:t>
      </w:r>
      <w:r>
        <w:rPr>
          <w:iCs/>
          <w:i/>
        </w:rPr>
        <w:t xml:space="preserve">Klin Khir</w:t>
      </w:r>
      <w:r>
        <w:t xml:space="preserve"> </w:t>
      </w:r>
      <w:r>
        <w:t xml:space="preserve">· [Applications of immunomodulators in complex of treatment of the soft tissue purulent wounds]. PMID 11247420</w:t>
      </w:r>
    </w:p>
    <w:p>
      <w:pPr>
        <w:numPr>
          <w:ilvl w:val="0"/>
          <w:numId w:val="1395"/>
        </w:numPr>
        <w:pStyle w:val="Compact"/>
      </w:pPr>
      <w:r>
        <w:t xml:space="preserve">1999 · Medus AI ·</w:t>
      </w:r>
      <w:r>
        <w:t xml:space="preserve"> </w:t>
      </w:r>
      <w:r>
        <w:rPr>
          <w:iCs/>
          <w:i/>
        </w:rPr>
        <w:t xml:space="preserve">Voen Med Zh</w:t>
      </w:r>
      <w:r>
        <w:t xml:space="preserve"> </w:t>
      </w:r>
      <w:r>
        <w:t xml:space="preserve">· [The effect of thymogen on the state of immunity in destructive pulmonary tuberculosis]. PMID 10605346</w:t>
      </w:r>
    </w:p>
    <w:p>
      <w:pPr>
        <w:numPr>
          <w:ilvl w:val="0"/>
          <w:numId w:val="1395"/>
        </w:numPr>
        <w:pStyle w:val="Compact"/>
      </w:pPr>
      <w:r>
        <w:t xml:space="preserve">1999 · Musienko GV ·</w:t>
      </w:r>
      <w:r>
        <w:t xml:space="preserve"> </w:t>
      </w:r>
      <w:r>
        <w:rPr>
          <w:iCs/>
          <w:i/>
        </w:rPr>
        <w:t xml:space="preserve">Lik Sprava</w:t>
      </w:r>
      <w:r>
        <w:t xml:space="preserve"> </w:t>
      </w:r>
      <w:r>
        <w:t xml:space="preserve">· [Thymalin in the combined treatment of parkinsonism patients]. PMID 10424021</w:t>
      </w:r>
    </w:p>
    <w:p>
      <w:pPr>
        <w:numPr>
          <w:ilvl w:val="0"/>
          <w:numId w:val="1395"/>
        </w:numPr>
        <w:pStyle w:val="Compact"/>
      </w:pPr>
      <w:r>
        <w:t xml:space="preserve">1994 · Bushmelev VA ·</w:t>
      </w:r>
      <w:r>
        <w:t xml:space="preserve"> </w:t>
      </w:r>
      <w:r>
        <w:rPr>
          <w:iCs/>
          <w:i/>
        </w:rPr>
        <w:t xml:space="preserve">Khirurgiia (Mosk)</w:t>
      </w:r>
      <w:r>
        <w:t xml:space="preserve"> </w:t>
      </w:r>
      <w:r>
        <w:t xml:space="preserve">· [Prevention of postoperative complications in diffuse purulent peritonitis in children]. PMID 7990325</w:t>
      </w:r>
    </w:p>
    <w:p>
      <w:pPr>
        <w:numPr>
          <w:ilvl w:val="0"/>
          <w:numId w:val="1395"/>
        </w:numPr>
        <w:pStyle w:val="Compact"/>
      </w:pPr>
      <w:r>
        <w:t xml:space="preserve">1994 · Litvinova NV ·</w:t>
      </w:r>
      <w:r>
        <w:t xml:space="preserve"> </w:t>
      </w:r>
      <w:r>
        <w:rPr>
          <w:iCs/>
          <w:i/>
        </w:rPr>
        <w:t xml:space="preserve">Probl Tuberk</w:t>
      </w:r>
      <w:r>
        <w:t xml:space="preserve"> </w:t>
      </w:r>
      <w:r>
        <w:t xml:space="preserve">· [Changes of immune and non-specific reactivity in patients with chronic suppurative obstructive bronchitis in comprehensive treatment with thymogen]. PMID 7984617</w:t>
      </w:r>
    </w:p>
    <w:p>
      <w:pPr>
        <w:numPr>
          <w:ilvl w:val="0"/>
          <w:numId w:val="1395"/>
        </w:numPr>
        <w:pStyle w:val="Compact"/>
      </w:pPr>
      <w:r>
        <w:t xml:space="preserve">1994 · Ivanova LA ·</w:t>
      </w:r>
      <w:r>
        <w:t xml:space="preserve"> </w:t>
      </w:r>
      <w:r>
        <w:rPr>
          <w:iCs/>
          <w:i/>
        </w:rPr>
        <w:t xml:space="preserve">Probl Tuberk</w:t>
      </w:r>
      <w:r>
        <w:t xml:space="preserve"> </w:t>
      </w:r>
      <w:r>
        <w:t xml:space="preserve">· [Immunotherapy in the combined treatment of chronic destructive pulmonary tuberculosis]. PMID 7937662</w:t>
      </w:r>
    </w:p>
    <w:p>
      <w:pPr>
        <w:numPr>
          <w:ilvl w:val="0"/>
          <w:numId w:val="1395"/>
        </w:numPr>
        <w:pStyle w:val="Compact"/>
      </w:pPr>
      <w:r>
        <w:t xml:space="preserve">1992 · Tsvelev IuV ·</w:t>
      </w:r>
      <w:r>
        <w:t xml:space="preserve"> </w:t>
      </w:r>
      <w:r>
        <w:rPr>
          <w:iCs/>
          <w:i/>
        </w:rPr>
        <w:t xml:space="preserve">Akush Ginekol (Mosk)</w:t>
      </w:r>
      <w:r>
        <w:t xml:space="preserve"> </w:t>
      </w:r>
      <w:r>
        <w:t xml:space="preserve">· [Thymogen in the complex treatment of inflammatory diseases of the female genital system]. PMID 1476231</w:t>
      </w:r>
    </w:p>
    <w:p>
      <w:pPr>
        <w:numPr>
          <w:ilvl w:val="0"/>
          <w:numId w:val="1395"/>
        </w:numPr>
        <w:pStyle w:val="Compact"/>
      </w:pPr>
      <w:r>
        <w:t xml:space="preserve">1992 · Tkach SM ·</w:t>
      </w:r>
      <w:r>
        <w:t xml:space="preserve"> </w:t>
      </w:r>
      <w:r>
        <w:rPr>
          <w:iCs/>
          <w:i/>
        </w:rPr>
        <w:t xml:space="preserve">Lik Sprava</w:t>
      </w:r>
      <w:r>
        <w:t xml:space="preserve"> </w:t>
      </w:r>
      <w:r>
        <w:t xml:space="preserve">· [Differentiated immunocorrective therapy in nonspecific ulcerative colitis]. PMID 1441366</w:t>
      </w:r>
    </w:p>
    <w:p>
      <w:pPr>
        <w:numPr>
          <w:ilvl w:val="0"/>
          <w:numId w:val="1395"/>
        </w:numPr>
        <w:pStyle w:val="Compact"/>
      </w:pPr>
      <w:r>
        <w:t xml:space="preserve">1990 · Govorin NV ·</w:t>
      </w:r>
      <w:r>
        <w:t xml:space="preserve"> </w:t>
      </w:r>
      <w:r>
        <w:rPr>
          <w:iCs/>
          <w:i/>
        </w:rPr>
        <w:t xml:space="preserve">Zh Nevropatol Psikhiatr Im S S Korsakova</w:t>
      </w:r>
      <w:r>
        <w:t xml:space="preserve"> </w:t>
      </w:r>
      <w:r>
        <w:t xml:space="preserve">· [Use of thymic peptide thymalin in the complex treatment of therapy-resistant schizophrenia]. PMID 2163147</w:t>
      </w:r>
    </w:p>
    <w:p>
      <w:pPr>
        <w:numPr>
          <w:ilvl w:val="0"/>
          <w:numId w:val="1395"/>
        </w:numPr>
        <w:pStyle w:val="Compact"/>
      </w:pPr>
      <w:r>
        <w:t xml:space="preserve">1990 · Kogosova LS ·</w:t>
      </w:r>
      <w:r>
        <w:t xml:space="preserve"> </w:t>
      </w:r>
      <w:r>
        <w:rPr>
          <w:iCs/>
          <w:i/>
        </w:rPr>
        <w:t xml:space="preserve">Probl Tuberk</w:t>
      </w:r>
      <w:r>
        <w:t xml:space="preserve"> </w:t>
      </w:r>
      <w:r>
        <w:t xml:space="preserve">· [Effectiveness of administration of thymalin in the complex treatment of pulmonary tuberculosis]. PMID 2080155</w:t>
      </w:r>
    </w:p>
    <w:p>
      <w:pPr>
        <w:numPr>
          <w:ilvl w:val="0"/>
          <w:numId w:val="1395"/>
        </w:numPr>
        <w:pStyle w:val="Compact"/>
      </w:pPr>
      <w:r>
        <w:t xml:space="preserve">1987 · Pateiuk VG ·</w:t>
      </w:r>
      <w:r>
        <w:t xml:space="preserve"> </w:t>
      </w:r>
      <w:r>
        <w:rPr>
          <w:iCs/>
          <w:i/>
        </w:rPr>
        <w:t xml:space="preserve">Klin Med (Mosk)</w:t>
      </w:r>
      <w:r>
        <w:t xml:space="preserve"> </w:t>
      </w:r>
      <w:r>
        <w:t xml:space="preserve">· [Thymalin in the treatment of patients with erysipelas]. PMID 3312790</w:t>
      </w:r>
    </w:p>
    <w:p>
      <w:pPr>
        <w:numPr>
          <w:ilvl w:val="0"/>
          <w:numId w:val="1395"/>
        </w:numPr>
        <w:pStyle w:val="Compact"/>
      </w:pPr>
      <w:r>
        <w:t xml:space="preserve">1985 · Boĭko IN ·</w:t>
      </w:r>
      <w:r>
        <w:t xml:space="preserve"> </w:t>
      </w:r>
      <w:r>
        <w:rPr>
          <w:iCs/>
          <w:i/>
        </w:rPr>
        <w:t xml:space="preserve">Voen Med Zh</w:t>
      </w:r>
      <w:r>
        <w:t xml:space="preserve"> </w:t>
      </w:r>
      <w:r>
        <w:t xml:space="preserve">· [Effectiveness of thymalin and prodigiozan in the complex treatment of patients with dysentery]. PMID 3901509</w:t>
      </w:r>
    </w:p>
    <w:p>
      <w:pPr>
        <w:numPr>
          <w:ilvl w:val="0"/>
          <w:numId w:val="1395"/>
        </w:numPr>
        <w:pStyle w:val="Compact"/>
      </w:pPr>
      <w:r>
        <w:t xml:space="preserve">1982 · Khavinson VKh ·</w:t>
      </w:r>
      <w:r>
        <w:t xml:space="preserve"> </w:t>
      </w:r>
      <w:r>
        <w:rPr>
          <w:iCs/>
          <w:i/>
        </w:rPr>
        <w:t xml:space="preserve">Voen Med Zh</w:t>
      </w:r>
      <w:r>
        <w:t xml:space="preserve"> </w:t>
      </w:r>
      <w:r>
        <w:t xml:space="preserve">· [Experimental and clinical study of a new immunoregulator preparation thymalin]. PMID 7048731</w:t>
      </w:r>
    </w:p>
    <w:bookmarkEnd w:id="3033"/>
    <w:bookmarkStart w:id="3034" w:name="sermorrelina-0"/>
    <w:p>
      <w:pPr>
        <w:pStyle w:val="Heading2"/>
      </w:pPr>
      <w:r>
        <w:t xml:space="preserve">Sermorrelina (0)</w:t>
      </w:r>
    </w:p>
    <w:p>
      <w:pPr>
        <w:pStyle w:val="FirstParagraph"/>
      </w:pPr>
      <w:r>
        <w:t xml:space="preserve">Nenhuma publicação de estudos clínicos em humanos encontrada.</w:t>
      </w:r>
    </w:p>
    <w:bookmarkEnd w:id="3034"/>
    <w:bookmarkStart w:id="3035" w:name="tesamorelina-23"/>
    <w:p>
      <w:pPr>
        <w:pStyle w:val="Heading2"/>
      </w:pPr>
      <w:r>
        <w:t xml:space="preserve">Tesamorelina (23)</w:t>
      </w:r>
    </w:p>
    <w:p>
      <w:pPr>
        <w:numPr>
          <w:ilvl w:val="0"/>
          <w:numId w:val="1396"/>
        </w:numPr>
        <w:pStyle w:val="Compact"/>
      </w:pPr>
      <w:r>
        <w:t xml:space="preserve">2025 · Ellis RJ ·</w:t>
      </w:r>
      <w:r>
        <w:t xml:space="preserve"> </w:t>
      </w:r>
      <w:r>
        <w:rPr>
          <w:iCs/>
          <w:i/>
        </w:rPr>
        <w:t xml:space="preserve">J Infect Dis</w:t>
      </w:r>
      <w:r>
        <w:t xml:space="preserve"> </w:t>
      </w:r>
      <w:r>
        <w:t xml:space="preserve">· Effects of Tesamorelin on Neurocognitive Impairment in Persons With HIV and Abdominal Obesity. PMID 39813152</w:t>
      </w:r>
    </w:p>
    <w:p>
      <w:pPr>
        <w:numPr>
          <w:ilvl w:val="0"/>
          <w:numId w:val="1396"/>
        </w:numPr>
        <w:pStyle w:val="Compact"/>
      </w:pPr>
      <w:r>
        <w:t xml:space="preserve">2024 · Russo SC ·</w:t>
      </w:r>
      <w:r>
        <w:t xml:space="preserve"> </w:t>
      </w:r>
      <w:r>
        <w:rPr>
          <w:iCs/>
          <w:i/>
        </w:rPr>
        <w:t xml:space="preserve">AIDS</w:t>
      </w:r>
      <w:r>
        <w:t xml:space="preserve"> </w:t>
      </w:r>
      <w:r>
        <w:t xml:space="preserve">· Efficacy and safety of tesamorelin in people with HIV on integrase inhibitors. PMID 38905488</w:t>
      </w:r>
    </w:p>
    <w:p>
      <w:pPr>
        <w:numPr>
          <w:ilvl w:val="0"/>
          <w:numId w:val="1396"/>
        </w:numPr>
        <w:pStyle w:val="Compact"/>
      </w:pPr>
      <w:r>
        <w:t xml:space="preserve">2021 · Stanley TL ·</w:t>
      </w:r>
      <w:r>
        <w:t xml:space="preserve"> </w:t>
      </w:r>
      <w:r>
        <w:rPr>
          <w:iCs/>
          <w:i/>
        </w:rPr>
        <w:t xml:space="preserve">Clin Infect Dis</w:t>
      </w:r>
      <w:r>
        <w:t xml:space="preserve"> </w:t>
      </w:r>
      <w:r>
        <w:t xml:space="preserve">· Growth Hormone Releasing Hormone Reduces Circulating Markers of Immune Activation in Parallel with Effects on Hepatic Immune Pathways in Individuals with HIV-infection and Nonalcoholic Fatty Liver Disease. PMID 33852720</w:t>
      </w:r>
    </w:p>
    <w:p>
      <w:pPr>
        <w:numPr>
          <w:ilvl w:val="0"/>
          <w:numId w:val="1396"/>
        </w:numPr>
        <w:pStyle w:val="Compact"/>
      </w:pPr>
      <w:r>
        <w:t xml:space="preserve">2021 · Fourman LT ·</w:t>
      </w:r>
      <w:r>
        <w:t xml:space="preserve"> </w:t>
      </w:r>
      <w:r>
        <w:rPr>
          <w:iCs/>
          <w:i/>
        </w:rPr>
        <w:t xml:space="preserve">Clin Infect Dis</w:t>
      </w:r>
      <w:r>
        <w:t xml:space="preserve"> </w:t>
      </w:r>
      <w:r>
        <w:t xml:space="preserve">· Clinical Predictors of Liver Fibrosis Presence and Progression in Human Immunodeficiency Virus-Associated Nonalcoholic Fatty Liver Disease. PMID 32270862</w:t>
      </w:r>
    </w:p>
    <w:p>
      <w:pPr>
        <w:numPr>
          <w:ilvl w:val="0"/>
          <w:numId w:val="1396"/>
        </w:numPr>
        <w:pStyle w:val="Compact"/>
      </w:pPr>
      <w:r>
        <w:t xml:space="preserve">2020 · Fourman LT ·</w:t>
      </w:r>
      <w:r>
        <w:t xml:space="preserve"> </w:t>
      </w:r>
      <w:r>
        <w:rPr>
          <w:iCs/>
          <w:i/>
        </w:rPr>
        <w:t xml:space="preserve">JCI Insight</w:t>
      </w:r>
      <w:r>
        <w:t xml:space="preserve"> </w:t>
      </w:r>
      <w:r>
        <w:t xml:space="preserve">· Effects of tesamorelin on hepatic transcriptomic signatures in HIV-associated NAFLD. PMID 32701508</w:t>
      </w:r>
    </w:p>
    <w:p>
      <w:pPr>
        <w:numPr>
          <w:ilvl w:val="0"/>
          <w:numId w:val="1396"/>
        </w:numPr>
        <w:pStyle w:val="Compact"/>
      </w:pPr>
      <w:r>
        <w:t xml:space="preserve">2019 · Stanley TL ·</w:t>
      </w:r>
      <w:r>
        <w:t xml:space="preserve"> </w:t>
      </w:r>
      <w:r>
        <w:rPr>
          <w:iCs/>
          <w:i/>
        </w:rPr>
        <w:t xml:space="preserve">Lancet HIV</w:t>
      </w:r>
      <w:r>
        <w:t xml:space="preserve"> </w:t>
      </w:r>
      <w:r>
        <w:t xml:space="preserve">· Effects of tesamorelin on non-alcoholic fatty liver disease in HIV: a randomised, double-blind, multicentre trial. PMID 31611038</w:t>
      </w:r>
    </w:p>
    <w:p>
      <w:pPr>
        <w:numPr>
          <w:ilvl w:val="0"/>
          <w:numId w:val="1396"/>
        </w:numPr>
        <w:pStyle w:val="Compact"/>
      </w:pPr>
      <w:r>
        <w:t xml:space="preserve">2019 · Adrian S ·</w:t>
      </w:r>
      <w:r>
        <w:t xml:space="preserve"> </w:t>
      </w:r>
      <w:r>
        <w:rPr>
          <w:iCs/>
          <w:i/>
        </w:rPr>
        <w:t xml:space="preserve">J Frailty Aging</w:t>
      </w:r>
      <w:r>
        <w:t xml:space="preserve"> </w:t>
      </w:r>
      <w:r>
        <w:t xml:space="preserve">· The Growth Hormone Releasing Hormone Analogue, Tesamorelin, Decreases Muscle Fat and Increases Muscle Area in Adults with HIV. PMID 31237318</w:t>
      </w:r>
    </w:p>
    <w:p>
      <w:pPr>
        <w:numPr>
          <w:ilvl w:val="0"/>
          <w:numId w:val="1396"/>
        </w:numPr>
        <w:pStyle w:val="Compact"/>
      </w:pPr>
      <w:r>
        <w:t xml:space="preserve">2017 · Braun LR ·</w:t>
      </w:r>
      <w:r>
        <w:t xml:space="preserve"> </w:t>
      </w:r>
      <w:r>
        <w:rPr>
          <w:iCs/>
          <w:i/>
        </w:rPr>
        <w:t xml:space="preserve">Growth Horm IGF Res</w:t>
      </w:r>
      <w:r>
        <w:t xml:space="preserve"> </w:t>
      </w:r>
      <w:r>
        <w:t xml:space="preserve">· Fibroblast growth factor 21 decreases after liver fat reduction via growth hormone augmentation. PMID 29031905</w:t>
      </w:r>
    </w:p>
    <w:p>
      <w:pPr>
        <w:numPr>
          <w:ilvl w:val="0"/>
          <w:numId w:val="1396"/>
        </w:numPr>
        <w:pStyle w:val="Compact"/>
      </w:pPr>
      <w:r>
        <w:t xml:space="preserve">2017 · Clemmons DR ·</w:t>
      </w:r>
      <w:r>
        <w:t xml:space="preserve"> </w:t>
      </w:r>
      <w:r>
        <w:rPr>
          <w:iCs/>
          <w:i/>
        </w:rPr>
        <w:t xml:space="preserve">PLoS One</w:t>
      </w:r>
      <w:r>
        <w:t xml:space="preserve"> </w:t>
      </w:r>
      <w:r>
        <w:t xml:space="preserve">· Safety and metabolic effects of tesamorelin, a growth hormone-releasing factor analogue, in patients with type 2 diabetes: A randomized, placebo-controlled trial. PMID 28617838</w:t>
      </w:r>
    </w:p>
    <w:p>
      <w:pPr>
        <w:numPr>
          <w:ilvl w:val="0"/>
          <w:numId w:val="1396"/>
        </w:numPr>
        <w:pStyle w:val="Compact"/>
      </w:pPr>
      <w:r>
        <w:t xml:space="preserve">2015 · Mangili A ·</w:t>
      </w:r>
      <w:r>
        <w:t xml:space="preserve"> </w:t>
      </w:r>
      <w:r>
        <w:rPr>
          <w:iCs/>
          <w:i/>
        </w:rPr>
        <w:t xml:space="preserve">PLoS One</w:t>
      </w:r>
      <w:r>
        <w:t xml:space="preserve"> </w:t>
      </w:r>
      <w:r>
        <w:t xml:space="preserve">· Predictors of Treatment Response to Tesamorelin, a Growth Hormone-Releasing Factor Analog, in HIV-Infected Patients with Excess Abdominal Fat. PMID 26457580</w:t>
      </w:r>
    </w:p>
    <w:p>
      <w:pPr>
        <w:numPr>
          <w:ilvl w:val="0"/>
          <w:numId w:val="1396"/>
        </w:numPr>
        <w:pStyle w:val="Compact"/>
      </w:pPr>
      <w:r>
        <w:t xml:space="preserve">2015 · González-Sales M ·</w:t>
      </w:r>
      <w:r>
        <w:t xml:space="preserve"> </w:t>
      </w:r>
      <w:r>
        <w:rPr>
          <w:iCs/>
          <w:i/>
        </w:rPr>
        <w:t xml:space="preserve">J Pharmacokinet Pharmacodyn</w:t>
      </w:r>
      <w:r>
        <w:t xml:space="preserve"> </w:t>
      </w:r>
      <w:r>
        <w:t xml:space="preserve">· Population pharmacokinetic and pharmacodynamic analysis of tesamorelin in HIV-infected patients and healthy subjects. PMID 25895899</w:t>
      </w:r>
    </w:p>
    <w:p>
      <w:pPr>
        <w:numPr>
          <w:ilvl w:val="0"/>
          <w:numId w:val="1396"/>
        </w:numPr>
        <w:pStyle w:val="Compact"/>
      </w:pPr>
      <w:r>
        <w:t xml:space="preserve">2015 · González-Sales M ·</w:t>
      </w:r>
      <w:r>
        <w:t xml:space="preserve"> </w:t>
      </w:r>
      <w:r>
        <w:rPr>
          <w:iCs/>
          <w:i/>
        </w:rPr>
        <w:t xml:space="preserve">Clin Pharmacokinet</w:t>
      </w:r>
      <w:r>
        <w:t xml:space="preserve"> </w:t>
      </w:r>
      <w:r>
        <w:t xml:space="preserve">· Population pharmacokinetic analysis of tesamorelin in HIV-infected patients and healthy subjects. PMID 25358450</w:t>
      </w:r>
    </w:p>
    <w:p>
      <w:pPr>
        <w:numPr>
          <w:ilvl w:val="0"/>
          <w:numId w:val="1396"/>
        </w:numPr>
        <w:pStyle w:val="Compact"/>
      </w:pPr>
      <w:r>
        <w:t xml:space="preserve">2014 · Stanley TL ·</w:t>
      </w:r>
      <w:r>
        <w:t xml:space="preserve"> </w:t>
      </w:r>
      <w:r>
        <w:rPr>
          <w:iCs/>
          <w:i/>
        </w:rPr>
        <w:t xml:space="preserve">JAMA</w:t>
      </w:r>
      <w:r>
        <w:t xml:space="preserve"> </w:t>
      </w:r>
      <w:r>
        <w:t xml:space="preserve">· Effect of tesamorelin on visceral fat and liver fat in HIV-infected patients with abdominal fat accumulation: a randomized clinical trial. PMID 25038357</w:t>
      </w:r>
    </w:p>
    <w:p>
      <w:pPr>
        <w:numPr>
          <w:ilvl w:val="0"/>
          <w:numId w:val="1396"/>
        </w:numPr>
        <w:pStyle w:val="Compact"/>
      </w:pPr>
      <w:r>
        <w:t xml:space="preserve">2014 · Makimura H ·</w:t>
      </w:r>
      <w:r>
        <w:t xml:space="preserve"> </w:t>
      </w:r>
      <w:r>
        <w:rPr>
          <w:iCs/>
          <w:i/>
        </w:rPr>
        <w:t xml:space="preserve">J Clin Endocrinol Metab</w:t>
      </w:r>
      <w:r>
        <w:t xml:space="preserve"> </w:t>
      </w:r>
      <w:r>
        <w:t xml:space="preserve">· The effects of tesamorelin on phosphocreatine recovery in obese subjects with reduced GH. PMID 24178787</w:t>
      </w:r>
    </w:p>
    <w:p>
      <w:pPr>
        <w:numPr>
          <w:ilvl w:val="0"/>
          <w:numId w:val="1396"/>
        </w:numPr>
        <w:pStyle w:val="Compact"/>
      </w:pPr>
      <w:r>
        <w:t xml:space="preserve">2013 · Friedman SD ·</w:t>
      </w:r>
      <w:r>
        <w:t xml:space="preserve"> </w:t>
      </w:r>
      <w:r>
        <w:rPr>
          <w:iCs/>
          <w:i/>
        </w:rPr>
        <w:t xml:space="preserve">JAMA Neurol</w:t>
      </w:r>
      <w:r>
        <w:t xml:space="preserve"> </w:t>
      </w:r>
      <w:r>
        <w:t xml:space="preserve">· Growth hormone-releasing hormone effects on brain γ-aminobutyric acid levels in mild cognitive impairment and healthy aging. PMID 23689947</w:t>
      </w:r>
    </w:p>
    <w:p>
      <w:pPr>
        <w:numPr>
          <w:ilvl w:val="0"/>
          <w:numId w:val="1396"/>
        </w:numPr>
        <w:pStyle w:val="Compact"/>
      </w:pPr>
      <w:r>
        <w:t xml:space="preserve">2012 · Makimura H ·</w:t>
      </w:r>
      <w:r>
        <w:t xml:space="preserve"> </w:t>
      </w:r>
      <w:r>
        <w:rPr>
          <w:iCs/>
          <w:i/>
        </w:rPr>
        <w:t xml:space="preserve">J Clin Endocrinol Metab</w:t>
      </w:r>
      <w:r>
        <w:t xml:space="preserve"> </w:t>
      </w:r>
      <w:r>
        <w:t xml:space="preserve">· Metabolic effects of a growth hormone-releasing factor in obese subjects with reduced growth hormone secretion: a randomized controlled trial. PMID 23015655</w:t>
      </w:r>
    </w:p>
    <w:p>
      <w:pPr>
        <w:numPr>
          <w:ilvl w:val="0"/>
          <w:numId w:val="1396"/>
        </w:numPr>
        <w:pStyle w:val="Compact"/>
      </w:pPr>
      <w:r>
        <w:t xml:space="preserve">2012 · Baker LD ·</w:t>
      </w:r>
      <w:r>
        <w:t xml:space="preserve"> </w:t>
      </w:r>
      <w:r>
        <w:rPr>
          <w:iCs/>
          <w:i/>
        </w:rPr>
        <w:t xml:space="preserve">Arch Neurol</w:t>
      </w:r>
      <w:r>
        <w:t xml:space="preserve"> </w:t>
      </w:r>
      <w:r>
        <w:t xml:space="preserve">· Effects of growth hormone–releasing hormone on cognitive function in adults with mild cognitive impairment and healthy older adults: results of a controlled trial. PMID 22869065</w:t>
      </w:r>
    </w:p>
    <w:p>
      <w:pPr>
        <w:numPr>
          <w:ilvl w:val="0"/>
          <w:numId w:val="1396"/>
        </w:numPr>
        <w:pStyle w:val="Compact"/>
      </w:pPr>
      <w:r>
        <w:t xml:space="preserve">2012 · Stanley TL ·</w:t>
      </w:r>
      <w:r>
        <w:t xml:space="preserve"> </w:t>
      </w:r>
      <w:r>
        <w:rPr>
          <w:iCs/>
          <w:i/>
        </w:rPr>
        <w:t xml:space="preserve">Clin Infect Dis</w:t>
      </w:r>
      <w:r>
        <w:t xml:space="preserve"> </w:t>
      </w:r>
      <w:r>
        <w:t xml:space="preserve">· Reduction in visceral adiposity is associated with an improved metabolic profile in HIV-infected patients receiving tesamorelin. PMID 22495074</w:t>
      </w:r>
    </w:p>
    <w:p>
      <w:pPr>
        <w:numPr>
          <w:ilvl w:val="0"/>
          <w:numId w:val="1396"/>
        </w:numPr>
        <w:pStyle w:val="Compact"/>
      </w:pPr>
      <w:r>
        <w:t xml:space="preserve">2011 · Makimura H ·</w:t>
      </w:r>
      <w:r>
        <w:t xml:space="preserve"> </w:t>
      </w:r>
      <w:r>
        <w:rPr>
          <w:iCs/>
          <w:i/>
        </w:rPr>
        <w:t xml:space="preserve">Growth Horm IGF Res</w:t>
      </w:r>
      <w:r>
        <w:t xml:space="preserve"> </w:t>
      </w:r>
      <w:r>
        <w:t xml:space="preserve">· Relationship of adiponectin to endogenous GH pulse secretion parameters in response to stimulation with a growth hormone releasing factor. PMID 21531600</w:t>
      </w:r>
    </w:p>
    <w:p>
      <w:pPr>
        <w:numPr>
          <w:ilvl w:val="0"/>
          <w:numId w:val="1396"/>
        </w:numPr>
        <w:pStyle w:val="Compact"/>
      </w:pPr>
      <w:r>
        <w:t xml:space="preserve">2011 · Stanley TL ·</w:t>
      </w:r>
      <w:r>
        <w:t xml:space="preserve"> </w:t>
      </w:r>
      <w:r>
        <w:rPr>
          <w:iCs/>
          <w:i/>
        </w:rPr>
        <w:t xml:space="preserve">AIDS</w:t>
      </w:r>
      <w:r>
        <w:t xml:space="preserve"> </w:t>
      </w:r>
      <w:r>
        <w:t xml:space="preserve">· Effects of tesamorelin on inflammatory markers in HIV patients with excess abdominal fat: relationship with visceral adipose reduction. PMID 21516030</w:t>
      </w:r>
    </w:p>
    <w:p>
      <w:pPr>
        <w:numPr>
          <w:ilvl w:val="0"/>
          <w:numId w:val="1396"/>
        </w:numPr>
        <w:pStyle w:val="Compact"/>
      </w:pPr>
      <w:r>
        <w:t xml:space="preserve">2010 · Falutz J ·</w:t>
      </w:r>
      <w:r>
        <w:t xml:space="preserve"> </w:t>
      </w:r>
      <w:r>
        <w:rPr>
          <w:iCs/>
          <w:i/>
        </w:rPr>
        <w:t xml:space="preserve">J Acquir Immune Defic Syndr</w:t>
      </w:r>
      <w:r>
        <w:t xml:space="preserve"> </w:t>
      </w:r>
      <w:r>
        <w:t xml:space="preserve">· Effects of tesamorelin, a growth hormone-releasing factor, in HIV-infected patients with abdominal fat accumulation: a randomized placebo-controlled trial with a safety extension. PMID 20101189</w:t>
      </w:r>
    </w:p>
    <w:p>
      <w:pPr>
        <w:numPr>
          <w:ilvl w:val="0"/>
          <w:numId w:val="1396"/>
        </w:numPr>
        <w:pStyle w:val="Compact"/>
      </w:pPr>
      <w:r>
        <w:t xml:space="preserve">2008 · Falutz J ·</w:t>
      </w:r>
      <w:r>
        <w:t xml:space="preserve"> </w:t>
      </w:r>
      <w:r>
        <w:rPr>
          <w:iCs/>
          <w:i/>
        </w:rPr>
        <w:t xml:space="preserve">AIDS</w:t>
      </w:r>
      <w:r>
        <w:t xml:space="preserve"> </w:t>
      </w:r>
      <w:r>
        <w:t xml:space="preserve">· Long-term safety and effects of tesamorelin, a growth hormone-releasing factor analogue, in HIV patients with abdominal fat accumulation. PMID 18690162</w:t>
      </w:r>
    </w:p>
    <w:p>
      <w:pPr>
        <w:numPr>
          <w:ilvl w:val="0"/>
          <w:numId w:val="1396"/>
        </w:numPr>
        <w:pStyle w:val="Compact"/>
      </w:pPr>
      <w:r>
        <w:t xml:space="preserve">2007 · Falutz J ·</w:t>
      </w:r>
      <w:r>
        <w:t xml:space="preserve"> </w:t>
      </w:r>
      <w:r>
        <w:rPr>
          <w:iCs/>
          <w:i/>
        </w:rPr>
        <w:t xml:space="preserve">N Engl J Med</w:t>
      </w:r>
      <w:r>
        <w:t xml:space="preserve"> </w:t>
      </w:r>
      <w:r>
        <w:t xml:space="preserve">· Metabolic effects of a growth hormone-releasing factor in patients with HIV. PMID 18057338</w:t>
      </w:r>
    </w:p>
    <w:bookmarkEnd w:id="3035"/>
    <w:bookmarkStart w:id="3036" w:name="cjc-1295-2"/>
    <w:p>
      <w:pPr>
        <w:pStyle w:val="Heading2"/>
      </w:pPr>
      <w:r>
        <w:t xml:space="preserve">CJC-1295 (2)</w:t>
      </w:r>
    </w:p>
    <w:p>
      <w:pPr>
        <w:numPr>
          <w:ilvl w:val="0"/>
          <w:numId w:val="1397"/>
        </w:numPr>
        <w:pStyle w:val="Compact"/>
      </w:pPr>
      <w:r>
        <w:t xml:space="preserve">2006 · Ionescu M ·</w:t>
      </w:r>
      <w:r>
        <w:t xml:space="preserve"> </w:t>
      </w:r>
      <w:r>
        <w:rPr>
          <w:iCs/>
          <w:i/>
        </w:rPr>
        <w:t xml:space="preserve">J Clin Endocrinol Metab</w:t>
      </w:r>
      <w:r>
        <w:t xml:space="preserve"> </w:t>
      </w:r>
      <w:r>
        <w:t xml:space="preserve">· Pulsatile secretion of growth hormone (GH) persists during continuous stimulation by CJC-1295, a long-acting GH-releasing hormone analog. PMID 17018654</w:t>
      </w:r>
    </w:p>
    <w:p>
      <w:pPr>
        <w:numPr>
          <w:ilvl w:val="0"/>
          <w:numId w:val="1397"/>
        </w:numPr>
        <w:pStyle w:val="Compact"/>
      </w:pPr>
      <w:r>
        <w:t xml:space="preserve">2006 · Teichman SL ·</w:t>
      </w:r>
      <w:r>
        <w:t xml:space="preserve"> </w:t>
      </w:r>
      <w:r>
        <w:rPr>
          <w:iCs/>
          <w:i/>
        </w:rPr>
        <w:t xml:space="preserve">J Clin Endocrinol Metab</w:t>
      </w:r>
      <w:r>
        <w:t xml:space="preserve"> </w:t>
      </w:r>
      <w:r>
        <w:t xml:space="preserve">· Prolonged stimulation of growth hormone (GH) and insulin-like growth factor I secretion by CJC-1295, a long-acting analog of GH-releasing hormone, in healthy adults. PMID 16352683</w:t>
      </w:r>
    </w:p>
    <w:bookmarkEnd w:id="3036"/>
    <w:bookmarkStart w:id="3037" w:name="ipamorelina-2"/>
    <w:p>
      <w:pPr>
        <w:pStyle w:val="Heading2"/>
      </w:pPr>
      <w:r>
        <w:t xml:space="preserve">Ipamorelina (2)</w:t>
      </w:r>
    </w:p>
    <w:p>
      <w:pPr>
        <w:numPr>
          <w:ilvl w:val="0"/>
          <w:numId w:val="1398"/>
        </w:numPr>
        <w:pStyle w:val="Compact"/>
      </w:pPr>
      <w:r>
        <w:t xml:space="preserve">2014 · Beck DE ·</w:t>
      </w:r>
      <w:r>
        <w:t xml:space="preserve"> </w:t>
      </w:r>
      <w:r>
        <w:rPr>
          <w:iCs/>
          <w:i/>
        </w:rPr>
        <w:t xml:space="preserve">Int J Colorectal Dis</w:t>
      </w:r>
      <w:r>
        <w:t xml:space="preserve"> </w:t>
      </w:r>
      <w:r>
        <w:t xml:space="preserve">· Prospective, randomized, controlled, proof-of-concept study of the Ghrelin mimetic ipamorelin for the management of postoperative ileus in bowel resection patients. PMID 25331030</w:t>
      </w:r>
    </w:p>
    <w:p>
      <w:pPr>
        <w:numPr>
          <w:ilvl w:val="0"/>
          <w:numId w:val="1398"/>
        </w:numPr>
        <w:pStyle w:val="Compact"/>
      </w:pPr>
      <w:r>
        <w:t xml:space="preserve">1999 · Gobburu JV ·</w:t>
      </w:r>
      <w:r>
        <w:t xml:space="preserve"> </w:t>
      </w:r>
      <w:r>
        <w:rPr>
          <w:iCs/>
          <w:i/>
        </w:rPr>
        <w:t xml:space="preserve">Pharm Res</w:t>
      </w:r>
      <w:r>
        <w:t xml:space="preserve"> </w:t>
      </w:r>
      <w:r>
        <w:t xml:space="preserve">· Pharmacokinetic-pharmacodynamic modeling of ipamorelin, a growth hormone releasing peptide, in human volunteers. PMID 10496658</w:t>
      </w:r>
    </w:p>
    <w:bookmarkEnd w:id="3037"/>
    <w:bookmarkStart w:id="3038" w:name="ghrp-2-pralmorelina-55"/>
    <w:p>
      <w:pPr>
        <w:pStyle w:val="Heading2"/>
      </w:pPr>
      <w:r>
        <w:t xml:space="preserve">GHRP-2 (pralmorelina) (55)</w:t>
      </w:r>
    </w:p>
    <w:p>
      <w:pPr>
        <w:numPr>
          <w:ilvl w:val="0"/>
          <w:numId w:val="1399"/>
        </w:numPr>
        <w:pStyle w:val="Compact"/>
      </w:pPr>
      <w:r>
        <w:t xml:space="preserve">2016 · Arimura H ·</w:t>
      </w:r>
      <w:r>
        <w:t xml:space="preserve"> </w:t>
      </w:r>
      <w:r>
        <w:rPr>
          <w:iCs/>
          <w:i/>
        </w:rPr>
        <w:t xml:space="preserve">Endocr J</w:t>
      </w:r>
      <w:r>
        <w:t xml:space="preserve"> </w:t>
      </w:r>
      <w:r>
        <w:t xml:space="preserve">· Investigation of the clinical significance of the growth hormone-releasing peptide-2 test for the diagnosis of secondary adrenal failure. PMID 27020037</w:t>
      </w:r>
    </w:p>
    <w:p>
      <w:pPr>
        <w:numPr>
          <w:ilvl w:val="0"/>
          <w:numId w:val="1399"/>
        </w:numPr>
        <w:pStyle w:val="Compact"/>
      </w:pPr>
      <w:r>
        <w:t xml:space="preserve">2013 · Norman C ·</w:t>
      </w:r>
      <w:r>
        <w:t xml:space="preserve"> </w:t>
      </w:r>
      <w:r>
        <w:rPr>
          <w:iCs/>
          <w:i/>
        </w:rPr>
        <w:t xml:space="preserve">Am J Physiol Regul Integr Comp Physiol</w:t>
      </w:r>
      <w:r>
        <w:t xml:space="preserve"> </w:t>
      </w:r>
      <w:r>
        <w:t xml:space="preserve">· Differential pulsatile secretagogue control of GH secretion in healthy men. PMID 23485864</w:t>
      </w:r>
    </w:p>
    <w:p>
      <w:pPr>
        <w:numPr>
          <w:ilvl w:val="0"/>
          <w:numId w:val="1399"/>
        </w:numPr>
        <w:pStyle w:val="Compact"/>
      </w:pPr>
      <w:r>
        <w:t xml:space="preserve">2011 · Veldhuis JD ·</w:t>
      </w:r>
      <w:r>
        <w:t xml:space="preserve"> </w:t>
      </w:r>
      <w:r>
        <w:rPr>
          <w:iCs/>
          <w:i/>
        </w:rPr>
        <w:t xml:space="preserve">Am J Physiol Regul Integr Comp Physiol</w:t>
      </w:r>
      <w:r>
        <w:t xml:space="preserve"> </w:t>
      </w:r>
      <w:r>
        <w:t xml:space="preserve">· Regulated recovery of pulsatile growth hormone secretion from negative feedback: a preclinical investigation. PMID 21795635</w:t>
      </w:r>
    </w:p>
    <w:p>
      <w:pPr>
        <w:numPr>
          <w:ilvl w:val="0"/>
          <w:numId w:val="1399"/>
        </w:numPr>
        <w:pStyle w:val="Compact"/>
      </w:pPr>
      <w:r>
        <w:t xml:space="preserve">2011 · Veldhuis JD ·</w:t>
      </w:r>
      <w:r>
        <w:t xml:space="preserve"> </w:t>
      </w:r>
      <w:r>
        <w:rPr>
          <w:iCs/>
          <w:i/>
        </w:rPr>
        <w:t xml:space="preserve">J Clin Endocrinol Metab</w:t>
      </w:r>
      <w:r>
        <w:t xml:space="preserve"> </w:t>
      </w:r>
      <w:r>
        <w:t xml:space="preserve">· Gender, sex-steroid, and secretagogue-selective recovery from growth hormone-induced feedback in older women and men. PMID 21613353</w:t>
      </w:r>
    </w:p>
    <w:p>
      <w:pPr>
        <w:numPr>
          <w:ilvl w:val="0"/>
          <w:numId w:val="1399"/>
        </w:numPr>
        <w:pStyle w:val="Compact"/>
      </w:pPr>
      <w:r>
        <w:t xml:space="preserve">2011 · Veldhuis JD ·</w:t>
      </w:r>
      <w:r>
        <w:t xml:space="preserve"> </w:t>
      </w:r>
      <w:r>
        <w:rPr>
          <w:iCs/>
          <w:i/>
        </w:rPr>
        <w:t xml:space="preserve">Am J Physiol Endocrinol Metab</w:t>
      </w:r>
      <w:r>
        <w:t xml:space="preserve"> </w:t>
      </w:r>
      <w:r>
        <w:t xml:space="preserve">· Complex regulation of GH autofeedback under dual-peptide drive: studies under a pharmacological GH and sex steroid clamp. PMID 21467302</w:t>
      </w:r>
    </w:p>
    <w:p>
      <w:pPr>
        <w:numPr>
          <w:ilvl w:val="0"/>
          <w:numId w:val="1399"/>
        </w:numPr>
        <w:pStyle w:val="Compact"/>
      </w:pPr>
      <w:r>
        <w:t xml:space="preserve">2010 · Iranmanesh A ·</w:t>
      </w:r>
      <w:r>
        <w:t xml:space="preserve"> </w:t>
      </w:r>
      <w:r>
        <w:rPr>
          <w:iCs/>
          <w:i/>
        </w:rPr>
        <w:t xml:space="preserve">Eur J Endocrinol</w:t>
      </w:r>
      <w:r>
        <w:t xml:space="preserve"> </w:t>
      </w:r>
      <w:r>
        <w:t xml:space="preserve">· Secretagogue type, sex-steroid milieu, and abdominal visceral adiposity individually determine secretagogue-stimulated cortisol secretion. PMID 20299490</w:t>
      </w:r>
    </w:p>
    <w:p>
      <w:pPr>
        <w:numPr>
          <w:ilvl w:val="0"/>
          <w:numId w:val="1399"/>
        </w:numPr>
        <w:pStyle w:val="Compact"/>
      </w:pPr>
      <w:r>
        <w:t xml:space="preserve">2010 · Hudson SB ·</w:t>
      </w:r>
      <w:r>
        <w:t xml:space="preserve"> </w:t>
      </w:r>
      <w:r>
        <w:rPr>
          <w:iCs/>
          <w:i/>
        </w:rPr>
        <w:t xml:space="preserve">J Clin Endocrinol Metab</w:t>
      </w:r>
      <w:r>
        <w:t xml:space="preserve"> </w:t>
      </w:r>
      <w:r>
        <w:t xml:space="preserve">· Pre- versus postmenopausal age, estradiol, and peptide-secretagogue type determine pulsatile growth hormone secretion in healthy women: studies using submaximal agonist drive and an estrogen clamp. PMID 19858315</w:t>
      </w:r>
    </w:p>
    <w:p>
      <w:pPr>
        <w:numPr>
          <w:ilvl w:val="0"/>
          <w:numId w:val="1399"/>
        </w:numPr>
        <w:pStyle w:val="Compact"/>
      </w:pPr>
      <w:r>
        <w:t xml:space="preserve">2009 · Veldhuis JD ·</w:t>
      </w:r>
      <w:r>
        <w:t xml:space="preserve"> </w:t>
      </w:r>
      <w:r>
        <w:rPr>
          <w:iCs/>
          <w:i/>
        </w:rPr>
        <w:t xml:space="preserve">Am J Physiol Endocrinol Metab</w:t>
      </w:r>
      <w:r>
        <w:t xml:space="preserve"> </w:t>
      </w:r>
      <w:r>
        <w:t xml:space="preserve">· Relative effects of estrogen, age, and visceral fat on pulsatile growth hormone secretion in healthy women. PMID 19470834</w:t>
      </w:r>
    </w:p>
    <w:p>
      <w:pPr>
        <w:numPr>
          <w:ilvl w:val="0"/>
          <w:numId w:val="1399"/>
        </w:numPr>
        <w:pStyle w:val="Compact"/>
      </w:pPr>
      <w:r>
        <w:t xml:space="preserve">2009 · Veldhuis JD ·</w:t>
      </w:r>
      <w:r>
        <w:t xml:space="preserve"> </w:t>
      </w:r>
      <w:r>
        <w:rPr>
          <w:iCs/>
          <w:i/>
        </w:rPr>
        <w:t xml:space="preserve">Eur J Endocrinol</w:t>
      </w:r>
      <w:r>
        <w:t xml:space="preserve"> </w:t>
      </w:r>
      <w:r>
        <w:t xml:space="preserve">· Preservation of GHRH and GH-releasing peptide-2 efficacy in young men with experimentally induced hypogonadism. PMID 19458139</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Factors other than sex steroids modulate GHRH and GHRP-2 efficacies in men: evaluation using a GnRH agonist/testosterone clamp. PMID 19351731</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Novel relationships of age, visceral adiposity, insulin-like growth factor (IGF)-I and IGF binding protein concentrations to growth hormone (GH) releasing-hormone and GH releasing-peptide efficacies in men during experimental hypogonadal clamp. PMID 19351723</w:t>
      </w:r>
    </w:p>
    <w:p>
      <w:pPr>
        <w:numPr>
          <w:ilvl w:val="0"/>
          <w:numId w:val="1399"/>
        </w:numPr>
        <w:pStyle w:val="Compact"/>
      </w:pPr>
      <w:r>
        <w:t xml:space="preserve">2009 · Veldhuis JD ·</w:t>
      </w:r>
      <w:r>
        <w:t xml:space="preserve"> </w:t>
      </w:r>
      <w:r>
        <w:rPr>
          <w:iCs/>
          <w:i/>
        </w:rPr>
        <w:t xml:space="preserve">Am J Physiol Endocrinol Metab</w:t>
      </w:r>
      <w:r>
        <w:t xml:space="preserve"> </w:t>
      </w:r>
      <w:r>
        <w:t xml:space="preserve">· Determinants of GH-releasing hormone and GH-releasing peptide synergy in men. PMID 19240251</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Aromatase and 5alpha-reductase inhibition during an exogenous testosterone clamp unveils selective sex steroid modulation of somatostatin and growth hormone secretagogue actions in healthy older men. PMID 19088159</w:t>
      </w:r>
    </w:p>
    <w:p>
      <w:pPr>
        <w:numPr>
          <w:ilvl w:val="0"/>
          <w:numId w:val="1399"/>
        </w:numPr>
        <w:pStyle w:val="Compact"/>
      </w:pPr>
      <w:r>
        <w:t xml:space="preserve">2008 · Veldhuis JD ·</w:t>
      </w:r>
      <w:r>
        <w:t xml:space="preserve"> </w:t>
      </w:r>
      <w:r>
        <w:rPr>
          <w:iCs/>
          <w:i/>
        </w:rPr>
        <w:t xml:space="preserve">Eur J Endocrinol</w:t>
      </w:r>
      <w:r>
        <w:t xml:space="preserve"> </w:t>
      </w:r>
      <w:r>
        <w:t xml:space="preserve">· Secretagogues govern GH secretory-burst waveform and mass in healthy eugonadal and short-term hypogonadal men. PMID 18703567</w:t>
      </w:r>
    </w:p>
    <w:p>
      <w:pPr>
        <w:numPr>
          <w:ilvl w:val="0"/>
          <w:numId w:val="1399"/>
        </w:numPr>
        <w:pStyle w:val="Compact"/>
      </w:pPr>
      <w:r>
        <w:t xml:space="preserve">2008 · Paulo RC ·</w:t>
      </w:r>
      <w:r>
        <w:t xml:space="preserve"> </w:t>
      </w:r>
      <w:r>
        <w:rPr>
          <w:iCs/>
          <w:i/>
        </w:rPr>
        <w:t xml:space="preserve">J Clin Endocrinol Metab</w:t>
      </w:r>
      <w:r>
        <w:t xml:space="preserve"> </w:t>
      </w:r>
      <w:r>
        <w:t xml:space="preserve">· Gonadal status and body mass index jointly determine growth hormone (GH)-releasing hormone/GH-releasing peptide synergy in healthy men. PMID 18073313</w:t>
      </w:r>
    </w:p>
    <w:p>
      <w:pPr>
        <w:numPr>
          <w:ilvl w:val="0"/>
          <w:numId w:val="1399"/>
        </w:numPr>
        <w:pStyle w:val="Compact"/>
      </w:pPr>
      <w:r>
        <w:t xml:space="preserve">2007 · Veldhuis JD ·</w:t>
      </w:r>
      <w:r>
        <w:t xml:space="preserve"> </w:t>
      </w:r>
      <w:r>
        <w:rPr>
          <w:iCs/>
          <w:i/>
        </w:rPr>
        <w:t xml:space="preserve">Am J Physiol Regul Integr Comp Physiol</w:t>
      </w:r>
      <w:r>
        <w:t xml:space="preserve"> </w:t>
      </w:r>
      <w:r>
        <w:t xml:space="preserve">· Peripheral estrogen receptor-alpha selectively modulates the waveform of GH secretory bursts in healthy women. PMID 17686882</w:t>
      </w:r>
    </w:p>
    <w:p>
      <w:pPr>
        <w:numPr>
          <w:ilvl w:val="0"/>
          <w:numId w:val="1399"/>
        </w:numPr>
        <w:pStyle w:val="Compact"/>
      </w:pPr>
      <w:r>
        <w:t xml:space="preserve">2007 · Chihara K ·</w:t>
      </w:r>
      <w:r>
        <w:t xml:space="preserve"> </w:t>
      </w:r>
      <w:r>
        <w:rPr>
          <w:iCs/>
          <w:i/>
        </w:rPr>
        <w:t xml:space="preserve">Eur J Endocrinol</w:t>
      </w:r>
      <w:r>
        <w:t xml:space="preserve"> </w:t>
      </w:r>
      <w:r>
        <w:t xml:space="preserve">· A simple diagnostic test using GH-releasing peptide-2 in adult GH deficiency. PMID 17609397</w:t>
      </w:r>
    </w:p>
    <w:p>
      <w:pPr>
        <w:numPr>
          <w:ilvl w:val="0"/>
          <w:numId w:val="1399"/>
        </w:numPr>
        <w:pStyle w:val="Compact"/>
      </w:pPr>
      <w:r>
        <w:t xml:space="preserve">2007 · Veldhuis JD ·</w:t>
      </w:r>
      <w:r>
        <w:t xml:space="preserve"> </w:t>
      </w:r>
      <w:r>
        <w:rPr>
          <w:iCs/>
          <w:i/>
        </w:rPr>
        <w:t xml:space="preserve">Am J Physiol Regul Integr Comp Physiol</w:t>
      </w:r>
      <w:r>
        <w:t xml:space="preserve"> </w:t>
      </w:r>
      <w:r>
        <w:t xml:space="preserve">· Estimation of the size and shape of GH secretory bursts in healthy women using a physiological estradiol clamp and variable-waveform deconvolution model. PMID 17537842</w:t>
      </w:r>
    </w:p>
    <w:p>
      <w:pPr>
        <w:numPr>
          <w:ilvl w:val="0"/>
          <w:numId w:val="1399"/>
        </w:numPr>
        <w:pStyle w:val="Compact"/>
      </w:pPr>
      <w:r>
        <w:t xml:space="preserve">2007 · Veldhuis JD ·</w:t>
      </w:r>
      <w:r>
        <w:t xml:space="preserve"> </w:t>
      </w:r>
      <w:r>
        <w:rPr>
          <w:iCs/>
          <w:i/>
        </w:rPr>
        <w:t xml:space="preserve">J Clin Endocrinol Metab</w:t>
      </w:r>
      <w:r>
        <w:t xml:space="preserve"> </w:t>
      </w:r>
      <w:r>
        <w:t xml:space="preserve">· Tripartite control of growth hormone secretion in women during controlled estradiol repletion. PMID 17405836</w:t>
      </w:r>
    </w:p>
    <w:p>
      <w:pPr>
        <w:numPr>
          <w:ilvl w:val="0"/>
          <w:numId w:val="1399"/>
        </w:numPr>
        <w:pStyle w:val="Compact"/>
      </w:pPr>
      <w:r>
        <w:t xml:space="preserve">2006 · Salvatori R ·</w:t>
      </w:r>
      <w:r>
        <w:t xml:space="preserve"> </w:t>
      </w:r>
      <w:r>
        <w:rPr>
          <w:iCs/>
          <w:i/>
        </w:rPr>
        <w:t xml:space="preserve">J Endocrinol Invest</w:t>
      </w:r>
      <w:r>
        <w:t xml:space="preserve"> </w:t>
      </w:r>
      <w:r>
        <w:t xml:space="preserve">· GH response to hypoglycemia and clonidine in the GH-releasing hormone resistance syndrome. PMID 17114911</w:t>
      </w:r>
    </w:p>
    <w:p>
      <w:pPr>
        <w:numPr>
          <w:ilvl w:val="0"/>
          <w:numId w:val="1399"/>
        </w:numPr>
        <w:pStyle w:val="Compact"/>
      </w:pPr>
      <w:r>
        <w:t xml:space="preserve">2006 · Laferrère B ·</w:t>
      </w:r>
      <w:r>
        <w:t xml:space="preserve"> </w:t>
      </w:r>
      <w:r>
        <w:rPr>
          <w:iCs/>
          <w:i/>
        </w:rPr>
        <w:t xml:space="preserve">Obesity (Silver Spring)</w:t>
      </w:r>
      <w:r>
        <w:t xml:space="preserve"> </w:t>
      </w:r>
      <w:r>
        <w:t xml:space="preserve">· Obese subjects respond to the stimulatory effect of the ghrelin agonist growth hormone-releasing peptide-2 on food intake. PMID 16861611</w:t>
      </w:r>
    </w:p>
    <w:p>
      <w:pPr>
        <w:numPr>
          <w:ilvl w:val="0"/>
          <w:numId w:val="1399"/>
        </w:numPr>
        <w:pStyle w:val="Compact"/>
      </w:pPr>
      <w:r>
        <w:t xml:space="preserve">2005 · Veldhuis JD ·</w:t>
      </w:r>
      <w:r>
        <w:t xml:space="preserve"> </w:t>
      </w:r>
      <w:r>
        <w:rPr>
          <w:iCs/>
          <w:i/>
        </w:rPr>
        <w:t xml:space="preserve">Eur J Endocrinol</w:t>
      </w:r>
      <w:r>
        <w:t xml:space="preserve"> </w:t>
      </w:r>
      <w:r>
        <w:t xml:space="preserve">· Testosterone supplementation in healthy older men drives GH and IGF-I secretion without potentiating peptidyl secretagogue efficacy. PMID 16189179</w:t>
      </w:r>
    </w:p>
    <w:p>
      <w:pPr>
        <w:numPr>
          <w:ilvl w:val="0"/>
          <w:numId w:val="1399"/>
        </w:numPr>
        <w:pStyle w:val="Compact"/>
      </w:pPr>
      <w:r>
        <w:t xml:space="preserve">2005 · Soares-Welch C ·</w:t>
      </w:r>
      <w:r>
        <w:t xml:space="preserve"> </w:t>
      </w:r>
      <w:r>
        <w:rPr>
          <w:iCs/>
          <w:i/>
        </w:rPr>
        <w:t xml:space="preserve">Clin Endocrinol (Oxf)</w:t>
      </w:r>
      <w:r>
        <w:t xml:space="preserve"> </w:t>
      </w:r>
      <w:r>
        <w:t xml:space="preserve">· Short-term testosterone supplementation does not activate GH and IGF-I production in postmenopausal women. PMID 15963058</w:t>
      </w:r>
    </w:p>
    <w:p>
      <w:pPr>
        <w:numPr>
          <w:ilvl w:val="0"/>
          <w:numId w:val="1399"/>
        </w:numPr>
        <w:pStyle w:val="Compact"/>
      </w:pPr>
      <w:r>
        <w:t xml:space="preserve">2005 · Veldhuis JD ·</w:t>
      </w:r>
      <w:r>
        <w:t xml:space="preserve"> </w:t>
      </w:r>
      <w:r>
        <w:rPr>
          <w:iCs/>
          <w:i/>
        </w:rPr>
        <w:t xml:space="preserve">J Clin Endocrinol Metab</w:t>
      </w:r>
      <w:r>
        <w:t xml:space="preserve"> </w:t>
      </w:r>
      <w:r>
        <w:t xml:space="preserve">· Joint mechanisms of impaired growth-hormone pulse renewal in aging men. PMID 15811926</w:t>
      </w:r>
    </w:p>
    <w:p>
      <w:pPr>
        <w:numPr>
          <w:ilvl w:val="0"/>
          <w:numId w:val="1399"/>
        </w:numPr>
        <w:pStyle w:val="Compact"/>
      </w:pPr>
      <w:r>
        <w:t xml:space="preserve">2005 · Erickson D ·</w:t>
      </w:r>
      <w:r>
        <w:t xml:space="preserve"> </w:t>
      </w:r>
      <w:r>
        <w:rPr>
          <w:iCs/>
          <w:i/>
        </w:rPr>
        <w:t xml:space="preserve">J Clin Endocrinol Metab</w:t>
      </w:r>
      <w:r>
        <w:t xml:space="preserve"> </w:t>
      </w:r>
      <w:r>
        <w:t xml:space="preserve">· Determinants of dual secretagogue drive of burst-like growth hormone secretion in premenopausal women studied under a selective estradiol clamp. PMID 15613434</w:t>
      </w:r>
    </w:p>
    <w:p>
      <w:pPr>
        <w:numPr>
          <w:ilvl w:val="0"/>
          <w:numId w:val="1399"/>
        </w:numPr>
        <w:pStyle w:val="Compact"/>
      </w:pPr>
      <w:r>
        <w:t xml:space="preserve">2004 · Veldhuis JD ·</w:t>
      </w:r>
      <w:r>
        <w:t xml:space="preserve"> </w:t>
      </w:r>
      <w:r>
        <w:rPr>
          <w:iCs/>
          <w:i/>
        </w:rPr>
        <w:t xml:space="preserve">J Clin Endocrinol Metab</w:t>
      </w:r>
      <w:r>
        <w:t xml:space="preserve"> </w:t>
      </w:r>
      <w:r>
        <w:t xml:space="preserve">· Contributions of gender and systemic estradiol and testosterone concentrations to maximal secretagogue drive of burst-like growth hormone secretion in healthy middle-aged and older adults. PMID 15579792</w:t>
      </w:r>
    </w:p>
    <w:p>
      <w:pPr>
        <w:numPr>
          <w:ilvl w:val="0"/>
          <w:numId w:val="1399"/>
        </w:numPr>
        <w:pStyle w:val="Compact"/>
      </w:pPr>
      <w:r>
        <w:t xml:space="preserve">2004 · Iranmanesh A ·</w:t>
      </w:r>
      <w:r>
        <w:t xml:space="preserve"> </w:t>
      </w:r>
      <w:r>
        <w:rPr>
          <w:iCs/>
          <w:i/>
        </w:rPr>
        <w:t xml:space="preserve">J Clin Endocrinol Metab</w:t>
      </w:r>
      <w:r>
        <w:t xml:space="preserve"> </w:t>
      </w:r>
      <w:r>
        <w:t xml:space="preserve">· Activation of somatostatin-receptor subtype-2/-5 suppresses the mass, frequency, and irregularity of growth hormone (GH)-releasing peptide-2-stimulated GH secretion in men. PMID 15356066</w:t>
      </w:r>
    </w:p>
    <w:p>
      <w:pPr>
        <w:numPr>
          <w:ilvl w:val="0"/>
          <w:numId w:val="1399"/>
        </w:numPr>
        <w:pStyle w:val="Compact"/>
      </w:pPr>
      <w:r>
        <w:t xml:space="preserve">2004 · Veldhuis JD ·</w:t>
      </w:r>
      <w:r>
        <w:t xml:space="preserve"> </w:t>
      </w:r>
      <w:r>
        <w:rPr>
          <w:iCs/>
          <w:i/>
        </w:rPr>
        <w:t xml:space="preserve">J Clin Endocrinol Metab</w:t>
      </w:r>
      <w:r>
        <w:t xml:space="preserve"> </w:t>
      </w:r>
      <w:r>
        <w:t xml:space="preserve">· Short-term testosterone supplementation relieves growth hormone autonegative feedback in men. PMID 15001624</w:t>
      </w:r>
    </w:p>
    <w:p>
      <w:pPr>
        <w:numPr>
          <w:ilvl w:val="0"/>
          <w:numId w:val="1399"/>
        </w:numPr>
        <w:pStyle w:val="Compact"/>
      </w:pPr>
      <w:r>
        <w:t xml:space="preserve">2003 · Mericq V ·</w:t>
      </w:r>
      <w:r>
        <w:t xml:space="preserve"> </w:t>
      </w:r>
      <w:r>
        <w:rPr>
          <w:iCs/>
          <w:i/>
        </w:rPr>
        <w:t xml:space="preserve">J Pediatr Endocrinol Metab</w:t>
      </w:r>
      <w:r>
        <w:t xml:space="preserve"> </w:t>
      </w:r>
      <w:r>
        <w:t xml:space="preserve">· Changes in appetite and body weight in response to long-term oral administration of the ghrelin agonist GHRP-2 in growth hormone deficient children. PMID 14513874</w:t>
      </w:r>
    </w:p>
    <w:p>
      <w:pPr>
        <w:numPr>
          <w:ilvl w:val="0"/>
          <w:numId w:val="1399"/>
        </w:numPr>
        <w:pStyle w:val="Compact"/>
      </w:pPr>
      <w:r>
        <w:t xml:space="preserve">2002 · Van den Berghe G ·</w:t>
      </w:r>
      <w:r>
        <w:t xml:space="preserve"> </w:t>
      </w:r>
      <w:r>
        <w:rPr>
          <w:iCs/>
          <w:i/>
        </w:rPr>
        <w:t xml:space="preserve">Clin Endocrinol (Oxf)</w:t>
      </w:r>
      <w:r>
        <w:t xml:space="preserve"> </w:t>
      </w:r>
      <w:r>
        <w:t xml:space="preserve">· The combined administration of GH-releasing peptide-2 (GHRP-2), TRH and GnRH to men with prolonged critical illness evokes superior endocrine and metabolic effects compared to treatment with GHRP-2 alone. PMID 12030918</w:t>
      </w:r>
    </w:p>
    <w:p>
      <w:pPr>
        <w:numPr>
          <w:ilvl w:val="0"/>
          <w:numId w:val="1399"/>
        </w:numPr>
        <w:pStyle w:val="Compact"/>
      </w:pPr>
      <w:r>
        <w:t xml:space="preserve">2002 · Veldhuis JD ·</w:t>
      </w:r>
      <w:r>
        <w:t xml:space="preserve"> </w:t>
      </w:r>
      <w:r>
        <w:rPr>
          <w:iCs/>
          <w:i/>
        </w:rPr>
        <w:t xml:space="preserve">J Clin Endocrinol Metab</w:t>
      </w:r>
      <w:r>
        <w:t xml:space="preserve"> </w:t>
      </w:r>
      <w:r>
        <w:t xml:space="preserve">· Impact of estradiol supplementation on dual peptidyl drive of GH secretion in postmenopausal women. PMID 11836333</w:t>
      </w:r>
    </w:p>
    <w:p>
      <w:pPr>
        <w:numPr>
          <w:ilvl w:val="0"/>
          <w:numId w:val="1399"/>
        </w:numPr>
        <w:pStyle w:val="Compact"/>
      </w:pPr>
      <w:r>
        <w:t xml:space="preserve">2001 · Anderson SM ·</w:t>
      </w:r>
      <w:r>
        <w:t xml:space="preserve"> </w:t>
      </w:r>
      <w:r>
        <w:rPr>
          <w:iCs/>
          <w:i/>
        </w:rPr>
        <w:t xml:space="preserve">J Clin Endocrinol Metab</w:t>
      </w:r>
      <w:r>
        <w:t xml:space="preserve"> </w:t>
      </w:r>
      <w:r>
        <w:t xml:space="preserve">· E2 supplementation selectively relieves GH’s autonegative feedback on GH-releasing peptide-2-stimulated GH secretion. PMID 11739462</w:t>
      </w:r>
    </w:p>
    <w:p>
      <w:pPr>
        <w:numPr>
          <w:ilvl w:val="0"/>
          <w:numId w:val="1399"/>
        </w:numPr>
        <w:pStyle w:val="Compact"/>
      </w:pPr>
      <w:r>
        <w:t xml:space="preserve">2001 · Bowers CY ·</w:t>
      </w:r>
      <w:r>
        <w:t xml:space="preserve"> </w:t>
      </w:r>
      <w:r>
        <w:rPr>
          <w:iCs/>
          <w:i/>
        </w:rPr>
        <w:t xml:space="preserve">Endocrine</w:t>
      </w:r>
      <w:r>
        <w:t xml:space="preserve"> </w:t>
      </w:r>
      <w:r>
        <w:t xml:space="preserve">· Growth hormone/insulin-like growth factor-1 response to acute and chronic growth hormone-releasing peptide-2, growth hormone-releasing hormone 1-44NH2 and in combination in older men and women with decreased growth hormone secretion. PMID 11322505</w:t>
      </w:r>
    </w:p>
    <w:p>
      <w:pPr>
        <w:numPr>
          <w:ilvl w:val="0"/>
          <w:numId w:val="1399"/>
        </w:numPr>
        <w:pStyle w:val="Compact"/>
      </w:pPr>
      <w:r>
        <w:t xml:space="preserve">2000 · Van Dam PS ·</w:t>
      </w:r>
      <w:r>
        <w:t xml:space="preserve"> </w:t>
      </w:r>
      <w:r>
        <w:rPr>
          <w:iCs/>
          <w:i/>
        </w:rPr>
        <w:t xml:space="preserve">J Clin Endocrinol Metab</w:t>
      </w:r>
      <w:r>
        <w:t xml:space="preserve"> </w:t>
      </w:r>
      <w:r>
        <w:t xml:space="preserve">· Reduction of free fatty acids by acipimox enhances the growth hormone (GH) responses to GH-releasing peptide 2 in elderly men. PMID 11134132</w:t>
      </w:r>
    </w:p>
    <w:p>
      <w:pPr>
        <w:numPr>
          <w:ilvl w:val="0"/>
          <w:numId w:val="1399"/>
        </w:numPr>
        <w:pStyle w:val="Compact"/>
      </w:pPr>
      <w:r>
        <w:t xml:space="preserve">2000 · Wideman L ·</w:t>
      </w:r>
      <w:r>
        <w:t xml:space="preserve"> </w:t>
      </w:r>
      <w:r>
        <w:rPr>
          <w:iCs/>
          <w:i/>
        </w:rPr>
        <w:t xml:space="preserve">Am J Physiol Regul Integr Comp Physiol</w:t>
      </w:r>
      <w:r>
        <w:t xml:space="preserve"> </w:t>
      </w:r>
      <w:r>
        <w:t xml:space="preserve">· Synergy of L-arginine and GHRP-2 stimulation of growth hormone in men and women: modulation by exercise. PMID 11004017</w:t>
      </w:r>
    </w:p>
    <w:p>
      <w:pPr>
        <w:numPr>
          <w:ilvl w:val="0"/>
          <w:numId w:val="1399"/>
        </w:numPr>
        <w:pStyle w:val="Compact"/>
      </w:pPr>
      <w:r>
        <w:t xml:space="preserve">2000 · Shah N ·</w:t>
      </w:r>
      <w:r>
        <w:t xml:space="preserve"> </w:t>
      </w:r>
      <w:r>
        <w:rPr>
          <w:iCs/>
          <w:i/>
        </w:rPr>
        <w:t xml:space="preserve">J Clin Endocrinol Metab</w:t>
      </w:r>
      <w:r>
        <w:t xml:space="preserve"> </w:t>
      </w:r>
      <w:r>
        <w:t xml:space="preserve">· Oral estradiol administration modulates continuous intravenous growth hormone (GH)-releasing peptide-2-driven GH secretion in postmenopausal women. PMID 10946861</w:t>
      </w:r>
    </w:p>
    <w:p>
      <w:pPr>
        <w:numPr>
          <w:ilvl w:val="0"/>
          <w:numId w:val="1399"/>
        </w:numPr>
        <w:pStyle w:val="Compact"/>
      </w:pPr>
      <w:r>
        <w:t xml:space="preserve">2000 · Van den Berghe G ·</w:t>
      </w:r>
      <w:r>
        <w:t xml:space="preserve"> </w:t>
      </w:r>
      <w:r>
        <w:rPr>
          <w:iCs/>
          <w:i/>
        </w:rPr>
        <w:t xml:space="preserve">J Clin Endocrinol Metab</w:t>
      </w:r>
      <w:r>
        <w:t xml:space="preserve"> </w:t>
      </w:r>
      <w:r>
        <w:t xml:space="preserve">· A paradoxical gender dissociation within the growth hormone/insulin-like growth factor I axis during protracted critical illness. PMID 10634385</w:t>
      </w:r>
    </w:p>
    <w:p>
      <w:pPr>
        <w:numPr>
          <w:ilvl w:val="0"/>
          <w:numId w:val="1399"/>
        </w:numPr>
        <w:pStyle w:val="Compact"/>
      </w:pPr>
      <w:r>
        <w:t xml:space="preserve">1999 · Shah N ·</w:t>
      </w:r>
      <w:r>
        <w:t xml:space="preserve"> </w:t>
      </w:r>
      <w:r>
        <w:rPr>
          <w:iCs/>
          <w:i/>
        </w:rPr>
        <w:t xml:space="preserve">J Clin Endocrinol Metab</w:t>
      </w:r>
      <w:r>
        <w:t xml:space="preserve"> </w:t>
      </w:r>
      <w:r>
        <w:t xml:space="preserve">· Tripartite neuroendocrine activation of the human growth hormone (GH) axis in women by continuous 24-hour GH-releasing peptide infusion: pulsatile, entropic, and nyctohemeral mechanisms. PMID 10372723</w:t>
      </w:r>
    </w:p>
    <w:p>
      <w:pPr>
        <w:numPr>
          <w:ilvl w:val="0"/>
          <w:numId w:val="1399"/>
        </w:numPr>
        <w:pStyle w:val="Compact"/>
      </w:pPr>
      <w:r>
        <w:t xml:space="preserve">1999 · Meacham LR ·</w:t>
      </w:r>
      <w:r>
        <w:t xml:space="preserve"> </w:t>
      </w:r>
      <w:r>
        <w:rPr>
          <w:iCs/>
          <w:i/>
        </w:rPr>
        <w:t xml:space="preserve">Metabolism</w:t>
      </w:r>
      <w:r>
        <w:t xml:space="preserve"> </w:t>
      </w:r>
      <w:r>
        <w:t xml:space="preserve">· Preservation of growth hormone secretion in response to growth hormone-releasing peptide-2 during prednisone therapy. PMID 10337858</w:t>
      </w:r>
    </w:p>
    <w:p>
      <w:pPr>
        <w:numPr>
          <w:ilvl w:val="0"/>
          <w:numId w:val="1399"/>
        </w:numPr>
        <w:pStyle w:val="Compact"/>
      </w:pPr>
      <w:r>
        <w:t xml:space="preserve">1999 · Van den Berghe G ·</w:t>
      </w:r>
      <w:r>
        <w:t xml:space="preserve"> </w:t>
      </w:r>
      <w:r>
        <w:rPr>
          <w:iCs/>
          <w:i/>
        </w:rPr>
        <w:t xml:space="preserve">J Clin Endocrinol Metab</w:t>
      </w:r>
      <w:r>
        <w:t xml:space="preserve"> </w:t>
      </w:r>
      <w:r>
        <w:t xml:space="preserve">· Reactivation of pituitary hormone release and metabolic improvement by infusion of growth hormone-releasing peptide and thyrotropin-releasing hormone in patients with protracted critical illness. PMID 10199772</w:t>
      </w:r>
    </w:p>
    <w:p>
      <w:pPr>
        <w:numPr>
          <w:ilvl w:val="0"/>
          <w:numId w:val="1399"/>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399"/>
        </w:numPr>
        <w:pStyle w:val="Compact"/>
      </w:pPr>
      <w:r>
        <w:t xml:space="preserve">1999 · Van den Berghe G ·</w:t>
      </w:r>
      <w:r>
        <w:t xml:space="preserve"> </w:t>
      </w:r>
      <w:r>
        <w:rPr>
          <w:iCs/>
          <w:i/>
        </w:rPr>
        <w:t xml:space="preserve">Eur J Endocrinol</w:t>
      </w:r>
      <w:r>
        <w:t xml:space="preserve"> </w:t>
      </w:r>
      <w:r>
        <w:t xml:space="preserve">· Growth hormone-releasing peptide-2 infusion synchronizes growth hormone, thyrotrophin and prolactin release in prolonged critical illness. PMID 10037246</w:t>
      </w:r>
    </w:p>
    <w:p>
      <w:pPr>
        <w:numPr>
          <w:ilvl w:val="0"/>
          <w:numId w:val="1399"/>
        </w:numPr>
        <w:pStyle w:val="Compact"/>
      </w:pPr>
      <w:r>
        <w:t xml:space="preserve">1998 · Van den Berghe G ·</w:t>
      </w:r>
      <w:r>
        <w:t xml:space="preserve"> </w:t>
      </w:r>
      <w:r>
        <w:rPr>
          <w:iCs/>
          <w:i/>
        </w:rPr>
        <w:t xml:space="preserve">J Clin Endocrinol Metab</w:t>
      </w:r>
      <w:r>
        <w:t xml:space="preserve"> </w:t>
      </w:r>
      <w:r>
        <w:t xml:space="preserve">· Leptin levels in protracted critical illness: effects of growth hormone-secretagogues and thyrotropin-releasing hormone. PMID 9745404</w:t>
      </w:r>
    </w:p>
    <w:p>
      <w:pPr>
        <w:numPr>
          <w:ilvl w:val="0"/>
          <w:numId w:val="1399"/>
        </w:numPr>
        <w:pStyle w:val="Compact"/>
      </w:pPr>
      <w:r>
        <w:t xml:space="preserve">1998 · Mericq V ·</w:t>
      </w:r>
      <w:r>
        <w:t xml:space="preserve"> </w:t>
      </w:r>
      <w:r>
        <w:rPr>
          <w:iCs/>
          <w:i/>
        </w:rPr>
        <w:t xml:space="preserve">J Clin Endocrinol Metab</w:t>
      </w:r>
      <w:r>
        <w:t xml:space="preserve"> </w:t>
      </w:r>
      <w:r>
        <w:t xml:space="preserve">· Effects of eight months treatment with graded doses of a growth hormone (GH)-releasing peptide in GH-deficient children. PMID 9661608</w:t>
      </w:r>
    </w:p>
    <w:p>
      <w:pPr>
        <w:numPr>
          <w:ilvl w:val="0"/>
          <w:numId w:val="1399"/>
        </w:numPr>
        <w:pStyle w:val="Compact"/>
      </w:pPr>
      <w:r>
        <w:t xml:space="preserve">1998 · Moreno-Reyes R ·</w:t>
      </w:r>
      <w:r>
        <w:t xml:space="preserve"> </w:t>
      </w:r>
      <w:r>
        <w:rPr>
          <w:iCs/>
          <w:i/>
        </w:rPr>
        <w:t xml:space="preserve">Am J Physiol</w:t>
      </w:r>
      <w:r>
        <w:t xml:space="preserve"> </w:t>
      </w:r>
      <w:r>
        <w:t xml:space="preserve">· Evidence against a role for the growth hormone-releasing peptide axis in human slow-wave sleep regulation. PMID 9612233</w:t>
      </w:r>
    </w:p>
    <w:p>
      <w:pPr>
        <w:numPr>
          <w:ilvl w:val="0"/>
          <w:numId w:val="1399"/>
        </w:numPr>
        <w:pStyle w:val="Compact"/>
      </w:pPr>
      <w:r>
        <w:t xml:space="preserve">1998 · Pihoker C ·</w:t>
      </w:r>
      <w:r>
        <w:t xml:space="preserve"> </w:t>
      </w:r>
      <w:r>
        <w:rPr>
          <w:iCs/>
          <w:i/>
        </w:rPr>
        <w:t xml:space="preserve">J Clin Endocrinol Metab</w:t>
      </w:r>
      <w:r>
        <w:t xml:space="preserve"> </w:t>
      </w:r>
      <w:r>
        <w:t xml:space="preserve">· Pharmacokinetics and pharmacodynamics of growth hormone-releasing peptide-2: a phase I study in children. PMID 9543135</w:t>
      </w:r>
    </w:p>
    <w:p>
      <w:pPr>
        <w:numPr>
          <w:ilvl w:val="0"/>
          <w:numId w:val="1399"/>
        </w:numPr>
        <w:pStyle w:val="Compact"/>
      </w:pPr>
      <w:r>
        <w:t xml:space="preserve">1998 · Van den Berghe G ·</w:t>
      </w:r>
      <w:r>
        <w:t xml:space="preserve"> </w:t>
      </w:r>
      <w:r>
        <w:rPr>
          <w:iCs/>
          <w:i/>
        </w:rPr>
        <w:t xml:space="preserve">J Clin Endocrinol Metab</w:t>
      </w:r>
      <w:r>
        <w:t xml:space="preserve"> </w:t>
      </w:r>
      <w:r>
        <w:t xml:space="preserve">· Neuroendocrinology of prolonged critical illness: effects of exogenous thyrotropin-releasing hormone and its combination with growth hormone secretagogues. PMID 9467533</w:t>
      </w:r>
    </w:p>
    <w:p>
      <w:pPr>
        <w:numPr>
          <w:ilvl w:val="0"/>
          <w:numId w:val="1399"/>
        </w:numPr>
        <w:pStyle w:val="Compact"/>
      </w:pPr>
      <w:r>
        <w:t xml:space="preserve">1997 · Van den Berghe G ·</w:t>
      </w:r>
      <w:r>
        <w:t xml:space="preserve"> </w:t>
      </w:r>
      <w:r>
        <w:rPr>
          <w:iCs/>
          <w:i/>
        </w:rPr>
        <w:t xml:space="preserve">Clin Endocrinol (Oxf)</w:t>
      </w:r>
      <w:r>
        <w:t xml:space="preserve"> </w:t>
      </w:r>
      <w:r>
        <w:t xml:space="preserve">· Thyrotrophin and prolactin release in prolonged critical illness: dynamics of spontaneous secretion and effects of growth hormone-secretagogues. PMID 9425400</w:t>
      </w:r>
    </w:p>
    <w:p>
      <w:pPr>
        <w:numPr>
          <w:ilvl w:val="0"/>
          <w:numId w:val="1399"/>
        </w:numPr>
        <w:pStyle w:val="Compact"/>
      </w:pPr>
      <w:r>
        <w:t xml:space="preserve">1997 · Pihoker C ·</w:t>
      </w:r>
      <w:r>
        <w:t xml:space="preserve"> </w:t>
      </w:r>
      <w:r>
        <w:rPr>
          <w:iCs/>
          <w:i/>
        </w:rPr>
        <w:t xml:space="preserve">J Endocrinol</w:t>
      </w:r>
      <w:r>
        <w:t xml:space="preserve"> </w:t>
      </w:r>
      <w:r>
        <w:t xml:space="preserve">· Treatment effects of intranasal growth hormone releasing peptide-2 in children with short stature. PMID 9390009</w:t>
      </w:r>
    </w:p>
    <w:p>
      <w:pPr>
        <w:numPr>
          <w:ilvl w:val="0"/>
          <w:numId w:val="1399"/>
        </w:numPr>
        <w:pStyle w:val="Compact"/>
      </w:pPr>
      <w:r>
        <w:t xml:space="preserve">1997 · Van den Berghe G ·</w:t>
      </w:r>
      <w:r>
        <w:t xml:space="preserve"> </w:t>
      </w:r>
      <w:r>
        <w:rPr>
          <w:iCs/>
          <w:i/>
        </w:rPr>
        <w:t xml:space="preserve">J Clin Endocrinol Metab</w:t>
      </w:r>
      <w:r>
        <w:t xml:space="preserve"> </w:t>
      </w:r>
      <w:r>
        <w:t xml:space="preserve">· The somatotropic axis in critical illness: effect of continuous growth hormone (GH)-releasing hormone and GH-releasing peptide-2 infusion. PMID 9024260</w:t>
      </w:r>
    </w:p>
    <w:p>
      <w:pPr>
        <w:numPr>
          <w:ilvl w:val="0"/>
          <w:numId w:val="1399"/>
        </w:numPr>
        <w:pStyle w:val="Compact"/>
      </w:pPr>
      <w:r>
        <w:t xml:space="preserve">1996 · Van den Berghe G ·</w:t>
      </w:r>
      <w:r>
        <w:t xml:space="preserve"> </w:t>
      </w:r>
      <w:r>
        <w:rPr>
          <w:iCs/>
          <w:i/>
        </w:rPr>
        <w:t xml:space="preserve">Clin Endocrinol (Oxf)</w:t>
      </w:r>
      <w:r>
        <w:t xml:space="preserve"> </w:t>
      </w:r>
      <w:r>
        <w:t xml:space="preserve">· Pituitary responsiveness to GH-releasing hormone, GH-releasing peptide-2 and thyrotrophin-releasing hormone in critical illness. PMID 8949573</w:t>
      </w:r>
    </w:p>
    <w:p>
      <w:pPr>
        <w:numPr>
          <w:ilvl w:val="0"/>
          <w:numId w:val="1399"/>
        </w:numPr>
        <w:pStyle w:val="Compact"/>
      </w:pPr>
      <w:r>
        <w:t xml:space="preserve">1996 · Bowers CY ·</w:t>
      </w:r>
      <w:r>
        <w:t xml:space="preserve"> </w:t>
      </w:r>
      <w:r>
        <w:rPr>
          <w:iCs/>
          <w:i/>
        </w:rPr>
        <w:t xml:space="preserve">J Pediatr Endocrinol Metab</w:t>
      </w:r>
      <w:r>
        <w:t xml:space="preserve"> </w:t>
      </w:r>
      <w:r>
        <w:t xml:space="preserve">· GHRP-2, GHRH and SRIF interrelationships during chronic administration of GHRP-2 to humans. PMID 8887169</w:t>
      </w:r>
    </w:p>
    <w:p>
      <w:pPr>
        <w:numPr>
          <w:ilvl w:val="0"/>
          <w:numId w:val="1399"/>
        </w:numPr>
        <w:pStyle w:val="Compact"/>
      </w:pPr>
      <w:r>
        <w:t xml:space="preserve">1995 · Tuilpakov AN ·</w:t>
      </w:r>
      <w:r>
        <w:t xml:space="preserve"> </w:t>
      </w:r>
      <w:r>
        <w:rPr>
          <w:iCs/>
          <w:i/>
        </w:rPr>
        <w:t xml:space="preserve">Metabolism</w:t>
      </w:r>
      <w:r>
        <w:t xml:space="preserve"> </w:t>
      </w:r>
      <w:r>
        <w:t xml:space="preserve">· Growth hormone (GH)-releasing effects of synthetic peptide GH-releasing peptide-2 and GH-releasing hormone (1-29NH2) in children with GH insufficiency and idiopathic short stature. PMID 7666796</w:t>
      </w:r>
    </w:p>
    <w:p>
      <w:pPr>
        <w:numPr>
          <w:ilvl w:val="0"/>
          <w:numId w:val="1399"/>
        </w:numPr>
        <w:pStyle w:val="Compact"/>
      </w:pPr>
      <w:r>
        <w:t xml:space="preserve">1995 · Tiulpakov AN ·</w:t>
      </w:r>
      <w:r>
        <w:t xml:space="preserve"> </w:t>
      </w:r>
      <w:r>
        <w:rPr>
          <w:iCs/>
          <w:i/>
        </w:rPr>
        <w:t xml:space="preserve">Clin Endocrinol (Oxf)</w:t>
      </w:r>
      <w:r>
        <w:t xml:space="preserve"> </w:t>
      </w:r>
      <w:r>
        <w:t xml:space="preserve">· GH responses to intravenous bolus infusions of GH releasing hormone and GH releasing peptide 2 separately and in combination in adult volunteers. PMID 7586605</w:t>
      </w:r>
    </w:p>
    <w:p>
      <w:pPr>
        <w:numPr>
          <w:ilvl w:val="0"/>
          <w:numId w:val="1399"/>
        </w:numPr>
        <w:pStyle w:val="Compact"/>
      </w:pPr>
      <w:r>
        <w:t xml:space="preserve">1995 · Pihoker C ·</w:t>
      </w:r>
      <w:r>
        <w:t xml:space="preserve"> </w:t>
      </w:r>
      <w:r>
        <w:rPr>
          <w:iCs/>
          <w:i/>
        </w:rPr>
        <w:t xml:space="preserve">J Clin Endocrinol Metab</w:t>
      </w:r>
      <w:r>
        <w:t xml:space="preserve"> </w:t>
      </w:r>
      <w:r>
        <w:t xml:space="preserve">· Diagnostic studies with intravenous and intranasal growth hormone-releasing peptide-2 in children of short stature. PMID 7559885</w:t>
      </w:r>
    </w:p>
    <w:bookmarkEnd w:id="3038"/>
    <w:bookmarkStart w:id="3039" w:name="ghrp-6-40"/>
    <w:p>
      <w:pPr>
        <w:pStyle w:val="Heading2"/>
      </w:pPr>
      <w:r>
        <w:t xml:space="preserve">GHRP-6 (40)</w:t>
      </w:r>
    </w:p>
    <w:p>
      <w:pPr>
        <w:numPr>
          <w:ilvl w:val="0"/>
          <w:numId w:val="1400"/>
        </w:numPr>
        <w:pStyle w:val="Compact"/>
      </w:pPr>
      <w:r>
        <w:t xml:space="preserve">2013 · Cabrales A ·</w:t>
      </w:r>
      <w:r>
        <w:t xml:space="preserve"> </w:t>
      </w:r>
      <w:r>
        <w:rPr>
          <w:iCs/>
          <w:i/>
        </w:rPr>
        <w:t xml:space="preserve">Eur J Pharm Sci</w:t>
      </w:r>
      <w:r>
        <w:t xml:space="preserve"> </w:t>
      </w:r>
      <w:r>
        <w:t xml:space="preserve">· Pharmacokinetic study of Growth Hormone-Releasing Peptide 6 (GHRP-6) in nine male healthy volunteers. PMID 23099431</w:t>
      </w:r>
    </w:p>
    <w:p>
      <w:pPr>
        <w:numPr>
          <w:ilvl w:val="0"/>
          <w:numId w:val="1400"/>
        </w:numPr>
        <w:pStyle w:val="Compact"/>
      </w:pPr>
      <w:r>
        <w:t xml:space="preserve">2010 · Molica P ·</w:t>
      </w:r>
      <w:r>
        <w:t xml:space="preserve"> </w:t>
      </w:r>
      <w:r>
        <w:rPr>
          <w:iCs/>
          <w:i/>
        </w:rPr>
        <w:t xml:space="preserve">Pituitary</w:t>
      </w:r>
      <w:r>
        <w:t xml:space="preserve"> </w:t>
      </w:r>
      <w:r>
        <w:t xml:space="preserve">· Effects of ghrelin, GH-releasing peptide-6 (GHRP-6) and GHRH on GH, ACTH and cortisol release in hyperthyroidism before and after treatment. PMID 20602173</w:t>
      </w:r>
    </w:p>
    <w:p>
      <w:pPr>
        <w:numPr>
          <w:ilvl w:val="0"/>
          <w:numId w:val="1400"/>
        </w:numPr>
        <w:pStyle w:val="Compact"/>
      </w:pPr>
      <w:r>
        <w:t xml:space="preserve">2010 · de Sá LB ·</w:t>
      </w:r>
      <w:r>
        <w:t xml:space="preserve"> </w:t>
      </w:r>
      <w:r>
        <w:rPr>
          <w:iCs/>
          <w:i/>
        </w:rPr>
        <w:t xml:space="preserve">Metabolism</w:t>
      </w:r>
      <w:r>
        <w:t xml:space="preserve"> </w:t>
      </w:r>
      <w:r>
        <w:t xml:space="preserve">· Effects of ghrelin, growth hormone-releasing peptide-6, and growth hormone-releasing hormone on growth hormone, adrenocorticotropic hormone, and cortisol release in type 1 diabetes mellitus. PMID 20189610</w:t>
      </w:r>
    </w:p>
    <w:p>
      <w:pPr>
        <w:numPr>
          <w:ilvl w:val="0"/>
          <w:numId w:val="1400"/>
        </w:numPr>
        <w:pStyle w:val="Compact"/>
      </w:pPr>
      <w:r>
        <w:t xml:space="preserve">2010 · Alaioubi B ·</w:t>
      </w:r>
      <w:r>
        <w:t xml:space="preserve"> </w:t>
      </w:r>
      <w:r>
        <w:rPr>
          <w:iCs/>
          <w:i/>
        </w:rPr>
        <w:t xml:space="preserve">Horm Metab Res</w:t>
      </w:r>
      <w:r>
        <w:t xml:space="preserve"> </w:t>
      </w:r>
      <w:r>
        <w:t xml:space="preserve">· Diagnosis of adrenal insufficiency using the GHRP-6 Test: comparison with the insulin tolerance test in patients with hypothalamic-pituitary-adrenal disease. PMID 19946832</w:t>
      </w:r>
    </w:p>
    <w:p>
      <w:pPr>
        <w:numPr>
          <w:ilvl w:val="0"/>
          <w:numId w:val="1400"/>
        </w:numPr>
        <w:pStyle w:val="Compact"/>
      </w:pPr>
      <w:r>
        <w:t xml:space="preserve">2010 · Correa-Silva SR ·</w:t>
      </w:r>
      <w:r>
        <w:t xml:space="preserve"> </w:t>
      </w:r>
      <w:r>
        <w:rPr>
          <w:iCs/>
          <w:i/>
        </w:rPr>
        <w:t xml:space="preserve">Clin Endocrinol (Oxf)</w:t>
      </w:r>
      <w:r>
        <w:t xml:space="preserve"> </w:t>
      </w:r>
      <w:r>
        <w:t xml:space="preserve">· Adrenocorticotrophic hormone (ACTH) responsiveness to ghrelin increases after 6 months of ketoconazole use in patients with Cushing’s disease: comparison with GH-releasing peptide-6 (GHRP-6). PMID 19453623</w:t>
      </w:r>
    </w:p>
    <w:p>
      <w:pPr>
        <w:numPr>
          <w:ilvl w:val="0"/>
          <w:numId w:val="1400"/>
        </w:numPr>
        <w:pStyle w:val="Compact"/>
      </w:pPr>
      <w:r>
        <w:t xml:space="preserve">2009 · Nascif SO ·</w:t>
      </w:r>
      <w:r>
        <w:t xml:space="preserve"> </w:t>
      </w:r>
      <w:r>
        <w:rPr>
          <w:iCs/>
          <w:i/>
        </w:rPr>
        <w:t xml:space="preserve">Pituitary</w:t>
      </w:r>
      <w:r>
        <w:t xml:space="preserve"> </w:t>
      </w:r>
      <w:r>
        <w:t xml:space="preserve">· Ghrelin and GHRP-6-induced ACTH and cortisol release in thyrotoxicosis. PMID 19396632</w:t>
      </w:r>
    </w:p>
    <w:p>
      <w:pPr>
        <w:numPr>
          <w:ilvl w:val="0"/>
          <w:numId w:val="1400"/>
        </w:numPr>
        <w:pStyle w:val="Compact"/>
      </w:pPr>
      <w:r>
        <w:t xml:space="preserve">2008 · Machado MC ·</w:t>
      </w:r>
      <w:r>
        <w:t xml:space="preserve"> </w:t>
      </w:r>
      <w:r>
        <w:rPr>
          <w:iCs/>
          <w:i/>
        </w:rPr>
        <w:t xml:space="preserve">Eur J Endocrinol</w:t>
      </w:r>
      <w:r>
        <w:t xml:space="preserve"> </w:t>
      </w:r>
      <w:r>
        <w:t xml:space="preserve">· Association between tumoral GH-releasing peptide receptor type 1a mRNA expression and in vivo response to GH-releasing peptide-6 in ACTH-dependent Cushing’s syndrome patients. PMID 18426818</w:t>
      </w:r>
    </w:p>
    <w:p>
      <w:pPr>
        <w:numPr>
          <w:ilvl w:val="0"/>
          <w:numId w:val="1400"/>
        </w:numPr>
        <w:pStyle w:val="Compact"/>
      </w:pPr>
      <w:r>
        <w:t xml:space="preserve">2007 · Nascif SO ·</w:t>
      </w:r>
      <w:r>
        <w:t xml:space="preserve"> </w:t>
      </w:r>
      <w:r>
        <w:rPr>
          <w:iCs/>
          <w:i/>
        </w:rPr>
        <w:t xml:space="preserve">Pituitary</w:t>
      </w:r>
      <w:r>
        <w:t xml:space="preserve"> </w:t>
      </w:r>
      <w:r>
        <w:t xml:space="preserve">· Decreased ghrelin-induced GH release in thyrotoxicosis: comparison with GH-releasing peptide-6 (GHRP-6) and GHRH. PMID 17410412</w:t>
      </w:r>
    </w:p>
    <w:p>
      <w:pPr>
        <w:numPr>
          <w:ilvl w:val="0"/>
          <w:numId w:val="1400"/>
        </w:numPr>
        <w:pStyle w:val="Compact"/>
      </w:pPr>
      <w:r>
        <w:t xml:space="preserve">2006 · Correa-Silva SR ·</w:t>
      </w:r>
      <w:r>
        <w:t xml:space="preserve"> </w:t>
      </w:r>
      <w:r>
        <w:rPr>
          <w:iCs/>
          <w:i/>
        </w:rPr>
        <w:t xml:space="preserve">Pituitary</w:t>
      </w:r>
      <w:r>
        <w:t xml:space="preserve"> </w:t>
      </w:r>
      <w:r>
        <w:t xml:space="preserve">· Decreased GH secretion and enhanced ACTH and cortisol release after ghrelin administration in Cushing’s disease: comparison with GH-releasing peptide-6 (GHRP-6) and GHRH. PMID 16832586</w:t>
      </w:r>
    </w:p>
    <w:p>
      <w:pPr>
        <w:numPr>
          <w:ilvl w:val="0"/>
          <w:numId w:val="1400"/>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0"/>
        </w:numPr>
        <w:pStyle w:val="Compact"/>
      </w:pPr>
      <w:r>
        <w:t xml:space="preserve">2004 · Micic D ·</w:t>
      </w:r>
      <w:r>
        <w:t xml:space="preserve"> </w:t>
      </w:r>
      <w:r>
        <w:rPr>
          <w:iCs/>
          <w:i/>
        </w:rPr>
        <w:t xml:space="preserve">Diabetes Res Clin Pract</w:t>
      </w:r>
      <w:r>
        <w:t xml:space="preserve"> </w:t>
      </w:r>
      <w:r>
        <w:t xml:space="preserve">· Growth hormone response to GHRH + GHRP-6 in type 2 diabetes during euglycemic and hyperglycemic clamp. PMID 14693411</w:t>
      </w:r>
    </w:p>
    <w:p>
      <w:pPr>
        <w:numPr>
          <w:ilvl w:val="0"/>
          <w:numId w:val="1400"/>
        </w:numPr>
        <w:pStyle w:val="Compact"/>
      </w:pPr>
      <w:r>
        <w:t xml:space="preserve">2003 · Cordido F ·</w:t>
      </w:r>
      <w:r>
        <w:t xml:space="preserve"> </w:t>
      </w:r>
      <w:r>
        <w:rPr>
          <w:iCs/>
          <w:i/>
        </w:rPr>
        <w:t xml:space="preserve">Eur J Endocrinol</w:t>
      </w:r>
      <w:r>
        <w:t xml:space="preserve"> </w:t>
      </w:r>
      <w:r>
        <w:t xml:space="preserve">· Comparison between insulin tolerance test, growth hormone (GH)-releasing hormone (GHRH), GHRH plus acipimox and GHRH plus GH-releasing peptide-6 for the diagnosis of adult GH deficiency in normal subjects, obese and hypopituitary patients. PMID 12887288</w:t>
      </w:r>
    </w:p>
    <w:p>
      <w:pPr>
        <w:numPr>
          <w:ilvl w:val="0"/>
          <w:numId w:val="1400"/>
        </w:numPr>
        <w:pStyle w:val="Compact"/>
      </w:pPr>
      <w:r>
        <w:t xml:space="preserve">2003 · Micić D ·</w:t>
      </w:r>
      <w:r>
        <w:t xml:space="preserve"> </w:t>
      </w:r>
      <w:r>
        <w:rPr>
          <w:iCs/>
          <w:i/>
        </w:rPr>
        <w:t xml:space="preserve">J Endocrinol Invest</w:t>
      </w:r>
      <w:r>
        <w:t xml:space="preserve"> </w:t>
      </w:r>
      <w:r>
        <w:t xml:space="preserve">· Growth-hormone response to combined stimulation with GHRH plus GH-releasing peptide-6 in obese patients with polycystic ovary syndrome before and after short-term fasting. PMID 12841541</w:t>
      </w:r>
    </w:p>
    <w:p>
      <w:pPr>
        <w:numPr>
          <w:ilvl w:val="0"/>
          <w:numId w:val="1400"/>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0"/>
        </w:numPr>
        <w:pStyle w:val="Compact"/>
      </w:pPr>
      <w:r>
        <w:t xml:space="preserve">2003 · Martins MR ·</w:t>
      </w:r>
      <w:r>
        <w:t xml:space="preserve"> </w:t>
      </w:r>
      <w:r>
        <w:rPr>
          <w:iCs/>
          <w:i/>
        </w:rPr>
        <w:t xml:space="preserve">J Endocrinol Invest</w:t>
      </w:r>
      <w:r>
        <w:t xml:space="preserve"> </w:t>
      </w:r>
      <w:r>
        <w:t xml:space="preserve">· GH-releasing peptide (GHRP-6)-induced ACTH release in patients with addison’s disease: effect of glucocorticoid withdrawal. PMID 12739742</w:t>
      </w:r>
    </w:p>
    <w:p>
      <w:pPr>
        <w:numPr>
          <w:ilvl w:val="0"/>
          <w:numId w:val="1400"/>
        </w:numPr>
        <w:pStyle w:val="Compact"/>
      </w:pPr>
      <w:r>
        <w:t xml:space="preserve">2002 · Bhatti SF ·</w:t>
      </w:r>
      <w:r>
        <w:t xml:space="preserve"> </w:t>
      </w:r>
      <w:r>
        <w:rPr>
          <w:iCs/>
          <w:i/>
        </w:rPr>
        <w:t xml:space="preserve">Mol Cell Endocrinol</w:t>
      </w:r>
      <w:r>
        <w:t xml:space="preserve"> </w:t>
      </w:r>
      <w:r>
        <w:t xml:space="preserve">· Effects of growth hormone-releasing peptides in healthy dogs and in dogs with pituitary-dependent hyperadrenocorticism. PMID 12431802</w:t>
      </w:r>
    </w:p>
    <w:p>
      <w:pPr>
        <w:numPr>
          <w:ilvl w:val="0"/>
          <w:numId w:val="1400"/>
        </w:numPr>
        <w:pStyle w:val="Compact"/>
      </w:pPr>
      <w:r>
        <w:t xml:space="preserve">2002 · Popovic V ·</w:t>
      </w:r>
      <w:r>
        <w:t xml:space="preserve"> </w:t>
      </w:r>
      <w:r>
        <w:rPr>
          <w:iCs/>
          <w:i/>
        </w:rPr>
        <w:t xml:space="preserve">Clin Endocrinol (Oxf)</w:t>
      </w:r>
      <w:r>
        <w:t xml:space="preserve"> </w:t>
      </w:r>
      <w:r>
        <w:t xml:space="preserve">· Physical activity or food intake prior to testing did not affect the reproducibility of GH secretion elicited by GH releasing hormone plus GH-releasing hexapeptide in normal adult subjects. PMID 11849251</w:t>
      </w:r>
    </w:p>
    <w:p>
      <w:pPr>
        <w:numPr>
          <w:ilvl w:val="0"/>
          <w:numId w:val="1400"/>
        </w:numPr>
        <w:pStyle w:val="Compact"/>
      </w:pPr>
      <w:r>
        <w:t xml:space="preserve">2001 · Muller AF ·</w:t>
      </w:r>
      <w:r>
        <w:t xml:space="preserve"> </w:t>
      </w:r>
      <w:r>
        <w:rPr>
          <w:iCs/>
          <w:i/>
        </w:rPr>
        <w:t xml:space="preserve">Clin Endocrinol (Oxf)</w:t>
      </w:r>
      <w:r>
        <w:t xml:space="preserve"> </w:t>
      </w:r>
      <w:r>
        <w:t xml:space="preserve">· Effects of fasting and pegvisomant on the GH-releasing hormone and GH-releasing peptide-6 stimulated growth hormone secretion. PMID 11678828</w:t>
      </w:r>
    </w:p>
    <w:p>
      <w:pPr>
        <w:numPr>
          <w:ilvl w:val="0"/>
          <w:numId w:val="1400"/>
        </w:numPr>
        <w:pStyle w:val="Compact"/>
      </w:pPr>
      <w:r>
        <w:t xml:space="preserve">2000 · Popovic V ·</w:t>
      </w:r>
      <w:r>
        <w:t xml:space="preserve"> </w:t>
      </w:r>
      <w:r>
        <w:rPr>
          <w:iCs/>
          <w:i/>
        </w:rPr>
        <w:t xml:space="preserve">Lancet</w:t>
      </w:r>
      <w:r>
        <w:t xml:space="preserve"> </w:t>
      </w:r>
      <w:r>
        <w:t xml:space="preserve">· GH-releasing hormone and GH-releasing peptide-6 for diagnostic testing in GH-deficient adults. PMID 11030292</w:t>
      </w:r>
    </w:p>
    <w:p>
      <w:pPr>
        <w:numPr>
          <w:ilvl w:val="0"/>
          <w:numId w:val="1400"/>
        </w:numPr>
        <w:pStyle w:val="Compact"/>
      </w:pPr>
      <w:r>
        <w:t xml:space="preserve">2000 · Pinto AC ·</w:t>
      </w:r>
      <w:r>
        <w:t xml:space="preserve"> </w:t>
      </w:r>
      <w:r>
        <w:rPr>
          <w:iCs/>
          <w:i/>
        </w:rPr>
        <w:t xml:space="preserve">J Clin Endocrinol Metab</w:t>
      </w:r>
      <w:r>
        <w:t xml:space="preserve"> </w:t>
      </w:r>
      <w:r>
        <w:t xml:space="preserve">· Effects of short-term glucocorticoid deprivation on growth hormone (GH) response to GH-releasing peptide-6: studies in normal men and in patients with adrenal insufficiency. PMID 10770194</w:t>
      </w:r>
    </w:p>
    <w:p>
      <w:pPr>
        <w:numPr>
          <w:ilvl w:val="0"/>
          <w:numId w:val="1400"/>
        </w:numPr>
        <w:pStyle w:val="Compact"/>
      </w:pPr>
      <w:r>
        <w:t xml:space="preserve">1999 · Pinto AC ·</w:t>
      </w:r>
      <w:r>
        <w:t xml:space="preserve"> </w:t>
      </w:r>
      <w:r>
        <w:rPr>
          <w:iCs/>
          <w:i/>
        </w:rPr>
        <w:t xml:space="preserve">Clin Endocrinol (Oxf)</w:t>
      </w:r>
      <w:r>
        <w:t xml:space="preserve"> </w:t>
      </w:r>
      <w:r>
        <w:t xml:space="preserve">· Acute dexamethasone administration enhances GH responsiveness to GH releasing peptide-6 (GHRP-6) in man. PMID 10583306</w:t>
      </w:r>
    </w:p>
    <w:p>
      <w:pPr>
        <w:numPr>
          <w:ilvl w:val="0"/>
          <w:numId w:val="1400"/>
        </w:numPr>
        <w:pStyle w:val="Compact"/>
      </w:pPr>
      <w:r>
        <w:t xml:space="preserve">1999 · Frieboes RM ·</w:t>
      </w:r>
      <w:r>
        <w:t xml:space="preserve"> </w:t>
      </w:r>
      <w:r>
        <w:rPr>
          <w:iCs/>
          <w:i/>
        </w:rPr>
        <w:t xml:space="preserve">J Neuroendocrinol</w:t>
      </w:r>
      <w:r>
        <w:t xml:space="preserve"> </w:t>
      </w:r>
      <w:r>
        <w:t xml:space="preserve">· Effects of growth hormone-releasing peptide-6 on the nocturnal secretion of GH, ACTH and cortisol and on the sleep EEG in man: role of routes of administration. PMID 10336729</w:t>
      </w:r>
    </w:p>
    <w:p>
      <w:pPr>
        <w:numPr>
          <w:ilvl w:val="0"/>
          <w:numId w:val="1400"/>
        </w:numPr>
        <w:pStyle w:val="Compact"/>
      </w:pPr>
      <w:r>
        <w:t xml:space="preserve">1999 · Micić D ·</w:t>
      </w:r>
      <w:r>
        <w:t xml:space="preserve"> </w:t>
      </w:r>
      <w:r>
        <w:rPr>
          <w:iCs/>
          <w:i/>
        </w:rPr>
        <w:t xml:space="preserve">Metabolism</w:t>
      </w:r>
      <w:r>
        <w:t xml:space="preserve"> </w:t>
      </w:r>
      <w:r>
        <w:t xml:space="preserve">· Growth hormone (GH) response to GH-releasing peptide-6 and GH-releasing hormone in normal-weight and overweight patients with non-insulin-dependent diabetes mellitus. PMID 10206449</w:t>
      </w:r>
    </w:p>
    <w:p>
      <w:pPr>
        <w:numPr>
          <w:ilvl w:val="0"/>
          <w:numId w:val="1400"/>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0"/>
        </w:numPr>
        <w:pStyle w:val="Compact"/>
      </w:pPr>
      <w:r>
        <w:t xml:space="preserve">1998 · Micic D ·</w:t>
      </w:r>
      <w:r>
        <w:t xml:space="preserve"> </w:t>
      </w:r>
      <w:r>
        <w:rPr>
          <w:iCs/>
          <w:i/>
        </w:rPr>
        <w:t xml:space="preserve">J Clin Endocrinol Metab</w:t>
      </w:r>
      <w:r>
        <w:t xml:space="preserve"> </w:t>
      </w:r>
      <w:r>
        <w:t xml:space="preserve">· Preserved growth hormone (GH) secretion in aged and very old subjects after testing with the combined stimulus GH-releasing hormone plus GH-releasing hexapeptide-6. PMID 9661645</w:t>
      </w:r>
    </w:p>
    <w:p>
      <w:pPr>
        <w:numPr>
          <w:ilvl w:val="0"/>
          <w:numId w:val="1400"/>
        </w:numPr>
        <w:pStyle w:val="Compact"/>
      </w:pPr>
      <w:r>
        <w:t xml:space="preserve">1998 · Pandya N ·</w:t>
      </w:r>
      <w:r>
        <w:t xml:space="preserve"> </w:t>
      </w:r>
      <w:r>
        <w:rPr>
          <w:iCs/>
          <w:i/>
        </w:rPr>
        <w:t xml:space="preserve">J Clin Endocrinol Metab</w:t>
      </w:r>
      <w:r>
        <w:t xml:space="preserve"> </w:t>
      </w:r>
      <w:r>
        <w:t xml:space="preserve">· Growth hormone (GH)-releasing peptide-6 requires endogenous hypothalamic GH-releasing hormone for maximal GH stimulation. PMID 9543138</w:t>
      </w:r>
    </w:p>
    <w:p>
      <w:pPr>
        <w:numPr>
          <w:ilvl w:val="0"/>
          <w:numId w:val="1400"/>
        </w:numPr>
        <w:pStyle w:val="Compact"/>
      </w:pPr>
      <w:r>
        <w:t xml:space="preserve">1997 · Borges MH ·</w:t>
      </w:r>
      <w:r>
        <w:t xml:space="preserve"> </w:t>
      </w:r>
      <w:r>
        <w:rPr>
          <w:iCs/>
          <w:i/>
        </w:rPr>
        <w:t xml:space="preserve">Clin Endocrinol (Oxf)</w:t>
      </w:r>
      <w:r>
        <w:t xml:space="preserve"> </w:t>
      </w:r>
      <w:r>
        <w:t xml:space="preserve">· Different effects of growth hormone releasing peptide (GHRP-6) and GH-releasing hormone on GH release in endogenous and exogenous hypercortisolism. PMID 9274702</w:t>
      </w:r>
    </w:p>
    <w:p>
      <w:pPr>
        <w:numPr>
          <w:ilvl w:val="0"/>
          <w:numId w:val="1400"/>
        </w:numPr>
        <w:pStyle w:val="Compact"/>
      </w:pPr>
      <w:r>
        <w:t xml:space="preserve">1997 · Pimentel-Filho FR ·</w:t>
      </w:r>
      <w:r>
        <w:t xml:space="preserve"> </w:t>
      </w:r>
      <w:r>
        <w:rPr>
          <w:iCs/>
          <w:i/>
        </w:rPr>
        <w:t xml:space="preserve">Clin Endocrinol (Oxf)</w:t>
      </w:r>
      <w:r>
        <w:t xml:space="preserve"> </w:t>
      </w:r>
      <w:r>
        <w:t xml:space="preserve">· Growth hormone responses to GH-releasing peptide (GHRP-6) in hypothyroidism. PMID 9156038</w:t>
      </w:r>
    </w:p>
    <w:p>
      <w:pPr>
        <w:numPr>
          <w:ilvl w:val="0"/>
          <w:numId w:val="1400"/>
        </w:numPr>
        <w:pStyle w:val="Compact"/>
      </w:pPr>
      <w:r>
        <w:t xml:space="preserve">1997 · Nooitgedagt A ·</w:t>
      </w:r>
      <w:r>
        <w:t xml:space="preserve"> </w:t>
      </w:r>
      <w:r>
        <w:rPr>
          <w:iCs/>
          <w:i/>
        </w:rPr>
        <w:t xml:space="preserve">Clin Endocrinol (Oxf)</w:t>
      </w:r>
      <w:r>
        <w:t xml:space="preserve"> </w:t>
      </w:r>
      <w:r>
        <w:t xml:space="preserve">· Influence of endogenous cholinergic tone and growth hormone-releasing peptide-6 on exercise induced growth hormone release. PMID 9135702</w:t>
      </w:r>
    </w:p>
    <w:p>
      <w:pPr>
        <w:numPr>
          <w:ilvl w:val="0"/>
          <w:numId w:val="1400"/>
        </w:numPr>
        <w:pStyle w:val="Compact"/>
      </w:pPr>
      <w:r>
        <w:t xml:space="preserve">1996 · Cordido F ·</w:t>
      </w:r>
      <w:r>
        <w:t xml:space="preserve"> </w:t>
      </w:r>
      <w:r>
        <w:rPr>
          <w:iCs/>
          <w:i/>
        </w:rPr>
        <w:t xml:space="preserve">J Clin Endocrinol Metab</w:t>
      </w:r>
      <w:r>
        <w:t xml:space="preserve"> </w:t>
      </w:r>
      <w:r>
        <w:t xml:space="preserve">· Impaired growth hormone secretion in obese subjects is partially reversed by acipimox-mediated plasma free fatty acid depression. PMID 8772550</w:t>
      </w:r>
    </w:p>
    <w:p>
      <w:pPr>
        <w:numPr>
          <w:ilvl w:val="0"/>
          <w:numId w:val="1400"/>
        </w:numPr>
        <w:pStyle w:val="Compact"/>
      </w:pPr>
      <w:r>
        <w:t xml:space="preserve">1996 · Peino R ·</w:t>
      </w:r>
      <w:r>
        <w:t xml:space="preserve"> </w:t>
      </w:r>
      <w:r>
        <w:rPr>
          <w:iCs/>
          <w:i/>
        </w:rPr>
        <w:t xml:space="preserve">J Clin Endocrinol Metab</w:t>
      </w:r>
      <w:r>
        <w:t xml:space="preserve"> </w:t>
      </w:r>
      <w:r>
        <w:t xml:space="preserve">· Acipimox-mediated plasma free fatty acid depression per se stimulates growth hormone (GH) secretion in normal subjects and potentiates the response to other GH-releasing stimuli. PMID 8772549</w:t>
      </w:r>
    </w:p>
    <w:p>
      <w:pPr>
        <w:numPr>
          <w:ilvl w:val="0"/>
          <w:numId w:val="1400"/>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0"/>
        </w:numPr>
        <w:pStyle w:val="Compact"/>
      </w:pPr>
      <w:r>
        <w:t xml:space="preserve">1995 · Leal-Cerro A ·</w:t>
      </w:r>
      <w:r>
        <w:t xml:space="preserve"> </w:t>
      </w:r>
      <w:r>
        <w:rPr>
          <w:iCs/>
          <w:i/>
        </w:rPr>
        <w:t xml:space="preserve">Eur J Endocrinol</w:t>
      </w:r>
      <w:r>
        <w:t xml:space="preserve"> </w:t>
      </w:r>
      <w:r>
        <w:t xml:space="preserve">· Growth hormone (GH) responses to the combined administration of GH-releasing hormone plus GH-releasing peptide 6 in adults with GH deficiency. PMID 7788011</w:t>
      </w:r>
    </w:p>
    <w:p>
      <w:pPr>
        <w:numPr>
          <w:ilvl w:val="0"/>
          <w:numId w:val="1400"/>
        </w:numPr>
        <w:pStyle w:val="Compact"/>
      </w:pPr>
      <w:r>
        <w:t xml:space="preserve">1995 · Micic D ·</w:t>
      </w:r>
      <w:r>
        <w:t xml:space="preserve"> </w:t>
      </w:r>
      <w:r>
        <w:rPr>
          <w:iCs/>
          <w:i/>
        </w:rPr>
        <w:t xml:space="preserve">Clin Endocrinol (Oxf)</w:t>
      </w:r>
      <w:r>
        <w:t xml:space="preserve"> </w:t>
      </w:r>
      <w:r>
        <w:t xml:space="preserve">· Growth hormone secretion after the administration of GHRP-6 or GHRH combined with GHRP-6 does not decline in late adulthood. PMID 7734029</w:t>
      </w:r>
    </w:p>
    <w:p>
      <w:pPr>
        <w:numPr>
          <w:ilvl w:val="0"/>
          <w:numId w:val="1400"/>
        </w:numPr>
        <w:pStyle w:val="Compact"/>
      </w:pPr>
      <w:r>
        <w:t xml:space="preserve">1995 · Frieboes RM ·</w:t>
      </w:r>
      <w:r>
        <w:t xml:space="preserve"> </w:t>
      </w:r>
      <w:r>
        <w:rPr>
          <w:iCs/>
          <w:i/>
        </w:rPr>
        <w:t xml:space="preserve">Neuroendocrinology</w:t>
      </w:r>
      <w:r>
        <w:t xml:space="preserve"> </w:t>
      </w:r>
      <w:r>
        <w:t xml:space="preserve">· Growth hormone-releasing peptide-6 stimulates sleep, growth hormone, ACTH and cortisol release in normal man. PMID 7617137</w:t>
      </w:r>
    </w:p>
    <w:p>
      <w:pPr>
        <w:numPr>
          <w:ilvl w:val="0"/>
          <w:numId w:val="1400"/>
        </w:numPr>
        <w:pStyle w:val="Compact"/>
      </w:pPr>
      <w:r>
        <w:t xml:space="preserve">1995 · Pombo M ·</w:t>
      </w:r>
      <w:r>
        <w:t xml:space="preserve"> </w:t>
      </w:r>
      <w:r>
        <w:rPr>
          <w:iCs/>
          <w:i/>
        </w:rPr>
        <w:t xml:space="preserve">J Clin Endocrinol Metab</w:t>
      </w:r>
      <w:r>
        <w:t xml:space="preserve"> </w:t>
      </w:r>
      <w:r>
        <w:t xml:space="preserve">· Absence of growth hormone (GH) secretion after the administration of either GH-releasing hormone (GHRH), GH-releasing peptide (GHRP-6), or GHRH plus GHRP-6 in children with neonatal pituitary stalk transection. PMID 7593423</w:t>
      </w:r>
    </w:p>
    <w:p>
      <w:pPr>
        <w:numPr>
          <w:ilvl w:val="0"/>
          <w:numId w:val="1400"/>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0"/>
        </w:numPr>
        <w:pStyle w:val="Compact"/>
      </w:pPr>
      <w:r>
        <w:t xml:space="preserve">1995 · Bellone J ·</w:t>
      </w:r>
      <w:r>
        <w:t xml:space="preserve"> </w:t>
      </w:r>
      <w:r>
        <w:rPr>
          <w:iCs/>
          <w:i/>
        </w:rPr>
        <w:t xml:space="preserve">Eur J Endocrinol</w:t>
      </w:r>
      <w:r>
        <w:t xml:space="preserve"> </w:t>
      </w:r>
      <w:r>
        <w:t xml:space="preserve">· Growth hormone-releasing effect of oral growth hormone-releasing peptide 6 (GHRP-6) administration in children with short stature. PMID 7581965</w:t>
      </w:r>
    </w:p>
    <w:p>
      <w:pPr>
        <w:numPr>
          <w:ilvl w:val="0"/>
          <w:numId w:val="1400"/>
        </w:numPr>
        <w:pStyle w:val="Compact"/>
      </w:pPr>
      <w:r>
        <w:t xml:space="preserve">1994 · Ghigo E ·</w:t>
      </w:r>
      <w:r>
        <w:t xml:space="preserve"> </w:t>
      </w:r>
      <w:r>
        <w:rPr>
          <w:iCs/>
          <w:i/>
        </w:rPr>
        <w:t xml:space="preserve">J Endocrinol Invest</w:t>
      </w:r>
      <w:r>
        <w:t xml:space="preserve"> </w:t>
      </w:r>
      <w:r>
        <w:t xml:space="preserve">· Arginine enhances the growth hormone-releasing activity of a synthetic hexapeptide (GHRP-6) in elderly but not in young subjects after oral administration. PMID 8051337</w:t>
      </w:r>
    </w:p>
    <w:p>
      <w:pPr>
        <w:numPr>
          <w:ilvl w:val="0"/>
          <w:numId w:val="1400"/>
        </w:numPr>
        <w:pStyle w:val="Compact"/>
      </w:pPr>
      <w:r>
        <w:t xml:space="preserve">1994 · Ghigo E ·</w:t>
      </w:r>
      <w:r>
        <w:t xml:space="preserve"> </w:t>
      </w:r>
      <w:r>
        <w:rPr>
          <w:iCs/>
          <w:i/>
        </w:rPr>
        <w:t xml:space="preserve">Eur J Endocrinol</w:t>
      </w:r>
      <w:r>
        <w:t xml:space="preserve"> </w:t>
      </w:r>
      <w:r>
        <w:t xml:space="preserve">· Growth hormone-releasing activity of growth hormone-releasing peptide-6 is maintained after short-term oral pretreatment with the hexapeptide in normal aging. PMID 7952160</w:t>
      </w:r>
    </w:p>
    <w:bookmarkEnd w:id="3039"/>
    <w:bookmarkStart w:id="3040" w:name="hexarelina-58"/>
    <w:p>
      <w:pPr>
        <w:pStyle w:val="Heading2"/>
      </w:pPr>
      <w:r>
        <w:t xml:space="preserve">Hexarelina (58)</w:t>
      </w:r>
    </w:p>
    <w:p>
      <w:pPr>
        <w:numPr>
          <w:ilvl w:val="0"/>
          <w:numId w:val="1401"/>
        </w:numPr>
        <w:pStyle w:val="Compact"/>
      </w:pPr>
      <w:r>
        <w:t xml:space="preserve">2004 · Janssen JA ·</w:t>
      </w:r>
      <w:r>
        <w:t xml:space="preserve"> </w:t>
      </w:r>
      <w:r>
        <w:rPr>
          <w:iCs/>
          <w:i/>
        </w:rPr>
        <w:t xml:space="preserve">J Endocrinol Invest</w:t>
      </w:r>
      <w:r>
        <w:t xml:space="preserve"> </w:t>
      </w:r>
      <w:r>
        <w:t xml:space="preserve">· There are no acute cardiac effects of a single iv dose of human ghrelin in severe growth hormone deficient patients. PMID 15505990</w:t>
      </w:r>
    </w:p>
    <w:p>
      <w:pPr>
        <w:numPr>
          <w:ilvl w:val="0"/>
          <w:numId w:val="1401"/>
        </w:numPr>
        <w:pStyle w:val="Compact"/>
      </w:pPr>
      <w:r>
        <w:t xml:space="preserve">2004 · de Vries WR ·</w:t>
      </w:r>
      <w:r>
        <w:t xml:space="preserve"> </w:t>
      </w:r>
      <w:r>
        <w:rPr>
          <w:iCs/>
          <w:i/>
        </w:rPr>
        <w:t xml:space="preserve">Horm Metab Res</w:t>
      </w:r>
      <w:r>
        <w:t xml:space="preserve"> </w:t>
      </w:r>
      <w:r>
        <w:t xml:space="preserve">· Age-related differences in growth hormone (GH) regulation during strenuous exercise. PMID 15305235</w:t>
      </w:r>
    </w:p>
    <w:p>
      <w:pPr>
        <w:numPr>
          <w:ilvl w:val="0"/>
          <w:numId w:val="1401"/>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1"/>
        </w:numPr>
        <w:pStyle w:val="Compact"/>
      </w:pPr>
      <w:r>
        <w:t xml:space="preserve">2003 · Benso A ·</w:t>
      </w:r>
      <w:r>
        <w:t xml:space="preserve"> </w:t>
      </w:r>
      <w:r>
        <w:rPr>
          <w:iCs/>
          <w:i/>
        </w:rPr>
        <w:t xml:space="preserve">J Endocrinol Invest</w:t>
      </w:r>
      <w:r>
        <w:t xml:space="preserve"> </w:t>
      </w:r>
      <w:r>
        <w:t xml:space="preserve">· Effects of cortistatin-14 and somatostatin-14 on the endocrine response to hexarelin in humans. PMID 14594107</w:t>
      </w:r>
    </w:p>
    <w:p>
      <w:pPr>
        <w:numPr>
          <w:ilvl w:val="0"/>
          <w:numId w:val="1401"/>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1"/>
        </w:numPr>
        <w:pStyle w:val="Compact"/>
      </w:pPr>
      <w:r>
        <w:t xml:space="preserve">2002 · Broglio F ·</w:t>
      </w:r>
      <w:r>
        <w:t xml:space="preserve"> </w:t>
      </w:r>
      <w:r>
        <w:rPr>
          <w:iCs/>
          <w:i/>
        </w:rPr>
        <w:t xml:space="preserve">Clin Endocrinol (Oxf)</w:t>
      </w:r>
      <w:r>
        <w:t xml:space="preserve"> </w:t>
      </w:r>
      <w:r>
        <w:t xml:space="preserve">· Effects of glucose, free fatty acids or arginine load on the GH-releasing activity of ghrelin in humans. PMID 12153607</w:t>
      </w:r>
    </w:p>
    <w:p>
      <w:pPr>
        <w:numPr>
          <w:ilvl w:val="0"/>
          <w:numId w:val="1401"/>
        </w:numPr>
        <w:pStyle w:val="Compact"/>
      </w:pPr>
      <w:r>
        <w:t xml:space="preserve">2002 · Broglio F ·</w:t>
      </w:r>
      <w:r>
        <w:t xml:space="preserve"> </w:t>
      </w:r>
      <w:r>
        <w:rPr>
          <w:iCs/>
          <w:i/>
        </w:rPr>
        <w:t xml:space="preserve">Eur J Pharmacol</w:t>
      </w:r>
      <w:r>
        <w:t xml:space="preserve"> </w:t>
      </w:r>
      <w:r>
        <w:t xml:space="preserve">· Effects of acute hexarelin administration on cardiac performance in patients with coronary artery disease during by-pass surgery. PMID 12144941</w:t>
      </w:r>
    </w:p>
    <w:p>
      <w:pPr>
        <w:numPr>
          <w:ilvl w:val="0"/>
          <w:numId w:val="1401"/>
        </w:numPr>
        <w:pStyle w:val="Compact"/>
      </w:pPr>
      <w:r>
        <w:t xml:space="preserve">2002 · Maccario M ·</w:t>
      </w:r>
      <w:r>
        <w:t xml:space="preserve"> </w:t>
      </w:r>
      <w:r>
        <w:rPr>
          <w:iCs/>
          <w:i/>
        </w:rPr>
        <w:t xml:space="preserve">Eur J Endocrinol</w:t>
      </w:r>
      <w:r>
        <w:t xml:space="preserve"> </w:t>
      </w:r>
      <w:r>
        <w:t xml:space="preserve">· Impact of two or three daily subcutaneous injections of hexarelin, a synthetic growth hormone (GH) secretagogue, on 24-h GH, prolactin, adrenocorticotropin and cortisol secretion in humans. PMID 11888836</w:t>
      </w:r>
    </w:p>
    <w:p>
      <w:pPr>
        <w:numPr>
          <w:ilvl w:val="0"/>
          <w:numId w:val="1401"/>
        </w:numPr>
        <w:pStyle w:val="Compact"/>
      </w:pPr>
      <w:r>
        <w:t xml:space="preserve">2001 · Broglio F ·</w:t>
      </w:r>
      <w:r>
        <w:t xml:space="preserve"> </w:t>
      </w:r>
      <w:r>
        <w:rPr>
          <w:iCs/>
          <w:i/>
        </w:rPr>
        <w:t xml:space="preserve">J Clin Endocrinol Metab</w:t>
      </w:r>
      <w:r>
        <w:t xml:space="preserve"> </w:t>
      </w:r>
      <w:r>
        <w:t xml:space="preserve">· Ghrelin, a natural GH secretagogue produced by the stomach, induces hyperglycemia and reduces insulin secretion in humans. PMID 11600590</w:t>
      </w:r>
    </w:p>
    <w:p>
      <w:pPr>
        <w:numPr>
          <w:ilvl w:val="0"/>
          <w:numId w:val="1401"/>
        </w:numPr>
        <w:pStyle w:val="Compact"/>
      </w:pPr>
      <w:r>
        <w:t xml:space="preserve">2001 · Broglio F ·</w:t>
      </w:r>
      <w:r>
        <w:t xml:space="preserve"> </w:t>
      </w:r>
      <w:r>
        <w:rPr>
          <w:iCs/>
          <w:i/>
        </w:rPr>
        <w:t xml:space="preserve">Endocrine</w:t>
      </w:r>
      <w:r>
        <w:t xml:space="preserve"> </w:t>
      </w:r>
      <w:r>
        <w:t xml:space="preserve">· Growth hormone-independent cardiotropic activities of growth hormone-releasing peptides in normal subjects, in patients with growth hormone deficiency, and in patients with idiopathic or ischemic dilated cardiomyopathy. PMID 11322491</w:t>
      </w:r>
    </w:p>
    <w:p>
      <w:pPr>
        <w:numPr>
          <w:ilvl w:val="0"/>
          <w:numId w:val="1401"/>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1"/>
        </w:numPr>
        <w:pStyle w:val="Compact"/>
      </w:pPr>
      <w:r>
        <w:t xml:space="preserve">2001 · Arvat E ·</w:t>
      </w:r>
      <w:r>
        <w:t xml:space="preserve"> </w:t>
      </w:r>
      <w:r>
        <w:rPr>
          <w:iCs/>
          <w:i/>
        </w:rPr>
        <w:t xml:space="preserve">J Clin Endocrinol Metab</w:t>
      </w:r>
      <w:r>
        <w:t xml:space="preserve"> </w:t>
      </w:r>
      <w:r>
        <w:t xml:space="preserve">· Endocrine activities of ghrelin, a natural growth hormone secretagogue (GHS), in humans: comparison and interactions with hexarelin, a nonnatural peptidyl GHS, and GH-releasing hormone. PMID 11238504</w:t>
      </w:r>
    </w:p>
    <w:p>
      <w:pPr>
        <w:numPr>
          <w:ilvl w:val="0"/>
          <w:numId w:val="1401"/>
        </w:numPr>
        <w:pStyle w:val="Compact"/>
      </w:pPr>
      <w:r>
        <w:t xml:space="preserve">2000 · Arvat E ·</w:t>
      </w:r>
      <w:r>
        <w:t xml:space="preserve"> </w:t>
      </w:r>
      <w:r>
        <w:rPr>
          <w:iCs/>
          <w:i/>
        </w:rPr>
        <w:t xml:space="preserve">Eur J Endocrinol</w:t>
      </w:r>
      <w:r>
        <w:t xml:space="preserve"> </w:t>
      </w:r>
      <w:r>
        <w:t xml:space="preserve">· Interaction between glucagon and hexarelin, a peptidyl GH secretagogue, on somatotroph and corticotroph secretion in humans. PMID 11078983</w:t>
      </w:r>
    </w:p>
    <w:p>
      <w:pPr>
        <w:numPr>
          <w:ilvl w:val="0"/>
          <w:numId w:val="1401"/>
        </w:numPr>
        <w:pStyle w:val="Compact"/>
      </w:pPr>
      <w:r>
        <w:t xml:space="preserve">2000 · Broglio F ·</w:t>
      </w:r>
      <w:r>
        <w:t xml:space="preserve"> </w:t>
      </w:r>
      <w:r>
        <w:rPr>
          <w:iCs/>
          <w:i/>
        </w:rPr>
        <w:t xml:space="preserve">Eur J Endocrinol</w:t>
      </w:r>
      <w:r>
        <w:t xml:space="preserve"> </w:t>
      </w:r>
      <w:r>
        <w:t xml:space="preserve">· Endocrine activities of alexamorelin (Ala-His-d-2-methyl-Trp-Ala-Trp-d-Phe-Lys-NH2), a synthetic GH secretagogue, in humans. PMID 11022186</w:t>
      </w:r>
    </w:p>
    <w:p>
      <w:pPr>
        <w:numPr>
          <w:ilvl w:val="0"/>
          <w:numId w:val="1401"/>
        </w:numPr>
        <w:pStyle w:val="Compact"/>
      </w:pPr>
      <w:r>
        <w:t xml:space="preserve">2000 · Coiro V ·</w:t>
      </w:r>
      <w:r>
        <w:t xml:space="preserve"> </w:t>
      </w:r>
      <w:r>
        <w:rPr>
          <w:iCs/>
          <w:i/>
        </w:rPr>
        <w:t xml:space="preserve">J Intern Med</w:t>
      </w:r>
      <w:r>
        <w:t xml:space="preserve"> </w:t>
      </w:r>
      <w:r>
        <w:t xml:space="preserve">· Desmopressin and hexarelin tests in alcohol-induced pseudo-Cushing’s syndrome. PMID 10886488</w:t>
      </w:r>
    </w:p>
    <w:p>
      <w:pPr>
        <w:numPr>
          <w:ilvl w:val="0"/>
          <w:numId w:val="1401"/>
        </w:numPr>
        <w:pStyle w:val="Compact"/>
      </w:pPr>
      <w:r>
        <w:t xml:space="preserve">2000 · De Marinis L ·</w:t>
      </w:r>
      <w:r>
        <w:t xml:space="preserve"> </w:t>
      </w:r>
      <w:r>
        <w:rPr>
          <w:iCs/>
          <w:i/>
        </w:rPr>
        <w:t xml:space="preserve">Horm Metab Res</w:t>
      </w:r>
      <w:r>
        <w:t xml:space="preserve"> </w:t>
      </w:r>
      <w:r>
        <w:t xml:space="preserve">· Role of food intake in the modulation of hexarelin-induced growth hormone release in normal human subjects. PMID 10824712</w:t>
      </w:r>
    </w:p>
    <w:p>
      <w:pPr>
        <w:numPr>
          <w:ilvl w:val="0"/>
          <w:numId w:val="1401"/>
        </w:numPr>
        <w:pStyle w:val="Compact"/>
      </w:pPr>
      <w:r>
        <w:t xml:space="preserve">2000 · Bellone J ·</w:t>
      </w:r>
      <w:r>
        <w:t xml:space="preserve"> </w:t>
      </w:r>
      <w:r>
        <w:rPr>
          <w:iCs/>
          <w:i/>
        </w:rPr>
        <w:t xml:space="preserve">J Endocrinol Invest</w:t>
      </w:r>
      <w:r>
        <w:t xml:space="preserve"> </w:t>
      </w:r>
      <w:r>
        <w:t xml:space="preserve">· The negative GH auto-feedback in childhood: effects of rhGH and/or GHRH on the somatotroph response to GHRH or hexarelin, a peptidyl GH secretagogue, in children. PMID 10803472</w:t>
      </w:r>
    </w:p>
    <w:p>
      <w:pPr>
        <w:numPr>
          <w:ilvl w:val="0"/>
          <w:numId w:val="1401"/>
        </w:numPr>
        <w:pStyle w:val="Compact"/>
      </w:pPr>
      <w:r>
        <w:t xml:space="preserve">1999 · Ghigo E ·</w:t>
      </w:r>
      <w:r>
        <w:t xml:space="preserve"> </w:t>
      </w:r>
      <w:r>
        <w:rPr>
          <w:iCs/>
          <w:i/>
        </w:rPr>
        <w:t xml:space="preserve">J Clin Endocrinol Metab</w:t>
      </w:r>
      <w:r>
        <w:t xml:space="preserve"> </w:t>
      </w:r>
      <w:r>
        <w:t xml:space="preserve">· Effects of recombinant human insulin-like growth factor I administration on growth hormone (GH) secretion, both spontaneous and stimulated by GH-releasing hormone or hexarelin, a peptidyl GH secretagogue, in humans. PMID 9920097</w:t>
      </w:r>
    </w:p>
    <w:p>
      <w:pPr>
        <w:numPr>
          <w:ilvl w:val="0"/>
          <w:numId w:val="1401"/>
        </w:numPr>
        <w:pStyle w:val="Compact"/>
      </w:pPr>
      <w:r>
        <w:t xml:space="preserve">1999 · Grottoli S ·</w:t>
      </w:r>
      <w:r>
        <w:t xml:space="preserve"> </w:t>
      </w:r>
      <w:r>
        <w:rPr>
          <w:iCs/>
          <w:i/>
        </w:rPr>
        <w:t xml:space="preserve">Pituitary</w:t>
      </w:r>
      <w:r>
        <w:t xml:space="preserve"> </w:t>
      </w:r>
      <w:r>
        <w:t xml:space="preserve">· Effects of alprazolam, a benzodiazepine, on the ACTH-, GH- and PRL-releasing activity of hexarelin, a synthetic peptidyl GH secretagogue (GHS), in patients with simple obesity and in patients with Cushing’s disease. PMID 11081154</w:t>
      </w:r>
    </w:p>
    <w:p>
      <w:pPr>
        <w:numPr>
          <w:ilvl w:val="0"/>
          <w:numId w:val="1401"/>
        </w:numPr>
        <w:pStyle w:val="Compact"/>
      </w:pPr>
      <w:r>
        <w:t xml:space="preserve">1999 · Bisi G ·</w:t>
      </w:r>
      <w:r>
        <w:t xml:space="preserve"> </w:t>
      </w:r>
      <w:r>
        <w:rPr>
          <w:iCs/>
          <w:i/>
        </w:rPr>
        <w:t xml:space="preserve">Eur J Pharmacol</w:t>
      </w:r>
      <w:r>
        <w:t xml:space="preserve"> </w:t>
      </w:r>
      <w:r>
        <w:t xml:space="preserve">· Cardiac effects of hexarelin in hypopituitary adults. PMID 10528131</w:t>
      </w:r>
    </w:p>
    <w:p>
      <w:pPr>
        <w:numPr>
          <w:ilvl w:val="0"/>
          <w:numId w:val="1401"/>
        </w:numPr>
        <w:pStyle w:val="Compact"/>
      </w:pPr>
      <w:r>
        <w:t xml:space="preserve">1999 · Arvat E ·</w:t>
      </w:r>
      <w:r>
        <w:t xml:space="preserve"> </w:t>
      </w:r>
      <w:r>
        <w:rPr>
          <w:iCs/>
          <w:i/>
        </w:rPr>
        <w:t xml:space="preserve">Neuroendocrinology</w:t>
      </w:r>
      <w:r>
        <w:t xml:space="preserve"> </w:t>
      </w:r>
      <w:r>
        <w:t xml:space="preserve">· Corticotropin-releasing effect of hexarelin, a peptidyl GH secretagogue, in normal subjects pretreated with metyrapone or RU-486, a glucocorticoid receptor antagonist, and in patients with Addison’s disease. PMID 10516483</w:t>
      </w:r>
    </w:p>
    <w:p>
      <w:pPr>
        <w:numPr>
          <w:ilvl w:val="0"/>
          <w:numId w:val="1401"/>
        </w:numPr>
        <w:pStyle w:val="Compact"/>
      </w:pPr>
      <w:r>
        <w:t xml:space="preserve">1999 · Korbonits M ·</w:t>
      </w:r>
      <w:r>
        <w:t xml:space="preserve"> </w:t>
      </w:r>
      <w:r>
        <w:rPr>
          <w:iCs/>
          <w:i/>
        </w:rPr>
        <w:t xml:space="preserve">J Clin Endocrinol Metab</w:t>
      </w:r>
      <w:r>
        <w:t xml:space="preserve"> </w:t>
      </w:r>
      <w:r>
        <w:t xml:space="preserve">· The growth hormone secretagogue hexarelin stimulates the hypothalamo-pituitary-adrenal axis via arginine vasopressin. PMID 10404825</w:t>
      </w:r>
    </w:p>
    <w:p>
      <w:pPr>
        <w:numPr>
          <w:ilvl w:val="0"/>
          <w:numId w:val="1401"/>
        </w:numPr>
        <w:pStyle w:val="Compact"/>
      </w:pPr>
      <w:r>
        <w:t xml:space="preserve">1999 · Bisi G ·</w:t>
      </w:r>
      <w:r>
        <w:t xml:space="preserve"> </w:t>
      </w:r>
      <w:r>
        <w:rPr>
          <w:iCs/>
          <w:i/>
        </w:rPr>
        <w:t xml:space="preserve">J Endocrinol Invest</w:t>
      </w:r>
      <w:r>
        <w:t xml:space="preserve"> </w:t>
      </w:r>
      <w:r>
        <w:t xml:space="preserve">· Acute cardiovascular and hormonal effects of GH and hexarelin, a synthetic GH-releasing peptide, in humans. PMID 10342360</w:t>
      </w:r>
    </w:p>
    <w:p>
      <w:pPr>
        <w:numPr>
          <w:ilvl w:val="0"/>
          <w:numId w:val="1401"/>
        </w:numPr>
        <w:pStyle w:val="Compact"/>
      </w:pPr>
      <w:r>
        <w:t xml:space="preserve">1999 · Rahim A ·</w:t>
      </w:r>
      <w:r>
        <w:t xml:space="preserve"> </w:t>
      </w:r>
      <w:r>
        <w:rPr>
          <w:iCs/>
          <w:i/>
        </w:rPr>
        <w:t xml:space="preserve">Clin Endocrinol (Oxf)</w:t>
      </w:r>
      <w:r>
        <w:t xml:space="preserve"> </w:t>
      </w:r>
      <w:r>
        <w:t xml:space="preserve">· The effect of chronic hexarelin administration on the pituitary-adrenal axis and prolactin. PMID 10341859</w:t>
      </w:r>
    </w:p>
    <w:p>
      <w:pPr>
        <w:numPr>
          <w:ilvl w:val="0"/>
          <w:numId w:val="1401"/>
        </w:numPr>
        <w:pStyle w:val="Compact"/>
      </w:pPr>
      <w:r>
        <w:t xml:space="preserve">1999 · Jenkins RC ·</w:t>
      </w:r>
      <w:r>
        <w:t xml:space="preserve"> </w:t>
      </w:r>
      <w:r>
        <w:rPr>
          <w:iCs/>
          <w:i/>
        </w:rPr>
        <w:t xml:space="preserve">J Clin Endocrinol Metab</w:t>
      </w:r>
      <w:r>
        <w:t xml:space="preserve"> </w:t>
      </w:r>
      <w:r>
        <w:t xml:space="preserve">· The effects of dose, nutrition, and age on hexarelin-induced anterior pituitary hormone secretion in adult patients on maintenance hemodialysis. PMID 10199757</w:t>
      </w:r>
    </w:p>
    <w:p>
      <w:pPr>
        <w:numPr>
          <w:ilvl w:val="0"/>
          <w:numId w:val="1401"/>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1"/>
        </w:numPr>
        <w:pStyle w:val="Compact"/>
      </w:pPr>
      <w:r>
        <w:t xml:space="preserve">1998 · Arvat E ·</w:t>
      </w:r>
      <w:r>
        <w:t xml:space="preserve"> </w:t>
      </w:r>
      <w:r>
        <w:rPr>
          <w:iCs/>
          <w:i/>
        </w:rPr>
        <w:t xml:space="preserve">J Clin Endocrinol Metab</w:t>
      </w:r>
      <w:r>
        <w:t xml:space="preserve"> </w:t>
      </w:r>
      <w:r>
        <w:t xml:space="preserve">· Adrenocorticotropin and cortisol hyperresponsiveness to hexarelin in patients with Cushing’s disease bearing a pituitary microadenoma, but not in those with macroadenoma. PMID 9851753</w:t>
      </w:r>
    </w:p>
    <w:p>
      <w:pPr>
        <w:numPr>
          <w:ilvl w:val="0"/>
          <w:numId w:val="1401"/>
        </w:numPr>
        <w:pStyle w:val="Compact"/>
      </w:pPr>
      <w:r>
        <w:t xml:space="preserve">1998 · Maghnie M ·</w:t>
      </w:r>
      <w:r>
        <w:t xml:space="preserve"> </w:t>
      </w:r>
      <w:r>
        <w:rPr>
          <w:iCs/>
          <w:i/>
        </w:rPr>
        <w:t xml:space="preserve">J Clin Endocrinol Metab</w:t>
      </w:r>
      <w:r>
        <w:t xml:space="preserve"> </w:t>
      </w:r>
      <w:r>
        <w:t xml:space="preserve">· The growth hormone response to hexarelin in patients with different hypothalamic-pituitary abnormalities. PMID 9814463</w:t>
      </w:r>
    </w:p>
    <w:p>
      <w:pPr>
        <w:numPr>
          <w:ilvl w:val="0"/>
          <w:numId w:val="1401"/>
        </w:numPr>
        <w:pStyle w:val="Compact"/>
      </w:pPr>
      <w:r>
        <w:t xml:space="preserve">1998 · Arvat E ·</w:t>
      </w:r>
      <w:r>
        <w:t xml:space="preserve"> </w:t>
      </w:r>
      <w:r>
        <w:rPr>
          <w:iCs/>
          <w:i/>
        </w:rPr>
        <w:t xml:space="preserve">Neuroendocrinology</w:t>
      </w:r>
      <w:r>
        <w:t xml:space="preserve"> </w:t>
      </w:r>
      <w:r>
        <w:t xml:space="preserve">· Effects of dexamethasone and alprazolam, a benzodiazepine, on the stimulatory effect of hexarelin, a synthetic GHRP, on ACTH, cortisol and GH secretion in humans. PMID 9641612</w:t>
      </w:r>
    </w:p>
    <w:p>
      <w:pPr>
        <w:numPr>
          <w:ilvl w:val="0"/>
          <w:numId w:val="1401"/>
        </w:numPr>
        <w:pStyle w:val="Compact"/>
      </w:pPr>
      <w:r>
        <w:t xml:space="preserve">1998 · Arosio M ·</w:t>
      </w:r>
      <w:r>
        <w:t xml:space="preserve"> </w:t>
      </w:r>
      <w:r>
        <w:rPr>
          <w:iCs/>
          <w:i/>
        </w:rPr>
        <w:t xml:space="preserve">J Endocrinol Invest</w:t>
      </w:r>
      <w:r>
        <w:t xml:space="preserve"> </w:t>
      </w:r>
      <w:r>
        <w:t xml:space="preserve">· Lack of effect of hexarelin on TRH-induced TSH response in normal adult man. PMID 9624598</w:t>
      </w:r>
    </w:p>
    <w:p>
      <w:pPr>
        <w:numPr>
          <w:ilvl w:val="0"/>
          <w:numId w:val="1401"/>
        </w:numPr>
        <w:pStyle w:val="Compact"/>
      </w:pPr>
      <w:r>
        <w:t xml:space="preserve">1998 · Rahim A ·</w:t>
      </w:r>
      <w:r>
        <w:t xml:space="preserve"> </w:t>
      </w:r>
      <w:r>
        <w:rPr>
          <w:iCs/>
          <w:i/>
        </w:rPr>
        <w:t xml:space="preserve">J Clin Endocrinol Metab</w:t>
      </w:r>
      <w:r>
        <w:t xml:space="preserve"> </w:t>
      </w:r>
      <w:r>
        <w:t xml:space="preserve">· Growth hormone status during long-term hexarelin therapy. PMID 9589671</w:t>
      </w:r>
    </w:p>
    <w:p>
      <w:pPr>
        <w:numPr>
          <w:ilvl w:val="0"/>
          <w:numId w:val="1401"/>
        </w:numPr>
        <w:pStyle w:val="Compact"/>
      </w:pPr>
      <w:r>
        <w:t xml:space="preserve">1998 · Rahim A ·</w:t>
      </w:r>
      <w:r>
        <w:t xml:space="preserve"> </w:t>
      </w:r>
      <w:r>
        <w:rPr>
          <w:iCs/>
          <w:i/>
        </w:rPr>
        <w:t xml:space="preserve">Growth Horm IGF Res</w:t>
      </w:r>
      <w:r>
        <w:t xml:space="preserve"> </w:t>
      </w:r>
      <w:r>
        <w:t xml:space="preserve">· Does desensitization to hexarelin occur?. PMID 10990150</w:t>
      </w:r>
    </w:p>
    <w:p>
      <w:pPr>
        <w:numPr>
          <w:ilvl w:val="0"/>
          <w:numId w:val="1401"/>
        </w:numPr>
        <w:pStyle w:val="Compact"/>
      </w:pPr>
      <w:r>
        <w:t xml:space="preserve">1998 · Guzzaloni G ·</w:t>
      </w:r>
      <w:r>
        <w:t xml:space="preserve"> </w:t>
      </w:r>
      <w:r>
        <w:rPr>
          <w:iCs/>
          <w:i/>
        </w:rPr>
        <w:t xml:space="preserve">Minerva Endocrinol</w:t>
      </w:r>
      <w:r>
        <w:t xml:space="preserve"> </w:t>
      </w:r>
      <w:r>
        <w:t xml:space="preserve">· Growth hormone response to hexarelin, growth hormone-releasing hormone plus pyridostigmine and arginine plus estrogen in prepubertal and early pubertal short children. PMID 10361807</w:t>
      </w:r>
    </w:p>
    <w:p>
      <w:pPr>
        <w:numPr>
          <w:ilvl w:val="0"/>
          <w:numId w:val="1401"/>
        </w:numPr>
        <w:pStyle w:val="Compact"/>
      </w:pPr>
      <w:r>
        <w:t xml:space="preserve">1997 · Arvat E ·</w:t>
      </w:r>
      <w:r>
        <w:t xml:space="preserve"> </w:t>
      </w:r>
      <w:r>
        <w:rPr>
          <w:iCs/>
          <w:i/>
        </w:rPr>
        <w:t xml:space="preserve">Neuroendocrinology</w:t>
      </w:r>
      <w:r>
        <w:t xml:space="preserve"> </w:t>
      </w:r>
      <w:r>
        <w:t xml:space="preserve">· Hexarelin, a synthetic growth-hormone releasing peptide, shows no interaction with corticotropin-releasing hormone and vasopressin on adrenocorticotropin and cortisol secretion in humans. PMID 9430449</w:t>
      </w:r>
    </w:p>
    <w:p>
      <w:pPr>
        <w:numPr>
          <w:ilvl w:val="0"/>
          <w:numId w:val="1401"/>
        </w:numPr>
        <w:pStyle w:val="Compact"/>
      </w:pPr>
      <w:r>
        <w:t xml:space="preserve">1997 · Massoud AF ·</w:t>
      </w:r>
      <w:r>
        <w:t xml:space="preserve"> </w:t>
      </w:r>
      <w:r>
        <w:rPr>
          <w:iCs/>
          <w:i/>
        </w:rPr>
        <w:t xml:space="preserve">Clin Endocrinol (Oxf)</w:t>
      </w:r>
      <w:r>
        <w:t xml:space="preserve"> </w:t>
      </w:r>
      <w:r>
        <w:t xml:space="preserve">· Interaction of the growth hormone releasing peptide hexarelin with somatostatin. PMID 9425393</w:t>
      </w:r>
    </w:p>
    <w:p>
      <w:pPr>
        <w:numPr>
          <w:ilvl w:val="0"/>
          <w:numId w:val="1401"/>
        </w:numPr>
        <w:pStyle w:val="Compact"/>
      </w:pPr>
      <w:r>
        <w:t xml:space="preserve">1997 · Arvat E ·</w:t>
      </w:r>
      <w:r>
        <w:t xml:space="preserve"> </w:t>
      </w:r>
      <w:r>
        <w:rPr>
          <w:iCs/>
          <w:i/>
        </w:rPr>
        <w:t xml:space="preserve">Clin Endocrinol (Oxf)</w:t>
      </w:r>
      <w:r>
        <w:t xml:space="preserve"> </w:t>
      </w:r>
      <w:r>
        <w:t xml:space="preserve">· Low hexarelin dose and pyridostigmine have additive effect and potentiate to the same extent the GHRH-induced GH response in man. PMID 9404449</w:t>
      </w:r>
    </w:p>
    <w:p>
      <w:pPr>
        <w:numPr>
          <w:ilvl w:val="0"/>
          <w:numId w:val="1401"/>
        </w:numPr>
        <w:pStyle w:val="Compact"/>
      </w:pPr>
      <w:r>
        <w:t xml:space="preserve">1997 · Tolis G ·</w:t>
      </w:r>
      <w:r>
        <w:t xml:space="preserve"> </w:t>
      </w:r>
      <w:r>
        <w:rPr>
          <w:iCs/>
          <w:i/>
        </w:rPr>
        <w:t xml:space="preserve">J Pediatr Endocrinol Metab</w:t>
      </w:r>
      <w:r>
        <w:t xml:space="preserve"> </w:t>
      </w:r>
      <w:r>
        <w:t xml:space="preserve">· Growth hormone release by the novel GH releasing peptide hexarelin in patients with homozygous beta-thalassemia. PMID 9364340</w:t>
      </w:r>
    </w:p>
    <w:p>
      <w:pPr>
        <w:numPr>
          <w:ilvl w:val="0"/>
          <w:numId w:val="1401"/>
        </w:numPr>
        <w:pStyle w:val="Compact"/>
      </w:pPr>
      <w:r>
        <w:t xml:space="preserve">1997 · Giusti M ·</w:t>
      </w:r>
      <w:r>
        <w:t xml:space="preserve"> </w:t>
      </w:r>
      <w:r>
        <w:rPr>
          <w:iCs/>
          <w:i/>
        </w:rPr>
        <w:t xml:space="preserve">J Endocrinol Invest</w:t>
      </w:r>
      <w:r>
        <w:t xml:space="preserve"> </w:t>
      </w:r>
      <w:r>
        <w:t xml:space="preserve">· Hexarelin is a stronger GH-releasing peptide than GHRH in normal cycling women but not in anorexia nervosa. PMID 9258804</w:t>
      </w:r>
    </w:p>
    <w:p>
      <w:pPr>
        <w:numPr>
          <w:ilvl w:val="0"/>
          <w:numId w:val="1401"/>
        </w:numPr>
        <w:pStyle w:val="Compact"/>
      </w:pPr>
      <w:r>
        <w:t xml:space="preserve">1997 · Sartorio A ·</w:t>
      </w:r>
      <w:r>
        <w:t xml:space="preserve"> </w:t>
      </w:r>
      <w:r>
        <w:rPr>
          <w:iCs/>
          <w:i/>
        </w:rPr>
        <w:t xml:space="preserve">Clin Endocrinol (Oxf)</w:t>
      </w:r>
      <w:r>
        <w:t xml:space="preserve"> </w:t>
      </w:r>
      <w:r>
        <w:t xml:space="preserve">· Non-parametric deconvolution provides an objective assessment of GH responsiveness to GH-releasing stimuli in normal subjects. PMID 9196598</w:t>
      </w:r>
    </w:p>
    <w:p>
      <w:pPr>
        <w:numPr>
          <w:ilvl w:val="0"/>
          <w:numId w:val="1401"/>
        </w:numPr>
        <w:pStyle w:val="Compact"/>
      </w:pPr>
      <w:r>
        <w:t xml:space="preserve">1997 · Arvat E ·</w:t>
      </w:r>
      <w:r>
        <w:t xml:space="preserve"> </w:t>
      </w:r>
      <w:r>
        <w:rPr>
          <w:iCs/>
          <w:i/>
        </w:rPr>
        <w:t xml:space="preserve">Eur J Endocrinol</w:t>
      </w:r>
      <w:r>
        <w:t xml:space="preserve"> </w:t>
      </w:r>
      <w:r>
        <w:t xml:space="preserve">· Oestrogen replacement does not restore the reduced GH-releasing activity of Hexarelin, a synthetic hexapeptide, in post-menopausal women. PMID 9186268</w:t>
      </w:r>
    </w:p>
    <w:p>
      <w:pPr>
        <w:numPr>
          <w:ilvl w:val="0"/>
          <w:numId w:val="1401"/>
        </w:numPr>
        <w:pStyle w:val="Compact"/>
      </w:pPr>
      <w:r>
        <w:t xml:space="preserve">1997 · Loche S ·</w:t>
      </w:r>
      <w:r>
        <w:t xml:space="preserve"> </w:t>
      </w:r>
      <w:r>
        <w:rPr>
          <w:iCs/>
          <w:i/>
        </w:rPr>
        <w:t xml:space="preserve">Clin Endocrinol (Oxf)</w:t>
      </w:r>
      <w:r>
        <w:t xml:space="preserve"> </w:t>
      </w:r>
      <w:r>
        <w:t xml:space="preserve">· Acute administration of hexarelin stimulates GH secretion during day and night in normal men. PMID 9156035</w:t>
      </w:r>
    </w:p>
    <w:p>
      <w:pPr>
        <w:numPr>
          <w:ilvl w:val="0"/>
          <w:numId w:val="1401"/>
        </w:numPr>
        <w:pStyle w:val="Compact"/>
      </w:pPr>
      <w:r>
        <w:t xml:space="preserve">1997 · Arvat E ·</w:t>
      </w:r>
      <w:r>
        <w:t xml:space="preserve"> </w:t>
      </w:r>
      <w:r>
        <w:rPr>
          <w:iCs/>
          <w:i/>
        </w:rPr>
        <w:t xml:space="preserve">Metabolism</w:t>
      </w:r>
      <w:r>
        <w:t xml:space="preserve"> </w:t>
      </w:r>
      <w:r>
        <w:t xml:space="preserve">· Mechanisms underlying the negative growth hormone (GH) autofeedback on the GH-releasing effect of hexarelin in man. PMID 9005975</w:t>
      </w:r>
    </w:p>
    <w:p>
      <w:pPr>
        <w:numPr>
          <w:ilvl w:val="0"/>
          <w:numId w:val="1401"/>
        </w:numPr>
        <w:pStyle w:val="Compact"/>
      </w:pPr>
      <w:r>
        <w:t xml:space="preserve">1996 · Micic D ·</w:t>
      </w:r>
      <w:r>
        <w:t xml:space="preserve"> </w:t>
      </w:r>
      <w:r>
        <w:rPr>
          <w:iCs/>
          <w:i/>
        </w:rPr>
        <w:t xml:space="preserve">Clin Endocrinol (Oxf)</w:t>
      </w:r>
      <w:r>
        <w:t xml:space="preserve"> </w:t>
      </w:r>
      <w:r>
        <w:t xml:space="preserve">· The sequential administration of growth hormone-releasing hormone followed 120 minutes later by hexarelin, as an effective test to assess the pituitary GH reserve in man. PMID 8977750</w:t>
      </w:r>
    </w:p>
    <w:p>
      <w:pPr>
        <w:numPr>
          <w:ilvl w:val="0"/>
          <w:numId w:val="1401"/>
        </w:numPr>
        <w:pStyle w:val="Compact"/>
      </w:pPr>
      <w:r>
        <w:t xml:space="preserve">1996 · Massoud AF ·</w:t>
      </w:r>
      <w:r>
        <w:t xml:space="preserve"> </w:t>
      </w:r>
      <w:r>
        <w:rPr>
          <w:iCs/>
          <w:i/>
        </w:rPr>
        <w:t xml:space="preserve">J Clin Endocrinol Metab</w:t>
      </w:r>
      <w:r>
        <w:t xml:space="preserve"> </w:t>
      </w:r>
      <w:r>
        <w:t xml:space="preserve">· Hexarelin-induced growth hormone, cortisol, and prolactin release: a dose-response study. PMID 8954038</w:t>
      </w:r>
    </w:p>
    <w:p>
      <w:pPr>
        <w:numPr>
          <w:ilvl w:val="0"/>
          <w:numId w:val="1401"/>
        </w:numPr>
        <w:pStyle w:val="Compact"/>
      </w:pPr>
      <w:r>
        <w:t xml:space="preserve">1996 · Ghigo E ·</w:t>
      </w:r>
      <w:r>
        <w:t xml:space="preserve"> </w:t>
      </w:r>
      <w:r>
        <w:rPr>
          <w:iCs/>
          <w:i/>
        </w:rPr>
        <w:t xml:space="preserve">Eur J Endocrinol</w:t>
      </w:r>
      <w:r>
        <w:t xml:space="preserve"> </w:t>
      </w:r>
      <w:r>
        <w:t xml:space="preserve">· Short-term administration of intranasal or oral Hexarelin, a synthetic hexapeptide, does not desensitize the growth hormone responsiveness in human aging. PMID 8921821</w:t>
      </w:r>
    </w:p>
    <w:p>
      <w:pPr>
        <w:numPr>
          <w:ilvl w:val="0"/>
          <w:numId w:val="1401"/>
        </w:numPr>
        <w:pStyle w:val="Compact"/>
      </w:pPr>
      <w:r>
        <w:t xml:space="preserve">1996 · Arvat E ·</w:t>
      </w:r>
      <w:r>
        <w:t xml:space="preserve"> </w:t>
      </w:r>
      <w:r>
        <w:rPr>
          <w:iCs/>
          <w:i/>
        </w:rPr>
        <w:t xml:space="preserve">J Endocrinol Invest</w:t>
      </w:r>
      <w:r>
        <w:t xml:space="preserve"> </w:t>
      </w:r>
      <w:r>
        <w:t xml:space="preserve">· Influence of beta-adrenergic agonists and antagonists on the GH-releasing effect of Hexarelin in man. PMID 8851688</w:t>
      </w:r>
    </w:p>
    <w:p>
      <w:pPr>
        <w:numPr>
          <w:ilvl w:val="0"/>
          <w:numId w:val="1401"/>
        </w:numPr>
        <w:pStyle w:val="Compact"/>
      </w:pPr>
      <w:r>
        <w:t xml:space="preserve">1996 · Klinger B ·</w:t>
      </w:r>
      <w:r>
        <w:t xml:space="preserve"> </w:t>
      </w:r>
      <w:r>
        <w:rPr>
          <w:iCs/>
          <w:i/>
        </w:rPr>
        <w:t xml:space="preserve">Eur J Endocrinol</w:t>
      </w:r>
      <w:r>
        <w:t xml:space="preserve"> </w:t>
      </w:r>
      <w:r>
        <w:t xml:space="preserve">· Desensitization from long-term intranasal treatment with hexarelin does not interfere with the biological effects of this growth hormone-releasing peptide in short children. PMID 8766941</w:t>
      </w:r>
    </w:p>
    <w:p>
      <w:pPr>
        <w:numPr>
          <w:ilvl w:val="0"/>
          <w:numId w:val="1401"/>
        </w:numPr>
        <w:pStyle w:val="Compact"/>
      </w:pPr>
      <w:r>
        <w:t xml:space="preserve">1996 · Massoud AF ·</w:t>
      </w:r>
      <w:r>
        <w:t xml:space="preserve"> </w:t>
      </w:r>
      <w:r>
        <w:rPr>
          <w:iCs/>
          <w:i/>
        </w:rPr>
        <w:t xml:space="preserve">Clin Endocrinol (Oxf)</w:t>
      </w:r>
      <w:r>
        <w:t xml:space="preserve"> </w:t>
      </w:r>
      <w:r>
        <w:t xml:space="preserve">· The effect of repeated administration of hexarelin, a growth hormone releasing peptide, and growth hormone releasing hormone on growth hormone responsivity. PMID 8762732</w:t>
      </w:r>
    </w:p>
    <w:p>
      <w:pPr>
        <w:numPr>
          <w:ilvl w:val="0"/>
          <w:numId w:val="1401"/>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1"/>
        </w:numPr>
        <w:pStyle w:val="Compact"/>
      </w:pPr>
      <w:r>
        <w:t xml:space="preserve">1995 · Sartorio A ·</w:t>
      </w:r>
      <w:r>
        <w:t xml:space="preserve"> </w:t>
      </w:r>
      <w:r>
        <w:rPr>
          <w:iCs/>
          <w:i/>
        </w:rPr>
        <w:t xml:space="preserve">J Endocrinol Invest</w:t>
      </w:r>
      <w:r>
        <w:t xml:space="preserve"> </w:t>
      </w:r>
      <w:r>
        <w:t xml:space="preserve">· GH responsiveness to repeated GHRH or hexarelin administration in normal adults. PMID 8719303</w:t>
      </w:r>
    </w:p>
    <w:p>
      <w:pPr>
        <w:numPr>
          <w:ilvl w:val="0"/>
          <w:numId w:val="1401"/>
        </w:numPr>
        <w:pStyle w:val="Compact"/>
      </w:pPr>
      <w:r>
        <w:t xml:space="preserve">1995 · Laron Z ·</w:t>
      </w:r>
      <w:r>
        <w:t xml:space="preserve"> </w:t>
      </w:r>
      <w:r>
        <w:rPr>
          <w:iCs/>
          <w:i/>
        </w:rPr>
        <w:t xml:space="preserve">Clin Endocrinol (Oxf)</w:t>
      </w:r>
      <w:r>
        <w:t xml:space="preserve"> </w:t>
      </w:r>
      <w:r>
        <w:t xml:space="preserve">· Intranasal administration of the GHRP hexarelin accelerates growth in short children. PMID 8548949</w:t>
      </w:r>
    </w:p>
    <w:p>
      <w:pPr>
        <w:numPr>
          <w:ilvl w:val="0"/>
          <w:numId w:val="1401"/>
        </w:numPr>
        <w:pStyle w:val="Compact"/>
      </w:pPr>
      <w:r>
        <w:t xml:space="preserve">1995 · Massoud AF ·</w:t>
      </w:r>
      <w:r>
        <w:t xml:space="preserve"> </w:t>
      </w:r>
      <w:r>
        <w:rPr>
          <w:iCs/>
          <w:i/>
        </w:rPr>
        <w:t xml:space="preserve">Clin Endocrinol (Oxf)</w:t>
      </w:r>
      <w:r>
        <w:t xml:space="preserve"> </w:t>
      </w:r>
      <w:r>
        <w:t xml:space="preserve">· Hexarelin induced growth hormone release is influenced by exogenous growth hormone. PMID 8548947</w:t>
      </w:r>
    </w:p>
    <w:p>
      <w:pPr>
        <w:numPr>
          <w:ilvl w:val="0"/>
          <w:numId w:val="1401"/>
        </w:numPr>
        <w:pStyle w:val="Compact"/>
      </w:pPr>
      <w:r>
        <w:t xml:space="preserve">1995 · Loche S ·</w:t>
      </w:r>
      <w:r>
        <w:t xml:space="preserve"> </w:t>
      </w:r>
      <w:r>
        <w:rPr>
          <w:iCs/>
          <w:i/>
        </w:rPr>
        <w:t xml:space="preserve">J Clin Endocrinol Metab</w:t>
      </w:r>
      <w:r>
        <w:t xml:space="preserve"> </w:t>
      </w:r>
      <w:r>
        <w:t xml:space="preserve">· The effect of hexarelin on growth hormone (GH) secretion in patients with GH deficiency. PMID 7673411</w:t>
      </w:r>
    </w:p>
    <w:p>
      <w:pPr>
        <w:numPr>
          <w:ilvl w:val="0"/>
          <w:numId w:val="1401"/>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1"/>
        </w:numPr>
        <w:pStyle w:val="Compact"/>
      </w:pPr>
      <w:r>
        <w:t xml:space="preserve">1995 · Frenkel J ·</w:t>
      </w:r>
      <w:r>
        <w:t xml:space="preserve"> </w:t>
      </w:r>
      <w:r>
        <w:rPr>
          <w:iCs/>
          <w:i/>
        </w:rPr>
        <w:t xml:space="preserve">J Pediatr Endocrinol Metab</w:t>
      </w:r>
      <w:r>
        <w:t xml:space="preserve"> </w:t>
      </w:r>
      <w:r>
        <w:t xml:space="preserve">· Short term effect of intranasal administration of hexarelin–a synthetic growth hormone-releasing peptide. Preliminary communication. PMID 7584696</w:t>
      </w:r>
    </w:p>
    <w:p>
      <w:pPr>
        <w:numPr>
          <w:ilvl w:val="0"/>
          <w:numId w:val="1401"/>
        </w:numPr>
        <w:pStyle w:val="Compact"/>
      </w:pPr>
      <w:r>
        <w:t xml:space="preserve">1995 · Giustina A ·</w:t>
      </w:r>
      <w:r>
        <w:t xml:space="preserve"> </w:t>
      </w:r>
      <w:r>
        <w:rPr>
          <w:iCs/>
          <w:i/>
        </w:rPr>
        <w:t xml:space="preserve">J Endocrinol</w:t>
      </w:r>
      <w:r>
        <w:t xml:space="preserve"> </w:t>
      </w:r>
      <w:r>
        <w:t xml:space="preserve">· Comparison of the effects of growth hormone-releasing hormone and hexarelin, a novel growth hormone-releasing peptide-6 analog, on growth hormone secretion in humans with or without glucocorticoid excess. PMID 7561633</w:t>
      </w:r>
    </w:p>
    <w:p>
      <w:pPr>
        <w:numPr>
          <w:ilvl w:val="0"/>
          <w:numId w:val="1401"/>
        </w:numPr>
        <w:pStyle w:val="Compact"/>
      </w:pPr>
      <w:r>
        <w:t xml:space="preserve">1994 · Arvat E ·</w:t>
      </w:r>
      <w:r>
        <w:t xml:space="preserve"> </w:t>
      </w:r>
      <w:r>
        <w:rPr>
          <w:iCs/>
          <w:i/>
        </w:rPr>
        <w:t xml:space="preserve">J Clin Endocrinol Metab</w:t>
      </w:r>
      <w:r>
        <w:t xml:space="preserve"> </w:t>
      </w:r>
      <w:r>
        <w:t xml:space="preserve">· Arginine and growth hormone-releasing hormone restore the blunted growth hormone-releasing activity of hexarelin in elderly subjects. PMID 7962341</w:t>
      </w:r>
    </w:p>
    <w:p>
      <w:pPr>
        <w:numPr>
          <w:ilvl w:val="0"/>
          <w:numId w:val="1401"/>
        </w:numPr>
        <w:pStyle w:val="Compact"/>
      </w:pPr>
      <w:r>
        <w:t xml:space="preserve">1994 · Imbimbo BP ·</w:t>
      </w:r>
      <w:r>
        <w:t xml:space="preserve"> </w:t>
      </w:r>
      <w:r>
        <w:rPr>
          <w:iCs/>
          <w:i/>
        </w:rPr>
        <w:t xml:space="preserve">Eur J Clin Pharmacol</w:t>
      </w:r>
      <w:r>
        <w:t xml:space="preserve"> </w:t>
      </w:r>
      <w:r>
        <w:t xml:space="preserve">· Growth hormone-releasing activity of hexarelin in humans. A dose-response study. PMID 7957536</w:t>
      </w:r>
    </w:p>
    <w:bookmarkEnd w:id="3040"/>
    <w:bookmarkStart w:id="3041" w:name="macimorelina-4"/>
    <w:p>
      <w:pPr>
        <w:pStyle w:val="Heading2"/>
      </w:pPr>
      <w:r>
        <w:t xml:space="preserve">Macimorelina (4)</w:t>
      </w:r>
    </w:p>
    <w:p>
      <w:pPr>
        <w:numPr>
          <w:ilvl w:val="0"/>
          <w:numId w:val="1402"/>
        </w:numPr>
        <w:pStyle w:val="Compact"/>
      </w:pPr>
      <w:r>
        <w:t xml:space="preserve">2023 · Herodes M ·</w:t>
      </w:r>
      <w:r>
        <w:t xml:space="preserve"> </w:t>
      </w:r>
      <w:r>
        <w:rPr>
          <w:iCs/>
          <w:i/>
        </w:rPr>
        <w:t xml:space="preserve">J Cachexia Sarcopenia Muscle</w:t>
      </w:r>
      <w:r>
        <w:t xml:space="preserve"> </w:t>
      </w:r>
      <w:r>
        <w:t xml:space="preserve">· Pilot clinical trial of macimorelin to assess safety and efficacy in patients with cancer cachexia. PMID 36860137</w:t>
      </w:r>
    </w:p>
    <w:p>
      <w:pPr>
        <w:numPr>
          <w:ilvl w:val="0"/>
          <w:numId w:val="1402"/>
        </w:numPr>
        <w:pStyle w:val="Compact"/>
      </w:pPr>
      <w:r>
        <w:t xml:space="preserve">2021 · Lissy M ·</w:t>
      </w:r>
      <w:r>
        <w:t xml:space="preserve"> </w:t>
      </w:r>
      <w:r>
        <w:rPr>
          <w:iCs/>
          <w:i/>
        </w:rPr>
        <w:t xml:space="preserve">Clin Pharmacol Drug Dev</w:t>
      </w:r>
      <w:r>
        <w:t xml:space="preserve"> </w:t>
      </w:r>
      <w:r>
        <w:t xml:space="preserve">· Thorough QT/QTc Study Evaluating the Effect of Macimorelin on Cardiac Safety Parameters in Healthy Participants. PMID 32961034</w:t>
      </w:r>
    </w:p>
    <w:p>
      <w:pPr>
        <w:numPr>
          <w:ilvl w:val="0"/>
          <w:numId w:val="1402"/>
        </w:numPr>
        <w:pStyle w:val="Compact"/>
      </w:pPr>
      <w:r>
        <w:t xml:space="preserve">2020 · Klaus B ·</w:t>
      </w:r>
      <w:r>
        <w:t xml:space="preserve"> </w:t>
      </w:r>
      <w:r>
        <w:rPr>
          <w:iCs/>
          <w:i/>
        </w:rPr>
        <w:t xml:space="preserve">Growth Horm IGF Res</w:t>
      </w:r>
      <w:r>
        <w:t xml:space="preserve"> </w:t>
      </w:r>
      <w:r>
        <w:t xml:space="preserve">· Safety, tolerability, pharmacokinetics, and pharmacodynamics of macimorelin in healthy adults: Results of a single-dose, randomized controlled study. PMID 32325373</w:t>
      </w:r>
    </w:p>
    <w:p>
      <w:pPr>
        <w:numPr>
          <w:ilvl w:val="0"/>
          <w:numId w:val="1402"/>
        </w:numPr>
        <w:pStyle w:val="Compact"/>
      </w:pPr>
      <w:r>
        <w:t xml:space="preserve">2018 · Garcia JM ·</w:t>
      </w:r>
      <w:r>
        <w:t xml:space="preserve"> </w:t>
      </w:r>
      <w:r>
        <w:rPr>
          <w:iCs/>
          <w:i/>
        </w:rPr>
        <w:t xml:space="preserve">J Clin Endocrinol Metab</w:t>
      </w:r>
      <w:r>
        <w:t xml:space="preserve"> </w:t>
      </w:r>
      <w:r>
        <w:t xml:space="preserve">· Macimorelin as a Diagnostic Test for Adult GH Deficiency. PMID 29860473</w:t>
      </w:r>
    </w:p>
    <w:bookmarkEnd w:id="3041"/>
    <w:bookmarkStart w:id="3042" w:name="mecasermina-igf-1-21"/>
    <w:p>
      <w:pPr>
        <w:pStyle w:val="Heading2"/>
      </w:pPr>
      <w:r>
        <w:t xml:space="preserve">Mecasermina (IGF-1) (21)</w:t>
      </w:r>
    </w:p>
    <w:p>
      <w:pPr>
        <w:numPr>
          <w:ilvl w:val="0"/>
          <w:numId w:val="1403"/>
        </w:numPr>
        <w:pStyle w:val="Compact"/>
      </w:pPr>
      <w:r>
        <w:t xml:space="preserve">2021 · Haines MS ·</w:t>
      </w:r>
      <w:r>
        <w:t xml:space="preserve"> </w:t>
      </w:r>
      <w:r>
        <w:rPr>
          <w:iCs/>
          <w:i/>
        </w:rPr>
        <w:t xml:space="preserve">J Bone Miner Res</w:t>
      </w:r>
      <w:r>
        <w:t xml:space="preserve"> </w:t>
      </w:r>
      <w:r>
        <w:t xml:space="preserve">· Sequential Therapy With Recombinant Human IGF-1 Followed by Risedronate Increases Spine Bone Mineral Density in Women With Anorexia Nervosa: A Randomized, Placebo-Controlled Trial. PMID 34355814</w:t>
      </w:r>
    </w:p>
    <w:p>
      <w:pPr>
        <w:numPr>
          <w:ilvl w:val="0"/>
          <w:numId w:val="1403"/>
        </w:numPr>
        <w:pStyle w:val="Compact"/>
      </w:pPr>
      <w:r>
        <w:t xml:space="preserve">2021 · Singhal V ·</w:t>
      </w:r>
      <w:r>
        <w:t xml:space="preserve"> </w:t>
      </w:r>
      <w:r>
        <w:rPr>
          <w:iCs/>
          <w:i/>
        </w:rPr>
        <w:t xml:space="preserve">J Clin Endocrinol Metab</w:t>
      </w:r>
      <w:r>
        <w:t xml:space="preserve"> </w:t>
      </w:r>
      <w:r>
        <w:t xml:space="preserve">· Effect of Transdermal Estradiol and Insulin-like Growth Factor-1 on Bone Endpoints of Young Women With Anorexia Nervosa. PMID 33693703</w:t>
      </w:r>
    </w:p>
    <w:p>
      <w:pPr>
        <w:numPr>
          <w:ilvl w:val="0"/>
          <w:numId w:val="1403"/>
        </w:numPr>
        <w:pStyle w:val="Compact"/>
      </w:pPr>
      <w:r>
        <w:t xml:space="preserve">2021 · Guha N ·</w:t>
      </w:r>
      <w:r>
        <w:t xml:space="preserve"> </w:t>
      </w:r>
      <w:r>
        <w:rPr>
          <w:iCs/>
          <w:i/>
        </w:rPr>
        <w:t xml:space="preserve">Clin Endocrinol (Oxf)</w:t>
      </w:r>
      <w:r>
        <w:t xml:space="preserve"> </w:t>
      </w:r>
      <w:r>
        <w:t xml:space="preserve">· The effects of recombinant human insulin-like growth factor-1/insulin-like growth factor binding protein-3 administration on lipid and carbohydrate metabolism in recreational athletes. PMID 33249593</w:t>
      </w:r>
    </w:p>
    <w:p>
      <w:pPr>
        <w:numPr>
          <w:ilvl w:val="0"/>
          <w:numId w:val="1403"/>
        </w:numPr>
        <w:pStyle w:val="Compact"/>
      </w:pPr>
      <w:r>
        <w:t xml:space="preserve">2020 · Rutter MM ·</w:t>
      </w:r>
      <w:r>
        <w:t xml:space="preserve"> </w:t>
      </w:r>
      <w:r>
        <w:rPr>
          <w:iCs/>
          <w:i/>
        </w:rPr>
        <w:t xml:space="preserve">Muscle Nerve</w:t>
      </w:r>
      <w:r>
        <w:t xml:space="preserve"> </w:t>
      </w:r>
      <w:r>
        <w:t xml:space="preserve">· Recombinant human insulin-like growth factor-1 therapy for 6 months improves growth but not motor function in boys with Duchenne muscular dystrophy. PMID 32108355</w:t>
      </w:r>
    </w:p>
    <w:p>
      <w:pPr>
        <w:numPr>
          <w:ilvl w:val="0"/>
          <w:numId w:val="1403"/>
        </w:numPr>
        <w:pStyle w:val="Compact"/>
      </w:pPr>
      <w:r>
        <w:t xml:space="preserve">2019 · Ley D ·</w:t>
      </w:r>
      <w:r>
        <w:t xml:space="preserve"> </w:t>
      </w:r>
      <w:r>
        <w:rPr>
          <w:iCs/>
          <w:i/>
        </w:rPr>
        <w:t xml:space="preserve">J Pediatr</w:t>
      </w:r>
      <w:r>
        <w:t xml:space="preserve"> </w:t>
      </w:r>
      <w:r>
        <w:t xml:space="preserve">· rhIGF-1/rhIGFBP-3 in Preterm Infants: A Phase 2 Randomized Controlled Trial. PMID 30471715</w:t>
      </w:r>
    </w:p>
    <w:p>
      <w:pPr>
        <w:numPr>
          <w:ilvl w:val="0"/>
          <w:numId w:val="1403"/>
        </w:numPr>
        <w:pStyle w:val="Compact"/>
      </w:pPr>
      <w:r>
        <w:t xml:space="preserve">2017 · Cabrera-Salcedo C ·</w:t>
      </w:r>
      <w:r>
        <w:t xml:space="preserve"> </w:t>
      </w:r>
      <w:r>
        <w:rPr>
          <w:iCs/>
          <w:i/>
        </w:rPr>
        <w:t xml:space="preserve">J Clin Endocrinol Metab</w:t>
      </w:r>
      <w:r>
        <w:t xml:space="preserve"> </w:t>
      </w:r>
      <w:r>
        <w:t xml:space="preserve">· Pharmacokinetics of IGF-1 in PAPP-A2-Deficient Patients, Growth Response, and Effects on Glucose and Bone Density. PMID 29029190</w:t>
      </w:r>
    </w:p>
    <w:p>
      <w:pPr>
        <w:numPr>
          <w:ilvl w:val="0"/>
          <w:numId w:val="1403"/>
        </w:numPr>
        <w:pStyle w:val="Compact"/>
      </w:pPr>
      <w:r>
        <w:t xml:space="preserve">2017 · Hansen-Pupp I ·</w:t>
      </w:r>
      <w:r>
        <w:t xml:space="preserve"> </w:t>
      </w:r>
      <w:r>
        <w:rPr>
          <w:iCs/>
          <w:i/>
        </w:rPr>
        <w:t xml:space="preserve">Growth Horm IGF Res</w:t>
      </w:r>
      <w:r>
        <w:t xml:space="preserve"> </w:t>
      </w:r>
      <w:r>
        <w:t xml:space="preserve">· Continuous longitudinal infusion of rhIGF-1/rhIGFBP-3 in extremely preterm infants: Evaluation of feasibility in a phase II study. PMID 28934640</w:t>
      </w:r>
    </w:p>
    <w:p>
      <w:pPr>
        <w:numPr>
          <w:ilvl w:val="0"/>
          <w:numId w:val="1403"/>
        </w:numPr>
        <w:pStyle w:val="Compact"/>
      </w:pPr>
      <w:r>
        <w:t xml:space="preserve">2017 · Dy ME ·</w:t>
      </w:r>
      <w:r>
        <w:t xml:space="preserve"> </w:t>
      </w:r>
      <w:r>
        <w:rPr>
          <w:iCs/>
          <w:i/>
        </w:rPr>
        <w:t xml:space="preserve">Pediatr Neurol</w:t>
      </w:r>
      <w:r>
        <w:t xml:space="preserve"> </w:t>
      </w:r>
      <w:r>
        <w:t xml:space="preserve">· Defining Hand Stereotypies in Rett Syndrome: A Movement Disorders Perspective. PMID 28838622</w:t>
      </w:r>
    </w:p>
    <w:p>
      <w:pPr>
        <w:numPr>
          <w:ilvl w:val="0"/>
          <w:numId w:val="1403"/>
        </w:numPr>
        <w:pStyle w:val="Compact"/>
      </w:pPr>
      <w:r>
        <w:t xml:space="preserve">2017 · Chung JK ·</w:t>
      </w:r>
      <w:r>
        <w:t xml:space="preserve"> </w:t>
      </w:r>
      <w:r>
        <w:rPr>
          <w:iCs/>
          <w:i/>
        </w:rPr>
        <w:t xml:space="preserve">Pediatr Res</w:t>
      </w:r>
      <w:r>
        <w:t xml:space="preserve"> </w:t>
      </w:r>
      <w:r>
        <w:t xml:space="preserve">· Development and verification of a pharmacokinetic model to optimize physiologic replacement of rhIGF-1/rhIGFBP-3 in preterm infants. PMID 27870826</w:t>
      </w:r>
    </w:p>
    <w:p>
      <w:pPr>
        <w:numPr>
          <w:ilvl w:val="0"/>
          <w:numId w:val="1403"/>
        </w:numPr>
        <w:pStyle w:val="Compact"/>
      </w:pPr>
      <w:r>
        <w:t xml:space="preserve">2015 · Backeljauw PF ·</w:t>
      </w:r>
      <w:r>
        <w:t xml:space="preserve"> </w:t>
      </w:r>
      <w:r>
        <w:rPr>
          <w:iCs/>
          <w:i/>
        </w:rPr>
        <w:t xml:space="preserve">Horm Res Paediatr</w:t>
      </w:r>
      <w:r>
        <w:t xml:space="preserve"> </w:t>
      </w:r>
      <w:r>
        <w:t xml:space="preserve">· Recombinant human growth hormone plus recombinant human insulin-like growth factor-1 coadministration therapy in short children with low insulin-like growth factor-1 and growth hormone sufficiency: results from a randomized, multicenter, open-label, parallel-group, active treatment-controlled trial. PMID 25765099</w:t>
      </w:r>
    </w:p>
    <w:p>
      <w:pPr>
        <w:numPr>
          <w:ilvl w:val="0"/>
          <w:numId w:val="1403"/>
        </w:numPr>
        <w:pStyle w:val="Compact"/>
      </w:pPr>
      <w:r>
        <w:t xml:space="preserve">2011 · Heatwole CR ·</w:t>
      </w:r>
      <w:r>
        <w:t xml:space="preserve"> </w:t>
      </w:r>
      <w:r>
        <w:rPr>
          <w:iCs/>
          <w:i/>
        </w:rPr>
        <w:t xml:space="preserve">Arch Neurol</w:t>
      </w:r>
      <w:r>
        <w:t xml:space="preserve"> </w:t>
      </w:r>
      <w:r>
        <w:t xml:space="preserve">· Open-label trial of recombinant human insulin-like growth factor 1/recombinant human insulin-like growth factor binding protein 3 in myotonic dystrophy type 1. PMID 20837825</w:t>
      </w:r>
    </w:p>
    <w:p>
      <w:pPr>
        <w:numPr>
          <w:ilvl w:val="0"/>
          <w:numId w:val="1403"/>
        </w:numPr>
        <w:pStyle w:val="Compact"/>
      </w:pPr>
      <w:r>
        <w:t xml:space="preserve">2003 · Hladunewich MA ·</w:t>
      </w:r>
      <w:r>
        <w:t xml:space="preserve"> </w:t>
      </w:r>
      <w:r>
        <w:rPr>
          <w:iCs/>
          <w:i/>
        </w:rPr>
        <w:t xml:space="preserve">Kidney Int</w:t>
      </w:r>
      <w:r>
        <w:t xml:space="preserve"> </w:t>
      </w:r>
      <w:r>
        <w:t xml:space="preserve">· A randomized, placebo-controlled trial of IGF-1 for delayed graft function: a human model to study postischemic ARF. PMID 12846755</w:t>
      </w:r>
    </w:p>
    <w:p>
      <w:pPr>
        <w:numPr>
          <w:ilvl w:val="0"/>
          <w:numId w:val="1403"/>
        </w:numPr>
        <w:pStyle w:val="Compact"/>
      </w:pPr>
      <w:r>
        <w:t xml:space="preserve">2002 · Frank JA ·</w:t>
      </w:r>
      <w:r>
        <w:t xml:space="preserve"> </w:t>
      </w:r>
      <w:r>
        <w:rPr>
          <w:iCs/>
          <w:i/>
        </w:rPr>
        <w:t xml:space="preserve">Mult Scler</w:t>
      </w:r>
      <w:r>
        <w:t xml:space="preserve"> </w:t>
      </w:r>
      <w:r>
        <w:t xml:space="preserve">· A pilot study of recombinant insulin-like growth factor-1 in seven multiple sderosis patients. PMID 11936485</w:t>
      </w:r>
    </w:p>
    <w:p>
      <w:pPr>
        <w:numPr>
          <w:ilvl w:val="0"/>
          <w:numId w:val="1403"/>
        </w:numPr>
        <w:pStyle w:val="Compact"/>
      </w:pPr>
      <w:r>
        <w:t xml:space="preserve">2000 · Fouque D ·</w:t>
      </w:r>
      <w:r>
        <w:t xml:space="preserve"> </w:t>
      </w:r>
      <w:r>
        <w:rPr>
          <w:iCs/>
          <w:i/>
        </w:rPr>
        <w:t xml:space="preserve">Kidney Int</w:t>
      </w:r>
      <w:r>
        <w:t xml:space="preserve"> </w:t>
      </w:r>
      <w:r>
        <w:t xml:space="preserve">· Recombinant human insulin-like growth factor-1 induces an anabolic response in malnourished CAPD patients. PMID 10652043</w:t>
      </w:r>
    </w:p>
    <w:p>
      <w:pPr>
        <w:numPr>
          <w:ilvl w:val="0"/>
          <w:numId w:val="1403"/>
        </w:numPr>
        <w:pStyle w:val="Compact"/>
      </w:pPr>
      <w:r>
        <w:t xml:space="preserve">1999 · Rockich KT ·</w:t>
      </w:r>
      <w:r>
        <w:t xml:space="preserve"> </w:t>
      </w:r>
      <w:r>
        <w:rPr>
          <w:iCs/>
          <w:i/>
        </w:rPr>
        <w:t xml:space="preserve">Pharmacotherapy</w:t>
      </w:r>
      <w:r>
        <w:t xml:space="preserve"> </w:t>
      </w:r>
      <w:r>
        <w:t xml:space="preserve">· Effect of recombinant human growth hormone and insulin-like growth factor-1 administration on IGF-1 and IGF-binding protein-3 levels in brain injury. PMID 10600092</w:t>
      </w:r>
    </w:p>
    <w:p>
      <w:pPr>
        <w:numPr>
          <w:ilvl w:val="0"/>
          <w:numId w:val="1403"/>
        </w:numPr>
        <w:pStyle w:val="Compact"/>
      </w:pPr>
      <w:r>
        <w:t xml:space="preserve">1998 · Fouque D ·</w:t>
      </w:r>
      <w:r>
        <w:t xml:space="preserve"> </w:t>
      </w:r>
      <w:r>
        <w:rPr>
          <w:iCs/>
          <w:i/>
        </w:rPr>
        <w:t xml:space="preserve">Kidney Int</w:t>
      </w:r>
      <w:r>
        <w:t xml:space="preserve"> </w:t>
      </w:r>
      <w:r>
        <w:t xml:space="preserve">· Acute leptin regulation in end-stage renal failure: the role of growth hormone and IGF-1. PMID 9734619</w:t>
      </w:r>
    </w:p>
    <w:p>
      <w:pPr>
        <w:numPr>
          <w:ilvl w:val="0"/>
          <w:numId w:val="1403"/>
        </w:numPr>
        <w:pStyle w:val="Compact"/>
      </w:pPr>
      <w:r>
        <w:t xml:space="preserve">1998 · Nguyen BY ·</w:t>
      </w:r>
      <w:r>
        <w:t xml:space="preserve"> </w:t>
      </w:r>
      <w:r>
        <w:rPr>
          <w:iCs/>
          <w:i/>
        </w:rPr>
        <w:t xml:space="preserve">AIDS</w:t>
      </w:r>
      <w:r>
        <w:t xml:space="preserve"> </w:t>
      </w:r>
      <w:r>
        <w:t xml:space="preserve">· Pilot study of the immunologic effects of recombinant human growth hormone and recombinant insulin-like growth factor in HIV-infected patients. PMID 9631143</w:t>
      </w:r>
    </w:p>
    <w:p>
      <w:pPr>
        <w:numPr>
          <w:ilvl w:val="0"/>
          <w:numId w:val="1403"/>
        </w:numPr>
        <w:pStyle w:val="Compact"/>
      </w:pPr>
      <w:r>
        <w:t xml:space="preserve">1998 · Tabakian A ·</w:t>
      </w:r>
      <w:r>
        <w:t xml:space="preserve"> </w:t>
      </w:r>
      <w:r>
        <w:rPr>
          <w:iCs/>
          <w:i/>
        </w:rPr>
        <w:t xml:space="preserve">Miner Electrolyte Metab</w:t>
      </w:r>
      <w:r>
        <w:t xml:space="preserve"> </w:t>
      </w:r>
      <w:r>
        <w:t xml:space="preserve">· Effects of recombinant growth factors on energy expenditure in maintenance hemodialysis patients. PMID 9554567</w:t>
      </w:r>
    </w:p>
    <w:p>
      <w:pPr>
        <w:numPr>
          <w:ilvl w:val="0"/>
          <w:numId w:val="1403"/>
        </w:numPr>
        <w:pStyle w:val="Compact"/>
      </w:pPr>
      <w:r>
        <w:t xml:space="preserve">1996 · Waters D ·</w:t>
      </w:r>
      <w:r>
        <w:t xml:space="preserve"> </w:t>
      </w:r>
      <w:r>
        <w:rPr>
          <w:iCs/>
          <w:i/>
        </w:rPr>
        <w:t xml:space="preserve">Ann Intern Med</w:t>
      </w:r>
      <w:r>
        <w:t xml:space="preserve"> </w:t>
      </w:r>
      <w:r>
        <w:t xml:space="preserve">· Recombinant human growth hormone, insulin-like growth factor 1, and combination therapy in AIDS-associated wasting. A randomized, double-blind, placebo-controlled trial. PMID 8967666</w:t>
      </w:r>
    </w:p>
    <w:p>
      <w:pPr>
        <w:numPr>
          <w:ilvl w:val="0"/>
          <w:numId w:val="1403"/>
        </w:numPr>
        <w:pStyle w:val="Compact"/>
      </w:pPr>
      <w:r>
        <w:t xml:space="preserve">1995 · Fouque D ·</w:t>
      </w:r>
      <w:r>
        <w:t xml:space="preserve"> </w:t>
      </w:r>
      <w:r>
        <w:rPr>
          <w:iCs/>
          <w:i/>
        </w:rPr>
        <w:t xml:space="preserve">Kidney Int</w:t>
      </w:r>
      <w:r>
        <w:t xml:space="preserve"> </w:t>
      </w:r>
      <w:r>
        <w:t xml:space="preserve">· Impaired metabolic response to recombinant insulin-like growth factor-1 in dialysis patients. PMID 7752587</w:t>
      </w:r>
    </w:p>
    <w:p>
      <w:pPr>
        <w:numPr>
          <w:ilvl w:val="0"/>
          <w:numId w:val="1403"/>
        </w:numPr>
        <w:pStyle w:val="Compact"/>
      </w:pPr>
      <w:r>
        <w:t xml:space="preserve">1995 · Fouque D ·</w:t>
      </w:r>
      <w:r>
        <w:t xml:space="preserve"> </w:t>
      </w:r>
      <w:r>
        <w:rPr>
          <w:iCs/>
          <w:i/>
        </w:rPr>
        <w:t xml:space="preserve">Kidney Int</w:t>
      </w:r>
      <w:r>
        <w:t xml:space="preserve"> </w:t>
      </w:r>
      <w:r>
        <w:t xml:space="preserve">· Pharmacokinetics of recombinant human insulin-like growth factor-1 in dialysis patients. PMID 7752586</w:t>
      </w:r>
    </w:p>
    <w:bookmarkEnd w:id="3042"/>
    <w:bookmarkStart w:id="3043" w:name="igf-1-lr3-0"/>
    <w:p>
      <w:pPr>
        <w:pStyle w:val="Heading2"/>
      </w:pPr>
      <w:r>
        <w:t xml:space="preserve">IGF-1 LR3 (0)</w:t>
      </w:r>
    </w:p>
    <w:p>
      <w:pPr>
        <w:pStyle w:val="FirstParagraph"/>
      </w:pPr>
      <w:r>
        <w:t xml:space="preserve">Nenhuma publicação de estudos clínicos em humanos encontrada.</w:t>
      </w:r>
    </w:p>
    <w:bookmarkEnd w:id="3043"/>
    <w:bookmarkStart w:id="3044" w:name="ibutamoreno-mk-677-19"/>
    <w:p>
      <w:pPr>
        <w:pStyle w:val="Heading2"/>
      </w:pPr>
      <w:r>
        <w:t xml:space="preserve">Ibutamoreno (MK-677) (19)</w:t>
      </w:r>
    </w:p>
    <w:p>
      <w:pPr>
        <w:numPr>
          <w:ilvl w:val="0"/>
          <w:numId w:val="1404"/>
        </w:numPr>
        <w:pStyle w:val="Compact"/>
      </w:pPr>
      <w:r>
        <w:t xml:space="preserve">2018 · Campbell GA ·</w:t>
      </w:r>
      <w:r>
        <w:t xml:space="preserve"> </w:t>
      </w:r>
      <w:r>
        <w:rPr>
          <w:iCs/>
          <w:i/>
        </w:rPr>
        <w:t xml:space="preserve">Nephrol Dial Transplant</w:t>
      </w:r>
      <w:r>
        <w:t xml:space="preserve"> </w:t>
      </w:r>
      <w:r>
        <w:t xml:space="preserve">· Oral ghrelin receptor agonist MK-0677 increases serum insulin-like growth factor 1 in hemodialysis patients: a randomized blinded study. PMID 28340044</w:t>
      </w:r>
    </w:p>
    <w:p>
      <w:pPr>
        <w:numPr>
          <w:ilvl w:val="0"/>
          <w:numId w:val="1404"/>
        </w:numPr>
        <w:pStyle w:val="Compact"/>
      </w:pPr>
      <w:r>
        <w:t xml:space="preserve">2011 · Adunsky A ·</w:t>
      </w:r>
      <w:r>
        <w:t xml:space="preserve"> </w:t>
      </w:r>
      <w:r>
        <w:rPr>
          <w:iCs/>
          <w:i/>
        </w:rPr>
        <w:t xml:space="preserve">Arch Gerontol Geriatr</w:t>
      </w:r>
      <w:r>
        <w:t xml:space="preserve"> </w:t>
      </w:r>
      <w:r>
        <w:t xml:space="preserve">· MK-0677 (ibutamoren mesylate) for the treatment of patients recovering from hip fracture: a multicenter, randomized, placebo-controlled phase IIb study. PMID 21067829</w:t>
      </w:r>
    </w:p>
    <w:p>
      <w:pPr>
        <w:numPr>
          <w:ilvl w:val="0"/>
          <w:numId w:val="1404"/>
        </w:numPr>
        <w:pStyle w:val="Compact"/>
      </w:pPr>
      <w:r>
        <w:t xml:space="preserve">2008 · Sevigny JJ ·</w:t>
      </w:r>
      <w:r>
        <w:t xml:space="preserve"> </w:t>
      </w:r>
      <w:r>
        <w:rPr>
          <w:iCs/>
          <w:i/>
        </w:rPr>
        <w:t xml:space="preserve">Neurology</w:t>
      </w:r>
      <w:r>
        <w:t xml:space="preserve"> </w:t>
      </w:r>
      <w:r>
        <w:t xml:space="preserve">· Growth hormone secretagogue MK-677: no clinical effect on AD progression in a randomized trial. PMID 19015485</w:t>
      </w:r>
    </w:p>
    <w:p>
      <w:pPr>
        <w:numPr>
          <w:ilvl w:val="0"/>
          <w:numId w:val="1404"/>
        </w:numPr>
        <w:pStyle w:val="Compact"/>
      </w:pPr>
      <w:r>
        <w:t xml:space="preserve">2008 · Nass R ·</w:t>
      </w:r>
      <w:r>
        <w:t xml:space="preserve"> </w:t>
      </w:r>
      <w:r>
        <w:rPr>
          <w:iCs/>
          <w:i/>
        </w:rPr>
        <w:t xml:space="preserve">Ann Intern Med</w:t>
      </w:r>
      <w:r>
        <w:t xml:space="preserve"> </w:t>
      </w:r>
      <w:r>
        <w:t xml:space="preserve">· Effects of an oral ghrelin mimetic on body composition and clinical outcomes in healthy older adults: a randomized trial. PMID 18981485</w:t>
      </w:r>
    </w:p>
    <w:p>
      <w:pPr>
        <w:numPr>
          <w:ilvl w:val="0"/>
          <w:numId w:val="1404"/>
        </w:numPr>
        <w:pStyle w:val="Compact"/>
      </w:pPr>
      <w:r>
        <w:t xml:space="preserve">2004 · Bach MA ·</w:t>
      </w:r>
      <w:r>
        <w:t xml:space="preserve"> </w:t>
      </w:r>
      <w:r>
        <w:rPr>
          <w:iCs/>
          <w:i/>
        </w:rPr>
        <w:t xml:space="preserve">J Am Geriatr Soc</w:t>
      </w:r>
      <w:r>
        <w:t xml:space="preserve"> </w:t>
      </w:r>
      <w:r>
        <w:t xml:space="preserve">· The effects of MK-0677, an oral growth hormone secretagogue, in patients with hip fracture. PMID 15066065</w:t>
      </w:r>
    </w:p>
    <w:p>
      <w:pPr>
        <w:numPr>
          <w:ilvl w:val="0"/>
          <w:numId w:val="1404"/>
        </w:numPr>
        <w:pStyle w:val="Compact"/>
      </w:pPr>
      <w:r>
        <w:t xml:space="preserve">2003 · Svensson J ·</w:t>
      </w:r>
      <w:r>
        <w:t xml:space="preserve"> </w:t>
      </w:r>
      <w:r>
        <w:rPr>
          <w:iCs/>
          <w:i/>
        </w:rPr>
        <w:t xml:space="preserve">Growth Horm IGF Res</w:t>
      </w:r>
      <w:r>
        <w:t xml:space="preserve"> </w:t>
      </w:r>
      <w:r>
        <w:t xml:space="preserve">· The effect of treatment with the oral growth hormone (GH) secretagogue MK-677 on GH isoforms. PMID 12550076</w:t>
      </w:r>
    </w:p>
    <w:p>
      <w:pPr>
        <w:numPr>
          <w:ilvl w:val="0"/>
          <w:numId w:val="1404"/>
        </w:numPr>
        <w:pStyle w:val="Compact"/>
      </w:pPr>
      <w:r>
        <w:t xml:space="preserve">2001 · Codner E ·</w:t>
      </w:r>
      <w:r>
        <w:t xml:space="preserve"> </w:t>
      </w:r>
      <w:r>
        <w:rPr>
          <w:iCs/>
          <w:i/>
        </w:rPr>
        <w:t xml:space="preserve">Clin Pharmacol Ther</w:t>
      </w:r>
      <w:r>
        <w:t xml:space="preserve"> </w:t>
      </w:r>
      <w:r>
        <w:t xml:space="preserve">· Effects of oral administration of ibutamoren mesylate, a nonpeptide growth hormone secretagogue, on the growth hormone-insulin-like growth factor I axis in growth hormone-deficient children. PMID 11452249</w:t>
      </w:r>
    </w:p>
    <w:p>
      <w:pPr>
        <w:numPr>
          <w:ilvl w:val="0"/>
          <w:numId w:val="1404"/>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4"/>
        </w:numPr>
        <w:pStyle w:val="Compact"/>
      </w:pPr>
      <w:r>
        <w:t xml:space="preserve">2001 · Murphy MG ·</w:t>
      </w:r>
      <w:r>
        <w:t xml:space="preserve"> </w:t>
      </w:r>
      <w:r>
        <w:rPr>
          <w:iCs/>
          <w:i/>
        </w:rPr>
        <w:t xml:space="preserve">J Clin Endocrinol Metab</w:t>
      </w:r>
      <w:r>
        <w:t xml:space="preserve"> </w:t>
      </w:r>
      <w:r>
        <w:t xml:space="preserve">· Effect of alendronate and MK-677 (a growth hormone secretagogue), individually and in combination, on markers of bone turnover and bone mineral density in postmenopausal osteoporotic women. PMID 11238495</w:t>
      </w:r>
    </w:p>
    <w:p>
      <w:pPr>
        <w:numPr>
          <w:ilvl w:val="0"/>
          <w:numId w:val="1404"/>
        </w:numPr>
        <w:pStyle w:val="Compact"/>
      </w:pPr>
      <w:r>
        <w:t xml:space="preserve">1999 · Svensson J ·</w:t>
      </w:r>
      <w:r>
        <w:t xml:space="preserve"> </w:t>
      </w:r>
      <w:r>
        <w:rPr>
          <w:iCs/>
          <w:i/>
        </w:rPr>
        <w:t xml:space="preserve">Clin Endocrinol (Oxf)</w:t>
      </w:r>
      <w:r>
        <w:t xml:space="preserve"> </w:t>
      </w:r>
      <w:r>
        <w:t xml:space="preserve">· Discrepancy between serum leptin values and total body fat in response to the oral growth hormone secretagogue MK-677. PMID 10468903</w:t>
      </w:r>
    </w:p>
    <w:p>
      <w:pPr>
        <w:numPr>
          <w:ilvl w:val="0"/>
          <w:numId w:val="1404"/>
        </w:numPr>
        <w:pStyle w:val="Compact"/>
      </w:pPr>
      <w:r>
        <w:t xml:space="preserve">1999 · Murphy MG ·</w:t>
      </w:r>
      <w:r>
        <w:t xml:space="preserve"> </w:t>
      </w:r>
      <w:r>
        <w:rPr>
          <w:iCs/>
          <w:i/>
        </w:rPr>
        <w:t xml:space="preserve">J Bone Miner Res</w:t>
      </w:r>
      <w:r>
        <w:t xml:space="preserve"> </w:t>
      </w:r>
      <w:r>
        <w:t xml:space="preserve">· Oral administration of the growth hormone secretagogue MK-677 increases markers of bone turnover in healthy and functionally impaired elderly adults. The MK-677 Study Group. PMID 10404019</w:t>
      </w:r>
    </w:p>
    <w:p>
      <w:pPr>
        <w:numPr>
          <w:ilvl w:val="0"/>
          <w:numId w:val="1404"/>
        </w:numPr>
        <w:pStyle w:val="Compact"/>
      </w:pPr>
      <w:r>
        <w:t xml:space="preserve">1999 · Svensson J ·</w:t>
      </w:r>
      <w:r>
        <w:t xml:space="preserve"> </w:t>
      </w:r>
      <w:r>
        <w:rPr>
          <w:iCs/>
          <w:i/>
        </w:rPr>
        <w:t xml:space="preserve">J Clin Endocrinol Metab</w:t>
      </w:r>
      <w:r>
        <w:t xml:space="preserve"> </w:t>
      </w:r>
      <w:r>
        <w:t xml:space="preserve">· Treatment of obese subjects with the oral growth hormone secretagogue MK-677 affects serum concentrations of several lipoproteins, but not lipoprotein(a). PMID 10372705</w:t>
      </w:r>
    </w:p>
    <w:p>
      <w:pPr>
        <w:numPr>
          <w:ilvl w:val="0"/>
          <w:numId w:val="1404"/>
        </w:numPr>
        <w:pStyle w:val="Compact"/>
      </w:pPr>
      <w:r>
        <w:t xml:space="preserve">1998 · Svensson J ·</w:t>
      </w:r>
      <w:r>
        <w:t xml:space="preserve"> </w:t>
      </w:r>
      <w:r>
        <w:rPr>
          <w:iCs/>
          <w:i/>
        </w:rPr>
        <w:t xml:space="preserve">J Bone Miner Res</w:t>
      </w:r>
      <w:r>
        <w:t xml:space="preserve"> </w:t>
      </w:r>
      <w:r>
        <w:t xml:space="preserve">· Treatment with the oral growth hormone secretagogue MK-677 increases markers of bone formation and bone resorption in obese young males. PMID 9661080</w:t>
      </w:r>
    </w:p>
    <w:p>
      <w:pPr>
        <w:numPr>
          <w:ilvl w:val="0"/>
          <w:numId w:val="1404"/>
        </w:numPr>
        <w:pStyle w:val="Compact"/>
      </w:pPr>
      <w:r>
        <w:t xml:space="preserve">1998 · Svensson J ·</w:t>
      </w:r>
      <w:r>
        <w:t xml:space="preserve"> </w:t>
      </w:r>
      <w:r>
        <w:rPr>
          <w:iCs/>
          <w:i/>
        </w:rPr>
        <w:t xml:space="preserve">J Clin Endocrinol Metab</w:t>
      </w:r>
      <w:r>
        <w:t xml:space="preserve"> </w:t>
      </w:r>
      <w:r>
        <w:t xml:space="preserve">· Two-month treatment of obese subjects with the oral growth hormone (GH) secretagogue MK-677 increases GH secretion, fat-free mass, and energy expenditure. PMID 9467542</w:t>
      </w:r>
    </w:p>
    <w:p>
      <w:pPr>
        <w:numPr>
          <w:ilvl w:val="0"/>
          <w:numId w:val="1404"/>
        </w:numPr>
        <w:pStyle w:val="Compact"/>
      </w:pPr>
      <w:r>
        <w:t xml:space="preserve">1998 · Murphy MG ·</w:t>
      </w:r>
      <w:r>
        <w:t xml:space="preserve"> </w:t>
      </w:r>
      <w:r>
        <w:rPr>
          <w:iCs/>
          <w:i/>
        </w:rPr>
        <w:t xml:space="preserve">J Clin Endocrinol Metab</w:t>
      </w:r>
      <w:r>
        <w:t xml:space="preserve"> </w:t>
      </w:r>
      <w:r>
        <w:t xml:space="preserve">· MK-677, an orally active growth hormone secretagogue, reverses diet-induced catabolism. PMID 9467534</w:t>
      </w:r>
    </w:p>
    <w:p>
      <w:pPr>
        <w:numPr>
          <w:ilvl w:val="0"/>
          <w:numId w:val="1404"/>
        </w:numPr>
        <w:pStyle w:val="Compact"/>
      </w:pPr>
      <w:r>
        <w:t xml:space="preserve">1997 · Copinschi G ·</w:t>
      </w:r>
      <w:r>
        <w:t xml:space="preserve"> </w:t>
      </w:r>
      <w:r>
        <w:rPr>
          <w:iCs/>
          <w:i/>
        </w:rPr>
        <w:t xml:space="preserve">Neuroendocrinology</w:t>
      </w:r>
      <w:r>
        <w:t xml:space="preserve"> </w:t>
      </w:r>
      <w:r>
        <w:t xml:space="preserve">· Prolonged oral treatment with MK-677, a novel growth hormone secretagogue, improves sleep quality in man. PMID 9349662</w:t>
      </w:r>
    </w:p>
    <w:p>
      <w:pPr>
        <w:numPr>
          <w:ilvl w:val="0"/>
          <w:numId w:val="1404"/>
        </w:numPr>
        <w:pStyle w:val="Compact"/>
      </w:pPr>
      <w:r>
        <w:t xml:space="preserve">1997 · Chapman IM ·</w:t>
      </w:r>
      <w:r>
        <w:t xml:space="preserve"> </w:t>
      </w:r>
      <w:r>
        <w:rPr>
          <w:iCs/>
          <w:i/>
        </w:rPr>
        <w:t xml:space="preserve">J Clin Endocrinol Metab</w:t>
      </w:r>
      <w:r>
        <w:t xml:space="preserve"> </w:t>
      </w:r>
      <w:r>
        <w:t xml:space="preserve">· Oral administration of growth hormone (GH) releasing peptide-mimetic MK-677 stimulates the GH/insulin-like growth factor-I axis in selected GH-deficient adults. PMID 9329386</w:t>
      </w:r>
    </w:p>
    <w:p>
      <w:pPr>
        <w:numPr>
          <w:ilvl w:val="0"/>
          <w:numId w:val="1404"/>
        </w:numPr>
        <w:pStyle w:val="Compact"/>
      </w:pPr>
      <w:r>
        <w:t xml:space="preserve">1996 · Chapman IM ·</w:t>
      </w:r>
      <w:r>
        <w:t xml:space="preserve"> </w:t>
      </w:r>
      <w:r>
        <w:rPr>
          <w:iCs/>
          <w:i/>
        </w:rPr>
        <w:t xml:space="preserve">J Clin Endocrinol Metab</w:t>
      </w:r>
      <w:r>
        <w:t xml:space="preserve"> </w:t>
      </w:r>
      <w:r>
        <w:t xml:space="preserve">· Stimulation of the growth hormone (GH)-insulin-like growth factor I axis by daily oral administration of a GH secretogogue (MK-677) in healthy elderly subjects. PMID 8954023</w:t>
      </w:r>
    </w:p>
    <w:p>
      <w:pPr>
        <w:numPr>
          <w:ilvl w:val="0"/>
          <w:numId w:val="1404"/>
        </w:numPr>
        <w:pStyle w:val="Compact"/>
      </w:pPr>
      <w:r>
        <w:t xml:space="preserve">1996 · Copinschi G ·</w:t>
      </w:r>
      <w:r>
        <w:t xml:space="preserve"> </w:t>
      </w:r>
      <w:r>
        <w:rPr>
          <w:iCs/>
          <w:i/>
        </w:rPr>
        <w:t xml:space="preserve">J Clin Endocrinol Metab</w:t>
      </w:r>
      <w:r>
        <w:t xml:space="preserve"> </w:t>
      </w:r>
      <w:r>
        <w:t xml:space="preserve">· Effects of a 7-day treatment with a novel, orally active, growth hormone (GH) secretagogue, MK-677, on 24-hour GH profiles, insulin-like growth factor I, and adrenocortical function in normal young men. PMID 8768828</w:t>
      </w:r>
    </w:p>
    <w:bookmarkEnd w:id="3044"/>
    <w:bookmarkStart w:id="3045" w:name="semax-4"/>
    <w:p>
      <w:pPr>
        <w:pStyle w:val="Heading2"/>
      </w:pPr>
      <w:r>
        <w:t xml:space="preserve">Semax (4)</w:t>
      </w:r>
    </w:p>
    <w:p>
      <w:pPr>
        <w:numPr>
          <w:ilvl w:val="0"/>
          <w:numId w:val="1405"/>
        </w:numPr>
        <w:pStyle w:val="Compact"/>
      </w:pPr>
      <w:r>
        <w:t xml:space="preserve">2018 · Gusev EI ·</w:t>
      </w:r>
      <w:r>
        <w:t xml:space="preserve"> </w:t>
      </w:r>
      <w:r>
        <w:rPr>
          <w:iCs/>
          <w:i/>
        </w:rPr>
        <w:t xml:space="preserve">Zh Nevrol Psikhiatr Im S S Korsakova</w:t>
      </w:r>
      <w:r>
        <w:t xml:space="preserve"> </w:t>
      </w:r>
      <w:r>
        <w:t xml:space="preserve">· [The efficacy of semax in the tretament of patients at different stages of ischemic stroke]. PMID 29798983</w:t>
      </w:r>
    </w:p>
    <w:p>
      <w:pPr>
        <w:numPr>
          <w:ilvl w:val="0"/>
          <w:numId w:val="1405"/>
        </w:numPr>
        <w:pStyle w:val="Compact"/>
      </w:pPr>
      <w:r>
        <w:t xml:space="preserve">2007 · Serdiuk AV ·</w:t>
      </w:r>
      <w:r>
        <w:t xml:space="preserve"> </w:t>
      </w:r>
      <w:r>
        <w:rPr>
          <w:iCs/>
          <w:i/>
        </w:rPr>
        <w:t xml:space="preserve">Zh Nevrol Psikhiatr Im S S Korsakova</w:t>
      </w:r>
      <w:r>
        <w:t xml:space="preserve"> </w:t>
      </w:r>
      <w:r>
        <w:t xml:space="preserve">· [The study of chronic partial denervation and quality of life in patients with motor neuron disease treated with semax]. PMID 18379501</w:t>
      </w:r>
    </w:p>
    <w:p>
      <w:pPr>
        <w:numPr>
          <w:ilvl w:val="0"/>
          <w:numId w:val="1405"/>
        </w:numPr>
        <w:pStyle w:val="Compact"/>
      </w:pPr>
      <w:r>
        <w:t xml:space="preserve">2000 · Polunin GS ·</w:t>
      </w:r>
      <w:r>
        <w:t xml:space="preserve"> </w:t>
      </w:r>
      <w:r>
        <w:rPr>
          <w:iCs/>
          <w:i/>
        </w:rPr>
        <w:t xml:space="preserve">Vestn Oftalmol</w:t>
      </w:r>
      <w:r>
        <w:t xml:space="preserve"> </w:t>
      </w:r>
      <w:r>
        <w:t xml:space="preserve">· [Evaluation of therapeutic effect of new Russian drug semax in optic nerve disease]. PMID 10741256</w:t>
      </w:r>
    </w:p>
    <w:p>
      <w:pPr>
        <w:numPr>
          <w:ilvl w:val="0"/>
          <w:numId w:val="1405"/>
        </w:numPr>
        <w:pStyle w:val="Compact"/>
      </w:pPr>
      <w:r>
        <w:t xml:space="preserve">1997 · Gusev EI ·</w:t>
      </w:r>
      <w:r>
        <w:t xml:space="preserve"> </w:t>
      </w:r>
      <w:r>
        <w:rPr>
          <w:iCs/>
          <w:i/>
        </w:rPr>
        <w:t xml:space="preserve">Zh Nevrol Psikhiatr Im S S Korsakova</w:t>
      </w:r>
      <w:r>
        <w:t xml:space="preserve"> </w:t>
      </w:r>
      <w:r>
        <w:t xml:space="preserve">· [Effectiveness of semax in acute period of hemispheric ischemic stroke (a clinical and electrophysiological study)]. PMID 11517472</w:t>
      </w:r>
    </w:p>
    <w:bookmarkEnd w:id="3045"/>
    <w:bookmarkStart w:id="3046" w:name="selank-3"/>
    <w:p>
      <w:pPr>
        <w:pStyle w:val="Heading2"/>
      </w:pPr>
      <w:r>
        <w:t xml:space="preserve">Selank (3)</w:t>
      </w:r>
    </w:p>
    <w:p>
      <w:pPr>
        <w:numPr>
          <w:ilvl w:val="0"/>
          <w:numId w:val="1406"/>
        </w:numPr>
        <w:pStyle w:val="Compact"/>
      </w:pPr>
      <w:r>
        <w:t xml:space="preserve">2015 · Medvedev VE ·</w:t>
      </w:r>
      <w:r>
        <w:t xml:space="preserve"> </w:t>
      </w:r>
      <w:r>
        <w:rPr>
          <w:iCs/>
          <w:i/>
        </w:rPr>
        <w:t xml:space="preserve">Zh Nevrol Psikhiatr Im S S Korsakova</w:t>
      </w:r>
      <w:r>
        <w:t xml:space="preserve"> </w:t>
      </w:r>
      <w:r>
        <w:t xml:space="preserve">· [Optimization of the treatment of anxiety disorders with selank]. PMID 26356395</w:t>
      </w:r>
    </w:p>
    <w:p>
      <w:pPr>
        <w:numPr>
          <w:ilvl w:val="0"/>
          <w:numId w:val="1406"/>
        </w:numPr>
        <w:pStyle w:val="Compact"/>
      </w:pPr>
      <w:r>
        <w:t xml:space="preserve">2014 · Medvedev VE ·</w:t>
      </w:r>
      <w:r>
        <w:t xml:space="preserve"> </w:t>
      </w:r>
      <w:r>
        <w:rPr>
          <w:iCs/>
          <w:i/>
        </w:rPr>
        <w:t xml:space="preserve">Zh Nevrol Psikhiatr Im S S Korsakova</w:t>
      </w:r>
      <w:r>
        <w:t xml:space="preserve"> </w:t>
      </w:r>
      <w:r>
        <w:t xml:space="preserve">· [A comparison of the anxiolytic effect and tolerability of selank and phenazepam in the treatment of anxiety disorders]. PMID 25176261</w:t>
      </w:r>
    </w:p>
    <w:p>
      <w:pPr>
        <w:numPr>
          <w:ilvl w:val="0"/>
          <w:numId w:val="1406"/>
        </w:numPr>
        <w:pStyle w:val="Compact"/>
      </w:pPr>
      <w:r>
        <w:t xml:space="preserve">2008 · Zozulia AA ·</w:t>
      </w:r>
      <w:r>
        <w:t xml:space="preserve"> </w:t>
      </w:r>
      <w:r>
        <w:rPr>
          <w:iCs/>
          <w:i/>
        </w:rPr>
        <w:t xml:space="preserve">Zh Nevrol Psikhiatr Im S S Korsakova</w:t>
      </w:r>
      <w:r>
        <w:t xml:space="preserve"> </w:t>
      </w:r>
      <w:r>
        <w:t xml:space="preserve">· [Efficacy and possible mechanisms of action of a new peptide anxiolytic selank in the therapy of generalized anxiety disorders and neurasthenia]. PMID 18454096</w:t>
      </w:r>
    </w:p>
    <w:bookmarkEnd w:id="3046"/>
    <w:bookmarkStart w:id="3047" w:name="cerebrolisina-88"/>
    <w:p>
      <w:pPr>
        <w:pStyle w:val="Heading2"/>
      </w:pPr>
      <w:r>
        <w:t xml:space="preserve">Cerebrolisina (88)</w:t>
      </w:r>
    </w:p>
    <w:p>
      <w:pPr>
        <w:numPr>
          <w:ilvl w:val="0"/>
          <w:numId w:val="1407"/>
        </w:numPr>
        <w:pStyle w:val="Compact"/>
      </w:pPr>
      <w:r>
        <w:t xml:space="preserve">2025 · Kalinin MN ·</w:t>
      </w:r>
      <w:r>
        <w:t xml:space="preserve"> </w:t>
      </w:r>
      <w:r>
        <w:rPr>
          <w:iCs/>
          <w:i/>
        </w:rPr>
        <w:t xml:space="preserve">Zh Nevrol Psikhiatr Im S S Korsakova</w:t>
      </w:r>
      <w:r>
        <w:t xml:space="preserve"> </w:t>
      </w:r>
      <w:r>
        <w:t xml:space="preserve">· [Cerebrolysin with reperfusion therapy in ischemic stroke: a prospective analysis of multimodal brain imaging data from the CEREHETIS trial]. PMID 40577185</w:t>
      </w:r>
    </w:p>
    <w:p>
      <w:pPr>
        <w:numPr>
          <w:ilvl w:val="0"/>
          <w:numId w:val="1407"/>
        </w:numPr>
        <w:pStyle w:val="Compact"/>
      </w:pPr>
      <w:r>
        <w:t xml:space="preserve">2025 · Staszewski J ·</w:t>
      </w:r>
      <w:r>
        <w:t xml:space="preserve"> </w:t>
      </w:r>
      <w:r>
        <w:rPr>
          <w:iCs/>
          <w:i/>
        </w:rPr>
        <w:t xml:space="preserve">Transl Stroke Res</w:t>
      </w:r>
      <w:r>
        <w:t xml:space="preserve"> </w:t>
      </w:r>
      <w:r>
        <w:t xml:space="preserve">· Efficacy of Cerebrolysin Treatment as an Add-On Therapy to Mechanical Thrombectomy in Patients with Acute Ischemic Stroke Due to Large Vessel Occlusion in Anterior Circulation: Results of a 3-Month Follow-up of a Prospective, Open Label, Single-Center Study. PMID 40325343</w:t>
      </w:r>
    </w:p>
    <w:p>
      <w:pPr>
        <w:numPr>
          <w:ilvl w:val="0"/>
          <w:numId w:val="1407"/>
        </w:numPr>
        <w:pStyle w:val="Compact"/>
      </w:pPr>
      <w:r>
        <w:t xml:space="preserve">2025 · Kalinin MN ·</w:t>
      </w:r>
      <w:r>
        <w:t xml:space="preserve"> </w:t>
      </w:r>
      <w:r>
        <w:rPr>
          <w:iCs/>
          <w:i/>
        </w:rPr>
        <w:t xml:space="preserve">Zh Nevrol Psikhiatr Im S S Korsakova</w:t>
      </w:r>
      <w:r>
        <w:t xml:space="preserve"> </w:t>
      </w:r>
      <w:r>
        <w:t xml:space="preserve">· [Cerebrolysin and the optimal timing of anticoagulation resumption in stroke: combined post hoc survival analysis of the CEREHETIS trial]. PMID 40123141</w:t>
      </w:r>
    </w:p>
    <w:p>
      <w:pPr>
        <w:numPr>
          <w:ilvl w:val="0"/>
          <w:numId w:val="1407"/>
        </w:numPr>
        <w:pStyle w:val="Compact"/>
      </w:pPr>
      <w:r>
        <w:t xml:space="preserve">2025 · Homberg V ·</w:t>
      </w:r>
      <w:r>
        <w:t xml:space="preserve"> </w:t>
      </w:r>
      <w:r>
        <w:rPr>
          <w:iCs/>
          <w:i/>
        </w:rPr>
        <w:t xml:space="preserve">Stroke</w:t>
      </w:r>
      <w:r>
        <w:t xml:space="preserve"> </w:t>
      </w:r>
      <w:r>
        <w:t xml:space="preserve">· Speech Therapy Combined With Cerebrolysin in Enhancing Nonfluent Aphasia Recovery After Acute Ischemic Stroke: ESCAS Randomized Pilot Study. PMID 39957612</w:t>
      </w:r>
    </w:p>
    <w:p>
      <w:pPr>
        <w:numPr>
          <w:ilvl w:val="0"/>
          <w:numId w:val="1407"/>
        </w:numPr>
        <w:pStyle w:val="Compact"/>
      </w:pPr>
      <w:r>
        <w:t xml:space="preserve">2024 · Ponomareva EV ·</w:t>
      </w:r>
      <w:r>
        <w:t xml:space="preserve"> </w:t>
      </w:r>
      <w:r>
        <w:rPr>
          <w:iCs/>
          <w:i/>
        </w:rPr>
        <w:t xml:space="preserve">Zh Nevrol Psikhiatr Im S S Korsakova</w:t>
      </w:r>
      <w:r>
        <w:t xml:space="preserve"> </w:t>
      </w:r>
      <w:r>
        <w:t xml:space="preserve">· [Cerebrolysin in the preventive therapy of dementia in elderly patients with mild cognitive impairment: a three-year prospective comparative study]. PMID 39435777</w:t>
      </w:r>
    </w:p>
    <w:p>
      <w:pPr>
        <w:numPr>
          <w:ilvl w:val="0"/>
          <w:numId w:val="1407"/>
        </w:numPr>
        <w:pStyle w:val="Compact"/>
      </w:pPr>
      <w:r>
        <w:t xml:space="preserve">2023 · Firstenfeld AJ ·</w:t>
      </w:r>
      <w:r>
        <w:t xml:space="preserve"> </w:t>
      </w:r>
      <w:r>
        <w:rPr>
          <w:iCs/>
          <w:i/>
        </w:rPr>
        <w:t xml:space="preserve">J Med Life</w:t>
      </w:r>
      <w:r>
        <w:t xml:space="preserve"> </w:t>
      </w:r>
      <w:r>
        <w:t xml:space="preserve">· Add-on treatment with Cerebrolysin improves clinical symptoms in patients with ALS: results from a prospective, single-center, placebo-controlled, randomized, double-blind, phase II study. PMID 38585517</w:t>
      </w:r>
    </w:p>
    <w:p>
      <w:pPr>
        <w:numPr>
          <w:ilvl w:val="0"/>
          <w:numId w:val="1407"/>
        </w:numPr>
        <w:pStyle w:val="Compact"/>
      </w:pPr>
      <w:r>
        <w:t xml:space="preserve">2023 · Hamed SA ·</w:t>
      </w:r>
      <w:r>
        <w:t xml:space="preserve"> </w:t>
      </w:r>
      <w:r>
        <w:rPr>
          <w:iCs/>
          <w:i/>
        </w:rPr>
        <w:t xml:space="preserve">Expert Rev Clin Pharmacol</w:t>
      </w:r>
      <w:r>
        <w:t xml:space="preserve"> </w:t>
      </w:r>
      <w:r>
        <w:t xml:space="preserve">· The effectiveness of cerebrolysin, a multi-modal neurotrophic factor, for treatment of post-covid-19 persistent olfactory, gustatory and trigeminal chemosensory dysfunctions: a randomized clinical trial. PMID 37950370</w:t>
      </w:r>
    </w:p>
    <w:p>
      <w:pPr>
        <w:numPr>
          <w:ilvl w:val="0"/>
          <w:numId w:val="1407"/>
        </w:numPr>
        <w:pStyle w:val="Compact"/>
      </w:pPr>
      <w:r>
        <w:t xml:space="preserve">2023 · Khasanova DR ·</w:t>
      </w:r>
      <w:r>
        <w:t xml:space="preserve"> </w:t>
      </w:r>
      <w:r>
        <w:rPr>
          <w:iCs/>
          <w:i/>
        </w:rPr>
        <w:t xml:space="preserve">Zh Nevrol Psikhiatr Im S S Korsakova</w:t>
      </w:r>
      <w:r>
        <w:t xml:space="preserve"> </w:t>
      </w:r>
      <w:r>
        <w:t xml:space="preserve">· [Effects of simultaneous use of Cerebrolysin and alteplase on hemorrhagic transformation of brain infarction and functional outcome in stroke patients: CEREHETIS, a randomized, multicenter pilot trial]. PMID 37682097</w:t>
      </w:r>
    </w:p>
    <w:p>
      <w:pPr>
        <w:numPr>
          <w:ilvl w:val="0"/>
          <w:numId w:val="1407"/>
        </w:numPr>
        <w:pStyle w:val="Compact"/>
      </w:pPr>
      <w:r>
        <w:t xml:space="preserve">2023 · Khasanova DR ·</w:t>
      </w:r>
      <w:r>
        <w:t xml:space="preserve"> </w:t>
      </w:r>
      <w:r>
        <w:rPr>
          <w:iCs/>
          <w:i/>
        </w:rPr>
        <w:t xml:space="preserve">BMC Neurol</w:t>
      </w:r>
      <w:r>
        <w:t xml:space="preserve"> </w:t>
      </w:r>
      <w:r>
        <w:t xml:space="preserve">· Cerebrolysin as an Early Add-on to Reperfusion Therapy: Risk of Hemorrhagic Transformation after Ischemic Stroke (CEREHETIS), a prospective, randomized, multicenter pilot study. PMID 36973684</w:t>
      </w:r>
    </w:p>
    <w:p>
      <w:pPr>
        <w:numPr>
          <w:ilvl w:val="0"/>
          <w:numId w:val="1407"/>
        </w:numPr>
        <w:pStyle w:val="Compact"/>
      </w:pPr>
      <w:r>
        <w:t xml:space="preserve">2023 · Mitrović SZ ·</w:t>
      </w:r>
      <w:r>
        <w:t xml:space="preserve"> </w:t>
      </w:r>
      <w:r>
        <w:rPr>
          <w:iCs/>
          <w:i/>
        </w:rPr>
        <w:t xml:space="preserve">Medicina (Kaunas)</w:t>
      </w:r>
      <w:r>
        <w:t xml:space="preserve"> </w:t>
      </w:r>
      <w:r>
        <w:t xml:space="preserve">· Extended Poststroke Rehabilitation Combined with Cerebrolysin Promotes Upper Limb Motor Recovery in Early Subacute Phase of Rehabilitation: A Randomized Clinical Study. PMID 36837492</w:t>
      </w:r>
    </w:p>
    <w:p>
      <w:pPr>
        <w:numPr>
          <w:ilvl w:val="0"/>
          <w:numId w:val="1407"/>
        </w:numPr>
        <w:pStyle w:val="Compact"/>
      </w:pPr>
      <w:r>
        <w:t xml:space="preserve">2023 · Sharma A ·</w:t>
      </w:r>
      <w:r>
        <w:t xml:space="preserve"> </w:t>
      </w:r>
      <w:r>
        <w:rPr>
          <w:iCs/>
          <w:i/>
        </w:rPr>
        <w:t xml:space="preserve">Spine (Phila Pa 1976)</w:t>
      </w:r>
      <w:r>
        <w:t xml:space="preserve"> </w:t>
      </w:r>
      <w:r>
        <w:t xml:space="preserve">· Prospective Randomized Control Trial to Compare the Role of Injection Cerebrolysin for 10 Days Duration Against Placebo in Operated Cases of Degenerative Cervical Myelopathy. PMID 36730671</w:t>
      </w:r>
    </w:p>
    <w:p>
      <w:pPr>
        <w:numPr>
          <w:ilvl w:val="0"/>
          <w:numId w:val="1407"/>
        </w:numPr>
        <w:pStyle w:val="Compact"/>
      </w:pPr>
      <w:r>
        <w:t xml:space="preserve">2022 · Alvarez XA ·</w:t>
      </w:r>
      <w:r>
        <w:t xml:space="preserve"> </w:t>
      </w:r>
      <w:r>
        <w:rPr>
          <w:iCs/>
          <w:i/>
        </w:rPr>
        <w:t xml:space="preserve">J Alzheimers Dis</w:t>
      </w:r>
      <w:r>
        <w:t xml:space="preserve"> </w:t>
      </w:r>
      <w:r>
        <w:t xml:space="preserve">· Modulation of Amyloid-β and Tau in Alzheimer’s Disease Plasma Neuronal-Derived Extracellular Vesicles by Cerebrolysin® and Donepezil. PMID 36155516</w:t>
      </w:r>
    </w:p>
    <w:p>
      <w:pPr>
        <w:numPr>
          <w:ilvl w:val="0"/>
          <w:numId w:val="1407"/>
        </w:numPr>
        <w:pStyle w:val="Compact"/>
      </w:pPr>
      <w:r>
        <w:t xml:space="preserve">2022 · Sharma A ·</w:t>
      </w:r>
      <w:r>
        <w:t xml:space="preserve"> </w:t>
      </w:r>
      <w:r>
        <w:rPr>
          <w:iCs/>
          <w:i/>
        </w:rPr>
        <w:t xml:space="preserve">Spine (Phila Pa 1976)</w:t>
      </w:r>
      <w:r>
        <w:t xml:space="preserve"> </w:t>
      </w:r>
      <w:r>
        <w:t xml:space="preserve">· Prospective Randomized Control Pilot Study to Compare the Role of Injection Cerebrolysin in Operated cases of Degenerative Cervical Myelopathy. PMID 34889883</w:t>
      </w:r>
    </w:p>
    <w:p>
      <w:pPr>
        <w:numPr>
          <w:ilvl w:val="0"/>
          <w:numId w:val="1407"/>
        </w:numPr>
        <w:pStyle w:val="Compact"/>
      </w:pPr>
      <w:r>
        <w:t xml:space="preserve">2022 · Samir A ·</w:t>
      </w:r>
      <w:r>
        <w:t xml:space="preserve"> </w:t>
      </w:r>
      <w:r>
        <w:rPr>
          <w:iCs/>
          <w:i/>
        </w:rPr>
        <w:t xml:space="preserve">J Neonatal Perinatal Med</w:t>
      </w:r>
      <w:r>
        <w:t xml:space="preserve"> </w:t>
      </w:r>
      <w:r>
        <w:t xml:space="preserve">· Effect of cerebrolysin on neurodevelopmental outcome of high risk preterm infants: A randomized controlled trial. PMID 33935111</w:t>
      </w:r>
    </w:p>
    <w:p>
      <w:pPr>
        <w:numPr>
          <w:ilvl w:val="0"/>
          <w:numId w:val="1407"/>
        </w:numPr>
        <w:pStyle w:val="Compact"/>
      </w:pPr>
      <w:r>
        <w:t xml:space="preserve">2021 · Poljakovic Z ·</w:t>
      </w:r>
      <w:r>
        <w:t xml:space="preserve"> </w:t>
      </w:r>
      <w:r>
        <w:rPr>
          <w:iCs/>
          <w:i/>
        </w:rPr>
        <w:t xml:space="preserve">Clin Neurol Neurosurg</w:t>
      </w:r>
      <w:r>
        <w:t xml:space="preserve"> </w:t>
      </w:r>
      <w:r>
        <w:t xml:space="preserve">· Efficacy and safety of Cerebrolysin after futile recanalisation therapy in patients with severe stroke. PMID 34214867</w:t>
      </w:r>
    </w:p>
    <w:p>
      <w:pPr>
        <w:numPr>
          <w:ilvl w:val="0"/>
          <w:numId w:val="1407"/>
        </w:numPr>
        <w:pStyle w:val="Compact"/>
      </w:pPr>
      <w:r>
        <w:t xml:space="preserve">2020 · Woo PYM ·</w:t>
      </w:r>
      <w:r>
        <w:t xml:space="preserve"> </w:t>
      </w:r>
      <w:r>
        <w:rPr>
          <w:iCs/>
          <w:i/>
        </w:rPr>
        <w:t xml:space="preserve">BMC Neurol</w:t>
      </w:r>
      <w:r>
        <w:t xml:space="preserve"> </w:t>
      </w:r>
      <w:r>
        <w:t xml:space="preserve">· Randomized, placebo-controlled, double-blind, pilot trial to investigate safety and efficacy of Cerebrolysin in patients with aneurysmal subarachnoid hemorrhage. PMID 33143640</w:t>
      </w:r>
    </w:p>
    <w:p>
      <w:pPr>
        <w:numPr>
          <w:ilvl w:val="0"/>
          <w:numId w:val="1407"/>
        </w:numPr>
        <w:pStyle w:val="Compact"/>
      </w:pPr>
      <w:r>
        <w:t xml:space="preserve">2020 · Birle C ·</w:t>
      </w:r>
      <w:r>
        <w:t xml:space="preserve"> </w:t>
      </w:r>
      <w:r>
        <w:rPr>
          <w:iCs/>
          <w:i/>
        </w:rPr>
        <w:t xml:space="preserve">J Med Life</w:t>
      </w:r>
      <w:r>
        <w:t xml:space="preserve"> </w:t>
      </w:r>
      <w:r>
        <w:t xml:space="preserve">· The Effect of Cerebrolysin on the Predictive Value of Baseline Prognostic Risk Score in Moderate and Severe Traumatic Brain Injury. PMID 33072197</w:t>
      </w:r>
    </w:p>
    <w:p>
      <w:pPr>
        <w:numPr>
          <w:ilvl w:val="0"/>
          <w:numId w:val="1407"/>
        </w:numPr>
        <w:pStyle w:val="Compact"/>
      </w:pPr>
      <w:r>
        <w:t xml:space="preserve">2020 · Muresanu DF ·</w:t>
      </w:r>
      <w:r>
        <w:t xml:space="preserve"> </w:t>
      </w:r>
      <w:r>
        <w:rPr>
          <w:iCs/>
          <w:i/>
        </w:rPr>
        <w:t xml:space="preserve">Neurol Sci</w:t>
      </w:r>
      <w:r>
        <w:t xml:space="preserve"> </w:t>
      </w:r>
      <w:r>
        <w:t xml:space="preserve">· Efficacy and safety of cerebrolysin in neurorecovery after moderate-severe traumatic brain injury: results from the CAPTAIN II trial. PMID 31897941</w:t>
      </w:r>
    </w:p>
    <w:p>
      <w:pPr>
        <w:numPr>
          <w:ilvl w:val="0"/>
          <w:numId w:val="1407"/>
        </w:numPr>
        <w:pStyle w:val="Compact"/>
      </w:pPr>
      <w:r>
        <w:t xml:space="preserve">2020 · Poon W ·</w:t>
      </w:r>
      <w:r>
        <w:t xml:space="preserve"> </w:t>
      </w:r>
      <w:r>
        <w:rPr>
          <w:iCs/>
          <w:i/>
        </w:rPr>
        <w:t xml:space="preserve">Neurol Sci</w:t>
      </w:r>
      <w:r>
        <w:t xml:space="preserve"> </w:t>
      </w:r>
      <w:r>
        <w:t xml:space="preserve">· Safety and efficacy of Cerebrolysin in acute brain injury and neurorecovery: CAPTAIN I-a randomized, placebo-controlled, double-blind, Asian-Pacific trial. PMID 31494820</w:t>
      </w:r>
    </w:p>
    <w:p>
      <w:pPr>
        <w:numPr>
          <w:ilvl w:val="0"/>
          <w:numId w:val="1407"/>
        </w:numPr>
        <w:pStyle w:val="Compact"/>
      </w:pPr>
      <w:r>
        <w:t xml:space="preserve">2018 · Allam AFA ·</w:t>
      </w:r>
      <w:r>
        <w:t xml:space="preserve"> </w:t>
      </w:r>
      <w:r>
        <w:rPr>
          <w:iCs/>
          <w:i/>
        </w:rPr>
        <w:t xml:space="preserve">Spine J</w:t>
      </w:r>
      <w:r>
        <w:t xml:space="preserve"> </w:t>
      </w:r>
      <w:r>
        <w:t xml:space="preserve">· Role of Cerebrolysin in cervical spondylotic myelopathy patients: a prospective randomized study. PMID 29155000</w:t>
      </w:r>
    </w:p>
    <w:p>
      <w:pPr>
        <w:numPr>
          <w:ilvl w:val="0"/>
          <w:numId w:val="1407"/>
        </w:numPr>
        <w:pStyle w:val="Compact"/>
      </w:pPr>
      <w:r>
        <w:t xml:space="preserve">2017 · Stan A ·</w:t>
      </w:r>
      <w:r>
        <w:t xml:space="preserve"> </w:t>
      </w:r>
      <w:r>
        <w:rPr>
          <w:iCs/>
          <w:i/>
        </w:rPr>
        <w:t xml:space="preserve">J Med Life</w:t>
      </w:r>
      <w:r>
        <w:t xml:space="preserve"> </w:t>
      </w:r>
      <w:r>
        <w:t xml:space="preserve">· Cerebrolysin and early neurorehabilitation in patients with acute ischemic stroke: a prospective, randomized, placebo-controlled clinical study. PMID 29362596</w:t>
      </w:r>
    </w:p>
    <w:p>
      <w:pPr>
        <w:numPr>
          <w:ilvl w:val="0"/>
          <w:numId w:val="1407"/>
        </w:numPr>
        <w:pStyle w:val="Compact"/>
      </w:pPr>
      <w:r>
        <w:t xml:space="preserve">2017 · Karakulova YV ·</w:t>
      </w:r>
      <w:r>
        <w:t xml:space="preserve"> </w:t>
      </w:r>
      <w:r>
        <w:rPr>
          <w:iCs/>
          <w:i/>
        </w:rPr>
        <w:t xml:space="preserve">Zh Nevrol Psikhiatr Im S S Korsakova</w:t>
      </w:r>
      <w:r>
        <w:t xml:space="preserve"> </w:t>
      </w:r>
      <w:r>
        <w:t xml:space="preserve">· [Monitoring of neurotrophic factors and cognitive function in patients with traumatic brain injury]. PMID 29171486</w:t>
      </w:r>
    </w:p>
    <w:p>
      <w:pPr>
        <w:numPr>
          <w:ilvl w:val="0"/>
          <w:numId w:val="1407"/>
        </w:numPr>
        <w:pStyle w:val="Compact"/>
      </w:pPr>
      <w:r>
        <w:t xml:space="preserve">2017 · Gharagozli K ·</w:t>
      </w:r>
      <w:r>
        <w:t xml:space="preserve"> </w:t>
      </w:r>
      <w:r>
        <w:rPr>
          <w:iCs/>
          <w:i/>
        </w:rPr>
        <w:t xml:space="preserve">J Med Life</w:t>
      </w:r>
      <w:r>
        <w:t xml:space="preserve"> </w:t>
      </w:r>
      <w:r>
        <w:t xml:space="preserve">· Efficacy and safety of Cerebrolysin treatment in early recovery after acute ischemic stroke: a randomized, placebo-controlled, double-blinded, multicenter clinical trial. PMID 29075343</w:t>
      </w:r>
    </w:p>
    <w:p>
      <w:pPr>
        <w:numPr>
          <w:ilvl w:val="0"/>
          <w:numId w:val="1407"/>
        </w:numPr>
        <w:pStyle w:val="Compact"/>
      </w:pPr>
      <w:r>
        <w:t xml:space="preserve">2017 · Nasiri J ·</w:t>
      </w:r>
      <w:r>
        <w:t xml:space="preserve"> </w:t>
      </w:r>
      <w:r>
        <w:rPr>
          <w:iCs/>
          <w:i/>
        </w:rPr>
        <w:t xml:space="preserve">Acta Neurol Belg</w:t>
      </w:r>
      <w:r>
        <w:t xml:space="preserve"> </w:t>
      </w:r>
      <w:r>
        <w:t xml:space="preserve">· Effect of cerebrolysin on gross motor function of children with cerebral palsy: a clinical trial. PMID 28074392</w:t>
      </w:r>
    </w:p>
    <w:p>
      <w:pPr>
        <w:numPr>
          <w:ilvl w:val="0"/>
          <w:numId w:val="1407"/>
        </w:numPr>
        <w:pStyle w:val="Compact"/>
      </w:pPr>
      <w:r>
        <w:t xml:space="preserve">2016 · Khabirov FA ·</w:t>
      </w:r>
      <w:r>
        <w:t xml:space="preserve"> </w:t>
      </w:r>
      <w:r>
        <w:rPr>
          <w:iCs/>
          <w:i/>
        </w:rPr>
        <w:t xml:space="preserve">Zh Nevrol Psikhiatr Im S S Korsakova</w:t>
      </w:r>
      <w:r>
        <w:t xml:space="preserve"> </w:t>
      </w:r>
      <w:r>
        <w:t xml:space="preserve">· [Effect of cerebrolysin on remyelination processes in multiple sclerosis patients in stage of relapse regression]. PMID 28139626</w:t>
      </w:r>
    </w:p>
    <w:p>
      <w:pPr>
        <w:numPr>
          <w:ilvl w:val="0"/>
          <w:numId w:val="1407"/>
        </w:numPr>
        <w:pStyle w:val="Compact"/>
      </w:pPr>
      <w:r>
        <w:t xml:space="preserve">2016 · Iznak AF ·</w:t>
      </w:r>
      <w:r>
        <w:t xml:space="preserve"> </w:t>
      </w:r>
      <w:r>
        <w:rPr>
          <w:iCs/>
          <w:i/>
        </w:rPr>
        <w:t xml:space="preserve">Zh Nevrol Psikhiatr Im S S Korsakova</w:t>
      </w:r>
      <w:r>
        <w:t xml:space="preserve"> </w:t>
      </w:r>
      <w:r>
        <w:t xml:space="preserve">· [Comparative dynamics of EEG parameters in elderly depressive patients during monotherapy and combined therapy]. PMID 26977625</w:t>
      </w:r>
    </w:p>
    <w:p>
      <w:pPr>
        <w:numPr>
          <w:ilvl w:val="0"/>
          <w:numId w:val="1407"/>
        </w:numPr>
        <w:pStyle w:val="Compact"/>
      </w:pPr>
      <w:r>
        <w:t xml:space="preserve">2016 · Chang WH ·</w:t>
      </w:r>
      <w:r>
        <w:t xml:space="preserve"> </w:t>
      </w:r>
      <w:r>
        <w:rPr>
          <w:iCs/>
          <w:i/>
        </w:rPr>
        <w:t xml:space="preserve">BMC Neurol</w:t>
      </w:r>
      <w:r>
        <w:t xml:space="preserve"> </w:t>
      </w:r>
      <w:r>
        <w:t xml:space="preserve">· Cerebrolysin combined with rehabilitation promotes motor recovery in patients with severe motor impairment after stroke. PMID 26934986</w:t>
      </w:r>
    </w:p>
    <w:p>
      <w:pPr>
        <w:numPr>
          <w:ilvl w:val="0"/>
          <w:numId w:val="1407"/>
        </w:numPr>
        <w:pStyle w:val="Compact"/>
      </w:pPr>
      <w:r>
        <w:t xml:space="preserve">2016 · Muresanu DF ·</w:t>
      </w:r>
      <w:r>
        <w:t xml:space="preserve"> </w:t>
      </w:r>
      <w:r>
        <w:rPr>
          <w:iCs/>
          <w:i/>
        </w:rPr>
        <w:t xml:space="preserve">Stroke</w:t>
      </w:r>
      <w:r>
        <w:t xml:space="preserve"> </w:t>
      </w:r>
      <w:r>
        <w:t xml:space="preserve">· Cerebrolysin and Recovery After Stroke (CARS): A Randomized, Placebo-Controlled, Double-Blind, Multicenter Trial. PMID 26564102</w:t>
      </w:r>
    </w:p>
    <w:p>
      <w:pPr>
        <w:numPr>
          <w:ilvl w:val="0"/>
          <w:numId w:val="1407"/>
        </w:numPr>
        <w:pStyle w:val="Compact"/>
      </w:pPr>
      <w:r>
        <w:t xml:space="preserve">2015 · Shishkova VN ·</w:t>
      </w:r>
      <w:r>
        <w:t xml:space="preserve"> </w:t>
      </w:r>
      <w:r>
        <w:rPr>
          <w:iCs/>
          <w:i/>
        </w:rPr>
        <w:t xml:space="preserve">Zh Nevrol Psikhiatr Im S S Korsakova</w:t>
      </w:r>
      <w:r>
        <w:t xml:space="preserve"> </w:t>
      </w:r>
      <w:r>
        <w:t xml:space="preserve">· [An assessment of cerebrolysin effect on BDNF level in patients with post stroke aphasia depending on carbohydrate metabolism disorders]. PMID 26356162</w:t>
      </w:r>
    </w:p>
    <w:p>
      <w:pPr>
        <w:numPr>
          <w:ilvl w:val="0"/>
          <w:numId w:val="1407"/>
        </w:numPr>
        <w:pStyle w:val="Compact"/>
      </w:pPr>
      <w:r>
        <w:t xml:space="preserve">2014 · Talypov AE ·</w:t>
      </w:r>
      <w:r>
        <w:t xml:space="preserve"> </w:t>
      </w:r>
      <w:r>
        <w:rPr>
          <w:iCs/>
          <w:i/>
        </w:rPr>
        <w:t xml:space="preserve">Zh Nevrol Psikhiatr Im S S Korsakova</w:t>
      </w:r>
      <w:r>
        <w:t xml:space="preserve"> </w:t>
      </w:r>
      <w:r>
        <w:t xml:space="preserve">· [Cerebrolysin in the treatment of brain injuries of moderate severity]. PMID 25591645</w:t>
      </w:r>
    </w:p>
    <w:p>
      <w:pPr>
        <w:numPr>
          <w:ilvl w:val="0"/>
          <w:numId w:val="1407"/>
        </w:numPr>
        <w:pStyle w:val="Compact"/>
      </w:pPr>
      <w:r>
        <w:t xml:space="preserve">2014 · Anisimova AV ·</w:t>
      </w:r>
      <w:r>
        <w:t xml:space="preserve"> </w:t>
      </w:r>
      <w:r>
        <w:rPr>
          <w:iCs/>
          <w:i/>
        </w:rPr>
        <w:t xml:space="preserve">Zh Nevrol Psikhiatr Im S S Korsakova</w:t>
      </w:r>
      <w:r>
        <w:t xml:space="preserve"> </w:t>
      </w:r>
      <w:r>
        <w:t xml:space="preserve">· [An impact of neuroprotective therapy on blood rheological and morphodensitometric parameters in patients with chronic cerebral ischemia]. PMID 25591521</w:t>
      </w:r>
    </w:p>
    <w:p>
      <w:pPr>
        <w:numPr>
          <w:ilvl w:val="0"/>
          <w:numId w:val="1407"/>
        </w:numPr>
        <w:pStyle w:val="Compact"/>
      </w:pPr>
      <w:r>
        <w:t xml:space="preserve">2014 · Anisimova AV ·</w:t>
      </w:r>
      <w:r>
        <w:t xml:space="preserve"> </w:t>
      </w:r>
      <w:r>
        <w:rPr>
          <w:iCs/>
          <w:i/>
        </w:rPr>
        <w:t xml:space="preserve">Zh Nevrol Psikhiatr Im S S Korsakova</w:t>
      </w:r>
      <w:r>
        <w:t xml:space="preserve"> </w:t>
      </w:r>
      <w:r>
        <w:t xml:space="preserve">· [Neuroprotective treatment of chronic cerebrovascular insufficiency]. PMID 25176263</w:t>
      </w:r>
    </w:p>
    <w:p>
      <w:pPr>
        <w:numPr>
          <w:ilvl w:val="0"/>
          <w:numId w:val="1407"/>
        </w:numPr>
        <w:pStyle w:val="Compact"/>
      </w:pPr>
      <w:r>
        <w:t xml:space="preserve">2013 · Zavadenko NN ·</w:t>
      </w:r>
      <w:r>
        <w:t xml:space="preserve"> </w:t>
      </w:r>
      <w:r>
        <w:rPr>
          <w:iCs/>
          <w:i/>
        </w:rPr>
        <w:t xml:space="preserve">Zh Nevrol Psikhiatr Im S S Korsakova</w:t>
      </w:r>
      <w:r>
        <w:t xml:space="preserve"> </w:t>
      </w:r>
      <w:r>
        <w:t xml:space="preserve">· [Developmental dysphasia in children: perspectives of neurotrophic therapy]. PMID 23739513</w:t>
      </w:r>
    </w:p>
    <w:p>
      <w:pPr>
        <w:numPr>
          <w:ilvl w:val="0"/>
          <w:numId w:val="1407"/>
        </w:numPr>
        <w:pStyle w:val="Compact"/>
      </w:pPr>
      <w:r>
        <w:t xml:space="preserve">2013 · Chen CC ·</w:t>
      </w:r>
      <w:r>
        <w:t xml:space="preserve"> </w:t>
      </w:r>
      <w:r>
        <w:rPr>
          <w:iCs/>
          <w:i/>
        </w:rPr>
        <w:t xml:space="preserve">Br J Neurosurg</w:t>
      </w:r>
      <w:r>
        <w:t xml:space="preserve"> </w:t>
      </w:r>
      <w:r>
        <w:t xml:space="preserve">· Cerebrolysin enhances cognitive recovery of mild traumatic brain injury patients: double-blind, placebo-controlled, randomized study. PMID 23656173</w:t>
      </w:r>
    </w:p>
    <w:p>
      <w:pPr>
        <w:numPr>
          <w:ilvl w:val="0"/>
          <w:numId w:val="1407"/>
        </w:numPr>
        <w:pStyle w:val="Compact"/>
      </w:pPr>
      <w:r>
        <w:t xml:space="preserve">2013 · Lang W ·</w:t>
      </w:r>
      <w:r>
        <w:t xml:space="preserve"> </w:t>
      </w:r>
      <w:r>
        <w:rPr>
          <w:iCs/>
          <w:i/>
        </w:rPr>
        <w:t xml:space="preserve">Int J Stroke</w:t>
      </w:r>
      <w:r>
        <w:t xml:space="preserve"> </w:t>
      </w:r>
      <w:r>
        <w:t xml:space="preserve">· A prospective, randomized, placebo-controlled, double-blind trial about safety and efficacy of combined treatment with alteplase (rt-PA) and Cerebrolysin in acute ischaemic hemispheric stroke. PMID 23009193</w:t>
      </w:r>
    </w:p>
    <w:p>
      <w:pPr>
        <w:numPr>
          <w:ilvl w:val="0"/>
          <w:numId w:val="1407"/>
        </w:numPr>
        <w:pStyle w:val="Compact"/>
      </w:pPr>
      <w:r>
        <w:t xml:space="preserve">2012 · Xiao S ·</w:t>
      </w:r>
      <w:r>
        <w:t xml:space="preserve"> </w:t>
      </w:r>
      <w:r>
        <w:rPr>
          <w:iCs/>
          <w:i/>
        </w:rPr>
        <w:t xml:space="preserve">Aust N Z J Psychiatry</w:t>
      </w:r>
      <w:r>
        <w:t xml:space="preserve"> </w:t>
      </w:r>
      <w:r>
        <w:t xml:space="preserve">· Therapeutic effects of cerebrolysin added to risperidone in patients with schizophrenia dominated by negative symptoms. PMID 22311531</w:t>
      </w:r>
    </w:p>
    <w:p>
      <w:pPr>
        <w:numPr>
          <w:ilvl w:val="0"/>
          <w:numId w:val="1407"/>
        </w:numPr>
        <w:pStyle w:val="Compact"/>
      </w:pPr>
      <w:r>
        <w:t xml:space="preserve">2012 · Heiss WD ·</w:t>
      </w:r>
      <w:r>
        <w:t xml:space="preserve"> </w:t>
      </w:r>
      <w:r>
        <w:rPr>
          <w:iCs/>
          <w:i/>
        </w:rPr>
        <w:t xml:space="preserve">Stroke</w:t>
      </w:r>
      <w:r>
        <w:t xml:space="preserve"> </w:t>
      </w:r>
      <w:r>
        <w:t xml:space="preserve">· Cerebrolysin in patients with acute ischemic stroke in Asia: results of a double-blind, placebo-controlled randomized trial. PMID 22282884</w:t>
      </w:r>
    </w:p>
    <w:p>
      <w:pPr>
        <w:numPr>
          <w:ilvl w:val="0"/>
          <w:numId w:val="1407"/>
        </w:numPr>
        <w:pStyle w:val="Compact"/>
      </w:pPr>
      <w:r>
        <w:t xml:space="preserve">2011 · Ershov VI ·</w:t>
      </w:r>
      <w:r>
        <w:t xml:space="preserve"> </w:t>
      </w:r>
      <w:r>
        <w:rPr>
          <w:iCs/>
          <w:i/>
        </w:rPr>
        <w:t xml:space="preserve">Zh Nevrol Psikhiatr Im S S Korsakova</w:t>
      </w:r>
      <w:r>
        <w:t xml:space="preserve"> </w:t>
      </w:r>
      <w:r>
        <w:t xml:space="preserve">· [Comparative aspects of using neuroprotectors in the management of patients with ischemic stroke]. PMID 22224244</w:t>
      </w:r>
    </w:p>
    <w:p>
      <w:pPr>
        <w:numPr>
          <w:ilvl w:val="0"/>
          <w:numId w:val="1407"/>
        </w:numPr>
        <w:pStyle w:val="Compact"/>
      </w:pPr>
      <w:r>
        <w:t xml:space="preserve">2011 · Alvarez XA ·</w:t>
      </w:r>
      <w:r>
        <w:t xml:space="preserve"> </w:t>
      </w:r>
      <w:r>
        <w:rPr>
          <w:iCs/>
          <w:i/>
        </w:rPr>
        <w:t xml:space="preserve">Curr Alzheimer Res</w:t>
      </w:r>
      <w:r>
        <w:t xml:space="preserve"> </w:t>
      </w:r>
      <w:r>
        <w:t xml:space="preserve">· Combination treatment in Alzheimer’s disease: results of a randomized, controlled trial with cerebrolysin and donepezil. PMID 21679156</w:t>
      </w:r>
    </w:p>
    <w:p>
      <w:pPr>
        <w:numPr>
          <w:ilvl w:val="0"/>
          <w:numId w:val="1407"/>
        </w:numPr>
        <w:pStyle w:val="Compact"/>
      </w:pPr>
      <w:r>
        <w:t xml:space="preserve">2011 · Zhivolupov SA ·</w:t>
      </w:r>
      <w:r>
        <w:t xml:space="preserve"> </w:t>
      </w:r>
      <w:r>
        <w:rPr>
          <w:iCs/>
          <w:i/>
        </w:rPr>
        <w:t xml:space="preserve">Zh Nevrol Psikhiatr Im S S Korsakova</w:t>
      </w:r>
      <w:r>
        <w:t xml:space="preserve"> </w:t>
      </w:r>
      <w:r>
        <w:t xml:space="preserve">· [The сomparative analysis of neyromidin and cerebrolysin effects on neurodynamic processes during craniocerebral injury]. PMID 21512498</w:t>
      </w:r>
    </w:p>
    <w:p>
      <w:pPr>
        <w:numPr>
          <w:ilvl w:val="0"/>
          <w:numId w:val="1407"/>
        </w:numPr>
        <w:pStyle w:val="Compact"/>
      </w:pPr>
      <w:r>
        <w:t xml:space="preserve">2011 · Bogdanov EI ·</w:t>
      </w:r>
      <w:r>
        <w:t xml:space="preserve"> </w:t>
      </w:r>
      <w:r>
        <w:rPr>
          <w:iCs/>
          <w:i/>
        </w:rPr>
        <w:t xml:space="preserve">Zh Nevrol Psikhiatr Im S S Korsakova</w:t>
      </w:r>
      <w:r>
        <w:t xml:space="preserve"> </w:t>
      </w:r>
      <w:r>
        <w:t xml:space="preserve">· [Efficiency of cerebrolysin in the diabetic polyneuropathy in patients with insulin-dependency diabetes mellitus]. PMID 21350421</w:t>
      </w:r>
    </w:p>
    <w:p>
      <w:pPr>
        <w:numPr>
          <w:ilvl w:val="0"/>
          <w:numId w:val="1407"/>
        </w:numPr>
        <w:pStyle w:val="Compact"/>
      </w:pPr>
      <w:r>
        <w:t xml:space="preserve">2011 · Guekht AB ·</w:t>
      </w:r>
      <w:r>
        <w:t xml:space="preserve"> </w:t>
      </w:r>
      <w:r>
        <w:rPr>
          <w:iCs/>
          <w:i/>
        </w:rPr>
        <w:t xml:space="preserve">J Stroke Cerebrovasc Dis</w:t>
      </w:r>
      <w:r>
        <w:t xml:space="preserve"> </w:t>
      </w:r>
      <w:r>
        <w:t xml:space="preserve">· Cerebrolysin in vascular dementia: improvement of clinical outcome in a randomized, double-blind, placebo-controlled multicenter trial. PMID 20656516</w:t>
      </w:r>
    </w:p>
    <w:p>
      <w:pPr>
        <w:numPr>
          <w:ilvl w:val="0"/>
          <w:numId w:val="1407"/>
        </w:numPr>
        <w:pStyle w:val="Compact"/>
      </w:pPr>
      <w:r>
        <w:t xml:space="preserve">2011 · Alvarez XA ·</w:t>
      </w:r>
      <w:r>
        <w:t xml:space="preserve"> </w:t>
      </w:r>
      <w:r>
        <w:rPr>
          <w:iCs/>
          <w:i/>
        </w:rPr>
        <w:t xml:space="preserve">Eur J Neurol</w:t>
      </w:r>
      <w:r>
        <w:t xml:space="preserve"> </w:t>
      </w:r>
      <w:r>
        <w:t xml:space="preserve">· Efficacy and safety of Cerebrolysin in moderate to moderately severe Alzheimer’s disease: results of a randomized, double-blind, controlled trial investigating three dosages of Cerebrolysin. PMID 20500802</w:t>
      </w:r>
    </w:p>
    <w:p>
      <w:pPr>
        <w:numPr>
          <w:ilvl w:val="0"/>
          <w:numId w:val="1407"/>
        </w:numPr>
        <w:pStyle w:val="Compact"/>
      </w:pPr>
      <w:r>
        <w:t xml:space="preserve">2010 · Shamalov NA ·</w:t>
      </w:r>
      <w:r>
        <w:t xml:space="preserve"> </w:t>
      </w:r>
      <w:r>
        <w:rPr>
          <w:iCs/>
          <w:i/>
        </w:rPr>
        <w:t xml:space="preserve">Zh Nevrol Psikhiatr Im S S Korsakova</w:t>
      </w:r>
      <w:r>
        <w:t xml:space="preserve"> </w:t>
      </w:r>
      <w:r>
        <w:t xml:space="preserve">· [The effect of cerebrolysin in dosage 50 ml on the volume of lesion in ischemic stroke]. PMID 21626816</w:t>
      </w:r>
    </w:p>
    <w:p>
      <w:pPr>
        <w:numPr>
          <w:ilvl w:val="0"/>
          <w:numId w:val="1407"/>
        </w:numPr>
        <w:pStyle w:val="Compact"/>
      </w:pPr>
      <w:r>
        <w:t xml:space="preserve">2010 · Iznak EV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21322822</w:t>
      </w:r>
    </w:p>
    <w:p>
      <w:pPr>
        <w:numPr>
          <w:ilvl w:val="0"/>
          <w:numId w:val="1407"/>
        </w:numPr>
        <w:pStyle w:val="Compact"/>
      </w:pPr>
      <w:r>
        <w:t xml:space="preserve">2010 · Bajenaru O ·</w:t>
      </w:r>
      <w:r>
        <w:t xml:space="preserve"> </w:t>
      </w:r>
      <w:r>
        <w:rPr>
          <w:iCs/>
          <w:i/>
        </w:rPr>
        <w:t xml:space="preserve">J Med Life</w:t>
      </w:r>
      <w:r>
        <w:t xml:space="preserve"> </w:t>
      </w:r>
      <w:r>
        <w:t xml:space="preserve">· Efficacy and safety of Cerebrolysin in patients with hemorrhagic stroke. PMID 20968198</w:t>
      </w:r>
    </w:p>
    <w:p>
      <w:pPr>
        <w:numPr>
          <w:ilvl w:val="0"/>
          <w:numId w:val="1407"/>
        </w:numPr>
        <w:pStyle w:val="Compact"/>
      </w:pPr>
      <w:r>
        <w:t xml:space="preserve">2010 · Jianu DC ·</w:t>
      </w:r>
      <w:r>
        <w:t xml:space="preserve"> </w:t>
      </w:r>
      <w:r>
        <w:rPr>
          <w:iCs/>
          <w:i/>
        </w:rPr>
        <w:t xml:space="preserve">J Med Life</w:t>
      </w:r>
      <w:r>
        <w:t xml:space="preserve"> </w:t>
      </w:r>
      <w:r>
        <w:t xml:space="preserve">· Cerebrolysin adjuvant treatment in Broca’s aphasics following first acute ischemic stroke of the left middle cerebral artery. PMID 20945821</w:t>
      </w:r>
    </w:p>
    <w:p>
      <w:pPr>
        <w:numPr>
          <w:ilvl w:val="0"/>
          <w:numId w:val="1407"/>
        </w:numPr>
        <w:pStyle w:val="Compact"/>
      </w:pPr>
      <w:r>
        <w:t xml:space="preserve">2010 · Muresanu DF ·</w:t>
      </w:r>
      <w:r>
        <w:t xml:space="preserve"> </w:t>
      </w:r>
      <w:r>
        <w:rPr>
          <w:iCs/>
          <w:i/>
        </w:rPr>
        <w:t xml:space="preserve">J Neurol Sci</w:t>
      </w:r>
      <w:r>
        <w:t xml:space="preserve"> </w:t>
      </w:r>
      <w:r>
        <w:t xml:space="preserve">· Persistence of the effects of Cerebrolysin on cognition and qEEG slowing in vascular dementia patients: results of a 3-month extension study. PMID 20923712</w:t>
      </w:r>
    </w:p>
    <w:p>
      <w:pPr>
        <w:numPr>
          <w:ilvl w:val="0"/>
          <w:numId w:val="1407"/>
        </w:numPr>
        <w:pStyle w:val="Compact"/>
      </w:pPr>
      <w:r>
        <w:t xml:space="preserve">2010 ·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20559264</w:t>
      </w:r>
    </w:p>
    <w:p>
      <w:pPr>
        <w:numPr>
          <w:ilvl w:val="0"/>
          <w:numId w:val="1407"/>
        </w:numPr>
        <w:pStyle w:val="Compact"/>
      </w:pPr>
      <w:r>
        <w:t xml:space="preserve">2010 · Gavrilova SI ·</w:t>
      </w:r>
      <w:r>
        <w:t xml:space="preserve"> </w:t>
      </w:r>
      <w:r>
        <w:rPr>
          <w:iCs/>
          <w:i/>
        </w:rPr>
        <w:t xml:space="preserve">Zh Nevrol Psikhiatr Im S S Korsakova</w:t>
      </w:r>
      <w:r>
        <w:t xml:space="preserve"> </w:t>
      </w:r>
      <w:r>
        <w:t xml:space="preserve">· [Possibilities of preventive treatment of Alzheimer’s disease: results of the 3-year open prospective comparative study on efficacy and safety of the course therapy with cerebrolysin and cavinton in elderly patients with the syndrome of mild cognitive impairment]. PMID 20436440</w:t>
      </w:r>
    </w:p>
    <w:p>
      <w:pPr>
        <w:numPr>
          <w:ilvl w:val="0"/>
          <w:numId w:val="1407"/>
        </w:numPr>
        <w:pStyle w:val="Compact"/>
      </w:pPr>
      <w:r>
        <w:t xml:space="preserve">2009 · Hong Z ·</w:t>
      </w:r>
      <w:r>
        <w:t xml:space="preserve"> </w:t>
      </w:r>
      <w:r>
        <w:rPr>
          <w:iCs/>
          <w:i/>
        </w:rPr>
        <w:t xml:space="preserve">Int J Stroke</w:t>
      </w:r>
      <w:r>
        <w:t xml:space="preserve"> </w:t>
      </w:r>
      <w:r>
        <w:t xml:space="preserve">· A double-blind, placebo-controlled, randomized trial to evaluate the safety and efficacy of Cerebrolysin in patients with acute ischaemic stroke in Asia–CASTA. PMID 19765131</w:t>
      </w:r>
    </w:p>
    <w:p>
      <w:pPr>
        <w:numPr>
          <w:ilvl w:val="0"/>
          <w:numId w:val="1407"/>
        </w:numPr>
        <w:pStyle w:val="Compact"/>
      </w:pPr>
      <w:r>
        <w:t xml:space="preserve">2009 · Alvarez XA ·</w:t>
      </w:r>
      <w:r>
        <w:t xml:space="preserve"> </w:t>
      </w:r>
      <w:r>
        <w:rPr>
          <w:iCs/>
          <w:i/>
        </w:rPr>
        <w:t xml:space="preserve">Int J Neuropsychopharmacol</w:t>
      </w:r>
      <w:r>
        <w:t xml:space="preserve"> </w:t>
      </w:r>
      <w:r>
        <w:t xml:space="preserve">· Reduced TNF-α and increased IGF-I levels in the serum of Alzheimer’s disease patients treated with the neurotrophic agent cerebrolysin. PMID 19531281</w:t>
      </w:r>
    </w:p>
    <w:p>
      <w:pPr>
        <w:numPr>
          <w:ilvl w:val="0"/>
          <w:numId w:val="1407"/>
        </w:numPr>
        <w:pStyle w:val="Compact"/>
      </w:pPr>
      <w:r>
        <w:t xml:space="preserve">2009 · Maksimova MIu ·</w:t>
      </w:r>
      <w:r>
        <w:t xml:space="preserve"> </w:t>
      </w:r>
      <w:r>
        <w:rPr>
          <w:iCs/>
          <w:i/>
        </w:rPr>
        <w:t xml:space="preserve">Zh Nevrol Psikhiatr Im S S Korsakova</w:t>
      </w:r>
      <w:r>
        <w:t xml:space="preserve"> </w:t>
      </w:r>
      <w:r>
        <w:t xml:space="preserve">· [Effectiveness of cerebrolysin in hypertensive supratentorial intracranial hemorrhages: results of a randomized triple blind placebo-controled study]. PMID 19156082</w:t>
      </w:r>
    </w:p>
    <w:p>
      <w:pPr>
        <w:numPr>
          <w:ilvl w:val="0"/>
          <w:numId w:val="1407"/>
        </w:numPr>
        <w:pStyle w:val="Compact"/>
      </w:pPr>
      <w:r>
        <w:t xml:space="preserve">2008 · Kul’chikov AE ·</w:t>
      </w:r>
      <w:r>
        <w:t xml:space="preserve"> </w:t>
      </w:r>
      <w:r>
        <w:rPr>
          <w:iCs/>
          <w:i/>
        </w:rPr>
        <w:t xml:space="preserve">Eksp Klin Farmakol</w:t>
      </w:r>
      <w:r>
        <w:t xml:space="preserve"> </w:t>
      </w:r>
      <w:r>
        <w:t xml:space="preserve">· [Neuroimmunocorrection therapy for the prophylaxis of infectious complications in acute stroke patients]. PMID 19140514</w:t>
      </w:r>
    </w:p>
    <w:p>
      <w:pPr>
        <w:numPr>
          <w:ilvl w:val="0"/>
          <w:numId w:val="1407"/>
        </w:numPr>
        <w:pStyle w:val="Compact"/>
      </w:pPr>
      <w:r>
        <w:t xml:space="preserve">2008 · Serkina EV ·</w:t>
      </w:r>
      <w:r>
        <w:t xml:space="preserve"> </w:t>
      </w:r>
      <w:r>
        <w:rPr>
          <w:iCs/>
          <w:i/>
        </w:rPr>
        <w:t xml:space="preserve">Zh Nevrol Psikhiatr Im S S Korsakova</w:t>
      </w:r>
      <w:r>
        <w:t xml:space="preserve"> </w:t>
      </w:r>
      <w:r>
        <w:t xml:space="preserve">· [Cerebrolysin alleviates perinatal CNS disorders through the autoimmune modulation and antioxidant protection]. PMID 19008804</w:t>
      </w:r>
    </w:p>
    <w:p>
      <w:pPr>
        <w:numPr>
          <w:ilvl w:val="0"/>
          <w:numId w:val="1407"/>
        </w:numPr>
        <w:pStyle w:val="Compact"/>
      </w:pPr>
      <w:r>
        <w:t xml:space="preserve">2008 · Damulin IV ·</w:t>
      </w:r>
      <w:r>
        <w:t xml:space="preserve"> </w:t>
      </w:r>
      <w:r>
        <w:rPr>
          <w:iCs/>
          <w:i/>
        </w:rPr>
        <w:t xml:space="preserve">Neurosci Behav Physiol</w:t>
      </w:r>
      <w:r>
        <w:t xml:space="preserve"> </w:t>
      </w:r>
      <w:r>
        <w:t xml:space="preserve">· Effects of cerebrolysin on moderate cognitive impairments in cerebral vascular insufficiency (a clinical-electrophysiological study). PMID 18607744</w:t>
      </w:r>
    </w:p>
    <w:p>
      <w:pPr>
        <w:numPr>
          <w:ilvl w:val="0"/>
          <w:numId w:val="1407"/>
        </w:numPr>
        <w:pStyle w:val="Compact"/>
      </w:pPr>
      <w:r>
        <w:t xml:space="preserve">2008 · Alvarez XA ·</w:t>
      </w:r>
      <w:r>
        <w:t xml:space="preserve"> </w:t>
      </w:r>
      <w:r>
        <w:rPr>
          <w:iCs/>
          <w:i/>
        </w:rPr>
        <w:t xml:space="preserve">J Neural Transm (Vienna)</w:t>
      </w:r>
      <w:r>
        <w:t xml:space="preserve"> </w:t>
      </w:r>
      <w:r>
        <w:t xml:space="preserve">· Reductions in qEEG slowing over 1 year and after treatment with Cerebrolysin in patients with moderate-severe traumatic brain injury. PMID 18273537</w:t>
      </w:r>
    </w:p>
    <w:p>
      <w:pPr>
        <w:numPr>
          <w:ilvl w:val="0"/>
          <w:numId w:val="1407"/>
        </w:numPr>
        <w:pStyle w:val="Compact"/>
      </w:pPr>
      <w:r>
        <w:t xml:space="preserve">2008 · Muresanu DF ·</w:t>
      </w:r>
      <w:r>
        <w:t xml:space="preserve"> </w:t>
      </w:r>
      <w:r>
        <w:rPr>
          <w:iCs/>
          <w:i/>
        </w:rPr>
        <w:t xml:space="preserve">J Neurol Sci</w:t>
      </w:r>
      <w:r>
        <w:t xml:space="preserve"> </w:t>
      </w:r>
      <w:r>
        <w:t xml:space="preserve">· A pilot study to evaluate the effects of Cerebrolysin on cognition and qEEG in vascular dementia: cognitive improvement correlates with qEEG acceleration. PMID 18048059</w:t>
      </w:r>
    </w:p>
    <w:p>
      <w:pPr>
        <w:numPr>
          <w:ilvl w:val="0"/>
          <w:numId w:val="1407"/>
        </w:numPr>
        <w:pStyle w:val="Compact"/>
      </w:pPr>
      <w:r>
        <w:t xml:space="preserve">2007 · Damulin IV ·</w:t>
      </w:r>
      <w:r>
        <w:t xml:space="preserve"> </w:t>
      </w:r>
      <w:r>
        <w:rPr>
          <w:iCs/>
          <w:i/>
        </w:rPr>
        <w:t xml:space="preserve">Zh Nevrol Psikhiatr Im S S Korsakova</w:t>
      </w:r>
      <w:r>
        <w:t xml:space="preserve"> </w:t>
      </w:r>
      <w:r>
        <w:t xml:space="preserve">· [The effect of cerebrolysin on moderate cognitive impairment in cerebral vascular insufficiency (a clinical and electrophysiological study)]. PMID 18379494</w:t>
      </w:r>
    </w:p>
    <w:p>
      <w:pPr>
        <w:numPr>
          <w:ilvl w:val="0"/>
          <w:numId w:val="1407"/>
        </w:numPr>
        <w:pStyle w:val="Compact"/>
      </w:pPr>
      <w:r>
        <w:t xml:space="preserve">2006 · Skwortsova VI ·</w:t>
      </w:r>
      <w:r>
        <w:t xml:space="preserve"> </w:t>
      </w:r>
      <w:r>
        <w:rPr>
          <w:iCs/>
          <w:i/>
        </w:rPr>
        <w:t xml:space="preserve">Zh Nevrol Psikhiatr Im S S Korsakova</w:t>
      </w:r>
      <w:r>
        <w:t xml:space="preserve"> </w:t>
      </w:r>
      <w:r>
        <w:t xml:space="preserve">· [Results of the multicenter prospective study of cerebrolysin safety and efficacy in acute stroke]. PMID 18196634</w:t>
      </w:r>
    </w:p>
    <w:p>
      <w:pPr>
        <w:numPr>
          <w:ilvl w:val="0"/>
          <w:numId w:val="1407"/>
        </w:numPr>
        <w:pStyle w:val="Compact"/>
      </w:pPr>
      <w:r>
        <w:t xml:space="preserve">2006 · Skorokhodov AP ·</w:t>
      </w:r>
      <w:r>
        <w:t xml:space="preserve"> </w:t>
      </w:r>
      <w:r>
        <w:rPr>
          <w:iCs/>
          <w:i/>
        </w:rPr>
        <w:t xml:space="preserve">Zh Nevrol Psikhiatr Im S S Korsakova</w:t>
      </w:r>
      <w:r>
        <w:t xml:space="preserve"> </w:t>
      </w:r>
      <w:r>
        <w:t xml:space="preserve">· [Comparative analysis of efficacy of certain neuroprotectors in ischemic stroke]. PMID 18193579</w:t>
      </w:r>
    </w:p>
    <w:p>
      <w:pPr>
        <w:numPr>
          <w:ilvl w:val="0"/>
          <w:numId w:val="1407"/>
        </w:numPr>
        <w:pStyle w:val="Compact"/>
      </w:pPr>
      <w:r>
        <w:t xml:space="preserve">2006 · Gaĭtetdinova DD ·</w:t>
      </w:r>
      <w:r>
        <w:t xml:space="preserve"> </w:t>
      </w:r>
      <w:r>
        <w:rPr>
          <w:iCs/>
          <w:i/>
        </w:rPr>
        <w:t xml:space="preserve">Eksp Klin Farmakol</w:t>
      </w:r>
      <w:r>
        <w:t xml:space="preserve"> </w:t>
      </w:r>
      <w:r>
        <w:t xml:space="preserve">· [Clastogenic, aneugenic, pro- and antioxidant properties of some neurotropic preparations]. PMID 16878503</w:t>
      </w:r>
    </w:p>
    <w:p>
      <w:pPr>
        <w:numPr>
          <w:ilvl w:val="0"/>
          <w:numId w:val="1407"/>
        </w:numPr>
        <w:pStyle w:val="Compact"/>
      </w:pPr>
      <w:r>
        <w:t xml:space="preserve">2006 · Radzivil MG ·</w:t>
      </w:r>
      <w:r>
        <w:t xml:space="preserve"> </w:t>
      </w:r>
      <w:r>
        <w:rPr>
          <w:iCs/>
          <w:i/>
        </w:rPr>
        <w:t xml:space="preserve">Zh Nevrol Psikhiatr Im S S Korsakova</w:t>
      </w:r>
      <w:r>
        <w:t xml:space="preserve"> </w:t>
      </w:r>
      <w:r>
        <w:t xml:space="preserve">· [An effect of long-term cerebrolysin therapy in combination with neuroleptics on behavioral and cognitive disturbances in endogenous childhood autism]. PMID 16548370</w:t>
      </w:r>
    </w:p>
    <w:p>
      <w:pPr>
        <w:numPr>
          <w:ilvl w:val="0"/>
          <w:numId w:val="1407"/>
        </w:numPr>
        <w:pStyle w:val="Compact"/>
      </w:pPr>
      <w:r>
        <w:t xml:space="preserve">2006 · Alvarez XA ·</w:t>
      </w:r>
      <w:r>
        <w:t xml:space="preserve"> </w:t>
      </w:r>
      <w:r>
        <w:rPr>
          <w:iCs/>
          <w:i/>
        </w:rPr>
        <w:t xml:space="preserve">Eur J Neurol</w:t>
      </w:r>
      <w:r>
        <w:t xml:space="preserve"> </w:t>
      </w:r>
      <w:r>
        <w:t xml:space="preserve">· A 24-week, double-blind, placebo-controlled study of three dosages of Cerebrolysin in patients with mild to moderate Alzheimer’s disease. PMID 16420392</w:t>
      </w:r>
    </w:p>
    <w:p>
      <w:pPr>
        <w:numPr>
          <w:ilvl w:val="0"/>
          <w:numId w:val="1407"/>
        </w:numPr>
        <w:pStyle w:val="Compact"/>
      </w:pPr>
      <w:r>
        <w:t xml:space="preserve">2005 · Wong GK ·</w:t>
      </w:r>
      <w:r>
        <w:t xml:space="preserve"> </w:t>
      </w:r>
      <w:r>
        <w:rPr>
          <w:iCs/>
          <w:i/>
        </w:rPr>
        <w:t xml:space="preserve">Acta Neurochir Suppl</w:t>
      </w:r>
      <w:r>
        <w:t xml:space="preserve"> </w:t>
      </w:r>
      <w:r>
        <w:t xml:space="preserve">· Beneficial effect of cerebrolysin on moderate and severe head injury patients: result of a cohort study. PMID 16463821</w:t>
      </w:r>
    </w:p>
    <w:p>
      <w:pPr>
        <w:numPr>
          <w:ilvl w:val="0"/>
          <w:numId w:val="1407"/>
        </w:numPr>
        <w:pStyle w:val="Compact"/>
      </w:pPr>
      <w:r>
        <w:t xml:space="preserve">2005 · Gavrilova SI ·</w:t>
      </w:r>
      <w:r>
        <w:t xml:space="preserve"> </w:t>
      </w:r>
      <w:r>
        <w:rPr>
          <w:iCs/>
          <w:i/>
        </w:rPr>
        <w:t xml:space="preserve">Zh Nevrol Psikhiatr Im S S Korsakova</w:t>
      </w:r>
      <w:r>
        <w:t xml:space="preserve"> </w:t>
      </w:r>
      <w:r>
        <w:t xml:space="preserve">· [ApoE genotype and efficacy of neurotrophic and cholinergic therapy in Alzheimer’s disease]. PMID 15880838</w:t>
      </w:r>
    </w:p>
    <w:p>
      <w:pPr>
        <w:numPr>
          <w:ilvl w:val="0"/>
          <w:numId w:val="1407"/>
        </w:numPr>
        <w:pStyle w:val="Compact"/>
      </w:pPr>
      <w:r>
        <w:t xml:space="preserve">2005 · Crook TH ·</w:t>
      </w:r>
      <w:r>
        <w:t xml:space="preserve"> </w:t>
      </w:r>
      <w:r>
        <w:rPr>
          <w:iCs/>
          <w:i/>
        </w:rPr>
        <w:t xml:space="preserve">Int Clin Psychopharmacol</w:t>
      </w:r>
      <w:r>
        <w:t xml:space="preserve"> </w:t>
      </w:r>
      <w:r>
        <w:t xml:space="preserve">· Effects of N-PEP-12 on memory among older adults. PMID 15729085</w:t>
      </w:r>
    </w:p>
    <w:p>
      <w:pPr>
        <w:numPr>
          <w:ilvl w:val="0"/>
          <w:numId w:val="1407"/>
        </w:numPr>
        <w:pStyle w:val="Compact"/>
      </w:pPr>
      <w:r>
        <w:t xml:space="preserve">2005 · Roshchina IF ·</w:t>
      </w:r>
      <w:r>
        <w:t xml:space="preserve"> </w:t>
      </w:r>
      <w:r>
        <w:rPr>
          <w:iCs/>
          <w:i/>
        </w:rPr>
        <w:t xml:space="preserve">Zh Nevrol Psikhiatr Im S S Korsakova</w:t>
      </w:r>
      <w:r>
        <w:t xml:space="preserve"> </w:t>
      </w:r>
      <w:r>
        <w:t xml:space="preserve">· [Neuropsychological evaluation of long-term therapy of Alzheimer’s disease using different cerebrolysin dosages]. PMID 15704485</w:t>
      </w:r>
    </w:p>
    <w:p>
      <w:pPr>
        <w:numPr>
          <w:ilvl w:val="0"/>
          <w:numId w:val="1407"/>
        </w:numPr>
        <w:pStyle w:val="Compact"/>
      </w:pPr>
      <w:r>
        <w:t xml:space="preserve">2005 · Chukanova EI ·</w:t>
      </w:r>
      <w:r>
        <w:t xml:space="preserve"> </w:t>
      </w:r>
      <w:r>
        <w:rPr>
          <w:iCs/>
          <w:i/>
        </w:rPr>
        <w:t xml:space="preserve">Zh Nevrol Psikhiatr Im S S Korsakova</w:t>
      </w:r>
      <w:r>
        <w:t xml:space="preserve"> </w:t>
      </w:r>
      <w:r>
        <w:t xml:space="preserve">· [The effect of cerebrolysin on the clinical symptoms and the course of ischemic encephalopathy]. PMID 15704482</w:t>
      </w:r>
    </w:p>
    <w:p>
      <w:pPr>
        <w:numPr>
          <w:ilvl w:val="0"/>
          <w:numId w:val="1407"/>
        </w:numPr>
        <w:pStyle w:val="Compact"/>
      </w:pPr>
      <w:r>
        <w:t xml:space="preserve">2005 · Ladurner G ·</w:t>
      </w:r>
      <w:r>
        <w:t xml:space="preserve"> </w:t>
      </w:r>
      <w:r>
        <w:rPr>
          <w:iCs/>
          <w:i/>
        </w:rPr>
        <w:t xml:space="preserve">J Neural Transm (Vienna)</w:t>
      </w:r>
      <w:r>
        <w:t xml:space="preserve"> </w:t>
      </w:r>
      <w:r>
        <w:t xml:space="preserve">· Neuroprotective treatment with cerebrolysin in patients with acute stroke: a randomised controlled trial. PMID 15583955</w:t>
      </w:r>
    </w:p>
    <w:p>
      <w:pPr>
        <w:numPr>
          <w:ilvl w:val="0"/>
          <w:numId w:val="1407"/>
        </w:numPr>
        <w:pStyle w:val="Compact"/>
      </w:pPr>
      <w:r>
        <w:t xml:space="preserve">2004 · Skvortsova VI ·</w:t>
      </w:r>
      <w:r>
        <w:t xml:space="preserve"> </w:t>
      </w:r>
      <w:r>
        <w:rPr>
          <w:iCs/>
          <w:i/>
        </w:rPr>
        <w:t xml:space="preserve">Zh Nevrol Psikhiatr Im S S Korsakova</w:t>
      </w:r>
      <w:r>
        <w:t xml:space="preserve"> </w:t>
      </w:r>
      <w:r>
        <w:t xml:space="preserve">· [A randomized, double-blind, placebo-controlled study of Cerebrolysin safety and efficacy in the treatment of acute ischemic stroke]. PMID 15559222</w:t>
      </w:r>
    </w:p>
    <w:p>
      <w:pPr>
        <w:numPr>
          <w:ilvl w:val="0"/>
          <w:numId w:val="1407"/>
        </w:numPr>
        <w:pStyle w:val="Compact"/>
      </w:pPr>
      <w:r>
        <w:t xml:space="preserve">2003 · Alvarez XA ·</w:t>
      </w:r>
      <w:r>
        <w:t xml:space="preserve"> </w:t>
      </w:r>
      <w:r>
        <w:rPr>
          <w:iCs/>
          <w:i/>
        </w:rPr>
        <w:t xml:space="preserve">Int Clin Psychopharmacol</w:t>
      </w:r>
      <w:r>
        <w:t xml:space="preserve"> </w:t>
      </w:r>
      <w:r>
        <w:t xml:space="preserve">· Positive effects of cerebrolysin on electroencephalogram slowing, cognition and clinical outcome in patients with postacute traumatic brain injury: an exploratory study. PMID 12920387</w:t>
      </w:r>
    </w:p>
    <w:p>
      <w:pPr>
        <w:numPr>
          <w:ilvl w:val="0"/>
          <w:numId w:val="1407"/>
        </w:numPr>
        <w:pStyle w:val="Compact"/>
      </w:pPr>
      <w:r>
        <w:t xml:space="preserve">2002 · Muresanu DF ·</w:t>
      </w:r>
      <w:r>
        <w:t xml:space="preserve"> </w:t>
      </w:r>
      <w:r>
        <w:rPr>
          <w:iCs/>
          <w:i/>
        </w:rPr>
        <w:t xml:space="preserve">J Neural Transm Suppl</w:t>
      </w:r>
      <w:r>
        <w:t xml:space="preserve"> </w:t>
      </w:r>
      <w:r>
        <w:t xml:space="preserve">· Improved global function and activities of daily living in patients with AD: a placebo-controlled clinical study with the neurotrophic agent Cerebrolysin. PMID 12456070</w:t>
      </w:r>
    </w:p>
    <w:p>
      <w:pPr>
        <w:numPr>
          <w:ilvl w:val="0"/>
          <w:numId w:val="1407"/>
        </w:numPr>
        <w:pStyle w:val="Compact"/>
      </w:pPr>
      <w:r>
        <w:t xml:space="preserve">2002 · Ruether E ·</w:t>
      </w:r>
      <w:r>
        <w:t xml:space="preserve"> </w:t>
      </w:r>
      <w:r>
        <w:rPr>
          <w:iCs/>
          <w:i/>
        </w:rPr>
        <w:t xml:space="preserve">J Neural Transm Suppl</w:t>
      </w:r>
      <w:r>
        <w:t xml:space="preserve"> </w:t>
      </w:r>
      <w:r>
        <w:t xml:space="preserve">· Sustained improvement of cognition and global function in patients with moderately severe Alzheimer’s disease: a double-blind, placebo-controlled study with the neurotrophic agent Cerebrolysin. PMID 12456069</w:t>
      </w:r>
    </w:p>
    <w:p>
      <w:pPr>
        <w:numPr>
          <w:ilvl w:val="0"/>
          <w:numId w:val="1407"/>
        </w:numPr>
        <w:pStyle w:val="Compact"/>
      </w:pPr>
      <w:r>
        <w:t xml:space="preserve">2002 · Odinak MM ·</w:t>
      </w:r>
      <w:r>
        <w:t xml:space="preserve"> </w:t>
      </w:r>
      <w:r>
        <w:rPr>
          <w:iCs/>
          <w:i/>
        </w:rPr>
        <w:t xml:space="preserve">Zh Nevrol Psikhiatr Im S S Korsakova</w:t>
      </w:r>
      <w:r>
        <w:t xml:space="preserve"> </w:t>
      </w:r>
      <w:r>
        <w:t xml:space="preserve">· [New approaches to antioxidant therapy in multiple sclerosis]. PMID 12418396</w:t>
      </w:r>
    </w:p>
    <w:p>
      <w:pPr>
        <w:numPr>
          <w:ilvl w:val="0"/>
          <w:numId w:val="1407"/>
        </w:numPr>
        <w:pStyle w:val="Compact"/>
      </w:pPr>
      <w:r>
        <w:t xml:space="preserve">2002 · Panisset M ·</w:t>
      </w:r>
      <w:r>
        <w:t xml:space="preserve"> </w:t>
      </w:r>
      <w:r>
        <w:rPr>
          <w:iCs/>
          <w:i/>
        </w:rPr>
        <w:t xml:space="preserve">J Neural Transm (Vienna)</w:t>
      </w:r>
      <w:r>
        <w:t xml:space="preserve"> </w:t>
      </w:r>
      <w:r>
        <w:t xml:space="preserve">· Cerebrolysin in Alzheimer’s disease: a randomized, double-blind, placebo-controlled trial with a neurotrophic agent. PMID 12111446</w:t>
      </w:r>
    </w:p>
    <w:p>
      <w:pPr>
        <w:numPr>
          <w:ilvl w:val="0"/>
          <w:numId w:val="1407"/>
        </w:numPr>
        <w:pStyle w:val="Compact"/>
      </w:pPr>
      <w:r>
        <w:t xml:space="preserve">2001 · Gorbachevskaya N ·</w:t>
      </w:r>
      <w:r>
        <w:t xml:space="preserve"> </w:t>
      </w:r>
      <w:r>
        <w:rPr>
          <w:iCs/>
          <w:i/>
        </w:rPr>
        <w:t xml:space="preserve">Brain Dev</w:t>
      </w:r>
      <w:r>
        <w:t xml:space="preserve"> </w:t>
      </w:r>
      <w:r>
        <w:t xml:space="preserve">· Cerebrolysin therapy in Rett syndrome: clinical and EEG mapping study. PMID 11738849</w:t>
      </w:r>
    </w:p>
    <w:p>
      <w:pPr>
        <w:numPr>
          <w:ilvl w:val="0"/>
          <w:numId w:val="1407"/>
        </w:numPr>
        <w:pStyle w:val="Compact"/>
      </w:pPr>
      <w:r>
        <w:t xml:space="preserve">2001 · Ruether E ·</w:t>
      </w:r>
      <w:r>
        <w:t xml:space="preserve"> </w:t>
      </w:r>
      <w:r>
        <w:rPr>
          <w:iCs/>
          <w:i/>
        </w:rPr>
        <w:t xml:space="preserve">Int Clin Psychopharmacol</w:t>
      </w:r>
      <w:r>
        <w:t xml:space="preserve"> </w:t>
      </w:r>
      <w:r>
        <w:t xml:space="preserve">· A 28-week, double-blind, placebo-controlled study with Cerebrolysin in patients with mild to moderate Alzheimer’s disease. PMID 11552768</w:t>
      </w:r>
    </w:p>
    <w:p>
      <w:pPr>
        <w:numPr>
          <w:ilvl w:val="0"/>
          <w:numId w:val="1407"/>
        </w:numPr>
        <w:pStyle w:val="Compact"/>
      </w:pPr>
      <w:r>
        <w:t xml:space="preserve">2001 · Vereshchagin NV ·</w:t>
      </w:r>
      <w:r>
        <w:t xml:space="preserve"> </w:t>
      </w:r>
      <w:r>
        <w:rPr>
          <w:iCs/>
          <w:i/>
        </w:rPr>
        <w:t xml:space="preserve">Ter Arkh</w:t>
      </w:r>
      <w:r>
        <w:t xml:space="preserve"> </w:t>
      </w:r>
      <w:r>
        <w:t xml:space="preserve">· [Treatment and prevention of cognitive dysfunction in patients with arterial hypertension and atherosclerosis: results of a randomized double-blind placebo-controlled trial of cerebrolysin]. PMID 11494441</w:t>
      </w:r>
    </w:p>
    <w:p>
      <w:pPr>
        <w:numPr>
          <w:ilvl w:val="0"/>
          <w:numId w:val="1407"/>
        </w:numPr>
        <w:pStyle w:val="Compact"/>
      </w:pPr>
      <w:r>
        <w:t xml:space="preserve">2000 · Bae CY ·</w:t>
      </w:r>
      <w:r>
        <w:t xml:space="preserve"> </w:t>
      </w:r>
      <w:r>
        <w:rPr>
          <w:iCs/>
          <w:i/>
        </w:rPr>
        <w:t xml:space="preserve">J Am Geriatr Soc</w:t>
      </w:r>
      <w:r>
        <w:t xml:space="preserve"> </w:t>
      </w:r>
      <w:r>
        <w:t xml:space="preserve">· A double-blind, placebo-controlled, multicenter study of Cerebrolysin for Alzheimer’s disease. PMID 11129744</w:t>
      </w:r>
    </w:p>
    <w:p>
      <w:pPr>
        <w:numPr>
          <w:ilvl w:val="0"/>
          <w:numId w:val="1407"/>
        </w:numPr>
        <w:pStyle w:val="Compact"/>
      </w:pPr>
      <w:r>
        <w:t xml:space="preserve">1999 · Roshchina IF ·</w:t>
      </w:r>
      <w:r>
        <w:t xml:space="preserve"> </w:t>
      </w:r>
      <w:r>
        <w:rPr>
          <w:iCs/>
          <w:i/>
        </w:rPr>
        <w:t xml:space="preserve">Zh Nevrol Psikhiatr Im S S Korsakova</w:t>
      </w:r>
      <w:r>
        <w:t xml:space="preserve"> </w:t>
      </w:r>
      <w:r>
        <w:t xml:space="preserve">· [The influence of cerebrolysin on the efficiency of subsequent therapy with amiridine++ in Alzheimer’s disease patients (neuropsychological investigation)]. PMID 10629930</w:t>
      </w:r>
    </w:p>
    <w:p>
      <w:pPr>
        <w:numPr>
          <w:ilvl w:val="0"/>
          <w:numId w:val="1407"/>
        </w:numPr>
        <w:pStyle w:val="Compact"/>
      </w:pPr>
      <w:r>
        <w:t xml:space="preserve">1998 · Gruzman AV ·</w:t>
      </w:r>
      <w:r>
        <w:t xml:space="preserve"> </w:t>
      </w:r>
      <w:r>
        <w:rPr>
          <w:iCs/>
          <w:i/>
        </w:rPr>
        <w:t xml:space="preserve">Zh Nevrol Psikhiatr Im S S Korsakova</w:t>
      </w:r>
      <w:r>
        <w:t xml:space="preserve"> </w:t>
      </w:r>
      <w:r>
        <w:t xml:space="preserve">· [The effect of cerebrolysin intravenous injections in resistant forms of night enuresis in children]. PMID 9845942</w:t>
      </w:r>
    </w:p>
    <w:p>
      <w:pPr>
        <w:numPr>
          <w:ilvl w:val="0"/>
          <w:numId w:val="1407"/>
        </w:numPr>
        <w:pStyle w:val="Compact"/>
      </w:pPr>
      <w:r>
        <w:t xml:space="preserve">1998 · Funke M ·</w:t>
      </w:r>
      <w:r>
        <w:t xml:space="preserve"> </w:t>
      </w:r>
      <w:r>
        <w:rPr>
          <w:iCs/>
          <w:i/>
        </w:rPr>
        <w:t xml:space="preserve">J Neural Transm Suppl</w:t>
      </w:r>
      <w:r>
        <w:t xml:space="preserve"> </w:t>
      </w:r>
      <w:r>
        <w:t xml:space="preserve">· Dose-dependent effects of Cerebrolysin on EEG and short-term memory of healthy volunteers during control and hyperventilation induced cerebral ischemia. PMID 9700674</w:t>
      </w:r>
    </w:p>
    <w:p>
      <w:pPr>
        <w:numPr>
          <w:ilvl w:val="0"/>
          <w:numId w:val="1407"/>
        </w:numPr>
        <w:pStyle w:val="Compact"/>
      </w:pPr>
      <w:r>
        <w:t xml:space="preserve">1997 · Biesenbach G ·</w:t>
      </w:r>
      <w:r>
        <w:t xml:space="preserve"> </w:t>
      </w:r>
      <w:r>
        <w:rPr>
          <w:iCs/>
          <w:i/>
        </w:rPr>
        <w:t xml:space="preserve">Wien Med Wochenschr</w:t>
      </w:r>
      <w:r>
        <w:t xml:space="preserve"> </w:t>
      </w:r>
      <w:r>
        <w:t xml:space="preserve">· [Cerebrolysin in treatment of painful diabetic neuropathy]. PMID 9173675</w:t>
      </w:r>
    </w:p>
    <w:p>
      <w:pPr>
        <w:numPr>
          <w:ilvl w:val="0"/>
          <w:numId w:val="1407"/>
        </w:numPr>
        <w:pStyle w:val="Compact"/>
      </w:pPr>
      <w:r>
        <w:t xml:space="preserve">1995 · Sidorenko EI ·</w:t>
      </w:r>
      <w:r>
        <w:t xml:space="preserve"> </w:t>
      </w:r>
      <w:r>
        <w:rPr>
          <w:iCs/>
          <w:i/>
        </w:rPr>
        <w:t xml:space="preserve">Zh Nevrol Psikhiatr Im S S Korsakova</w:t>
      </w:r>
      <w:r>
        <w:t xml:space="preserve"> </w:t>
      </w:r>
      <w:r>
        <w:t xml:space="preserve">· [Cerebrolysin in the treatment of partial optic atrophy in children]. PMID 7571926</w:t>
      </w:r>
    </w:p>
    <w:p>
      <w:pPr>
        <w:numPr>
          <w:ilvl w:val="0"/>
          <w:numId w:val="1407"/>
        </w:numPr>
        <w:pStyle w:val="Compact"/>
      </w:pPr>
      <w:r>
        <w:t xml:space="preserve">1994 · Rüther E ·</w:t>
      </w:r>
      <w:r>
        <w:t xml:space="preserve"> </w:t>
      </w:r>
      <w:r>
        <w:rPr>
          <w:iCs/>
          <w:i/>
        </w:rPr>
        <w:t xml:space="preserve">Pharmacopsychiatry</w:t>
      </w:r>
      <w:r>
        <w:t xml:space="preserve"> </w:t>
      </w:r>
      <w:r>
        <w:t xml:space="preserve">· Efficacy of the peptidergic nootropic drug cerebrolysin in patients with senile dementia of the Alzheimer type (SDAT). PMID 8159781</w:t>
      </w:r>
    </w:p>
    <w:p>
      <w:pPr>
        <w:numPr>
          <w:ilvl w:val="0"/>
          <w:numId w:val="1407"/>
        </w:numPr>
        <w:pStyle w:val="Compact"/>
      </w:pPr>
      <w:r>
        <w:t xml:space="preserve">1991 · Vereshchagin NV ·</w:t>
      </w:r>
      <w:r>
        <w:t xml:space="preserve"> </w:t>
      </w:r>
      <w:r>
        <w:rPr>
          <w:iCs/>
          <w:i/>
        </w:rPr>
        <w:t xml:space="preserve">Sov Med</w:t>
      </w:r>
      <w:r>
        <w:t xml:space="preserve"> </w:t>
      </w:r>
      <w:r>
        <w:t xml:space="preserve">· [Mild forms of multi-infarct dementia: effectiveness of cerebrolysin]. PMID 1767322</w:t>
      </w:r>
    </w:p>
    <w:p>
      <w:pPr>
        <w:numPr>
          <w:ilvl w:val="0"/>
          <w:numId w:val="1407"/>
        </w:numPr>
        <w:pStyle w:val="Compact"/>
      </w:pPr>
      <w:r>
        <w:t xml:space="preserve">1990 · Kofler B ·</w:t>
      </w:r>
      <w:r>
        <w:t xml:space="preserve"> </w:t>
      </w:r>
      <w:r>
        <w:rPr>
          <w:iCs/>
          <w:i/>
        </w:rPr>
        <w:t xml:space="preserve">EEG EMG Z Elektroenzephalogr Elektromyogr Verwandte Geb</w:t>
      </w:r>
      <w:r>
        <w:t xml:space="preserve"> </w:t>
      </w:r>
      <w:r>
        <w:t xml:space="preserve">· [The usefulness of event-related negativity in demonstrating the therapeutic effects of nootropic drugs using cerebrolysin as an example]. PMID 2123433</w:t>
      </w:r>
    </w:p>
    <w:bookmarkEnd w:id="3047"/>
    <w:bookmarkStart w:id="3048" w:name="dihexa-0"/>
    <w:p>
      <w:pPr>
        <w:pStyle w:val="Heading2"/>
      </w:pPr>
      <w:r>
        <w:t xml:space="preserve">Dihexa (0)</w:t>
      </w:r>
    </w:p>
    <w:p>
      <w:pPr>
        <w:pStyle w:val="FirstParagraph"/>
      </w:pPr>
      <w:r>
        <w:t xml:space="preserve">Nenhuma publicação de estudos clínicos em humanos encontrada.</w:t>
      </w:r>
    </w:p>
    <w:bookmarkEnd w:id="3048"/>
    <w:bookmarkStart w:id="3049" w:name="dsip-peptídeo-indutor-do-sono-delta-18"/>
    <w:p>
      <w:pPr>
        <w:pStyle w:val="Heading2"/>
      </w:pPr>
      <w:r>
        <w:t xml:space="preserve">DSIP (peptídeo indutor do sono delta) (18)</w:t>
      </w:r>
    </w:p>
    <w:p>
      <w:pPr>
        <w:numPr>
          <w:ilvl w:val="0"/>
          <w:numId w:val="1408"/>
        </w:numPr>
        <w:pStyle w:val="Compact"/>
      </w:pPr>
      <w:r>
        <w:t xml:space="preserve">2016 · Zhao L ·</w:t>
      </w:r>
      <w:r>
        <w:t xml:space="preserve"> </w:t>
      </w:r>
      <w:r>
        <w:rPr>
          <w:iCs/>
          <w:i/>
        </w:rPr>
        <w:t xml:space="preserve">Eur Spine J</w:t>
      </w:r>
      <w:r>
        <w:t xml:space="preserve"> </w:t>
      </w:r>
      <w:r>
        <w:t xml:space="preserve">· An RCT study on the feasibility of anterior transpedicular screw fixation in the cervicothoracic junction. PMID 26931331</w:t>
      </w:r>
    </w:p>
    <w:p>
      <w:pPr>
        <w:numPr>
          <w:ilvl w:val="0"/>
          <w:numId w:val="1408"/>
        </w:numPr>
        <w:pStyle w:val="Compact"/>
      </w:pPr>
      <w:r>
        <w:t xml:space="preserve">2014 · Kresiun NV ·</w:t>
      </w:r>
      <w:r>
        <w:t xml:space="preserve"> </w:t>
      </w:r>
      <w:r>
        <w:rPr>
          <w:iCs/>
          <w:i/>
        </w:rPr>
        <w:t xml:space="preserve">Eksp Klin Farmakol</w:t>
      </w:r>
      <w:r>
        <w:t xml:space="preserve"> </w:t>
      </w:r>
      <w:r>
        <w:t xml:space="preserve">· [Using deltalicin for the treatment of patients with diabetic retinopathy]. PMID 25739189</w:t>
      </w:r>
    </w:p>
    <w:p>
      <w:pPr>
        <w:numPr>
          <w:ilvl w:val="0"/>
          <w:numId w:val="1408"/>
        </w:numPr>
        <w:pStyle w:val="Compact"/>
      </w:pPr>
      <w:r>
        <w:t xml:space="preserve">2009 · Pomfrett CJ ·</w:t>
      </w:r>
      <w:r>
        <w:t xml:space="preserve"> </w:t>
      </w:r>
      <w:r>
        <w:rPr>
          <w:iCs/>
          <w:i/>
        </w:rPr>
        <w:t xml:space="preserve">Eur J Anaesthesiol</w:t>
      </w:r>
      <w:r>
        <w:t xml:space="preserve"> </w:t>
      </w:r>
      <w:r>
        <w:t xml:space="preserve">· Delta sleep-inducing peptide alters bispectral index, the electroencephalogram and heart rate variability when used as an adjunct to isoflurane anaesthesia. PMID 19142086</w:t>
      </w:r>
    </w:p>
    <w:p>
      <w:pPr>
        <w:numPr>
          <w:ilvl w:val="0"/>
          <w:numId w:val="1408"/>
        </w:numPr>
        <w:pStyle w:val="Compact"/>
      </w:pPr>
      <w:r>
        <w:t xml:space="preserve">1998 · Backmund M ·</w:t>
      </w:r>
      <w:r>
        <w:t xml:space="preserve"> </w:t>
      </w:r>
      <w:r>
        <w:rPr>
          <w:iCs/>
          <w:i/>
        </w:rPr>
        <w:t xml:space="preserve">J Clin Psychopharmacol</w:t>
      </w:r>
      <w:r>
        <w:t xml:space="preserve"> </w:t>
      </w:r>
      <w:r>
        <w:t xml:space="preserve">· Opioid detoxification with delta sleep-inducing peptide: results of an open clinical trial. PMID 9617990</w:t>
      </w:r>
    </w:p>
    <w:p>
      <w:pPr>
        <w:numPr>
          <w:ilvl w:val="0"/>
          <w:numId w:val="1408"/>
        </w:numPr>
        <w:pStyle w:val="Compact"/>
      </w:pPr>
      <w:r>
        <w:t xml:space="preserve">1995 · Späth-Schwalbe E ·</w:t>
      </w:r>
      <w:r>
        <w:t xml:space="preserve"> </w:t>
      </w:r>
      <w:r>
        <w:rPr>
          <w:iCs/>
          <w:i/>
        </w:rPr>
        <w:t xml:space="preserve">Psychoneuroendocrinology</w:t>
      </w:r>
      <w:r>
        <w:t xml:space="preserve"> </w:t>
      </w:r>
      <w:r>
        <w:t xml:space="preserve">· Delta-sleep-inducing peptide does not affect CRH and meal-induced ACTH and cortisol secretion. PMID 7777652</w:t>
      </w:r>
    </w:p>
    <w:p>
      <w:pPr>
        <w:numPr>
          <w:ilvl w:val="0"/>
          <w:numId w:val="1408"/>
        </w:numPr>
        <w:pStyle w:val="Compact"/>
      </w:pPr>
      <w:r>
        <w:t xml:space="preserve">1994 · Schulz P ·</w:t>
      </w:r>
      <w:r>
        <w:t xml:space="preserve"> </w:t>
      </w:r>
      <w:r>
        <w:rPr>
          <w:iCs/>
          <w:i/>
        </w:rPr>
        <w:t xml:space="preserve">Chronobiol Int</w:t>
      </w:r>
      <w:r>
        <w:t xml:space="preserve"> </w:t>
      </w:r>
      <w:r>
        <w:t xml:space="preserve">· Plasma concentration of nine hormones and neurotransmitters during usual activities or constant bed rest for 34 H. PMID 7895296</w:t>
      </w:r>
    </w:p>
    <w:p>
      <w:pPr>
        <w:numPr>
          <w:ilvl w:val="0"/>
          <w:numId w:val="1408"/>
        </w:numPr>
        <w:pStyle w:val="Compact"/>
      </w:pPr>
      <w:r>
        <w:t xml:space="preserve">1994 · Chiodera P ·</w:t>
      </w:r>
      <w:r>
        <w:t xml:space="preserve"> </w:t>
      </w:r>
      <w:r>
        <w:rPr>
          <w:iCs/>
          <w:i/>
        </w:rPr>
        <w:t xml:space="preserve">Horm Res</w:t>
      </w:r>
      <w:r>
        <w:t xml:space="preserve"> </w:t>
      </w:r>
      <w:r>
        <w:t xml:space="preserve">· Different effects of delta-sleep-inducing peptide on arginine-vasopressin and ACTH secretion in normal men. PMID 7698722</w:t>
      </w:r>
    </w:p>
    <w:p>
      <w:pPr>
        <w:numPr>
          <w:ilvl w:val="0"/>
          <w:numId w:val="1408"/>
        </w:numPr>
        <w:pStyle w:val="Compact"/>
      </w:pPr>
      <w:r>
        <w:t xml:space="preserve">1993 · Giusti M ·</w:t>
      </w:r>
      <w:r>
        <w:t xml:space="preserve"> </w:t>
      </w:r>
      <w:r>
        <w:rPr>
          <w:iCs/>
          <w:i/>
        </w:rPr>
        <w:t xml:space="preserve">Psychoneuroendocrinology</w:t>
      </w:r>
      <w:r>
        <w:t xml:space="preserve"> </w:t>
      </w:r>
      <w:r>
        <w:t xml:space="preserve">· Delta sleep-inducing peptide administration does not influence growth hormone and prolactin secretion in normal women. PMID 8475226</w:t>
      </w:r>
    </w:p>
    <w:p>
      <w:pPr>
        <w:numPr>
          <w:ilvl w:val="0"/>
          <w:numId w:val="1408"/>
        </w:numPr>
        <w:pStyle w:val="Compact"/>
      </w:pPr>
      <w:r>
        <w:t xml:space="preserve">1992 · Bes F ·</w:t>
      </w:r>
      <w:r>
        <w:t xml:space="preserve"> </w:t>
      </w:r>
      <w:r>
        <w:rPr>
          <w:iCs/>
          <w:i/>
        </w:rPr>
        <w:t xml:space="preserve">Neuropsychobiology</w:t>
      </w:r>
      <w:r>
        <w:t xml:space="preserve"> </w:t>
      </w:r>
      <w:r>
        <w:t xml:space="preserve">· Effects of delta sleep-inducing peptide on sleep of chronic insomniac patients. A double-blind study. PMID 1299794</w:t>
      </w:r>
    </w:p>
    <w:p>
      <w:pPr>
        <w:numPr>
          <w:ilvl w:val="0"/>
          <w:numId w:val="1408"/>
        </w:numPr>
        <w:pStyle w:val="Compact"/>
      </w:pPr>
      <w:r>
        <w:t xml:space="preserve">1989 · Bjartell A ·</w:t>
      </w:r>
      <w:r>
        <w:t xml:space="preserve"> </w:t>
      </w:r>
      <w:r>
        <w:rPr>
          <w:iCs/>
          <w:i/>
        </w:rPr>
        <w:t xml:space="preserve">Psychoneuroendocrinology</w:t>
      </w:r>
      <w:r>
        <w:t xml:space="preserve"> </w:t>
      </w:r>
      <w:r>
        <w:t xml:space="preserve">· Reduction of immunoreactive ACTH in plasma following intravenous injection of delta sleep-inducing peptide in man. PMID 2554357</w:t>
      </w:r>
    </w:p>
    <w:p>
      <w:pPr>
        <w:numPr>
          <w:ilvl w:val="0"/>
          <w:numId w:val="1408"/>
        </w:numPr>
        <w:pStyle w:val="Compact"/>
      </w:pPr>
      <w:r>
        <w:t xml:space="preserve">1987 · Schneider-Helmert D ·</w:t>
      </w:r>
      <w:r>
        <w:t xml:space="preserve"> </w:t>
      </w:r>
      <w:r>
        <w:rPr>
          <w:iCs/>
          <w:i/>
        </w:rPr>
        <w:t xml:space="preserve">Eur Neurol</w:t>
      </w:r>
      <w:r>
        <w:t xml:space="preserve"> </w:t>
      </w:r>
      <w:r>
        <w:t xml:space="preserve">· Effects of delta-sleep-inducing peptide on 24-hour sleep-wake behaviour in severe chronic insomnia. PMID 3622582</w:t>
      </w:r>
    </w:p>
    <w:p>
      <w:pPr>
        <w:numPr>
          <w:ilvl w:val="0"/>
          <w:numId w:val="1408"/>
        </w:numPr>
        <w:pStyle w:val="Compact"/>
      </w:pPr>
      <w:r>
        <w:t xml:space="preserve">1987 · Monti JM ·</w:t>
      </w:r>
      <w:r>
        <w:t xml:space="preserve"> </w:t>
      </w:r>
      <w:r>
        <w:rPr>
          <w:iCs/>
          <w:i/>
        </w:rPr>
        <w:t xml:space="preserve">Int J Clin Pharmacol Res</w:t>
      </w:r>
      <w:r>
        <w:t xml:space="preserve"> </w:t>
      </w:r>
      <w:r>
        <w:t xml:space="preserve">· Study of delta sleep-inducing peptide efficacy in improving sleep on short-term administration to chronic insomniacs. PMID 3583493</w:t>
      </w:r>
    </w:p>
    <w:p>
      <w:pPr>
        <w:numPr>
          <w:ilvl w:val="0"/>
          <w:numId w:val="1408"/>
        </w:numPr>
        <w:pStyle w:val="Compact"/>
      </w:pPr>
      <w:r>
        <w:t xml:space="preserve">1984 · Kaeser HE ·</w:t>
      </w:r>
      <w:r>
        <w:t xml:space="preserve"> </w:t>
      </w:r>
      <w:r>
        <w:rPr>
          <w:iCs/>
          <w:i/>
        </w:rPr>
        <w:t xml:space="preserve">Eur Neurol</w:t>
      </w:r>
      <w:r>
        <w:t xml:space="preserve"> </w:t>
      </w:r>
      <w:r>
        <w:t xml:space="preserve">· A clinical trial with DSIP. PMID 6391926</w:t>
      </w:r>
    </w:p>
    <w:p>
      <w:pPr>
        <w:numPr>
          <w:ilvl w:val="0"/>
          <w:numId w:val="1408"/>
        </w:numPr>
        <w:pStyle w:val="Compact"/>
      </w:pPr>
      <w:r>
        <w:t xml:space="preserve">1984 · Schneider-Helmert D ·</w:t>
      </w:r>
      <w:r>
        <w:t xml:space="preserve"> </w:t>
      </w:r>
      <w:r>
        <w:rPr>
          <w:iCs/>
          <w:i/>
        </w:rPr>
        <w:t xml:space="preserve">Eur Neurol</w:t>
      </w:r>
      <w:r>
        <w:t xml:space="preserve"> </w:t>
      </w:r>
      <w:r>
        <w:t xml:space="preserve">· DSIP in insomnia. PMID 6391925</w:t>
      </w:r>
    </w:p>
    <w:p>
      <w:pPr>
        <w:numPr>
          <w:ilvl w:val="0"/>
          <w:numId w:val="1408"/>
        </w:numPr>
        <w:pStyle w:val="Compact"/>
      </w:pPr>
      <w:r>
        <w:t xml:space="preserve">1983 · Schneider-Helmert D ·</w:t>
      </w:r>
      <w:r>
        <w:t xml:space="preserve"> </w:t>
      </w:r>
      <w:r>
        <w:rPr>
          <w:iCs/>
          <w:i/>
        </w:rPr>
        <w:t xml:space="preserve">Neuropsychobiology</w:t>
      </w:r>
      <w:r>
        <w:t xml:space="preserve"> </w:t>
      </w:r>
      <w:r>
        <w:t xml:space="preserve">· Effects of DSIP in man. Multifunctional psychophysiological properties besides induction of natural sleep. PMID 6689058</w:t>
      </w:r>
    </w:p>
    <w:p>
      <w:pPr>
        <w:numPr>
          <w:ilvl w:val="0"/>
          <w:numId w:val="1408"/>
        </w:numPr>
        <w:pStyle w:val="Compact"/>
      </w:pPr>
      <w:r>
        <w:t xml:space="preserve">1981 · Schneider-Helmert D ·</w:t>
      </w:r>
      <w:r>
        <w:t xml:space="preserve"> </w:t>
      </w:r>
      <w:r>
        <w:rPr>
          <w:iCs/>
          <w:i/>
        </w:rPr>
        <w:t xml:space="preserve">Experientia</w:t>
      </w:r>
      <w:r>
        <w:t xml:space="preserve"> </w:t>
      </w:r>
      <w:r>
        <w:t xml:space="preserve">· The influence of synthetic DSIP (delta-sleep-inducing-peptide) on disturbed human sleep. PMID 7028502</w:t>
      </w:r>
    </w:p>
    <w:p>
      <w:pPr>
        <w:numPr>
          <w:ilvl w:val="0"/>
          <w:numId w:val="1408"/>
        </w:numPr>
        <w:pStyle w:val="Compact"/>
      </w:pPr>
      <w:r>
        <w:t xml:space="preserve">1981 · Schneider-Helmert D ·</w:t>
      </w:r>
      <w:r>
        <w:t xml:space="preserve"> </w:t>
      </w:r>
      <w:r>
        <w:rPr>
          <w:iCs/>
          <w:i/>
        </w:rPr>
        <w:t xml:space="preserve">Int J Clin Pharmacol Ther Toxicol</w:t>
      </w:r>
      <w:r>
        <w:t xml:space="preserve"> </w:t>
      </w:r>
      <w:r>
        <w:t xml:space="preserve">· Acute and delayed effects of DSIP (delta sleep-inducing peptide) on human sleep behavior. PMID 6895513</w:t>
      </w:r>
    </w:p>
    <w:p>
      <w:pPr>
        <w:numPr>
          <w:ilvl w:val="0"/>
          <w:numId w:val="1408"/>
        </w:numPr>
        <w:pStyle w:val="Compact"/>
      </w:pPr>
      <w:r>
        <w:t xml:space="preserve">1981 · Schneider-Helmert D ·</w:t>
      </w:r>
      <w:r>
        <w:t xml:space="preserve"> </w:t>
      </w:r>
      <w:r>
        <w:rPr>
          <w:iCs/>
          <w:i/>
        </w:rPr>
        <w:t xml:space="preserve">Lancet</w:t>
      </w:r>
      <w:r>
        <w:t xml:space="preserve"> </w:t>
      </w:r>
      <w:r>
        <w:t xml:space="preserve">· Synthetic delta-sleep-inducing peptide improves sleep in insomniacs. PMID 6112579</w:t>
      </w:r>
    </w:p>
    <w:bookmarkEnd w:id="3049"/>
    <w:bookmarkStart w:id="3050" w:name="epitalon-epithalon-1"/>
    <w:p>
      <w:pPr>
        <w:pStyle w:val="Heading2"/>
      </w:pPr>
      <w:r>
        <w:t xml:space="preserve">Epitalon (Epithalon) (1)</w:t>
      </w:r>
    </w:p>
    <w:p>
      <w:pPr>
        <w:numPr>
          <w:ilvl w:val="0"/>
          <w:numId w:val="1409"/>
        </w:numPr>
        <w:pStyle w:val="Compact"/>
      </w:pPr>
      <w:r>
        <w:t xml:space="preserve">2002 · Khavinson V ·</w:t>
      </w:r>
      <w:r>
        <w:t xml:space="preserve"> </w:t>
      </w:r>
      <w:r>
        <w:rPr>
          <w:iCs/>
          <w:i/>
        </w:rPr>
        <w:t xml:space="preserve">Neuro Endocrinol Lett</w:t>
      </w:r>
      <w:r>
        <w:t xml:space="preserve"> </w:t>
      </w:r>
      <w:r>
        <w:t xml:space="preserve">· Pineal-regulating tetrapeptide epitalon improves eye retina condition in retinitis pigmentosa. PMID 12195242</w:t>
      </w:r>
    </w:p>
    <w:bookmarkEnd w:id="3050"/>
    <w:bookmarkStart w:id="3051" w:name="pinealon-1"/>
    <w:p>
      <w:pPr>
        <w:pStyle w:val="Heading2"/>
      </w:pPr>
      <w:r>
        <w:t xml:space="preserve">Pinealon (1)</w:t>
      </w:r>
    </w:p>
    <w:p>
      <w:pPr>
        <w:numPr>
          <w:ilvl w:val="0"/>
          <w:numId w:val="1410"/>
        </w:numPr>
        <w:pStyle w:val="Compact"/>
      </w:pPr>
      <w:r>
        <w:t xml:space="preserve">2012 · Bashkireva AS ·</w:t>
      </w:r>
      <w:r>
        <w:t xml:space="preserve"> </w:t>
      </w:r>
      <w:r>
        <w:rPr>
          <w:iCs/>
          <w:i/>
        </w:rPr>
        <w:t xml:space="preserve">Adv Gerontol</w:t>
      </w:r>
      <w:r>
        <w:t xml:space="preserve"> </w:t>
      </w:r>
      <w:r>
        <w:t xml:space="preserve">· [The peptide correction of neurotic disorders among professional truck-drivers]. PMID 23734521</w:t>
      </w:r>
    </w:p>
    <w:bookmarkEnd w:id="3051"/>
    <w:bookmarkStart w:id="3052" w:name="mots-c-5"/>
    <w:p>
      <w:pPr>
        <w:pStyle w:val="Heading2"/>
      </w:pPr>
      <w:r>
        <w:t xml:space="preserve">MOTS-c (5)</w:t>
      </w:r>
    </w:p>
    <w:p>
      <w:pPr>
        <w:numPr>
          <w:ilvl w:val="0"/>
          <w:numId w:val="1411"/>
        </w:numPr>
        <w:pStyle w:val="Compact"/>
      </w:pPr>
      <w:r>
        <w:t xml:space="preserve">2025 · Elhusseiny R ·</w:t>
      </w:r>
      <w:r>
        <w:t xml:space="preserve"> </w:t>
      </w:r>
      <w:r>
        <w:rPr>
          <w:iCs/>
          <w:i/>
        </w:rPr>
        <w:t xml:space="preserve">Med Sci Sports Exerc</w:t>
      </w:r>
      <w:r>
        <w:t xml:space="preserve"> </w:t>
      </w:r>
      <w:r>
        <w:t xml:space="preserve">· Repeated Heat Stress Modulates the Levels of the Mitokines MOTS-C and FGF21 in Active Men during Calf Muscle Immobilization. PMID 40674654</w:t>
      </w:r>
    </w:p>
    <w:p>
      <w:pPr>
        <w:numPr>
          <w:ilvl w:val="0"/>
          <w:numId w:val="1411"/>
        </w:numPr>
        <w:pStyle w:val="Compact"/>
      </w:pPr>
      <w:r>
        <w:t xml:space="preserve">2022 · Cuyàs E ·</w:t>
      </w:r>
      <w:r>
        <w:t xml:space="preserve"> </w:t>
      </w:r>
      <w:r>
        <w:rPr>
          <w:iCs/>
          <w:i/>
        </w:rPr>
        <w:t xml:space="preserve">Aging (Albany NY)</w:t>
      </w:r>
      <w:r>
        <w:t xml:space="preserve"> </w:t>
      </w:r>
      <w:r>
        <w:t xml:space="preserve">· Circulating levels of MOTS-c in patients with breast cancer treated with metformin. PMID 36490309</w:t>
      </w:r>
    </w:p>
    <w:p>
      <w:pPr>
        <w:numPr>
          <w:ilvl w:val="0"/>
          <w:numId w:val="1411"/>
        </w:numPr>
        <w:pStyle w:val="Compact"/>
      </w:pPr>
      <w:r>
        <w:t xml:space="preserve">2021 · Dieli-Conwright CM ·</w:t>
      </w:r>
      <w:r>
        <w:t xml:space="preserve"> </w:t>
      </w:r>
      <w:r>
        <w:rPr>
          <w:iCs/>
          <w:i/>
        </w:rPr>
        <w:t xml:space="preserve">Sci Rep</w:t>
      </w:r>
      <w:r>
        <w:t xml:space="preserve"> </w:t>
      </w:r>
      <w:r>
        <w:t xml:space="preserve">· Effect of aerobic and resistance exercise on the mitochondrial peptide MOTS-c in Hispanic and Non-Hispanic White breast cancer survivors. PMID 34413391</w:t>
      </w:r>
    </w:p>
    <w:p>
      <w:pPr>
        <w:numPr>
          <w:ilvl w:val="0"/>
          <w:numId w:val="1411"/>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1"/>
        </w:numPr>
        <w:pStyle w:val="Compact"/>
      </w:pPr>
      <w:r>
        <w:t xml:space="preserve">2020 · Ikonomidis I ·</w:t>
      </w:r>
      <w:r>
        <w:t xml:space="preserve"> </w:t>
      </w:r>
      <w:r>
        <w:rPr>
          <w:iCs/>
          <w:i/>
        </w:rPr>
        <w:t xml:space="preserve">J Thromb Thrombolysis</w:t>
      </w:r>
      <w:r>
        <w:t xml:space="preserve"> </w:t>
      </w:r>
      <w:r>
        <w:t xml:space="preserve">· β-Amyloid and mitochondrial-derived peptide-c are additive predictors of adverse outcome to high-on-treatment platelet reactivity in type 2 diabetics with revascularized coronary artery disease. PMID 32052315</w:t>
      </w:r>
    </w:p>
    <w:bookmarkEnd w:id="3052"/>
    <w:bookmarkStart w:id="3053" w:name="humanina-8"/>
    <w:p>
      <w:pPr>
        <w:pStyle w:val="Heading2"/>
      </w:pPr>
      <w:r>
        <w:t xml:space="preserve">Humanina (8)</w:t>
      </w:r>
    </w:p>
    <w:p>
      <w:pPr>
        <w:numPr>
          <w:ilvl w:val="0"/>
          <w:numId w:val="1412"/>
        </w:numPr>
        <w:pStyle w:val="Compact"/>
      </w:pPr>
      <w:r>
        <w:t xml:space="preserve">2026 · Hosseini MH ·</w:t>
      </w:r>
      <w:r>
        <w:t xml:space="preserve"> </w:t>
      </w:r>
      <w:r>
        <w:rPr>
          <w:iCs/>
          <w:i/>
        </w:rPr>
        <w:t xml:space="preserve">BMC Geriatr</w:t>
      </w:r>
      <w:r>
        <w:t xml:space="preserve"> </w:t>
      </w:r>
      <w:r>
        <w:t xml:space="preserve">· Preserving brain health in aging: structural and biochemical benefits of water based resistance training, a randomized controlled trial. PMID 41975304</w:t>
      </w:r>
    </w:p>
    <w:p>
      <w:pPr>
        <w:numPr>
          <w:ilvl w:val="0"/>
          <w:numId w:val="1412"/>
        </w:numPr>
        <w:pStyle w:val="Compact"/>
      </w:pPr>
      <w:r>
        <w:t xml:space="preserve">2025 · Basereh A ·</w:t>
      </w:r>
      <w:r>
        <w:t xml:space="preserve"> </w:t>
      </w:r>
      <w:r>
        <w:rPr>
          <w:iCs/>
          <w:i/>
        </w:rPr>
        <w:t xml:space="preserve">Sci Rep</w:t>
      </w:r>
      <w:r>
        <w:t xml:space="preserve"> </w:t>
      </w:r>
      <w:r>
        <w:t xml:space="preserve">· Redox-sensitive miRNAs and Humanin could mediate effects of exercise and astaxanthin on oxidative stress and inflammation in type 2 diabetes. PMID 41249265</w:t>
      </w:r>
    </w:p>
    <w:p>
      <w:pPr>
        <w:numPr>
          <w:ilvl w:val="0"/>
          <w:numId w:val="1412"/>
        </w:numPr>
        <w:pStyle w:val="Compact"/>
      </w:pPr>
      <w:r>
        <w:t xml:space="preserve">2023 · Delgado-Peraza F ·</w:t>
      </w:r>
      <w:r>
        <w:t xml:space="preserve"> </w:t>
      </w:r>
      <w:r>
        <w:rPr>
          <w:iCs/>
          <w:i/>
        </w:rPr>
        <w:t xml:space="preserve">Alzheimers Res Ther</w:t>
      </w:r>
      <w:r>
        <w:t xml:space="preserve"> </w:t>
      </w:r>
      <w:r>
        <w:t xml:space="preserve">· Neuron-derived extracellular vesicles in blood reveal effects of exercise in Alzheimer’s disease. PMID 37730689</w:t>
      </w:r>
    </w:p>
    <w:p>
      <w:pPr>
        <w:numPr>
          <w:ilvl w:val="0"/>
          <w:numId w:val="1412"/>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2"/>
        </w:numPr>
        <w:pStyle w:val="Compact"/>
      </w:pPr>
      <w:r>
        <w:t xml:space="preserve">2019 · Xu Y ·</w:t>
      </w:r>
      <w:r>
        <w:t xml:space="preserve"> </w:t>
      </w:r>
      <w:r>
        <w:rPr>
          <w:iCs/>
          <w:i/>
        </w:rPr>
        <w:t xml:space="preserve">Cell Transplant</w:t>
      </w:r>
      <w:r>
        <w:t xml:space="preserve"> </w:t>
      </w:r>
      <w:r>
        <w:t xml:space="preserve">· Protective Effect of Hyperbaric Oxygen Therapy on Cognitive Function in Patients with Vascular Dementia. PMID 31134827</w:t>
      </w:r>
    </w:p>
    <w:p>
      <w:pPr>
        <w:numPr>
          <w:ilvl w:val="0"/>
          <w:numId w:val="1412"/>
        </w:numPr>
        <w:pStyle w:val="Compact"/>
      </w:pPr>
      <w:r>
        <w:t xml:space="preserve">2019 · Shen Y ·</w:t>
      </w:r>
      <w:r>
        <w:t xml:space="preserve"> </w:t>
      </w:r>
      <w:r>
        <w:rPr>
          <w:iCs/>
          <w:i/>
        </w:rPr>
        <w:t xml:space="preserve">Stroke</w:t>
      </w:r>
      <w:r>
        <w:t xml:space="preserve"> </w:t>
      </w:r>
      <w:r>
        <w:t xml:space="preserve">· Epigenome-Wide Association Study Indicates Hypomethylation of MTRNR2L8 in Large-Artery Atherosclerosis Stroke. PMID 31084332</w:t>
      </w:r>
    </w:p>
    <w:p>
      <w:pPr>
        <w:numPr>
          <w:ilvl w:val="0"/>
          <w:numId w:val="1412"/>
        </w:numPr>
        <w:pStyle w:val="Compact"/>
      </w:pPr>
      <w:r>
        <w:t xml:space="preserve">2017 · Nashine S ·</w:t>
      </w:r>
      <w:r>
        <w:t xml:space="preserve"> </w:t>
      </w:r>
      <w:r>
        <w:rPr>
          <w:iCs/>
          <w:i/>
        </w:rPr>
        <w:t xml:space="preserve">Cell Death Dis</w:t>
      </w:r>
      <w:r>
        <w:t xml:space="preserve"> </w:t>
      </w:r>
      <w:r>
        <w:t xml:space="preserve">· Humanin G (HNG) protects age-related macular degeneration (AMD) transmitochondrial ARPE-19 cybrids from mitochondrial and cellular damage. PMID 28726777</w:t>
      </w:r>
    </w:p>
    <w:p>
      <w:pPr>
        <w:numPr>
          <w:ilvl w:val="0"/>
          <w:numId w:val="1412"/>
        </w:numPr>
        <w:pStyle w:val="Compact"/>
      </w:pPr>
      <w:r>
        <w:t xml:space="preserve">2016 · Gidlund EK ·</w:t>
      </w:r>
      <w:r>
        <w:t xml:space="preserve"> </w:t>
      </w:r>
      <w:r>
        <w:rPr>
          <w:iCs/>
          <w:i/>
        </w:rPr>
        <w:t xml:space="preserve">Physiol Rep</w:t>
      </w:r>
      <w:r>
        <w:t xml:space="preserve"> </w:t>
      </w:r>
      <w:r>
        <w:t xml:space="preserve">· Humanin skeletal muscle protein levels increase after resistance training in men with impaired glucose metabolism. PMID 27923980</w:t>
      </w:r>
    </w:p>
    <w:bookmarkEnd w:id="3053"/>
    <w:bookmarkStart w:id="3054" w:name="ss-31-elamipretida-19"/>
    <w:p>
      <w:pPr>
        <w:pStyle w:val="Heading2"/>
      </w:pPr>
      <w:r>
        <w:t xml:space="preserve">SS-31 (elamipretida) (19)</w:t>
      </w:r>
    </w:p>
    <w:p>
      <w:pPr>
        <w:numPr>
          <w:ilvl w:val="0"/>
          <w:numId w:val="1413"/>
        </w:numPr>
        <w:pStyle w:val="Compact"/>
      </w:pPr>
      <w:r>
        <w:t xml:space="preserve">2025 · Gwaltney C ·</w:t>
      </w:r>
      <w:r>
        <w:t xml:space="preserve"> </w:t>
      </w:r>
      <w:r>
        <w:rPr>
          <w:iCs/>
          <w:i/>
        </w:rPr>
        <w:t xml:space="preserve">Orphanet J Rare Dis</w:t>
      </w:r>
      <w:r>
        <w:t xml:space="preserve"> </w:t>
      </w:r>
      <w:r>
        <w:t xml:space="preserve">· Initial Psychometric Evaluation of the Barth Syndrome Symptom Assessment (BTHS-SA) for Adolescents and Adults in a Phase 2 Clinical Study. PMID 40281531</w:t>
      </w:r>
    </w:p>
    <w:p>
      <w:pPr>
        <w:numPr>
          <w:ilvl w:val="0"/>
          <w:numId w:val="1413"/>
        </w:numPr>
        <w:pStyle w:val="Compact"/>
      </w:pPr>
      <w:r>
        <w:t xml:space="preserve">2024 · Karaa A ·</w:t>
      </w:r>
      <w:r>
        <w:t xml:space="preserve"> </w:t>
      </w:r>
      <w:r>
        <w:rPr>
          <w:iCs/>
          <w:i/>
        </w:rPr>
        <w:t xml:space="preserve">Orphanet J Rare Dis</w:t>
      </w:r>
      <w:r>
        <w:t xml:space="preserve"> </w:t>
      </w:r>
      <w:r>
        <w:t xml:space="preserve">· Genotype-specific effects of elamipretide in patients with primary mitochondrial myopathy: a post hoc analysis of the MMPOWER-3 trial. PMID 39574155</w:t>
      </w:r>
    </w:p>
    <w:p>
      <w:pPr>
        <w:numPr>
          <w:ilvl w:val="0"/>
          <w:numId w:val="1413"/>
        </w:numPr>
        <w:pStyle w:val="Compact"/>
      </w:pPr>
      <w:r>
        <w:t xml:space="preserve">2024 · Sherrod CF 4th ·</w:t>
      </w:r>
      <w:r>
        <w:t xml:space="preserve"> </w:t>
      </w:r>
      <w:r>
        <w:rPr>
          <w:iCs/>
          <w:i/>
        </w:rPr>
        <w:t xml:space="preserve">J Am Coll Cardiol</w:t>
      </w:r>
      <w:r>
        <w:t xml:space="preserve"> </w:t>
      </w:r>
      <w:r>
        <w:t xml:space="preserve">· Effect of Aficamten on Health Status Outcomes in Obstructive Hypertrophic Cardiomyopathy: Results From SEQUOIA-HCM. PMID 39217569</w:t>
      </w:r>
    </w:p>
    <w:p>
      <w:pPr>
        <w:numPr>
          <w:ilvl w:val="0"/>
          <w:numId w:val="1413"/>
        </w:numPr>
        <w:pStyle w:val="Compact"/>
      </w:pPr>
      <w:r>
        <w:t xml:space="preserve">2024 · Thompson WR ·</w:t>
      </w:r>
      <w:r>
        <w:t xml:space="preserve"> </w:t>
      </w:r>
      <w:r>
        <w:rPr>
          <w:iCs/>
          <w:i/>
        </w:rPr>
        <w:t xml:space="preserve">Genet Med</w:t>
      </w:r>
      <w:r>
        <w:t xml:space="preserve"> </w:t>
      </w:r>
      <w:r>
        <w:t xml:space="preserve">· Long-term efficacy and safety of elamipretide in patients with Barth syndrome: 168-week open-label extension results of TAZPOWER. PMID 38602181</w:t>
      </w:r>
    </w:p>
    <w:p>
      <w:pPr>
        <w:numPr>
          <w:ilvl w:val="0"/>
          <w:numId w:val="1413"/>
        </w:numPr>
        <w:pStyle w:val="Compact"/>
      </w:pPr>
      <w:r>
        <w:t xml:space="preserve">2024 · Karanjia R ·</w:t>
      </w:r>
      <w:r>
        <w:t xml:space="preserve"> </w:t>
      </w:r>
      <w:r>
        <w:rPr>
          <w:iCs/>
          <w:i/>
        </w:rPr>
        <w:t xml:space="preserve">Ophthalmology</w:t>
      </w:r>
      <w:r>
        <w:t xml:space="preserve"> </w:t>
      </w:r>
      <w:r>
        <w:t xml:space="preserve">· Elamipretide Topical Ophthalmic Solution for the Treatment of Subjects with Leber Hereditary Optic Neuropathy: A Randomized Trial. PMID 37923251</w:t>
      </w:r>
    </w:p>
    <w:p>
      <w:pPr>
        <w:numPr>
          <w:ilvl w:val="0"/>
          <w:numId w:val="1413"/>
        </w:numPr>
        <w:pStyle w:val="Compact"/>
      </w:pPr>
      <w:r>
        <w:t xml:space="preserve">2023 · Karaa A ·</w:t>
      </w:r>
      <w:r>
        <w:t xml:space="preserve"> </w:t>
      </w:r>
      <w:r>
        <w:rPr>
          <w:iCs/>
          <w:i/>
        </w:rPr>
        <w:t xml:space="preserve">Neurology</w:t>
      </w:r>
      <w:r>
        <w:t xml:space="preserve"> </w:t>
      </w:r>
      <w:r>
        <w:t xml:space="preserve">· Efficacy and Safety of Elamipretide in Individuals With Primary Mitochondrial Myopathy: The MMPOWER-3 Randomized Clinical Trial. PMID 37268435</w:t>
      </w:r>
    </w:p>
    <w:p>
      <w:pPr>
        <w:numPr>
          <w:ilvl w:val="0"/>
          <w:numId w:val="1413"/>
        </w:numPr>
        <w:pStyle w:val="Compact"/>
      </w:pPr>
      <w:r>
        <w:t xml:space="preserve">2023 · Van den Eynde J ·</w:t>
      </w:r>
      <w:r>
        <w:t xml:space="preserve"> </w:t>
      </w:r>
      <w:r>
        <w:rPr>
          <w:iCs/>
          <w:i/>
        </w:rPr>
        <w:t xml:space="preserve">Orphanet J Rare Dis</w:t>
      </w:r>
      <w:r>
        <w:t xml:space="preserve"> </w:t>
      </w:r>
      <w:r>
        <w:t xml:space="preserve">· Identifying responders to elamipretide in Barth syndrome: Hierarchical clustering for time series data. PMID 37041653</w:t>
      </w:r>
    </w:p>
    <w:p>
      <w:pPr>
        <w:numPr>
          <w:ilvl w:val="0"/>
          <w:numId w:val="1413"/>
        </w:numPr>
        <w:pStyle w:val="Compact"/>
      </w:pPr>
      <w:r>
        <w:t xml:space="preserve">2022 · Hornby B ·</w:t>
      </w:r>
      <w:r>
        <w:t xml:space="preserve"> </w:t>
      </w:r>
      <w:r>
        <w:rPr>
          <w:iCs/>
          <w:i/>
        </w:rPr>
        <w:t xml:space="preserve">Orphanet J Rare Dis</w:t>
      </w:r>
      <w:r>
        <w:t xml:space="preserve"> </w:t>
      </w:r>
      <w:r>
        <w:t xml:space="preserve">· Natural history comparison study to assess the efficacy of elamipretide in patients with Barth syndrome. PMID 36056411</w:t>
      </w:r>
    </w:p>
    <w:p>
      <w:pPr>
        <w:numPr>
          <w:ilvl w:val="0"/>
          <w:numId w:val="1413"/>
        </w:numPr>
        <w:pStyle w:val="Compact"/>
      </w:pPr>
      <w:r>
        <w:t xml:space="preserve">2021 · Roshanravan B ·</w:t>
      </w:r>
      <w:r>
        <w:t xml:space="preserve"> </w:t>
      </w:r>
      <w:r>
        <w:rPr>
          <w:iCs/>
          <w:i/>
        </w:rPr>
        <w:t xml:space="preserve">PLoS One</w:t>
      </w:r>
      <w:r>
        <w:t xml:space="preserve"> </w:t>
      </w:r>
      <w:r>
        <w:t xml:space="preserve">· In vivo mitochondrial ATP production is improved in older adult skeletal muscle after a single dose of elamipretide in a randomized trial. PMID 34264994</w:t>
      </w:r>
    </w:p>
    <w:p>
      <w:pPr>
        <w:numPr>
          <w:ilvl w:val="0"/>
          <w:numId w:val="1413"/>
        </w:numPr>
        <w:pStyle w:val="Compact"/>
      </w:pPr>
      <w:r>
        <w:t xml:space="preserve">2021 · Reid Thompson W ·</w:t>
      </w:r>
      <w:r>
        <w:t xml:space="preserve"> </w:t>
      </w:r>
      <w:r>
        <w:rPr>
          <w:iCs/>
          <w:i/>
        </w:rPr>
        <w:t xml:space="preserve">Genet Med</w:t>
      </w:r>
      <w:r>
        <w:t xml:space="preserve"> </w:t>
      </w:r>
      <w:r>
        <w:t xml:space="preserve">· A phase 2/3 randomized clinical trial followed by an open-label extension to evaluate the effectiveness of elamipretide in Barth syndrome, a genetic disorder of mitochondrial cardiolipin metabolism. PMID 33077895</w:t>
      </w:r>
    </w:p>
    <w:p>
      <w:pPr>
        <w:numPr>
          <w:ilvl w:val="0"/>
          <w:numId w:val="1413"/>
        </w:numPr>
        <w:pStyle w:val="Compact"/>
      </w:pPr>
      <w:r>
        <w:t xml:space="preserve">2020 · Karaa A ·</w:t>
      </w:r>
      <w:r>
        <w:t xml:space="preserve"> </w:t>
      </w:r>
      <w:r>
        <w:rPr>
          <w:iCs/>
          <w:i/>
        </w:rPr>
        <w:t xml:space="preserve">J Cachexia Sarcopenia Muscle</w:t>
      </w:r>
      <w:r>
        <w:t xml:space="preserve"> </w:t>
      </w:r>
      <w:r>
        <w:t xml:space="preserve">· A randomized crossover trial of elamipretide in adults with primary mitochondrial myopathy. PMID 32096613</w:t>
      </w:r>
    </w:p>
    <w:p>
      <w:pPr>
        <w:numPr>
          <w:ilvl w:val="0"/>
          <w:numId w:val="1413"/>
        </w:numPr>
        <w:pStyle w:val="Compact"/>
      </w:pPr>
      <w:r>
        <w:t xml:space="preserve">2020 · Butler J ·</w:t>
      </w:r>
      <w:r>
        <w:t xml:space="preserve"> </w:t>
      </w:r>
      <w:r>
        <w:rPr>
          <w:iCs/>
          <w:i/>
        </w:rPr>
        <w:t xml:space="preserve">J Card Fail</w:t>
      </w:r>
      <w:r>
        <w:t xml:space="preserve"> </w:t>
      </w:r>
      <w:r>
        <w:t xml:space="preserve">· Effects of Elamipretide on Left Ventricular Function in Patients With Heart Failure With Reduced Ejection Fraction: The PROGRESS-HF Phase 2 Trial. PMID 32068002</w:t>
      </w:r>
    </w:p>
    <w:p>
      <w:pPr>
        <w:numPr>
          <w:ilvl w:val="0"/>
          <w:numId w:val="1413"/>
        </w:numPr>
        <w:pStyle w:val="Compact"/>
      </w:pPr>
      <w:r>
        <w:t xml:space="preserve">2019 · Hortmann M ·</w:t>
      </w:r>
      <w:r>
        <w:t xml:space="preserve"> </w:t>
      </w:r>
      <w:r>
        <w:rPr>
          <w:iCs/>
          <w:i/>
        </w:rPr>
        <w:t xml:space="preserve">Eur Heart J Acute Cardiovasc Care</w:t>
      </w:r>
      <w:r>
        <w:t xml:space="preserve"> </w:t>
      </w:r>
      <w:r>
        <w:t xml:space="preserve">· The mitochondria-targeting peptide elamipretide diminishes circulating HtrA2 in ST-segment elevation myocardial infarction. PMID 28534645</w:t>
      </w:r>
    </w:p>
    <w:p>
      <w:pPr>
        <w:numPr>
          <w:ilvl w:val="0"/>
          <w:numId w:val="1413"/>
        </w:numPr>
        <w:pStyle w:val="Compact"/>
      </w:pPr>
      <w:r>
        <w:t xml:space="preserve">2018 · Karaa A ·</w:t>
      </w:r>
      <w:r>
        <w:t xml:space="preserve"> </w:t>
      </w:r>
      <w:r>
        <w:rPr>
          <w:iCs/>
          <w:i/>
        </w:rPr>
        <w:t xml:space="preserve">Neurology</w:t>
      </w:r>
      <w:r>
        <w:t xml:space="preserve"> </w:t>
      </w:r>
      <w:r>
        <w:t xml:space="preserve">· Randomized dose-escalation trial of elamipretide in adults with primary mitochondrial myopathy. PMID 29500292</w:t>
      </w:r>
    </w:p>
    <w:p>
      <w:pPr>
        <w:numPr>
          <w:ilvl w:val="0"/>
          <w:numId w:val="1413"/>
        </w:numPr>
        <w:pStyle w:val="Compact"/>
      </w:pPr>
      <w:r>
        <w:t xml:space="preserve">2017 · Daubert MA ·</w:t>
      </w:r>
      <w:r>
        <w:t xml:space="preserve"> </w:t>
      </w:r>
      <w:r>
        <w:rPr>
          <w:iCs/>
          <w:i/>
        </w:rPr>
        <w:t xml:space="preserve">Circ Heart Fail</w:t>
      </w:r>
      <w:r>
        <w:t xml:space="preserve"> </w:t>
      </w:r>
      <w:r>
        <w:t xml:space="preserve">· Novel Mitochondria-Targeting Peptide in Heart Failure Treatment: A Randomized, Placebo-Controlled Trial of Elamipretide. PMID 29217757</w:t>
      </w:r>
    </w:p>
    <w:p>
      <w:pPr>
        <w:numPr>
          <w:ilvl w:val="0"/>
          <w:numId w:val="1413"/>
        </w:numPr>
        <w:pStyle w:val="Compact"/>
      </w:pPr>
      <w:r>
        <w:t xml:space="preserve">2017 · Saad A ·</w:t>
      </w:r>
      <w:r>
        <w:t xml:space="preserve"> </w:t>
      </w:r>
      <w:r>
        <w:rPr>
          <w:iCs/>
          <w:i/>
        </w:rPr>
        <w:t xml:space="preserve">Circ Cardiovasc Interv</w:t>
      </w:r>
      <w:r>
        <w:t xml:space="preserve"> </w:t>
      </w:r>
      <w:r>
        <w:t xml:space="preserve">· Phase 2a Clinical Trial of Mitochondrial Protection (Elamipretide) During Stent Revascularization in Patients With Atherosclerotic Renal Artery Stenosis. PMID 28916603</w:t>
      </w:r>
    </w:p>
    <w:p>
      <w:pPr>
        <w:numPr>
          <w:ilvl w:val="0"/>
          <w:numId w:val="1413"/>
        </w:numPr>
        <w:pStyle w:val="Compact"/>
      </w:pPr>
      <w:r>
        <w:t xml:space="preserve">2016 · Schoenell MC ·</w:t>
      </w:r>
      <w:r>
        <w:t xml:space="preserve"> </w:t>
      </w:r>
      <w:r>
        <w:rPr>
          <w:iCs/>
          <w:i/>
        </w:rPr>
        <w:t xml:space="preserve">Int J Sports Med</w:t>
      </w:r>
      <w:r>
        <w:t xml:space="preserve"> </w:t>
      </w:r>
      <w:r>
        <w:t xml:space="preserve">· Effects of Single Vs. Multiple Sets during 10 Weeks of Water-based Resistance Training on Neuromuscular Adaptations in Young Women. PMID 27286183</w:t>
      </w:r>
    </w:p>
    <w:p>
      <w:pPr>
        <w:numPr>
          <w:ilvl w:val="0"/>
          <w:numId w:val="1413"/>
        </w:numPr>
        <w:pStyle w:val="Compact"/>
      </w:pPr>
      <w:r>
        <w:t xml:space="preserve">2012 · Bernardo-Escudero R ·</w:t>
      </w:r>
      <w:r>
        <w:t xml:space="preserve"> </w:t>
      </w:r>
      <w:r>
        <w:rPr>
          <w:iCs/>
          <w:i/>
        </w:rPr>
        <w:t xml:space="preserve">Eur J Drug Metab Pharmacokinet</w:t>
      </w:r>
      <w:r>
        <w:t xml:space="preserve"> </w:t>
      </w:r>
      <w:r>
        <w:t xml:space="preserve">· Comparison of the pharmacokinetics of a new 30 mg modified-release tablet formulation of metoclopramide for once-a-day administration versus 10 mg immediate-release tablets: a single and multiple-dose, randomized, open-label, parallel study in healthy male subjects. PMID 22328192</w:t>
      </w:r>
    </w:p>
    <w:p>
      <w:pPr>
        <w:numPr>
          <w:ilvl w:val="0"/>
          <w:numId w:val="1413"/>
        </w:numPr>
        <w:pStyle w:val="Compact"/>
      </w:pPr>
      <w:r>
        <w:t xml:space="preserve">1977 · Ludwig H ·</w:t>
      </w:r>
      <w:r>
        <w:t xml:space="preserve"> </w:t>
      </w:r>
      <w:r>
        <w:rPr>
          <w:iCs/>
          <w:i/>
        </w:rPr>
        <w:t xml:space="preserve">Gut</w:t>
      </w:r>
      <w:r>
        <w:t xml:space="preserve"> </w:t>
      </w:r>
      <w:r>
        <w:t xml:space="preserve">· Antibodies to pancreatic duct cells in Sjögren’s syndrome and rheumatoid arthritis. PMID 405283</w:t>
      </w:r>
    </w:p>
    <w:bookmarkEnd w:id="3054"/>
    <w:bookmarkStart w:id="3055" w:name="foxo4-dri-0"/>
    <w:p>
      <w:pPr>
        <w:pStyle w:val="Heading2"/>
      </w:pPr>
      <w:r>
        <w:t xml:space="preserve">FOXO4-DRI (0)</w:t>
      </w:r>
    </w:p>
    <w:p>
      <w:pPr>
        <w:pStyle w:val="FirstParagraph"/>
      </w:pPr>
      <w:r>
        <w:t xml:space="preserve">Nenhuma publicação de estudos clínicos em humanos encontrada.</w:t>
      </w:r>
    </w:p>
    <w:bookmarkEnd w:id="3055"/>
    <w:bookmarkStart w:id="3056" w:name="glutationa-161"/>
    <w:p>
      <w:pPr>
        <w:pStyle w:val="Heading2"/>
      </w:pPr>
      <w:r>
        <w:t xml:space="preserve">Glutationa (161)</w:t>
      </w:r>
    </w:p>
    <w:p>
      <w:pPr>
        <w:numPr>
          <w:ilvl w:val="0"/>
          <w:numId w:val="1414"/>
        </w:numPr>
        <w:pStyle w:val="Compact"/>
      </w:pPr>
      <w:r>
        <w:t xml:space="preserve">2026 · Bai JL ·</w:t>
      </w:r>
      <w:r>
        <w:t xml:space="preserve"> </w:t>
      </w:r>
      <w:r>
        <w:rPr>
          <w:iCs/>
          <w:i/>
        </w:rPr>
        <w:t xml:space="preserve">Medicine (Baltimore)</w:t>
      </w:r>
      <w:r>
        <w:t xml:space="preserve"> </w:t>
      </w:r>
      <w:r>
        <w:t xml:space="preserve">· Hyaluronic acid-based skin booster with glutathione combined with 1064-nm Nd:YAG laser and oral tranexamic acid for melasma: A prospective comparative study. PMID 42888572</w:t>
      </w:r>
    </w:p>
    <w:p>
      <w:pPr>
        <w:numPr>
          <w:ilvl w:val="0"/>
          <w:numId w:val="1414"/>
        </w:numPr>
        <w:pStyle w:val="Compact"/>
      </w:pPr>
      <w:r>
        <w:t xml:space="preserve">2026 · Jung ES ·</w:t>
      </w:r>
      <w:r>
        <w:t xml:space="preserve"> </w:t>
      </w:r>
      <w:r>
        <w:rPr>
          <w:iCs/>
          <w:i/>
        </w:rPr>
        <w:t xml:space="preserve">Eur J Pharm Biopharm</w:t>
      </w:r>
      <w:r>
        <w:t xml:space="preserve"> </w:t>
      </w:r>
      <w:r>
        <w:t xml:space="preserve">· Formulation-dependent differences in systemic glutathione availability: Comparative pharmacokinetics of orally dissolving film and tablet formulations in healthy adults. PMID 42392376</w:t>
      </w:r>
    </w:p>
    <w:p>
      <w:pPr>
        <w:numPr>
          <w:ilvl w:val="0"/>
          <w:numId w:val="1414"/>
        </w:numPr>
        <w:pStyle w:val="Compact"/>
      </w:pPr>
      <w:r>
        <w:t xml:space="preserve">2026 · Ramos-Hernández R ·</w:t>
      </w:r>
      <w:r>
        <w:t xml:space="preserve"> </w:t>
      </w:r>
      <w:r>
        <w:rPr>
          <w:iCs/>
          <w:i/>
        </w:rPr>
        <w:t xml:space="preserve">Biogerontology</w:t>
      </w:r>
      <w:r>
        <w:t xml:space="preserve"> </w:t>
      </w:r>
      <w:r>
        <w:t xml:space="preserve">· Creatine plus β-Hydroxy-β-Methylbutyrate supplementation is associated with preserved glutathione redox-balance and redox-function associations in older adults: a secondary analysis of a randomized crossover trial. PMID 41712056</w:t>
      </w:r>
    </w:p>
    <w:p>
      <w:pPr>
        <w:numPr>
          <w:ilvl w:val="0"/>
          <w:numId w:val="1414"/>
        </w:numPr>
        <w:pStyle w:val="Compact"/>
      </w:pPr>
      <w:r>
        <w:t xml:space="preserve">2025 · Mawu FO ·</w:t>
      </w:r>
      <w:r>
        <w:t xml:space="preserve"> </w:t>
      </w:r>
      <w:r>
        <w:rPr>
          <w:iCs/>
          <w:i/>
        </w:rPr>
        <w:t xml:space="preserve">Acta Dermatovenerol Alp Pannonica Adriat</w:t>
      </w:r>
      <w:r>
        <w:t xml:space="preserve"> </w:t>
      </w:r>
      <w:r>
        <w:t xml:space="preserve">· Effectiveness of oral glutathione in reducing nitric oxide and IL-1α concentrations for clinical improvement in mild to moderate acne vulgaris: a randomized controlled trial. PMID 41014073</w:t>
      </w:r>
    </w:p>
    <w:p>
      <w:pPr>
        <w:numPr>
          <w:ilvl w:val="0"/>
          <w:numId w:val="1414"/>
        </w:numPr>
        <w:pStyle w:val="Compact"/>
      </w:pPr>
      <w:r>
        <w:t xml:space="preserve">2025 · Williams PG ·</w:t>
      </w:r>
      <w:r>
        <w:t xml:space="preserve"> </w:t>
      </w:r>
      <w:r>
        <w:rPr>
          <w:iCs/>
          <w:i/>
        </w:rPr>
        <w:t xml:space="preserve">J Dev Behav Pediatr</w:t>
      </w:r>
      <w:r>
        <w:t xml:space="preserve"> </w:t>
      </w:r>
      <w:r>
        <w:t xml:space="preserve">· Glutathione, Vitamin C, and Cysteine Use in Autistic Children With Disruptive Behavior: A Double-Blind, Placebo-Controlled Crossover Pilot Study. PMID 39960783</w:t>
      </w:r>
    </w:p>
    <w:p>
      <w:pPr>
        <w:numPr>
          <w:ilvl w:val="0"/>
          <w:numId w:val="1414"/>
        </w:numPr>
        <w:pStyle w:val="Compact"/>
      </w:pPr>
      <w:r>
        <w:t xml:space="preserve">2024 · Copetti CLK ·</w:t>
      </w:r>
      <w:r>
        <w:t xml:space="preserve"> </w:t>
      </w:r>
      <w:r>
        <w:rPr>
          <w:iCs/>
          <w:i/>
        </w:rPr>
        <w:t xml:space="preserve">Appl Physiol Nutr Metab</w:t>
      </w:r>
      <w:r>
        <w:t xml:space="preserve"> </w:t>
      </w:r>
      <w:r>
        <w:t xml:space="preserve">· Juçara (Euterpe edulis Martius) improves time-to-exhaustion cycling performance and increased reduced glutathione: a randomized, placebo-controlled, crossover, and triple-blind study. PMID 38502949</w:t>
      </w:r>
    </w:p>
    <w:p>
      <w:pPr>
        <w:numPr>
          <w:ilvl w:val="0"/>
          <w:numId w:val="1414"/>
        </w:numPr>
        <w:pStyle w:val="Compact"/>
      </w:pPr>
      <w:r>
        <w:t xml:space="preserve">2023 · Radwan K ·</w:t>
      </w:r>
      <w:r>
        <w:t xml:space="preserve"> </w:t>
      </w:r>
      <w:r>
        <w:rPr>
          <w:iCs/>
          <w:i/>
        </w:rPr>
        <w:t xml:space="preserve">Med Sci (Basel)</w:t>
      </w:r>
      <w:r>
        <w:t xml:space="preserve"> </w:t>
      </w:r>
      <w:r>
        <w:t xml:space="preserve">· An Open-Label Case Series of Glutathione Use for Symptomatic Management in Children with Autism Spectrum Disorder. PMID 37987328</w:t>
      </w:r>
    </w:p>
    <w:p>
      <w:pPr>
        <w:numPr>
          <w:ilvl w:val="0"/>
          <w:numId w:val="1414"/>
        </w:numPr>
        <w:pStyle w:val="Compact"/>
      </w:pPr>
      <w:r>
        <w:t xml:space="preserve">2023 · Gaike AH ·</w:t>
      </w:r>
      <w:r>
        <w:t xml:space="preserve"> </w:t>
      </w:r>
      <w:r>
        <w:rPr>
          <w:iCs/>
          <w:i/>
        </w:rPr>
        <w:t xml:space="preserve">FEMS Microbiol Lett</w:t>
      </w:r>
      <w:r>
        <w:t xml:space="preserve"> </w:t>
      </w:r>
      <w:r>
        <w:t xml:space="preserve">· Effect of long-term oral glutathione supplementation on gut microbiome of type 2 diabetic individuals. PMID 37935462</w:t>
      </w:r>
    </w:p>
    <w:p>
      <w:pPr>
        <w:numPr>
          <w:ilvl w:val="0"/>
          <w:numId w:val="1414"/>
        </w:numPr>
        <w:pStyle w:val="Compact"/>
      </w:pPr>
      <w:r>
        <w:t xml:space="preserve">2023 · Juchem C ·</w:t>
      </w:r>
      <w:r>
        <w:t xml:space="preserve"> </w:t>
      </w:r>
      <w:r>
        <w:rPr>
          <w:iCs/>
          <w:i/>
        </w:rPr>
        <w:t xml:space="preserve">Neuroimage Clin</w:t>
      </w:r>
      <w:r>
        <w:t xml:space="preserve"> </w:t>
      </w:r>
      <w:r>
        <w:t xml:space="preserve">· In vivo cortical glutathione response to oral fumarate therapy in relapsing-remitting multiple sclerosis: A single-arm open-label phase IV trial using 7-Tesla (1)H MRS. PMID 37651844</w:t>
      </w:r>
    </w:p>
    <w:p>
      <w:pPr>
        <w:numPr>
          <w:ilvl w:val="0"/>
          <w:numId w:val="1414"/>
        </w:numPr>
        <w:pStyle w:val="Compact"/>
      </w:pPr>
      <w:r>
        <w:t xml:space="preserve">2023 · Benson M ·</w:t>
      </w:r>
      <w:r>
        <w:t xml:space="preserve"> </w:t>
      </w:r>
      <w:r>
        <w:rPr>
          <w:iCs/>
          <w:i/>
        </w:rPr>
        <w:t xml:space="preserve">Nutr Res</w:t>
      </w:r>
      <w:r>
        <w:t xml:space="preserve"> </w:t>
      </w:r>
      <w:r>
        <w:t xml:space="preserve">· Improved glycemic control either alone, or combined with antioxidant supplementation, fails to restore blood glutathione or markers of oxidative stress in adolescents with poorly controlled type 1 diabetes. PMID 37515943</w:t>
      </w:r>
    </w:p>
    <w:p>
      <w:pPr>
        <w:numPr>
          <w:ilvl w:val="0"/>
          <w:numId w:val="1414"/>
        </w:numPr>
        <w:pStyle w:val="Compact"/>
      </w:pPr>
      <w:r>
        <w:t xml:space="preserve">2023 · Figueroa A ·</w:t>
      </w:r>
      <w:r>
        <w:t xml:space="preserve"> </w:t>
      </w:r>
      <w:r>
        <w:rPr>
          <w:iCs/>
          <w:i/>
        </w:rPr>
        <w:t xml:space="preserve">Nutrients</w:t>
      </w:r>
      <w:r>
        <w:t xml:space="preserve"> </w:t>
      </w:r>
      <w:r>
        <w:t xml:space="preserve">· Combined Citrulline and Glutathione Supplementation Improves Endothelial Function and Blood Pressure Reactivity in Postmenopausal Women. PMID 37049398</w:t>
      </w:r>
    </w:p>
    <w:p>
      <w:pPr>
        <w:numPr>
          <w:ilvl w:val="0"/>
          <w:numId w:val="1414"/>
        </w:numPr>
        <w:pStyle w:val="Compact"/>
      </w:pPr>
      <w:r>
        <w:t xml:space="preserve">2023 · Chung JW ·</w:t>
      </w:r>
      <w:r>
        <w:t xml:space="preserve"> </w:t>
      </w:r>
      <w:r>
        <w:rPr>
          <w:iCs/>
          <w:i/>
        </w:rPr>
        <w:t xml:space="preserve">J Hum Nutr Diet</w:t>
      </w:r>
      <w:r>
        <w:t xml:space="preserve"> </w:t>
      </w:r>
      <w:r>
        <w:t xml:space="preserve">· Eight-week supplementation of Aronia berry extract promoted the glutathione defence system against acute aerobic exercise-induced oxidative load immediately and 30 min post-exercise in healthy adults: a double-blind, randomised controlled trial. PMID 36727618</w:t>
      </w:r>
    </w:p>
    <w:p>
      <w:pPr>
        <w:numPr>
          <w:ilvl w:val="0"/>
          <w:numId w:val="1414"/>
        </w:numPr>
        <w:pStyle w:val="Compact"/>
      </w:pPr>
      <w:r>
        <w:t xml:space="preserve">2023 · Arrivi A ·</w:t>
      </w:r>
      <w:r>
        <w:t xml:space="preserve"> </w:t>
      </w:r>
      <w:r>
        <w:rPr>
          <w:iCs/>
          <w:i/>
        </w:rPr>
        <w:t xml:space="preserve">Minerva Cardiol Angiol</w:t>
      </w:r>
      <w:r>
        <w:t xml:space="preserve"> </w:t>
      </w:r>
      <w:r>
        <w:t xml:space="preserve">· Early and prolonged glutathione infusion favorably impacts length of hospital stay in ST-elevation myocardial infarction patients: a subanalysis of the GSH2014 Trial. PMID 36083043</w:t>
      </w:r>
    </w:p>
    <w:p>
      <w:pPr>
        <w:numPr>
          <w:ilvl w:val="0"/>
          <w:numId w:val="1414"/>
        </w:numPr>
        <w:pStyle w:val="Compact"/>
      </w:pPr>
      <w:r>
        <w:t xml:space="preserve">2023 · Kumar P ·</w:t>
      </w:r>
      <w:r>
        <w:t xml:space="preserve"> </w:t>
      </w:r>
      <w:r>
        <w:rPr>
          <w:iCs/>
          <w:i/>
        </w:rPr>
        <w:t xml:space="preserve">J Gerontol A Biol Sci Med Sci</w:t>
      </w:r>
      <w:r>
        <w:t xml:space="preserve"> </w:t>
      </w:r>
      <w:r>
        <w:t xml:space="preserve">· Supplementing Glycine and N-Acetylcysteine (GlyNAC) in Older Adults Improves Glutathione Deficiency, Oxidative Stress, Mitochondrial Dysfunction, Inflammation, Physical Function, and Aging Hallmarks: A Randomized Clinical Trial. PMID 35975308</w:t>
      </w:r>
    </w:p>
    <w:p>
      <w:pPr>
        <w:numPr>
          <w:ilvl w:val="0"/>
          <w:numId w:val="1414"/>
        </w:numPr>
        <w:pStyle w:val="Compact"/>
      </w:pPr>
      <w:r>
        <w:t xml:space="preserve">2022 · Khosravi Z ·</w:t>
      </w:r>
      <w:r>
        <w:t xml:space="preserve"> </w:t>
      </w:r>
      <w:r>
        <w:rPr>
          <w:iCs/>
          <w:i/>
        </w:rPr>
        <w:t xml:space="preserve">Clin Nutr ESPEN</w:t>
      </w:r>
      <w:r>
        <w:t xml:space="preserve"> </w:t>
      </w:r>
      <w:r>
        <w:t xml:space="preserve">· The effects of butyrate supplementation on glycemic control, lipid profile, blood pressure, nitric oxide level and glutathione peroxidase activity in type 2 diabetic patients: A randomized triple -blind, placebo-controlled trial. PMID 35623879</w:t>
      </w:r>
    </w:p>
    <w:p>
      <w:pPr>
        <w:numPr>
          <w:ilvl w:val="0"/>
          <w:numId w:val="1414"/>
        </w:numPr>
        <w:pStyle w:val="Compact"/>
      </w:pPr>
      <w:r>
        <w:t xml:space="preserve">2022 · Wangdi JT ·</w:t>
      </w:r>
      <w:r>
        <w:t xml:space="preserve"> </w:t>
      </w:r>
      <w:r>
        <w:rPr>
          <w:iCs/>
          <w:i/>
        </w:rPr>
        <w:t xml:space="preserve">Med Sci Sports Exerc</w:t>
      </w:r>
      <w:r>
        <w:t xml:space="preserve"> </w:t>
      </w:r>
      <w:r>
        <w:t xml:space="preserve">· Tart Cherry Supplement Enhances Skeletal Muscle Glutathione Peroxidase Expression and Functional Recovery after Muscle Damage. PMID 34772901</w:t>
      </w:r>
    </w:p>
    <w:p>
      <w:pPr>
        <w:numPr>
          <w:ilvl w:val="0"/>
          <w:numId w:val="1414"/>
        </w:numPr>
        <w:pStyle w:val="Compact"/>
      </w:pPr>
      <w:r>
        <w:t xml:space="preserve">2022 · McAllister MJ ·</w:t>
      </w:r>
      <w:r>
        <w:t xml:space="preserve"> </w:t>
      </w:r>
      <w:r>
        <w:rPr>
          <w:iCs/>
          <w:i/>
        </w:rPr>
        <w:t xml:space="preserve">Int J Sport Nutr Exerc Metab</w:t>
      </w:r>
      <w:r>
        <w:t xml:space="preserve"> </w:t>
      </w:r>
      <w:r>
        <w:t xml:space="preserve">· Astaxanthin Supplementation Increases Glutathione Concentrations but Does Not Impact Fat Oxidation During Exercise in Active Young Men. PMID 34611051</w:t>
      </w:r>
    </w:p>
    <w:p>
      <w:pPr>
        <w:numPr>
          <w:ilvl w:val="0"/>
          <w:numId w:val="1414"/>
        </w:numPr>
        <w:pStyle w:val="Compact"/>
      </w:pPr>
      <w:r>
        <w:t xml:space="preserve">2022 · Duperray J ·</w:t>
      </w:r>
      <w:r>
        <w:t xml:space="preserve"> </w:t>
      </w:r>
      <w:r>
        <w:rPr>
          <w:iCs/>
          <w:i/>
        </w:rPr>
        <w:t xml:space="preserve">J Cosmet Dermatol</w:t>
      </w:r>
      <w:r>
        <w:t xml:space="preserve"> </w:t>
      </w:r>
      <w:r>
        <w:t xml:space="preserve">· The effects of the oral supplementation of L-Cystine associated with reduced L-Glutathione-GSH on human skin pigmentation: a randomized, double-blinded, benchmark- and placebo-controlled clinical trial. PMID 33834608</w:t>
      </w:r>
    </w:p>
    <w:p>
      <w:pPr>
        <w:numPr>
          <w:ilvl w:val="0"/>
          <w:numId w:val="1414"/>
        </w:numPr>
        <w:pStyle w:val="Compact"/>
      </w:pPr>
      <w:r>
        <w:t xml:space="preserve">2021 · To K ·</w:t>
      </w:r>
      <w:r>
        <w:t xml:space="preserve"> </w:t>
      </w:r>
      <w:r>
        <w:rPr>
          <w:iCs/>
          <w:i/>
        </w:rPr>
        <w:t xml:space="preserve">Front Cell Infect Microbiol</w:t>
      </w:r>
      <w:r>
        <w:t xml:space="preserve"> </w:t>
      </w:r>
      <w:r>
        <w:t xml:space="preserve">· Effects of Oral Liposomal Glutathione in Altering the Immune Responses Against Mycobacterium tuberculosis and the Mycobacterium bovis BCG Strain in Individuals With Type 2 Diabetes. PMID 34150674</w:t>
      </w:r>
    </w:p>
    <w:p>
      <w:pPr>
        <w:numPr>
          <w:ilvl w:val="0"/>
          <w:numId w:val="1414"/>
        </w:numPr>
        <w:pStyle w:val="Compact"/>
      </w:pPr>
      <w:r>
        <w:t xml:space="preserve">2021 · To K ·</w:t>
      </w:r>
      <w:r>
        <w:t xml:space="preserve"> </w:t>
      </w:r>
      <w:r>
        <w:rPr>
          <w:iCs/>
          <w:i/>
        </w:rPr>
        <w:t xml:space="preserve">Biomol Concepts</w:t>
      </w:r>
      <w:r>
        <w:t xml:space="preserve"> </w:t>
      </w:r>
      <w:r>
        <w:t xml:space="preserve">· The Effects of Oral Liposomal Glutathione and In Vitro Everolimus in Altering the Immune Responses against Mycobacterium bovis BCG Strain in Individuals with Type 2 Diabetes. PMID 33966361</w:t>
      </w:r>
    </w:p>
    <w:p>
      <w:pPr>
        <w:numPr>
          <w:ilvl w:val="0"/>
          <w:numId w:val="1414"/>
        </w:numPr>
        <w:pStyle w:val="Compact"/>
      </w:pPr>
      <w:r>
        <w:t xml:space="preserve">2021 · Martins ML ·</w:t>
      </w:r>
      <w:r>
        <w:t xml:space="preserve"> </w:t>
      </w:r>
      <w:r>
        <w:rPr>
          <w:iCs/>
          <w:i/>
        </w:rPr>
        <w:t xml:space="preserve">Int Urol Nephrol</w:t>
      </w:r>
      <w:r>
        <w:t xml:space="preserve"> </w:t>
      </w:r>
      <w:r>
        <w:t xml:space="preserve">· Vitamin C decreases reduced glutathione in chronic haemodialysis patients: a pilot, randomised, double-blind trial. PMID 33905041</w:t>
      </w:r>
    </w:p>
    <w:p>
      <w:pPr>
        <w:numPr>
          <w:ilvl w:val="0"/>
          <w:numId w:val="1414"/>
        </w:numPr>
        <w:pStyle w:val="Compact"/>
      </w:pPr>
      <w:r>
        <w:t xml:space="preserve">2021 · Wahab S ·</w:t>
      </w:r>
      <w:r>
        <w:t xml:space="preserve"> </w:t>
      </w:r>
      <w:r>
        <w:rPr>
          <w:iCs/>
          <w:i/>
        </w:rPr>
        <w:t xml:space="preserve">Int J Dermatol</w:t>
      </w:r>
      <w:r>
        <w:t xml:space="preserve"> </w:t>
      </w:r>
      <w:r>
        <w:t xml:space="preserve">· Combination of topical and oral glutathione as a skin-whitening agent: a double-blind randomized controlled clinical trial. PMID 33871071</w:t>
      </w:r>
    </w:p>
    <w:p>
      <w:pPr>
        <w:numPr>
          <w:ilvl w:val="0"/>
          <w:numId w:val="1414"/>
        </w:numPr>
        <w:pStyle w:val="Compact"/>
      </w:pPr>
      <w:r>
        <w:t xml:space="preserve">2021 · Søndergård SD ·</w:t>
      </w:r>
      <w:r>
        <w:t xml:space="preserve"> </w:t>
      </w:r>
      <w:r>
        <w:rPr>
          <w:iCs/>
          <w:i/>
        </w:rPr>
        <w:t xml:space="preserve">Appl Physiol Nutr Metab</w:t>
      </w:r>
      <w:r>
        <w:t xml:space="preserve"> </w:t>
      </w:r>
      <w:r>
        <w:t xml:space="preserve">· The effects of 3 weeks of oral glutathione supplementation on whole body insulin sensitivity in obese males with and without type 2 diabetes: a randomized trial. PMID 33740389</w:t>
      </w:r>
    </w:p>
    <w:p>
      <w:pPr>
        <w:numPr>
          <w:ilvl w:val="0"/>
          <w:numId w:val="1414"/>
        </w:numPr>
        <w:pStyle w:val="Compact"/>
      </w:pPr>
      <w:r>
        <w:t xml:space="preserve">2021 · Haidari F ·</w:t>
      </w:r>
      <w:r>
        <w:t xml:space="preserve"> </w:t>
      </w:r>
      <w:r>
        <w:rPr>
          <w:iCs/>
          <w:i/>
        </w:rPr>
        <w:t xml:space="preserve">Hum Fertil (Camb)</w:t>
      </w:r>
      <w:r>
        <w:t xml:space="preserve"> </w:t>
      </w:r>
      <w:r>
        <w:t xml:space="preserve">· Effect of lipoic acid supplementation on gene expression and activity of glutathione S-transferase enzyme in infertile men. PMID 31291793</w:t>
      </w:r>
    </w:p>
    <w:p>
      <w:pPr>
        <w:numPr>
          <w:ilvl w:val="0"/>
          <w:numId w:val="1414"/>
        </w:numPr>
        <w:pStyle w:val="Compact"/>
      </w:pPr>
      <w:r>
        <w:t xml:space="preserve">2020 · Biswas P ·</w:t>
      </w:r>
      <w:r>
        <w:t xml:space="preserve"> </w:t>
      </w:r>
      <w:r>
        <w:rPr>
          <w:iCs/>
          <w:i/>
        </w:rPr>
        <w:t xml:space="preserve">Nutrients</w:t>
      </w:r>
      <w:r>
        <w:t xml:space="preserve"> </w:t>
      </w:r>
      <w:r>
        <w:t xml:space="preserve">· Antioxidant Activity with Increased Endogenous Levels of Vitamin C, E and A Following Dietary Supplementation with a Combination of Glutathione and Resveratrol Precursors. PMID 33105552</w:t>
      </w:r>
    </w:p>
    <w:p>
      <w:pPr>
        <w:numPr>
          <w:ilvl w:val="0"/>
          <w:numId w:val="1414"/>
        </w:numPr>
        <w:pStyle w:val="Compact"/>
      </w:pPr>
      <w:r>
        <w:t xml:space="preserve">2020 · Bozic M ·</w:t>
      </w:r>
      <w:r>
        <w:t xml:space="preserve"> </w:t>
      </w:r>
      <w:r>
        <w:rPr>
          <w:iCs/>
          <w:i/>
        </w:rPr>
        <w:t xml:space="preserve">J Pediatr Gastroenterol Nutr</w:t>
      </w:r>
      <w:r>
        <w:t xml:space="preserve"> </w:t>
      </w:r>
      <w:r>
        <w:t xml:space="preserve">· Oral Glutathione and Growth in Cystic Fibrosis: A Multicenter, Randomized, Placebo-controlled, Double-blind Trial. PMID 32960827</w:t>
      </w:r>
    </w:p>
    <w:p>
      <w:pPr>
        <w:numPr>
          <w:ilvl w:val="0"/>
          <w:numId w:val="1414"/>
        </w:numPr>
        <w:pStyle w:val="Compact"/>
      </w:pPr>
      <w:r>
        <w:t xml:space="preserve">2020 · Lai CY ·</w:t>
      </w:r>
      <w:r>
        <w:t xml:space="preserve"> </w:t>
      </w:r>
      <w:r>
        <w:rPr>
          <w:iCs/>
          <w:i/>
        </w:rPr>
        <w:t xml:space="preserve">Nutrients</w:t>
      </w:r>
      <w:r>
        <w:t xml:space="preserve"> </w:t>
      </w:r>
      <w:r>
        <w:t xml:space="preserve">· Impact of Glutathione and Vitamin B-6 in Cirrhosis Patients: A Randomized Controlled Trial and Follow-Up Study. PMID 32635181</w:t>
      </w:r>
    </w:p>
    <w:p>
      <w:pPr>
        <w:numPr>
          <w:ilvl w:val="0"/>
          <w:numId w:val="1414"/>
        </w:numPr>
        <w:pStyle w:val="Compact"/>
      </w:pPr>
      <w:r>
        <w:t xml:space="preserve">2020 · Mastaloudis A ·</w:t>
      </w:r>
      <w:r>
        <w:t xml:space="preserve"> </w:t>
      </w:r>
      <w:r>
        <w:rPr>
          <w:iCs/>
          <w:i/>
        </w:rPr>
        <w:t xml:space="preserve">Free Radic Biol Med</w:t>
      </w:r>
      <w:r>
        <w:t xml:space="preserve"> </w:t>
      </w:r>
      <w:r>
        <w:t xml:space="preserve">· Supplementation with a putative calorie restriction mimetic micronutrient blend increases glutathione concentrations and improves neuroenergetics in brain of healthy middle-aged men and women. PMID 32335159</w:t>
      </w:r>
    </w:p>
    <w:p>
      <w:pPr>
        <w:numPr>
          <w:ilvl w:val="0"/>
          <w:numId w:val="1414"/>
        </w:numPr>
        <w:pStyle w:val="Compact"/>
      </w:pPr>
      <w:r>
        <w:t xml:space="preserve">2019 · de Souza RGM ·</w:t>
      </w:r>
      <w:r>
        <w:t xml:space="preserve"> </w:t>
      </w:r>
      <w:r>
        <w:rPr>
          <w:iCs/>
          <w:i/>
        </w:rPr>
        <w:t xml:space="preserve">Nutrients</w:t>
      </w:r>
      <w:r>
        <w:t xml:space="preserve"> </w:t>
      </w:r>
      <w:r>
        <w:t xml:space="preserve">· Baru Almonds Increase the Activity of Glutathione Peroxidase in Overweight and Obese Women: A Randomized, Placebo-Controlled Trial. PMID 31366053</w:t>
      </w:r>
    </w:p>
    <w:p>
      <w:pPr>
        <w:numPr>
          <w:ilvl w:val="0"/>
          <w:numId w:val="1414"/>
        </w:numPr>
        <w:pStyle w:val="Compact"/>
      </w:pPr>
      <w:r>
        <w:t xml:space="preserve">2019 · Girgis RR ·</w:t>
      </w:r>
      <w:r>
        <w:t xml:space="preserve"> </w:t>
      </w:r>
      <w:r>
        <w:rPr>
          <w:iCs/>
          <w:i/>
        </w:rPr>
        <w:t xml:space="preserve">Psychiatry Res</w:t>
      </w:r>
      <w:r>
        <w:t xml:space="preserve"> </w:t>
      </w:r>
      <w:r>
        <w:t xml:space="preserve">· Effects of acute N-acetylcysteine challenge on cortical glutathione and glutamate in schizophrenia: A pilot in vivo proton magnetic resonance spectroscopy study. PMID 30884334</w:t>
      </w:r>
    </w:p>
    <w:p>
      <w:pPr>
        <w:numPr>
          <w:ilvl w:val="0"/>
          <w:numId w:val="1414"/>
        </w:numPr>
        <w:pStyle w:val="Compact"/>
      </w:pPr>
      <w:r>
        <w:t xml:space="preserve">2019 · Pickering G ·</w:t>
      </w:r>
      <w:r>
        <w:t xml:space="preserve"> </w:t>
      </w:r>
      <w:r>
        <w:rPr>
          <w:iCs/>
          <w:i/>
        </w:rPr>
        <w:t xml:space="preserve">Fundam Clin Pharmacol</w:t>
      </w:r>
      <w:r>
        <w:t xml:space="preserve"> </w:t>
      </w:r>
      <w:r>
        <w:t xml:space="preserve">· N-acetylcysteine prevents glutathione decrease and does not interfere with paracetamol antinociceptive effect at therapeutic dosage: a randomized double-blind controlled trial in healthy subjects. PMID 30471141</w:t>
      </w:r>
    </w:p>
    <w:p>
      <w:pPr>
        <w:numPr>
          <w:ilvl w:val="0"/>
          <w:numId w:val="1414"/>
        </w:numPr>
        <w:pStyle w:val="Compact"/>
      </w:pPr>
      <w:r>
        <w:t xml:space="preserve">2019 · Grandi V ·</w:t>
      </w:r>
      <w:r>
        <w:t xml:space="preserve"> </w:t>
      </w:r>
      <w:r>
        <w:rPr>
          <w:iCs/>
          <w:i/>
        </w:rPr>
        <w:t xml:space="preserve">G Ital Dermatol Venereol</w:t>
      </w:r>
      <w:r>
        <w:t xml:space="preserve"> </w:t>
      </w:r>
      <w:r>
        <w:t xml:space="preserve">· Efficacy and safety of S-acyl glutathione 2% cream vs. placebo against UVB-induced erythema: a randomized, double-blinded clinical trial. PMID 28399620</w:t>
      </w:r>
    </w:p>
    <w:p>
      <w:pPr>
        <w:numPr>
          <w:ilvl w:val="0"/>
          <w:numId w:val="1414"/>
        </w:numPr>
        <w:pStyle w:val="Compact"/>
      </w:pPr>
      <w:r>
        <w:t xml:space="preserve">2018 · Parida S ·</w:t>
      </w:r>
      <w:r>
        <w:t xml:space="preserve"> </w:t>
      </w:r>
      <w:r>
        <w:rPr>
          <w:iCs/>
          <w:i/>
        </w:rPr>
        <w:t xml:space="preserve">Indian J Gastroenterol</w:t>
      </w:r>
      <w:r>
        <w:t xml:space="preserve"> </w:t>
      </w:r>
      <w:r>
        <w:t xml:space="preserve">· Study of glutathione S-transferase levels in patients receiving intravenous paracetamol perioperatively: A randomized controlled trial. PMID 30421393</w:t>
      </w:r>
    </w:p>
    <w:p>
      <w:pPr>
        <w:numPr>
          <w:ilvl w:val="0"/>
          <w:numId w:val="1414"/>
        </w:numPr>
        <w:pStyle w:val="Compact"/>
      </w:pPr>
      <w:r>
        <w:t xml:space="preserve">2018 · Hwang P ·</w:t>
      </w:r>
      <w:r>
        <w:t xml:space="preserve"> </w:t>
      </w:r>
      <w:r>
        <w:rPr>
          <w:iCs/>
          <w:i/>
        </w:rPr>
        <w:t xml:space="preserve">J Int Soc Sports Nutr</w:t>
      </w:r>
      <w:r>
        <w:t xml:space="preserve"> </w:t>
      </w:r>
      <w:r>
        <w:t xml:space="preserve">· Eight weeks of resistance training in conjunction with glutathione and L-Citrulline supplementation increases lean mass and has no adverse effects on blood clinical safety markers in resistance-trained males. PMID 29945625</w:t>
      </w:r>
    </w:p>
    <w:p>
      <w:pPr>
        <w:numPr>
          <w:ilvl w:val="0"/>
          <w:numId w:val="1414"/>
        </w:numPr>
        <w:pStyle w:val="Compact"/>
      </w:pPr>
      <w:r>
        <w:t xml:space="preserve">2018 · Kleniewska P ·</w:t>
      </w:r>
      <w:r>
        <w:t xml:space="preserve"> </w:t>
      </w:r>
      <w:r>
        <w:rPr>
          <w:iCs/>
          <w:i/>
        </w:rPr>
        <w:t xml:space="preserve">Adv Med Sci</w:t>
      </w:r>
      <w:r>
        <w:t xml:space="preserve"> </w:t>
      </w:r>
      <w:r>
        <w:t xml:space="preserve">· Assessment of human 4-hydroxynonenal, 8-isoprostane concentrations and glutathione reductase activity after synbiotics administration. PMID 29859494</w:t>
      </w:r>
    </w:p>
    <w:p>
      <w:pPr>
        <w:numPr>
          <w:ilvl w:val="0"/>
          <w:numId w:val="1414"/>
        </w:numPr>
        <w:pStyle w:val="Compact"/>
      </w:pPr>
      <w:r>
        <w:t xml:space="preserve">2018 · Bumrungpert A ·</w:t>
      </w:r>
      <w:r>
        <w:t xml:space="preserve"> </w:t>
      </w:r>
      <w:r>
        <w:rPr>
          <w:iCs/>
          <w:i/>
        </w:rPr>
        <w:t xml:space="preserve">J Med Food</w:t>
      </w:r>
      <w:r>
        <w:t xml:space="preserve"> </w:t>
      </w:r>
      <w:r>
        <w:t xml:space="preserve">· Whey Protein Supplementation Improves Nutritional Status, Glutathione Levels, and Immune Function in Cancer Patients: A Randomized, Double-Blind Controlled Trial. PMID 29565716</w:t>
      </w:r>
    </w:p>
    <w:p>
      <w:pPr>
        <w:numPr>
          <w:ilvl w:val="0"/>
          <w:numId w:val="1414"/>
        </w:numPr>
        <w:pStyle w:val="Compact"/>
      </w:pPr>
      <w:r>
        <w:t xml:space="preserve">2018 · Moss HG ·</w:t>
      </w:r>
      <w:r>
        <w:t xml:space="preserve"> </w:t>
      </w:r>
      <w:r>
        <w:rPr>
          <w:iCs/>
          <w:i/>
        </w:rPr>
        <w:t xml:space="preserve">J Cereb Blood Flow Metab</w:t>
      </w:r>
      <w:r>
        <w:t xml:space="preserve"> </w:t>
      </w:r>
      <w:r>
        <w:t xml:space="preserve">· N-Acetylcysteine rapidly replenishes central nervous system glutathione measured via magnetic resonance spectroscopy in human neonates with hypoxic-ischemic encephalopathy. PMID 29561203</w:t>
      </w:r>
    </w:p>
    <w:p>
      <w:pPr>
        <w:numPr>
          <w:ilvl w:val="0"/>
          <w:numId w:val="1414"/>
        </w:numPr>
        <w:pStyle w:val="Compact"/>
      </w:pPr>
      <w:r>
        <w:t xml:space="preserve">2018 · Kanhai KMS ·</w:t>
      </w:r>
      <w:r>
        <w:t xml:space="preserve"> </w:t>
      </w:r>
      <w:r>
        <w:rPr>
          <w:iCs/>
          <w:i/>
        </w:rPr>
        <w:t xml:space="preserve">Br J Clin Pharmacol</w:t>
      </w:r>
      <w:r>
        <w:t xml:space="preserve"> </w:t>
      </w:r>
      <w:r>
        <w:t xml:space="preserve">· Glutathione-PEGylated liposomal methylprednisolone in comparison to free methylprednisolone: slow release characteristics and prolonged lymphocyte depression in a first-in-human study. PMID 29385232</w:t>
      </w:r>
    </w:p>
    <w:p>
      <w:pPr>
        <w:numPr>
          <w:ilvl w:val="0"/>
          <w:numId w:val="1414"/>
        </w:numPr>
        <w:pStyle w:val="Compact"/>
      </w:pPr>
      <w:r>
        <w:t xml:space="preserve">2018 · Coles LD ·</w:t>
      </w:r>
      <w:r>
        <w:t xml:space="preserve"> </w:t>
      </w:r>
      <w:r>
        <w:rPr>
          <w:iCs/>
          <w:i/>
        </w:rPr>
        <w:t xml:space="preserve">J Clin Pharmacol</w:t>
      </w:r>
      <w:r>
        <w:t xml:space="preserve"> </w:t>
      </w:r>
      <w:r>
        <w:t xml:space="preserve">· Repeated-Dose Oral N-Acetylcysteine in Parkinson’s Disease: Pharmacokinetics and Effect on Brain Glutathione and Oxidative Stress. PMID 28940353</w:t>
      </w:r>
    </w:p>
    <w:p>
      <w:pPr>
        <w:numPr>
          <w:ilvl w:val="0"/>
          <w:numId w:val="1414"/>
        </w:numPr>
        <w:pStyle w:val="Compact"/>
      </w:pPr>
      <w:r>
        <w:t xml:space="preserve">2017 · Honda Y ·</w:t>
      </w:r>
      <w:r>
        <w:t xml:space="preserve"> </w:t>
      </w:r>
      <w:r>
        <w:rPr>
          <w:iCs/>
          <w:i/>
        </w:rPr>
        <w:t xml:space="preserve">BMC Gastroenterol</w:t>
      </w:r>
      <w:r>
        <w:t xml:space="preserve"> </w:t>
      </w:r>
      <w:r>
        <w:t xml:space="preserve">· Efficacy of glutathione for the treatment of nonalcoholic fatty liver disease: an open-label, single-arm, multicenter, pilot study. PMID 28789631</w:t>
      </w:r>
    </w:p>
    <w:p>
      <w:pPr>
        <w:numPr>
          <w:ilvl w:val="0"/>
          <w:numId w:val="1414"/>
        </w:numPr>
        <w:pStyle w:val="Compact"/>
      </w:pPr>
      <w:r>
        <w:t xml:space="preserve">2017 · Campolo J ·</w:t>
      </w:r>
      <w:r>
        <w:t xml:space="preserve"> </w:t>
      </w:r>
      <w:r>
        <w:rPr>
          <w:iCs/>
          <w:i/>
        </w:rPr>
        <w:t xml:space="preserve">Nutrition</w:t>
      </w:r>
      <w:r>
        <w:t xml:space="preserve"> </w:t>
      </w:r>
      <w:r>
        <w:t xml:space="preserve">· Medium-term effect of sublingual l-glutathione supplementation on flow-mediated dilation in subjects with cardiovascular risk factors. PMID 28526381</w:t>
      </w:r>
    </w:p>
    <w:p>
      <w:pPr>
        <w:numPr>
          <w:ilvl w:val="0"/>
          <w:numId w:val="1414"/>
        </w:numPr>
        <w:pStyle w:val="Compact"/>
      </w:pPr>
      <w:r>
        <w:t xml:space="preserve">2017 · Zarka MH ·</w:t>
      </w:r>
      <w:r>
        <w:t xml:space="preserve"> </w:t>
      </w:r>
      <w:r>
        <w:rPr>
          <w:iCs/>
          <w:i/>
        </w:rPr>
        <w:t xml:space="preserve">Redox Biol</w:t>
      </w:r>
      <w:r>
        <w:t xml:space="preserve"> </w:t>
      </w:r>
      <w:r>
        <w:t xml:space="preserve">· Oral administration of γ-glutamylcysteine increases intracellular glutathione levels above homeostasis in a randomised human trial pilot study. PMID 28131081</w:t>
      </w:r>
    </w:p>
    <w:p>
      <w:pPr>
        <w:numPr>
          <w:ilvl w:val="0"/>
          <w:numId w:val="1414"/>
        </w:numPr>
        <w:pStyle w:val="Compact"/>
      </w:pPr>
      <w:r>
        <w:t xml:space="preserve">2016 · Yuan JM ·</w:t>
      </w:r>
      <w:r>
        <w:t xml:space="preserve"> </w:t>
      </w:r>
      <w:r>
        <w:rPr>
          <w:iCs/>
          <w:i/>
        </w:rPr>
        <w:t xml:space="preserve">Cancer Prev Res (Phila)</w:t>
      </w:r>
      <w:r>
        <w:t xml:space="preserve"> </w:t>
      </w:r>
      <w:r>
        <w:t xml:space="preserve">· 2-Phenethyl Isothiocyanate, Glutathione S-transferase M1 and T1 Polymorphisms, and Detoxification of Volatile Organic Carcinogens and Toxicants in Tobacco Smoke. PMID 27099270</w:t>
      </w:r>
    </w:p>
    <w:p>
      <w:pPr>
        <w:numPr>
          <w:ilvl w:val="0"/>
          <w:numId w:val="1414"/>
        </w:numPr>
        <w:pStyle w:val="Compact"/>
      </w:pPr>
      <w:r>
        <w:t xml:space="preserve">2016 · Handog EB ·</w:t>
      </w:r>
      <w:r>
        <w:t xml:space="preserve"> </w:t>
      </w:r>
      <w:r>
        <w:rPr>
          <w:iCs/>
          <w:i/>
        </w:rPr>
        <w:t xml:space="preserve">Int J Dermatol</w:t>
      </w:r>
      <w:r>
        <w:t xml:space="preserve"> </w:t>
      </w:r>
      <w:r>
        <w:t xml:space="preserve">· An open-label, single-arm trial of the safety and efficacy of a novel preparation of glutathione as a skin-lightening agent in Filipino women. PMID 26148180</w:t>
      </w:r>
    </w:p>
    <w:p>
      <w:pPr>
        <w:numPr>
          <w:ilvl w:val="0"/>
          <w:numId w:val="1414"/>
        </w:numPr>
        <w:pStyle w:val="Compact"/>
      </w:pPr>
      <w:r>
        <w:t xml:space="preserve">2016 · Calkins KL ·</w:t>
      </w:r>
      <w:r>
        <w:t xml:space="preserve"> </w:t>
      </w:r>
      <w:r>
        <w:rPr>
          <w:iCs/>
          <w:i/>
        </w:rPr>
        <w:t xml:space="preserve">JPEN J Parenter Enteral Nutr</w:t>
      </w:r>
      <w:r>
        <w:t xml:space="preserve"> </w:t>
      </w:r>
      <w:r>
        <w:t xml:space="preserve">· Effect of High-Dose Cysteine Supplementation on Erythrocyte Glutathione: A Double-Blinded, Randomized Placebo-Controlled Pilot Study in Critically Ill Neonates. PMID 25139979</w:t>
      </w:r>
    </w:p>
    <w:p>
      <w:pPr>
        <w:numPr>
          <w:ilvl w:val="0"/>
          <w:numId w:val="1414"/>
        </w:numPr>
        <w:pStyle w:val="Compact"/>
      </w:pPr>
      <w:r>
        <w:t xml:space="preserve">2015 · Duffy SL ·</w:t>
      </w:r>
      <w:r>
        <w:t xml:space="preserve"> </w:t>
      </w:r>
      <w:r>
        <w:rPr>
          <w:iCs/>
          <w:i/>
        </w:rPr>
        <w:t xml:space="preserve">Nutrition</w:t>
      </w:r>
      <w:r>
        <w:t xml:space="preserve"> </w:t>
      </w:r>
      <w:r>
        <w:t xml:space="preserve">· The effect of 12-wk ω-3 fatty acid supplementation on in vivo thalamus glutathione concentration in patients</w:t>
      </w:r>
      <w:r>
        <w:t xml:space="preserve"> </w:t>
      </w:r>
      <w:r>
        <w:t xml:space="preserve">“</w:t>
      </w:r>
      <w:r>
        <w:t xml:space="preserve">at risk</w:t>
      </w:r>
      <w:r>
        <w:t xml:space="preserve">”</w:t>
      </w:r>
      <w:r>
        <w:t xml:space="preserve"> </w:t>
      </w:r>
      <w:r>
        <w:t xml:space="preserve">for major depression. PMID 26333890</w:t>
      </w:r>
    </w:p>
    <w:p>
      <w:pPr>
        <w:numPr>
          <w:ilvl w:val="0"/>
          <w:numId w:val="1414"/>
        </w:numPr>
        <w:pStyle w:val="Compact"/>
      </w:pPr>
      <w:r>
        <w:t xml:space="preserve">2015 · Schmitt B ·</w:t>
      </w:r>
      <w:r>
        <w:t xml:space="preserve"> </w:t>
      </w:r>
      <w:r>
        <w:rPr>
          <w:iCs/>
          <w:i/>
        </w:rPr>
        <w:t xml:space="preserve">Redox Biol</w:t>
      </w:r>
      <w:r>
        <w:t xml:space="preserve"> </w:t>
      </w:r>
      <w:r>
        <w:t xml:space="preserve">· Effects of N-acetylcysteine, oral glutathione (GSH) and a novel sublingual form of GSH on oxidative stress markers: A comparative crossover study. PMID 26262996</w:t>
      </w:r>
    </w:p>
    <w:p>
      <w:pPr>
        <w:numPr>
          <w:ilvl w:val="0"/>
          <w:numId w:val="1414"/>
        </w:numPr>
        <w:pStyle w:val="Compact"/>
      </w:pPr>
      <w:r>
        <w:t xml:space="preserve">2015 · McKinley-Barnard S ·</w:t>
      </w:r>
      <w:r>
        <w:t xml:space="preserve"> </w:t>
      </w:r>
      <w:r>
        <w:rPr>
          <w:iCs/>
          <w:i/>
        </w:rPr>
        <w:t xml:space="preserve">J Int Soc Sports Nutr</w:t>
      </w:r>
      <w:r>
        <w:t xml:space="preserve"> </w:t>
      </w:r>
      <w:r>
        <w:t xml:space="preserve">· Combined L-citrulline and glutathione supplementation increases the concentration of markers indicative of nitric oxide synthesis. PMID 26097441</w:t>
      </w:r>
    </w:p>
    <w:p>
      <w:pPr>
        <w:numPr>
          <w:ilvl w:val="0"/>
          <w:numId w:val="1414"/>
        </w:numPr>
        <w:pStyle w:val="Compact"/>
      </w:pPr>
      <w:r>
        <w:t xml:space="preserve">2015 · Visca A ·</w:t>
      </w:r>
      <w:r>
        <w:t xml:space="preserve"> </w:t>
      </w:r>
      <w:r>
        <w:rPr>
          <w:iCs/>
          <w:i/>
        </w:rPr>
        <w:t xml:space="preserve">J Pediatr Gastroenterol Nutr</w:t>
      </w:r>
      <w:r>
        <w:t xml:space="preserve"> </w:t>
      </w:r>
      <w:r>
        <w:t xml:space="preserve">· Oral reduced L-glutathione improves growth in pediatric cystic fibrosis patients. PMID 25633497</w:t>
      </w:r>
    </w:p>
    <w:p>
      <w:pPr>
        <w:numPr>
          <w:ilvl w:val="0"/>
          <w:numId w:val="1414"/>
        </w:numPr>
        <w:pStyle w:val="Compact"/>
      </w:pPr>
      <w:r>
        <w:t xml:space="preserve">2015 · Richie JP Jr ·</w:t>
      </w:r>
      <w:r>
        <w:t xml:space="preserve"> </w:t>
      </w:r>
      <w:r>
        <w:rPr>
          <w:iCs/>
          <w:i/>
        </w:rPr>
        <w:t xml:space="preserve">Eur J Nutr</w:t>
      </w:r>
      <w:r>
        <w:t xml:space="preserve"> </w:t>
      </w:r>
      <w:r>
        <w:t xml:space="preserve">· Randomized controlled trial of oral glutathione supplementation on body stores of glutathione. PMID 24791752</w:t>
      </w:r>
    </w:p>
    <w:p>
      <w:pPr>
        <w:numPr>
          <w:ilvl w:val="0"/>
          <w:numId w:val="1414"/>
        </w:numPr>
        <w:pStyle w:val="Compact"/>
      </w:pPr>
      <w:r>
        <w:t xml:space="preserve">2014 · Kasperczyk S ·</w:t>
      </w:r>
      <w:r>
        <w:t xml:space="preserve"> </w:t>
      </w:r>
      <w:r>
        <w:rPr>
          <w:iCs/>
          <w:i/>
        </w:rPr>
        <w:t xml:space="preserve">Toxicol Appl Pharmacol</w:t>
      </w:r>
      <w:r>
        <w:t xml:space="preserve"> </w:t>
      </w:r>
      <w:r>
        <w:t xml:space="preserve">· Beta-carotene reduces oxidative stress, improves glutathione metabolism and modifies antioxidant defense systems in lead-exposed workers. PMID 25038314</w:t>
      </w:r>
    </w:p>
    <w:p>
      <w:pPr>
        <w:numPr>
          <w:ilvl w:val="0"/>
          <w:numId w:val="1414"/>
        </w:numPr>
        <w:pStyle w:val="Compact"/>
      </w:pPr>
      <w:r>
        <w:t xml:space="preserve">2014 · Park EY ·</w:t>
      </w:r>
      <w:r>
        <w:t xml:space="preserve"> </w:t>
      </w:r>
      <w:r>
        <w:rPr>
          <w:iCs/>
          <w:i/>
        </w:rPr>
        <w:t xml:space="preserve">J Agric Food Chem</w:t>
      </w:r>
      <w:r>
        <w:t xml:space="preserve"> </w:t>
      </w:r>
      <w:r>
        <w:t xml:space="preserve">· Increase in the protein-bound form of glutathione in human blood after the oral administration of glutathione. PMID 24877771</w:t>
      </w:r>
    </w:p>
    <w:p>
      <w:pPr>
        <w:numPr>
          <w:ilvl w:val="0"/>
          <w:numId w:val="1414"/>
        </w:numPr>
        <w:pStyle w:val="Compact"/>
      </w:pPr>
      <w:r>
        <w:t xml:space="preserve">2014 · Giacosa A ·</w:t>
      </w:r>
      <w:r>
        <w:t xml:space="preserve"> </w:t>
      </w:r>
      <w:r>
        <w:rPr>
          <w:iCs/>
          <w:i/>
        </w:rPr>
        <w:t xml:space="preserve">Nutrients</w:t>
      </w:r>
      <w:r>
        <w:t xml:space="preserve"> </w:t>
      </w:r>
      <w:r>
        <w:t xml:space="preserve">· Selenium fortification of an Italian rice cultivar via foliar fertilization with sodium selenate and its effects on human serum selenium levels and on erythrocyte glutathione peroxidase activity. PMID 24667132</w:t>
      </w:r>
    </w:p>
    <w:p>
      <w:pPr>
        <w:numPr>
          <w:ilvl w:val="0"/>
          <w:numId w:val="1414"/>
        </w:numPr>
        <w:pStyle w:val="Compact"/>
      </w:pPr>
      <w:r>
        <w:t xml:space="preserve">2014 · Green CO ·</w:t>
      </w:r>
      <w:r>
        <w:t xml:space="preserve"> </w:t>
      </w:r>
      <w:r>
        <w:rPr>
          <w:iCs/>
          <w:i/>
        </w:rPr>
        <w:t xml:space="preserve">Am J Clin Nutr</w:t>
      </w:r>
      <w:r>
        <w:t xml:space="preserve"> </w:t>
      </w:r>
      <w:r>
        <w:t xml:space="preserve">· Effects of randomized supplementation of methionine or alanine on cysteine and glutathione production during the early phase of treatment of children with edematous malnutrition. PMID 24598154</w:t>
      </w:r>
    </w:p>
    <w:p>
      <w:pPr>
        <w:numPr>
          <w:ilvl w:val="0"/>
          <w:numId w:val="1414"/>
        </w:numPr>
        <w:pStyle w:val="Compact"/>
      </w:pPr>
      <w:r>
        <w:t xml:space="preserve">2014 · Nguyen D ·</w:t>
      </w:r>
      <w:r>
        <w:t xml:space="preserve"> </w:t>
      </w:r>
      <w:r>
        <w:rPr>
          <w:iCs/>
          <w:i/>
        </w:rPr>
        <w:t xml:space="preserve">J Clin Endocrinol Metab</w:t>
      </w:r>
      <w:r>
        <w:t xml:space="preserve"> </w:t>
      </w:r>
      <w:r>
        <w:t xml:space="preserve">· Effect of increasing glutathione with cysteine and glycine supplementation on mitochondrial fuel oxidation, insulin sensitivity, and body composition in older HIV-infected patients. PMID 24081740</w:t>
      </w:r>
    </w:p>
    <w:p>
      <w:pPr>
        <w:numPr>
          <w:ilvl w:val="0"/>
          <w:numId w:val="1414"/>
        </w:numPr>
        <w:pStyle w:val="Compact"/>
      </w:pPr>
      <w:r>
        <w:t xml:space="preserve">2013 · Holmay MJ ·</w:t>
      </w:r>
      <w:r>
        <w:t xml:space="preserve"> </w:t>
      </w:r>
      <w:r>
        <w:rPr>
          <w:iCs/>
          <w:i/>
        </w:rPr>
        <w:t xml:space="preserve">Clin Neuropharmacol</w:t>
      </w:r>
      <w:r>
        <w:t xml:space="preserve"> </w:t>
      </w:r>
      <w:r>
        <w:t xml:space="preserve">· N-Acetylcysteine boosts brain and blood glutathione in Gaucher and Parkinson diseases. PMID 23860343</w:t>
      </w:r>
    </w:p>
    <w:p>
      <w:pPr>
        <w:numPr>
          <w:ilvl w:val="0"/>
          <w:numId w:val="1414"/>
        </w:numPr>
        <w:pStyle w:val="Compact"/>
      </w:pPr>
      <w:r>
        <w:t xml:space="preserve">2013 · Basu A ·</w:t>
      </w:r>
      <w:r>
        <w:t xml:space="preserve"> </w:t>
      </w:r>
      <w:r>
        <w:rPr>
          <w:iCs/>
          <w:i/>
        </w:rPr>
        <w:t xml:space="preserve">Nutr Res</w:t>
      </w:r>
      <w:r>
        <w:t xml:space="preserve"> </w:t>
      </w:r>
      <w:r>
        <w:t xml:space="preserve">· Green tea supplementation increases glutathione and plasma antioxidant capacity in adults with the metabolic syndrome. PMID 23507223</w:t>
      </w:r>
    </w:p>
    <w:p>
      <w:pPr>
        <w:numPr>
          <w:ilvl w:val="0"/>
          <w:numId w:val="1414"/>
        </w:numPr>
        <w:pStyle w:val="Compact"/>
      </w:pPr>
      <w:r>
        <w:t xml:space="preserve">2013 · Morris D ·</w:t>
      </w:r>
      <w:r>
        <w:t xml:space="preserve"> </w:t>
      </w:r>
      <w:r>
        <w:rPr>
          <w:iCs/>
          <w:i/>
        </w:rPr>
        <w:t xml:space="preserve">J Interferon Cytokine Res</w:t>
      </w:r>
      <w:r>
        <w:t xml:space="preserve"> </w:t>
      </w:r>
      <w:r>
        <w:t xml:space="preserve">· Glutathione supplementation improves macrophage functions in HIV. PMID 23409922</w:t>
      </w:r>
    </w:p>
    <w:p>
      <w:pPr>
        <w:numPr>
          <w:ilvl w:val="0"/>
          <w:numId w:val="1414"/>
        </w:numPr>
        <w:pStyle w:val="Compact"/>
      </w:pPr>
      <w:r>
        <w:t xml:space="preserve">2012 · Miller JC ·</w:t>
      </w:r>
      <w:r>
        <w:t xml:space="preserve"> </w:t>
      </w:r>
      <w:r>
        <w:rPr>
          <w:iCs/>
          <w:i/>
        </w:rPr>
        <w:t xml:space="preserve">Am J Clin Nutr</w:t>
      </w:r>
      <w:r>
        <w:t xml:space="preserve"> </w:t>
      </w:r>
      <w:r>
        <w:t xml:space="preserve">· Influence of the glutathione peroxidase 1 Pro200Leu polymorphism on the response of glutathione peroxidase activity to selenium supplementation: a randomized controlled trial. PMID 22952184</w:t>
      </w:r>
    </w:p>
    <w:p>
      <w:pPr>
        <w:numPr>
          <w:ilvl w:val="0"/>
          <w:numId w:val="1414"/>
        </w:numPr>
        <w:pStyle w:val="Compact"/>
      </w:pPr>
      <w:r>
        <w:t xml:space="preserve">2012 · Treweeke AT ·</w:t>
      </w:r>
      <w:r>
        <w:t xml:space="preserve"> </w:t>
      </w:r>
      <w:r>
        <w:rPr>
          <w:iCs/>
          <w:i/>
        </w:rPr>
        <w:t xml:space="preserve">Diabetologia</w:t>
      </w:r>
      <w:r>
        <w:t xml:space="preserve"> </w:t>
      </w:r>
      <w:r>
        <w:t xml:space="preserve">· N-Acetylcysteine inhibits platelet-monocyte conjugation in patients with type 2 diabetes with depleted intraplatelet glutathione: a randomised controlled trial. PMID 22935960</w:t>
      </w:r>
    </w:p>
    <w:p>
      <w:pPr>
        <w:numPr>
          <w:ilvl w:val="0"/>
          <w:numId w:val="1414"/>
        </w:numPr>
        <w:pStyle w:val="Compact"/>
      </w:pPr>
      <w:r>
        <w:t xml:space="preserve">2012 · Fu P ·</w:t>
      </w:r>
      <w:r>
        <w:t xml:space="preserve"> </w:t>
      </w:r>
      <w:r>
        <w:rPr>
          <w:iCs/>
          <w:i/>
        </w:rPr>
        <w:t xml:space="preserve">Zhong Xi Yi Jie He Xue Bao</w:t>
      </w:r>
      <w:r>
        <w:t xml:space="preserve"> </w:t>
      </w:r>
      <w:r>
        <w:t xml:space="preserve">· [Effects of salvianolate combined with alprostadil and reduced glutathione on progression of chronic renal failure in patients with chronic kidney diseases: a long-term randomized controlled trial]. PMID 22704412</w:t>
      </w:r>
    </w:p>
    <w:p>
      <w:pPr>
        <w:numPr>
          <w:ilvl w:val="0"/>
          <w:numId w:val="1414"/>
        </w:numPr>
        <w:pStyle w:val="Compact"/>
      </w:pPr>
      <w:r>
        <w:t xml:space="preserve">2012 · Chazov EI ·</w:t>
      </w:r>
      <w:r>
        <w:t xml:space="preserve"> </w:t>
      </w:r>
      <w:r>
        <w:rPr>
          <w:iCs/>
          <w:i/>
        </w:rPr>
        <w:t xml:space="preserve">Nitric Oxide</w:t>
      </w:r>
      <w:r>
        <w:t xml:space="preserve"> </w:t>
      </w:r>
      <w:r>
        <w:t xml:space="preserve">· Hypotensive effect of Oxacom® containing a dinitrosyl iron complex with glutathione: animal studies and clinical trials on healthy volunteers. PMID 22326933</w:t>
      </w:r>
    </w:p>
    <w:p>
      <w:pPr>
        <w:numPr>
          <w:ilvl w:val="0"/>
          <w:numId w:val="1414"/>
        </w:numPr>
        <w:pStyle w:val="Compact"/>
      </w:pPr>
      <w:r>
        <w:t xml:space="preserve">2012 · Borges-Santos MD ·</w:t>
      </w:r>
      <w:r>
        <w:t xml:space="preserve"> </w:t>
      </w:r>
      <w:r>
        <w:rPr>
          <w:iCs/>
          <w:i/>
        </w:rPr>
        <w:t xml:space="preserve">Nutrition</w:t>
      </w:r>
      <w:r>
        <w:t xml:space="preserve"> </w:t>
      </w:r>
      <w:r>
        <w:t xml:space="preserve">· Plasma glutathione of HIV⁺ patients responded positively and differently to dietary supplementation with cysteine or glutamine. PMID 22261571</w:t>
      </w:r>
    </w:p>
    <w:p>
      <w:pPr>
        <w:numPr>
          <w:ilvl w:val="0"/>
          <w:numId w:val="1414"/>
        </w:numPr>
        <w:pStyle w:val="Compact"/>
      </w:pPr>
      <w:r>
        <w:t xml:space="preserve">2012 · DiFrancisco-Donoghue J ·</w:t>
      </w:r>
      <w:r>
        <w:t xml:space="preserve"> </w:t>
      </w:r>
      <w:r>
        <w:rPr>
          <w:iCs/>
          <w:i/>
        </w:rPr>
        <w:t xml:space="preserve">Neurodegener Dis</w:t>
      </w:r>
      <w:r>
        <w:t xml:space="preserve"> </w:t>
      </w:r>
      <w:r>
        <w:t xml:space="preserve">· Effects of exercise and B vitamins on homocysteine and glutathione in Parkinson’s disease: a randomized trial. PMID 22261439</w:t>
      </w:r>
    </w:p>
    <w:p>
      <w:pPr>
        <w:numPr>
          <w:ilvl w:val="0"/>
          <w:numId w:val="1414"/>
        </w:numPr>
        <w:pStyle w:val="Compact"/>
      </w:pPr>
      <w:r>
        <w:t xml:space="preserve">2012 · Arjinpathana N ·</w:t>
      </w:r>
      <w:r>
        <w:t xml:space="preserve"> </w:t>
      </w:r>
      <w:r>
        <w:rPr>
          <w:iCs/>
          <w:i/>
        </w:rPr>
        <w:t xml:space="preserve">J Dermatolog Treat</w:t>
      </w:r>
      <w:r>
        <w:t xml:space="preserve"> </w:t>
      </w:r>
      <w:r>
        <w:t xml:space="preserve">· Glutathione as an oral whitening agent: a randomized, double-blind, placebo-controlled study. PMID 20524875</w:t>
      </w:r>
    </w:p>
    <w:p>
      <w:pPr>
        <w:numPr>
          <w:ilvl w:val="0"/>
          <w:numId w:val="1414"/>
        </w:numPr>
        <w:pStyle w:val="Compact"/>
      </w:pPr>
      <w:r>
        <w:t xml:space="preserve">2011 · Kern JK ·</w:t>
      </w:r>
      <w:r>
        <w:t xml:space="preserve"> </w:t>
      </w:r>
      <w:r>
        <w:rPr>
          <w:iCs/>
          <w:i/>
        </w:rPr>
        <w:t xml:space="preserve">Med Sci Monit</w:t>
      </w:r>
      <w:r>
        <w:t xml:space="preserve"> </w:t>
      </w:r>
      <w:r>
        <w:t xml:space="preserve">· A clinical trial of glutathione supplementation in autism spectrum disorders. PMID 22129897</w:t>
      </w:r>
    </w:p>
    <w:p>
      <w:pPr>
        <w:numPr>
          <w:ilvl w:val="0"/>
          <w:numId w:val="1414"/>
        </w:numPr>
        <w:pStyle w:val="Compact"/>
      </w:pPr>
      <w:r>
        <w:t xml:space="preserve">2011 · Chazov EI ·</w:t>
      </w:r>
      <w:r>
        <w:t xml:space="preserve"> </w:t>
      </w:r>
      <w:r>
        <w:rPr>
          <w:iCs/>
          <w:i/>
        </w:rPr>
        <w:t xml:space="preserve">Kardiologiia</w:t>
      </w:r>
      <w:r>
        <w:t xml:space="preserve"> </w:t>
      </w:r>
      <w:r>
        <w:t xml:space="preserve">· [The study of hypotensive action of dinitrosyl-iron complex with glutathione containing drug oxacom in healthy volunteers]. PMID 22117768</w:t>
      </w:r>
    </w:p>
    <w:p>
      <w:pPr>
        <w:numPr>
          <w:ilvl w:val="0"/>
          <w:numId w:val="1414"/>
        </w:numPr>
        <w:pStyle w:val="Compact"/>
      </w:pPr>
      <w:r>
        <w:t xml:space="preserve">2011 · Allen J ·</w:t>
      </w:r>
      <w:r>
        <w:t xml:space="preserve"> </w:t>
      </w:r>
      <w:r>
        <w:rPr>
          <w:iCs/>
          <w:i/>
        </w:rPr>
        <w:t xml:space="preserve">J Altern Complement Med</w:t>
      </w:r>
      <w:r>
        <w:t xml:space="preserve"> </w:t>
      </w:r>
      <w:r>
        <w:t xml:space="preserve">· Effects of oral glutathione supplementation on systemic oxidative stress biomarkers in human volunteers. PMID 21875351</w:t>
      </w:r>
    </w:p>
    <w:p>
      <w:pPr>
        <w:numPr>
          <w:ilvl w:val="0"/>
          <w:numId w:val="1414"/>
        </w:numPr>
        <w:pStyle w:val="Compact"/>
      </w:pPr>
      <w:r>
        <w:t xml:space="preserve">2011 · Sekhar RV ·</w:t>
      </w:r>
      <w:r>
        <w:t xml:space="preserve"> </w:t>
      </w:r>
      <w:r>
        <w:rPr>
          <w:iCs/>
          <w:i/>
        </w:rPr>
        <w:t xml:space="preserve">Am J Clin Nutr</w:t>
      </w:r>
      <w:r>
        <w:t xml:space="preserve"> </w:t>
      </w:r>
      <w:r>
        <w:t xml:space="preserve">· Deficient synthesis of glutathione underlies oxidative stress in aging and can be corrected by dietary cysteine and glycine supplementation. PMID 21795440</w:t>
      </w:r>
    </w:p>
    <w:p>
      <w:pPr>
        <w:numPr>
          <w:ilvl w:val="0"/>
          <w:numId w:val="1414"/>
        </w:numPr>
        <w:pStyle w:val="Compact"/>
      </w:pPr>
      <w:r>
        <w:t xml:space="preserve">2011 · Richie JP Jr ·</w:t>
      </w:r>
      <w:r>
        <w:t xml:space="preserve"> </w:t>
      </w:r>
      <w:r>
        <w:rPr>
          <w:iCs/>
          <w:i/>
        </w:rPr>
        <w:t xml:space="preserve">Nutr Cancer</w:t>
      </w:r>
      <w:r>
        <w:t xml:space="preserve"> </w:t>
      </w:r>
      <w:r>
        <w:t xml:space="preserve">· Association of selenium status and blood glutathione concentrations in blacks and whites. PMID 21462082</w:t>
      </w:r>
    </w:p>
    <w:p>
      <w:pPr>
        <w:numPr>
          <w:ilvl w:val="0"/>
          <w:numId w:val="1414"/>
        </w:numPr>
        <w:pStyle w:val="Compact"/>
      </w:pPr>
      <w:r>
        <w:t xml:space="preserve">2011 · Zhang W ·</w:t>
      </w:r>
      <w:r>
        <w:t xml:space="preserve"> </w:t>
      </w:r>
      <w:r>
        <w:rPr>
          <w:iCs/>
          <w:i/>
        </w:rPr>
        <w:t xml:space="preserve">Nutr Res</w:t>
      </w:r>
      <w:r>
        <w:t xml:space="preserve"> </w:t>
      </w:r>
      <w:r>
        <w:t xml:space="preserve">· Selenium glycinate supplementation increases blood glutathione peroxidase activities and decreases prostate-specific antigen readings in middle-aged US men. PMID 21419321</w:t>
      </w:r>
    </w:p>
    <w:p>
      <w:pPr>
        <w:numPr>
          <w:ilvl w:val="0"/>
          <w:numId w:val="1414"/>
        </w:numPr>
        <w:pStyle w:val="Compact"/>
      </w:pPr>
      <w:r>
        <w:t xml:space="preserve">2011 · Cominetti C ·</w:t>
      </w:r>
      <w:r>
        <w:t xml:space="preserve"> </w:t>
      </w:r>
      <w:r>
        <w:rPr>
          <w:iCs/>
          <w:i/>
        </w:rPr>
        <w:t xml:space="preserve">Nutrition</w:t>
      </w:r>
      <w:r>
        <w:t xml:space="preserve"> </w:t>
      </w:r>
      <w:r>
        <w:t xml:space="preserve">· Associations between glutathione peroxidase-1 Pro198Leu polymorphism, selenium status, and DNA damage levels in obese women after consumption of Brazil nuts. PMID 21208780</w:t>
      </w:r>
    </w:p>
    <w:p>
      <w:pPr>
        <w:numPr>
          <w:ilvl w:val="0"/>
          <w:numId w:val="1414"/>
        </w:numPr>
        <w:pStyle w:val="Compact"/>
      </w:pPr>
      <w:r>
        <w:t xml:space="preserve">2011 · Saitoh T ·</w:t>
      </w:r>
      <w:r>
        <w:t xml:space="preserve"> </w:t>
      </w:r>
      <w:r>
        <w:rPr>
          <w:iCs/>
          <w:i/>
        </w:rPr>
        <w:t xml:space="preserve">Heart Vessels</w:t>
      </w:r>
      <w:r>
        <w:t xml:space="preserve"> </w:t>
      </w:r>
      <w:r>
        <w:t xml:space="preserve">· Intravenous glutathione prevents renal oxidative stress after coronary angiography more effectively than oral N-acetylcysteine. PMID 21127883</w:t>
      </w:r>
    </w:p>
    <w:p>
      <w:pPr>
        <w:numPr>
          <w:ilvl w:val="0"/>
          <w:numId w:val="1414"/>
        </w:numPr>
        <w:pStyle w:val="Compact"/>
      </w:pPr>
      <w:r>
        <w:t xml:space="preserve">2011 · Almog S ·</w:t>
      </w:r>
      <w:r>
        <w:t xml:space="preserve"> </w:t>
      </w:r>
      <w:r>
        <w:rPr>
          <w:iCs/>
          <w:i/>
        </w:rPr>
        <w:t xml:space="preserve">Biol Blood Marrow Transplant</w:t>
      </w:r>
      <w:r>
        <w:t xml:space="preserve"> </w:t>
      </w:r>
      <w:r>
        <w:t xml:space="preserve">· Linearity and stability of intravenous busulfan pharmacokinetics and the role of glutathione in busulfan elimination. PMID 20601034</w:t>
      </w:r>
    </w:p>
    <w:p>
      <w:pPr>
        <w:numPr>
          <w:ilvl w:val="0"/>
          <w:numId w:val="1414"/>
        </w:numPr>
        <w:pStyle w:val="Compact"/>
      </w:pPr>
      <w:r>
        <w:t xml:space="preserve">2010 · Stockler-Pinto MB ·</w:t>
      </w:r>
      <w:r>
        <w:t xml:space="preserve"> </w:t>
      </w:r>
      <w:r>
        <w:rPr>
          <w:iCs/>
          <w:i/>
        </w:rPr>
        <w:t xml:space="preserve">Nutrition</w:t>
      </w:r>
      <w:r>
        <w:t xml:space="preserve"> </w:t>
      </w:r>
      <w:r>
        <w:t xml:space="preserve">· Effect of Brazil nut supplementation on the blood levels of selenium and glutathione peroxidase in hemodialysis patients. PMID 20018488</w:t>
      </w:r>
    </w:p>
    <w:p>
      <w:pPr>
        <w:numPr>
          <w:ilvl w:val="0"/>
          <w:numId w:val="1414"/>
        </w:numPr>
        <w:pStyle w:val="Compact"/>
      </w:pPr>
      <w:r>
        <w:t xml:space="preserve">2010 · Courtney-Martin G ·</w:t>
      </w:r>
      <w:r>
        <w:t xml:space="preserve"> </w:t>
      </w:r>
      <w:r>
        <w:rPr>
          <w:iCs/>
          <w:i/>
        </w:rPr>
        <w:t xml:space="preserve">Pediatr Res</w:t>
      </w:r>
      <w:r>
        <w:t xml:space="preserve"> </w:t>
      </w:r>
      <w:r>
        <w:t xml:space="preserve">· The addition of cysteine to the total sulphur amino acid requirement as methionine does not increase erythrocytes glutathione synthesis in the parenterally fed human neonate. PMID 19915518</w:t>
      </w:r>
    </w:p>
    <w:p>
      <w:pPr>
        <w:numPr>
          <w:ilvl w:val="0"/>
          <w:numId w:val="1414"/>
        </w:numPr>
        <w:pStyle w:val="Compact"/>
      </w:pPr>
      <w:r>
        <w:t xml:space="preserve">2009 · Greenblatt DJ ·</w:t>
      </w:r>
      <w:r>
        <w:t xml:space="preserve"> </w:t>
      </w:r>
      <w:r>
        <w:rPr>
          <w:iCs/>
          <w:i/>
        </w:rPr>
        <w:t xml:space="preserve">Br J Clin Pharmacol</w:t>
      </w:r>
      <w:r>
        <w:t xml:space="preserve"> </w:t>
      </w:r>
      <w:r>
        <w:t xml:space="preserve">· Inhibition of oral midazolam clearance by boosting doses of ritonavir, and by 4,4-dimethyl-benziso-(2H)-selenazine (ALT-2074), an experimental catalytic mimic of glutathione oxidase. PMID 20002087</w:t>
      </w:r>
    </w:p>
    <w:p>
      <w:pPr>
        <w:numPr>
          <w:ilvl w:val="0"/>
          <w:numId w:val="1414"/>
        </w:numPr>
        <w:pStyle w:val="Compact"/>
      </w:pPr>
      <w:r>
        <w:t xml:space="preserve">2009 · Navarro SL ·</w:t>
      </w:r>
      <w:r>
        <w:t xml:space="preserve"> </w:t>
      </w:r>
      <w:r>
        <w:rPr>
          <w:iCs/>
          <w:i/>
        </w:rPr>
        <w:t xml:space="preserve">Cancer Epidemiol Biomarkers Prev</w:t>
      </w:r>
      <w:r>
        <w:t xml:space="preserve"> </w:t>
      </w:r>
      <w:r>
        <w:t xml:space="preserve">· Modulation of human serum glutathione S-transferase A1/2 concentration by cruciferous vegetables in a controlled feeding study is influenced by GSTM1 and GSTT1 genotypes. PMID 19900941</w:t>
      </w:r>
    </w:p>
    <w:p>
      <w:pPr>
        <w:numPr>
          <w:ilvl w:val="0"/>
          <w:numId w:val="1414"/>
        </w:numPr>
        <w:pStyle w:val="Compact"/>
      </w:pPr>
      <w:r>
        <w:t xml:space="preserve">2009 · te Braake FW ·</w:t>
      </w:r>
      <w:r>
        <w:t xml:space="preserve"> </w:t>
      </w:r>
      <w:r>
        <w:rPr>
          <w:iCs/>
          <w:i/>
        </w:rPr>
        <w:t xml:space="preserve">Pediatrics</w:t>
      </w:r>
      <w:r>
        <w:t xml:space="preserve"> </w:t>
      </w:r>
      <w:r>
        <w:t xml:space="preserve">· High-dose cysteine administration does not increase synthesis of the antioxidant glutathione preterm infants. PMID 19822595</w:t>
      </w:r>
    </w:p>
    <w:p>
      <w:pPr>
        <w:numPr>
          <w:ilvl w:val="0"/>
          <w:numId w:val="1414"/>
        </w:numPr>
        <w:pStyle w:val="Compact"/>
      </w:pPr>
      <w:r>
        <w:t xml:space="preserve">2009 · Engel JM ·</w:t>
      </w:r>
      <w:r>
        <w:t xml:space="preserve"> </w:t>
      </w:r>
      <w:r>
        <w:rPr>
          <w:iCs/>
          <w:i/>
        </w:rPr>
        <w:t xml:space="preserve">Acta Anaesthesiol Scand</w:t>
      </w:r>
      <w:r>
        <w:t xml:space="preserve"> </w:t>
      </w:r>
      <w:r>
        <w:t xml:space="preserve">· Glutamine administration in patients undergoing cardiac surgery and the influence on blood glutathione levels. PMID 19681775</w:t>
      </w:r>
    </w:p>
    <w:p>
      <w:pPr>
        <w:numPr>
          <w:ilvl w:val="0"/>
          <w:numId w:val="1414"/>
        </w:numPr>
        <w:pStyle w:val="Compact"/>
      </w:pPr>
      <w:r>
        <w:t xml:space="preserve">2009 · Eroglu A ·</w:t>
      </w:r>
      <w:r>
        <w:t xml:space="preserve"> </w:t>
      </w:r>
      <w:r>
        <w:rPr>
          <w:iCs/>
          <w:i/>
        </w:rPr>
        <w:t xml:space="preserve">Anesth Analg</w:t>
      </w:r>
      <w:r>
        <w:t xml:space="preserve"> </w:t>
      </w:r>
      <w:r>
        <w:t xml:space="preserve">· The effect of intravenous alanyl-glutamine supplementation on plasma glutathione levels in intensive care unit trauma patients receiving enteral nutrition: the results of a randomized controlled trial. PMID 19608826</w:t>
      </w:r>
    </w:p>
    <w:p>
      <w:pPr>
        <w:numPr>
          <w:ilvl w:val="0"/>
          <w:numId w:val="1414"/>
        </w:numPr>
        <w:pStyle w:val="Compact"/>
      </w:pPr>
      <w:r>
        <w:t xml:space="preserve">2009 · Raza A ·</w:t>
      </w:r>
      <w:r>
        <w:t xml:space="preserve"> </w:t>
      </w:r>
      <w:r>
        <w:rPr>
          <w:iCs/>
          <w:i/>
        </w:rPr>
        <w:t xml:space="preserve">J Hematol Oncol</w:t>
      </w:r>
      <w:r>
        <w:t xml:space="preserve"> </w:t>
      </w:r>
      <w:r>
        <w:t xml:space="preserve">· Phase 1-2a multicenter dose-escalation study of ezatiostat hydrochloride liposomes for injection (Telintra, TLK199), a novel glutathione analog prodrug in patients with myelodysplastic syndrome. PMID 19439093</w:t>
      </w:r>
    </w:p>
    <w:p>
      <w:pPr>
        <w:numPr>
          <w:ilvl w:val="0"/>
          <w:numId w:val="1414"/>
        </w:numPr>
        <w:pStyle w:val="Compact"/>
      </w:pPr>
      <w:r>
        <w:t xml:space="preserve">2009 · Yang P ·</w:t>
      </w:r>
      <w:r>
        <w:t xml:space="preserve"> </w:t>
      </w:r>
      <w:r>
        <w:rPr>
          <w:iCs/>
          <w:i/>
        </w:rPr>
        <w:t xml:space="preserve">J Thorac Oncol</w:t>
      </w:r>
      <w:r>
        <w:t xml:space="preserve"> </w:t>
      </w:r>
      <w:r>
        <w:t xml:space="preserve">· Evaluation of glutathione metabolic genes on outcomes in advanced non-small cell lung cancer patients after initial treatment with platinum-based chemotherapy: an NCCTG-97-24-51 based study. PMID 19347979</w:t>
      </w:r>
    </w:p>
    <w:p>
      <w:pPr>
        <w:numPr>
          <w:ilvl w:val="0"/>
          <w:numId w:val="1414"/>
        </w:numPr>
        <w:pStyle w:val="Compact"/>
      </w:pPr>
      <w:r>
        <w:t xml:space="preserve">2009 · Zachara BA ·</w:t>
      </w:r>
      <w:r>
        <w:t xml:space="preserve"> </w:t>
      </w:r>
      <w:r>
        <w:rPr>
          <w:iCs/>
          <w:i/>
        </w:rPr>
        <w:t xml:space="preserve">Acta Biochim Pol</w:t>
      </w:r>
      <w:r>
        <w:t xml:space="preserve"> </w:t>
      </w:r>
      <w:r>
        <w:t xml:space="preserve">· Selenium supplementation to chronic kidney disease patients on hemodialysis does not induce the synthesis of plasma glutathione peroxidase. PMID 19238255</w:t>
      </w:r>
    </w:p>
    <w:p>
      <w:pPr>
        <w:numPr>
          <w:ilvl w:val="0"/>
          <w:numId w:val="1414"/>
        </w:numPr>
        <w:pStyle w:val="Compact"/>
      </w:pPr>
      <w:r>
        <w:t xml:space="preserve">2009 · Hauser RA ·</w:t>
      </w:r>
      <w:r>
        <w:t xml:space="preserve"> </w:t>
      </w:r>
      <w:r>
        <w:rPr>
          <w:iCs/>
          <w:i/>
        </w:rPr>
        <w:t xml:space="preserve">Mov Disord</w:t>
      </w:r>
      <w:r>
        <w:t xml:space="preserve"> </w:t>
      </w:r>
      <w:r>
        <w:t xml:space="preserve">· Randomized, double-blind, pilot evaluation of intravenous glutathione in Parkinson’s disease. PMID 19230029</w:t>
      </w:r>
    </w:p>
    <w:p>
      <w:pPr>
        <w:numPr>
          <w:ilvl w:val="0"/>
          <w:numId w:val="1414"/>
        </w:numPr>
        <w:pStyle w:val="Compact"/>
      </w:pPr>
      <w:r>
        <w:t xml:space="preserve">2009 · Wang Y ·</w:t>
      </w:r>
      <w:r>
        <w:t xml:space="preserve"> </w:t>
      </w:r>
      <w:r>
        <w:rPr>
          <w:iCs/>
          <w:i/>
        </w:rPr>
        <w:t xml:space="preserve">J Nutr</w:t>
      </w:r>
      <w:r>
        <w:t xml:space="preserve"> </w:t>
      </w:r>
      <w:r>
        <w:t xml:space="preserve">· Long-term garlic or micronutrient supplementation, but not anti-Helicobacter pylori therapy, increases serum folate or glutathione without affecting serum vitamin B-12 or homocysteine in a rural Chinese population. PMID 19056661</w:t>
      </w:r>
    </w:p>
    <w:p>
      <w:pPr>
        <w:numPr>
          <w:ilvl w:val="0"/>
          <w:numId w:val="1414"/>
        </w:numPr>
        <w:pStyle w:val="Compact"/>
      </w:pPr>
      <w:r>
        <w:t xml:space="preserve">2008 · Darmaun D ·</w:t>
      </w:r>
      <w:r>
        <w:t xml:space="preserve"> </w:t>
      </w:r>
      <w:r>
        <w:rPr>
          <w:iCs/>
          <w:i/>
        </w:rPr>
        <w:t xml:space="preserve">Pediatr Diabetes</w:t>
      </w:r>
      <w:r>
        <w:t xml:space="preserve"> </w:t>
      </w:r>
      <w:r>
        <w:t xml:space="preserve">· Poorly controlled type 1 diabetes is associated with altered glutathione homeostasis in adolescents: apparent resistance to N-acetylcysteine supplementation. PMID 19067892</w:t>
      </w:r>
    </w:p>
    <w:p>
      <w:pPr>
        <w:numPr>
          <w:ilvl w:val="0"/>
          <w:numId w:val="1414"/>
        </w:numPr>
        <w:pStyle w:val="Compact"/>
      </w:pPr>
      <w:r>
        <w:t xml:space="preserve">2008 · Courtney-Martin G ·</w:t>
      </w:r>
      <w:r>
        <w:t xml:space="preserve"> </w:t>
      </w:r>
      <w:r>
        <w:rPr>
          <w:iCs/>
          <w:i/>
        </w:rPr>
        <w:t xml:space="preserve">J Nutr</w:t>
      </w:r>
      <w:r>
        <w:t xml:space="preserve"> </w:t>
      </w:r>
      <w:r>
        <w:t xml:space="preserve">· Methionine-adequate cysteine-free diet does not limit erythrocyte glutathione synthesis in young healthy adult men. PMID 18936215</w:t>
      </w:r>
    </w:p>
    <w:p>
      <w:pPr>
        <w:numPr>
          <w:ilvl w:val="0"/>
          <w:numId w:val="1414"/>
        </w:numPr>
        <w:pStyle w:val="Compact"/>
      </w:pPr>
      <w:r>
        <w:t xml:space="preserve">2008 · Bede O ·</w:t>
      </w:r>
      <w:r>
        <w:t xml:space="preserve"> </w:t>
      </w:r>
      <w:r>
        <w:rPr>
          <w:iCs/>
          <w:i/>
        </w:rPr>
        <w:t xml:space="preserve">Inflamm Res</w:t>
      </w:r>
      <w:r>
        <w:t xml:space="preserve"> </w:t>
      </w:r>
      <w:r>
        <w:t xml:space="preserve">· Effects of magnesium supplementation on the glutathione redox system in atopic asthmatic children. PMID 18516713</w:t>
      </w:r>
    </w:p>
    <w:p>
      <w:pPr>
        <w:numPr>
          <w:ilvl w:val="0"/>
          <w:numId w:val="1414"/>
        </w:numPr>
        <w:pStyle w:val="Compact"/>
      </w:pPr>
      <w:r>
        <w:t xml:space="preserve">2008 · Berk M ·</w:t>
      </w:r>
      <w:r>
        <w:t xml:space="preserve"> </w:t>
      </w:r>
      <w:r>
        <w:rPr>
          <w:iCs/>
          <w:i/>
        </w:rPr>
        <w:t xml:space="preserve">Biol Psychiatry</w:t>
      </w:r>
      <w:r>
        <w:t xml:space="preserve"> </w:t>
      </w:r>
      <w:r>
        <w:t xml:space="preserve">· N-acetyl cysteine as a glutathione precursor for schizophrenia–a double-blind, randomized, placebo-controlled trial. PMID 18436195</w:t>
      </w:r>
    </w:p>
    <w:p>
      <w:pPr>
        <w:numPr>
          <w:ilvl w:val="0"/>
          <w:numId w:val="1414"/>
        </w:numPr>
        <w:pStyle w:val="Compact"/>
      </w:pPr>
      <w:r>
        <w:t xml:space="preserve">2008 · Méplan C ·</w:t>
      </w:r>
      <w:r>
        <w:t xml:space="preserve"> </w:t>
      </w:r>
      <w:r>
        <w:rPr>
          <w:iCs/>
          <w:i/>
        </w:rPr>
        <w:t xml:space="preserve">Am J Clin Nutr</w:t>
      </w:r>
      <w:r>
        <w:t xml:space="preserve"> </w:t>
      </w:r>
      <w:r>
        <w:t xml:space="preserve">· Functional effects of a common single-nucleotide polymorphism (GPX4c718t) in the glutathione peroxidase 4 gene: interaction with sex. PMID 18400727</w:t>
      </w:r>
    </w:p>
    <w:p>
      <w:pPr>
        <w:numPr>
          <w:ilvl w:val="0"/>
          <w:numId w:val="1414"/>
        </w:numPr>
        <w:pStyle w:val="Compact"/>
      </w:pPr>
      <w:r>
        <w:t xml:space="preserve">2008 · Jariwalla RJ ·</w:t>
      </w:r>
      <w:r>
        <w:t xml:space="preserve"> </w:t>
      </w:r>
      <w:r>
        <w:rPr>
          <w:iCs/>
          <w:i/>
        </w:rPr>
        <w:t xml:space="preserve">J Altern Complement Med</w:t>
      </w:r>
      <w:r>
        <w:t xml:space="preserve"> </w:t>
      </w:r>
      <w:r>
        <w:t xml:space="preserve">· Restoration of blood total glutathione status and lymphocyte function following alpha-lipoic acid supplementation in patients with HIV infection. PMID 18315507</w:t>
      </w:r>
    </w:p>
    <w:p>
      <w:pPr>
        <w:numPr>
          <w:ilvl w:val="0"/>
          <w:numId w:val="1414"/>
        </w:numPr>
        <w:pStyle w:val="Compact"/>
      </w:pPr>
      <w:r>
        <w:t xml:space="preserve">2007 · Zavorsky GS ·</w:t>
      </w:r>
      <w:r>
        <w:t xml:space="preserve"> </w:t>
      </w:r>
      <w:r>
        <w:rPr>
          <w:iCs/>
          <w:i/>
        </w:rPr>
        <w:t xml:space="preserve">Int J Food Sci Nutr</w:t>
      </w:r>
      <w:r>
        <w:t xml:space="preserve"> </w:t>
      </w:r>
      <w:r>
        <w:t xml:space="preserve">· An open-label dose-response study of lymphocyte glutathione levels in healthy men and women receiving pressurized whey protein isolate supplements. PMID 17710587</w:t>
      </w:r>
    </w:p>
    <w:p>
      <w:pPr>
        <w:numPr>
          <w:ilvl w:val="0"/>
          <w:numId w:val="1414"/>
        </w:numPr>
        <w:pStyle w:val="Compact"/>
      </w:pPr>
      <w:r>
        <w:t xml:space="preserve">2006 · Karunasinghe N ·</w:t>
      </w:r>
      <w:r>
        <w:t xml:space="preserve"> </w:t>
      </w:r>
      <w:r>
        <w:rPr>
          <w:iCs/>
          <w:i/>
        </w:rPr>
        <w:t xml:space="preserve">J Nutr</w:t>
      </w:r>
      <w:r>
        <w:t xml:space="preserve"> </w:t>
      </w:r>
      <w:r>
        <w:t xml:space="preserve">· Hemolysate thioredoxin reductase and glutathione peroxidase activities correlate with serum selenium in a group of New Zealand men at high prostate cancer risk. PMID 16857846</w:t>
      </w:r>
    </w:p>
    <w:p>
      <w:pPr>
        <w:numPr>
          <w:ilvl w:val="0"/>
          <w:numId w:val="1414"/>
        </w:numPr>
        <w:pStyle w:val="Compact"/>
      </w:pPr>
      <w:r>
        <w:t xml:space="preserve">2006 · Muran PJ ·</w:t>
      </w:r>
      <w:r>
        <w:t xml:space="preserve"> </w:t>
      </w:r>
      <w:r>
        <w:rPr>
          <w:iCs/>
          <w:i/>
        </w:rPr>
        <w:t xml:space="preserve">Altern Ther Health Med</w:t>
      </w:r>
      <w:r>
        <w:t xml:space="preserve"> </w:t>
      </w:r>
      <w:r>
        <w:t xml:space="preserve">· Mercury elimination with oral DMPS, DMSA, vitamin C, and glutathione: an observational clinical review. PMID 16708769</w:t>
      </w:r>
    </w:p>
    <w:p>
      <w:pPr>
        <w:numPr>
          <w:ilvl w:val="0"/>
          <w:numId w:val="1414"/>
        </w:numPr>
        <w:pStyle w:val="Compact"/>
      </w:pPr>
      <w:r>
        <w:t xml:space="preserve">2006 · Tirouvanziam R ·</w:t>
      </w:r>
      <w:r>
        <w:t xml:space="preserve"> </w:t>
      </w:r>
      <w:r>
        <w:rPr>
          <w:iCs/>
          <w:i/>
        </w:rPr>
        <w:t xml:space="preserve">Proc Natl Acad Sci U S A</w:t>
      </w:r>
      <w:r>
        <w:t xml:space="preserve"> </w:t>
      </w:r>
      <w:r>
        <w:t xml:space="preserve">· High-dose oral N-acetylcysteine, a glutathione prodrug, modulates inflammation in cystic fibrosis. PMID 16537378</w:t>
      </w:r>
    </w:p>
    <w:p>
      <w:pPr>
        <w:numPr>
          <w:ilvl w:val="0"/>
          <w:numId w:val="1414"/>
        </w:numPr>
        <w:pStyle w:val="Compact"/>
      </w:pPr>
      <w:r>
        <w:t xml:space="preserve">2006 · Lavergne SN ·</w:t>
      </w:r>
      <w:r>
        <w:t xml:space="preserve"> </w:t>
      </w:r>
      <w:r>
        <w:rPr>
          <w:iCs/>
          <w:i/>
        </w:rPr>
        <w:t xml:space="preserve">Toxicology</w:t>
      </w:r>
      <w:r>
        <w:t xml:space="preserve"> </w:t>
      </w:r>
      <w:r>
        <w:t xml:space="preserve">· Roles of endogenous ascorbate and glutathione in the cellular reduction and cytotoxicity of sulfamethoxazole-nitroso. PMID 16473451</w:t>
      </w:r>
    </w:p>
    <w:p>
      <w:pPr>
        <w:numPr>
          <w:ilvl w:val="0"/>
          <w:numId w:val="1414"/>
        </w:numPr>
        <w:pStyle w:val="Compact"/>
      </w:pPr>
      <w:r>
        <w:t xml:space="preserve">2006 · Kusama M ·</w:t>
      </w:r>
      <w:r>
        <w:t xml:space="preserve"> </w:t>
      </w:r>
      <w:r>
        <w:rPr>
          <w:iCs/>
          <w:i/>
        </w:rPr>
        <w:t xml:space="preserve">Clin Chim Acta</w:t>
      </w:r>
      <w:r>
        <w:t xml:space="preserve"> </w:t>
      </w:r>
      <w:r>
        <w:t xml:space="preserve">· Influence of glutathione S-transferase A1 polymorphism on the pharmacokinetics of busulfan. PMID 16448639</w:t>
      </w:r>
    </w:p>
    <w:p>
      <w:pPr>
        <w:numPr>
          <w:ilvl w:val="0"/>
          <w:numId w:val="1414"/>
        </w:numPr>
        <w:pStyle w:val="Compact"/>
      </w:pPr>
      <w:r>
        <w:t xml:space="preserve">2005 · Huang ZW ·</w:t>
      </w:r>
      <w:r>
        <w:t xml:space="preserve"> </w:t>
      </w:r>
      <w:r>
        <w:rPr>
          <w:iCs/>
          <w:i/>
        </w:rPr>
        <w:t xml:space="preserve">Zhongguo Wei Zhong Bing Ji Jiu Yi Xue</w:t>
      </w:r>
      <w:r>
        <w:t xml:space="preserve"> </w:t>
      </w:r>
      <w:r>
        <w:t xml:space="preserve">· [Protective effect of reduced glutathione on multiple organ function in patient with acute pancreatitis]. PMID 16297323</w:t>
      </w:r>
    </w:p>
    <w:p>
      <w:pPr>
        <w:numPr>
          <w:ilvl w:val="0"/>
          <w:numId w:val="1414"/>
        </w:numPr>
        <w:pStyle w:val="Compact"/>
      </w:pPr>
      <w:r>
        <w:t xml:space="preserve">2005 · Becker K ·</w:t>
      </w:r>
      <w:r>
        <w:t xml:space="preserve"> </w:t>
      </w:r>
      <w:r>
        <w:rPr>
          <w:iCs/>
          <w:i/>
        </w:rPr>
        <w:t xml:space="preserve">Redox Rep</w:t>
      </w:r>
      <w:r>
        <w:t xml:space="preserve"> </w:t>
      </w:r>
      <w:r>
        <w:t xml:space="preserve">· Effects of antioxidants on glutathione levels and clinical recovery from the malnutrition syndrome kwashiorkor–a pilot study. PMID 16259789</w:t>
      </w:r>
    </w:p>
    <w:p>
      <w:pPr>
        <w:numPr>
          <w:ilvl w:val="0"/>
          <w:numId w:val="1414"/>
        </w:numPr>
        <w:pStyle w:val="Compact"/>
      </w:pPr>
      <w:r>
        <w:t xml:space="preserve">2005 · Rundle AG ·</w:t>
      </w:r>
      <w:r>
        <w:t xml:space="preserve"> </w:t>
      </w:r>
      <w:r>
        <w:rPr>
          <w:iCs/>
          <w:i/>
        </w:rPr>
        <w:t xml:space="preserve">Biomarkers</w:t>
      </w:r>
      <w:r>
        <w:t xml:space="preserve"> </w:t>
      </w:r>
      <w:r>
        <w:t xml:space="preserve">· Preliminary studies on the effect of moderate physical activity on blood levels of glutathione. PMID 16243723</w:t>
      </w:r>
    </w:p>
    <w:p>
      <w:pPr>
        <w:numPr>
          <w:ilvl w:val="0"/>
          <w:numId w:val="1414"/>
        </w:numPr>
        <w:pStyle w:val="Compact"/>
      </w:pPr>
      <w:r>
        <w:t xml:space="preserve">2005 · Janse van Rensburg C ·</w:t>
      </w:r>
      <w:r>
        <w:t xml:space="preserve"> </w:t>
      </w:r>
      <w:r>
        <w:rPr>
          <w:iCs/>
          <w:i/>
        </w:rPr>
        <w:t xml:space="preserve">Eur J Nutr</w:t>
      </w:r>
      <w:r>
        <w:t xml:space="preserve"> </w:t>
      </w:r>
      <w:r>
        <w:t xml:space="preserve">· Rosa roxburghii supplementation in a controlled feeding study increases plasma antioxidant capacity and glutathione redox state. PMID 15782288</w:t>
      </w:r>
    </w:p>
    <w:p>
      <w:pPr>
        <w:numPr>
          <w:ilvl w:val="0"/>
          <w:numId w:val="1414"/>
        </w:numPr>
        <w:pStyle w:val="Compact"/>
      </w:pPr>
      <w:r>
        <w:t xml:space="preserve">2005 · Garolla A ·</w:t>
      </w:r>
      <w:r>
        <w:t xml:space="preserve"> </w:t>
      </w:r>
      <w:r>
        <w:rPr>
          <w:iCs/>
          <w:i/>
        </w:rPr>
        <w:t xml:space="preserve">Fertil Steril</w:t>
      </w:r>
      <w:r>
        <w:t xml:space="preserve"> </w:t>
      </w:r>
      <w:r>
        <w:t xml:space="preserve">· Oral carnitine supplementation increases sperm motility in asthenozoospermic men with normal sperm phospholipid hydroperoxide glutathione peroxidase levels. PMID 15705374</w:t>
      </w:r>
    </w:p>
    <w:p>
      <w:pPr>
        <w:numPr>
          <w:ilvl w:val="0"/>
          <w:numId w:val="1414"/>
        </w:numPr>
        <w:pStyle w:val="Compact"/>
      </w:pPr>
      <w:r>
        <w:t xml:space="preserve">2004 · Chełchowska M ·</w:t>
      </w:r>
      <w:r>
        <w:t xml:space="preserve"> </w:t>
      </w:r>
      <w:r>
        <w:rPr>
          <w:iCs/>
          <w:i/>
        </w:rPr>
        <w:t xml:space="preserve">Przegl Lek</w:t>
      </w:r>
      <w:r>
        <w:t xml:space="preserve"> </w:t>
      </w:r>
      <w:r>
        <w:t xml:space="preserve">· [The effect of vitamin-mineral supplementation on the level of MDA and activity of glutathione peroxidase and superoxide dismutase in blood of matched maternal-cord pairs]. PMID 15792016</w:t>
      </w:r>
    </w:p>
    <w:p>
      <w:pPr>
        <w:numPr>
          <w:ilvl w:val="0"/>
          <w:numId w:val="1414"/>
        </w:numPr>
        <w:pStyle w:val="Compact"/>
      </w:pPr>
      <w:r>
        <w:t xml:space="preserve">2004 · Child DF ·</w:t>
      </w:r>
      <w:r>
        <w:t xml:space="preserve"> </w:t>
      </w:r>
      <w:r>
        <w:rPr>
          <w:iCs/>
          <w:i/>
        </w:rPr>
        <w:t xml:space="preserve">Diabetes Nutr Metab</w:t>
      </w:r>
      <w:r>
        <w:t xml:space="preserve"> </w:t>
      </w:r>
      <w:r>
        <w:t xml:space="preserve">· The effect of oral folic acid on glutathione, glycaemia and lipids in Type 2 diabetes. PMID 15244101</w:t>
      </w:r>
    </w:p>
    <w:p>
      <w:pPr>
        <w:numPr>
          <w:ilvl w:val="0"/>
          <w:numId w:val="1414"/>
        </w:numPr>
        <w:pStyle w:val="Compact"/>
      </w:pPr>
      <w:r>
        <w:t xml:space="preserve">2004 · Zhu BD ·</w:t>
      </w:r>
      <w:r>
        <w:t xml:space="preserve"> </w:t>
      </w:r>
      <w:r>
        <w:rPr>
          <w:iCs/>
          <w:i/>
        </w:rPr>
        <w:t xml:space="preserve">Ai Zheng</w:t>
      </w:r>
      <w:r>
        <w:t xml:space="preserve"> </w:t>
      </w:r>
      <w:r>
        <w:t xml:space="preserve">· [Enhancement of antioxidant capability of cancer patients during chemotherapy by reduced glutathione]. PMID 15087038</w:t>
      </w:r>
    </w:p>
    <w:p>
      <w:pPr>
        <w:numPr>
          <w:ilvl w:val="0"/>
          <w:numId w:val="1414"/>
        </w:numPr>
        <w:pStyle w:val="Compact"/>
      </w:pPr>
      <w:r>
        <w:t xml:space="preserve">2004 · Middleton N ·</w:t>
      </w:r>
      <w:r>
        <w:t xml:space="preserve"> </w:t>
      </w:r>
      <w:r>
        <w:rPr>
          <w:iCs/>
          <w:i/>
        </w:rPr>
        <w:t xml:space="preserve">Int J Food Sci Nutr</w:t>
      </w:r>
      <w:r>
        <w:t xml:space="preserve"> </w:t>
      </w:r>
      <w:r>
        <w:t xml:space="preserve">· Whole blood and mononuclear cell glutathione response to dietary whey protein supplementation in sedentary and trained male human subjects. PMID 14985185</w:t>
      </w:r>
    </w:p>
    <w:p>
      <w:pPr>
        <w:numPr>
          <w:ilvl w:val="0"/>
          <w:numId w:val="1414"/>
        </w:numPr>
        <w:pStyle w:val="Compact"/>
      </w:pPr>
      <w:r>
        <w:t xml:space="preserve">2004 · Vrca VB ·</w:t>
      </w:r>
      <w:r>
        <w:t xml:space="preserve"> </w:t>
      </w:r>
      <w:r>
        <w:rPr>
          <w:iCs/>
          <w:i/>
        </w:rPr>
        <w:t xml:space="preserve">Clin Chim Acta</w:t>
      </w:r>
      <w:r>
        <w:t xml:space="preserve"> </w:t>
      </w:r>
      <w:r>
        <w:t xml:space="preserve">· Supplementation with antioxidants in the treatment of Graves’ disease; the effect on glutathione peroxidase activity and concentration of selenium. PMID 14967159</w:t>
      </w:r>
    </w:p>
    <w:p>
      <w:pPr>
        <w:numPr>
          <w:ilvl w:val="0"/>
          <w:numId w:val="1414"/>
        </w:numPr>
        <w:pStyle w:val="Compact"/>
      </w:pPr>
      <w:r>
        <w:t xml:space="preserve">2003 · Grey V ·</w:t>
      </w:r>
      <w:r>
        <w:t xml:space="preserve"> </w:t>
      </w:r>
      <w:r>
        <w:rPr>
          <w:iCs/>
          <w:i/>
        </w:rPr>
        <w:t xml:space="preserve">J Cyst Fibros</w:t>
      </w:r>
      <w:r>
        <w:t xml:space="preserve"> </w:t>
      </w:r>
      <w:r>
        <w:t xml:space="preserve">· Improved glutathione status in young adult patients with cystic fibrosis supplemented with whey protein. PMID 15463873</w:t>
      </w:r>
    </w:p>
    <w:p>
      <w:pPr>
        <w:numPr>
          <w:ilvl w:val="0"/>
          <w:numId w:val="1414"/>
        </w:numPr>
        <w:pStyle w:val="Compact"/>
      </w:pPr>
      <w:r>
        <w:t xml:space="preserve">2003 · Al-Taie OH ·</w:t>
      </w:r>
      <w:r>
        <w:t xml:space="preserve"> </w:t>
      </w:r>
      <w:r>
        <w:rPr>
          <w:iCs/>
          <w:i/>
        </w:rPr>
        <w:t xml:space="preserve">Nutr Cancer</w:t>
      </w:r>
      <w:r>
        <w:t xml:space="preserve"> </w:t>
      </w:r>
      <w:r>
        <w:t xml:space="preserve">· Selenium supplementation enhances low selenium levels and stimulates glutathione peroxidase activity in peripheral blood and distal colon mucosa in past and present carriers of colon adenomas. PMID 14690787</w:t>
      </w:r>
    </w:p>
    <w:p>
      <w:pPr>
        <w:numPr>
          <w:ilvl w:val="0"/>
          <w:numId w:val="1414"/>
        </w:numPr>
        <w:pStyle w:val="Compact"/>
      </w:pPr>
      <w:r>
        <w:t xml:space="preserve">2003 · Aukrust P ·</w:t>
      </w:r>
      <w:r>
        <w:t xml:space="preserve"> </w:t>
      </w:r>
      <w:r>
        <w:rPr>
          <w:iCs/>
          <w:i/>
        </w:rPr>
        <w:t xml:space="preserve">J Infect Dis</w:t>
      </w:r>
      <w:r>
        <w:t xml:space="preserve"> </w:t>
      </w:r>
      <w:r>
        <w:t xml:space="preserve">· Disturbed glutathione metabolism and decreased antioxidant levels in human immunodeficiency virus-infected patients during highly active antiretroviral therapy–potential immunomodulatory effects of antioxidants. PMID 12854078</w:t>
      </w:r>
    </w:p>
    <w:p>
      <w:pPr>
        <w:numPr>
          <w:ilvl w:val="0"/>
          <w:numId w:val="1414"/>
        </w:numPr>
        <w:pStyle w:val="Compact"/>
      </w:pPr>
      <w:r>
        <w:t xml:space="preserve">2003 · Fläring UB ·</w:t>
      </w:r>
      <w:r>
        <w:t xml:space="preserve"> </w:t>
      </w:r>
      <w:r>
        <w:rPr>
          <w:iCs/>
          <w:i/>
        </w:rPr>
        <w:t xml:space="preserve">Clin Sci (Lond)</w:t>
      </w:r>
      <w:r>
        <w:t xml:space="preserve"> </w:t>
      </w:r>
      <w:r>
        <w:t xml:space="preserve">· Glutamine attenuates post-traumatic glutathione depletion in human muscle. PMID 12605586</w:t>
      </w:r>
    </w:p>
    <w:p>
      <w:pPr>
        <w:numPr>
          <w:ilvl w:val="0"/>
          <w:numId w:val="1414"/>
        </w:numPr>
        <w:pStyle w:val="Compact"/>
      </w:pPr>
      <w:r>
        <w:t xml:space="preserve">2003 · Lenton KJ ·</w:t>
      </w:r>
      <w:r>
        <w:t xml:space="preserve"> </w:t>
      </w:r>
      <w:r>
        <w:rPr>
          <w:iCs/>
          <w:i/>
        </w:rPr>
        <w:t xml:space="preserve">Am J Clin Nutr</w:t>
      </w:r>
      <w:r>
        <w:t xml:space="preserve"> </w:t>
      </w:r>
      <w:r>
        <w:t xml:space="preserve">· Vitamin C augments lymphocyte glutathione in subjects with ascorbate deficiency. PMID 12499341</w:t>
      </w:r>
    </w:p>
    <w:p>
      <w:pPr>
        <w:numPr>
          <w:ilvl w:val="0"/>
          <w:numId w:val="1414"/>
        </w:numPr>
        <w:pStyle w:val="Compact"/>
      </w:pPr>
      <w:r>
        <w:t xml:space="preserve">2002 · Patel BP ·</w:t>
      </w:r>
      <w:r>
        <w:t xml:space="preserve"> </w:t>
      </w:r>
      <w:r>
        <w:rPr>
          <w:iCs/>
          <w:i/>
        </w:rPr>
        <w:t xml:space="preserve">Neoplasma</w:t>
      </w:r>
      <w:r>
        <w:t xml:space="preserve"> </w:t>
      </w:r>
      <w:r>
        <w:t xml:space="preserve">· Serum glutathione-S-transferase and glutathione reductase activity in head and neck cancer patients. PMID 12382026</w:t>
      </w:r>
    </w:p>
    <w:p>
      <w:pPr>
        <w:numPr>
          <w:ilvl w:val="0"/>
          <w:numId w:val="1414"/>
        </w:numPr>
        <w:pStyle w:val="Compact"/>
      </w:pPr>
      <w:r>
        <w:t xml:space="preserve">2002 · Kasperczyk S ·</w:t>
      </w:r>
      <w:r>
        <w:t xml:space="preserve"> </w:t>
      </w:r>
      <w:r>
        <w:rPr>
          <w:iCs/>
          <w:i/>
        </w:rPr>
        <w:t xml:space="preserve">Wiad Lek</w:t>
      </w:r>
      <w:r>
        <w:t xml:space="preserve"> </w:t>
      </w:r>
      <w:r>
        <w:t xml:space="preserve">· [Effect of hyperglycemia on glutathione peroxidase and superoxide dismutase activity in patients with newly diagnosed carbohydrate metabolism disturbances]. PMID 12235692</w:t>
      </w:r>
    </w:p>
    <w:p>
      <w:pPr>
        <w:numPr>
          <w:ilvl w:val="0"/>
          <w:numId w:val="1414"/>
        </w:numPr>
        <w:pStyle w:val="Compact"/>
      </w:pPr>
      <w:r>
        <w:t xml:space="preserve">2002 · Badaloo A ·</w:t>
      </w:r>
      <w:r>
        <w:t xml:space="preserve"> </w:t>
      </w:r>
      <w:r>
        <w:rPr>
          <w:iCs/>
          <w:i/>
        </w:rPr>
        <w:t xml:space="preserve">Am J Clin Nutr</w:t>
      </w:r>
      <w:r>
        <w:t xml:space="preserve"> </w:t>
      </w:r>
      <w:r>
        <w:t xml:space="preserve">· Cysteine supplementation improves the erythrocyte glutathione synthesis rate in children with severe edematous malnutrition. PMID 12198013</w:t>
      </w:r>
    </w:p>
    <w:p>
      <w:pPr>
        <w:numPr>
          <w:ilvl w:val="0"/>
          <w:numId w:val="1414"/>
        </w:numPr>
        <w:pStyle w:val="Compact"/>
      </w:pPr>
      <w:r>
        <w:t xml:space="preserve">2002 · Arosio E ·</w:t>
      </w:r>
      <w:r>
        <w:t xml:space="preserve"> </w:t>
      </w:r>
      <w:r>
        <w:rPr>
          <w:iCs/>
          <w:i/>
        </w:rPr>
        <w:t xml:space="preserve">Mayo Clin Proc</w:t>
      </w:r>
      <w:r>
        <w:t xml:space="preserve"> </w:t>
      </w:r>
      <w:r>
        <w:t xml:space="preserve">· Effect of glutathione infusion on leg arterial circulation, cutaneous microcirculation, and pain-free walking distance in patients with peripheral obstructive arterial disease: a randomized, double-blind, placebo-controlled trial. PMID 12173710</w:t>
      </w:r>
    </w:p>
    <w:p>
      <w:pPr>
        <w:numPr>
          <w:ilvl w:val="0"/>
          <w:numId w:val="1414"/>
        </w:numPr>
        <w:pStyle w:val="Compact"/>
      </w:pPr>
      <w:r>
        <w:t xml:space="preserve">2002 · Roes EM ·</w:t>
      </w:r>
      <w:r>
        <w:t xml:space="preserve"> </w:t>
      </w:r>
      <w:r>
        <w:rPr>
          <w:iCs/>
          <w:i/>
        </w:rPr>
        <w:t xml:space="preserve">Clin Chem Lab Med</w:t>
      </w:r>
      <w:r>
        <w:t xml:space="preserve"> </w:t>
      </w:r>
      <w:r>
        <w:t xml:space="preserve">· Effects of oral N-acetylcysteine on plasma homocysteine and whole blood glutathione levels in healthy, non-pregnant women. PMID 12113295</w:t>
      </w:r>
    </w:p>
    <w:p>
      <w:pPr>
        <w:numPr>
          <w:ilvl w:val="0"/>
          <w:numId w:val="1414"/>
        </w:numPr>
        <w:pStyle w:val="Compact"/>
      </w:pPr>
      <w:r>
        <w:t xml:space="preserve">2002 · Behr J ·</w:t>
      </w:r>
      <w:r>
        <w:t xml:space="preserve"> </w:t>
      </w:r>
      <w:r>
        <w:rPr>
          <w:iCs/>
          <w:i/>
        </w:rPr>
        <w:t xml:space="preserve">Eur Respir J</w:t>
      </w:r>
      <w:r>
        <w:t xml:space="preserve"> </w:t>
      </w:r>
      <w:r>
        <w:t xml:space="preserve">· Intracellular glutathione and bronchoalveolar cells in fibrosing alveolitis: effects of N-acetylcysteine. PMID 12030732</w:t>
      </w:r>
    </w:p>
    <w:p>
      <w:pPr>
        <w:numPr>
          <w:ilvl w:val="0"/>
          <w:numId w:val="1414"/>
        </w:numPr>
        <w:pStyle w:val="Compact"/>
      </w:pPr>
      <w:r>
        <w:t xml:space="preserve">2002 · Micke P ·</w:t>
      </w:r>
      <w:r>
        <w:t xml:space="preserve"> </w:t>
      </w:r>
      <w:r>
        <w:rPr>
          <w:iCs/>
          <w:i/>
        </w:rPr>
        <w:t xml:space="preserve">Eur J Nutr</w:t>
      </w:r>
      <w:r>
        <w:t xml:space="preserve"> </w:t>
      </w:r>
      <w:r>
        <w:t xml:space="preserve">· Effects of long-term supplementation with whey proteins on plasma glutathione levels of HIV-infected patients. PMID 11990003</w:t>
      </w:r>
    </w:p>
    <w:p>
      <w:pPr>
        <w:numPr>
          <w:ilvl w:val="0"/>
          <w:numId w:val="1414"/>
        </w:numPr>
        <w:pStyle w:val="Compact"/>
      </w:pPr>
      <w:r>
        <w:t xml:space="preserve">2001 · Micke P ·</w:t>
      </w:r>
      <w:r>
        <w:t xml:space="preserve"> </w:t>
      </w:r>
      <w:r>
        <w:rPr>
          <w:iCs/>
          <w:i/>
        </w:rPr>
        <w:t xml:space="preserve">Eur J Clin Invest</w:t>
      </w:r>
      <w:r>
        <w:t xml:space="preserve"> </w:t>
      </w:r>
      <w:r>
        <w:t xml:space="preserve">· Oral supplementation with whey proteins increases plasma glutathione levels of HIV-infected patients. PMID 11168457</w:t>
      </w:r>
    </w:p>
    <w:p>
      <w:pPr>
        <w:numPr>
          <w:ilvl w:val="0"/>
          <w:numId w:val="1414"/>
        </w:numPr>
        <w:pStyle w:val="Compact"/>
      </w:pPr>
      <w:r>
        <w:t xml:space="preserve">2000 · Alfthan G ·</w:t>
      </w:r>
      <w:r>
        <w:t xml:space="preserve"> </w:t>
      </w:r>
      <w:r>
        <w:rPr>
          <w:iCs/>
          <w:i/>
        </w:rPr>
        <w:t xml:space="preserve">Biol Trace Elem Res</w:t>
      </w:r>
      <w:r>
        <w:t xml:space="preserve"> </w:t>
      </w:r>
      <w:r>
        <w:t xml:space="preserve">· Selenium supplementation of children in a selenium-deficient area in China: blood selenium levels and glutathione peroxidase activities. PMID 11049204</w:t>
      </w:r>
    </w:p>
    <w:p>
      <w:pPr>
        <w:numPr>
          <w:ilvl w:val="0"/>
          <w:numId w:val="1414"/>
        </w:numPr>
        <w:pStyle w:val="Compact"/>
      </w:pPr>
      <w:r>
        <w:t xml:space="preserve">2000 · De Rosa SC ·</w:t>
      </w:r>
      <w:r>
        <w:t xml:space="preserve"> </w:t>
      </w:r>
      <w:r>
        <w:rPr>
          <w:iCs/>
          <w:i/>
        </w:rPr>
        <w:t xml:space="preserve">Eur J Clin Invest</w:t>
      </w:r>
      <w:r>
        <w:t xml:space="preserve"> </w:t>
      </w:r>
      <w:r>
        <w:t xml:space="preserve">· N-acetylcysteine replenishes glutathione in HIV infection. PMID 11029607</w:t>
      </w:r>
    </w:p>
    <w:p>
      <w:pPr>
        <w:numPr>
          <w:ilvl w:val="0"/>
          <w:numId w:val="1414"/>
        </w:numPr>
        <w:pStyle w:val="Compact"/>
      </w:pPr>
      <w:r>
        <w:t xml:space="preserve">2000 · Jain SK ·</w:t>
      </w:r>
      <w:r>
        <w:t xml:space="preserve"> </w:t>
      </w:r>
      <w:r>
        <w:rPr>
          <w:iCs/>
          <w:i/>
        </w:rPr>
        <w:t xml:space="preserve">Diabetes Care</w:t>
      </w:r>
      <w:r>
        <w:t xml:space="preserve"> </w:t>
      </w:r>
      <w:r>
        <w:t xml:space="preserve">· Vitamin E supplementation restores glutathione and malondialdehyde to normal concentrations in erythrocytes of type 1 diabetic children. PMID 10977039</w:t>
      </w:r>
    </w:p>
    <w:p>
      <w:pPr>
        <w:numPr>
          <w:ilvl w:val="0"/>
          <w:numId w:val="1414"/>
        </w:numPr>
        <w:pStyle w:val="Compact"/>
      </w:pPr>
      <w:r>
        <w:t xml:space="preserve">2000 · Lampe JW ·</w:t>
      </w:r>
      <w:r>
        <w:t xml:space="preserve"> </w:t>
      </w:r>
      <w:r>
        <w:rPr>
          <w:iCs/>
          <w:i/>
        </w:rPr>
        <w:t xml:space="preserve">Cancer Epidemiol Biomarkers Prev</w:t>
      </w:r>
      <w:r>
        <w:t xml:space="preserve"> </w:t>
      </w:r>
      <w:r>
        <w:t xml:space="preserve">· Modulation of human glutathione S-transferases by botanically defined vegetable diets. PMID 10952095</w:t>
      </w:r>
    </w:p>
    <w:p>
      <w:pPr>
        <w:numPr>
          <w:ilvl w:val="0"/>
          <w:numId w:val="1414"/>
        </w:numPr>
        <w:pStyle w:val="Compact"/>
      </w:pPr>
      <w:r>
        <w:t xml:space="preserve">2000 · Polyak MM ·</w:t>
      </w:r>
      <w:r>
        <w:t xml:space="preserve"> </w:t>
      </w:r>
      <w:r>
        <w:rPr>
          <w:iCs/>
          <w:i/>
        </w:rPr>
        <w:t xml:space="preserve">Transplantation</w:t>
      </w:r>
      <w:r>
        <w:t xml:space="preserve"> </w:t>
      </w:r>
      <w:r>
        <w:t xml:space="preserve">· Glutathione supplementation during cold ischemia does not confer early functional advantage in renal transplantation. PMID 10919601</w:t>
      </w:r>
    </w:p>
    <w:p>
      <w:pPr>
        <w:numPr>
          <w:ilvl w:val="0"/>
          <w:numId w:val="1414"/>
        </w:numPr>
        <w:pStyle w:val="Compact"/>
      </w:pPr>
      <w:r>
        <w:t xml:space="preserve">2000 · Ortolani O ·</w:t>
      </w:r>
      <w:r>
        <w:t xml:space="preserve"> </w:t>
      </w:r>
      <w:r>
        <w:rPr>
          <w:iCs/>
          <w:i/>
        </w:rPr>
        <w:t xml:space="preserve">Am J Respir Crit Care Med</w:t>
      </w:r>
      <w:r>
        <w:t xml:space="preserve"> </w:t>
      </w:r>
      <w:r>
        <w:t xml:space="preserve">· The effect of glutathione and N-acetylcysteine on lipoperoxidative damage in patients with early septic shock. PMID 10852765</w:t>
      </w:r>
    </w:p>
    <w:p>
      <w:pPr>
        <w:numPr>
          <w:ilvl w:val="0"/>
          <w:numId w:val="1414"/>
        </w:numPr>
        <w:pStyle w:val="Compact"/>
      </w:pPr>
      <w:r>
        <w:t xml:space="preserve">2000 · Pendyala L ·</w:t>
      </w:r>
      <w:r>
        <w:t xml:space="preserve"> </w:t>
      </w:r>
      <w:r>
        <w:rPr>
          <w:iCs/>
          <w:i/>
        </w:rPr>
        <w:t xml:space="preserve">Clin Cancer Res</w:t>
      </w:r>
      <w:r>
        <w:t xml:space="preserve"> </w:t>
      </w:r>
      <w:r>
        <w:t xml:space="preserve">· Intravenous ifosfamide/mesna is associated with depletion of plasma thiols without depletion of leukocyte glutathione. PMID 10778956</w:t>
      </w:r>
    </w:p>
    <w:p>
      <w:pPr>
        <w:numPr>
          <w:ilvl w:val="0"/>
          <w:numId w:val="1414"/>
        </w:numPr>
        <w:pStyle w:val="Compact"/>
      </w:pPr>
      <w:r>
        <w:t xml:space="preserve">2000 · Jeevanandam M ·</w:t>
      </w:r>
      <w:r>
        <w:t xml:space="preserve"> </w:t>
      </w:r>
      <w:r>
        <w:rPr>
          <w:iCs/>
          <w:i/>
        </w:rPr>
        <w:t xml:space="preserve">Crit Care Med</w:t>
      </w:r>
      <w:r>
        <w:t xml:space="preserve"> </w:t>
      </w:r>
      <w:r>
        <w:t xml:space="preserve">· Altered plasma cytokines and total glutathione levels in parenterally fed critically ill trauma patients with adjuvant recombinant human growth hormone (rhGH) therapy. PMID 10708161</w:t>
      </w:r>
    </w:p>
    <w:p>
      <w:pPr>
        <w:numPr>
          <w:ilvl w:val="0"/>
          <w:numId w:val="1414"/>
        </w:numPr>
        <w:pStyle w:val="Compact"/>
      </w:pPr>
      <w:r>
        <w:t xml:space="preserve">1999 · Barbagallo M ·</w:t>
      </w:r>
      <w:r>
        <w:t xml:space="preserve"> </w:t>
      </w:r>
      <w:r>
        <w:rPr>
          <w:iCs/>
          <w:i/>
        </w:rPr>
        <w:t xml:space="preserve">Hypertension</w:t>
      </w:r>
      <w:r>
        <w:t xml:space="preserve"> </w:t>
      </w:r>
      <w:r>
        <w:t xml:space="preserve">· Effects of vitamin E and glutathione on glucose metabolism: role of magnesium. PMID 10523398</w:t>
      </w:r>
    </w:p>
    <w:p>
      <w:pPr>
        <w:numPr>
          <w:ilvl w:val="0"/>
          <w:numId w:val="1414"/>
        </w:numPr>
        <w:pStyle w:val="Compact"/>
      </w:pPr>
      <w:r>
        <w:t xml:space="preserve">1999 · Galli F ·</w:t>
      </w:r>
      <w:r>
        <w:t xml:space="preserve"> </w:t>
      </w:r>
      <w:r>
        <w:rPr>
          <w:iCs/>
          <w:i/>
        </w:rPr>
        <w:t xml:space="preserve">Clin Chem</w:t>
      </w:r>
      <w:r>
        <w:t xml:space="preserve"> </w:t>
      </w:r>
      <w:r>
        <w:t xml:space="preserve">· Overexpression of erythrocyte glutathione S-transferase in uremia and dialysis. PMID 10508125</w:t>
      </w:r>
    </w:p>
    <w:p>
      <w:pPr>
        <w:numPr>
          <w:ilvl w:val="0"/>
          <w:numId w:val="1414"/>
        </w:numPr>
        <w:pStyle w:val="Compact"/>
      </w:pPr>
      <w:r>
        <w:t xml:space="preserve">1998 · Apostolski S ·</w:t>
      </w:r>
      <w:r>
        <w:t xml:space="preserve"> </w:t>
      </w:r>
      <w:r>
        <w:rPr>
          <w:iCs/>
          <w:i/>
        </w:rPr>
        <w:t xml:space="preserve">J Environ Pathol Toxicol Oncol</w:t>
      </w:r>
      <w:r>
        <w:t xml:space="preserve"> </w:t>
      </w:r>
      <w:r>
        <w:t xml:space="preserve">· Glutathione peroxidase in amyotrophic lateral sclerosis: the effects of selenium supplementation. PMID 9726810</w:t>
      </w:r>
    </w:p>
    <w:p>
      <w:pPr>
        <w:numPr>
          <w:ilvl w:val="0"/>
          <w:numId w:val="1414"/>
        </w:numPr>
        <w:pStyle w:val="Compact"/>
      </w:pPr>
      <w:r>
        <w:t xml:space="preserve">1998 · De Mattia G ·</w:t>
      </w:r>
      <w:r>
        <w:t xml:space="preserve"> </w:t>
      </w:r>
      <w:r>
        <w:rPr>
          <w:iCs/>
          <w:i/>
        </w:rPr>
        <w:t xml:space="preserve">Metabolism</w:t>
      </w:r>
      <w:r>
        <w:t xml:space="preserve"> </w:t>
      </w:r>
      <w:r>
        <w:t xml:space="preserve">· Influence of reduced glutathione infusion on glucose metabolism in patients with non-insulin-dependent diabetes mellitus. PMID 9711998</w:t>
      </w:r>
    </w:p>
    <w:p>
      <w:pPr>
        <w:numPr>
          <w:ilvl w:val="0"/>
          <w:numId w:val="1414"/>
        </w:numPr>
        <w:pStyle w:val="Compact"/>
      </w:pPr>
      <w:r>
        <w:t xml:space="preserve">1998 · Cimino L ·</w:t>
      </w:r>
      <w:r>
        <w:t xml:space="preserve"> </w:t>
      </w:r>
      <w:r>
        <w:rPr>
          <w:iCs/>
          <w:i/>
        </w:rPr>
        <w:t xml:space="preserve">Ital J Gastroenterol Hepatol</w:t>
      </w:r>
      <w:r>
        <w:t xml:space="preserve"> </w:t>
      </w:r>
      <w:r>
        <w:t xml:space="preserve">· Effect of N-acetyl-cysteine on lymphomonocyte glutathione and response to interferon treatment in C-virus chronic hepatitis. PMID 9675657</w:t>
      </w:r>
    </w:p>
    <w:p>
      <w:pPr>
        <w:numPr>
          <w:ilvl w:val="0"/>
          <w:numId w:val="1414"/>
        </w:numPr>
        <w:pStyle w:val="Compact"/>
      </w:pPr>
      <w:r>
        <w:t xml:space="preserve">1998 · Bernhard MC ·</w:t>
      </w:r>
      <w:r>
        <w:t xml:space="preserve"> </w:t>
      </w:r>
      <w:r>
        <w:rPr>
          <w:iCs/>
          <w:i/>
        </w:rPr>
        <w:t xml:space="preserve">J Hepatol</w:t>
      </w:r>
      <w:r>
        <w:t xml:space="preserve"> </w:t>
      </w:r>
      <w:r>
        <w:t xml:space="preserve">· Time course of total cysteine, glutathione and homocysteine in plasma of patients with chronic hepatitis C treated with interferon-alpha with and without supplementation with N-acetylcysteine. PMID 9625308</w:t>
      </w:r>
    </w:p>
    <w:p>
      <w:pPr>
        <w:numPr>
          <w:ilvl w:val="0"/>
          <w:numId w:val="1414"/>
        </w:numPr>
        <w:pStyle w:val="Compact"/>
      </w:pPr>
      <w:r>
        <w:t xml:space="preserve">1997 · Clapper ML ·</w:t>
      </w:r>
      <w:r>
        <w:t xml:space="preserve"> </w:t>
      </w:r>
      <w:r>
        <w:rPr>
          <w:iCs/>
          <w:i/>
        </w:rPr>
        <w:t xml:space="preserve">Clin Cancer Res</w:t>
      </w:r>
      <w:r>
        <w:t xml:space="preserve"> </w:t>
      </w:r>
      <w:r>
        <w:t xml:space="preserve">· Preclinical and clinical evaluation of broccoli supplements as inducers of glutathione S-transferase activity. PMID 9815533</w:t>
      </w:r>
    </w:p>
    <w:p>
      <w:pPr>
        <w:numPr>
          <w:ilvl w:val="0"/>
          <w:numId w:val="1414"/>
        </w:numPr>
        <w:pStyle w:val="Compact"/>
      </w:pPr>
      <w:r>
        <w:t xml:space="preserve">1997 · Konukoğlu D ·</w:t>
      </w:r>
      <w:r>
        <w:t xml:space="preserve"> </w:t>
      </w:r>
      <w:r>
        <w:rPr>
          <w:iCs/>
          <w:i/>
        </w:rPr>
        <w:t xml:space="preserve">J Endocrinol Invest</w:t>
      </w:r>
      <w:r>
        <w:t xml:space="preserve"> </w:t>
      </w:r>
      <w:r>
        <w:t xml:space="preserve">· The erythrocyte glutathione levels during oral glucose tolerance test. PMID 9364250</w:t>
      </w:r>
    </w:p>
    <w:p>
      <w:pPr>
        <w:numPr>
          <w:ilvl w:val="0"/>
          <w:numId w:val="1414"/>
        </w:numPr>
        <w:pStyle w:val="Compact"/>
      </w:pPr>
      <w:r>
        <w:t xml:space="preserve">1997 · Herzenberg LA ·</w:t>
      </w:r>
      <w:r>
        <w:t xml:space="preserve"> </w:t>
      </w:r>
      <w:r>
        <w:rPr>
          <w:iCs/>
          <w:i/>
        </w:rPr>
        <w:t xml:space="preserve">Proc Natl Acad Sci U S A</w:t>
      </w:r>
      <w:r>
        <w:t xml:space="preserve"> </w:t>
      </w:r>
      <w:r>
        <w:t xml:space="preserve">· Glutathione deficiency is associated with impaired survival in HIV disease. PMID 9050888</w:t>
      </w:r>
    </w:p>
    <w:p>
      <w:pPr>
        <w:numPr>
          <w:ilvl w:val="0"/>
          <w:numId w:val="1414"/>
        </w:numPr>
        <w:pStyle w:val="Compact"/>
      </w:pPr>
      <w:r>
        <w:t xml:space="preserve">1996 · Sechi G ·</w:t>
      </w:r>
      <w:r>
        <w:t xml:space="preserve"> </w:t>
      </w:r>
      <w:r>
        <w:rPr>
          <w:iCs/>
          <w:i/>
        </w:rPr>
        <w:t xml:space="preserve">Prog Neuropsychopharmacol Biol Psychiatry</w:t>
      </w:r>
      <w:r>
        <w:t xml:space="preserve"> </w:t>
      </w:r>
      <w:r>
        <w:t xml:space="preserve">· Reduced intravenous glutathione in the treatment of early Parkinson’s disease. PMID 8938817</w:t>
      </w:r>
    </w:p>
    <w:p>
      <w:pPr>
        <w:numPr>
          <w:ilvl w:val="0"/>
          <w:numId w:val="1414"/>
        </w:numPr>
        <w:pStyle w:val="Compact"/>
      </w:pPr>
      <w:r>
        <w:t xml:space="preserve">1996 · Hu JJ ·</w:t>
      </w:r>
      <w:r>
        <w:t xml:space="preserve"> </w:t>
      </w:r>
      <w:r>
        <w:rPr>
          <w:iCs/>
          <w:i/>
        </w:rPr>
        <w:t xml:space="preserve">Cancer Epidemiol Biomarkers Prev</w:t>
      </w:r>
      <w:r>
        <w:t xml:space="preserve"> </w:t>
      </w:r>
      <w:r>
        <w:t xml:space="preserve">· Effects of dietary supplementation of alpha-tocopherol on plasma glutathione and DNA repair activities. PMID 8722217</w:t>
      </w:r>
    </w:p>
    <w:p>
      <w:pPr>
        <w:numPr>
          <w:ilvl w:val="0"/>
          <w:numId w:val="1414"/>
        </w:numPr>
        <w:pStyle w:val="Compact"/>
      </w:pPr>
      <w:r>
        <w:t xml:space="preserve">1996 · Delmas-Beauvieux MC ·</w:t>
      </w:r>
      <w:r>
        <w:t xml:space="preserve"> </w:t>
      </w:r>
      <w:r>
        <w:rPr>
          <w:iCs/>
          <w:i/>
        </w:rPr>
        <w:t xml:space="preserve">Am J Clin Nutr</w:t>
      </w:r>
      <w:r>
        <w:t xml:space="preserve"> </w:t>
      </w:r>
      <w:r>
        <w:t xml:space="preserve">· The enzymatic antioxidant system in blood and glutathione status in human immunodeficiency virus (HIV)-infected patients: effects of supplementation with selenium or beta-carotene. PMID 8669404</w:t>
      </w:r>
    </w:p>
    <w:p>
      <w:pPr>
        <w:numPr>
          <w:ilvl w:val="0"/>
          <w:numId w:val="1414"/>
        </w:numPr>
        <w:pStyle w:val="Compact"/>
      </w:pPr>
      <w:r>
        <w:t xml:space="preserve">1995 · Ramsay B ·</w:t>
      </w:r>
      <w:r>
        <w:t xml:space="preserve"> </w:t>
      </w:r>
      <w:r>
        <w:rPr>
          <w:iCs/>
          <w:i/>
        </w:rPr>
        <w:t xml:space="preserve">Br J Clin Pharmacol</w:t>
      </w:r>
      <w:r>
        <w:t xml:space="preserve"> </w:t>
      </w:r>
      <w:r>
        <w:t xml:space="preserve">· Systemic effects of S-nitroso-glutathione in the human following intravenous infusion. PMID 8527258</w:t>
      </w:r>
    </w:p>
    <w:p>
      <w:pPr>
        <w:numPr>
          <w:ilvl w:val="0"/>
          <w:numId w:val="1414"/>
        </w:numPr>
        <w:pStyle w:val="Compact"/>
      </w:pPr>
      <w:r>
        <w:t xml:space="preserve">1995 · Tessier F ·</w:t>
      </w:r>
      <w:r>
        <w:t xml:space="preserve"> </w:t>
      </w:r>
      <w:r>
        <w:rPr>
          <w:iCs/>
          <w:i/>
        </w:rPr>
        <w:t xml:space="preserve">Med Sci Sports Exerc</w:t>
      </w:r>
      <w:r>
        <w:t xml:space="preserve"> </w:t>
      </w:r>
      <w:r>
        <w:t xml:space="preserve">· Selenium and training effects on the glutathione system and aerobic performance. PMID 7752866</w:t>
      </w:r>
    </w:p>
    <w:p>
      <w:pPr>
        <w:numPr>
          <w:ilvl w:val="0"/>
          <w:numId w:val="1414"/>
        </w:numPr>
        <w:pStyle w:val="Compact"/>
      </w:pPr>
      <w:r>
        <w:t xml:space="preserve">1994 · Bailey HH ·</w:t>
      </w:r>
      <w:r>
        <w:t xml:space="preserve"> </w:t>
      </w:r>
      <w:r>
        <w:rPr>
          <w:iCs/>
          <w:i/>
        </w:rPr>
        <w:t xml:space="preserve">J Clin Oncol</w:t>
      </w:r>
      <w:r>
        <w:t xml:space="preserve"> </w:t>
      </w:r>
      <w:r>
        <w:t xml:space="preserve">· Phase I clinical trial of intravenous L-buthionine sulfoximine and melphalan: an attempt at modulation of glutathione. PMID 8270977</w:t>
      </w:r>
    </w:p>
    <w:p>
      <w:pPr>
        <w:numPr>
          <w:ilvl w:val="0"/>
          <w:numId w:val="1414"/>
        </w:numPr>
        <w:pStyle w:val="Compact"/>
      </w:pPr>
      <w:r>
        <w:t xml:space="preserve">1994 · Meyer A ·</w:t>
      </w:r>
      <w:r>
        <w:t xml:space="preserve"> </w:t>
      </w:r>
      <w:r>
        <w:rPr>
          <w:iCs/>
          <w:i/>
        </w:rPr>
        <w:t xml:space="preserve">Eur Respir J</w:t>
      </w:r>
      <w:r>
        <w:t xml:space="preserve"> </w:t>
      </w:r>
      <w:r>
        <w:t xml:space="preserve">· The effect of oral N-acetylcysteine on lung glutathione levels in idiopathic pulmonary fibrosis. PMID 8013597</w:t>
      </w:r>
    </w:p>
    <w:p>
      <w:pPr>
        <w:numPr>
          <w:ilvl w:val="0"/>
          <w:numId w:val="1414"/>
        </w:numPr>
        <w:pStyle w:val="Compact"/>
      </w:pPr>
      <w:r>
        <w:t xml:space="preserve">1994 · Plaxe S ·</w:t>
      </w:r>
      <w:r>
        <w:t xml:space="preserve"> </w:t>
      </w:r>
      <w:r>
        <w:rPr>
          <w:iCs/>
          <w:i/>
        </w:rPr>
        <w:t xml:space="preserve">Gynecol Oncol</w:t>
      </w:r>
      <w:r>
        <w:t xml:space="preserve"> </w:t>
      </w:r>
      <w:r>
        <w:t xml:space="preserve">· Phase I trial of cisplatin in combination with glutathione. PMID 7959273</w:t>
      </w:r>
    </w:p>
    <w:p>
      <w:pPr>
        <w:numPr>
          <w:ilvl w:val="0"/>
          <w:numId w:val="1414"/>
        </w:numPr>
        <w:pStyle w:val="Compact"/>
      </w:pPr>
      <w:r>
        <w:t xml:space="preserve">1994 · Kinscherf R ·</w:t>
      </w:r>
      <w:r>
        <w:t xml:space="preserve"> </w:t>
      </w:r>
      <w:r>
        <w:rPr>
          <w:iCs/>
          <w:i/>
        </w:rPr>
        <w:t xml:space="preserve">FASEB J</w:t>
      </w:r>
      <w:r>
        <w:t xml:space="preserve"> </w:t>
      </w:r>
      <w:r>
        <w:t xml:space="preserve">· Effect of glutathione depletion and oral N-acetyl-cysteine treatment on CD4+ and CD8+ cells. PMID 7909525</w:t>
      </w:r>
    </w:p>
    <w:p>
      <w:pPr>
        <w:numPr>
          <w:ilvl w:val="0"/>
          <w:numId w:val="1414"/>
        </w:numPr>
        <w:pStyle w:val="Compact"/>
      </w:pPr>
      <w:r>
        <w:t xml:space="preserve">1993 · Thomson CD ·</w:t>
      </w:r>
      <w:r>
        <w:t xml:space="preserve"> </w:t>
      </w:r>
      <w:r>
        <w:rPr>
          <w:iCs/>
          <w:i/>
        </w:rPr>
        <w:t xml:space="preserve">Br J Nutr</w:t>
      </w:r>
      <w:r>
        <w:t xml:space="preserve"> </w:t>
      </w:r>
      <w:r>
        <w:t xml:space="preserve">· Long-term supplementation with selenate and selenomethionine: selenium and glutathione peroxidase (EC 1.11.1.9) in blood components of New Zealand women. PMID 8490010</w:t>
      </w:r>
    </w:p>
    <w:p>
      <w:pPr>
        <w:numPr>
          <w:ilvl w:val="0"/>
          <w:numId w:val="1414"/>
        </w:numPr>
        <w:pStyle w:val="Compact"/>
      </w:pPr>
      <w:r>
        <w:t xml:space="preserve">1993 · Johnston CS ·</w:t>
      </w:r>
      <w:r>
        <w:t xml:space="preserve"> </w:t>
      </w:r>
      <w:r>
        <w:rPr>
          <w:iCs/>
          <w:i/>
        </w:rPr>
        <w:t xml:space="preserve">Am J Clin Nutr</w:t>
      </w:r>
      <w:r>
        <w:t xml:space="preserve"> </w:t>
      </w:r>
      <w:r>
        <w:t xml:space="preserve">· Vitamin C elevates red blood cell glutathione in healthy adults. PMID 8317379</w:t>
      </w:r>
    </w:p>
    <w:p>
      <w:pPr>
        <w:numPr>
          <w:ilvl w:val="0"/>
          <w:numId w:val="1414"/>
        </w:numPr>
        <w:pStyle w:val="Compact"/>
      </w:pPr>
      <w:r>
        <w:t xml:space="preserve">1993 · Jendryczko A ·</w:t>
      </w:r>
      <w:r>
        <w:t xml:space="preserve"> </w:t>
      </w:r>
      <w:r>
        <w:rPr>
          <w:iCs/>
          <w:i/>
        </w:rPr>
        <w:t xml:space="preserve">Zentralbl Gynakol</w:t>
      </w:r>
      <w:r>
        <w:t xml:space="preserve"> </w:t>
      </w:r>
      <w:r>
        <w:t xml:space="preserve">· Effects of two low-dose oral contraceptives on erythrocyte superoxide dismutase, catalase and glutathione peroxidase activities. PMID 8296490</w:t>
      </w:r>
    </w:p>
    <w:p>
      <w:pPr>
        <w:numPr>
          <w:ilvl w:val="0"/>
          <w:numId w:val="1414"/>
        </w:numPr>
        <w:pStyle w:val="Compact"/>
      </w:pPr>
      <w:r>
        <w:t xml:space="preserve">1993 · Suthutvoravut U ·</w:t>
      </w:r>
      <w:r>
        <w:t xml:space="preserve"> </w:t>
      </w:r>
      <w:r>
        <w:rPr>
          <w:iCs/>
          <w:i/>
        </w:rPr>
        <w:t xml:space="preserve">J Med Assoc Thai</w:t>
      </w:r>
      <w:r>
        <w:t xml:space="preserve"> </w:t>
      </w:r>
      <w:r>
        <w:t xml:space="preserve">· Vitamin E status, glutathione peroxidase activity and the effect of vitamin E supplementation in children with thalassemia. PMID 7822984</w:t>
      </w:r>
    </w:p>
    <w:p>
      <w:pPr>
        <w:numPr>
          <w:ilvl w:val="0"/>
          <w:numId w:val="1414"/>
        </w:numPr>
        <w:pStyle w:val="Compact"/>
      </w:pPr>
      <w:r>
        <w:t xml:space="preserve">1992 · Costagliola C ·</w:t>
      </w:r>
      <w:r>
        <w:t xml:space="preserve"> </w:t>
      </w:r>
      <w:r>
        <w:rPr>
          <w:iCs/>
          <w:i/>
        </w:rPr>
        <w:t xml:space="preserve">Nephron</w:t>
      </w:r>
      <w:r>
        <w:t xml:space="preserve"> </w:t>
      </w:r>
      <w:r>
        <w:t xml:space="preserve">· Anemia and chronic renal failure: a therapeutical approach by reduced glutathione parenteral administration. PMID 1501736</w:t>
      </w:r>
    </w:p>
    <w:p>
      <w:pPr>
        <w:numPr>
          <w:ilvl w:val="0"/>
          <w:numId w:val="1414"/>
        </w:numPr>
        <w:pStyle w:val="Compact"/>
      </w:pPr>
      <w:r>
        <w:t xml:space="preserve">1992 · Ortolani O ·</w:t>
      </w:r>
      <w:r>
        <w:t xml:space="preserve"> </w:t>
      </w:r>
      <w:r>
        <w:rPr>
          <w:iCs/>
          <w:i/>
        </w:rPr>
        <w:t xml:space="preserve">Boll Soc Ital Biol Sper</w:t>
      </w:r>
      <w:r>
        <w:t xml:space="preserve"> </w:t>
      </w:r>
      <w:r>
        <w:t xml:space="preserve">· [Usefulness of the prevention of oxygen radical damage in the critical patient using the parenteral administration of reduced glutathione in high doses]. PMID 1463596</w:t>
      </w:r>
    </w:p>
    <w:p>
      <w:pPr>
        <w:numPr>
          <w:ilvl w:val="0"/>
          <w:numId w:val="1414"/>
        </w:numPr>
        <w:pStyle w:val="Compact"/>
      </w:pPr>
      <w:r>
        <w:t xml:space="preserve">1990 · Corbucci GG ·</w:t>
      </w:r>
      <w:r>
        <w:t xml:space="preserve"> </w:t>
      </w:r>
      <w:r>
        <w:rPr>
          <w:iCs/>
          <w:i/>
        </w:rPr>
        <w:t xml:space="preserve">Int J Clin Pharmacol Res</w:t>
      </w:r>
      <w:r>
        <w:t xml:space="preserve"> </w:t>
      </w:r>
      <w:r>
        <w:t xml:space="preserve">· The role of reduced glutathione during the course of acute haemolysis in glucose-6-phosphate dehydrogenase deficient patients: clinical and pharmacodynamic aspects. PMID 1981880</w:t>
      </w:r>
    </w:p>
    <w:p>
      <w:pPr>
        <w:numPr>
          <w:ilvl w:val="0"/>
          <w:numId w:val="1414"/>
        </w:numPr>
        <w:pStyle w:val="Compact"/>
      </w:pPr>
      <w:r>
        <w:t xml:space="preserve">1989 · Vendemiale G ·</w:t>
      </w:r>
      <w:r>
        <w:t xml:space="preserve"> </w:t>
      </w:r>
      <w:r>
        <w:rPr>
          <w:iCs/>
          <w:i/>
        </w:rPr>
        <w:t xml:space="preserve">Scand J Gastroenterol</w:t>
      </w:r>
      <w:r>
        <w:t xml:space="preserve"> </w:t>
      </w:r>
      <w:r>
        <w:t xml:space="preserve">· Effects of oral S-adenosyl-L-methionine on hepatic glutathione in patients with liver disease. PMID 2781235</w:t>
      </w:r>
    </w:p>
    <w:p>
      <w:pPr>
        <w:numPr>
          <w:ilvl w:val="0"/>
          <w:numId w:val="1414"/>
        </w:numPr>
        <w:pStyle w:val="Compact"/>
      </w:pPr>
      <w:r>
        <w:t xml:space="preserve">1988 · Thomson CD ·</w:t>
      </w:r>
      <w:r>
        <w:t xml:space="preserve"> </w:t>
      </w:r>
      <w:r>
        <w:rPr>
          <w:iCs/>
          <w:i/>
        </w:rPr>
        <w:t xml:space="preserve">Am J Clin Nutr</w:t>
      </w:r>
      <w:r>
        <w:t xml:space="preserve"> </w:t>
      </w:r>
      <w:r>
        <w:t xml:space="preserve">· Selenium and vitamin E supplementation: activities of glutathione peroxidase in human tissues. PMID 3407611</w:t>
      </w:r>
    </w:p>
    <w:p>
      <w:pPr>
        <w:numPr>
          <w:ilvl w:val="0"/>
          <w:numId w:val="1414"/>
        </w:numPr>
        <w:pStyle w:val="Compact"/>
      </w:pPr>
      <w:r>
        <w:t xml:space="preserve">1988 · Nève J ·</w:t>
      </w:r>
      <w:r>
        <w:t xml:space="preserve"> </w:t>
      </w:r>
      <w:r>
        <w:rPr>
          <w:iCs/>
          <w:i/>
        </w:rPr>
        <w:t xml:space="preserve">Am J Clin Nutr</w:t>
      </w:r>
      <w:r>
        <w:t xml:space="preserve"> </w:t>
      </w:r>
      <w:r>
        <w:t xml:space="preserve">· Selenium supplementation in healthy Belgian adults: response in platelet glutathione peroxidase activity and other blood indices. PMID 3389320</w:t>
      </w:r>
    </w:p>
    <w:p>
      <w:pPr>
        <w:numPr>
          <w:ilvl w:val="0"/>
          <w:numId w:val="1414"/>
        </w:numPr>
        <w:pStyle w:val="Compact"/>
      </w:pPr>
      <w:r>
        <w:t xml:space="preserve">1988 · Thomson CD ·</w:t>
      </w:r>
      <w:r>
        <w:t xml:space="preserve"> </w:t>
      </w:r>
      <w:r>
        <w:rPr>
          <w:iCs/>
          <w:i/>
        </w:rPr>
        <w:t xml:space="preserve">Biochem Int</w:t>
      </w:r>
      <w:r>
        <w:t xml:space="preserve"> </w:t>
      </w:r>
      <w:r>
        <w:t xml:space="preserve">· The absence of adaptive changes in tissue activities of glutathione-S-transferase, superoxide dismutase and catalase following selenium and vitamin E supplementation in subjects with low selenium status. PMID 3355578</w:t>
      </w:r>
    </w:p>
    <w:p>
      <w:pPr>
        <w:numPr>
          <w:ilvl w:val="0"/>
          <w:numId w:val="1414"/>
        </w:numPr>
        <w:pStyle w:val="Compact"/>
      </w:pPr>
      <w:r>
        <w:t xml:space="preserve">1988 · Clausen J ·</w:t>
      </w:r>
      <w:r>
        <w:t xml:space="preserve"> </w:t>
      </w:r>
      <w:r>
        <w:rPr>
          <w:iCs/>
          <w:i/>
        </w:rPr>
        <w:t xml:space="preserve">Biol Trace Elem Res</w:t>
      </w:r>
      <w:r>
        <w:t xml:space="preserve"> </w:t>
      </w:r>
      <w:r>
        <w:t xml:space="preserve">· Comparison of whole blood selenium values and erythrocyte glutathione peroxidase activities of normal individuals on supplementation with selenate, selenite, L-selenomethionine, and high selenium yeast. PMID 2484510</w:t>
      </w:r>
    </w:p>
    <w:p>
      <w:pPr>
        <w:numPr>
          <w:ilvl w:val="0"/>
          <w:numId w:val="1414"/>
        </w:numPr>
        <w:pStyle w:val="Compact"/>
      </w:pPr>
      <w:r>
        <w:t xml:space="preserve">1985 · Batist G ·</w:t>
      </w:r>
      <w:r>
        <w:t xml:space="preserve"> </w:t>
      </w:r>
      <w:r>
        <w:rPr>
          <w:iCs/>
          <w:i/>
        </w:rPr>
        <w:t xml:space="preserve">Cancer Res</w:t>
      </w:r>
      <w:r>
        <w:t xml:space="preserve"> </w:t>
      </w:r>
      <w:r>
        <w:t xml:space="preserve">· Cardiac and red blood cell glutathione peroxidase: results of a prospective randomized trial in patients on total parenteral nutrition. PMID 3931910</w:t>
      </w:r>
    </w:p>
    <w:p>
      <w:pPr>
        <w:numPr>
          <w:ilvl w:val="0"/>
          <w:numId w:val="1414"/>
        </w:numPr>
        <w:pStyle w:val="Compact"/>
      </w:pPr>
      <w:r>
        <w:t xml:space="preserve">1984 · Sundström H ·</w:t>
      </w:r>
      <w:r>
        <w:t xml:space="preserve"> </w:t>
      </w:r>
      <w:r>
        <w:rPr>
          <w:iCs/>
          <w:i/>
        </w:rPr>
        <w:t xml:space="preserve">Cancer Lett</w:t>
      </w:r>
      <w:r>
        <w:t xml:space="preserve"> </w:t>
      </w:r>
      <w:r>
        <w:t xml:space="preserve">· Serum selenium and glutathione peroxidase, and plasma lipid peroxides in uterine, ovarian or vulvar cancer, and their responses to antioxidants in patients with ovarian cancer. PMID 6498792</w:t>
      </w:r>
    </w:p>
    <w:bookmarkEnd w:id="3056"/>
    <w:bookmarkStart w:id="3057" w:name="bremelanotida-pt-141-16"/>
    <w:p>
      <w:pPr>
        <w:pStyle w:val="Heading2"/>
      </w:pPr>
      <w:r>
        <w:t xml:space="preserve">Bremelanotida (PT-141) (16)</w:t>
      </w:r>
    </w:p>
    <w:p>
      <w:pPr>
        <w:numPr>
          <w:ilvl w:val="0"/>
          <w:numId w:val="1415"/>
        </w:numPr>
        <w:pStyle w:val="Compact"/>
      </w:pPr>
      <w:r>
        <w:t xml:space="preserve">2022 · Simon JA ·</w:t>
      </w:r>
      <w:r>
        <w:t xml:space="preserve"> </w:t>
      </w:r>
      <w:r>
        <w:rPr>
          <w:iCs/>
          <w:i/>
        </w:rPr>
        <w:t xml:space="preserve">J Womens Health (Larchmt)</w:t>
      </w:r>
      <w:r>
        <w:t xml:space="preserve"> </w:t>
      </w:r>
      <w:r>
        <w:t xml:space="preserve">· Prespecified and Integrated Subgroup Analyses from the RECONNECT Phase 3 Studies of Bremelanotide. PMID 35230162</w:t>
      </w:r>
    </w:p>
    <w:p>
      <w:pPr>
        <w:numPr>
          <w:ilvl w:val="0"/>
          <w:numId w:val="1415"/>
        </w:numPr>
        <w:pStyle w:val="Compact"/>
      </w:pPr>
      <w:r>
        <w:t xml:space="preserve">2022 · Clayton AH ·</w:t>
      </w:r>
      <w:r>
        <w:t xml:space="preserve"> </w:t>
      </w:r>
      <w:r>
        <w:rPr>
          <w:iCs/>
          <w:i/>
        </w:rPr>
        <w:t xml:space="preserve">J Womens Health (Larchmt)</w:t>
      </w:r>
      <w:r>
        <w:t xml:space="preserve"> </w:t>
      </w:r>
      <w:r>
        <w:t xml:space="preserve">· Safety Profile of Bremelanotide Across the Clinical Development Program. PMID 35147466</w:t>
      </w:r>
    </w:p>
    <w:p>
      <w:pPr>
        <w:numPr>
          <w:ilvl w:val="0"/>
          <w:numId w:val="1415"/>
        </w:numPr>
        <w:pStyle w:val="Compact"/>
      </w:pPr>
      <w:r>
        <w:t xml:space="preserve">2021 · Koochaki P ·</w:t>
      </w:r>
      <w:r>
        <w:t xml:space="preserve"> </w:t>
      </w:r>
      <w:r>
        <w:rPr>
          <w:iCs/>
          <w:i/>
        </w:rPr>
        <w:t xml:space="preserve">J Womens Health (Larchmt)</w:t>
      </w:r>
      <w:r>
        <w:t xml:space="preserve"> </w:t>
      </w:r>
      <w:r>
        <w:t xml:space="preserve">· The Patient Experience of Premenopausal Women Treated with Bremelanotide for Hypoactive Sexual Desire Disorder: RECONNECT Exit Study Results. PMID 33538638</w:t>
      </w:r>
    </w:p>
    <w:p>
      <w:pPr>
        <w:numPr>
          <w:ilvl w:val="0"/>
          <w:numId w:val="1415"/>
        </w:numPr>
        <w:pStyle w:val="Compact"/>
      </w:pPr>
      <w:r>
        <w:t xml:space="preserve">2019 · Kingsberg SA ·</w:t>
      </w:r>
      <w:r>
        <w:t xml:space="preserve"> </w:t>
      </w:r>
      <w:r>
        <w:rPr>
          <w:iCs/>
          <w:i/>
        </w:rPr>
        <w:t xml:space="preserve">Obstet Gynecol</w:t>
      </w:r>
      <w:r>
        <w:t xml:space="preserve"> </w:t>
      </w:r>
      <w:r>
        <w:t xml:space="preserve">· Bremelanotide for the Treatment of Hypoactive Sexual Desire Disorder: Two Randomized Phase 3 Trials. PMID 31599840</w:t>
      </w:r>
    </w:p>
    <w:p>
      <w:pPr>
        <w:numPr>
          <w:ilvl w:val="0"/>
          <w:numId w:val="1415"/>
        </w:numPr>
        <w:pStyle w:val="Compact"/>
      </w:pPr>
      <w:r>
        <w:t xml:space="preserve">2019 · Althof S ·</w:t>
      </w:r>
      <w:r>
        <w:t xml:space="preserve"> </w:t>
      </w:r>
      <w:r>
        <w:rPr>
          <w:iCs/>
          <w:i/>
        </w:rPr>
        <w:t xml:space="preserve">J Sex Med</w:t>
      </w:r>
      <w:r>
        <w:t xml:space="preserve"> </w:t>
      </w:r>
      <w:r>
        <w:t xml:space="preserve">· Responder Analyses from a Phase 2b Dose-Ranging Study of Bremelanotide. PMID 31277966</w:t>
      </w:r>
    </w:p>
    <w:p>
      <w:pPr>
        <w:numPr>
          <w:ilvl w:val="0"/>
          <w:numId w:val="1415"/>
        </w:numPr>
        <w:pStyle w:val="Compact"/>
      </w:pPr>
      <w:r>
        <w:t xml:space="preserve">2017 · Clayton AH ·</w:t>
      </w:r>
      <w:r>
        <w:t xml:space="preserve"> </w:t>
      </w:r>
      <w:r>
        <w:rPr>
          <w:iCs/>
          <w:i/>
        </w:rPr>
        <w:t xml:space="preserve">Clin Ther</w:t>
      </w:r>
      <w:r>
        <w:t xml:space="preserve"> </w:t>
      </w:r>
      <w:r>
        <w:t xml:space="preserve">· Phase I Randomized Placebo-controlled, Double-blind Study of the Safety and Tolerability of Bremelanotide Coadministered With Ethanol in Healthy Male and Female Participants. PMID 28189361</w:t>
      </w:r>
    </w:p>
    <w:p>
      <w:pPr>
        <w:numPr>
          <w:ilvl w:val="0"/>
          <w:numId w:val="1415"/>
        </w:numPr>
        <w:pStyle w:val="Compact"/>
      </w:pPr>
      <w:r>
        <w:t xml:space="preserve">2017 · White WB ·</w:t>
      </w:r>
      <w:r>
        <w:t xml:space="preserve"> </w:t>
      </w:r>
      <w:r>
        <w:rPr>
          <w:iCs/>
          <w:i/>
        </w:rPr>
        <w:t xml:space="preserve">J Hypertens</w:t>
      </w:r>
      <w:r>
        <w:t xml:space="preserve"> </w:t>
      </w:r>
      <w:r>
        <w:t xml:space="preserve">· Usefulness of ambulatory blood pressure monitoring to assess the melanocortin receptor agonist bremelanotide. PMID 27977473</w:t>
      </w:r>
    </w:p>
    <w:p>
      <w:pPr>
        <w:numPr>
          <w:ilvl w:val="0"/>
          <w:numId w:val="1415"/>
        </w:numPr>
        <w:pStyle w:val="Compact"/>
      </w:pPr>
      <w:r>
        <w:t xml:space="preserve">2016 · Clayton AH ·</w:t>
      </w:r>
      <w:r>
        <w:t xml:space="preserve"> </w:t>
      </w:r>
      <w:r>
        <w:rPr>
          <w:iCs/>
          <w:i/>
        </w:rPr>
        <w:t xml:space="preserve">Womens Health (Lond)</w:t>
      </w:r>
      <w:r>
        <w:t xml:space="preserve"> </w:t>
      </w:r>
      <w:r>
        <w:t xml:space="preserve">· Bremelanotide for female sexual dysfunctions in premenopausal women: a randomized, placebo-controlled dose-finding trial. PMID 27181790</w:t>
      </w:r>
    </w:p>
    <w:p>
      <w:pPr>
        <w:numPr>
          <w:ilvl w:val="0"/>
          <w:numId w:val="1415"/>
        </w:numPr>
        <w:pStyle w:val="Compact"/>
      </w:pPr>
      <w:r>
        <w:t xml:space="preserve">2008 · Safarinejad MR ·</w:t>
      </w:r>
      <w:r>
        <w:t xml:space="preserve"> </w:t>
      </w:r>
      <w:r>
        <w:rPr>
          <w:iCs/>
          <w:i/>
        </w:rPr>
        <w:t xml:space="preserve">J Urol</w:t>
      </w:r>
      <w:r>
        <w:t xml:space="preserve"> </w:t>
      </w:r>
      <w:r>
        <w:t xml:space="preserve">· Salvage of sildenafil failures with bremelanotide: a randomized, double-blind, placebo controlled study. PMID 18206919</w:t>
      </w:r>
    </w:p>
    <w:p>
      <w:pPr>
        <w:numPr>
          <w:ilvl w:val="0"/>
          <w:numId w:val="1415"/>
        </w:numPr>
        <w:pStyle w:val="Compact"/>
      </w:pPr>
      <w:r>
        <w:t xml:space="preserve">2008 · Safarinejad MR ·</w:t>
      </w:r>
      <w:r>
        <w:t xml:space="preserve"> </w:t>
      </w:r>
      <w:r>
        <w:rPr>
          <w:iCs/>
          <w:i/>
        </w:rPr>
        <w:t xml:space="preserve">J Sex Med</w:t>
      </w:r>
      <w:r>
        <w:t xml:space="preserve"> </w:t>
      </w:r>
      <w:r>
        <w:t xml:space="preserve">· RETRACTED: Evaluation of the safety and efficacy of bremelanotide, a melanocortin receptor agonist, in female subjects with arousal disorder: a double-blind placebo-controlled, fixed dose, randomized study. PMID 18179455</w:t>
      </w:r>
    </w:p>
    <w:p>
      <w:pPr>
        <w:numPr>
          <w:ilvl w:val="0"/>
          <w:numId w:val="1415"/>
        </w:numPr>
        <w:pStyle w:val="Compact"/>
      </w:pPr>
      <w:r>
        <w:t xml:space="preserve">2006 · Diamond LE ·</w:t>
      </w:r>
      <w:r>
        <w:t xml:space="preserve"> </w:t>
      </w:r>
      <w:r>
        <w:rPr>
          <w:iCs/>
          <w:i/>
        </w:rPr>
        <w:t xml:space="preserve">J Sex Med</w:t>
      </w:r>
      <w:r>
        <w:t xml:space="preserve"> </w:t>
      </w:r>
      <w:r>
        <w:t xml:space="preserve">· An effect on the subjective sexual response in premenopausal women with sexual arousal disorder by bremelanotide (PT-141), a melanocortin receptor agonist. PMID 16839319</w:t>
      </w:r>
    </w:p>
    <w:p>
      <w:pPr>
        <w:numPr>
          <w:ilvl w:val="0"/>
          <w:numId w:val="1415"/>
        </w:numPr>
        <w:pStyle w:val="Compact"/>
      </w:pPr>
      <w:r>
        <w:t xml:space="preserve">2005 · Diamond LE ·</w:t>
      </w:r>
      <w:r>
        <w:t xml:space="preserve"> </w:t>
      </w:r>
      <w:r>
        <w:rPr>
          <w:iCs/>
          <w:i/>
        </w:rPr>
        <w:t xml:space="preserve">Urology</w:t>
      </w:r>
      <w:r>
        <w:t xml:space="preserve"> </w:t>
      </w:r>
      <w:r>
        <w:t xml:space="preserve">· Co-administration of low doses of intranasal PT-141, a melanocortin receptor agonist, and sildenafil to men with erectile dysfunction results in an enhanced erectile response. PMID 15833522</w:t>
      </w:r>
    </w:p>
    <w:p>
      <w:pPr>
        <w:numPr>
          <w:ilvl w:val="0"/>
          <w:numId w:val="1415"/>
        </w:numPr>
        <w:pStyle w:val="Compact"/>
      </w:pPr>
      <w:r>
        <w:t xml:space="preserve">2004 · Bayés M ·</w:t>
      </w:r>
      <w:r>
        <w:t xml:space="preserve"> </w:t>
      </w:r>
      <w:r>
        <w:rPr>
          <w:iCs/>
          <w:i/>
        </w:rPr>
        <w:t xml:space="preserve">Methods Find Exp Clin Pharmacol</w:t>
      </w:r>
      <w:r>
        <w:t xml:space="preserve"> </w:t>
      </w:r>
      <w:r>
        <w:t xml:space="preserve">· Gateways to clinical trials. PMID 15672123</w:t>
      </w:r>
    </w:p>
    <w:p>
      <w:pPr>
        <w:numPr>
          <w:ilvl w:val="0"/>
          <w:numId w:val="1415"/>
        </w:numPr>
        <w:pStyle w:val="Compact"/>
      </w:pPr>
      <w:r>
        <w:t xml:space="preserve">2004 · Rosen RC ·</w:t>
      </w:r>
      <w:r>
        <w:t xml:space="preserve"> </w:t>
      </w:r>
      <w:r>
        <w:rPr>
          <w:iCs/>
          <w:i/>
        </w:rPr>
        <w:t xml:space="preserve">Int J Impot Res</w:t>
      </w:r>
      <w:r>
        <w:t xml:space="preserve"> </w:t>
      </w:r>
      <w:r>
        <w:t xml:space="preserve">· Evaluation of the safety, pharmacokinetics and pharmacodynamic effects of subcutaneously administered PT-141, a melanocortin receptor agonist, in healthy male subjects and in patients with an inadequate response to Viagra. PMID 14999221</w:t>
      </w:r>
    </w:p>
    <w:p>
      <w:pPr>
        <w:numPr>
          <w:ilvl w:val="0"/>
          <w:numId w:val="1415"/>
        </w:numPr>
        <w:pStyle w:val="Compact"/>
      </w:pPr>
      <w:r>
        <w:t xml:space="preserve">2004 · Diamond LE ·</w:t>
      </w:r>
      <w:r>
        <w:t xml:space="preserve"> </w:t>
      </w:r>
      <w:r>
        <w:rPr>
          <w:iCs/>
          <w:i/>
        </w:rPr>
        <w:t xml:space="preserve">Int J Impot Res</w:t>
      </w:r>
      <w:r>
        <w:t xml:space="preserve"> </w:t>
      </w:r>
      <w:r>
        <w:t xml:space="preserve">· Double-blind, placebo-controlled evaluation of the safety, pharmacokinetic properties and pharmacodynamic effects of intranasal PT-141, a melanocortin receptor agonist, in healthy males and patients with mild-to-moderate erectile dysfunction. PMID 14963471</w:t>
      </w:r>
    </w:p>
    <w:p>
      <w:pPr>
        <w:numPr>
          <w:ilvl w:val="0"/>
          <w:numId w:val="1415"/>
        </w:numPr>
        <w:pStyle w:val="Compact"/>
      </w:pPr>
      <w:r>
        <w:t xml:space="preserve">2003 · Molinoff PB ·</w:t>
      </w:r>
      <w:r>
        <w:t xml:space="preserve"> </w:t>
      </w:r>
      <w:r>
        <w:rPr>
          <w:iCs/>
          <w:i/>
        </w:rPr>
        <w:t xml:space="preserve">Ann N Y Acad Sci</w:t>
      </w:r>
      <w:r>
        <w:t xml:space="preserve"> </w:t>
      </w:r>
      <w:r>
        <w:t xml:space="preserve">· PT-141: a melanocortin agonist for the treatment of sexual dysfunction. PMID 12851303</w:t>
      </w:r>
    </w:p>
    <w:bookmarkEnd w:id="3057"/>
    <w:bookmarkStart w:id="3058" w:name="melanotan-ii-8"/>
    <w:p>
      <w:pPr>
        <w:pStyle w:val="Heading2"/>
      </w:pPr>
      <w:r>
        <w:t xml:space="preserve">Melanotan II (8)</w:t>
      </w:r>
    </w:p>
    <w:p>
      <w:pPr>
        <w:numPr>
          <w:ilvl w:val="0"/>
          <w:numId w:val="1416"/>
        </w:numPr>
        <w:pStyle w:val="Compact"/>
      </w:pPr>
      <w:r>
        <w:t xml:space="preserve">2006 · Fitzgerald LM ·</w:t>
      </w:r>
      <w:r>
        <w:t xml:space="preserve"> </w:t>
      </w:r>
      <w:r>
        <w:rPr>
          <w:iCs/>
          <w:i/>
        </w:rPr>
        <w:t xml:space="preserve">Peptides</w:t>
      </w:r>
      <w:r>
        <w:t xml:space="preserve"> </w:t>
      </w:r>
      <w:r>
        <w:t xml:space="preserve">· Effect of MELANOTAN, [Nle(4), D-Phe(7)]-alpha-MSH, on melanin synthesis in humans with MC1R variant alleles. PMID 16293341</w:t>
      </w:r>
    </w:p>
    <w:p>
      <w:pPr>
        <w:numPr>
          <w:ilvl w:val="0"/>
          <w:numId w:val="1416"/>
        </w:numPr>
        <w:pStyle w:val="Compact"/>
      </w:pPr>
      <w:r>
        <w:t xml:space="preserve">2004 · Dorr RT ·</w:t>
      </w:r>
      <w:r>
        <w:t xml:space="preserve"> </w:t>
      </w:r>
      <w:r>
        <w:rPr>
          <w:iCs/>
          <w:i/>
        </w:rPr>
        <w:t xml:space="preserve">Arch Dermatol</w:t>
      </w:r>
      <w:r>
        <w:t xml:space="preserve"> </w:t>
      </w:r>
      <w:r>
        <w:t xml:space="preserve">· Effects of a superpotent melanotropic peptide in combination with solar UV radiation on tanning of the skin in human volunteers. PMID 15262693</w:t>
      </w:r>
    </w:p>
    <w:p>
      <w:pPr>
        <w:numPr>
          <w:ilvl w:val="0"/>
          <w:numId w:val="1416"/>
        </w:numPr>
        <w:pStyle w:val="Compact"/>
      </w:pPr>
      <w:r>
        <w:t xml:space="preserve">2000 · Dorr RT ·</w:t>
      </w:r>
      <w:r>
        <w:t xml:space="preserve"> </w:t>
      </w:r>
      <w:r>
        <w:rPr>
          <w:iCs/>
          <w:i/>
        </w:rPr>
        <w:t xml:space="preserve">Photochem Photobiol</w:t>
      </w:r>
      <w:r>
        <w:t xml:space="preserve"> </w:t>
      </w:r>
      <w:r>
        <w:t xml:space="preserve">· Increased eumelanin expression and tanning is induced by a superpotent melanotropin [Nle4-D-Phe7]-alpha-MSH in humans. PMID 11045725</w:t>
      </w:r>
    </w:p>
    <w:p>
      <w:pPr>
        <w:numPr>
          <w:ilvl w:val="0"/>
          <w:numId w:val="1416"/>
        </w:numPr>
        <w:pStyle w:val="Compact"/>
      </w:pPr>
      <w:r>
        <w:t xml:space="preserve">2000 · Wessells H ·</w:t>
      </w:r>
      <w:r>
        <w:t xml:space="preserve"> </w:t>
      </w:r>
      <w:r>
        <w:rPr>
          <w:iCs/>
          <w:i/>
        </w:rPr>
        <w:t xml:space="preserve">Int J Impot Res</w:t>
      </w:r>
      <w:r>
        <w:t xml:space="preserve"> </w:t>
      </w:r>
      <w:r>
        <w:t xml:space="preserve">· Melanocortin receptor agonists, penile erection, and sexual motivation: human studies with Melanotan II. PMID 11035391</w:t>
      </w:r>
    </w:p>
    <w:p>
      <w:pPr>
        <w:numPr>
          <w:ilvl w:val="0"/>
          <w:numId w:val="1416"/>
        </w:numPr>
        <w:pStyle w:val="Compact"/>
      </w:pPr>
      <w:r>
        <w:t xml:space="preserve">2000 · Wessells H ·</w:t>
      </w:r>
      <w:r>
        <w:t xml:space="preserve"> </w:t>
      </w:r>
      <w:r>
        <w:rPr>
          <w:iCs/>
          <w:i/>
        </w:rPr>
        <w:t xml:space="preserve">Urology</w:t>
      </w:r>
      <w:r>
        <w:t xml:space="preserve"> </w:t>
      </w:r>
      <w:r>
        <w:t xml:space="preserve">· Effect of an alpha-melanocyte stimulating hormone analog on penile erection and sexual desire in men with organic erectile dysfunction. PMID 11018622</w:t>
      </w:r>
    </w:p>
    <w:p>
      <w:pPr>
        <w:numPr>
          <w:ilvl w:val="0"/>
          <w:numId w:val="1416"/>
        </w:numPr>
        <w:pStyle w:val="Compact"/>
      </w:pPr>
      <w:r>
        <w:t xml:space="preserve">1998 · Wessells H ·</w:t>
      </w:r>
      <w:r>
        <w:t xml:space="preserve"> </w:t>
      </w:r>
      <w:r>
        <w:rPr>
          <w:iCs/>
          <w:i/>
        </w:rPr>
        <w:t xml:space="preserve">J Urol</w:t>
      </w:r>
      <w:r>
        <w:t xml:space="preserve"> </w:t>
      </w:r>
      <w:r>
        <w:t xml:space="preserve">· Synthetic melanotropic peptide initiates erections in men with psychogenic erectile dysfunction: double-blind, placebo controlled crossover study. PMID 9679884</w:t>
      </w:r>
    </w:p>
    <w:p>
      <w:pPr>
        <w:numPr>
          <w:ilvl w:val="0"/>
          <w:numId w:val="1416"/>
        </w:numPr>
        <w:pStyle w:val="Compact"/>
      </w:pPr>
      <w:r>
        <w:t xml:space="preserve">1997 · Ugwu SO ·</w:t>
      </w:r>
      <w:r>
        <w:t xml:space="preserve"> </w:t>
      </w:r>
      <w:r>
        <w:rPr>
          <w:iCs/>
          <w:i/>
        </w:rPr>
        <w:t xml:space="preserve">Biopharm Drug Dispos</w:t>
      </w:r>
      <w:r>
        <w:t xml:space="preserve"> </w:t>
      </w:r>
      <w:r>
        <w:t xml:space="preserve">· Skin pigmentation and pharmacokinetics of melanotan-I in humans. PMID 9113347</w:t>
      </w:r>
    </w:p>
    <w:p>
      <w:pPr>
        <w:numPr>
          <w:ilvl w:val="0"/>
          <w:numId w:val="1416"/>
        </w:numPr>
        <w:pStyle w:val="Compact"/>
      </w:pPr>
      <w:r>
        <w:t xml:space="preserve">1996 · Dorr RT ·</w:t>
      </w:r>
      <w:r>
        <w:t xml:space="preserve"> </w:t>
      </w:r>
      <w:r>
        <w:rPr>
          <w:iCs/>
          <w:i/>
        </w:rPr>
        <w:t xml:space="preserve">Life Sci</w:t>
      </w:r>
      <w:r>
        <w:t xml:space="preserve"> </w:t>
      </w:r>
      <w:r>
        <w:t xml:space="preserve">· Evaluation of melanotan-II, a superpotent cyclic melanotropic peptide in a pilot phase-I clinical study. PMID 8637402</w:t>
      </w:r>
    </w:p>
    <w:bookmarkEnd w:id="3058"/>
    <w:bookmarkStart w:id="3059" w:name="afamelanotida-10"/>
    <w:p>
      <w:pPr>
        <w:pStyle w:val="Heading2"/>
      </w:pPr>
      <w:r>
        <w:t xml:space="preserve">Afamelanotida (10)</w:t>
      </w:r>
    </w:p>
    <w:p>
      <w:pPr>
        <w:numPr>
          <w:ilvl w:val="0"/>
          <w:numId w:val="1417"/>
        </w:numPr>
        <w:pStyle w:val="Compact"/>
      </w:pPr>
      <w:r>
        <w:t xml:space="preserve">2026 · Shetty N ·</w:t>
      </w:r>
      <w:r>
        <w:t xml:space="preserve"> </w:t>
      </w:r>
      <w:r>
        <w:rPr>
          <w:iCs/>
          <w:i/>
        </w:rPr>
        <w:t xml:space="preserve">Photochem Photobiol</w:t>
      </w:r>
      <w:r>
        <w:t xml:space="preserve"> </w:t>
      </w:r>
      <w:r>
        <w:t xml:space="preserve">· Adjunctive use of Polypodium leucotomos extract in patients with erythropoietic protoporphyria: An exploratory study. PMID 41766687</w:t>
      </w:r>
    </w:p>
    <w:p>
      <w:pPr>
        <w:numPr>
          <w:ilvl w:val="0"/>
          <w:numId w:val="1417"/>
        </w:numPr>
        <w:pStyle w:val="Compact"/>
      </w:pPr>
      <w:r>
        <w:t xml:space="preserve">2023 · Stanislaus V ·</w:t>
      </w:r>
      <w:r>
        <w:t xml:space="preserve"> </w:t>
      </w:r>
      <w:r>
        <w:rPr>
          <w:iCs/>
          <w:i/>
        </w:rPr>
        <w:t xml:space="preserve">BMC Neurol</w:t>
      </w:r>
      <w:r>
        <w:t xml:space="preserve"> </w:t>
      </w:r>
      <w:r>
        <w:t xml:space="preserve">· A feasibility and safety study of afamelanotide in acute stroke patients - an open label, proof of concept, phase iia clinical trial. PMID 37496004</w:t>
      </w:r>
    </w:p>
    <w:p>
      <w:pPr>
        <w:numPr>
          <w:ilvl w:val="0"/>
          <w:numId w:val="1417"/>
        </w:numPr>
        <w:pStyle w:val="Compact"/>
      </w:pPr>
      <w:r>
        <w:t xml:space="preserve">2020 · Toh JJH ·</w:t>
      </w:r>
      <w:r>
        <w:t xml:space="preserve"> </w:t>
      </w:r>
      <w:r>
        <w:rPr>
          <w:iCs/>
          <w:i/>
        </w:rPr>
        <w:t xml:space="preserve">J Am Acad Dermatol</w:t>
      </w:r>
      <w:r>
        <w:t xml:space="preserve"> </w:t>
      </w:r>
      <w:r>
        <w:t xml:space="preserve">· Afamelanotide implants and narrow-band ultraviolet B phototherapy for the treatment of nonsegmental vitiligo in Asians. PMID 31987791</w:t>
      </w:r>
    </w:p>
    <w:p>
      <w:pPr>
        <w:numPr>
          <w:ilvl w:val="0"/>
          <w:numId w:val="1417"/>
        </w:numPr>
        <w:pStyle w:val="Compact"/>
      </w:pPr>
      <w:r>
        <w:t xml:space="preserve">2015 · Langendonk JG ·</w:t>
      </w:r>
      <w:r>
        <w:t xml:space="preserve"> </w:t>
      </w:r>
      <w:r>
        <w:rPr>
          <w:iCs/>
          <w:i/>
        </w:rPr>
        <w:t xml:space="preserve">N Engl J Med</w:t>
      </w:r>
      <w:r>
        <w:t xml:space="preserve"> </w:t>
      </w:r>
      <w:r>
        <w:t xml:space="preserve">· Afamelanotide for Erythropoietic Protoporphyria. PMID 26132941</w:t>
      </w:r>
    </w:p>
    <w:p>
      <w:pPr>
        <w:numPr>
          <w:ilvl w:val="0"/>
          <w:numId w:val="1417"/>
        </w:numPr>
        <w:pStyle w:val="Compact"/>
      </w:pPr>
      <w:r>
        <w:t xml:space="preserve">2015 · Lengweiler S ·</w:t>
      </w:r>
      <w:r>
        <w:t xml:space="preserve"> </w:t>
      </w:r>
      <w:r>
        <w:rPr>
          <w:iCs/>
          <w:i/>
        </w:rPr>
        <w:t xml:space="preserve">Skin Pharmacol Physiol</w:t>
      </w:r>
      <w:r>
        <w:t xml:space="preserve"> </w:t>
      </w:r>
      <w:r>
        <w:t xml:space="preserve">· Evaluation of the immunogenicity of the synthetic α-melanocyte-stimulating hormone (α-MSH) analogue afamelanotide ([Nle4-D-Phe7]-α-MSH, Scenesse®) in erythropoietic protoporphyria patients by ELISA detecting both anti-afamelanotide and anti-α-MSH antibodies. PMID 25402764</w:t>
      </w:r>
    </w:p>
    <w:p>
      <w:pPr>
        <w:numPr>
          <w:ilvl w:val="0"/>
          <w:numId w:val="1417"/>
        </w:numPr>
        <w:pStyle w:val="Compact"/>
      </w:pPr>
      <w:r>
        <w:t xml:space="preserve">2015 · Lim HW ·</w:t>
      </w:r>
      <w:r>
        <w:t xml:space="preserve"> </w:t>
      </w:r>
      <w:r>
        <w:rPr>
          <w:iCs/>
          <w:i/>
        </w:rPr>
        <w:t xml:space="preserve">JAMA Dermatol</w:t>
      </w:r>
      <w:r>
        <w:t xml:space="preserve"> </w:t>
      </w:r>
      <w:r>
        <w:t xml:space="preserve">· Afamelanotide and narrowband UV-B phototherapy for the treatment of vitiligo: a randomized multicenter trial. PMID 25230094</w:t>
      </w:r>
    </w:p>
    <w:p>
      <w:pPr>
        <w:numPr>
          <w:ilvl w:val="0"/>
          <w:numId w:val="1417"/>
        </w:numPr>
        <w:pStyle w:val="Compact"/>
      </w:pPr>
      <w:r>
        <w:t xml:space="preserve">2014 · Biolcati G ·</w:t>
      </w:r>
      <w:r>
        <w:t xml:space="preserve"> </w:t>
      </w:r>
      <w:r>
        <w:rPr>
          <w:iCs/>
          <w:i/>
        </w:rPr>
        <w:t xml:space="preserve">Clin Exp Dermatol</w:t>
      </w:r>
      <w:r>
        <w:t xml:space="preserve"> </w:t>
      </w:r>
      <w:r>
        <w:t xml:space="preserve">· Efficacy of the melanocortin analogue Nle4-D-Phe7-α-melanocyte-stimulating hormone in the treatment of patients with Hailey-Hailey disease. PMID 24256215</w:t>
      </w:r>
    </w:p>
    <w:p>
      <w:pPr>
        <w:numPr>
          <w:ilvl w:val="0"/>
          <w:numId w:val="1417"/>
        </w:numPr>
        <w:pStyle w:val="Compact"/>
      </w:pPr>
      <w:r>
        <w:t xml:space="preserve">2014 · Böhm M ·</w:t>
      </w:r>
      <w:r>
        <w:t xml:space="preserve"> </w:t>
      </w:r>
      <w:r>
        <w:rPr>
          <w:iCs/>
          <w:i/>
        </w:rPr>
        <w:t xml:space="preserve">J Eur Acad Dermatol Venereol</w:t>
      </w:r>
      <w:r>
        <w:t xml:space="preserve"> </w:t>
      </w:r>
      <w:r>
        <w:t xml:space="preserve">· Beneficial effects of the melanocortin analogue Nle4-D-Phe7-α-MSH in acne vulgaris. PMID 22845050</w:t>
      </w:r>
    </w:p>
    <w:p>
      <w:pPr>
        <w:numPr>
          <w:ilvl w:val="0"/>
          <w:numId w:val="1417"/>
        </w:numPr>
        <w:pStyle w:val="Compact"/>
      </w:pPr>
      <w:r>
        <w:t xml:space="preserve">2011 · Haylett AK ·</w:t>
      </w:r>
      <w:r>
        <w:t xml:space="preserve"> </w:t>
      </w:r>
      <w:r>
        <w:rPr>
          <w:iCs/>
          <w:i/>
        </w:rPr>
        <w:t xml:space="preserve">Br J Dermatol</w:t>
      </w:r>
      <w:r>
        <w:t xml:space="preserve"> </w:t>
      </w:r>
      <w:r>
        <w:t xml:space="preserve">· Systemic photoprotection in solar urticaria with α-melanocyte-stimulating hormone analogue [Nle4-D-Phe7]-α-MSH. PMID 20969564</w:t>
      </w:r>
    </w:p>
    <w:p>
      <w:pPr>
        <w:numPr>
          <w:ilvl w:val="0"/>
          <w:numId w:val="1417"/>
        </w:numPr>
        <w:pStyle w:val="Compact"/>
      </w:pPr>
      <w:r>
        <w:t xml:space="preserve">2009 · Harms JH ·</w:t>
      </w:r>
      <w:r>
        <w:t xml:space="preserve"> </w:t>
      </w:r>
      <w:r>
        <w:rPr>
          <w:iCs/>
          <w:i/>
        </w:rPr>
        <w:t xml:space="preserve">Photochem Photobiol</w:t>
      </w:r>
      <w:r>
        <w:t xml:space="preserve"> </w:t>
      </w:r>
      <w:r>
        <w:t xml:space="preserve">· Mitigating photosensitivity of erythropoietic protoporphyria patients by an agonistic analog of alpha-melanocyte stimulating hormone. PMID 19656325</w:t>
      </w:r>
    </w:p>
    <w:bookmarkEnd w:id="3059"/>
    <w:bookmarkStart w:id="3060" w:name="kisspeptina-37"/>
    <w:p>
      <w:pPr>
        <w:pStyle w:val="Heading2"/>
      </w:pPr>
      <w:r>
        <w:t xml:space="preserve">Kisspeptina (37)</w:t>
      </w:r>
    </w:p>
    <w:p>
      <w:pPr>
        <w:numPr>
          <w:ilvl w:val="0"/>
          <w:numId w:val="1418"/>
        </w:numPr>
        <w:pStyle w:val="Compact"/>
      </w:pPr>
      <w:r>
        <w:t xml:space="preserve">2026 · Yeung AC ·</w:t>
      </w:r>
      <w:r>
        <w:t xml:space="preserve"> </w:t>
      </w:r>
      <w:r>
        <w:rPr>
          <w:iCs/>
          <w:i/>
        </w:rPr>
        <w:t xml:space="preserve">Eur J Endocrinol</w:t>
      </w:r>
      <w:r>
        <w:t xml:space="preserve"> </w:t>
      </w:r>
      <w:r>
        <w:t xml:space="preserve">· Chronic subcutaneous kisspeptin-10 stimulates gonadotropin secretion for 12 days in healthy men. PMID 42549827</w:t>
      </w:r>
    </w:p>
    <w:p>
      <w:pPr>
        <w:numPr>
          <w:ilvl w:val="0"/>
          <w:numId w:val="1418"/>
        </w:numPr>
        <w:pStyle w:val="Compact"/>
      </w:pPr>
      <w:r>
        <w:t xml:space="preserve">2026 · Galbiati F ·</w:t>
      </w:r>
      <w:r>
        <w:t xml:space="preserve"> </w:t>
      </w:r>
      <w:r>
        <w:rPr>
          <w:iCs/>
          <w:i/>
        </w:rPr>
        <w:t xml:space="preserve">J Neuroendocrinol</w:t>
      </w:r>
      <w:r>
        <w:t xml:space="preserve"> </w:t>
      </w:r>
      <w:r>
        <w:t xml:space="preserve">· Intravenous kisspeptin 112-121 bolus does not acutely impact circulating vasopressin in humans. PMID 41273106</w:t>
      </w:r>
    </w:p>
    <w:p>
      <w:pPr>
        <w:numPr>
          <w:ilvl w:val="0"/>
          <w:numId w:val="1418"/>
        </w:numPr>
        <w:pStyle w:val="Compact"/>
      </w:pPr>
      <w:r>
        <w:t xml:space="preserve">2025 · Mills EG ·</w:t>
      </w:r>
      <w:r>
        <w:t xml:space="preserve"> </w:t>
      </w:r>
      <w:r>
        <w:rPr>
          <w:iCs/>
          <w:i/>
        </w:rPr>
        <w:t xml:space="preserve">EBioMedicine</w:t>
      </w:r>
      <w:r>
        <w:t xml:space="preserve"> </w:t>
      </w:r>
      <w:r>
        <w:t xml:space="preserve">· Intranasal kisspeptin administration rapidly stimulates gonadotropin release in humans. PMID 40215751</w:t>
      </w:r>
    </w:p>
    <w:p>
      <w:pPr>
        <w:numPr>
          <w:ilvl w:val="0"/>
          <w:numId w:val="1418"/>
        </w:numPr>
        <w:pStyle w:val="Compact"/>
      </w:pPr>
      <w:r>
        <w:t xml:space="preserve">2025 · Mills EG ·</w:t>
      </w:r>
      <w:r>
        <w:t xml:space="preserve"> </w:t>
      </w:r>
      <w:r>
        <w:rPr>
          <w:iCs/>
          <w:i/>
        </w:rPr>
        <w:t xml:space="preserve">J Clin Endocrinol Metab</w:t>
      </w:r>
      <w:r>
        <w:t xml:space="preserve"> </w:t>
      </w:r>
      <w:r>
        <w:t xml:space="preserve">· Kisspeptin Administration Stimulates Reproductive Hormones but Does Not Affect Anxiety in Humans. PMID 40036336</w:t>
      </w:r>
    </w:p>
    <w:p>
      <w:pPr>
        <w:numPr>
          <w:ilvl w:val="0"/>
          <w:numId w:val="1418"/>
        </w:numPr>
        <w:pStyle w:val="Compact"/>
      </w:pPr>
      <w:r>
        <w:t xml:space="preserve">2025 · Galbiati F ·</w:t>
      </w:r>
      <w:r>
        <w:t xml:space="preserve"> </w:t>
      </w:r>
      <w:r>
        <w:rPr>
          <w:iCs/>
          <w:i/>
        </w:rPr>
        <w:t xml:space="preserve">Eur J Endocrinol</w:t>
      </w:r>
      <w:r>
        <w:t xml:space="preserve"> </w:t>
      </w:r>
      <w:r>
        <w:t xml:space="preserve">· Sex-dependent increases in oxytocin levels in response to intravenous kisspeptin in humans. PMID 39965102</w:t>
      </w:r>
    </w:p>
    <w:p>
      <w:pPr>
        <w:numPr>
          <w:ilvl w:val="0"/>
          <w:numId w:val="1418"/>
        </w:numPr>
        <w:pStyle w:val="Compact"/>
      </w:pPr>
      <w:r>
        <w:t xml:space="preserve">2025 · Rodanaki M ·</w:t>
      </w:r>
      <w:r>
        <w:t xml:space="preserve"> </w:t>
      </w:r>
      <w:r>
        <w:rPr>
          <w:iCs/>
          <w:i/>
        </w:rPr>
        <w:t xml:space="preserve">J Pediatr Endocrinol Metab</w:t>
      </w:r>
      <w:r>
        <w:t xml:space="preserve"> </w:t>
      </w:r>
      <w:r>
        <w:t xml:space="preserve">· Effect of a GnRH injection on kisspeptin levels in girls with suspected precocious puberty: a randomized-controlled pilot study. PMID 39847034</w:t>
      </w:r>
    </w:p>
    <w:p>
      <w:pPr>
        <w:numPr>
          <w:ilvl w:val="0"/>
          <w:numId w:val="1418"/>
        </w:numPr>
        <w:pStyle w:val="Compact"/>
      </w:pPr>
      <w:r>
        <w:t xml:space="preserve">2024 · Abbara A ·</w:t>
      </w:r>
      <w:r>
        <w:t xml:space="preserve"> </w:t>
      </w:r>
      <w:r>
        <w:rPr>
          <w:iCs/>
          <w:i/>
        </w:rPr>
        <w:t xml:space="preserve">Fertil Steril</w:t>
      </w:r>
      <w:r>
        <w:t xml:space="preserve"> </w:t>
      </w:r>
      <w:r>
        <w:t xml:space="preserve">· Endocrine profile of the kisspeptin receptor agonist MVT-602 in healthy premenopausal women with and without ovarian stimulation: results from 2 randomized, placebo-controlled clinical tricals. PMID 37925096</w:t>
      </w:r>
    </w:p>
    <w:p>
      <w:pPr>
        <w:numPr>
          <w:ilvl w:val="0"/>
          <w:numId w:val="1418"/>
        </w:numPr>
        <w:pStyle w:val="Compact"/>
      </w:pPr>
      <w:r>
        <w:t xml:space="preserve">2023 · Bavato F ·</w:t>
      </w:r>
      <w:r>
        <w:t xml:space="preserve"> </w:t>
      </w:r>
      <w:r>
        <w:rPr>
          <w:iCs/>
          <w:i/>
        </w:rPr>
        <w:t xml:space="preserve">J Psychopharmacol</w:t>
      </w:r>
      <w:r>
        <w:t xml:space="preserve"> </w:t>
      </w:r>
      <w:r>
        <w:t xml:space="preserve">· Oral sodium oxybate does not alter plasma kisspeptin levels in healthy male volunteers. PMID 37401623</w:t>
      </w:r>
    </w:p>
    <w:p>
      <w:pPr>
        <w:numPr>
          <w:ilvl w:val="0"/>
          <w:numId w:val="1418"/>
        </w:numPr>
        <w:pStyle w:val="Compact"/>
      </w:pPr>
      <w:r>
        <w:t xml:space="preserve">2023 · Mills EG ·</w:t>
      </w:r>
      <w:r>
        <w:t xml:space="preserve"> </w:t>
      </w:r>
      <w:r>
        <w:rPr>
          <w:iCs/>
          <w:i/>
        </w:rPr>
        <w:t xml:space="preserve">JAMA Netw Open</w:t>
      </w:r>
      <w:r>
        <w:t xml:space="preserve"> </w:t>
      </w:r>
      <w:r>
        <w:t xml:space="preserve">· Effects of Kisspeptin on Sexual Brain Processing and Penile Tumescence in Men With Hypoactive Sexual Desire Disorder: A Randomized Clinical Trial. PMID 36735255</w:t>
      </w:r>
    </w:p>
    <w:p>
      <w:pPr>
        <w:numPr>
          <w:ilvl w:val="0"/>
          <w:numId w:val="1418"/>
        </w:numPr>
        <w:pStyle w:val="Compact"/>
      </w:pPr>
      <w:r>
        <w:t xml:space="preserve">2022 · Thurston L ·</w:t>
      </w:r>
      <w:r>
        <w:t xml:space="preserve"> </w:t>
      </w:r>
      <w:r>
        <w:rPr>
          <w:iCs/>
          <w:i/>
        </w:rPr>
        <w:t xml:space="preserve">JAMA Netw Open</w:t>
      </w:r>
      <w:r>
        <w:t xml:space="preserve"> </w:t>
      </w:r>
      <w:r>
        <w:t xml:space="preserve">· Effects of Kisspeptin Administration in Women With Hypoactive Sexual Desire Disorder: A Randomized Clinical Trial. PMID 36287566</w:t>
      </w:r>
    </w:p>
    <w:p>
      <w:pPr>
        <w:numPr>
          <w:ilvl w:val="0"/>
          <w:numId w:val="1418"/>
        </w:numPr>
        <w:pStyle w:val="Compact"/>
      </w:pPr>
      <w:r>
        <w:t xml:space="preserve">2022 · Comninos AN ·</w:t>
      </w:r>
      <w:r>
        <w:t xml:space="preserve"> </w:t>
      </w:r>
      <w:r>
        <w:rPr>
          <w:iCs/>
          <w:i/>
        </w:rPr>
        <w:t xml:space="preserve">J Clin Endocrinol Metab</w:t>
      </w:r>
      <w:r>
        <w:t xml:space="preserve"> </w:t>
      </w:r>
      <w:r>
        <w:t xml:space="preserve">· Acute Effects of Kisspeptin Administration on Bone Metabolism in Healthy Men. PMID 35244717</w:t>
      </w:r>
    </w:p>
    <w:p>
      <w:pPr>
        <w:numPr>
          <w:ilvl w:val="0"/>
          <w:numId w:val="1418"/>
        </w:numPr>
        <w:pStyle w:val="Compact"/>
      </w:pPr>
      <w:r>
        <w:t xml:space="preserve">2021 · Yang L ·</w:t>
      </w:r>
      <w:r>
        <w:t xml:space="preserve"> </w:t>
      </w:r>
      <w:r>
        <w:rPr>
          <w:iCs/>
          <w:i/>
        </w:rPr>
        <w:t xml:space="preserve">J Clin Endocrinol Metab</w:t>
      </w:r>
      <w:r>
        <w:t xml:space="preserve"> </w:t>
      </w:r>
      <w:r>
        <w:t xml:space="preserve">· The Effects of Kisspeptin on Brain Response to Food Images and Psychometric Parameters of Appetite in Healthy Men. PMID 33075807</w:t>
      </w:r>
    </w:p>
    <w:p>
      <w:pPr>
        <w:numPr>
          <w:ilvl w:val="0"/>
          <w:numId w:val="1418"/>
        </w:numPr>
        <w:pStyle w:val="Compact"/>
      </w:pPr>
      <w:r>
        <w:t xml:space="preserve">2020 · Skorupskaite K ·</w:t>
      </w:r>
      <w:r>
        <w:t xml:space="preserve"> </w:t>
      </w:r>
      <w:r>
        <w:rPr>
          <w:iCs/>
          <w:i/>
        </w:rPr>
        <w:t xml:space="preserve">Hum Reprod</w:t>
      </w:r>
      <w:r>
        <w:t xml:space="preserve"> </w:t>
      </w:r>
      <w:r>
        <w:t xml:space="preserve">· Kisspeptin and neurokinin B interactions in modulating gonadotropin secretion in women with polycystic ovary syndrome. PMID 32510130</w:t>
      </w:r>
    </w:p>
    <w:p>
      <w:pPr>
        <w:numPr>
          <w:ilvl w:val="0"/>
          <w:numId w:val="1418"/>
        </w:numPr>
        <w:pStyle w:val="Compact"/>
      </w:pPr>
      <w:r>
        <w:t xml:space="preserve">2019 · Romero-Ruiz A ·</w:t>
      </w:r>
      <w:r>
        <w:t xml:space="preserve"> </w:t>
      </w:r>
      <w:r>
        <w:rPr>
          <w:iCs/>
          <w:i/>
        </w:rPr>
        <w:t xml:space="preserve">Hum Reprod</w:t>
      </w:r>
      <w:r>
        <w:t xml:space="preserve"> </w:t>
      </w:r>
      <w:r>
        <w:t xml:space="preserve">· Kisspeptin treatment induces gonadotropic responses and rescues ovulation in a subset of preclinical models and women with polycystic ovary syndrome. PMID 31820802</w:t>
      </w:r>
    </w:p>
    <w:p>
      <w:pPr>
        <w:numPr>
          <w:ilvl w:val="0"/>
          <w:numId w:val="1418"/>
        </w:numPr>
        <w:pStyle w:val="Compact"/>
      </w:pPr>
      <w:r>
        <w:t xml:space="preserve">2019 · Ullah H ·</w:t>
      </w:r>
      <w:r>
        <w:t xml:space="preserve"> </w:t>
      </w:r>
      <w:r>
        <w:rPr>
          <w:iCs/>
          <w:i/>
        </w:rPr>
        <w:t xml:space="preserve">Andrologia</w:t>
      </w:r>
      <w:r>
        <w:t xml:space="preserve"> </w:t>
      </w:r>
      <w:r>
        <w:t xml:space="preserve">· Age-dependent changes in the reproductive axis responsiveness to kisspeptin-10 administration in healthy men. PMID 30590872</w:t>
      </w:r>
    </w:p>
    <w:p>
      <w:pPr>
        <w:numPr>
          <w:ilvl w:val="0"/>
          <w:numId w:val="1418"/>
        </w:numPr>
        <w:pStyle w:val="Compact"/>
      </w:pPr>
      <w:r>
        <w:t xml:space="preserve">2018 · Izzi-Engbeaya C ·</w:t>
      </w:r>
      <w:r>
        <w:t xml:space="preserve"> </w:t>
      </w:r>
      <w:r>
        <w:rPr>
          <w:iCs/>
          <w:i/>
        </w:rPr>
        <w:t xml:space="preserve">Diabetes Obes Metab</w:t>
      </w:r>
      <w:r>
        <w:t xml:space="preserve"> </w:t>
      </w:r>
      <w:r>
        <w:t xml:space="preserve">· The effects of kisspeptin on β-cell function, serum metabolites and appetite in humans. PMID 29974637</w:t>
      </w:r>
    </w:p>
    <w:p>
      <w:pPr>
        <w:numPr>
          <w:ilvl w:val="0"/>
          <w:numId w:val="1418"/>
        </w:numPr>
        <w:pStyle w:val="Compact"/>
      </w:pPr>
      <w:r>
        <w:t xml:space="preserve">2018 · Chan YM ·</w:t>
      </w:r>
      <w:r>
        <w:t xml:space="preserve"> </w:t>
      </w:r>
      <w:r>
        <w:rPr>
          <w:iCs/>
          <w:i/>
        </w:rPr>
        <w:t xml:space="preserve">JCI Insight</w:t>
      </w:r>
      <w:r>
        <w:t xml:space="preserve"> </w:t>
      </w:r>
      <w:r>
        <w:t xml:space="preserve">· Divergent responses to kisspeptin in children with delayed puberty. PMID 29669934</w:t>
      </w:r>
    </w:p>
    <w:p>
      <w:pPr>
        <w:numPr>
          <w:ilvl w:val="0"/>
          <w:numId w:val="1418"/>
        </w:numPr>
        <w:pStyle w:val="Compact"/>
      </w:pPr>
      <w:r>
        <w:t xml:space="preserve">2018 · Owens LA ·</w:t>
      </w:r>
      <w:r>
        <w:t xml:space="preserve"> </w:t>
      </w:r>
      <w:r>
        <w:rPr>
          <w:iCs/>
          <w:i/>
        </w:rPr>
        <w:t xml:space="preserve">Hum Reprod</w:t>
      </w:r>
      <w:r>
        <w:t xml:space="preserve"> </w:t>
      </w:r>
      <w:r>
        <w:t xml:space="preserve">· The direct and indirect effects of kisspeptin-54 on granulosa lutein cell function. PMID 29206944</w:t>
      </w:r>
    </w:p>
    <w:p>
      <w:pPr>
        <w:numPr>
          <w:ilvl w:val="0"/>
          <w:numId w:val="1418"/>
        </w:numPr>
        <w:pStyle w:val="Compact"/>
      </w:pPr>
      <w:r>
        <w:t xml:space="preserve">2017 · Abbara A ·</w:t>
      </w:r>
      <w:r>
        <w:t xml:space="preserve"> </w:t>
      </w:r>
      <w:r>
        <w:rPr>
          <w:iCs/>
          <w:i/>
        </w:rPr>
        <w:t xml:space="preserve">Hum Reprod</w:t>
      </w:r>
      <w:r>
        <w:t xml:space="preserve"> </w:t>
      </w:r>
      <w:r>
        <w:t xml:space="preserve">· A second dose of kisspeptin-54 improves oocyte maturation in women at high risk of ovarian hyperstimulation syndrome: a Phase 2 randomized controlled trial. PMID 28854728</w:t>
      </w:r>
    </w:p>
    <w:p>
      <w:pPr>
        <w:numPr>
          <w:ilvl w:val="0"/>
          <w:numId w:val="1418"/>
        </w:numPr>
        <w:pStyle w:val="Compact"/>
      </w:pPr>
      <w:r>
        <w:t xml:space="preserve">2017 · Comninos AN ·</w:t>
      </w:r>
      <w:r>
        <w:t xml:space="preserve"> </w:t>
      </w:r>
      <w:r>
        <w:rPr>
          <w:iCs/>
          <w:i/>
        </w:rPr>
        <w:t xml:space="preserve">J Clin Invest</w:t>
      </w:r>
      <w:r>
        <w:t xml:space="preserve"> </w:t>
      </w:r>
      <w:r>
        <w:t xml:space="preserve">· Kisspeptin modulates sexual and emotional brain processing in humans. PMID 28112678</w:t>
      </w:r>
    </w:p>
    <w:p>
      <w:pPr>
        <w:numPr>
          <w:ilvl w:val="0"/>
          <w:numId w:val="1418"/>
        </w:numPr>
        <w:pStyle w:val="Compact"/>
      </w:pPr>
      <w:r>
        <w:t xml:space="preserve">2016 · Skorupskaite K ·</w:t>
      </w:r>
      <w:r>
        <w:t xml:space="preserve"> </w:t>
      </w:r>
      <w:r>
        <w:rPr>
          <w:iCs/>
          <w:i/>
        </w:rPr>
        <w:t xml:space="preserve">J Clin Endocrinol Metab</w:t>
      </w:r>
      <w:r>
        <w:t xml:space="preserve"> </w:t>
      </w:r>
      <w:r>
        <w:t xml:space="preserve">· Interactions Between Neurokinin B and Kisspeptin in Mediating Estrogen Feedback in Healthy Women. PMID 27636018</w:t>
      </w:r>
    </w:p>
    <w:p>
      <w:pPr>
        <w:numPr>
          <w:ilvl w:val="0"/>
          <w:numId w:val="1418"/>
        </w:numPr>
        <w:pStyle w:val="Compact"/>
      </w:pPr>
      <w:r>
        <w:t xml:space="preserve">2016 · Lippincott MF ·</w:t>
      </w:r>
      <w:r>
        <w:t xml:space="preserve"> </w:t>
      </w:r>
      <w:r>
        <w:rPr>
          <w:iCs/>
          <w:i/>
        </w:rPr>
        <w:t xml:space="preserve">J Clin Endocrinol Metab</w:t>
      </w:r>
      <w:r>
        <w:t xml:space="preserve"> </w:t>
      </w:r>
      <w:r>
        <w:t xml:space="preserve">· Kisspeptin Responsiveness Signals Emergence of Reproductive Endocrine Activity: Implications for Human Puberty. PMID 27214398</w:t>
      </w:r>
    </w:p>
    <w:p>
      <w:pPr>
        <w:numPr>
          <w:ilvl w:val="0"/>
          <w:numId w:val="1418"/>
        </w:numPr>
        <w:pStyle w:val="Compact"/>
      </w:pPr>
      <w:r>
        <w:t xml:space="preserve">2016 · Narayanaswamy S ·</w:t>
      </w:r>
      <w:r>
        <w:t xml:space="preserve"> </w:t>
      </w:r>
      <w:r>
        <w:rPr>
          <w:iCs/>
          <w:i/>
        </w:rPr>
        <w:t xml:space="preserve">Clin Endocrinol (Oxf)</w:t>
      </w:r>
      <w:r>
        <w:t xml:space="preserve"> </w:t>
      </w:r>
      <w:r>
        <w:t xml:space="preserve">· Subcutaneous infusion of kisspeptin-54 stimulates gonadotrophin release in women and the response correlates with basal oestradiol levels. PMID 26572695</w:t>
      </w:r>
    </w:p>
    <w:p>
      <w:pPr>
        <w:numPr>
          <w:ilvl w:val="0"/>
          <w:numId w:val="1418"/>
        </w:numPr>
        <w:pStyle w:val="Compact"/>
      </w:pPr>
      <w:r>
        <w:t xml:space="preserve">2015 · Abbara A ·</w:t>
      </w:r>
      <w:r>
        <w:t xml:space="preserve"> </w:t>
      </w:r>
      <w:r>
        <w:rPr>
          <w:iCs/>
          <w:i/>
        </w:rPr>
        <w:t xml:space="preserve">J Clin Endocrinol Metab</w:t>
      </w:r>
      <w:r>
        <w:t xml:space="preserve"> </w:t>
      </w:r>
      <w:r>
        <w:t xml:space="preserve">· Efficacy of Kisspeptin-54 to Trigger Oocyte Maturation in Women at High Risk of Ovarian Hyperstimulation Syndrome (OHSS) During In Vitro Fertilization (IVF) Therapy. PMID 26192876</w:t>
      </w:r>
    </w:p>
    <w:p>
      <w:pPr>
        <w:numPr>
          <w:ilvl w:val="0"/>
          <w:numId w:val="1418"/>
        </w:numPr>
        <w:pStyle w:val="Compact"/>
      </w:pPr>
      <w:r>
        <w:t xml:space="preserve">2014 · Jayasena CN ·</w:t>
      </w:r>
      <w:r>
        <w:t xml:space="preserve"> </w:t>
      </w:r>
      <w:r>
        <w:rPr>
          <w:iCs/>
          <w:i/>
        </w:rPr>
        <w:t xml:space="preserve">J Clin Invest</w:t>
      </w:r>
      <w:r>
        <w:t xml:space="preserve"> </w:t>
      </w:r>
      <w:r>
        <w:t xml:space="preserve">· Kisspeptin-54 triggers egg maturation in women undergoing in vitro fertilization. PMID 25036713</w:t>
      </w:r>
    </w:p>
    <w:p>
      <w:pPr>
        <w:numPr>
          <w:ilvl w:val="0"/>
          <w:numId w:val="1418"/>
        </w:numPr>
        <w:pStyle w:val="Compact"/>
      </w:pPr>
      <w:r>
        <w:t xml:space="preserve">2014 · Jayasena CN ·</w:t>
      </w:r>
      <w:r>
        <w:t xml:space="preserve"> </w:t>
      </w:r>
      <w:r>
        <w:rPr>
          <w:iCs/>
          <w:i/>
        </w:rPr>
        <w:t xml:space="preserve">Clin Endocrinol (Oxf)</w:t>
      </w:r>
      <w:r>
        <w:t xml:space="preserve"> </w:t>
      </w:r>
      <w:r>
        <w:t xml:space="preserve">· Acute and chronic effects of kisspeptin-54 administration on GH, prolactin and TSH secretion in healthy women. PMID 24863252</w:t>
      </w:r>
    </w:p>
    <w:p>
      <w:pPr>
        <w:numPr>
          <w:ilvl w:val="0"/>
          <w:numId w:val="1418"/>
        </w:numPr>
        <w:pStyle w:val="Compact"/>
      </w:pPr>
      <w:r>
        <w:t xml:space="preserve">2014 · MacLean DB ·</w:t>
      </w:r>
      <w:r>
        <w:t xml:space="preserve"> </w:t>
      </w:r>
      <w:r>
        <w:rPr>
          <w:iCs/>
          <w:i/>
        </w:rPr>
        <w:t xml:space="preserve">J Clin Endocrinol Metab</w:t>
      </w:r>
      <w:r>
        <w:t xml:space="preserve"> </w:t>
      </w:r>
      <w:r>
        <w:t xml:space="preserve">· Sustained exposure to the investigational Kisspeptin analog, TAK-448, down-regulates testosterone into the castration range in healthy males and in patients with prostate cancer: results from two phase 1 studies. PMID 24762108</w:t>
      </w:r>
    </w:p>
    <w:p>
      <w:pPr>
        <w:numPr>
          <w:ilvl w:val="0"/>
          <w:numId w:val="1418"/>
        </w:numPr>
        <w:pStyle w:val="Compact"/>
      </w:pPr>
      <w:r>
        <w:t xml:space="preserve">2014 · Jayasena CN ·</w:t>
      </w:r>
      <w:r>
        <w:t xml:space="preserve"> </w:t>
      </w:r>
      <w:r>
        <w:rPr>
          <w:iCs/>
          <w:i/>
        </w:rPr>
        <w:t xml:space="preserve">J Clin Endocrinol Metab</w:t>
      </w:r>
      <w:r>
        <w:t xml:space="preserve"> </w:t>
      </w:r>
      <w:r>
        <w:t xml:space="preserve">· Increasing LH pulsatility in women with hypothalamic amenorrhoea using intravenous infusion of Kisspeptin-54. PMID 24517142</w:t>
      </w:r>
    </w:p>
    <w:p>
      <w:pPr>
        <w:numPr>
          <w:ilvl w:val="0"/>
          <w:numId w:val="1418"/>
        </w:numPr>
        <w:pStyle w:val="Compact"/>
      </w:pPr>
      <w:r>
        <w:t xml:space="preserve">2013 · Jayasena CN ·</w:t>
      </w:r>
      <w:r>
        <w:t xml:space="preserve"> </w:t>
      </w:r>
      <w:r>
        <w:rPr>
          <w:iCs/>
          <w:i/>
        </w:rPr>
        <w:t xml:space="preserve">J Clin Endocrinol Metab</w:t>
      </w:r>
      <w:r>
        <w:t xml:space="preserve"> </w:t>
      </w:r>
      <w:r>
        <w:t xml:space="preserve">· Twice-daily subcutaneous injection of kisspeptin-54 does not abolish menstrual cyclicity in healthy female volunteers. PMID 24030945</w:t>
      </w:r>
    </w:p>
    <w:p>
      <w:pPr>
        <w:numPr>
          <w:ilvl w:val="0"/>
          <w:numId w:val="1418"/>
        </w:numPr>
        <w:pStyle w:val="Compact"/>
      </w:pPr>
      <w:r>
        <w:t xml:space="preserve">2013 · Jayasena CN ·</w:t>
      </w:r>
      <w:r>
        <w:t xml:space="preserve"> </w:t>
      </w:r>
      <w:r>
        <w:rPr>
          <w:iCs/>
          <w:i/>
        </w:rPr>
        <w:t xml:space="preserve">Clin Endocrinol (Oxf)</w:t>
      </w:r>
      <w:r>
        <w:t xml:space="preserve"> </w:t>
      </w:r>
      <w:r>
        <w:t xml:space="preserve">· A single injection of kisspeptin-54 temporarily increases luteinizing hormone pulsatility in healthy women. PMID 23452073</w:t>
      </w:r>
    </w:p>
    <w:p>
      <w:pPr>
        <w:numPr>
          <w:ilvl w:val="0"/>
          <w:numId w:val="1418"/>
        </w:numPr>
        <w:pStyle w:val="Compact"/>
      </w:pPr>
      <w:r>
        <w:t xml:space="preserve">2013 · George JT ·</w:t>
      </w:r>
      <w:r>
        <w:t xml:space="preserve"> </w:t>
      </w:r>
      <w:r>
        <w:rPr>
          <w:iCs/>
          <w:i/>
        </w:rPr>
        <w:t xml:space="preserve">Clin Endocrinol (Oxf)</w:t>
      </w:r>
      <w:r>
        <w:t xml:space="preserve"> </w:t>
      </w:r>
      <w:r>
        <w:t xml:space="preserve">· Exploring the pathophysiology of hypogonadism in men with type 2 diabetes: kisspeptin-10 stimulates serum testosterone and LH secretion in men with type 2 diabetes and mild biochemical hypogonadism. PMID 23153270</w:t>
      </w:r>
    </w:p>
    <w:p>
      <w:pPr>
        <w:numPr>
          <w:ilvl w:val="0"/>
          <w:numId w:val="1418"/>
        </w:numPr>
        <w:pStyle w:val="Compact"/>
      </w:pPr>
      <w:r>
        <w:t xml:space="preserve">2013 · Young J ·</w:t>
      </w:r>
      <w:r>
        <w:t xml:space="preserve"> </w:t>
      </w:r>
      <w:r>
        <w:rPr>
          <w:iCs/>
          <w:i/>
        </w:rPr>
        <w:t xml:space="preserve">Neuroendocrinology</w:t>
      </w:r>
      <w:r>
        <w:t xml:space="preserve"> </w:t>
      </w:r>
      <w:r>
        <w:t xml:space="preserve">· Kisspeptin restores pulsatile LH secretion in patients with neurokinin B signaling deficiencies: physiological, pathophysiological and therapeutic implications. PMID 22377698</w:t>
      </w:r>
    </w:p>
    <w:p>
      <w:pPr>
        <w:numPr>
          <w:ilvl w:val="0"/>
          <w:numId w:val="1418"/>
        </w:numPr>
        <w:pStyle w:val="Compact"/>
      </w:pPr>
      <w:r>
        <w:t xml:space="preserve">2011 · George JT ·</w:t>
      </w:r>
      <w:r>
        <w:t xml:space="preserve"> </w:t>
      </w:r>
      <w:r>
        <w:rPr>
          <w:iCs/>
          <w:i/>
        </w:rPr>
        <w:t xml:space="preserve">J Clin Endocrinol Metab</w:t>
      </w:r>
      <w:r>
        <w:t xml:space="preserve"> </w:t>
      </w:r>
      <w:r>
        <w:t xml:space="preserve">· Kisspeptin-10 is a potent stimulator of LH and increases pulse frequency in men. PMID 21632807</w:t>
      </w:r>
    </w:p>
    <w:p>
      <w:pPr>
        <w:numPr>
          <w:ilvl w:val="0"/>
          <w:numId w:val="1418"/>
        </w:numPr>
        <w:pStyle w:val="Compact"/>
      </w:pPr>
      <w:r>
        <w:t xml:space="preserve">2010 · Jayasena CN ·</w:t>
      </w:r>
      <w:r>
        <w:t xml:space="preserve"> </w:t>
      </w:r>
      <w:r>
        <w:rPr>
          <w:iCs/>
          <w:i/>
        </w:rPr>
        <w:t xml:space="preserve">Clin Pharmacol Ther</w:t>
      </w:r>
      <w:r>
        <w:t xml:space="preserve"> </w:t>
      </w:r>
      <w:r>
        <w:t xml:space="preserve">· Twice-weekly administration of kisspeptin-54 for 8 weeks stimulates release of reproductive hormones in women with hypothalamic amenorrhea. PMID 20980998</w:t>
      </w:r>
    </w:p>
    <w:p>
      <w:pPr>
        <w:numPr>
          <w:ilvl w:val="0"/>
          <w:numId w:val="1418"/>
        </w:numPr>
        <w:pStyle w:val="Compact"/>
      </w:pPr>
      <w:r>
        <w:t xml:space="preserve">2009 · Jayasena CN ·</w:t>
      </w:r>
      <w:r>
        <w:t xml:space="preserve"> </w:t>
      </w:r>
      <w:r>
        <w:rPr>
          <w:iCs/>
          <w:i/>
        </w:rPr>
        <w:t xml:space="preserve">J Clin Endocrinol Metab</w:t>
      </w:r>
      <w:r>
        <w:t xml:space="preserve"> </w:t>
      </w:r>
      <w:r>
        <w:t xml:space="preserve">· Subcutaneous injection of kisspeptin-54 acutely stimulates gonadotropin secretion in women with hypothalamic amenorrhea, but chronic administration causes tachyphylaxis. PMID 19820030</w:t>
      </w:r>
    </w:p>
    <w:p>
      <w:pPr>
        <w:numPr>
          <w:ilvl w:val="0"/>
          <w:numId w:val="1418"/>
        </w:numPr>
        <w:pStyle w:val="Compact"/>
      </w:pPr>
      <w:r>
        <w:t xml:space="preserve">2007 · Dhillo WS ·</w:t>
      </w:r>
      <w:r>
        <w:t xml:space="preserve"> </w:t>
      </w:r>
      <w:r>
        <w:rPr>
          <w:iCs/>
          <w:i/>
        </w:rPr>
        <w:t xml:space="preserve">J Clin Endocrinol Metab</w:t>
      </w:r>
      <w:r>
        <w:t xml:space="preserve"> </w:t>
      </w:r>
      <w:r>
        <w:t xml:space="preserve">· Kisspeptin-54 stimulates gonadotropin release most potently during the preovulatory phase of the menstrual cycle in women. PMID 17635940</w:t>
      </w:r>
    </w:p>
    <w:p>
      <w:pPr>
        <w:numPr>
          <w:ilvl w:val="0"/>
          <w:numId w:val="1418"/>
        </w:numPr>
        <w:pStyle w:val="Compact"/>
      </w:pPr>
      <w:r>
        <w:t xml:space="preserve">2005 · Dhillo WS ·</w:t>
      </w:r>
      <w:r>
        <w:t xml:space="preserve"> </w:t>
      </w:r>
      <w:r>
        <w:rPr>
          <w:iCs/>
          <w:i/>
        </w:rPr>
        <w:t xml:space="preserve">J Clin Endocrinol Metab</w:t>
      </w:r>
      <w:r>
        <w:t xml:space="preserve"> </w:t>
      </w:r>
      <w:r>
        <w:t xml:space="preserve">· Kisspeptin-54 stimulates the hypothalamic-pituitary gonadal axis in human males. PMID 16174713</w:t>
      </w:r>
    </w:p>
    <w:bookmarkEnd w:id="3060"/>
    <w:bookmarkStart w:id="3061" w:name="ocitocina-spray-nasal-349"/>
    <w:p>
      <w:pPr>
        <w:pStyle w:val="Heading2"/>
      </w:pPr>
      <w:r>
        <w:t xml:space="preserve">Ocitocina (spray nasal) (349)</w:t>
      </w:r>
    </w:p>
    <w:p>
      <w:pPr>
        <w:numPr>
          <w:ilvl w:val="0"/>
          <w:numId w:val="1419"/>
        </w:numPr>
        <w:pStyle w:val="Compact"/>
      </w:pPr>
      <w:r>
        <w:t xml:space="preserve">2026 · van der Straaten M ·</w:t>
      </w:r>
      <w:r>
        <w:t xml:space="preserve"> </w:t>
      </w:r>
      <w:r>
        <w:rPr>
          <w:iCs/>
          <w:i/>
        </w:rPr>
        <w:t xml:space="preserve">Womens Health (Lond)</w:t>
      </w:r>
      <w:r>
        <w:t xml:space="preserve"> </w:t>
      </w:r>
      <w:r>
        <w:t xml:space="preserve">· Oxytocin selectively enhances the recognition of infant sadness in postpartum depression. PMID 42904460</w:t>
      </w:r>
    </w:p>
    <w:p>
      <w:pPr>
        <w:numPr>
          <w:ilvl w:val="0"/>
          <w:numId w:val="1419"/>
        </w:numPr>
        <w:pStyle w:val="Compact"/>
      </w:pPr>
      <w:r>
        <w:t xml:space="preserve">2026 · Tiouririne NA ·</w:t>
      </w:r>
      <w:r>
        <w:t xml:space="preserve"> </w:t>
      </w:r>
      <w:r>
        <w:rPr>
          <w:iCs/>
          <w:i/>
        </w:rPr>
        <w:t xml:space="preserve">Alcohol Clin Exp Res (Hoboken)</w:t>
      </w:r>
      <w:r>
        <w:t xml:space="preserve"> </w:t>
      </w:r>
      <w:r>
        <w:t xml:space="preserve">· Intranasal Oxytocin for Alcohol Use Disorder: A Randomized, Double-Blind, Placebo-Controlled Multisite Trial Assessing Efficacy and Safety. PMID 42458234</w:t>
      </w:r>
    </w:p>
    <w:p>
      <w:pPr>
        <w:numPr>
          <w:ilvl w:val="0"/>
          <w:numId w:val="1419"/>
        </w:numPr>
        <w:pStyle w:val="Compact"/>
      </w:pPr>
      <w:r>
        <w:t xml:space="preserve">2026 · Arqueros M ·</w:t>
      </w:r>
      <w:r>
        <w:t xml:space="preserve"> </w:t>
      </w:r>
      <w:r>
        <w:rPr>
          <w:iCs/>
          <w:i/>
        </w:rPr>
        <w:t xml:space="preserve">Psychiatry Res</w:t>
      </w:r>
      <w:r>
        <w:t xml:space="preserve"> </w:t>
      </w:r>
      <w:r>
        <w:t xml:space="preserve">· Promoting self-compassion meditation with intranasal oxytocin in borderline personality disorder: a pilot study. PMID 42372695</w:t>
      </w:r>
    </w:p>
    <w:p>
      <w:pPr>
        <w:numPr>
          <w:ilvl w:val="0"/>
          <w:numId w:val="1419"/>
        </w:numPr>
        <w:pStyle w:val="Compact"/>
      </w:pPr>
      <w:r>
        <w:t xml:space="preserve">2026 · Silva JU ·</w:t>
      </w:r>
      <w:r>
        <w:t xml:space="preserve"> </w:t>
      </w:r>
      <w:r>
        <w:rPr>
          <w:iCs/>
          <w:i/>
        </w:rPr>
        <w:t xml:space="preserve">Neuropeptides</w:t>
      </w:r>
      <w:r>
        <w:t xml:space="preserve"> </w:t>
      </w:r>
      <w:r>
        <w:t xml:space="preserve">· Effects of intranasal oxytocin on fear, pain and aversive memory. PMID 42066687</w:t>
      </w:r>
    </w:p>
    <w:p>
      <w:pPr>
        <w:numPr>
          <w:ilvl w:val="0"/>
          <w:numId w:val="1419"/>
        </w:numPr>
        <w:pStyle w:val="Compact"/>
      </w:pPr>
      <w:r>
        <w:t xml:space="preserve">2026 · Riem MME ·</w:t>
      </w:r>
      <w:r>
        <w:t xml:space="preserve"> </w:t>
      </w:r>
      <w:r>
        <w:rPr>
          <w:iCs/>
          <w:i/>
        </w:rPr>
        <w:t xml:space="preserve">Ned Tijdschr Geneeskd</w:t>
      </w:r>
      <w:r>
        <w:t xml:space="preserve"> </w:t>
      </w:r>
      <w:r>
        <w:t xml:space="preserve">· [Boosting oxytocin in postpartum depression]. PMID 41989096</w:t>
      </w:r>
    </w:p>
    <w:p>
      <w:pPr>
        <w:numPr>
          <w:ilvl w:val="0"/>
          <w:numId w:val="1419"/>
        </w:numPr>
        <w:pStyle w:val="Compact"/>
      </w:pPr>
      <w:r>
        <w:t xml:space="preserve">2026 · Galbiati F ·</w:t>
      </w:r>
      <w:r>
        <w:t xml:space="preserve"> </w:t>
      </w:r>
      <w:r>
        <w:rPr>
          <w:iCs/>
          <w:i/>
        </w:rPr>
        <w:t xml:space="preserve">Int J Obes (Lond)</w:t>
      </w:r>
      <w:r>
        <w:t xml:space="preserve"> </w:t>
      </w:r>
      <w:r>
        <w:t xml:space="preserve">· Reproductive hormone stability with prolonged intranasal oxytocin in adults with obesity. PMID 41951782</w:t>
      </w:r>
    </w:p>
    <w:p>
      <w:pPr>
        <w:numPr>
          <w:ilvl w:val="0"/>
          <w:numId w:val="1419"/>
        </w:numPr>
        <w:pStyle w:val="Compact"/>
      </w:pPr>
      <w:r>
        <w:t xml:space="preserve">2026 · Kiss O ·</w:t>
      </w:r>
      <w:r>
        <w:t xml:space="preserve"> </w:t>
      </w:r>
      <w:r>
        <w:rPr>
          <w:iCs/>
          <w:i/>
        </w:rPr>
        <w:t xml:space="preserve">Psychol Res</w:t>
      </w:r>
      <w:r>
        <w:t xml:space="preserve"> </w:t>
      </w:r>
      <w:r>
        <w:t xml:space="preserve">· The impact of intranasal oxytocin administration and social observation on time perception and task execution in a simple motor task. PMID 41944895</w:t>
      </w:r>
    </w:p>
    <w:p>
      <w:pPr>
        <w:numPr>
          <w:ilvl w:val="0"/>
          <w:numId w:val="1419"/>
        </w:numPr>
        <w:pStyle w:val="Compact"/>
      </w:pPr>
      <w:r>
        <w:t xml:space="preserve">2026 · Margaux E ·</w:t>
      </w:r>
      <w:r>
        <w:t xml:space="preserve"> </w:t>
      </w:r>
      <w:r>
        <w:rPr>
          <w:iCs/>
          <w:i/>
        </w:rPr>
        <w:t xml:space="preserve">Brain Behav Immun</w:t>
      </w:r>
      <w:r>
        <w:t xml:space="preserve"> </w:t>
      </w:r>
      <w:r>
        <w:t xml:space="preserve">· A pilot study on the role of the oxytocinergic system in gut microbiome composition in children with autism: baseline associations and effects of intranasal oxytocin. PMID 41941984</w:t>
      </w:r>
    </w:p>
    <w:p>
      <w:pPr>
        <w:numPr>
          <w:ilvl w:val="0"/>
          <w:numId w:val="1419"/>
        </w:numPr>
        <w:pStyle w:val="Compact"/>
      </w:pPr>
      <w:r>
        <w:t xml:space="preserve">2026 · Evenepoel M ·</w:t>
      </w:r>
      <w:r>
        <w:t xml:space="preserve"> </w:t>
      </w:r>
      <w:r>
        <w:rPr>
          <w:iCs/>
          <w:i/>
        </w:rPr>
        <w:t xml:space="preserve">Transl Psychiatry</w:t>
      </w:r>
      <w:r>
        <w:t xml:space="preserve"> </w:t>
      </w:r>
      <w:r>
        <w:t xml:space="preserve">· The role of the oxytocinergic system in oral microbiome composition in children with autism: evidence from a randomized controlled trial of intranasal oxytocin. PMID 41876480</w:t>
      </w:r>
    </w:p>
    <w:p>
      <w:pPr>
        <w:numPr>
          <w:ilvl w:val="0"/>
          <w:numId w:val="1419"/>
        </w:numPr>
        <w:pStyle w:val="Compact"/>
      </w:pPr>
      <w:r>
        <w:t xml:space="preserve">2026 · Breithaupt L ·</w:t>
      </w:r>
      <w:r>
        <w:t xml:space="preserve"> </w:t>
      </w:r>
      <w:r>
        <w:rPr>
          <w:iCs/>
          <w:i/>
        </w:rPr>
        <w:t xml:space="preserve">Endocrine</w:t>
      </w:r>
      <w:r>
        <w:t xml:space="preserve"> </w:t>
      </w:r>
      <w:r>
        <w:t xml:space="preserve">· Identification of intranasal oxytocin plasma proteome signatures. PMID 41806102</w:t>
      </w:r>
    </w:p>
    <w:p>
      <w:pPr>
        <w:numPr>
          <w:ilvl w:val="0"/>
          <w:numId w:val="1419"/>
        </w:numPr>
        <w:pStyle w:val="Compact"/>
      </w:pPr>
      <w:r>
        <w:t xml:space="preserve">2026 · Gether IM ·</w:t>
      </w:r>
      <w:r>
        <w:t xml:space="preserve"> </w:t>
      </w:r>
      <w:r>
        <w:rPr>
          <w:iCs/>
          <w:i/>
        </w:rPr>
        <w:t xml:space="preserve">Diabetes Obes Metab</w:t>
      </w:r>
      <w:r>
        <w:t xml:space="preserve"> </w:t>
      </w:r>
      <w:r>
        <w:t xml:space="preserve">· Intravenous Oxytocin Has no Effect on Ad Libitum Food Intake or Postprandial Plasma Glucose Concentrations in Individuals With Obesity: A Randomised, Placebo-Controlled, Double-Blind, Crossover Study. PMID 41804830</w:t>
      </w:r>
    </w:p>
    <w:p>
      <w:pPr>
        <w:numPr>
          <w:ilvl w:val="0"/>
          <w:numId w:val="1419"/>
        </w:numPr>
        <w:pStyle w:val="Compact"/>
      </w:pPr>
      <w:r>
        <w:t xml:space="preserve">2026 · Wang Y ·</w:t>
      </w:r>
      <w:r>
        <w:t xml:space="preserve"> </w:t>
      </w:r>
      <w:r>
        <w:rPr>
          <w:iCs/>
          <w:i/>
        </w:rPr>
        <w:t xml:space="preserve">Brain Imaging Behav</w:t>
      </w:r>
      <w:r>
        <w:t xml:space="preserve"> </w:t>
      </w:r>
      <w:r>
        <w:t xml:space="preserve">· The effect of intranasal oxytocin on the neuropsychological substrates of intergroup categorization. PMID 41779290</w:t>
      </w:r>
    </w:p>
    <w:p>
      <w:pPr>
        <w:numPr>
          <w:ilvl w:val="0"/>
          <w:numId w:val="1419"/>
        </w:numPr>
        <w:pStyle w:val="Compact"/>
      </w:pPr>
      <w:r>
        <w:t xml:space="preserve">2026 · Mendonça TP ·</w:t>
      </w:r>
      <w:r>
        <w:t xml:space="preserve"> </w:t>
      </w:r>
      <w:r>
        <w:rPr>
          <w:iCs/>
          <w:i/>
        </w:rPr>
        <w:t xml:space="preserve">Eur J Appl Physiol</w:t>
      </w:r>
      <w:r>
        <w:t xml:space="preserve"> </w:t>
      </w:r>
      <w:r>
        <w:t xml:space="preserve">· Effects of intranasal oxytocin combined with resistance training on testosterone, cortisol, fatigue, and skin temperature in paralympic powerlifting athletes. PMID 41711901</w:t>
      </w:r>
    </w:p>
    <w:p>
      <w:pPr>
        <w:numPr>
          <w:ilvl w:val="0"/>
          <w:numId w:val="1419"/>
        </w:numPr>
        <w:pStyle w:val="Compact"/>
      </w:pPr>
      <w:r>
        <w:t xml:space="preserve">2026 · Liu W ·</w:t>
      </w:r>
      <w:r>
        <w:t xml:space="preserve"> </w:t>
      </w:r>
      <w:r>
        <w:rPr>
          <w:iCs/>
          <w:i/>
        </w:rPr>
        <w:t xml:space="preserve">Proc Natl Acad Sci U S A</w:t>
      </w:r>
      <w:r>
        <w:t xml:space="preserve"> </w:t>
      </w:r>
      <w:r>
        <w:t xml:space="preserve">· Post-encoding administration of oxytocin selectively enhances memory consolidation of male faces in females. PMID 41557801</w:t>
      </w:r>
    </w:p>
    <w:p>
      <w:pPr>
        <w:numPr>
          <w:ilvl w:val="0"/>
          <w:numId w:val="1419"/>
        </w:numPr>
        <w:pStyle w:val="Compact"/>
      </w:pPr>
      <w:r>
        <w:t xml:space="preserve">2026 · Boulton KA ·</w:t>
      </w:r>
      <w:r>
        <w:t xml:space="preserve"> </w:t>
      </w:r>
      <w:r>
        <w:rPr>
          <w:iCs/>
          <w:i/>
        </w:rPr>
        <w:t xml:space="preserve">J Child Psychol Psychiatry</w:t>
      </w:r>
      <w:r>
        <w:t xml:space="preserve"> </w:t>
      </w:r>
      <w:r>
        <w:t xml:space="preserve">· Evaluating placebo responses to intranasal oxytocin in autism: findings from the placebo lead-in phase of a randomised controlled trial. PMID 41550040</w:t>
      </w:r>
    </w:p>
    <w:p>
      <w:pPr>
        <w:numPr>
          <w:ilvl w:val="0"/>
          <w:numId w:val="1419"/>
        </w:numPr>
        <w:pStyle w:val="Compact"/>
      </w:pPr>
      <w:r>
        <w:t xml:space="preserve">2026 · Prinsen J ·</w:t>
      </w:r>
      <w:r>
        <w:t xml:space="preserve"> </w:t>
      </w:r>
      <w:r>
        <w:rPr>
          <w:iCs/>
          <w:i/>
        </w:rPr>
        <w:t xml:space="preserve">Psychoneuroendocrinology</w:t>
      </w:r>
      <w:r>
        <w:t xml:space="preserve"> </w:t>
      </w:r>
      <w:r>
        <w:t xml:space="preserve">· Impact of chronic oxytocin on gaze and pupil dynamics during live dyadic interactions in children with autism. PMID 41547341</w:t>
      </w:r>
    </w:p>
    <w:p>
      <w:pPr>
        <w:numPr>
          <w:ilvl w:val="0"/>
          <w:numId w:val="1419"/>
        </w:numPr>
        <w:pStyle w:val="Compact"/>
      </w:pPr>
      <w:r>
        <w:t xml:space="preserve">2026 · Song D ·</w:t>
      </w:r>
      <w:r>
        <w:t xml:space="preserve"> </w:t>
      </w:r>
      <w:r>
        <w:rPr>
          <w:iCs/>
          <w:i/>
        </w:rPr>
        <w:t xml:space="preserve">Behav Brain Res</w:t>
      </w:r>
      <w:r>
        <w:t xml:space="preserve"> </w:t>
      </w:r>
      <w:r>
        <w:t xml:space="preserve">· Age-dependent effects of intranasal oxytocin administration were revealed by resting brain entropy (BEN). PMID 41360155</w:t>
      </w:r>
    </w:p>
    <w:p>
      <w:pPr>
        <w:numPr>
          <w:ilvl w:val="0"/>
          <w:numId w:val="1419"/>
        </w:numPr>
        <w:pStyle w:val="Compact"/>
      </w:pPr>
      <w:r>
        <w:t xml:space="preserve">2026 · Schneider E ·</w:t>
      </w:r>
      <w:r>
        <w:t xml:space="preserve"> </w:t>
      </w:r>
      <w:r>
        <w:rPr>
          <w:iCs/>
          <w:i/>
        </w:rPr>
        <w:t xml:space="preserve">JAMA Psychiatry</w:t>
      </w:r>
      <w:r>
        <w:t xml:space="preserve"> </w:t>
      </w:r>
      <w:r>
        <w:t xml:space="preserve">· Intranasal Oxytocin and Physical Intimacy for Dermatological Wound Healing and Neuroendocrine Stress: A Randomized Clinical Trial. PMID 41222549</w:t>
      </w:r>
    </w:p>
    <w:p>
      <w:pPr>
        <w:numPr>
          <w:ilvl w:val="0"/>
          <w:numId w:val="1419"/>
        </w:numPr>
        <w:pStyle w:val="Compact"/>
      </w:pPr>
      <w:r>
        <w:t xml:space="preserve">2026 · Saker T ·</w:t>
      </w:r>
      <w:r>
        <w:t xml:space="preserve"> </w:t>
      </w:r>
      <w:r>
        <w:rPr>
          <w:iCs/>
          <w:i/>
        </w:rPr>
        <w:t xml:space="preserve">J Psychiatr Res</w:t>
      </w:r>
      <w:r>
        <w:t xml:space="preserve"> </w:t>
      </w:r>
      <w:r>
        <w:t xml:space="preserve">· The effect of intranasal oxytocin on theory of mind in children with attention deficit/hyperactive disorder. PMID 41138507</w:t>
      </w:r>
    </w:p>
    <w:p>
      <w:pPr>
        <w:numPr>
          <w:ilvl w:val="0"/>
          <w:numId w:val="1419"/>
        </w:numPr>
        <w:pStyle w:val="Compact"/>
      </w:pPr>
      <w:r>
        <w:t xml:space="preserve">2026 · Nannt J ·</w:t>
      </w:r>
      <w:r>
        <w:t xml:space="preserve"> </w:t>
      </w:r>
      <w:r>
        <w:rPr>
          <w:iCs/>
          <w:i/>
        </w:rPr>
        <w:t xml:space="preserve">Int J Eat Disord</w:t>
      </w:r>
      <w:r>
        <w:t xml:space="preserve"> </w:t>
      </w:r>
      <w:r>
        <w:t xml:space="preserve">· Oxytocin Effects on Food Stimulus Processing and Food Intake in Females With or Without Binge Eating Disorder. PMID 41131747</w:t>
      </w:r>
    </w:p>
    <w:p>
      <w:pPr>
        <w:numPr>
          <w:ilvl w:val="0"/>
          <w:numId w:val="1419"/>
        </w:numPr>
        <w:pStyle w:val="Compact"/>
      </w:pPr>
      <w:r>
        <w:t xml:space="preserve">2025 · Riem MME ·</w:t>
      </w:r>
      <w:r>
        <w:t xml:space="preserve"> </w:t>
      </w:r>
      <w:r>
        <w:rPr>
          <w:iCs/>
          <w:i/>
        </w:rPr>
        <w:t xml:space="preserve">Psychoneuroendocrinology</w:t>
      </w:r>
      <w:r>
        <w:t xml:space="preserve"> </w:t>
      </w:r>
      <w:r>
        <w:t xml:space="preserve">· Boosting oxytocin in postpartum depression: Intranasal oxytocin enhances maternal positive affect and regard for the infant. PMID 40614394</w:t>
      </w:r>
    </w:p>
    <w:p>
      <w:pPr>
        <w:numPr>
          <w:ilvl w:val="0"/>
          <w:numId w:val="1419"/>
        </w:numPr>
        <w:pStyle w:val="Compact"/>
      </w:pPr>
      <w:r>
        <w:t xml:space="preserve">2025 · Cosme G ·</w:t>
      </w:r>
      <w:r>
        <w:t xml:space="preserve"> </w:t>
      </w:r>
      <w:r>
        <w:rPr>
          <w:iCs/>
          <w:i/>
        </w:rPr>
        <w:t xml:space="preserve">Psychoneuroendocrinology</w:t>
      </w:r>
      <w:r>
        <w:t xml:space="preserve"> </w:t>
      </w:r>
      <w:r>
        <w:t xml:space="preserve">· Intranasal oxytocin increases cooperation of heterosexual men with women. PMID 40578004</w:t>
      </w:r>
    </w:p>
    <w:p>
      <w:pPr>
        <w:numPr>
          <w:ilvl w:val="0"/>
          <w:numId w:val="1419"/>
        </w:numPr>
        <w:pStyle w:val="Compact"/>
      </w:pPr>
      <w:r>
        <w:t xml:space="preserve">2025 · Julius NC ·</w:t>
      </w:r>
      <w:r>
        <w:t xml:space="preserve"> </w:t>
      </w:r>
      <w:r>
        <w:rPr>
          <w:iCs/>
          <w:i/>
        </w:rPr>
        <w:t xml:space="preserve">Sci Rep</w:t>
      </w:r>
      <w:r>
        <w:t xml:space="preserve"> </w:t>
      </w:r>
      <w:r>
        <w:t xml:space="preserve">· Nasal dominance potentiates intranasal oxytocin’s anxiolytic effects. PMID 40425808</w:t>
      </w:r>
    </w:p>
    <w:p>
      <w:pPr>
        <w:numPr>
          <w:ilvl w:val="0"/>
          <w:numId w:val="1419"/>
        </w:numPr>
        <w:pStyle w:val="Compact"/>
      </w:pPr>
      <w:r>
        <w:t xml:space="preserve">2025 · Flanagan JC ·</w:t>
      </w:r>
      <w:r>
        <w:t xml:space="preserve"> </w:t>
      </w:r>
      <w:r>
        <w:rPr>
          <w:iCs/>
          <w:i/>
        </w:rPr>
        <w:t xml:space="preserve">J Clin Psychiatry</w:t>
      </w:r>
      <w:r>
        <w:t xml:space="preserve"> </w:t>
      </w:r>
      <w:r>
        <w:t xml:space="preserve">· Results of a Randomized Controlled Trial Examining the Efficacy of Intranasal Oxytocin to Enhance Alcohol Behavioral Couple Therapy. PMID 40392716</w:t>
      </w:r>
    </w:p>
    <w:p>
      <w:pPr>
        <w:numPr>
          <w:ilvl w:val="0"/>
          <w:numId w:val="1419"/>
        </w:numPr>
        <w:pStyle w:val="Compact"/>
      </w:pPr>
      <w:r>
        <w:t xml:space="preserve">2025 · Aulinas A ·</w:t>
      </w:r>
      <w:r>
        <w:t xml:space="preserve"> </w:t>
      </w:r>
      <w:r>
        <w:rPr>
          <w:iCs/>
          <w:i/>
        </w:rPr>
        <w:t xml:space="preserve">J Clin Endocrinol Metab</w:t>
      </w:r>
      <w:r>
        <w:t xml:space="preserve"> </w:t>
      </w:r>
      <w:r>
        <w:t xml:space="preserve">· Arginine-Vasopressin Dynamics in Relation to Food Intake and 8-Week Intranasal Oxytocin Treatment in Adults With Obesity. PMID 40314146</w:t>
      </w:r>
    </w:p>
    <w:p>
      <w:pPr>
        <w:numPr>
          <w:ilvl w:val="0"/>
          <w:numId w:val="1419"/>
        </w:numPr>
        <w:pStyle w:val="Compact"/>
      </w:pPr>
      <w:r>
        <w:t xml:space="preserve">2025 · Vetter S ·</w:t>
      </w:r>
      <w:r>
        <w:t xml:space="preserve"> </w:t>
      </w:r>
      <w:r>
        <w:rPr>
          <w:iCs/>
          <w:i/>
        </w:rPr>
        <w:t xml:space="preserve">Psychopharmacology (Berl)</w:t>
      </w:r>
      <w:r>
        <w:t xml:space="preserve"> </w:t>
      </w:r>
      <w:r>
        <w:t xml:space="preserve">· Intranasal oxytocin blunts amygdala response to negative affective stimuli in males and females with alcohol use disorder: a randomized controlled cross-over trial. PMID 40232386</w:t>
      </w:r>
    </w:p>
    <w:p>
      <w:pPr>
        <w:numPr>
          <w:ilvl w:val="0"/>
          <w:numId w:val="1419"/>
        </w:numPr>
        <w:pStyle w:val="Compact"/>
      </w:pPr>
      <w:r>
        <w:t xml:space="preserve">2025 · O’ Brien S ·</w:t>
      </w:r>
      <w:r>
        <w:t xml:space="preserve"> </w:t>
      </w:r>
      <w:r>
        <w:rPr>
          <w:iCs/>
          <w:i/>
        </w:rPr>
        <w:t xml:space="preserve">Sci Rep</w:t>
      </w:r>
      <w:r>
        <w:t xml:space="preserve"> </w:t>
      </w:r>
      <w:r>
        <w:t xml:space="preserve">· Intranasal oxytocin modulates brain activity during emotional processing in children with treatment resistant conduct problems. PMID 40180973</w:t>
      </w:r>
    </w:p>
    <w:p>
      <w:pPr>
        <w:numPr>
          <w:ilvl w:val="0"/>
          <w:numId w:val="1419"/>
        </w:numPr>
        <w:pStyle w:val="Compact"/>
      </w:pPr>
      <w:r>
        <w:t xml:space="preserve">2025 · Andari E ·</w:t>
      </w:r>
      <w:r>
        <w:t xml:space="preserve"> </w:t>
      </w:r>
      <w:r>
        <w:rPr>
          <w:iCs/>
          <w:i/>
        </w:rPr>
        <w:t xml:space="preserve">Neuropsychopharmacology</w:t>
      </w:r>
      <w:r>
        <w:t xml:space="preserve"> </w:t>
      </w:r>
      <w:r>
        <w:t xml:space="preserve">· Random forest and Shapley Additive exPlanations predict oxytocin targeted effects on brain functional networks involved in salience and sensorimotor processing, in a randomized clinical trial in autism. PMID 40175527</w:t>
      </w:r>
    </w:p>
    <w:p>
      <w:pPr>
        <w:numPr>
          <w:ilvl w:val="0"/>
          <w:numId w:val="1419"/>
        </w:numPr>
        <w:pStyle w:val="Compact"/>
      </w:pPr>
      <w:r>
        <w:t xml:space="preserve">2025 · Shafer SL ·</w:t>
      </w:r>
      <w:r>
        <w:t xml:space="preserve"> </w:t>
      </w:r>
      <w:r>
        <w:rPr>
          <w:iCs/>
          <w:i/>
        </w:rPr>
        <w:t xml:space="preserve">Br J Anaesth</w:t>
      </w:r>
      <w:r>
        <w:t xml:space="preserve"> </w:t>
      </w:r>
      <w:r>
        <w:t xml:space="preserve">· Plasma pharmacokinetics of intravenous and intranasal oxytocin in nonpregnant adults. PMID 40121179</w:t>
      </w:r>
    </w:p>
    <w:p>
      <w:pPr>
        <w:numPr>
          <w:ilvl w:val="0"/>
          <w:numId w:val="1419"/>
        </w:numPr>
        <w:pStyle w:val="Compact"/>
      </w:pPr>
      <w:r>
        <w:t xml:space="preserve">2025 · Liu J ·</w:t>
      </w:r>
      <w:r>
        <w:t xml:space="preserve"> </w:t>
      </w:r>
      <w:r>
        <w:rPr>
          <w:iCs/>
          <w:i/>
        </w:rPr>
        <w:t xml:space="preserve">Psychoneuroendocrinology</w:t>
      </w:r>
      <w:r>
        <w:t xml:space="preserve"> </w:t>
      </w:r>
      <w:r>
        <w:t xml:space="preserve">· The complex role of oxytocin in fear acquisition and generalization. PMID 40073548</w:t>
      </w:r>
    </w:p>
    <w:p>
      <w:pPr>
        <w:numPr>
          <w:ilvl w:val="0"/>
          <w:numId w:val="1419"/>
        </w:numPr>
        <w:pStyle w:val="Compact"/>
      </w:pPr>
      <w:r>
        <w:t xml:space="preserve">2025 · Rosenfeld-Ganzel A ·</w:t>
      </w:r>
      <w:r>
        <w:t xml:space="preserve"> </w:t>
      </w:r>
      <w:r>
        <w:rPr>
          <w:iCs/>
          <w:i/>
        </w:rPr>
        <w:t xml:space="preserve">Biol Psychol</w:t>
      </w:r>
      <w:r>
        <w:t xml:space="preserve"> </w:t>
      </w:r>
      <w:r>
        <w:t xml:space="preserve">· Oxytocin’s role in the interaction between emotion and cognitive control. PMID 39987954</w:t>
      </w:r>
    </w:p>
    <w:p>
      <w:pPr>
        <w:numPr>
          <w:ilvl w:val="0"/>
          <w:numId w:val="1419"/>
        </w:numPr>
        <w:pStyle w:val="Compact"/>
      </w:pPr>
      <w:r>
        <w:t xml:space="preserve">2025 · Verdes A ·</w:t>
      </w:r>
      <w:r>
        <w:t xml:space="preserve"> </w:t>
      </w:r>
      <w:r>
        <w:rPr>
          <w:iCs/>
          <w:i/>
        </w:rPr>
        <w:t xml:space="preserve">J Child Adolesc Psychopharmacol</w:t>
      </w:r>
      <w:r>
        <w:t xml:space="preserve"> </w:t>
      </w:r>
      <w:r>
        <w:t xml:space="preserve">· Predictors of Placebo Response in the Study of Oxytocin in Autism to Improve Reciprocal Social Behaviors. PMID 39970017</w:t>
      </w:r>
    </w:p>
    <w:p>
      <w:pPr>
        <w:numPr>
          <w:ilvl w:val="0"/>
          <w:numId w:val="1419"/>
        </w:numPr>
        <w:pStyle w:val="Compact"/>
      </w:pPr>
      <w:r>
        <w:t xml:space="preserve">2025 · Lindley Baron-Cohen K ·</w:t>
      </w:r>
      <w:r>
        <w:t xml:space="preserve"> </w:t>
      </w:r>
      <w:r>
        <w:rPr>
          <w:iCs/>
          <w:i/>
        </w:rPr>
        <w:t xml:space="preserve">Psychoneuroendocrinology</w:t>
      </w:r>
      <w:r>
        <w:t xml:space="preserve"> </w:t>
      </w:r>
      <w:r>
        <w:t xml:space="preserve">· Intranasal oxytocin increases breast milk oxytocin, but has a reduced effect in depressed mothers: A randomized controlled trial. PMID 39891981</w:t>
      </w:r>
    </w:p>
    <w:p>
      <w:pPr>
        <w:numPr>
          <w:ilvl w:val="0"/>
          <w:numId w:val="1419"/>
        </w:numPr>
        <w:pStyle w:val="Compact"/>
      </w:pPr>
      <w:r>
        <w:t xml:space="preserve">2025 · Burmester V ·</w:t>
      </w:r>
      <w:r>
        <w:t xml:space="preserve"> </w:t>
      </w:r>
      <w:r>
        <w:rPr>
          <w:iCs/>
          <w:i/>
        </w:rPr>
        <w:t xml:space="preserve">Eur Eat Disord Rev</w:t>
      </w:r>
      <w:r>
        <w:t xml:space="preserve"> </w:t>
      </w:r>
      <w:r>
        <w:t xml:space="preserve">· Oxytocin Amplifies Negative Response to Ambiguity in Adolescent Females With and Without Eating Disorders. PMID 39887557</w:t>
      </w:r>
    </w:p>
    <w:p>
      <w:pPr>
        <w:numPr>
          <w:ilvl w:val="0"/>
          <w:numId w:val="1419"/>
        </w:numPr>
        <w:pStyle w:val="Compact"/>
      </w:pPr>
      <w:r>
        <w:t xml:space="preserve">2025 · Coleman KKL ·</w:t>
      </w:r>
      <w:r>
        <w:t xml:space="preserve"> </w:t>
      </w:r>
      <w:r>
        <w:rPr>
          <w:iCs/>
          <w:i/>
        </w:rPr>
        <w:t xml:space="preserve">Lancet Neurol</w:t>
      </w:r>
      <w:r>
        <w:t xml:space="preserve"> </w:t>
      </w:r>
      <w:r>
        <w:t xml:space="preserve">· Intranasal oxytocin for apathy in people with frontotemporal dementia (FOXY): a multicentre, randomised, double-blind, placebo-controlled, adaptive, crossover, phase 2a/2b superiority trial. PMID 39862881</w:t>
      </w:r>
    </w:p>
    <w:p>
      <w:pPr>
        <w:numPr>
          <w:ilvl w:val="0"/>
          <w:numId w:val="1419"/>
        </w:numPr>
        <w:pStyle w:val="Compact"/>
      </w:pPr>
      <w:r>
        <w:t xml:space="preserve">2025 · Thurston MD ·</w:t>
      </w:r>
      <w:r>
        <w:t xml:space="preserve"> </w:t>
      </w:r>
      <w:r>
        <w:rPr>
          <w:iCs/>
          <w:i/>
        </w:rPr>
        <w:t xml:space="preserve">Psychopharmacology (Berl)</w:t>
      </w:r>
      <w:r>
        <w:t xml:space="preserve"> </w:t>
      </w:r>
      <w:r>
        <w:t xml:space="preserve">· Oxytocin differentially modulates reward system responses to social and non-social incentives. PMID 39365438</w:t>
      </w:r>
    </w:p>
    <w:p>
      <w:pPr>
        <w:numPr>
          <w:ilvl w:val="0"/>
          <w:numId w:val="1419"/>
        </w:numPr>
        <w:pStyle w:val="Compact"/>
      </w:pPr>
      <w:r>
        <w:t xml:space="preserve">2025 · Rashidi M ·</w:t>
      </w:r>
      <w:r>
        <w:t xml:space="preserve"> </w:t>
      </w:r>
      <w:r>
        <w:rPr>
          <w:iCs/>
          <w:i/>
        </w:rPr>
        <w:t xml:space="preserve">Neuropsychopharmacology</w:t>
      </w:r>
      <w:r>
        <w:t xml:space="preserve"> </w:t>
      </w:r>
      <w:r>
        <w:t xml:space="preserve">· Effects of intranasal oxytocin on fear extinction learning. PMID 39313675</w:t>
      </w:r>
    </w:p>
    <w:p>
      <w:pPr>
        <w:numPr>
          <w:ilvl w:val="0"/>
          <w:numId w:val="1419"/>
        </w:numPr>
        <w:pStyle w:val="Compact"/>
      </w:pPr>
      <w:r>
        <w:t xml:space="preserve">2024 · Moerkerke M ·</w:t>
      </w:r>
      <w:r>
        <w:t xml:space="preserve"> </w:t>
      </w:r>
      <w:r>
        <w:rPr>
          <w:iCs/>
          <w:i/>
        </w:rPr>
        <w:t xml:space="preserve">Mol Autism</w:t>
      </w:r>
      <w:r>
        <w:t xml:space="preserve"> </w:t>
      </w:r>
      <w:r>
        <w:t xml:space="preserve">· Impact of chronic intranasal oxytocin administration on face expression processing in autistic children: a randomized controlled trial using fMRI. PMID 39709442</w:t>
      </w:r>
    </w:p>
    <w:p>
      <w:pPr>
        <w:numPr>
          <w:ilvl w:val="0"/>
          <w:numId w:val="1419"/>
        </w:numPr>
        <w:pStyle w:val="Compact"/>
      </w:pPr>
      <w:r>
        <w:t xml:space="preserve">2024 · Maoz H ·</w:t>
      </w:r>
      <w:r>
        <w:t xml:space="preserve"> </w:t>
      </w:r>
      <w:r>
        <w:rPr>
          <w:iCs/>
          <w:i/>
        </w:rPr>
        <w:t xml:space="preserve">Psychiatry Res</w:t>
      </w:r>
      <w:r>
        <w:t xml:space="preserve"> </w:t>
      </w:r>
      <w:r>
        <w:t xml:space="preserve">· Sex differences in response to intranasal oxytocin as an adjunctive therapy for patients with severe mental illness. PMID 39579479</w:t>
      </w:r>
    </w:p>
    <w:p>
      <w:pPr>
        <w:numPr>
          <w:ilvl w:val="0"/>
          <w:numId w:val="1419"/>
        </w:numPr>
        <w:pStyle w:val="Compact"/>
      </w:pPr>
      <w:r>
        <w:t xml:space="preserve">2024 · Wang Y ·</w:t>
      </w:r>
      <w:r>
        <w:t xml:space="preserve"> </w:t>
      </w:r>
      <w:r>
        <w:rPr>
          <w:iCs/>
          <w:i/>
        </w:rPr>
        <w:t xml:space="preserve">Neuropharmacology</w:t>
      </w:r>
      <w:r>
        <w:t xml:space="preserve"> </w:t>
      </w:r>
      <w:r>
        <w:t xml:space="preserve">· Oxytocin modulation of explicit pandemic stigma in men with varying social anxiety levels. PMID 39251086</w:t>
      </w:r>
    </w:p>
    <w:p>
      <w:pPr>
        <w:numPr>
          <w:ilvl w:val="0"/>
          <w:numId w:val="1419"/>
        </w:numPr>
        <w:pStyle w:val="Compact"/>
      </w:pPr>
      <w:r>
        <w:t xml:space="preserve">2024 · Liu P ·</w:t>
      </w:r>
      <w:r>
        <w:t xml:space="preserve"> </w:t>
      </w:r>
      <w:r>
        <w:rPr>
          <w:iCs/>
          <w:i/>
        </w:rPr>
        <w:t xml:space="preserve">Neuropharmacology</w:t>
      </w:r>
      <w:r>
        <w:t xml:space="preserve"> </w:t>
      </w:r>
      <w:r>
        <w:t xml:space="preserve">· Effects of four-week intranasal oxytocin administration on large-scale brain networks in older adults. PMID 39182569</w:t>
      </w:r>
    </w:p>
    <w:p>
      <w:pPr>
        <w:numPr>
          <w:ilvl w:val="0"/>
          <w:numId w:val="1419"/>
        </w:numPr>
        <w:pStyle w:val="Compact"/>
      </w:pPr>
      <w:r>
        <w:t xml:space="preserve">2024 · Goll N ·</w:t>
      </w:r>
      <w:r>
        <w:t xml:space="preserve"> </w:t>
      </w:r>
      <w:r>
        <w:rPr>
          <w:iCs/>
          <w:i/>
        </w:rPr>
        <w:t xml:space="preserve">Diabetes Obes Metab</w:t>
      </w:r>
      <w:r>
        <w:t xml:space="preserve"> </w:t>
      </w:r>
      <w:r>
        <w:t xml:space="preserve">· Oxytocin does not acutely improve glucose tolerance in men with type 2 diabetes. PMID 39118203</w:t>
      </w:r>
    </w:p>
    <w:p>
      <w:pPr>
        <w:numPr>
          <w:ilvl w:val="0"/>
          <w:numId w:val="1419"/>
        </w:numPr>
        <w:pStyle w:val="Compact"/>
      </w:pPr>
      <w:r>
        <w:t xml:space="preserve">2024 · Zhou M ·</w:t>
      </w:r>
      <w:r>
        <w:t xml:space="preserve"> </w:t>
      </w:r>
      <w:r>
        <w:rPr>
          <w:iCs/>
          <w:i/>
        </w:rPr>
        <w:t xml:space="preserve">Biol Psychiatry Cogn Neurosci Neuroimaging</w:t>
      </w:r>
      <w:r>
        <w:t xml:space="preserve"> </w:t>
      </w:r>
      <w:r>
        <w:t xml:space="preserve">· Intranasal Oxytocin Improves Interoceptive Accuracy and Heartbeat-Evoked Potentials During a Cardiac Interoceptive Task. PMID 38839034</w:t>
      </w:r>
    </w:p>
    <w:p>
      <w:pPr>
        <w:numPr>
          <w:ilvl w:val="0"/>
          <w:numId w:val="1419"/>
        </w:numPr>
        <w:pStyle w:val="Compact"/>
      </w:pPr>
      <w:r>
        <w:t xml:space="preserve">2024 · Plessow F ·</w:t>
      </w:r>
      <w:r>
        <w:t xml:space="preserve"> </w:t>
      </w:r>
      <w:r>
        <w:rPr>
          <w:iCs/>
          <w:i/>
        </w:rPr>
        <w:t xml:space="preserve">NEJM Evid</w:t>
      </w:r>
      <w:r>
        <w:t xml:space="preserve"> </w:t>
      </w:r>
      <w:r>
        <w:t xml:space="preserve">· Intranasal Oxytocin for Obesity. PMID 38815173</w:t>
      </w:r>
    </w:p>
    <w:p>
      <w:pPr>
        <w:numPr>
          <w:ilvl w:val="0"/>
          <w:numId w:val="1419"/>
        </w:numPr>
        <w:pStyle w:val="Compact"/>
      </w:pPr>
      <w:r>
        <w:t xml:space="preserve">2024 · Berger R ·</w:t>
      </w:r>
      <w:r>
        <w:t xml:space="preserve"> </w:t>
      </w:r>
      <w:r>
        <w:rPr>
          <w:iCs/>
          <w:i/>
        </w:rPr>
        <w:t xml:space="preserve">Psychother Psychosom</w:t>
      </w:r>
      <w:r>
        <w:t xml:space="preserve"> </w:t>
      </w:r>
      <w:r>
        <w:t xml:space="preserve">· Oxytocin-Augmented Modular-Based Group Intervention for Loneliness: A Proof-Of-Concept Randomized Controlled Trial. PMID 38754399</w:t>
      </w:r>
    </w:p>
    <w:p>
      <w:pPr>
        <w:numPr>
          <w:ilvl w:val="0"/>
          <w:numId w:val="1419"/>
        </w:numPr>
        <w:pStyle w:val="Compact"/>
      </w:pPr>
      <w:r>
        <w:t xml:space="preserve">2024 · Tomescu MI ·</w:t>
      </w:r>
      <w:r>
        <w:t xml:space="preserve"> </w:t>
      </w:r>
      <w:r>
        <w:rPr>
          <w:iCs/>
          <w:i/>
        </w:rPr>
        <w:t xml:space="preserve">Psychophysiology</w:t>
      </w:r>
      <w:r>
        <w:t xml:space="preserve"> </w:t>
      </w:r>
      <w:r>
        <w:t xml:space="preserve">· Social functioning predicts individual changes in EEG microstates following intranasal oxytocin administration: A double-blind, cross-over randomized clinical trial. PMID 38594888</w:t>
      </w:r>
    </w:p>
    <w:p>
      <w:pPr>
        <w:numPr>
          <w:ilvl w:val="0"/>
          <w:numId w:val="1419"/>
        </w:numPr>
        <w:pStyle w:val="Compact"/>
      </w:pPr>
      <w:r>
        <w:t xml:space="preserve">2024 · Flechsenhar A ·</w:t>
      </w:r>
      <w:r>
        <w:t xml:space="preserve"> </w:t>
      </w:r>
      <w:r>
        <w:rPr>
          <w:iCs/>
          <w:i/>
        </w:rPr>
        <w:t xml:space="preserve">Neuropharmacology</w:t>
      </w:r>
      <w:r>
        <w:t xml:space="preserve"> </w:t>
      </w:r>
      <w:r>
        <w:t xml:space="preserve">· Oxytocin and social learning in socially anxious men and women. PMID 38537867</w:t>
      </w:r>
    </w:p>
    <w:p>
      <w:pPr>
        <w:numPr>
          <w:ilvl w:val="0"/>
          <w:numId w:val="1419"/>
        </w:numPr>
        <w:pStyle w:val="Compact"/>
      </w:pPr>
      <w:r>
        <w:t xml:space="preserve">2024 · Maguire S ·</w:t>
      </w:r>
      <w:r>
        <w:t xml:space="preserve"> </w:t>
      </w:r>
      <w:r>
        <w:rPr>
          <w:iCs/>
          <w:i/>
        </w:rPr>
        <w:t xml:space="preserve">Psychoneuroendocrinology</w:t>
      </w:r>
      <w:r>
        <w:t xml:space="preserve"> </w:t>
      </w:r>
      <w:r>
        <w:t xml:space="preserve">· A phase II randomised controlled trial of intranasal oxytocin in anorexia nervosa. PMID 38520886</w:t>
      </w:r>
    </w:p>
    <w:p>
      <w:pPr>
        <w:numPr>
          <w:ilvl w:val="0"/>
          <w:numId w:val="1419"/>
        </w:numPr>
        <w:pStyle w:val="Compact"/>
      </w:pPr>
      <w:r>
        <w:t xml:space="preserve">2024 · Shoenfelt A ·</w:t>
      </w:r>
      <w:r>
        <w:t xml:space="preserve"> </w:t>
      </w:r>
      <w:r>
        <w:rPr>
          <w:iCs/>
          <w:i/>
        </w:rPr>
        <w:t xml:space="preserve">Psychoneuroendocrinology</w:t>
      </w:r>
      <w:r>
        <w:t xml:space="preserve"> </w:t>
      </w:r>
      <w:r>
        <w:t xml:space="preserve">· Effects of chronic intranasal oxytocin on visual attention to faces vs. natural scenes in older adults. PMID 38461634</w:t>
      </w:r>
    </w:p>
    <w:p>
      <w:pPr>
        <w:numPr>
          <w:ilvl w:val="0"/>
          <w:numId w:val="1419"/>
        </w:numPr>
        <w:pStyle w:val="Compact"/>
      </w:pPr>
      <w:r>
        <w:t xml:space="preserve">2024 · Ellenbogen MA ·</w:t>
      </w:r>
      <w:r>
        <w:t xml:space="preserve"> </w:t>
      </w:r>
      <w:r>
        <w:rPr>
          <w:iCs/>
          <w:i/>
        </w:rPr>
        <w:t xml:space="preserve">Psychol Med</w:t>
      </w:r>
      <w:r>
        <w:t xml:space="preserve"> </w:t>
      </w:r>
      <w:r>
        <w:t xml:space="preserve">· The effects of intranasal oxytocin on the efficacy of psychotherapy for major depressive disorder: a pilot randomized controlled trial. PMID 38445382</w:t>
      </w:r>
    </w:p>
    <w:p>
      <w:pPr>
        <w:numPr>
          <w:ilvl w:val="0"/>
          <w:numId w:val="1419"/>
        </w:numPr>
        <w:pStyle w:val="Compact"/>
      </w:pPr>
      <w:r>
        <w:t xml:space="preserve">2024 · Hwang S ·</w:t>
      </w:r>
      <w:r>
        <w:t xml:space="preserve"> </w:t>
      </w:r>
      <w:r>
        <w:rPr>
          <w:iCs/>
          <w:i/>
        </w:rPr>
        <w:t xml:space="preserve">Am J Psychiatry</w:t>
      </w:r>
      <w:r>
        <w:t xml:space="preserve"> </w:t>
      </w:r>
      <w:r>
        <w:t xml:space="preserve">· Neural Responses to Intranasal Oxytocin in Youths With Severe Irritability. PMID 38419495</w:t>
      </w:r>
    </w:p>
    <w:p>
      <w:pPr>
        <w:numPr>
          <w:ilvl w:val="0"/>
          <w:numId w:val="1419"/>
        </w:numPr>
        <w:pStyle w:val="Compact"/>
      </w:pPr>
      <w:r>
        <w:t xml:space="preserve">2024 · Moses E ·</w:t>
      </w:r>
      <w:r>
        <w:t xml:space="preserve"> </w:t>
      </w:r>
      <w:r>
        <w:rPr>
          <w:iCs/>
          <w:i/>
        </w:rPr>
        <w:t xml:space="preserve">Soc Cogn Affect Neurosci</w:t>
      </w:r>
      <w:r>
        <w:t xml:space="preserve"> </w:t>
      </w:r>
      <w:r>
        <w:t xml:space="preserve">· Oxytocin differentially modulates the early neural responses to faces and non-social stimuli. PMID 38372627</w:t>
      </w:r>
    </w:p>
    <w:p>
      <w:pPr>
        <w:numPr>
          <w:ilvl w:val="0"/>
          <w:numId w:val="1419"/>
        </w:numPr>
        <w:pStyle w:val="Compact"/>
      </w:pPr>
      <w:r>
        <w:t xml:space="preserve">2024 · İmamoğlu A ·</w:t>
      </w:r>
      <w:r>
        <w:t xml:space="preserve"> </w:t>
      </w:r>
      <w:r>
        <w:rPr>
          <w:iCs/>
          <w:i/>
        </w:rPr>
        <w:t xml:space="preserve">J Psychiatr Res</w:t>
      </w:r>
      <w:r>
        <w:t xml:space="preserve"> </w:t>
      </w:r>
      <w:r>
        <w:t xml:space="preserve">· The effect of intranasal oxytocin on neurocognition in people with schizophrenia: A randomized controlled trial. PMID 38262165</w:t>
      </w:r>
    </w:p>
    <w:p>
      <w:pPr>
        <w:numPr>
          <w:ilvl w:val="0"/>
          <w:numId w:val="1419"/>
        </w:numPr>
        <w:pStyle w:val="Compact"/>
      </w:pPr>
      <w:r>
        <w:t xml:space="preserve">2024 · Davies C ·</w:t>
      </w:r>
      <w:r>
        <w:t xml:space="preserve"> </w:t>
      </w:r>
      <w:r>
        <w:rPr>
          <w:iCs/>
          <w:i/>
        </w:rPr>
        <w:t xml:space="preserve">Mol Psychiatry</w:t>
      </w:r>
      <w:r>
        <w:t xml:space="preserve"> </w:t>
      </w:r>
      <w:r>
        <w:t xml:space="preserve">· Connectome dysfunction in patients at clinical high risk for psychosis and modulation by oxytocin. PMID 38243074</w:t>
      </w:r>
    </w:p>
    <w:p>
      <w:pPr>
        <w:numPr>
          <w:ilvl w:val="0"/>
          <w:numId w:val="1419"/>
        </w:numPr>
        <w:pStyle w:val="Compact"/>
      </w:pPr>
      <w:r>
        <w:t xml:space="preserve">2024 · Pongrácz P ·</w:t>
      </w:r>
      <w:r>
        <w:t xml:space="preserve"> </w:t>
      </w:r>
      <w:r>
        <w:rPr>
          <w:iCs/>
          <w:i/>
        </w:rPr>
        <w:t xml:space="preserve">BMC Ecol Evol</w:t>
      </w:r>
      <w:r>
        <w:t xml:space="preserve"> </w:t>
      </w:r>
      <w:r>
        <w:t xml:space="preserve">· Alarm or emotion? intranasal oxytocin helps determine information conveyed by dog barks for adult male human listeners. PMID 38221611</w:t>
      </w:r>
    </w:p>
    <w:p>
      <w:pPr>
        <w:numPr>
          <w:ilvl w:val="0"/>
          <w:numId w:val="1419"/>
        </w:numPr>
        <w:pStyle w:val="Compact"/>
      </w:pPr>
      <w:r>
        <w:t xml:space="preserve">2024 · Moerkerke M ·</w:t>
      </w:r>
      <w:r>
        <w:t xml:space="preserve"> </w:t>
      </w:r>
      <w:r>
        <w:rPr>
          <w:iCs/>
          <w:i/>
        </w:rPr>
        <w:t xml:space="preserve">Nat Commun</w:t>
      </w:r>
      <w:r>
        <w:t xml:space="preserve"> </w:t>
      </w:r>
      <w:r>
        <w:t xml:space="preserve">· Chronic oxytocin administration stimulates the oxytocinergic system in children with autism. PMID 38167302</w:t>
      </w:r>
    </w:p>
    <w:p>
      <w:pPr>
        <w:numPr>
          <w:ilvl w:val="0"/>
          <w:numId w:val="1419"/>
        </w:numPr>
        <w:pStyle w:val="Compact"/>
      </w:pPr>
      <w:r>
        <w:t xml:space="preserve">2024 · Maoz H ·</w:t>
      </w:r>
      <w:r>
        <w:t xml:space="preserve"> </w:t>
      </w:r>
      <w:r>
        <w:rPr>
          <w:iCs/>
          <w:i/>
        </w:rPr>
        <w:t xml:space="preserve">J Affect Disord</w:t>
      </w:r>
      <w:r>
        <w:t xml:space="preserve"> </w:t>
      </w:r>
      <w:r>
        <w:t xml:space="preserve">· Intranasal oxytocin as an adjunct treatment among patients with severe major depression with and without comorbid borderline personality disorder. PMID 37992767</w:t>
      </w:r>
    </w:p>
    <w:p>
      <w:pPr>
        <w:numPr>
          <w:ilvl w:val="0"/>
          <w:numId w:val="1419"/>
        </w:numPr>
        <w:pStyle w:val="Compact"/>
      </w:pPr>
      <w:r>
        <w:t xml:space="preserve">2024 · Xiao S ·</w:t>
      </w:r>
      <w:r>
        <w:t xml:space="preserve"> </w:t>
      </w:r>
      <w:r>
        <w:rPr>
          <w:iCs/>
          <w:i/>
        </w:rPr>
        <w:t xml:space="preserve">Psychoneuroendocrinology</w:t>
      </w:r>
      <w:r>
        <w:t xml:space="preserve"> </w:t>
      </w:r>
      <w:r>
        <w:t xml:space="preserve">· Age-dependent effects of oxytocin in brain regions enriched with oxytocin receptors. PMID 37951085</w:t>
      </w:r>
    </w:p>
    <w:p>
      <w:pPr>
        <w:numPr>
          <w:ilvl w:val="0"/>
          <w:numId w:val="1419"/>
        </w:numPr>
        <w:pStyle w:val="Compact"/>
      </w:pPr>
      <w:r>
        <w:t xml:space="preserve">2023 · Alaerts K ·</w:t>
      </w:r>
      <w:r>
        <w:t xml:space="preserve"> </w:t>
      </w:r>
      <w:r>
        <w:rPr>
          <w:iCs/>
          <w:i/>
        </w:rPr>
        <w:t xml:space="preserve">Psychother Psychosom</w:t>
      </w:r>
      <w:r>
        <w:t xml:space="preserve"> </w:t>
      </w:r>
      <w:r>
        <w:t xml:space="preserve">· At the Head and Heart of Oxytocin’s Stress-Regulatory Neural and Cardiac Effects: A Chronic Administration RCT in Children with Autism. PMID 37820592</w:t>
      </w:r>
    </w:p>
    <w:p>
      <w:pPr>
        <w:numPr>
          <w:ilvl w:val="0"/>
          <w:numId w:val="1419"/>
        </w:numPr>
        <w:pStyle w:val="Compact"/>
      </w:pPr>
      <w:r>
        <w:t xml:space="preserve">2023 · Wright KA ·</w:t>
      </w:r>
      <w:r>
        <w:t xml:space="preserve"> </w:t>
      </w:r>
      <w:r>
        <w:rPr>
          <w:iCs/>
          <w:i/>
        </w:rPr>
        <w:t xml:space="preserve">Horm Behav</w:t>
      </w:r>
      <w:r>
        <w:t xml:space="preserve"> </w:t>
      </w:r>
      <w:r>
        <w:t xml:space="preserve">· Four-week intranasal oxytocin administration reduces attachment avoidance in older women. PMID 37659357</w:t>
      </w:r>
    </w:p>
    <w:p>
      <w:pPr>
        <w:numPr>
          <w:ilvl w:val="0"/>
          <w:numId w:val="1419"/>
        </w:numPr>
        <w:pStyle w:val="Compact"/>
      </w:pPr>
      <w:r>
        <w:t xml:space="preserve">2023 · Vogt C ·</w:t>
      </w:r>
      <w:r>
        <w:t xml:space="preserve"> </w:t>
      </w:r>
      <w:r>
        <w:rPr>
          <w:iCs/>
          <w:i/>
        </w:rPr>
        <w:t xml:space="preserve">Soc Cogn Affect Neurosci</w:t>
      </w:r>
      <w:r>
        <w:t xml:space="preserve"> </w:t>
      </w:r>
      <w:r>
        <w:t xml:space="preserve">· Oxytocinergic modulation of speech production-a double-blind placebo-controlled fMRI study. PMID 37384576</w:t>
      </w:r>
    </w:p>
    <w:p>
      <w:pPr>
        <w:numPr>
          <w:ilvl w:val="0"/>
          <w:numId w:val="1419"/>
        </w:numPr>
        <w:pStyle w:val="Compact"/>
      </w:pPr>
      <w:r>
        <w:t xml:space="preserve">2023 · Lin C ·</w:t>
      </w:r>
      <w:r>
        <w:t xml:space="preserve"> </w:t>
      </w:r>
      <w:r>
        <w:rPr>
          <w:iCs/>
          <w:i/>
        </w:rPr>
        <w:t xml:space="preserve">Physiol Behav</w:t>
      </w:r>
      <w:r>
        <w:t xml:space="preserve"> </w:t>
      </w:r>
      <w:r>
        <w:t xml:space="preserve">· The relationship between oxytocin and empathy for others’ pain: Testing the mediating effect of first-hand pain sensitivity. PMID 37301493</w:t>
      </w:r>
    </w:p>
    <w:p>
      <w:pPr>
        <w:numPr>
          <w:ilvl w:val="0"/>
          <w:numId w:val="1419"/>
        </w:numPr>
        <w:pStyle w:val="Compact"/>
      </w:pPr>
      <w:r>
        <w:t xml:space="preserve">2023 · Moerkerke M ·</w:t>
      </w:r>
      <w:r>
        <w:t xml:space="preserve"> </w:t>
      </w:r>
      <w:r>
        <w:rPr>
          <w:iCs/>
          <w:i/>
        </w:rPr>
        <w:t xml:space="preserve">J Child Psychol Psychiatry</w:t>
      </w:r>
      <w:r>
        <w:t xml:space="preserve"> </w:t>
      </w:r>
      <w:r>
        <w:t xml:space="preserve">· Can repeated intranasal oxytocin administration affect reduced neural sensitivity towards expressive faces in autism? A randomized controlled trial. PMID 37278339</w:t>
      </w:r>
    </w:p>
    <w:p>
      <w:pPr>
        <w:numPr>
          <w:ilvl w:val="0"/>
          <w:numId w:val="1419"/>
        </w:numPr>
        <w:pStyle w:val="Compact"/>
      </w:pPr>
      <w:r>
        <w:t xml:space="preserve">2023 · Chen Y ·</w:t>
      </w:r>
      <w:r>
        <w:t xml:space="preserve"> </w:t>
      </w:r>
      <w:r>
        <w:rPr>
          <w:iCs/>
          <w:i/>
        </w:rPr>
        <w:t xml:space="preserve">Elife</w:t>
      </w:r>
      <w:r>
        <w:t xml:space="preserve"> </w:t>
      </w:r>
      <w:r>
        <w:t xml:space="preserve">· Oxytocin administration enhances pleasantness and neural responses to gentle stroking but not moderate pressure social touch by increasing peripheral concentrations. PMID 37171081</w:t>
      </w:r>
    </w:p>
    <w:p>
      <w:pPr>
        <w:numPr>
          <w:ilvl w:val="0"/>
          <w:numId w:val="1419"/>
        </w:numPr>
        <w:pStyle w:val="Compact"/>
      </w:pPr>
      <w:r>
        <w:t xml:space="preserve">2023 · Daniels N ·</w:t>
      </w:r>
      <w:r>
        <w:t xml:space="preserve"> </w:t>
      </w:r>
      <w:r>
        <w:rPr>
          <w:iCs/>
          <w:i/>
        </w:rPr>
        <w:t xml:space="preserve">Mol Autism</w:t>
      </w:r>
      <w:r>
        <w:t xml:space="preserve"> </w:t>
      </w:r>
      <w:r>
        <w:t xml:space="preserve">· Effects of multiple-dose intranasal oxytocin administration on social responsiveness in children with autism: a randomized, placebo-controlled trial. PMID 37081454</w:t>
      </w:r>
    </w:p>
    <w:p>
      <w:pPr>
        <w:numPr>
          <w:ilvl w:val="0"/>
          <w:numId w:val="1419"/>
        </w:numPr>
        <w:pStyle w:val="Compact"/>
      </w:pPr>
      <w:r>
        <w:t xml:space="preserve">2023 · Cosme G ·</w:t>
      </w:r>
      <w:r>
        <w:t xml:space="preserve"> </w:t>
      </w:r>
      <w:r>
        <w:rPr>
          <w:iCs/>
          <w:i/>
        </w:rPr>
        <w:t xml:space="preserve">J Psychopharmacol</w:t>
      </w:r>
      <w:r>
        <w:t xml:space="preserve"> </w:t>
      </w:r>
      <w:r>
        <w:t xml:space="preserve">· Temporal profile of intranasal oxytocin in the human autonomic nervous system at rest: An electrocardiography and pupillometry study. PMID 36891949</w:t>
      </w:r>
    </w:p>
    <w:p>
      <w:pPr>
        <w:numPr>
          <w:ilvl w:val="0"/>
          <w:numId w:val="1419"/>
        </w:numPr>
        <w:pStyle w:val="Compact"/>
      </w:pPr>
      <w:r>
        <w:t xml:space="preserve">2023 · Jansen M ·</w:t>
      </w:r>
      <w:r>
        <w:t xml:space="preserve"> </w:t>
      </w:r>
      <w:r>
        <w:rPr>
          <w:iCs/>
          <w:i/>
        </w:rPr>
        <w:t xml:space="preserve">Neuroimage</w:t>
      </w:r>
      <w:r>
        <w:t xml:space="preserve"> </w:t>
      </w:r>
      <w:r>
        <w:t xml:space="preserve">· l-DOPA and oxytocin influence the neurocomputational mechanisms of self-benefitting and prosocial reinforcement learning. PMID 36848972</w:t>
      </w:r>
    </w:p>
    <w:p>
      <w:pPr>
        <w:numPr>
          <w:ilvl w:val="0"/>
          <w:numId w:val="1419"/>
        </w:numPr>
        <w:pStyle w:val="Compact"/>
      </w:pPr>
      <w:r>
        <w:t xml:space="preserve">2023 · Maslahati T ·</w:t>
      </w:r>
      <w:r>
        <w:t xml:space="preserve"> </w:t>
      </w:r>
      <w:r>
        <w:rPr>
          <w:iCs/>
          <w:i/>
        </w:rPr>
        <w:t xml:space="preserve">Transl Psychiatry</w:t>
      </w:r>
      <w:r>
        <w:t xml:space="preserve"> </w:t>
      </w:r>
      <w:r>
        <w:t xml:space="preserve">· Oxytocin vs. placebo effects on intrusive memory consolidation using a trauma film paradigm: a randomized, controlled experimental study in healthy women. PMID 36739422</w:t>
      </w:r>
    </w:p>
    <w:p>
      <w:pPr>
        <w:numPr>
          <w:ilvl w:val="0"/>
          <w:numId w:val="1419"/>
        </w:numPr>
        <w:pStyle w:val="Compact"/>
      </w:pPr>
      <w:r>
        <w:t xml:space="preserve">2023 · Vehlen A ·</w:t>
      </w:r>
      <w:r>
        <w:t xml:space="preserve"> </w:t>
      </w:r>
      <w:r>
        <w:rPr>
          <w:iCs/>
          <w:i/>
        </w:rPr>
        <w:t xml:space="preserve">J Psychiatr Res</w:t>
      </w:r>
      <w:r>
        <w:t xml:space="preserve"> </w:t>
      </w:r>
      <w:r>
        <w:t xml:space="preserve">· Reduced eye gaze during facial emotion recognition in chronic depression: Effects of intranasal oxytocin. PMID 36657314</w:t>
      </w:r>
    </w:p>
    <w:p>
      <w:pPr>
        <w:numPr>
          <w:ilvl w:val="0"/>
          <w:numId w:val="1419"/>
        </w:numPr>
        <w:pStyle w:val="Compact"/>
      </w:pPr>
      <w:r>
        <w:t xml:space="preserve">2023 · Grossman-Giron A ·</w:t>
      </w:r>
      <w:r>
        <w:t xml:space="preserve"> </w:t>
      </w:r>
      <w:r>
        <w:rPr>
          <w:iCs/>
          <w:i/>
        </w:rPr>
        <w:t xml:space="preserve">Neuropsychobiology</w:t>
      </w:r>
      <w:r>
        <w:t xml:space="preserve"> </w:t>
      </w:r>
      <w:r>
        <w:t xml:space="preserve">· Intranasal Oxytocin as Add-On Treatment for Inpatients with Severe Mental Illness: A Randomized Clinical Trial. PMID 36603563</w:t>
      </w:r>
    </w:p>
    <w:p>
      <w:pPr>
        <w:numPr>
          <w:ilvl w:val="0"/>
          <w:numId w:val="1419"/>
        </w:numPr>
        <w:pStyle w:val="Compact"/>
      </w:pPr>
      <w:r>
        <w:t xml:space="preserve">2023 · Guastella AJ ·</w:t>
      </w:r>
      <w:r>
        <w:t xml:space="preserve"> </w:t>
      </w:r>
      <w:r>
        <w:rPr>
          <w:iCs/>
          <w:i/>
        </w:rPr>
        <w:t xml:space="preserve">Mol Psychiatry</w:t>
      </w:r>
      <w:r>
        <w:t xml:space="preserve"> </w:t>
      </w:r>
      <w:r>
        <w:t xml:space="preserve">· The effect of oxytocin nasal spray on social interaction in young children with autism: a randomized clinical trial. PMID 36302965</w:t>
      </w:r>
    </w:p>
    <w:p>
      <w:pPr>
        <w:numPr>
          <w:ilvl w:val="0"/>
          <w:numId w:val="1419"/>
        </w:numPr>
        <w:pStyle w:val="Compact"/>
      </w:pPr>
      <w:r>
        <w:t xml:space="preserve">2023 · Seeley SH ·</w:t>
      </w:r>
      <w:r>
        <w:t xml:space="preserve"> </w:t>
      </w:r>
      <w:r>
        <w:rPr>
          <w:iCs/>
          <w:i/>
        </w:rPr>
        <w:t xml:space="preserve">Hum Brain Mapp</w:t>
      </w:r>
      <w:r>
        <w:t xml:space="preserve"> </w:t>
      </w:r>
      <w:r>
        <w:t xml:space="preserve">· Dwelling in prolonged grief: Resting state functional connectivity during oxytocin and placebo administration. PMID 36087094</w:t>
      </w:r>
    </w:p>
    <w:p>
      <w:pPr>
        <w:numPr>
          <w:ilvl w:val="0"/>
          <w:numId w:val="1419"/>
        </w:numPr>
        <w:pStyle w:val="Compact"/>
      </w:pPr>
      <w:r>
        <w:t xml:space="preserve">2023 · Ditzen B ·</w:t>
      </w:r>
      <w:r>
        <w:t xml:space="preserve"> </w:t>
      </w:r>
      <w:r>
        <w:rPr>
          <w:iCs/>
          <w:i/>
        </w:rPr>
        <w:t xml:space="preserve">Brain Behav Immun</w:t>
      </w:r>
      <w:r>
        <w:t xml:space="preserve"> </w:t>
      </w:r>
      <w:r>
        <w:t xml:space="preserve">· Effects of intranasal oxytocin and positive couple interaction on immune factors in skin wounds. PMID 36058418</w:t>
      </w:r>
    </w:p>
    <w:p>
      <w:pPr>
        <w:numPr>
          <w:ilvl w:val="0"/>
          <w:numId w:val="1419"/>
        </w:numPr>
        <w:pStyle w:val="Compact"/>
      </w:pPr>
      <w:r>
        <w:t xml:space="preserve">2022 · Coenjaerts M ·</w:t>
      </w:r>
      <w:r>
        <w:t xml:space="preserve"> </w:t>
      </w:r>
      <w:r>
        <w:rPr>
          <w:iCs/>
          <w:i/>
        </w:rPr>
        <w:t xml:space="preserve">Neuroimage</w:t>
      </w:r>
      <w:r>
        <w:t xml:space="preserve"> </w:t>
      </w:r>
      <w:r>
        <w:t xml:space="preserve">· Exogenous estradiol and oxytocin modulate sex differences in hippocampal reactivity during the encoding of episodic memories. PMID 36349596</w:t>
      </w:r>
    </w:p>
    <w:p>
      <w:pPr>
        <w:numPr>
          <w:ilvl w:val="0"/>
          <w:numId w:val="1419"/>
        </w:numPr>
        <w:pStyle w:val="Compact"/>
      </w:pPr>
      <w:r>
        <w:t xml:space="preserve">2022 · Melby K ·</w:t>
      </w:r>
      <w:r>
        <w:t xml:space="preserve"> </w:t>
      </w:r>
      <w:r>
        <w:rPr>
          <w:iCs/>
          <w:i/>
        </w:rPr>
        <w:t xml:space="preserve">Horm Behav</w:t>
      </w:r>
      <w:r>
        <w:t xml:space="preserve"> </w:t>
      </w:r>
      <w:r>
        <w:t xml:space="preserve">· The effect of intranasal oxytocin on processing emotional stimuli during alcohol withdrawal: A randomized placebo-controlled double-blind clinical trial. PMID 36242831</w:t>
      </w:r>
    </w:p>
    <w:p>
      <w:pPr>
        <w:numPr>
          <w:ilvl w:val="0"/>
          <w:numId w:val="1419"/>
        </w:numPr>
        <w:pStyle w:val="Compact"/>
      </w:pPr>
      <w:r>
        <w:t xml:space="preserve">2022 · Zhuang Q ·</w:t>
      </w:r>
      <w:r>
        <w:t xml:space="preserve"> </w:t>
      </w:r>
      <w:r>
        <w:rPr>
          <w:iCs/>
          <w:i/>
        </w:rPr>
        <w:t xml:space="preserve">Int J Neuropsychopharmacol</w:t>
      </w:r>
      <w:r>
        <w:t xml:space="preserve"> </w:t>
      </w:r>
      <w:r>
        <w:t xml:space="preserve">· Oral Administration of Oxytocin, Like Intranasal Administration, Decreases Top-Down Social Attention. PMID 36053298</w:t>
      </w:r>
    </w:p>
    <w:p>
      <w:pPr>
        <w:numPr>
          <w:ilvl w:val="0"/>
          <w:numId w:val="1419"/>
        </w:numPr>
        <w:pStyle w:val="Compact"/>
      </w:pPr>
      <w:r>
        <w:t xml:space="preserve">2022 · Korann V ·</w:t>
      </w:r>
      <w:r>
        <w:t xml:space="preserve"> </w:t>
      </w:r>
      <w:r>
        <w:rPr>
          <w:iCs/>
          <w:i/>
        </w:rPr>
        <w:t xml:space="preserve">Schizophr Bull</w:t>
      </w:r>
      <w:r>
        <w:t xml:space="preserve"> </w:t>
      </w:r>
      <w:r>
        <w:t xml:space="preserve">· Effect of Intranasal Oxytocin on Resting-state Effective Connectivity in Schizophrenia. PMID 35759349</w:t>
      </w:r>
    </w:p>
    <w:p>
      <w:pPr>
        <w:numPr>
          <w:ilvl w:val="0"/>
          <w:numId w:val="1419"/>
        </w:numPr>
        <w:pStyle w:val="Compact"/>
      </w:pPr>
      <w:r>
        <w:t xml:space="preserve">2022 · Flanagan JC ·</w:t>
      </w:r>
      <w:r>
        <w:t xml:space="preserve"> </w:t>
      </w:r>
      <w:r>
        <w:rPr>
          <w:iCs/>
          <w:i/>
        </w:rPr>
        <w:t xml:space="preserve">J Psychiatr Res</w:t>
      </w:r>
      <w:r>
        <w:t xml:space="preserve"> </w:t>
      </w:r>
      <w:r>
        <w:t xml:space="preserve">· A randomized controlled trial examining the effects of intranasal oxytocin on alcohol craving and intimate partner aggression among couples. PMID 35709548</w:t>
      </w:r>
    </w:p>
    <w:p>
      <w:pPr>
        <w:numPr>
          <w:ilvl w:val="0"/>
          <w:numId w:val="1419"/>
        </w:numPr>
        <w:pStyle w:val="Compact"/>
      </w:pPr>
      <w:r>
        <w:t xml:space="preserve">2022 · Doppler CEJ ·</w:t>
      </w:r>
      <w:r>
        <w:t xml:space="preserve"> </w:t>
      </w:r>
      <w:r>
        <w:rPr>
          <w:iCs/>
          <w:i/>
        </w:rPr>
        <w:t xml:space="preserve">Psychoneuroendocrinology</w:t>
      </w:r>
      <w:r>
        <w:t xml:space="preserve"> </w:t>
      </w:r>
      <w:r>
        <w:t xml:space="preserve">· Intranasal oxytocin attenuates the effects of monetary feedback on procedural learning. PMID 35689985</w:t>
      </w:r>
    </w:p>
    <w:p>
      <w:pPr>
        <w:numPr>
          <w:ilvl w:val="0"/>
          <w:numId w:val="1419"/>
        </w:numPr>
        <w:pStyle w:val="Compact"/>
      </w:pPr>
      <w:r>
        <w:t xml:space="preserve">2022 · Le J ·</w:t>
      </w:r>
      <w:r>
        <w:t xml:space="preserve"> </w:t>
      </w:r>
      <w:r>
        <w:rPr>
          <w:iCs/>
          <w:i/>
        </w:rPr>
        <w:t xml:space="preserve">Psychother Psychosom</w:t>
      </w:r>
      <w:r>
        <w:t xml:space="preserve"> </w:t>
      </w:r>
      <w:r>
        <w:t xml:space="preserve">· Infrequent Intranasal Oxytocin Followed by Positive Social Interaction Improves Symptoms in Autistic Children: A Pilot Randomized Clinical Trial. PMID 35545057</w:t>
      </w:r>
    </w:p>
    <w:p>
      <w:pPr>
        <w:numPr>
          <w:ilvl w:val="0"/>
          <w:numId w:val="1419"/>
        </w:numPr>
        <w:pStyle w:val="Compact"/>
      </w:pPr>
      <w:r>
        <w:t xml:space="preserve">2022 · Doerr JM ·</w:t>
      </w:r>
      <w:r>
        <w:t xml:space="preserve"> </w:t>
      </w:r>
      <w:r>
        <w:rPr>
          <w:iCs/>
          <w:i/>
        </w:rPr>
        <w:t xml:space="preserve">Psychosom Med</w:t>
      </w:r>
      <w:r>
        <w:t xml:space="preserve"> </w:t>
      </w:r>
      <w:r>
        <w:t xml:space="preserve">· The Effect of Intranasal Oxytocin on the Association Between Couple Interaction and Sleep: A Placebo-Controlled Study. PMID 35472193</w:t>
      </w:r>
    </w:p>
    <w:p>
      <w:pPr>
        <w:numPr>
          <w:ilvl w:val="0"/>
          <w:numId w:val="1419"/>
        </w:numPr>
        <w:pStyle w:val="Compact"/>
      </w:pPr>
      <w:r>
        <w:t xml:space="preserve">2022 · Back SN ·</w:t>
      </w:r>
      <w:r>
        <w:t xml:space="preserve"> </w:t>
      </w:r>
      <w:r>
        <w:rPr>
          <w:iCs/>
          <w:i/>
        </w:rPr>
        <w:t xml:space="preserve">J Neural Transm (Vienna)</w:t>
      </w:r>
      <w:r>
        <w:t xml:space="preserve"> </w:t>
      </w:r>
      <w:r>
        <w:t xml:space="preserve">· Reduced vagal activity in borderline personality disorder is unaffected by intranasal oxytocin administration, but predicted by the interaction between childhood trauma and attachment insecurity. PMID 35275249</w:t>
      </w:r>
    </w:p>
    <w:p>
      <w:pPr>
        <w:numPr>
          <w:ilvl w:val="0"/>
          <w:numId w:val="1419"/>
        </w:numPr>
        <w:pStyle w:val="Compact"/>
      </w:pPr>
      <w:r>
        <w:t xml:space="preserve">2022 · Liu P ·</w:t>
      </w:r>
      <w:r>
        <w:t xml:space="preserve"> </w:t>
      </w:r>
      <w:r>
        <w:rPr>
          <w:iCs/>
          <w:i/>
        </w:rPr>
        <w:t xml:space="preserve">Neuroimage</w:t>
      </w:r>
      <w:r>
        <w:t xml:space="preserve"> </w:t>
      </w:r>
      <w:r>
        <w:t xml:space="preserve">· Intranasal oxytocin modulates the salience network in aging. PMID 35259525</w:t>
      </w:r>
    </w:p>
    <w:p>
      <w:pPr>
        <w:numPr>
          <w:ilvl w:val="0"/>
          <w:numId w:val="1419"/>
        </w:numPr>
        <w:pStyle w:val="Compact"/>
      </w:pPr>
      <w:r>
        <w:t xml:space="preserve">2022 · Kou J ·</w:t>
      </w:r>
      <w:r>
        <w:t xml:space="preserve"> </w:t>
      </w:r>
      <w:r>
        <w:rPr>
          <w:iCs/>
          <w:i/>
        </w:rPr>
        <w:t xml:space="preserve">Psychother Psychosom</w:t>
      </w:r>
      <w:r>
        <w:t xml:space="preserve"> </w:t>
      </w:r>
      <w:r>
        <w:t xml:space="preserve">· Anxiolytic Effects of Chronic Intranasal Oxytocin on Neural Responses to Threat Are Dose-Frequency Dependent. PMID 35086102</w:t>
      </w:r>
    </w:p>
    <w:p>
      <w:pPr>
        <w:numPr>
          <w:ilvl w:val="0"/>
          <w:numId w:val="1419"/>
        </w:numPr>
        <w:pStyle w:val="Compact"/>
      </w:pPr>
      <w:r>
        <w:t xml:space="preserve">2022 · Yamasue H ·</w:t>
      </w:r>
      <w:r>
        <w:t xml:space="preserve"> </w:t>
      </w:r>
      <w:r>
        <w:rPr>
          <w:iCs/>
          <w:i/>
        </w:rPr>
        <w:t xml:space="preserve">Brain</w:t>
      </w:r>
      <w:r>
        <w:t xml:space="preserve"> </w:t>
      </w:r>
      <w:r>
        <w:t xml:space="preserve">· Effect of a novel nasal oxytocin spray with enhanced bioavailability on autism: a randomized trial. PMID 35067719</w:t>
      </w:r>
    </w:p>
    <w:p>
      <w:pPr>
        <w:numPr>
          <w:ilvl w:val="0"/>
          <w:numId w:val="1419"/>
        </w:numPr>
        <w:pStyle w:val="Compact"/>
      </w:pPr>
      <w:r>
        <w:t xml:space="preserve">2022 · Stauffer CS ·</w:t>
      </w:r>
      <w:r>
        <w:t xml:space="preserve"> </w:t>
      </w:r>
      <w:r>
        <w:rPr>
          <w:iCs/>
          <w:i/>
        </w:rPr>
        <w:t xml:space="preserve">Psychiatry Res</w:t>
      </w:r>
      <w:r>
        <w:t xml:space="preserve"> </w:t>
      </w:r>
      <w:r>
        <w:t xml:space="preserve">· Effects of oxytocin administration on fear-potentiated acoustic startle in co-occurring PTSD and alcohol use disorder: A randomized clinical trial. PMID 34983010</w:t>
      </w:r>
    </w:p>
    <w:p>
      <w:pPr>
        <w:numPr>
          <w:ilvl w:val="0"/>
          <w:numId w:val="1419"/>
        </w:numPr>
        <w:pStyle w:val="Compact"/>
      </w:pPr>
      <w:r>
        <w:t xml:space="preserve">2022 · Ma Y ·</w:t>
      </w:r>
      <w:r>
        <w:t xml:space="preserve"> </w:t>
      </w:r>
      <w:r>
        <w:rPr>
          <w:iCs/>
          <w:i/>
        </w:rPr>
        <w:t xml:space="preserve">Int J Psychophysiol</w:t>
      </w:r>
      <w:r>
        <w:t xml:space="preserve"> </w:t>
      </w:r>
      <w:r>
        <w:t xml:space="preserve">· Adult attachment style moderates the effect of oxytocin on neural responses to infant emotional faces. PMID 34919983</w:t>
      </w:r>
    </w:p>
    <w:p>
      <w:pPr>
        <w:numPr>
          <w:ilvl w:val="0"/>
          <w:numId w:val="1419"/>
        </w:numPr>
        <w:pStyle w:val="Compact"/>
      </w:pPr>
      <w:r>
        <w:t xml:space="preserve">2022 · Schultebraucks K ·</w:t>
      </w:r>
      <w:r>
        <w:t xml:space="preserve"> </w:t>
      </w:r>
      <w:r>
        <w:rPr>
          <w:iCs/>
          <w:i/>
        </w:rPr>
        <w:t xml:space="preserve">Neuropsychopharmacology</w:t>
      </w:r>
      <w:r>
        <w:t xml:space="preserve"> </w:t>
      </w:r>
      <w:r>
        <w:t xml:space="preserve">· Intranasal oxytocin administration impacts the acquisition and consolidation of trauma-associated memories: a double-blind randomized placebo-controlled experimental study in healthy women. PMID 34887528</w:t>
      </w:r>
    </w:p>
    <w:p>
      <w:pPr>
        <w:numPr>
          <w:ilvl w:val="0"/>
          <w:numId w:val="1419"/>
        </w:numPr>
        <w:pStyle w:val="Compact"/>
      </w:pPr>
      <w:r>
        <w:t xml:space="preserve">2022 · Lindley Baron-Cohen K ·</w:t>
      </w:r>
      <w:r>
        <w:t xml:space="preserve"> </w:t>
      </w:r>
      <w:r>
        <w:rPr>
          <w:iCs/>
          <w:i/>
        </w:rPr>
        <w:t xml:space="preserve">J Affect Disord</w:t>
      </w:r>
      <w:r>
        <w:t xml:space="preserve"> </w:t>
      </w:r>
      <w:r>
        <w:t xml:space="preserve">· Intranasal oxytocin administration improves mood in new mothers with moderate low mood but not in mothers with elevated symptoms of postnatal depression: A randomised controlled trial. PMID 34843839</w:t>
      </w:r>
    </w:p>
    <w:p>
      <w:pPr>
        <w:numPr>
          <w:ilvl w:val="0"/>
          <w:numId w:val="1419"/>
        </w:numPr>
        <w:pStyle w:val="Compact"/>
      </w:pPr>
      <w:r>
        <w:t xml:space="preserve">2022 · Kou J ·</w:t>
      </w:r>
      <w:r>
        <w:t xml:space="preserve"> </w:t>
      </w:r>
      <w:r>
        <w:rPr>
          <w:iCs/>
          <w:i/>
        </w:rPr>
        <w:t xml:space="preserve">Psychol Med</w:t>
      </w:r>
      <w:r>
        <w:t xml:space="preserve"> </w:t>
      </w:r>
      <w:r>
        <w:t xml:space="preserve">· A randomized trial shows dose-frequency and genotype may determine the therapeutic efficacy of intranasal oxytocin. PMID 33272333</w:t>
      </w:r>
    </w:p>
    <w:p>
      <w:pPr>
        <w:numPr>
          <w:ilvl w:val="0"/>
          <w:numId w:val="1419"/>
        </w:numPr>
        <w:pStyle w:val="Compact"/>
      </w:pPr>
      <w:r>
        <w:t xml:space="preserve">2021 · Sikich L ·</w:t>
      </w:r>
      <w:r>
        <w:t xml:space="preserve"> </w:t>
      </w:r>
      <w:r>
        <w:rPr>
          <w:iCs/>
          <w:i/>
        </w:rPr>
        <w:t xml:space="preserve">N Engl J Med</w:t>
      </w:r>
      <w:r>
        <w:t xml:space="preserve"> </w:t>
      </w:r>
      <w:r>
        <w:t xml:space="preserve">· Intranasal Oxytocin in Children and Adolescents with Autism Spectrum Disorder. PMID 34644471</w:t>
      </w:r>
    </w:p>
    <w:p>
      <w:pPr>
        <w:numPr>
          <w:ilvl w:val="0"/>
          <w:numId w:val="1419"/>
        </w:numPr>
        <w:pStyle w:val="Compact"/>
      </w:pPr>
      <w:r>
        <w:t xml:space="preserve">2021 · Fastman J ·</w:t>
      </w:r>
      <w:r>
        <w:t xml:space="preserve"> </w:t>
      </w:r>
      <w:r>
        <w:rPr>
          <w:iCs/>
          <w:i/>
        </w:rPr>
        <w:t xml:space="preserve">Mol Autism</w:t>
      </w:r>
      <w:r>
        <w:t xml:space="preserve"> </w:t>
      </w:r>
      <w:r>
        <w:t xml:space="preserve">· A randomized controlled trial of intranasal oxytocin in Phelan-McDermid syndrome. PMID 34593045</w:t>
      </w:r>
    </w:p>
    <w:p>
      <w:pPr>
        <w:numPr>
          <w:ilvl w:val="0"/>
          <w:numId w:val="1419"/>
        </w:numPr>
        <w:pStyle w:val="Compact"/>
      </w:pPr>
      <w:r>
        <w:t xml:space="preserve">2021 · Zhuang Q ·</w:t>
      </w:r>
      <w:r>
        <w:t xml:space="preserve"> </w:t>
      </w:r>
      <w:r>
        <w:rPr>
          <w:iCs/>
          <w:i/>
        </w:rPr>
        <w:t xml:space="preserve">Psychoneuroendocrinology</w:t>
      </w:r>
      <w:r>
        <w:t xml:space="preserve"> </w:t>
      </w:r>
      <w:r>
        <w:t xml:space="preserve">· Intranasal vasopressin like oxytocin increases social attention by influencing top-down control, but additionally enhances bottom-up control. PMID 34537624</w:t>
      </w:r>
    </w:p>
    <w:p>
      <w:pPr>
        <w:numPr>
          <w:ilvl w:val="0"/>
          <w:numId w:val="1419"/>
        </w:numPr>
        <w:pStyle w:val="Compact"/>
      </w:pPr>
      <w:r>
        <w:t xml:space="preserve">2021 · Zhang X ·</w:t>
      </w:r>
      <w:r>
        <w:t xml:space="preserve"> </w:t>
      </w:r>
      <w:r>
        <w:rPr>
          <w:iCs/>
          <w:i/>
        </w:rPr>
        <w:t xml:space="preserve">Psychoneuroendocrinology</w:t>
      </w:r>
      <w:r>
        <w:t xml:space="preserve"> </w:t>
      </w:r>
      <w:r>
        <w:t xml:space="preserve">· Oxytocin reduces romantic rejection-induced pain in online speed-dating as revealed by decreased frontal-midline theta oscillations. PMID 34537623</w:t>
      </w:r>
    </w:p>
    <w:p>
      <w:pPr>
        <w:numPr>
          <w:ilvl w:val="0"/>
          <w:numId w:val="1419"/>
        </w:numPr>
        <w:pStyle w:val="Compact"/>
      </w:pPr>
      <w:r>
        <w:t xml:space="preserve">2021 · Sippel LM ·</w:t>
      </w:r>
      <w:r>
        <w:t xml:space="preserve"> </w:t>
      </w:r>
      <w:r>
        <w:rPr>
          <w:iCs/>
          <w:i/>
        </w:rPr>
        <w:t xml:space="preserve">Psychiatry Res Neuroimaging</w:t>
      </w:r>
      <w:r>
        <w:t xml:space="preserve"> </w:t>
      </w:r>
      <w:r>
        <w:t xml:space="preserve">· Effects of intranasal oxytocin on threat- and reward-related functional connectivity in men and women with and without childhood abuse-related PTSD. PMID 34455213</w:t>
      </w:r>
    </w:p>
    <w:p>
      <w:pPr>
        <w:numPr>
          <w:ilvl w:val="0"/>
          <w:numId w:val="1419"/>
        </w:numPr>
        <w:pStyle w:val="Compact"/>
      </w:pPr>
      <w:r>
        <w:t xml:space="preserve">2021 · Henningsson S ·</w:t>
      </w:r>
      <w:r>
        <w:t xml:space="preserve"> </w:t>
      </w:r>
      <w:r>
        <w:rPr>
          <w:iCs/>
          <w:i/>
        </w:rPr>
        <w:t xml:space="preserve">Biol Psychol</w:t>
      </w:r>
      <w:r>
        <w:t xml:space="preserve"> </w:t>
      </w:r>
      <w:r>
        <w:t xml:space="preserve">· A randomized placebo-controlled intranasal oxytocin study on first impressions and reactions to social rejection. PMID 34331996</w:t>
      </w:r>
    </w:p>
    <w:p>
      <w:pPr>
        <w:numPr>
          <w:ilvl w:val="0"/>
          <w:numId w:val="1419"/>
        </w:numPr>
        <w:pStyle w:val="Compact"/>
      </w:pPr>
      <w:r>
        <w:t xml:space="preserve">2021 · Cherki BR ·</w:t>
      </w:r>
      <w:r>
        <w:t xml:space="preserve"> </w:t>
      </w:r>
      <w:r>
        <w:rPr>
          <w:iCs/>
          <w:i/>
        </w:rPr>
        <w:t xml:space="preserve">Psychoneuroendocrinology</w:t>
      </w:r>
      <w:r>
        <w:t xml:space="preserve"> </w:t>
      </w:r>
      <w:r>
        <w:t xml:space="preserve">· Intranasal oxytocin, testosterone reactivity, and human competitiveness. PMID 34298279</w:t>
      </w:r>
    </w:p>
    <w:p>
      <w:pPr>
        <w:numPr>
          <w:ilvl w:val="0"/>
          <w:numId w:val="1419"/>
        </w:numPr>
        <w:pStyle w:val="Compact"/>
      </w:pPr>
      <w:r>
        <w:t xml:space="preserve">2021 · Melkonian AJ ·</w:t>
      </w:r>
      <w:r>
        <w:t xml:space="preserve"> </w:t>
      </w:r>
      <w:r>
        <w:rPr>
          <w:iCs/>
          <w:i/>
        </w:rPr>
        <w:t xml:space="preserve">J Clin Psychopharmacol</w:t>
      </w:r>
      <w:r>
        <w:t xml:space="preserve"> </w:t>
      </w:r>
      <w:r>
        <w:t xml:space="preserve">· Craving Moderates the Effects of Intranasal Oxytocin on Anger in Response to Social Stress Among Veterans With Co-Occurring Posttraumatic Stress Disorder and Alcohol Use Disorder. PMID 34121063</w:t>
      </w:r>
    </w:p>
    <w:p>
      <w:pPr>
        <w:numPr>
          <w:ilvl w:val="0"/>
          <w:numId w:val="1419"/>
        </w:numPr>
        <w:pStyle w:val="Compact"/>
      </w:pPr>
      <w:r>
        <w:t xml:space="preserve">2021 · Le J ·</w:t>
      </w:r>
      <w:r>
        <w:t xml:space="preserve"> </w:t>
      </w:r>
      <w:r>
        <w:rPr>
          <w:iCs/>
          <w:i/>
        </w:rPr>
        <w:t xml:space="preserve">Psychophysiology</w:t>
      </w:r>
      <w:r>
        <w:t xml:space="preserve"> </w:t>
      </w:r>
      <w:r>
        <w:t xml:space="preserve">· Oxytocin facilitates socially directed attention. PMID 34032304</w:t>
      </w:r>
    </w:p>
    <w:p>
      <w:pPr>
        <w:numPr>
          <w:ilvl w:val="0"/>
          <w:numId w:val="1419"/>
        </w:numPr>
        <w:pStyle w:val="Compact"/>
      </w:pPr>
      <w:r>
        <w:t xml:space="preserve">2021 · Espinoza SE ·</w:t>
      </w:r>
      <w:r>
        <w:t xml:space="preserve"> </w:t>
      </w:r>
      <w:r>
        <w:rPr>
          <w:iCs/>
          <w:i/>
        </w:rPr>
        <w:t xml:space="preserve">J Am Med Dir Assoc</w:t>
      </w:r>
      <w:r>
        <w:t xml:space="preserve"> </w:t>
      </w:r>
      <w:r>
        <w:t xml:space="preserve">· Intranasal Oxytocin Improves Lean Muscle Mass and Lowers LDL Cholesterol in Older Adults with Sarcopenic Obesity: A Pilot Randomized Controlled Trial. PMID 34029521</w:t>
      </w:r>
    </w:p>
    <w:p>
      <w:pPr>
        <w:numPr>
          <w:ilvl w:val="0"/>
          <w:numId w:val="1419"/>
        </w:numPr>
        <w:pStyle w:val="Compact"/>
      </w:pPr>
      <w:r>
        <w:t xml:space="preserve">2021 · Rung JM ·</w:t>
      </w:r>
      <w:r>
        <w:t xml:space="preserve"> </w:t>
      </w:r>
      <w:r>
        <w:rPr>
          <w:iCs/>
          <w:i/>
        </w:rPr>
        <w:t xml:space="preserve">Psychopharmacology (Berl)</w:t>
      </w:r>
      <w:r>
        <w:t xml:space="preserve"> </w:t>
      </w:r>
      <w:r>
        <w:t xml:space="preserve">· Safety and tolerability of chronic intranasal oxytocin in older men: results from a randomized controlled trial. PMID 33982141</w:t>
      </w:r>
    </w:p>
    <w:p>
      <w:pPr>
        <w:numPr>
          <w:ilvl w:val="0"/>
          <w:numId w:val="1419"/>
        </w:numPr>
        <w:pStyle w:val="Compact"/>
      </w:pPr>
      <w:r>
        <w:t xml:space="preserve">2021 · Wong SF ·</w:t>
      </w:r>
      <w:r>
        <w:t xml:space="preserve"> </w:t>
      </w:r>
      <w:r>
        <w:rPr>
          <w:iCs/>
          <w:i/>
        </w:rPr>
        <w:t xml:space="preserve">Int J Psychophysiol</w:t>
      </w:r>
      <w:r>
        <w:t xml:space="preserve"> </w:t>
      </w:r>
      <w:r>
        <w:t xml:space="preserve">· Intranasal oxytocin increases state anhedonia following imagery training of positive social outcomes in individuals lower in extraversion, trust-altruism, and openness to experience. PMID 33839197</w:t>
      </w:r>
    </w:p>
    <w:p>
      <w:pPr>
        <w:numPr>
          <w:ilvl w:val="0"/>
          <w:numId w:val="1419"/>
        </w:numPr>
        <w:pStyle w:val="Compact"/>
      </w:pPr>
      <w:r>
        <w:t xml:space="preserve">2021 · Kapetaniou GE ·</w:t>
      </w:r>
      <w:r>
        <w:t xml:space="preserve"> </w:t>
      </w:r>
      <w:r>
        <w:rPr>
          <w:iCs/>
          <w:i/>
        </w:rPr>
        <w:t xml:space="preserve">Elife</w:t>
      </w:r>
      <w:r>
        <w:t xml:space="preserve"> </w:t>
      </w:r>
      <w:r>
        <w:t xml:space="preserve">· The role of oxytocin in delay of gratification and flexibility in non-social decision making. PMID 33821797</w:t>
      </w:r>
    </w:p>
    <w:p>
      <w:pPr>
        <w:numPr>
          <w:ilvl w:val="0"/>
          <w:numId w:val="1419"/>
        </w:numPr>
        <w:pStyle w:val="Compact"/>
      </w:pPr>
      <w:r>
        <w:t xml:space="preserve">2021 · Buchanan RW ·</w:t>
      </w:r>
      <w:r>
        <w:t xml:space="preserve"> </w:t>
      </w:r>
      <w:r>
        <w:rPr>
          <w:iCs/>
          <w:i/>
        </w:rPr>
        <w:t xml:space="preserve">J Clin Psychopharmacol</w:t>
      </w:r>
      <w:r>
        <w:t xml:space="preserve"> </w:t>
      </w:r>
      <w:r>
        <w:t xml:space="preserve">· Combined Oxytocin and Cognitive Behavioral Social Skills Training for Social Function in People With Schizophrenia. PMID 33783399</w:t>
      </w:r>
    </w:p>
    <w:p>
      <w:pPr>
        <w:numPr>
          <w:ilvl w:val="0"/>
          <w:numId w:val="1419"/>
        </w:numPr>
        <w:pStyle w:val="Compact"/>
      </w:pPr>
      <w:r>
        <w:t xml:space="preserve">2021 · Kato Y ·</w:t>
      </w:r>
      <w:r>
        <w:t xml:space="preserve"> </w:t>
      </w:r>
      <w:r>
        <w:rPr>
          <w:iCs/>
          <w:i/>
        </w:rPr>
        <w:t xml:space="preserve">Mol Autism</w:t>
      </w:r>
      <w:r>
        <w:t xml:space="preserve"> </w:t>
      </w:r>
      <w:r>
        <w:t xml:space="preserve">· Oxytocin-induced increase in N,N-dimethylglycine and time course of changes in oxytocin efficacy for autism social core symptoms. PMID 33622389</w:t>
      </w:r>
    </w:p>
    <w:p>
      <w:pPr>
        <w:numPr>
          <w:ilvl w:val="0"/>
          <w:numId w:val="1419"/>
        </w:numPr>
        <w:pStyle w:val="Compact"/>
      </w:pPr>
      <w:r>
        <w:t xml:space="preserve">2021 · Zheng X ·</w:t>
      </w:r>
      <w:r>
        <w:t xml:space="preserve"> </w:t>
      </w:r>
      <w:r>
        <w:rPr>
          <w:iCs/>
          <w:i/>
        </w:rPr>
        <w:t xml:space="preserve">J Psychopharmacol</w:t>
      </w:r>
      <w:r>
        <w:t xml:space="preserve"> </w:t>
      </w:r>
      <w:r>
        <w:t xml:space="preserve">· Intranasal oxytocin may help maintain romantic bonds by decreasing jealousy evoked by either imagined or real partner infidelity. PMID 33601928</w:t>
      </w:r>
    </w:p>
    <w:p>
      <w:pPr>
        <w:numPr>
          <w:ilvl w:val="0"/>
          <w:numId w:val="1419"/>
        </w:numPr>
        <w:pStyle w:val="Compact"/>
      </w:pPr>
      <w:r>
        <w:t xml:space="preserve">2021 · Andari E ·</w:t>
      </w:r>
      <w:r>
        <w:t xml:space="preserve"> </w:t>
      </w:r>
      <w:r>
        <w:rPr>
          <w:iCs/>
          <w:i/>
        </w:rPr>
        <w:t xml:space="preserve">J Clin Psychopharmacol</w:t>
      </w:r>
      <w:r>
        <w:t xml:space="preserve"> </w:t>
      </w:r>
      <w:r>
        <w:t xml:space="preserve">· Effects of Oxytocin on Emotion Recognition in Schizophrenia: A Randomized Double-Blind Pilot Study. PMID 33587397</w:t>
      </w:r>
    </w:p>
    <w:p>
      <w:pPr>
        <w:numPr>
          <w:ilvl w:val="0"/>
          <w:numId w:val="1419"/>
        </w:numPr>
        <w:pStyle w:val="Compact"/>
      </w:pPr>
      <w:r>
        <w:t xml:space="preserve">2021 · Kou J ·</w:t>
      </w:r>
      <w:r>
        <w:t xml:space="preserve"> </w:t>
      </w:r>
      <w:r>
        <w:rPr>
          <w:iCs/>
          <w:i/>
        </w:rPr>
        <w:t xml:space="preserve">Transl Psychiatry</w:t>
      </w:r>
      <w:r>
        <w:t xml:space="preserve"> </w:t>
      </w:r>
      <w:r>
        <w:t xml:space="preserve">· In the nose or on the tongue? Contrasting motivational effects of oral and intranasal oxytocin on arousal and reward during social processing. PMID 33542175</w:t>
      </w:r>
    </w:p>
    <w:p>
      <w:pPr>
        <w:numPr>
          <w:ilvl w:val="0"/>
          <w:numId w:val="1419"/>
        </w:numPr>
        <w:pStyle w:val="Compact"/>
      </w:pPr>
      <w:r>
        <w:t xml:space="preserve">2021 · Martins D ·</w:t>
      </w:r>
      <w:r>
        <w:t xml:space="preserve"> </w:t>
      </w:r>
      <w:r>
        <w:rPr>
          <w:iCs/>
          <w:i/>
        </w:rPr>
        <w:t xml:space="preserve">Commun Biol</w:t>
      </w:r>
      <w:r>
        <w:t xml:space="preserve"> </w:t>
      </w:r>
      <w:r>
        <w:t xml:space="preserve">· Oxytocin modulates local topography of human functional connectome in healthy men at rest. PMID 33452496</w:t>
      </w:r>
    </w:p>
    <w:p>
      <w:pPr>
        <w:numPr>
          <w:ilvl w:val="0"/>
          <w:numId w:val="1419"/>
        </w:numPr>
        <w:pStyle w:val="Compact"/>
      </w:pPr>
      <w:r>
        <w:t xml:space="preserve">2021 · Melby K ·</w:t>
      </w:r>
      <w:r>
        <w:t xml:space="preserve"> </w:t>
      </w:r>
      <w:r>
        <w:rPr>
          <w:iCs/>
          <w:i/>
        </w:rPr>
        <w:t xml:space="preserve">Alcohol Alcohol</w:t>
      </w:r>
      <w:r>
        <w:t xml:space="preserve"> </w:t>
      </w:r>
      <w:r>
        <w:t xml:space="preserve">· Efficacy of Self-Administered Intranasal Oxytocin on Alcohol Use and Craving After Detoxification in Patients With Alcohol Dependence. A Double-Blind Placebo-Controlled Trial. PMID 33352584</w:t>
      </w:r>
    </w:p>
    <w:p>
      <w:pPr>
        <w:numPr>
          <w:ilvl w:val="0"/>
          <w:numId w:val="1419"/>
        </w:numPr>
        <w:pStyle w:val="Compact"/>
      </w:pPr>
      <w:r>
        <w:t xml:space="preserve">2021 · Radke S ·</w:t>
      </w:r>
      <w:r>
        <w:t xml:space="preserve"> </w:t>
      </w:r>
      <w:r>
        <w:rPr>
          <w:iCs/>
          <w:i/>
        </w:rPr>
        <w:t xml:space="preserve">Soc Cogn Affect Neurosci</w:t>
      </w:r>
      <w:r>
        <w:t xml:space="preserve"> </w:t>
      </w:r>
      <w:r>
        <w:t xml:space="preserve">· Neurobiobehavioral responses to virtual social rejection in females-exploring the influence of oxytocin. PMID 33326562</w:t>
      </w:r>
    </w:p>
    <w:p>
      <w:pPr>
        <w:numPr>
          <w:ilvl w:val="0"/>
          <w:numId w:val="1419"/>
        </w:numPr>
        <w:pStyle w:val="Compact"/>
      </w:pPr>
      <w:r>
        <w:t xml:space="preserve">2021 · Alaerts K ·</w:t>
      </w:r>
      <w:r>
        <w:t xml:space="preserve"> </w:t>
      </w:r>
      <w:r>
        <w:rPr>
          <w:iCs/>
          <w:i/>
        </w:rPr>
        <w:t xml:space="preserve">Eur Neuropsychopharmacol</w:t>
      </w:r>
      <w:r>
        <w:t xml:space="preserve"> </w:t>
      </w:r>
      <w:r>
        <w:t xml:space="preserve">· Changes in endogenous oxytocin levels after intranasal oxytocin treatment in adult men with autism: An exploratory study with long-term follow-up. PMID 33309460</w:t>
      </w:r>
    </w:p>
    <w:p>
      <w:pPr>
        <w:numPr>
          <w:ilvl w:val="0"/>
          <w:numId w:val="1419"/>
        </w:numPr>
        <w:pStyle w:val="Compact"/>
      </w:pPr>
      <w:r>
        <w:t xml:space="preserve">2021 · Damen L ·</w:t>
      </w:r>
      <w:r>
        <w:t xml:space="preserve"> </w:t>
      </w:r>
      <w:r>
        <w:rPr>
          <w:iCs/>
          <w:i/>
        </w:rPr>
        <w:t xml:space="preserve">Clin Endocrinol (Oxf)</w:t>
      </w:r>
      <w:r>
        <w:t xml:space="preserve"> </w:t>
      </w:r>
      <w:r>
        <w:t xml:space="preserve">· Oxytocin in young children with Prader-Willi syndrome: Results of a randomized, double-blind, placebo-controlled, crossover trial investigating 3 months of oxytocin. PMID 33296519</w:t>
      </w:r>
    </w:p>
    <w:p>
      <w:pPr>
        <w:numPr>
          <w:ilvl w:val="0"/>
          <w:numId w:val="1419"/>
        </w:numPr>
        <w:pStyle w:val="Compact"/>
      </w:pPr>
      <w:r>
        <w:t xml:space="preserve">2021 · Meusel M ·</w:t>
      </w:r>
      <w:r>
        <w:t xml:space="preserve"> </w:t>
      </w:r>
      <w:r>
        <w:rPr>
          <w:iCs/>
          <w:i/>
        </w:rPr>
        <w:t xml:space="preserve">Am J Physiol Regul Integr Comp Physiol</w:t>
      </w:r>
      <w:r>
        <w:t xml:space="preserve"> </w:t>
      </w:r>
      <w:r>
        <w:t xml:space="preserve">· Intranasal oxytocin has sympathoexcitatory effects on vascular tone in healthy males. PMID 33296278</w:t>
      </w:r>
    </w:p>
    <w:p>
      <w:pPr>
        <w:numPr>
          <w:ilvl w:val="0"/>
          <w:numId w:val="1419"/>
        </w:numPr>
        <w:pStyle w:val="Compact"/>
      </w:pPr>
      <w:r>
        <w:t xml:space="preserve">2021 · Zhuang Q ·</w:t>
      </w:r>
      <w:r>
        <w:t xml:space="preserve"> </w:t>
      </w:r>
      <w:r>
        <w:rPr>
          <w:iCs/>
          <w:i/>
        </w:rPr>
        <w:t xml:space="preserve">J Psychopharmacol</w:t>
      </w:r>
      <w:r>
        <w:t xml:space="preserve"> </w:t>
      </w:r>
      <w:r>
        <w:t xml:space="preserve">· Oxytocin-induced facilitation of learning in a probabilistic task is associated with reduced feedback- and error-related negativity potentials. PMID 33274683</w:t>
      </w:r>
    </w:p>
    <w:p>
      <w:pPr>
        <w:numPr>
          <w:ilvl w:val="0"/>
          <w:numId w:val="1419"/>
        </w:numPr>
        <w:pStyle w:val="Compact"/>
      </w:pPr>
      <w:r>
        <w:t xml:space="preserve">2021 · Dou H ·</w:t>
      </w:r>
      <w:r>
        <w:t xml:space="preserve"> </w:t>
      </w:r>
      <w:r>
        <w:rPr>
          <w:iCs/>
          <w:i/>
        </w:rPr>
        <w:t xml:space="preserve">Psychopharmacology (Berl)</w:t>
      </w:r>
      <w:r>
        <w:t xml:space="preserve"> </w:t>
      </w:r>
      <w:r>
        <w:t xml:space="preserve">· Intranasal oxytocin decreases fear generalization in males, but does not modulate discrimination threshold. PMID 33241482</w:t>
      </w:r>
    </w:p>
    <w:p>
      <w:pPr>
        <w:numPr>
          <w:ilvl w:val="0"/>
          <w:numId w:val="1419"/>
        </w:numPr>
        <w:pStyle w:val="Compact"/>
      </w:pPr>
      <w:r>
        <w:t xml:space="preserve">2021 · Plessow F ·</w:t>
      </w:r>
      <w:r>
        <w:t xml:space="preserve"> </w:t>
      </w:r>
      <w:r>
        <w:rPr>
          <w:iCs/>
          <w:i/>
        </w:rPr>
        <w:t xml:space="preserve">Obesity (Silver Spring)</w:t>
      </w:r>
      <w:r>
        <w:t xml:space="preserve"> </w:t>
      </w:r>
      <w:r>
        <w:t xml:space="preserve">· Oxytocin Administration Increases Proactive Control in Men with Overweight or Obesity: A Randomized, Double-Blind, Placebo-Controlled Crossover Study. PMID 33225615</w:t>
      </w:r>
    </w:p>
    <w:p>
      <w:pPr>
        <w:numPr>
          <w:ilvl w:val="0"/>
          <w:numId w:val="1419"/>
        </w:numPr>
        <w:pStyle w:val="Compact"/>
      </w:pPr>
      <w:r>
        <w:t xml:space="preserve">2021 · Hollander E ·</w:t>
      </w:r>
      <w:r>
        <w:t xml:space="preserve"> </w:t>
      </w:r>
      <w:r>
        <w:rPr>
          <w:iCs/>
          <w:i/>
        </w:rPr>
        <w:t xml:space="preserve">J Psychiatr Res</w:t>
      </w:r>
      <w:r>
        <w:t xml:space="preserve"> </w:t>
      </w:r>
      <w:r>
        <w:t xml:space="preserve">· Intranasal oxytocin versus placebo for hyperphagia and repetitive behaviors in children with Prader-Willi Syndrome: A randomized controlled pilot trial. PMID 33190843</w:t>
      </w:r>
    </w:p>
    <w:p>
      <w:pPr>
        <w:numPr>
          <w:ilvl w:val="0"/>
          <w:numId w:val="1419"/>
        </w:numPr>
        <w:pStyle w:val="Compact"/>
      </w:pPr>
      <w:r>
        <w:t xml:space="preserve">2021 · Liao Z ·</w:t>
      </w:r>
      <w:r>
        <w:t xml:space="preserve"> </w:t>
      </w:r>
      <w:r>
        <w:rPr>
          <w:iCs/>
          <w:i/>
        </w:rPr>
        <w:t xml:space="preserve">Psychopharmacology (Berl)</w:t>
      </w:r>
      <w:r>
        <w:t xml:space="preserve"> </w:t>
      </w:r>
      <w:r>
        <w:t xml:space="preserve">· Intranasal oxytocin decreases self-oriented learning. PMID 33156402</w:t>
      </w:r>
    </w:p>
    <w:p>
      <w:pPr>
        <w:numPr>
          <w:ilvl w:val="0"/>
          <w:numId w:val="1419"/>
        </w:numPr>
        <w:pStyle w:val="Compact"/>
      </w:pPr>
      <w:r>
        <w:t xml:space="preserve">2021 · Flynn MJ ·</w:t>
      </w:r>
      <w:r>
        <w:t xml:space="preserve"> </w:t>
      </w:r>
      <w:r>
        <w:rPr>
          <w:iCs/>
          <w:i/>
        </w:rPr>
        <w:t xml:space="preserve">Int J Gynaecol Obstet</w:t>
      </w:r>
      <w:r>
        <w:t xml:space="preserve"> </w:t>
      </w:r>
      <w:r>
        <w:t xml:space="preserve">· Intranasal oxytocin as a treatment for chronic pelvic pain: A randomized controlled feasibility study. PMID 33112417</w:t>
      </w:r>
    </w:p>
    <w:p>
      <w:pPr>
        <w:numPr>
          <w:ilvl w:val="0"/>
          <w:numId w:val="1419"/>
        </w:numPr>
        <w:pStyle w:val="Compact"/>
      </w:pPr>
      <w:r>
        <w:t xml:space="preserve">2021 · Riem MME ·</w:t>
      </w:r>
      <w:r>
        <w:t xml:space="preserve"> </w:t>
      </w:r>
      <w:r>
        <w:rPr>
          <w:iCs/>
          <w:i/>
        </w:rPr>
        <w:t xml:space="preserve">J Affect Disord</w:t>
      </w:r>
      <w:r>
        <w:t xml:space="preserve"> </w:t>
      </w:r>
      <w:r>
        <w:t xml:space="preserve">· Intranasal oxytocin and the stress-buffering effects of social support during experimentally induced pain: The role of attachment security. PMID 32961410</w:t>
      </w:r>
    </w:p>
    <w:p>
      <w:pPr>
        <w:numPr>
          <w:ilvl w:val="0"/>
          <w:numId w:val="1419"/>
        </w:numPr>
        <w:pStyle w:val="Compact"/>
      </w:pPr>
      <w:r>
        <w:t xml:space="preserve">2020 · Melkonyan A ·</w:t>
      </w:r>
      <w:r>
        <w:t xml:space="preserve"> </w:t>
      </w:r>
      <w:r>
        <w:rPr>
          <w:iCs/>
          <w:i/>
        </w:rPr>
        <w:t xml:space="preserve">J Neuroendocrinol</w:t>
      </w:r>
      <w:r>
        <w:t xml:space="preserve"> </w:t>
      </w:r>
      <w:r>
        <w:t xml:space="preserve">· Unchanged food approach-avoidance behaviour of healthy men after oxytocin administration. PMID 33314397</w:t>
      </w:r>
    </w:p>
    <w:p>
      <w:pPr>
        <w:numPr>
          <w:ilvl w:val="0"/>
          <w:numId w:val="1419"/>
        </w:numPr>
        <w:pStyle w:val="Compact"/>
      </w:pPr>
      <w:r>
        <w:t xml:space="preserve">2020 · Ma Y ·</w:t>
      </w:r>
      <w:r>
        <w:t xml:space="preserve"> </w:t>
      </w:r>
      <w:r>
        <w:rPr>
          <w:iCs/>
          <w:i/>
        </w:rPr>
        <w:t xml:space="preserve">Biol Psychol</w:t>
      </w:r>
      <w:r>
        <w:t xml:space="preserve"> </w:t>
      </w:r>
      <w:r>
        <w:t xml:space="preserve">· Intranasal oxytocin attenuates insula activity in response to dynamic angry faces. PMID 33157152</w:t>
      </w:r>
    </w:p>
    <w:p>
      <w:pPr>
        <w:numPr>
          <w:ilvl w:val="0"/>
          <w:numId w:val="1419"/>
        </w:numPr>
        <w:pStyle w:val="Compact"/>
      </w:pPr>
      <w:r>
        <w:t xml:space="preserve">2020 · Oliver LD ·</w:t>
      </w:r>
      <w:r>
        <w:t xml:space="preserve"> </w:t>
      </w:r>
      <w:r>
        <w:rPr>
          <w:iCs/>
          <w:i/>
        </w:rPr>
        <w:t xml:space="preserve">Neurology</w:t>
      </w:r>
      <w:r>
        <w:t xml:space="preserve"> </w:t>
      </w:r>
      <w:r>
        <w:t xml:space="preserve">· Neural effects of oxytocin and mimicry in frontotemporal dementia: A randomized crossover study. PMID 32963103</w:t>
      </w:r>
    </w:p>
    <w:p>
      <w:pPr>
        <w:numPr>
          <w:ilvl w:val="0"/>
          <w:numId w:val="1419"/>
        </w:numPr>
        <w:pStyle w:val="Compact"/>
      </w:pPr>
      <w:r>
        <w:t xml:space="preserve">2020 · Hovey D ·</w:t>
      </w:r>
      <w:r>
        <w:t xml:space="preserve"> </w:t>
      </w:r>
      <w:r>
        <w:rPr>
          <w:iCs/>
          <w:i/>
        </w:rPr>
        <w:t xml:space="preserve">Transl Psychiatry</w:t>
      </w:r>
      <w:r>
        <w:t xml:space="preserve"> </w:t>
      </w:r>
      <w:r>
        <w:t xml:space="preserve">· The effect of intranasal oxytocin on visual processing and salience of human faces. PMID 32951002</w:t>
      </w:r>
    </w:p>
    <w:p>
      <w:pPr>
        <w:numPr>
          <w:ilvl w:val="0"/>
          <w:numId w:val="1419"/>
        </w:numPr>
        <w:pStyle w:val="Compact"/>
      </w:pPr>
      <w:r>
        <w:t xml:space="preserve">2020 · Jain V ·</w:t>
      </w:r>
      <w:r>
        <w:t xml:space="preserve"> </w:t>
      </w:r>
      <w:r>
        <w:rPr>
          <w:iCs/>
          <w:i/>
        </w:rPr>
        <w:t xml:space="preserve">Sleep Med</w:t>
      </w:r>
      <w:r>
        <w:t xml:space="preserve"> </w:t>
      </w:r>
      <w:r>
        <w:t xml:space="preserve">· Intranasal oxytocin increases respiratory rate and reduces obstructive event duration and oxygen desaturation in obstructive sleep apnea patients: a randomized double blinded placebo controlled study. PMID 32862007</w:t>
      </w:r>
    </w:p>
    <w:p>
      <w:pPr>
        <w:numPr>
          <w:ilvl w:val="0"/>
          <w:numId w:val="1419"/>
        </w:numPr>
        <w:pStyle w:val="Compact"/>
      </w:pPr>
      <w:r>
        <w:t xml:space="preserve">2020 · Chen Y ·</w:t>
      </w:r>
      <w:r>
        <w:t xml:space="preserve"> </w:t>
      </w:r>
      <w:r>
        <w:rPr>
          <w:iCs/>
          <w:i/>
        </w:rPr>
        <w:t xml:space="preserve">Eur Neuropsychopharmacol</w:t>
      </w:r>
      <w:r>
        <w:t xml:space="preserve"> </w:t>
      </w:r>
      <w:r>
        <w:t xml:space="preserve">· Oxytocin increases the pleasantness of affective touch and orbitofrontal cortex activity independent of valence. PMID 32861545</w:t>
      </w:r>
    </w:p>
    <w:p>
      <w:pPr>
        <w:numPr>
          <w:ilvl w:val="0"/>
          <w:numId w:val="1419"/>
        </w:numPr>
        <w:pStyle w:val="Compact"/>
      </w:pPr>
      <w:r>
        <w:t xml:space="preserve">2020 · Wang T ·</w:t>
      </w:r>
      <w:r>
        <w:t xml:space="preserve"> </w:t>
      </w:r>
      <w:r>
        <w:rPr>
          <w:iCs/>
          <w:i/>
        </w:rPr>
        <w:t xml:space="preserve">Pharmacol Biochem Behav</w:t>
      </w:r>
      <w:r>
        <w:t xml:space="preserve"> </w:t>
      </w:r>
      <w:r>
        <w:t xml:space="preserve">· Attachment anxiety moderates the effect of oxytocin on negative emotion recognition: Evidence from eye-movement data. PMID 32835786</w:t>
      </w:r>
    </w:p>
    <w:p>
      <w:pPr>
        <w:numPr>
          <w:ilvl w:val="0"/>
          <w:numId w:val="1419"/>
        </w:numPr>
        <w:pStyle w:val="Compact"/>
      </w:pPr>
      <w:r>
        <w:t xml:space="preserve">2020 · Morrison TE ·</w:t>
      </w:r>
      <w:r>
        <w:t xml:space="preserve"> </w:t>
      </w:r>
      <w:r>
        <w:rPr>
          <w:iCs/>
          <w:i/>
        </w:rPr>
        <w:t xml:space="preserve">Psychoneuroendocrinology</w:t>
      </w:r>
      <w:r>
        <w:t xml:space="preserve"> </w:t>
      </w:r>
      <w:r>
        <w:t xml:space="preserve">· Automatic Imitation in Comorbid PTSD &amp; Alcohol Use Disorder and Controls: an RCT of Intranasal Oxytocin. PMID 32745891</w:t>
      </w:r>
    </w:p>
    <w:p>
      <w:pPr>
        <w:numPr>
          <w:ilvl w:val="0"/>
          <w:numId w:val="1419"/>
        </w:numPr>
        <w:pStyle w:val="Compact"/>
      </w:pPr>
      <w:r>
        <w:t xml:space="preserve">2020 · Sippel LM ·</w:t>
      </w:r>
      <w:r>
        <w:t xml:space="preserve"> </w:t>
      </w:r>
      <w:r>
        <w:rPr>
          <w:iCs/>
          <w:i/>
        </w:rPr>
        <w:t xml:space="preserve">J Clin Psychopharmacol</w:t>
      </w:r>
      <w:r>
        <w:t xml:space="preserve"> </w:t>
      </w:r>
      <w:r>
        <w:t xml:space="preserve">· A Preliminary Examination of Endogenous Peripheral Oxytocin in a Pilot Randomized Clinical Trial of Oxytocin-Enhanced Psychotherapy for Posttraumatic Stress Disorder. PMID 32639293</w:t>
      </w:r>
    </w:p>
    <w:p>
      <w:pPr>
        <w:numPr>
          <w:ilvl w:val="0"/>
          <w:numId w:val="1419"/>
        </w:numPr>
        <w:pStyle w:val="Compact"/>
      </w:pPr>
      <w:r>
        <w:t xml:space="preserve">2020 · Borowiak K ·</w:t>
      </w:r>
      <w:r>
        <w:t xml:space="preserve"> </w:t>
      </w:r>
      <w:r>
        <w:rPr>
          <w:iCs/>
          <w:i/>
        </w:rPr>
        <w:t xml:space="preserve">Transl Psychiatry</w:t>
      </w:r>
      <w:r>
        <w:t xml:space="preserve"> </w:t>
      </w:r>
      <w:r>
        <w:t xml:space="preserve">· Intranasal oxytocin modulates brain responses to voice-identity recognition in typically developing individuals, but not in ASD. PMID 32636360</w:t>
      </w:r>
    </w:p>
    <w:p>
      <w:pPr>
        <w:numPr>
          <w:ilvl w:val="0"/>
          <w:numId w:val="1419"/>
        </w:numPr>
        <w:pStyle w:val="Compact"/>
      </w:pPr>
      <w:r>
        <w:t xml:space="preserve">2020 · Demartini B ·</w:t>
      </w:r>
      <w:r>
        <w:t xml:space="preserve"> </w:t>
      </w:r>
      <w:r>
        <w:rPr>
          <w:iCs/>
          <w:i/>
        </w:rPr>
        <w:t xml:space="preserve">J Clin Psychopharmacol</w:t>
      </w:r>
      <w:r>
        <w:t xml:space="preserve"> </w:t>
      </w:r>
      <w:r>
        <w:t xml:space="preserve">· The Effect of Intranasal Oxytocin in Patients With Functional Motor Symptoms: A Preliminary Open-Label Case Series. PMID 32604129</w:t>
      </w:r>
    </w:p>
    <w:p>
      <w:pPr>
        <w:numPr>
          <w:ilvl w:val="0"/>
          <w:numId w:val="1419"/>
        </w:numPr>
        <w:pStyle w:val="Compact"/>
      </w:pPr>
      <w:r>
        <w:t xml:space="preserve">2020 · Martins D ·</w:t>
      </w:r>
      <w:r>
        <w:t xml:space="preserve"> </w:t>
      </w:r>
      <w:r>
        <w:rPr>
          <w:iCs/>
          <w:i/>
        </w:rPr>
        <w:t xml:space="preserve">Transl Psychiatry</w:t>
      </w:r>
      <w:r>
        <w:t xml:space="preserve"> </w:t>
      </w:r>
      <w:r>
        <w:t xml:space="preserve">· Investigating resting brain perfusion abnormalities and disease target-engagement by intranasal oxytocin in women with bulimia nervosa and binge-eating disorder and healthy controls. PMID 32513936</w:t>
      </w:r>
    </w:p>
    <w:p>
      <w:pPr>
        <w:numPr>
          <w:ilvl w:val="0"/>
          <w:numId w:val="1419"/>
        </w:numPr>
        <w:pStyle w:val="Compact"/>
      </w:pPr>
      <w:r>
        <w:t xml:space="preserve">2020 · Le J ·</w:t>
      </w:r>
      <w:r>
        <w:t xml:space="preserve"> </w:t>
      </w:r>
      <w:r>
        <w:rPr>
          <w:iCs/>
          <w:i/>
        </w:rPr>
        <w:t xml:space="preserve">Transl Psychiatry</w:t>
      </w:r>
      <w:r>
        <w:t xml:space="preserve"> </w:t>
      </w:r>
      <w:r>
        <w:t xml:space="preserve">· Oxytocin biases eye-gaze to dynamic and static social images and the eyes of fearful faces: associations with trait autism. PMID 32398642</w:t>
      </w:r>
    </w:p>
    <w:p>
      <w:pPr>
        <w:numPr>
          <w:ilvl w:val="0"/>
          <w:numId w:val="1419"/>
        </w:numPr>
        <w:pStyle w:val="Compact"/>
      </w:pPr>
      <w:r>
        <w:t xml:space="preserve">2020 · Sherman BJ ·</w:t>
      </w:r>
      <w:r>
        <w:t xml:space="preserve"> </w:t>
      </w:r>
      <w:r>
        <w:rPr>
          <w:iCs/>
          <w:i/>
        </w:rPr>
        <w:t xml:space="preserve">Psychopharmacology (Berl)</w:t>
      </w:r>
      <w:r>
        <w:t xml:space="preserve"> </w:t>
      </w:r>
      <w:r>
        <w:t xml:space="preserve">· The effect of oxytocin, gender, and ovarian hormones on stress reactivity in individuals with cocaine use disorder. PMID 32388622</w:t>
      </w:r>
    </w:p>
    <w:p>
      <w:pPr>
        <w:numPr>
          <w:ilvl w:val="0"/>
          <w:numId w:val="1419"/>
        </w:numPr>
        <w:pStyle w:val="Compact"/>
      </w:pPr>
      <w:r>
        <w:t xml:space="preserve">2020 · Pfeifer AC ·</w:t>
      </w:r>
      <w:r>
        <w:t xml:space="preserve"> </w:t>
      </w:r>
      <w:r>
        <w:rPr>
          <w:iCs/>
          <w:i/>
        </w:rPr>
        <w:t xml:space="preserve">Mol Pain</w:t>
      </w:r>
      <w:r>
        <w:t xml:space="preserve"> </w:t>
      </w:r>
      <w:r>
        <w:t xml:space="preserve">· Oxytocin and positive couple interaction affect the perception of wound pain in everyday life. PMID 32308117</w:t>
      </w:r>
    </w:p>
    <w:p>
      <w:pPr>
        <w:numPr>
          <w:ilvl w:val="0"/>
          <w:numId w:val="1419"/>
        </w:numPr>
        <w:pStyle w:val="Compact"/>
      </w:pPr>
      <w:r>
        <w:t xml:space="preserve">2020 · Sabino ADV ·</w:t>
      </w:r>
      <w:r>
        <w:t xml:space="preserve"> </w:t>
      </w:r>
      <w:r>
        <w:rPr>
          <w:iCs/>
          <w:i/>
        </w:rPr>
        <w:t xml:space="preserve">Psychopharmacology (Berl)</w:t>
      </w:r>
      <w:r>
        <w:t xml:space="preserve"> </w:t>
      </w:r>
      <w:r>
        <w:t xml:space="preserve">· Acute effects of oxytocin in music performance anxiety: a crossover, randomized, placebo-controlled trial. PMID 32123973</w:t>
      </w:r>
    </w:p>
    <w:p>
      <w:pPr>
        <w:numPr>
          <w:ilvl w:val="0"/>
          <w:numId w:val="1419"/>
        </w:numPr>
        <w:pStyle w:val="Compact"/>
      </w:pPr>
      <w:r>
        <w:t xml:space="preserve">2020 · Wu Q ·</w:t>
      </w:r>
      <w:r>
        <w:t xml:space="preserve"> </w:t>
      </w:r>
      <w:r>
        <w:rPr>
          <w:iCs/>
          <w:i/>
        </w:rPr>
        <w:t xml:space="preserve">Psychoneuroendocrinology</w:t>
      </w:r>
      <w:r>
        <w:t xml:space="preserve"> </w:t>
      </w:r>
      <w:r>
        <w:t xml:space="preserve">· Oxytocin alters the effect of payoff but not base rate in emotion perception. PMID 32070797</w:t>
      </w:r>
    </w:p>
    <w:p>
      <w:pPr>
        <w:numPr>
          <w:ilvl w:val="0"/>
          <w:numId w:val="1419"/>
        </w:numPr>
        <w:pStyle w:val="Compact"/>
      </w:pPr>
      <w:r>
        <w:t xml:space="preserve">2020 · Melby K ·</w:t>
      </w:r>
      <w:r>
        <w:t xml:space="preserve"> </w:t>
      </w:r>
      <w:r>
        <w:rPr>
          <w:iCs/>
          <w:i/>
        </w:rPr>
        <w:t xml:space="preserve">PLoS One</w:t>
      </w:r>
      <w:r>
        <w:t xml:space="preserve"> </w:t>
      </w:r>
      <w:r>
        <w:t xml:space="preserve">· Actigraphy assessment of motor activity and sleep in patients with alcohol withdrawal syndrome and the effects of intranasal oxytocin. PMID 32053696</w:t>
      </w:r>
    </w:p>
    <w:p>
      <w:pPr>
        <w:numPr>
          <w:ilvl w:val="0"/>
          <w:numId w:val="1419"/>
        </w:numPr>
        <w:pStyle w:val="Compact"/>
      </w:pPr>
      <w:r>
        <w:t xml:space="preserve">2020 · Agurto C ·</w:t>
      </w:r>
      <w:r>
        <w:t xml:space="preserve"> </w:t>
      </w:r>
      <w:r>
        <w:rPr>
          <w:iCs/>
          <w:i/>
        </w:rPr>
        <w:t xml:space="preserve">Neuropsychopharmacology</w:t>
      </w:r>
      <w:r>
        <w:t xml:space="preserve"> </w:t>
      </w:r>
      <w:r>
        <w:t xml:space="preserve">· Detection of acute 3,4-methylenedioxymethamphetamine (MDMA) effects across protocols using automated natural language processing. PMID 31978933</w:t>
      </w:r>
    </w:p>
    <w:p>
      <w:pPr>
        <w:numPr>
          <w:ilvl w:val="0"/>
          <w:numId w:val="1419"/>
        </w:numPr>
        <w:pStyle w:val="Compact"/>
      </w:pPr>
      <w:r>
        <w:t xml:space="preserve">2020 · Bernaerts S ·</w:t>
      </w:r>
      <w:r>
        <w:t xml:space="preserve"> </w:t>
      </w:r>
      <w:r>
        <w:rPr>
          <w:iCs/>
          <w:i/>
        </w:rPr>
        <w:t xml:space="preserve">Mol Autism</w:t>
      </w:r>
      <w:r>
        <w:t xml:space="preserve"> </w:t>
      </w:r>
      <w:r>
        <w:t xml:space="preserve">· Behavioral effects of multiple-dose oxytocin treatment in autism: a randomized, placebo-controlled trial with long-term follow-up. PMID 31969977</w:t>
      </w:r>
    </w:p>
    <w:p>
      <w:pPr>
        <w:numPr>
          <w:ilvl w:val="0"/>
          <w:numId w:val="1419"/>
        </w:numPr>
        <w:pStyle w:val="Compact"/>
      </w:pPr>
      <w:r>
        <w:t xml:space="preserve">2020 · Sindermann C ·</w:t>
      </w:r>
      <w:r>
        <w:t xml:space="preserve"> </w:t>
      </w:r>
      <w:r>
        <w:rPr>
          <w:iCs/>
          <w:i/>
        </w:rPr>
        <w:t xml:space="preserve">Brain Behav</w:t>
      </w:r>
      <w:r>
        <w:t xml:space="preserve"> </w:t>
      </w:r>
      <w:r>
        <w:t xml:space="preserve">· The role of oxytocin on self-serving lying. PMID 31930678</w:t>
      </w:r>
    </w:p>
    <w:p>
      <w:pPr>
        <w:numPr>
          <w:ilvl w:val="0"/>
          <w:numId w:val="1419"/>
        </w:numPr>
        <w:pStyle w:val="Compact"/>
      </w:pPr>
      <w:r>
        <w:t xml:space="preserve">2020 · McClure EA ·</w:t>
      </w:r>
      <w:r>
        <w:t xml:space="preserve"> </w:t>
      </w:r>
      <w:r>
        <w:rPr>
          <w:iCs/>
          <w:i/>
        </w:rPr>
        <w:t xml:space="preserve">Psychopharmacology (Berl)</w:t>
      </w:r>
      <w:r>
        <w:t xml:space="preserve"> </w:t>
      </w:r>
      <w:r>
        <w:t xml:space="preserve">· The influence of gender and oxytocin on stress reactivity, cigarette craving, and smoking in a randomized, placebo-controlled laboratory relapse paradigm. PMID 31792646</w:t>
      </w:r>
    </w:p>
    <w:p>
      <w:pPr>
        <w:numPr>
          <w:ilvl w:val="0"/>
          <w:numId w:val="1419"/>
        </w:numPr>
        <w:pStyle w:val="Compact"/>
      </w:pPr>
      <w:r>
        <w:t xml:space="preserve">2020 · Lieberz J ·</w:t>
      </w:r>
      <w:r>
        <w:t xml:space="preserve"> </w:t>
      </w:r>
      <w:r>
        <w:rPr>
          <w:iCs/>
          <w:i/>
        </w:rPr>
        <w:t xml:space="preserve">Neuropsychopharmacology</w:t>
      </w:r>
      <w:r>
        <w:t xml:space="preserve"> </w:t>
      </w:r>
      <w:r>
        <w:t xml:space="preserve">· Kinetics of oxytocin effects on amygdala and striatal reactivity vary between women and men. PMID 31785587</w:t>
      </w:r>
    </w:p>
    <w:p>
      <w:pPr>
        <w:numPr>
          <w:ilvl w:val="0"/>
          <w:numId w:val="1419"/>
        </w:numPr>
        <w:pStyle w:val="Compact"/>
      </w:pPr>
      <w:r>
        <w:t xml:space="preserve">2020 · Verhees MWFT ·</w:t>
      </w:r>
      <w:r>
        <w:t xml:space="preserve"> </w:t>
      </w:r>
      <w:r>
        <w:rPr>
          <w:iCs/>
          <w:i/>
        </w:rPr>
        <w:t xml:space="preserve">J Behav Ther Exp Psychiatry</w:t>
      </w:r>
      <w:r>
        <w:t xml:space="preserve"> </w:t>
      </w:r>
      <w:r>
        <w:t xml:space="preserve">· Combining oxytocin and cognitive bias modification training in a randomized controlled trial: Effects on trust in maternal support. PMID 31610435</w:t>
      </w:r>
    </w:p>
    <w:p>
      <w:pPr>
        <w:numPr>
          <w:ilvl w:val="0"/>
          <w:numId w:val="1419"/>
        </w:numPr>
        <w:pStyle w:val="Compact"/>
      </w:pPr>
      <w:r>
        <w:t xml:space="preserve">2020 · Zhao W ·</w:t>
      </w:r>
      <w:r>
        <w:t xml:space="preserve"> </w:t>
      </w:r>
      <w:r>
        <w:rPr>
          <w:iCs/>
          <w:i/>
        </w:rPr>
        <w:t xml:space="preserve">Prog Neuropsychopharmacol Biol Psychiatry</w:t>
      </w:r>
      <w:r>
        <w:t xml:space="preserve"> </w:t>
      </w:r>
      <w:r>
        <w:t xml:space="preserve">· Oxytocin modulation of self-referential processing is partly replicable and sensitive to oxytocin receptor genotype. PMID 31415827</w:t>
      </w:r>
    </w:p>
    <w:p>
      <w:pPr>
        <w:numPr>
          <w:ilvl w:val="0"/>
          <w:numId w:val="1419"/>
        </w:numPr>
        <w:pStyle w:val="Compact"/>
      </w:pPr>
      <w:r>
        <w:t xml:space="preserve">2020 · Van Hedger K ·</w:t>
      </w:r>
      <w:r>
        <w:t xml:space="preserve"> </w:t>
      </w:r>
      <w:r>
        <w:rPr>
          <w:iCs/>
          <w:i/>
        </w:rPr>
        <w:t xml:space="preserve">Nicotine Tob Res</w:t>
      </w:r>
      <w:r>
        <w:t xml:space="preserve"> </w:t>
      </w:r>
      <w:r>
        <w:t xml:space="preserve">· Effects of Intranasal Oxytocin on Stress-Induced Cigarette Craving in Daily Smokers. PMID 30085292</w:t>
      </w:r>
    </w:p>
    <w:p>
      <w:pPr>
        <w:numPr>
          <w:ilvl w:val="0"/>
          <w:numId w:val="1419"/>
        </w:numPr>
        <w:pStyle w:val="Compact"/>
      </w:pPr>
      <w:r>
        <w:t xml:space="preserve">2020 · Yamasue H ·</w:t>
      </w:r>
      <w:r>
        <w:t xml:space="preserve"> </w:t>
      </w:r>
      <w:r>
        <w:rPr>
          <w:iCs/>
          <w:i/>
        </w:rPr>
        <w:t xml:space="preserve">Mol Psychiatry</w:t>
      </w:r>
      <w:r>
        <w:t xml:space="preserve"> </w:t>
      </w:r>
      <w:r>
        <w:t xml:space="preserve">· Effect of intranasal oxytocin on the core social symptoms of autism spectrum disorder: a randomized clinical trial. PMID 29955161</w:t>
      </w:r>
    </w:p>
    <w:p>
      <w:pPr>
        <w:numPr>
          <w:ilvl w:val="0"/>
          <w:numId w:val="1419"/>
        </w:numPr>
        <w:pStyle w:val="Compact"/>
      </w:pPr>
      <w:r>
        <w:t xml:space="preserve">2019 · Domes G ·</w:t>
      </w:r>
      <w:r>
        <w:t xml:space="preserve"> </w:t>
      </w:r>
      <w:r>
        <w:rPr>
          <w:iCs/>
          <w:i/>
        </w:rPr>
        <w:t xml:space="preserve">Transl Psychiatry</w:t>
      </w:r>
      <w:r>
        <w:t xml:space="preserve"> </w:t>
      </w:r>
      <w:r>
        <w:t xml:space="preserve">· Effects of intranasal oxytocin administration on empathy and approach motivation in women with borderline personality disorder: a randomized controlled trial. PMID 31801937</w:t>
      </w:r>
    </w:p>
    <w:p>
      <w:pPr>
        <w:numPr>
          <w:ilvl w:val="0"/>
          <w:numId w:val="1419"/>
        </w:numPr>
        <w:pStyle w:val="Compact"/>
      </w:pPr>
      <w:r>
        <w:t xml:space="preserve">2019 · Burmester V ·</w:t>
      </w:r>
      <w:r>
        <w:t xml:space="preserve"> </w:t>
      </w:r>
      <w:r>
        <w:rPr>
          <w:iCs/>
          <w:i/>
        </w:rPr>
        <w:t xml:space="preserve">Physiol Behav</w:t>
      </w:r>
      <w:r>
        <w:t xml:space="preserve"> </w:t>
      </w:r>
      <w:r>
        <w:t xml:space="preserve">· Oxytocin reduces post-stress sweet snack intake in women without attenuating salivary cortisol. PMID 31628930</w:t>
      </w:r>
    </w:p>
    <w:p>
      <w:pPr>
        <w:numPr>
          <w:ilvl w:val="0"/>
          <w:numId w:val="1419"/>
        </w:numPr>
        <w:pStyle w:val="Compact"/>
      </w:pPr>
      <w:r>
        <w:t xml:space="preserve">2019 · Stauffer CS ·</w:t>
      </w:r>
      <w:r>
        <w:t xml:space="preserve"> </w:t>
      </w:r>
      <w:r>
        <w:rPr>
          <w:iCs/>
          <w:i/>
        </w:rPr>
        <w:t xml:space="preserve">Alcohol Clin Exp Res</w:t>
      </w:r>
      <w:r>
        <w:t xml:space="preserve"> </w:t>
      </w:r>
      <w:r>
        <w:t xml:space="preserve">· Effects of Oxytocin Administration on Cue-Induced Craving in Co-occurring Alcohol Use Disorder and PTSD: A Within-Participant Randomized Clinical Trial. PMID 31610033</w:t>
      </w:r>
    </w:p>
    <w:p>
      <w:pPr>
        <w:numPr>
          <w:ilvl w:val="0"/>
          <w:numId w:val="1419"/>
        </w:numPr>
        <w:pStyle w:val="Compact"/>
      </w:pPr>
      <w:r>
        <w:t xml:space="preserve">2019 · Bradley ER ·</w:t>
      </w:r>
      <w:r>
        <w:t xml:space="preserve"> </w:t>
      </w:r>
      <w:r>
        <w:rPr>
          <w:iCs/>
          <w:i/>
        </w:rPr>
        <w:t xml:space="preserve">Schizophr Res</w:t>
      </w:r>
      <w:r>
        <w:t xml:space="preserve"> </w:t>
      </w:r>
      <w:r>
        <w:t xml:space="preserve">· Oxytocin increases eye gaze in schizophrenia. PMID 31416746</w:t>
      </w:r>
    </w:p>
    <w:p>
      <w:pPr>
        <w:numPr>
          <w:ilvl w:val="0"/>
          <w:numId w:val="1419"/>
        </w:numPr>
        <w:pStyle w:val="Compact"/>
      </w:pPr>
      <w:r>
        <w:t xml:space="preserve">2019 · Fragkaki I ·</w:t>
      </w:r>
      <w:r>
        <w:t xml:space="preserve"> </w:t>
      </w:r>
      <w:r>
        <w:rPr>
          <w:iCs/>
          <w:i/>
        </w:rPr>
        <w:t xml:space="preserve">Horm Behav</w:t>
      </w:r>
      <w:r>
        <w:t xml:space="preserve"> </w:t>
      </w:r>
      <w:r>
        <w:t xml:space="preserve">· The effect of oxytocin administration on empathy and emotion recognition in residential youth: A randomized, within-subjects trial. PMID 31351105</w:t>
      </w:r>
    </w:p>
    <w:p>
      <w:pPr>
        <w:numPr>
          <w:ilvl w:val="0"/>
          <w:numId w:val="1419"/>
        </w:numPr>
        <w:pStyle w:val="Compact"/>
      </w:pPr>
      <w:r>
        <w:t xml:space="preserve">2019 · Bozorgmehr A ·</w:t>
      </w:r>
      <w:r>
        <w:t xml:space="preserve"> </w:t>
      </w:r>
      <w:r>
        <w:rPr>
          <w:iCs/>
          <w:i/>
        </w:rPr>
        <w:t xml:space="preserve">Neurosci Lett</w:t>
      </w:r>
      <w:r>
        <w:t xml:space="preserve"> </w:t>
      </w:r>
      <w:r>
        <w:t xml:space="preserve">· Oxytocin moderates risky decision-making during the Iowa Gambling Task: A new insight based on the role of oxytocin receptor gene polymorphisms and interventional cognitive study. PMID 31200092</w:t>
      </w:r>
    </w:p>
    <w:p>
      <w:pPr>
        <w:numPr>
          <w:ilvl w:val="0"/>
          <w:numId w:val="1419"/>
        </w:numPr>
        <w:pStyle w:val="Compact"/>
      </w:pPr>
      <w:r>
        <w:t xml:space="preserve">2019 · Grace SA ·</w:t>
      </w:r>
      <w:r>
        <w:t xml:space="preserve"> </w:t>
      </w:r>
      <w:r>
        <w:rPr>
          <w:iCs/>
          <w:i/>
        </w:rPr>
        <w:t xml:space="preserve">Psychoneuroendocrinology</w:t>
      </w:r>
      <w:r>
        <w:t xml:space="preserve"> </w:t>
      </w:r>
      <w:r>
        <w:t xml:space="preserve">· Intranasal oxytocin alters amygdala-temporal resting-state functional connectivity in body dysmorphic disorder: A double-blind placebo-controlled randomized trial. PMID 31146138</w:t>
      </w:r>
    </w:p>
    <w:p>
      <w:pPr>
        <w:numPr>
          <w:ilvl w:val="0"/>
          <w:numId w:val="1419"/>
        </w:numPr>
        <w:pStyle w:val="Compact"/>
      </w:pPr>
      <w:r>
        <w:t xml:space="preserve">2019 · Tabak BA ·</w:t>
      </w:r>
      <w:r>
        <w:t xml:space="preserve"> </w:t>
      </w:r>
      <w:r>
        <w:rPr>
          <w:iCs/>
          <w:i/>
        </w:rPr>
        <w:t xml:space="preserve">Psychoneuroendocrinology</w:t>
      </w:r>
      <w:r>
        <w:t xml:space="preserve"> </w:t>
      </w:r>
      <w:r>
        <w:t xml:space="preserve">· Null results of oxytocin and vasopressin administration across a range of social cognitive and behavioral paradigms: Evidence from a randomized controlled trial. PMID 31128568</w:t>
      </w:r>
    </w:p>
    <w:p>
      <w:pPr>
        <w:numPr>
          <w:ilvl w:val="0"/>
          <w:numId w:val="1419"/>
        </w:numPr>
        <w:pStyle w:val="Compact"/>
      </w:pPr>
      <w:r>
        <w:t xml:space="preserve">2019 · Petereit P ·</w:t>
      </w:r>
      <w:r>
        <w:t xml:space="preserve"> </w:t>
      </w:r>
      <w:r>
        <w:rPr>
          <w:iCs/>
          <w:i/>
        </w:rPr>
        <w:t xml:space="preserve">Biol Psychol</w:t>
      </w:r>
      <w:r>
        <w:t xml:space="preserve"> </w:t>
      </w:r>
      <w:r>
        <w:t xml:space="preserve">· Oxytocin reduces the link between neural and affective responses after social exclusion. PMID 31075364</w:t>
      </w:r>
    </w:p>
    <w:p>
      <w:pPr>
        <w:numPr>
          <w:ilvl w:val="0"/>
          <w:numId w:val="1419"/>
        </w:numPr>
        <w:pStyle w:val="Compact"/>
      </w:pPr>
      <w:r>
        <w:t xml:space="preserve">2019 · Bartz JA ·</w:t>
      </w:r>
      <w:r>
        <w:t xml:space="preserve"> </w:t>
      </w:r>
      <w:r>
        <w:rPr>
          <w:iCs/>
          <w:i/>
        </w:rPr>
        <w:t xml:space="preserve">Biol Psychiatry Cogn Neurosci Neuroimaging</w:t>
      </w:r>
      <w:r>
        <w:t xml:space="preserve"> </w:t>
      </w:r>
      <w:r>
        <w:t xml:space="preserve">· Oxytocin Selectively Improves Empathic Accuracy: A Replication in Men and Novel Insights in Women. PMID 30954442</w:t>
      </w:r>
    </w:p>
    <w:p>
      <w:pPr>
        <w:numPr>
          <w:ilvl w:val="0"/>
          <w:numId w:val="1419"/>
        </w:numPr>
        <w:pStyle w:val="Compact"/>
      </w:pPr>
      <w:r>
        <w:t xml:space="preserve">2019 · Melby K ·</w:t>
      </w:r>
      <w:r>
        <w:t xml:space="preserve"> </w:t>
      </w:r>
      <w:r>
        <w:rPr>
          <w:iCs/>
          <w:i/>
        </w:rPr>
        <w:t xml:space="preserve">Drug Alcohol Depend</w:t>
      </w:r>
      <w:r>
        <w:t xml:space="preserve"> </w:t>
      </w:r>
      <w:r>
        <w:t xml:space="preserve">· Effect of intranasal oxytocin on alcohol withdrawal syndrome: A randomized placebo-controlled double-blind clinical trial. PMID 30784955</w:t>
      </w:r>
    </w:p>
    <w:p>
      <w:pPr>
        <w:numPr>
          <w:ilvl w:val="0"/>
          <w:numId w:val="1419"/>
        </w:numPr>
        <w:pStyle w:val="Compact"/>
      </w:pPr>
      <w:r>
        <w:t xml:space="preserve">2019 · Davies C ·</w:t>
      </w:r>
      <w:r>
        <w:t xml:space="preserve"> </w:t>
      </w:r>
      <w:r>
        <w:rPr>
          <w:iCs/>
          <w:i/>
        </w:rPr>
        <w:t xml:space="preserve">Neuropsychopharmacology</w:t>
      </w:r>
      <w:r>
        <w:t xml:space="preserve"> </w:t>
      </w:r>
      <w:r>
        <w:t xml:space="preserve">· Oxytocin modulates hippocampal perfusion in people at clinical high risk for psychosis. PMID 30626906</w:t>
      </w:r>
    </w:p>
    <w:p>
      <w:pPr>
        <w:numPr>
          <w:ilvl w:val="0"/>
          <w:numId w:val="1419"/>
        </w:numPr>
        <w:pStyle w:val="Compact"/>
      </w:pPr>
      <w:r>
        <w:t xml:space="preserve">2019 · Fang A ·</w:t>
      </w:r>
      <w:r>
        <w:t xml:space="preserve"> </w:t>
      </w:r>
      <w:r>
        <w:rPr>
          <w:iCs/>
          <w:i/>
        </w:rPr>
        <w:t xml:space="preserve">Depress Anxiety</w:t>
      </w:r>
      <w:r>
        <w:t xml:space="preserve"> </w:t>
      </w:r>
      <w:r>
        <w:t xml:space="preserve">· Intranasal oxytocin modulates higher order social cognition in body dysmorphic disorder. PMID 30614171</w:t>
      </w:r>
    </w:p>
    <w:p>
      <w:pPr>
        <w:numPr>
          <w:ilvl w:val="0"/>
          <w:numId w:val="1419"/>
        </w:numPr>
        <w:pStyle w:val="Compact"/>
      </w:pPr>
      <w:r>
        <w:t xml:space="preserve">2019 · Leslie M ·</w:t>
      </w:r>
      <w:r>
        <w:t xml:space="preserve"> </w:t>
      </w:r>
      <w:r>
        <w:rPr>
          <w:iCs/>
          <w:i/>
        </w:rPr>
        <w:t xml:space="preserve">Mol Cell Endocrinol</w:t>
      </w:r>
      <w:r>
        <w:t xml:space="preserve"> </w:t>
      </w:r>
      <w:r>
        <w:t xml:space="preserve">· The influence of oxytocin on eating behaviours and stress in women with bulimia nervosa and binge eating disorder. PMID 30579958</w:t>
      </w:r>
    </w:p>
    <w:p>
      <w:pPr>
        <w:numPr>
          <w:ilvl w:val="0"/>
          <w:numId w:val="1419"/>
        </w:numPr>
        <w:pStyle w:val="Compact"/>
      </w:pPr>
      <w:r>
        <w:t xml:space="preserve">2019 · Crucianelli L ·</w:t>
      </w:r>
      <w:r>
        <w:t xml:space="preserve"> </w:t>
      </w:r>
      <w:r>
        <w:rPr>
          <w:iCs/>
          <w:i/>
        </w:rPr>
        <w:t xml:space="preserve">J Cogn Neurosci</w:t>
      </w:r>
      <w:r>
        <w:t xml:space="preserve"> </w:t>
      </w:r>
      <w:r>
        <w:t xml:space="preserve">· Embodied Precision: Intranasal Oxytocin Modulates Multisensory Integration. PMID 30562138</w:t>
      </w:r>
    </w:p>
    <w:p>
      <w:pPr>
        <w:numPr>
          <w:ilvl w:val="0"/>
          <w:numId w:val="1419"/>
        </w:numPr>
        <w:pStyle w:val="Compact"/>
      </w:pPr>
      <w:r>
        <w:t xml:space="preserve">2019 · Koch SBJ ·</w:t>
      </w:r>
      <w:r>
        <w:t xml:space="preserve"> </w:t>
      </w:r>
      <w:r>
        <w:rPr>
          <w:iCs/>
          <w:i/>
        </w:rPr>
        <w:t xml:space="preserve">Eur Neuropsychopharmacol</w:t>
      </w:r>
      <w:r>
        <w:t xml:space="preserve"> </w:t>
      </w:r>
      <w:r>
        <w:t xml:space="preserve">· Effects of intranasal oxytocin on distraction as emotion regulation strategy in patients with post-traumatic stress disorder. PMID 30554861</w:t>
      </w:r>
    </w:p>
    <w:p>
      <w:pPr>
        <w:numPr>
          <w:ilvl w:val="0"/>
          <w:numId w:val="1419"/>
        </w:numPr>
        <w:pStyle w:val="Compact"/>
      </w:pPr>
      <w:r>
        <w:t xml:space="preserve">2019 · Kruppa JA ·</w:t>
      </w:r>
      <w:r>
        <w:t xml:space="preserve"> </w:t>
      </w:r>
      <w:r>
        <w:rPr>
          <w:iCs/>
          <w:i/>
        </w:rPr>
        <w:t xml:space="preserve">Neuropsychopharmacology</w:t>
      </w:r>
      <w:r>
        <w:t xml:space="preserve"> </w:t>
      </w:r>
      <w:r>
        <w:t xml:space="preserve">· Neural modulation of social reinforcement learning by intranasal oxytocin in male adults with high-functioning autism spectrum disorder: a randomized trial. PMID 30390065</w:t>
      </w:r>
    </w:p>
    <w:p>
      <w:pPr>
        <w:numPr>
          <w:ilvl w:val="0"/>
          <w:numId w:val="1419"/>
        </w:numPr>
        <w:pStyle w:val="Compact"/>
      </w:pPr>
      <w:r>
        <w:t xml:space="preserve">2019 · Flanagan JC ·</w:t>
      </w:r>
      <w:r>
        <w:t xml:space="preserve"> </w:t>
      </w:r>
      <w:r>
        <w:rPr>
          <w:iCs/>
          <w:i/>
        </w:rPr>
        <w:t xml:space="preserve">Exp Clin Psychopharmacol</w:t>
      </w:r>
      <w:r>
        <w:t xml:space="preserve"> </w:t>
      </w:r>
      <w:r>
        <w:t xml:space="preserve">· Effects of oxytocin on stress reactivity and craving in veterans with co-occurring PTSD and alcohol use disorder. PMID 30382728</w:t>
      </w:r>
    </w:p>
    <w:p>
      <w:pPr>
        <w:numPr>
          <w:ilvl w:val="0"/>
          <w:numId w:val="1419"/>
        </w:numPr>
        <w:pStyle w:val="Compact"/>
      </w:pPr>
      <w:r>
        <w:t xml:space="preserve">2019 · Eckstein M ·</w:t>
      </w:r>
      <w:r>
        <w:t xml:space="preserve"> </w:t>
      </w:r>
      <w:r>
        <w:rPr>
          <w:iCs/>
          <w:i/>
        </w:rPr>
        <w:t xml:space="preserve">Soc Neurosci</w:t>
      </w:r>
      <w:r>
        <w:t xml:space="preserve"> </w:t>
      </w:r>
      <w:r>
        <w:t xml:space="preserve">· Oxytocin increases eye-gaze towards novel social and non-social stimuli. PMID 30378456</w:t>
      </w:r>
    </w:p>
    <w:p>
      <w:pPr>
        <w:numPr>
          <w:ilvl w:val="0"/>
          <w:numId w:val="1419"/>
        </w:numPr>
        <w:pStyle w:val="Compact"/>
      </w:pPr>
      <w:r>
        <w:t xml:space="preserve">2019 · Grainger SA ·</w:t>
      </w:r>
      <w:r>
        <w:t xml:space="preserve"> </w:t>
      </w:r>
      <w:r>
        <w:rPr>
          <w:iCs/>
          <w:i/>
        </w:rPr>
        <w:t xml:space="preserve">J Psychopharmacol</w:t>
      </w:r>
      <w:r>
        <w:t xml:space="preserve"> </w:t>
      </w:r>
      <w:r>
        <w:t xml:space="preserve">· Intranasal oxytocin does not alter initial perceptions of facial trustworthiness in younger or older adults. PMID 30326770</w:t>
      </w:r>
    </w:p>
    <w:p>
      <w:pPr>
        <w:numPr>
          <w:ilvl w:val="0"/>
          <w:numId w:val="1419"/>
        </w:numPr>
        <w:pStyle w:val="Compact"/>
      </w:pPr>
      <w:r>
        <w:t xml:space="preserve">2019 · Quintana DS ·</w:t>
      </w:r>
      <w:r>
        <w:t xml:space="preserve"> </w:t>
      </w:r>
      <w:r>
        <w:rPr>
          <w:iCs/>
          <w:i/>
        </w:rPr>
        <w:t xml:space="preserve">Neuropsychopharmacology</w:t>
      </w:r>
      <w:r>
        <w:t xml:space="preserve"> </w:t>
      </w:r>
      <w:r>
        <w:t xml:space="preserve">· Low-dose intranasal oxytocin delivered with Breath Powered device modulates pupil diameter and amygdala activity: a randomized controlled pupillometry and fMRI study. PMID 30323359</w:t>
      </w:r>
    </w:p>
    <w:p>
      <w:pPr>
        <w:numPr>
          <w:ilvl w:val="0"/>
          <w:numId w:val="1419"/>
        </w:numPr>
        <w:pStyle w:val="Compact"/>
      </w:pPr>
      <w:r>
        <w:t xml:space="preserve">2019 · Halverson T ·</w:t>
      </w:r>
      <w:r>
        <w:t xml:space="preserve"> </w:t>
      </w:r>
      <w:r>
        <w:rPr>
          <w:iCs/>
          <w:i/>
        </w:rPr>
        <w:t xml:space="preserve">Schizophr Res</w:t>
      </w:r>
      <w:r>
        <w:t xml:space="preserve"> </w:t>
      </w:r>
      <w:r>
        <w:t xml:space="preserve">· Effects of oxytocin on empathy, introspective accuracy, and social symptoms in schizophrenia: A 12-week twice-daily randomized controlled trial. PMID 30243853</w:t>
      </w:r>
    </w:p>
    <w:p>
      <w:pPr>
        <w:numPr>
          <w:ilvl w:val="0"/>
          <w:numId w:val="1419"/>
        </w:numPr>
        <w:pStyle w:val="Compact"/>
      </w:pPr>
      <w:r>
        <w:t xml:space="preserve">2019 · Brede S ·</w:t>
      </w:r>
      <w:r>
        <w:t xml:space="preserve"> </w:t>
      </w:r>
      <w:r>
        <w:rPr>
          <w:iCs/>
          <w:i/>
        </w:rPr>
        <w:t xml:space="preserve">Diabetes Obes Metab</w:t>
      </w:r>
      <w:r>
        <w:t xml:space="preserve"> </w:t>
      </w:r>
      <w:r>
        <w:t xml:space="preserve">· Intranasal oxytocin fails to acutely improve glucose metabolism in obese men. PMID 30203536</w:t>
      </w:r>
    </w:p>
    <w:p>
      <w:pPr>
        <w:numPr>
          <w:ilvl w:val="0"/>
          <w:numId w:val="1419"/>
        </w:numPr>
        <w:pStyle w:val="Compact"/>
      </w:pPr>
      <w:r>
        <w:t xml:space="preserve">2019 · Schwaiger M ·</w:t>
      </w:r>
      <w:r>
        <w:t xml:space="preserve"> </w:t>
      </w:r>
      <w:r>
        <w:rPr>
          <w:iCs/>
          <w:i/>
        </w:rPr>
        <w:t xml:space="preserve">Psychoneuroendocrinology</w:t>
      </w:r>
      <w:r>
        <w:t xml:space="preserve"> </w:t>
      </w:r>
      <w:r>
        <w:t xml:space="preserve">· Oxytocin administration and emotion recognition abilities in adults with a history of childhood adversity. PMID 30189345</w:t>
      </w:r>
    </w:p>
    <w:p>
      <w:pPr>
        <w:numPr>
          <w:ilvl w:val="0"/>
          <w:numId w:val="1419"/>
        </w:numPr>
        <w:pStyle w:val="Compact"/>
      </w:pPr>
      <w:r>
        <w:t xml:space="preserve">2019 · Romney C ·</w:t>
      </w:r>
      <w:r>
        <w:t xml:space="preserve"> </w:t>
      </w:r>
      <w:r>
        <w:rPr>
          <w:iCs/>
          <w:i/>
        </w:rPr>
        <w:t xml:space="preserve">Int J Psychophysiol</w:t>
      </w:r>
      <w:r>
        <w:t xml:space="preserve"> </w:t>
      </w:r>
      <w:r>
        <w:t xml:space="preserve">· Where is the love? A double-blind, randomized study of the effects of intranasal oxytocin on stress regulation and aggression. PMID 30144492</w:t>
      </w:r>
    </w:p>
    <w:p>
      <w:pPr>
        <w:numPr>
          <w:ilvl w:val="0"/>
          <w:numId w:val="1419"/>
        </w:numPr>
        <w:pStyle w:val="Compact"/>
      </w:pPr>
      <w:r>
        <w:t xml:space="preserve">2018 · Finger E ·</w:t>
      </w:r>
      <w:r>
        <w:t xml:space="preserve"> </w:t>
      </w:r>
      <w:r>
        <w:rPr>
          <w:iCs/>
          <w:i/>
        </w:rPr>
        <w:t xml:space="preserve">Alzheimers Res Ther</w:t>
      </w:r>
      <w:r>
        <w:t xml:space="preserve"> </w:t>
      </w:r>
      <w:r>
        <w:t xml:space="preserve">· Adaptive crossover designs for assessment of symptomatic treatments targeting behaviour in neurodegenerative disease: a phase 2 clinical trial of intranasal oxytocin for frontotemporal dementia (FOXY). PMID 30261917</w:t>
      </w:r>
    </w:p>
    <w:p>
      <w:pPr>
        <w:numPr>
          <w:ilvl w:val="0"/>
          <w:numId w:val="1419"/>
        </w:numPr>
        <w:pStyle w:val="Compact"/>
      </w:pPr>
      <w:r>
        <w:t xml:space="preserve">2018 · Burmester V ·</w:t>
      </w:r>
      <w:r>
        <w:t xml:space="preserve"> </w:t>
      </w:r>
      <w:r>
        <w:rPr>
          <w:iCs/>
          <w:i/>
        </w:rPr>
        <w:t xml:space="preserve">Appetite</w:t>
      </w:r>
      <w:r>
        <w:t xml:space="preserve"> </w:t>
      </w:r>
      <w:r>
        <w:t xml:space="preserve">· Rapid-onset anorectic effects of intranasal oxytocin in young men. PMID 30081055</w:t>
      </w:r>
    </w:p>
    <w:p>
      <w:pPr>
        <w:numPr>
          <w:ilvl w:val="0"/>
          <w:numId w:val="1419"/>
        </w:numPr>
        <w:pStyle w:val="Compact"/>
      </w:pPr>
      <w:r>
        <w:t xml:space="preserve">2018 · Verhees MWFT ·</w:t>
      </w:r>
      <w:r>
        <w:t xml:space="preserve"> </w:t>
      </w:r>
      <w:r>
        <w:rPr>
          <w:iCs/>
          <w:i/>
        </w:rPr>
        <w:t xml:space="preserve">Psychopharmacology (Berl)</w:t>
      </w:r>
      <w:r>
        <w:t xml:space="preserve"> </w:t>
      </w:r>
      <w:r>
        <w:t xml:space="preserve">· No side-effects of single intranasal oxytocin administration in middle childhood. PMID 29915962</w:t>
      </w:r>
    </w:p>
    <w:p>
      <w:pPr>
        <w:numPr>
          <w:ilvl w:val="0"/>
          <w:numId w:val="1419"/>
        </w:numPr>
        <w:pStyle w:val="Compact"/>
      </w:pPr>
      <w:r>
        <w:t xml:space="preserve">2018 · Quintana DS ·</w:t>
      </w:r>
      <w:r>
        <w:t xml:space="preserve"> </w:t>
      </w:r>
      <w:r>
        <w:rPr>
          <w:iCs/>
          <w:i/>
        </w:rPr>
        <w:t xml:space="preserve">Horm Behav</w:t>
      </w:r>
      <w:r>
        <w:t xml:space="preserve"> </w:t>
      </w:r>
      <w:r>
        <w:t xml:space="preserve">· Saliva oxytocin measures do not reflect peripheral plasma concentrations after intranasal oxytocin administration in men. PMID 29750971</w:t>
      </w:r>
    </w:p>
    <w:p>
      <w:pPr>
        <w:numPr>
          <w:ilvl w:val="0"/>
          <w:numId w:val="1419"/>
        </w:numPr>
        <w:pStyle w:val="Compact"/>
      </w:pPr>
      <w:r>
        <w:t xml:space="preserve">2018 · Kruger THC ·</w:t>
      </w:r>
      <w:r>
        <w:t xml:space="preserve"> </w:t>
      </w:r>
      <w:r>
        <w:rPr>
          <w:iCs/>
          <w:i/>
        </w:rPr>
        <w:t xml:space="preserve">J Clin Psychopharmacol</w:t>
      </w:r>
      <w:r>
        <w:t xml:space="preserve"> </w:t>
      </w:r>
      <w:r>
        <w:t xml:space="preserve">· Effects of Intranasal Oxytocin Administration on Sexual Functions in Healthy Women: A Laboratory Paradigm. PMID 29596150</w:t>
      </w:r>
    </w:p>
    <w:p>
      <w:pPr>
        <w:numPr>
          <w:ilvl w:val="0"/>
          <w:numId w:val="1419"/>
        </w:numPr>
        <w:pStyle w:val="Compact"/>
      </w:pPr>
      <w:r>
        <w:t xml:space="preserve">2018 · Kim YR ·</w:t>
      </w:r>
      <w:r>
        <w:t xml:space="preserve"> </w:t>
      </w:r>
      <w:r>
        <w:rPr>
          <w:iCs/>
          <w:i/>
        </w:rPr>
        <w:t xml:space="preserve">Psychoneuroendocrinology</w:t>
      </w:r>
      <w:r>
        <w:t xml:space="preserve"> </w:t>
      </w:r>
      <w:r>
        <w:t xml:space="preserve">· Effects of intranasal oxytocin on the attentional bias to emotional stimuli in patients with bulimia nervosa. PMID 29529522</w:t>
      </w:r>
    </w:p>
    <w:p>
      <w:pPr>
        <w:numPr>
          <w:ilvl w:val="0"/>
          <w:numId w:val="1419"/>
        </w:numPr>
        <w:pStyle w:val="Compact"/>
      </w:pPr>
      <w:r>
        <w:t xml:space="preserve">2018 · Warren KR ·</w:t>
      </w:r>
      <w:r>
        <w:t xml:space="preserve"> </w:t>
      </w:r>
      <w:r>
        <w:rPr>
          <w:iCs/>
          <w:i/>
        </w:rPr>
        <w:t xml:space="preserve">Physiol Behav</w:t>
      </w:r>
      <w:r>
        <w:t xml:space="preserve"> </w:t>
      </w:r>
      <w:r>
        <w:t xml:space="preserve">· Effects of intranasal oxytocin on satiety signaling in people with schizophrenia. PMID 29524451</w:t>
      </w:r>
    </w:p>
    <w:p>
      <w:pPr>
        <w:numPr>
          <w:ilvl w:val="0"/>
          <w:numId w:val="1419"/>
        </w:numPr>
        <w:pStyle w:val="Compact"/>
      </w:pPr>
      <w:r>
        <w:t xml:space="preserve">2018 · Grainger SA ·</w:t>
      </w:r>
      <w:r>
        <w:t xml:space="preserve"> </w:t>
      </w:r>
      <w:r>
        <w:rPr>
          <w:iCs/>
          <w:i/>
        </w:rPr>
        <w:t xml:space="preserve">Horm Behav</w:t>
      </w:r>
      <w:r>
        <w:t xml:space="preserve"> </w:t>
      </w:r>
      <w:r>
        <w:t xml:space="preserve">· Intranasal oxytocin does not reduce age-related difficulties in social cognition. PMID 29408521</w:t>
      </w:r>
    </w:p>
    <w:p>
      <w:pPr>
        <w:numPr>
          <w:ilvl w:val="0"/>
          <w:numId w:val="1419"/>
        </w:numPr>
        <w:pStyle w:val="Compact"/>
      </w:pPr>
      <w:r>
        <w:t xml:space="preserve">2018 · Schumacher S ·</w:t>
      </w:r>
      <w:r>
        <w:t xml:space="preserve"> </w:t>
      </w:r>
      <w:r>
        <w:rPr>
          <w:iCs/>
          <w:i/>
        </w:rPr>
        <w:t xml:space="preserve">PLoS One</w:t>
      </w:r>
      <w:r>
        <w:t xml:space="preserve"> </w:t>
      </w:r>
      <w:r>
        <w:t xml:space="preserve">· Does trait anxiety influence effects of oxytocin on eye-blink startle reactivity? A randomized, double-blind, placebo-controlled crossover study. PMID 29300752</w:t>
      </w:r>
    </w:p>
    <w:p>
      <w:pPr>
        <w:numPr>
          <w:ilvl w:val="0"/>
          <w:numId w:val="1419"/>
        </w:numPr>
        <w:pStyle w:val="Compact"/>
      </w:pPr>
      <w:r>
        <w:t xml:space="preserve">2018 · Flanagan JC ·</w:t>
      </w:r>
      <w:r>
        <w:t xml:space="preserve"> </w:t>
      </w:r>
      <w:r>
        <w:rPr>
          <w:iCs/>
          <w:i/>
        </w:rPr>
        <w:t xml:space="preserve">J Psychiatr Res</w:t>
      </w:r>
      <w:r>
        <w:t xml:space="preserve"> </w:t>
      </w:r>
      <w:r>
        <w:t xml:space="preserve">· Augmenting Prolonged Exposure therapy for PTSD with intranasal oxytocin: A randomized, placebo-controlled pilot trial. PMID 29294429</w:t>
      </w:r>
    </w:p>
    <w:p>
      <w:pPr>
        <w:numPr>
          <w:ilvl w:val="0"/>
          <w:numId w:val="1419"/>
        </w:numPr>
        <w:pStyle w:val="Compact"/>
      </w:pPr>
      <w:r>
        <w:t xml:space="preserve">2018 · Ota M ·</w:t>
      </w:r>
      <w:r>
        <w:t xml:space="preserve"> </w:t>
      </w:r>
      <w:r>
        <w:rPr>
          <w:iCs/>
          <w:i/>
        </w:rPr>
        <w:t xml:space="preserve">Postgrad Med</w:t>
      </w:r>
      <w:r>
        <w:t xml:space="preserve"> </w:t>
      </w:r>
      <w:r>
        <w:t xml:space="preserve">· The effects of adjunctive intranasal oxytocin in patients with schizophrenia. PMID 29105546</w:t>
      </w:r>
    </w:p>
    <w:p>
      <w:pPr>
        <w:numPr>
          <w:ilvl w:val="0"/>
          <w:numId w:val="1419"/>
        </w:numPr>
        <w:pStyle w:val="Compact"/>
      </w:pPr>
      <w:r>
        <w:t xml:space="preserve">2018 · Hansson AC ·</w:t>
      </w:r>
      <w:r>
        <w:t xml:space="preserve"> </w:t>
      </w:r>
      <w:r>
        <w:rPr>
          <w:iCs/>
          <w:i/>
        </w:rPr>
        <w:t xml:space="preserve">Neuropsychopharmacology</w:t>
      </w:r>
      <w:r>
        <w:t xml:space="preserve"> </w:t>
      </w:r>
      <w:r>
        <w:t xml:space="preserve">· Oxytocin Reduces Alcohol Cue-Reactivity in Alcohol-Dependent Rats and Humans. PMID 29090683</w:t>
      </w:r>
    </w:p>
    <w:p>
      <w:pPr>
        <w:numPr>
          <w:ilvl w:val="0"/>
          <w:numId w:val="1419"/>
        </w:numPr>
        <w:pStyle w:val="Compact"/>
      </w:pPr>
      <w:r>
        <w:t xml:space="preserve">2018 · Russell J ·</w:t>
      </w:r>
      <w:r>
        <w:t xml:space="preserve"> </w:t>
      </w:r>
      <w:r>
        <w:rPr>
          <w:iCs/>
          <w:i/>
        </w:rPr>
        <w:t xml:space="preserve">Psychoneuroendocrinology</w:t>
      </w:r>
      <w:r>
        <w:t xml:space="preserve"> </w:t>
      </w:r>
      <w:r>
        <w:t xml:space="preserve">· Intranasal oxytocin in the treatment of anorexia nervosa: Randomized controlled trial during re-feeding. PMID 29049935</w:t>
      </w:r>
    </w:p>
    <w:p>
      <w:pPr>
        <w:numPr>
          <w:ilvl w:val="0"/>
          <w:numId w:val="1419"/>
        </w:numPr>
        <w:pStyle w:val="Compact"/>
      </w:pPr>
      <w:r>
        <w:t xml:space="preserve">2018 · Rutherford HJV ·</w:t>
      </w:r>
      <w:r>
        <w:t xml:space="preserve"> </w:t>
      </w:r>
      <w:r>
        <w:rPr>
          <w:iCs/>
          <w:i/>
        </w:rPr>
        <w:t xml:space="preserve">Int J Psychophysiol</w:t>
      </w:r>
      <w:r>
        <w:t xml:space="preserve"> </w:t>
      </w:r>
      <w:r>
        <w:t xml:space="preserve">· Intranasal oxytocin decreases cross-frequency coupling of neural oscillations at rest. PMID 28965930</w:t>
      </w:r>
    </w:p>
    <w:p>
      <w:pPr>
        <w:numPr>
          <w:ilvl w:val="0"/>
          <w:numId w:val="1419"/>
        </w:numPr>
        <w:pStyle w:val="Compact"/>
      </w:pPr>
      <w:r>
        <w:t xml:space="preserve">2018 · Labuschagne I ·</w:t>
      </w:r>
      <w:r>
        <w:t xml:space="preserve"> </w:t>
      </w:r>
      <w:r>
        <w:rPr>
          <w:iCs/>
          <w:i/>
        </w:rPr>
        <w:t xml:space="preserve">Prog Neuropsychopharmacol Biol Psychiatry</w:t>
      </w:r>
      <w:r>
        <w:t xml:space="preserve"> </w:t>
      </w:r>
      <w:r>
        <w:t xml:space="preserve">· Oxytocin selectively modulates brain processing of disgust in Huntington’s disease gene carriers. PMID 28947180</w:t>
      </w:r>
    </w:p>
    <w:p>
      <w:pPr>
        <w:numPr>
          <w:ilvl w:val="0"/>
          <w:numId w:val="1419"/>
        </w:numPr>
        <w:pStyle w:val="Compact"/>
      </w:pPr>
      <w:r>
        <w:t xml:space="preserve">2018 · Plessow F ·</w:t>
      </w:r>
      <w:r>
        <w:t xml:space="preserve"> </w:t>
      </w:r>
      <w:r>
        <w:rPr>
          <w:iCs/>
          <w:i/>
        </w:rPr>
        <w:t xml:space="preserve">Neuropsychopharmacology</w:t>
      </w:r>
      <w:r>
        <w:t xml:space="preserve"> </w:t>
      </w:r>
      <w:r>
        <w:t xml:space="preserve">· Effects of Intranasal Oxytocin on the Blood Oxygenation Level-Dependent Signal in Food Motivation and Cognitive Control Pathways in Overweight and Obese Men. PMID 28930284</w:t>
      </w:r>
    </w:p>
    <w:p>
      <w:pPr>
        <w:numPr>
          <w:ilvl w:val="0"/>
          <w:numId w:val="1419"/>
        </w:numPr>
        <w:pStyle w:val="Compact"/>
      </w:pPr>
      <w:r>
        <w:t xml:space="preserve">2018 · Tracy LM ·</w:t>
      </w:r>
      <w:r>
        <w:t xml:space="preserve"> </w:t>
      </w:r>
      <w:r>
        <w:rPr>
          <w:iCs/>
          <w:i/>
        </w:rPr>
        <w:t xml:space="preserve">Prog Neuropsychopharmacol Biol Psychiatry</w:t>
      </w:r>
      <w:r>
        <w:t xml:space="preserve"> </w:t>
      </w:r>
      <w:r>
        <w:t xml:space="preserve">· Intranasal oxytocin reduces heart rate variability during a mental arithmetic task: A randomised, double-blind, placebo-controlled cross-over study. PMID 28844717</w:t>
      </w:r>
    </w:p>
    <w:p>
      <w:pPr>
        <w:numPr>
          <w:ilvl w:val="0"/>
          <w:numId w:val="1419"/>
        </w:numPr>
        <w:pStyle w:val="Compact"/>
      </w:pPr>
      <w:r>
        <w:t xml:space="preserve">2018 · Strathearn L ·</w:t>
      </w:r>
      <w:r>
        <w:t xml:space="preserve"> </w:t>
      </w:r>
      <w:r>
        <w:rPr>
          <w:iCs/>
          <w:i/>
        </w:rPr>
        <w:t xml:space="preserve">Dev Psychopathol</w:t>
      </w:r>
      <w:r>
        <w:t xml:space="preserve"> </w:t>
      </w:r>
      <w:r>
        <w:t xml:space="preserve">· Visual systemizing preference in children with autism: A randomized controlled trial of intranasal oxytocin. PMID 28712371</w:t>
      </w:r>
    </w:p>
    <w:p>
      <w:pPr>
        <w:numPr>
          <w:ilvl w:val="0"/>
          <w:numId w:val="1419"/>
        </w:numPr>
        <w:pStyle w:val="Compact"/>
      </w:pPr>
      <w:r>
        <w:t xml:space="preserve">2017 · Tollenaar MS ·</w:t>
      </w:r>
      <w:r>
        <w:t xml:space="preserve"> </w:t>
      </w:r>
      <w:r>
        <w:rPr>
          <w:iCs/>
          <w:i/>
        </w:rPr>
        <w:t xml:space="preserve">Psychopharmacology (Berl)</w:t>
      </w:r>
      <w:r>
        <w:t xml:space="preserve"> </w:t>
      </w:r>
      <w:r>
        <w:t xml:space="preserve">· Does oxytocin lead to emotional interference during a working memory paradigm?. PMID 28913643</w:t>
      </w:r>
    </w:p>
    <w:p>
      <w:pPr>
        <w:numPr>
          <w:ilvl w:val="0"/>
          <w:numId w:val="1419"/>
        </w:numPr>
        <w:pStyle w:val="Compact"/>
      </w:pPr>
      <w:r>
        <w:t xml:space="preserve">2017 · Rutherford HJV ·</w:t>
      </w:r>
      <w:r>
        <w:t xml:space="preserve"> </w:t>
      </w:r>
      <w:r>
        <w:rPr>
          <w:iCs/>
          <w:i/>
        </w:rPr>
        <w:t xml:space="preserve">Biol Psychol</w:t>
      </w:r>
      <w:r>
        <w:t xml:space="preserve"> </w:t>
      </w:r>
      <w:r>
        <w:t xml:space="preserve">· Intranasal oxytocin and the neural correlates of infant face processing in non-parent women. PMID 28800972</w:t>
      </w:r>
    </w:p>
    <w:p>
      <w:pPr>
        <w:numPr>
          <w:ilvl w:val="0"/>
          <w:numId w:val="1419"/>
        </w:numPr>
        <w:pStyle w:val="Compact"/>
      </w:pPr>
      <w:r>
        <w:t xml:space="preserve">2017 · Brodmann K ·</w:t>
      </w:r>
      <w:r>
        <w:t xml:space="preserve"> </w:t>
      </w:r>
      <w:r>
        <w:rPr>
          <w:iCs/>
          <w:i/>
        </w:rPr>
        <w:t xml:space="preserve">Brain Connect</w:t>
      </w:r>
      <w:r>
        <w:t xml:space="preserve"> </w:t>
      </w:r>
      <w:r>
        <w:t xml:space="preserve">· Intranasal Oxytocin Selectively Modulates Large-Scale Brain Networks in Humans. PMID 28762756</w:t>
      </w:r>
    </w:p>
    <w:p>
      <w:pPr>
        <w:numPr>
          <w:ilvl w:val="0"/>
          <w:numId w:val="1419"/>
        </w:numPr>
        <w:pStyle w:val="Compact"/>
      </w:pPr>
      <w:r>
        <w:t xml:space="preserve">2017 · Parker KJ ·</w:t>
      </w:r>
      <w:r>
        <w:t xml:space="preserve"> </w:t>
      </w:r>
      <w:r>
        <w:rPr>
          <w:iCs/>
          <w:i/>
        </w:rPr>
        <w:t xml:space="preserve">Proc Natl Acad Sci U S A</w:t>
      </w:r>
      <w:r>
        <w:t xml:space="preserve"> </w:t>
      </w:r>
      <w:r>
        <w:t xml:space="preserve">· Intranasal oxytocin treatment for social deficits and biomarkers of response in children with autism. PMID 28696286</w:t>
      </w:r>
    </w:p>
    <w:p>
      <w:pPr>
        <w:numPr>
          <w:ilvl w:val="0"/>
          <w:numId w:val="1419"/>
        </w:numPr>
        <w:pStyle w:val="Compact"/>
      </w:pPr>
      <w:r>
        <w:t xml:space="preserve">2017 · Spengler FB ·</w:t>
      </w:r>
      <w:r>
        <w:t xml:space="preserve"> </w:t>
      </w:r>
      <w:r>
        <w:rPr>
          <w:iCs/>
          <w:i/>
        </w:rPr>
        <w:t xml:space="preserve">Biol Psychiatry</w:t>
      </w:r>
      <w:r>
        <w:t xml:space="preserve"> </w:t>
      </w:r>
      <w:r>
        <w:t xml:space="preserve">· Kinetics and Dose Dependency of Intranasal Oxytocin Effects on Amygdala Reactivity. PMID 28629540</w:t>
      </w:r>
    </w:p>
    <w:p>
      <w:pPr>
        <w:numPr>
          <w:ilvl w:val="0"/>
          <w:numId w:val="1419"/>
        </w:numPr>
        <w:pStyle w:val="Compact"/>
      </w:pPr>
      <w:r>
        <w:t xml:space="preserve">2017 · Tracy LM ·</w:t>
      </w:r>
      <w:r>
        <w:t xml:space="preserve"> </w:t>
      </w:r>
      <w:r>
        <w:rPr>
          <w:iCs/>
          <w:i/>
        </w:rPr>
        <w:t xml:space="preserve">Psychoneuroendocrinology</w:t>
      </w:r>
      <w:r>
        <w:t xml:space="preserve"> </w:t>
      </w:r>
      <w:r>
        <w:t xml:space="preserve">· Sex-specific effects of intranasal oxytocin on thermal pain perception: A randomised, double-blind, placebo-controlled cross-over study. PMID 28601750</w:t>
      </w:r>
    </w:p>
    <w:p>
      <w:pPr>
        <w:numPr>
          <w:ilvl w:val="0"/>
          <w:numId w:val="1419"/>
        </w:numPr>
        <w:pStyle w:val="Compact"/>
      </w:pPr>
      <w:r>
        <w:t xml:space="preserve">2017 · Buchanan RW ·</w:t>
      </w:r>
      <w:r>
        <w:t xml:space="preserve"> </w:t>
      </w:r>
      <w:r>
        <w:rPr>
          <w:iCs/>
          <w:i/>
        </w:rPr>
        <w:t xml:space="preserve">J Clin Psychopharmacol</w:t>
      </w:r>
      <w:r>
        <w:t xml:space="preserve"> </w:t>
      </w:r>
      <w:r>
        <w:t xml:space="preserve">· A Randomized Clinical Trial of Oxytocin or Galantamine for the Treatment of Negative Symptoms and Cognitive Impairments in People With Schizophrenia. PMID 28590362</w:t>
      </w:r>
    </w:p>
    <w:p>
      <w:pPr>
        <w:numPr>
          <w:ilvl w:val="0"/>
          <w:numId w:val="1419"/>
        </w:numPr>
        <w:pStyle w:val="Compact"/>
      </w:pPr>
      <w:r>
        <w:t xml:space="preserve">2017 · Quintana DS ·</w:t>
      </w:r>
      <w:r>
        <w:t xml:space="preserve"> </w:t>
      </w:r>
      <w:r>
        <w:rPr>
          <w:iCs/>
          <w:i/>
        </w:rPr>
        <w:t xml:space="preserve">Transl Psychiatry</w:t>
      </w:r>
      <w:r>
        <w:t xml:space="preserve"> </w:t>
      </w:r>
      <w:r>
        <w:t xml:space="preserve">· Dose-dependent social-cognitive effects of intranasal oxytocin delivered with novel Breath Powered device in adults with autism spectrum disorder: a randomized placebo-controlled double-blind crossover trial. PMID 28534875</w:t>
      </w:r>
    </w:p>
    <w:p>
      <w:pPr>
        <w:numPr>
          <w:ilvl w:val="0"/>
          <w:numId w:val="1419"/>
        </w:numPr>
        <w:pStyle w:val="Compact"/>
      </w:pPr>
      <w:r>
        <w:t xml:space="preserve">2017 · Caravaggio F ·</w:t>
      </w:r>
      <w:r>
        <w:t xml:space="preserve"> </w:t>
      </w:r>
      <w:r>
        <w:rPr>
          <w:iCs/>
          <w:i/>
        </w:rPr>
        <w:t xml:space="preserve">Psychoneuroendocrinology</w:t>
      </w:r>
      <w:r>
        <w:t xml:space="preserve"> </w:t>
      </w:r>
      <w:r>
        <w:t xml:space="preserve">· Intranasal oxytocin does not modulate jumping to conclusions in schizophrenia: Potential interactions with caudate volume and baseline social functioning. PMID 28431278</w:t>
      </w:r>
    </w:p>
    <w:p>
      <w:pPr>
        <w:numPr>
          <w:ilvl w:val="0"/>
          <w:numId w:val="1419"/>
        </w:numPr>
        <w:pStyle w:val="Compact"/>
      </w:pPr>
      <w:r>
        <w:t xml:space="preserve">2017 · Kanat M ·</w:t>
      </w:r>
      <w:r>
        <w:t xml:space="preserve"> </w:t>
      </w:r>
      <w:r>
        <w:rPr>
          <w:iCs/>
          <w:i/>
        </w:rPr>
        <w:t xml:space="preserve">Transl Psychiatry</w:t>
      </w:r>
      <w:r>
        <w:t xml:space="preserve"> </w:t>
      </w:r>
      <w:r>
        <w:t xml:space="preserve">· Restoring effects of oxytocin on the attentional preference for faces in autism. PMID 28418399</w:t>
      </w:r>
    </w:p>
    <w:p>
      <w:pPr>
        <w:numPr>
          <w:ilvl w:val="0"/>
          <w:numId w:val="1419"/>
        </w:numPr>
        <w:pStyle w:val="Compact"/>
      </w:pPr>
      <w:r>
        <w:t xml:space="preserve">2017 · Bethlehem RAI ·</w:t>
      </w:r>
      <w:r>
        <w:t xml:space="preserve"> </w:t>
      </w:r>
      <w:r>
        <w:rPr>
          <w:iCs/>
          <w:i/>
        </w:rPr>
        <w:t xml:space="preserve">Transl Psychiatry</w:t>
      </w:r>
      <w:r>
        <w:t xml:space="preserve"> </w:t>
      </w:r>
      <w:r>
        <w:t xml:space="preserve">· Intranasal oxytocin enhances intrinsic corticostriatal functional connectivity in women. PMID 28418398</w:t>
      </w:r>
    </w:p>
    <w:p>
      <w:pPr>
        <w:numPr>
          <w:ilvl w:val="0"/>
          <w:numId w:val="1419"/>
        </w:numPr>
        <w:pStyle w:val="Compact"/>
      </w:pPr>
      <w:r>
        <w:t xml:space="preserve">2017 · Rash JA ·</w:t>
      </w:r>
      <w:r>
        <w:t xml:space="preserve"> </w:t>
      </w:r>
      <w:r>
        <w:rPr>
          <w:iCs/>
          <w:i/>
        </w:rPr>
        <w:t xml:space="preserve">BMJ Open</w:t>
      </w:r>
      <w:r>
        <w:t xml:space="preserve"> </w:t>
      </w:r>
      <w:r>
        <w:t xml:space="preserve">· Protocol for a placebo-controlled, within-participants crossover trial evaluating the efficacy of intranasal oxytocin to improve pain and function among women with chronic pelvic musculoskeletal pain. PMID 28416501</w:t>
      </w:r>
    </w:p>
    <w:p>
      <w:pPr>
        <w:numPr>
          <w:ilvl w:val="0"/>
          <w:numId w:val="1419"/>
        </w:numPr>
        <w:pStyle w:val="Compact"/>
      </w:pPr>
      <w:r>
        <w:t xml:space="preserve">2017 · Miller JL ·</w:t>
      </w:r>
      <w:r>
        <w:t xml:space="preserve"> </w:t>
      </w:r>
      <w:r>
        <w:rPr>
          <w:iCs/>
          <w:i/>
        </w:rPr>
        <w:t xml:space="preserve">Am J Med Genet A</w:t>
      </w:r>
      <w:r>
        <w:t xml:space="preserve"> </w:t>
      </w:r>
      <w:r>
        <w:t xml:space="preserve">· Oxytocin treatment in children with Prader-Willi syndrome: A double-blind, placebo-controlled, crossover study. PMID 28371242</w:t>
      </w:r>
    </w:p>
    <w:p>
      <w:pPr>
        <w:numPr>
          <w:ilvl w:val="0"/>
          <w:numId w:val="1419"/>
        </w:numPr>
        <w:pStyle w:val="Compact"/>
      </w:pPr>
      <w:r>
        <w:t xml:space="preserve">2017 · Sack M ·</w:t>
      </w:r>
      <w:r>
        <w:t xml:space="preserve"> </w:t>
      </w:r>
      <w:r>
        <w:rPr>
          <w:iCs/>
          <w:i/>
        </w:rPr>
        <w:t xml:space="preserve">BMC Med</w:t>
      </w:r>
      <w:r>
        <w:t xml:space="preserve"> </w:t>
      </w:r>
      <w:r>
        <w:t xml:space="preserve">· Intranasal oxytocin reduces provoked symptoms in female patients with posttraumatic stress disorder despite exerting sympathomimetic and positive chronotropic effects in a randomized controlled trial. PMID 28209155</w:t>
      </w:r>
    </w:p>
    <w:p>
      <w:pPr>
        <w:numPr>
          <w:ilvl w:val="0"/>
          <w:numId w:val="1419"/>
        </w:numPr>
        <w:pStyle w:val="Compact"/>
      </w:pPr>
      <w:r>
        <w:t xml:space="preserve">2017 · Muin DA ·</w:t>
      </w:r>
      <w:r>
        <w:t xml:space="preserve"> </w:t>
      </w:r>
      <w:r>
        <w:rPr>
          <w:iCs/>
          <w:i/>
        </w:rPr>
        <w:t xml:space="preserve">Fertil Steril</w:t>
      </w:r>
      <w:r>
        <w:t xml:space="preserve"> </w:t>
      </w:r>
      <w:r>
        <w:t xml:space="preserve">· Men’s sexual response to female partner’s intranasal oxytocin administration for hypoactive sexual desire disorder: an open prospective cohort study. PMID 28189292</w:t>
      </w:r>
    </w:p>
    <w:p>
      <w:pPr>
        <w:numPr>
          <w:ilvl w:val="0"/>
          <w:numId w:val="1419"/>
        </w:numPr>
        <w:pStyle w:val="Compact"/>
      </w:pPr>
      <w:r>
        <w:t xml:space="preserve">2017 · Li T ·</w:t>
      </w:r>
      <w:r>
        <w:t xml:space="preserve"> </w:t>
      </w:r>
      <w:r>
        <w:rPr>
          <w:iCs/>
          <w:i/>
        </w:rPr>
        <w:t xml:space="preserve">Horm Behav</w:t>
      </w:r>
      <w:r>
        <w:t xml:space="preserve"> </w:t>
      </w:r>
      <w:r>
        <w:t xml:space="preserve">· Intranasal oxytocin, but not vasopressin, augments neural responses to toddlers in human fathers. PMID 28161387</w:t>
      </w:r>
    </w:p>
    <w:p>
      <w:pPr>
        <w:numPr>
          <w:ilvl w:val="0"/>
          <w:numId w:val="1419"/>
        </w:numPr>
        <w:pStyle w:val="Compact"/>
      </w:pPr>
      <w:r>
        <w:t xml:space="preserve">2017 · Chen X ·</w:t>
      </w:r>
      <w:r>
        <w:t xml:space="preserve"> </w:t>
      </w:r>
      <w:r>
        <w:rPr>
          <w:iCs/>
          <w:i/>
        </w:rPr>
        <w:t xml:space="preserve">Psychoneuroendocrinology</w:t>
      </w:r>
      <w:r>
        <w:t xml:space="preserve"> </w:t>
      </w:r>
      <w:r>
        <w:t xml:space="preserve">· Within vs. between-subject effects of intranasal oxytocin on the neural response to cooperative and non-cooperative social interactions. PMID 28142074</w:t>
      </w:r>
    </w:p>
    <w:p>
      <w:pPr>
        <w:numPr>
          <w:ilvl w:val="0"/>
          <w:numId w:val="1419"/>
        </w:numPr>
        <w:pStyle w:val="Compact"/>
      </w:pPr>
      <w:r>
        <w:t xml:space="preserve">2017 · Leppanen J ·</w:t>
      </w:r>
      <w:r>
        <w:t xml:space="preserve"> </w:t>
      </w:r>
      <w:r>
        <w:rPr>
          <w:iCs/>
          <w:i/>
        </w:rPr>
        <w:t xml:space="preserve">J Neuroendocrinol</w:t>
      </w:r>
      <w:r>
        <w:t xml:space="preserve"> </w:t>
      </w:r>
      <w:r>
        <w:t xml:space="preserve">· Effects of Intranasal Oxytocin on the Interpretation and Expression of Emotions in Anorexia Nervosa. PMID 28140486</w:t>
      </w:r>
    </w:p>
    <w:p>
      <w:pPr>
        <w:numPr>
          <w:ilvl w:val="0"/>
          <w:numId w:val="1419"/>
        </w:numPr>
        <w:pStyle w:val="Compact"/>
      </w:pPr>
      <w:r>
        <w:t xml:space="preserve">2017 · Jarskog LF ·</w:t>
      </w:r>
      <w:r>
        <w:t xml:space="preserve"> </w:t>
      </w:r>
      <w:r>
        <w:rPr>
          <w:iCs/>
          <w:i/>
        </w:rPr>
        <w:t xml:space="preserve">Schizophr Res</w:t>
      </w:r>
      <w:r>
        <w:t xml:space="preserve"> </w:t>
      </w:r>
      <w:r>
        <w:t xml:space="preserve">· A 12-week randomized controlled trial of twice-daily intranasal oxytocin for social cognitive deficits in people with schizophrenia. PMID 28094169</w:t>
      </w:r>
    </w:p>
    <w:p>
      <w:pPr>
        <w:numPr>
          <w:ilvl w:val="0"/>
          <w:numId w:val="1419"/>
        </w:numPr>
        <w:pStyle w:val="Compact"/>
      </w:pPr>
      <w:r>
        <w:t xml:space="preserve">2017 · Woolley JD ·</w:t>
      </w:r>
      <w:r>
        <w:t xml:space="preserve"> </w:t>
      </w:r>
      <w:r>
        <w:rPr>
          <w:iCs/>
          <w:i/>
        </w:rPr>
        <w:t xml:space="preserve">Psychol Med</w:t>
      </w:r>
      <w:r>
        <w:t xml:space="preserve"> </w:t>
      </w:r>
      <w:r>
        <w:t xml:space="preserve">· Intranasal oxytocin increases facial expressivity, but not ratings of trustworthiness, in patients with schizophrenia and healthy controls. PMID 28091349</w:t>
      </w:r>
    </w:p>
    <w:p>
      <w:pPr>
        <w:numPr>
          <w:ilvl w:val="0"/>
          <w:numId w:val="1419"/>
        </w:numPr>
        <w:pStyle w:val="Compact"/>
      </w:pPr>
      <w:r>
        <w:t xml:space="preserve">2017 · van Zuiden M ·</w:t>
      </w:r>
      <w:r>
        <w:t xml:space="preserve"> </w:t>
      </w:r>
      <w:r>
        <w:rPr>
          <w:iCs/>
          <w:i/>
        </w:rPr>
        <w:t xml:space="preserve">Biol Psychiatry</w:t>
      </w:r>
      <w:r>
        <w:t xml:space="preserve"> </w:t>
      </w:r>
      <w:r>
        <w:t xml:space="preserve">· Intranasal Oxytocin to Prevent Posttraumatic Stress Disorder Symptoms: A Randomized Controlled Trial in Emergency Department Patients. PMID 28087128</w:t>
      </w:r>
    </w:p>
    <w:p>
      <w:pPr>
        <w:numPr>
          <w:ilvl w:val="0"/>
          <w:numId w:val="1419"/>
        </w:numPr>
        <w:pStyle w:val="Compact"/>
      </w:pPr>
      <w:r>
        <w:t xml:space="preserve">2017 · Xu X ·</w:t>
      </w:r>
      <w:r>
        <w:t xml:space="preserve"> </w:t>
      </w:r>
      <w:r>
        <w:rPr>
          <w:iCs/>
          <w:i/>
        </w:rPr>
        <w:t xml:space="preserve">Sci Rep</w:t>
      </w:r>
      <w:r>
        <w:t xml:space="preserve"> </w:t>
      </w:r>
      <w:r>
        <w:t xml:space="preserve">· Oxytocin biases men but not women to restore social connections with individuals who socially exclude them. PMID 28079166</w:t>
      </w:r>
    </w:p>
    <w:p>
      <w:pPr>
        <w:numPr>
          <w:ilvl w:val="0"/>
          <w:numId w:val="1419"/>
        </w:numPr>
        <w:pStyle w:val="Compact"/>
      </w:pPr>
      <w:r>
        <w:t xml:space="preserve">2017 · Hecht EE ·</w:t>
      </w:r>
      <w:r>
        <w:t xml:space="preserve"> </w:t>
      </w:r>
      <w:r>
        <w:rPr>
          <w:iCs/>
          <w:i/>
        </w:rPr>
        <w:t xml:space="preserve">Neuroimage</w:t>
      </w:r>
      <w:r>
        <w:t xml:space="preserve"> </w:t>
      </w:r>
      <w:r>
        <w:t xml:space="preserve">· Intranasal oxytocin reduces social perception in women: Neural activation and individual variation. PMID 27989775</w:t>
      </w:r>
    </w:p>
    <w:p>
      <w:pPr>
        <w:numPr>
          <w:ilvl w:val="0"/>
          <w:numId w:val="1419"/>
        </w:numPr>
        <w:pStyle w:val="Compact"/>
      </w:pPr>
      <w:r>
        <w:t xml:space="preserve">2017 · Nawijn L ·</w:t>
      </w:r>
      <w:r>
        <w:t xml:space="preserve"> </w:t>
      </w:r>
      <w:r>
        <w:rPr>
          <w:iCs/>
          <w:i/>
        </w:rPr>
        <w:t xml:space="preserve">Soc Cogn Affect Neurosci</w:t>
      </w:r>
      <w:r>
        <w:t xml:space="preserve"> </w:t>
      </w:r>
      <w:r>
        <w:t xml:space="preserve">· Intranasal oxytocin increases neural responses to social reward in post-traumatic stress disorder. PMID 27614769</w:t>
      </w:r>
    </w:p>
    <w:p>
      <w:pPr>
        <w:numPr>
          <w:ilvl w:val="0"/>
          <w:numId w:val="1419"/>
        </w:numPr>
        <w:pStyle w:val="Compact"/>
      </w:pPr>
      <w:r>
        <w:t xml:space="preserve">2017 · Palgi S ·</w:t>
      </w:r>
      <w:r>
        <w:t xml:space="preserve"> </w:t>
      </w:r>
      <w:r>
        <w:rPr>
          <w:iCs/>
          <w:i/>
        </w:rPr>
        <w:t xml:space="preserve">Psychol Trauma</w:t>
      </w:r>
      <w:r>
        <w:t xml:space="preserve"> </w:t>
      </w:r>
      <w:r>
        <w:t xml:space="preserve">· The role of oxytocin in empathy in PTSD. PMID 27243570</w:t>
      </w:r>
    </w:p>
    <w:p>
      <w:pPr>
        <w:numPr>
          <w:ilvl w:val="0"/>
          <w:numId w:val="1419"/>
        </w:numPr>
        <w:pStyle w:val="Compact"/>
      </w:pPr>
      <w:r>
        <w:t xml:space="preserve">2017 · Mah BL ·</w:t>
      </w:r>
      <w:r>
        <w:t xml:space="preserve"> </w:t>
      </w:r>
      <w:r>
        <w:rPr>
          <w:iCs/>
          <w:i/>
        </w:rPr>
        <w:t xml:space="preserve">Child Psychiatry Hum Dev</w:t>
      </w:r>
      <w:r>
        <w:t xml:space="preserve"> </w:t>
      </w:r>
      <w:r>
        <w:t xml:space="preserve">· The Effects of Intranasal Oxytocin Administration on Sensitive Caregiving in Mothers with Postnatal Depression. PMID 27100724</w:t>
      </w:r>
    </w:p>
    <w:p>
      <w:pPr>
        <w:numPr>
          <w:ilvl w:val="0"/>
          <w:numId w:val="1419"/>
        </w:numPr>
        <w:pStyle w:val="Compact"/>
      </w:pPr>
      <w:r>
        <w:t xml:space="preserve">2016 · Gordon I ·</w:t>
      </w:r>
      <w:r>
        <w:t xml:space="preserve"> </w:t>
      </w:r>
      <w:r>
        <w:rPr>
          <w:iCs/>
          <w:i/>
        </w:rPr>
        <w:t xml:space="preserve">Sci Rep</w:t>
      </w:r>
      <w:r>
        <w:t xml:space="preserve"> </w:t>
      </w:r>
      <w:r>
        <w:t xml:space="preserve">· Intranasal Oxytocin Enhances Connectivity in the Neural Circuitry Supporting Social Motivation and Social Perception in Children with Autism. PMID 27845765</w:t>
      </w:r>
    </w:p>
    <w:p>
      <w:pPr>
        <w:numPr>
          <w:ilvl w:val="0"/>
          <w:numId w:val="1419"/>
        </w:numPr>
        <w:pStyle w:val="Compact"/>
      </w:pPr>
      <w:r>
        <w:t xml:space="preserve">2016 · Miller MA ·</w:t>
      </w:r>
      <w:r>
        <w:t xml:space="preserve"> </w:t>
      </w:r>
      <w:r>
        <w:rPr>
          <w:iCs/>
          <w:i/>
        </w:rPr>
        <w:t xml:space="preserve">Behav Pharmacol</w:t>
      </w:r>
      <w:r>
        <w:t xml:space="preserve"> </w:t>
      </w:r>
      <w:r>
        <w:t xml:space="preserve">· Intranasal oxytocin dampens cue-elicited cigarette craving in daily smokers: a pilot study. PMID 27661192</w:t>
      </w:r>
    </w:p>
    <w:p>
      <w:pPr>
        <w:numPr>
          <w:ilvl w:val="0"/>
          <w:numId w:val="1419"/>
        </w:numPr>
        <w:pStyle w:val="Compact"/>
      </w:pPr>
      <w:r>
        <w:t xml:space="preserve">2016 · Mickey BJ ·</w:t>
      </w:r>
      <w:r>
        <w:t xml:space="preserve"> </w:t>
      </w:r>
      <w:r>
        <w:rPr>
          <w:iCs/>
          <w:i/>
        </w:rPr>
        <w:t xml:space="preserve">Psychopharmacology (Berl)</w:t>
      </w:r>
      <w:r>
        <w:t xml:space="preserve"> </w:t>
      </w:r>
      <w:r>
        <w:t xml:space="preserve">· Oxytocin modulates hemodynamic responses to monetary incentives in humans. PMID 27614896</w:t>
      </w:r>
    </w:p>
    <w:p>
      <w:pPr>
        <w:numPr>
          <w:ilvl w:val="0"/>
          <w:numId w:val="1419"/>
        </w:numPr>
        <w:pStyle w:val="Compact"/>
      </w:pPr>
      <w:r>
        <w:t xml:space="preserve">2016 · Kosaka H ·</w:t>
      </w:r>
      <w:r>
        <w:t xml:space="preserve"> </w:t>
      </w:r>
      <w:r>
        <w:rPr>
          <w:iCs/>
          <w:i/>
        </w:rPr>
        <w:t xml:space="preserve">Transl Psychiatry</w:t>
      </w:r>
      <w:r>
        <w:t xml:space="preserve"> </w:t>
      </w:r>
      <w:r>
        <w:t xml:space="preserve">· Oxytocin efficacy is modulated by dosage and oxytocin receptor genotype in young adults with high-functioning autism: a 24-week randomized clinical trial. PMID 27552585</w:t>
      </w:r>
    </w:p>
    <w:p>
      <w:pPr>
        <w:numPr>
          <w:ilvl w:val="0"/>
          <w:numId w:val="1419"/>
        </w:numPr>
        <w:pStyle w:val="Compact"/>
      </w:pPr>
      <w:r>
        <w:t xml:space="preserve">2016 · Zunhammer M ·</w:t>
      </w:r>
      <w:r>
        <w:t xml:space="preserve"> </w:t>
      </w:r>
      <w:r>
        <w:rPr>
          <w:iCs/>
          <w:i/>
        </w:rPr>
        <w:t xml:space="preserve">Sci Rep</w:t>
      </w:r>
      <w:r>
        <w:t xml:space="preserve"> </w:t>
      </w:r>
      <w:r>
        <w:t xml:space="preserve">· Pain modulation by intranasal oxytocin and emotional picture viewing - a randomized double-blind fMRI study. PMID 27546446</w:t>
      </w:r>
    </w:p>
    <w:p>
      <w:pPr>
        <w:numPr>
          <w:ilvl w:val="0"/>
          <w:numId w:val="1419"/>
        </w:numPr>
        <w:pStyle w:val="Compact"/>
      </w:pPr>
      <w:r>
        <w:t xml:space="preserve">2016 · Brambilla M ·</w:t>
      </w:r>
      <w:r>
        <w:t xml:space="preserve"> </w:t>
      </w:r>
      <w:r>
        <w:rPr>
          <w:iCs/>
          <w:i/>
        </w:rPr>
        <w:t xml:space="preserve">Eur Neuropsychopharmacol</w:t>
      </w:r>
      <w:r>
        <w:t xml:space="preserve"> </w:t>
      </w:r>
      <w:r>
        <w:t xml:space="preserve">· Oxytocin to modulate emotional processing in schizophrenia: A randomized, double-blind, cross-over clinical trial. PMID 27527256</w:t>
      </w:r>
    </w:p>
    <w:p>
      <w:pPr>
        <w:numPr>
          <w:ilvl w:val="0"/>
          <w:numId w:val="1419"/>
        </w:numPr>
        <w:pStyle w:val="Compact"/>
      </w:pPr>
      <w:r>
        <w:t xml:space="preserve">2016 · Kuppens RJ ·</w:t>
      </w:r>
      <w:r>
        <w:t xml:space="preserve"> </w:t>
      </w:r>
      <w:r>
        <w:rPr>
          <w:iCs/>
          <w:i/>
        </w:rPr>
        <w:t xml:space="preserve">Clin Endocrinol (Oxf)</w:t>
      </w:r>
      <w:r>
        <w:t xml:space="preserve"> </w:t>
      </w:r>
      <w:r>
        <w:t xml:space="preserve">· Promising effects of oxytocin on social and food-related behaviour in young children with Prader-Willi syndrome: a randomized, double-blind, controlled crossover trial. PMID 27486141</w:t>
      </w:r>
    </w:p>
    <w:p>
      <w:pPr>
        <w:numPr>
          <w:ilvl w:val="0"/>
          <w:numId w:val="1419"/>
        </w:numPr>
        <w:pStyle w:val="Compact"/>
      </w:pPr>
      <w:r>
        <w:t xml:space="preserve">2016 · Cardoso C ·</w:t>
      </w:r>
      <w:r>
        <w:t xml:space="preserve"> </w:t>
      </w:r>
      <w:r>
        <w:rPr>
          <w:iCs/>
          <w:i/>
        </w:rPr>
        <w:t xml:space="preserve">Psychoneuroendocrinology</w:t>
      </w:r>
      <w:r>
        <w:t xml:space="preserve"> </w:t>
      </w:r>
      <w:r>
        <w:t xml:space="preserve">· Oxytocin and social context moderate social support seeking in women during negative memory recall. PMID 27164224</w:t>
      </w:r>
    </w:p>
    <w:p>
      <w:pPr>
        <w:numPr>
          <w:ilvl w:val="0"/>
          <w:numId w:val="1419"/>
        </w:numPr>
        <w:pStyle w:val="Compact"/>
      </w:pPr>
      <w:r>
        <w:t xml:space="preserve">2016 · Mitchell JM ·</w:t>
      </w:r>
      <w:r>
        <w:t xml:space="preserve"> </w:t>
      </w:r>
      <w:r>
        <w:rPr>
          <w:iCs/>
          <w:i/>
        </w:rPr>
        <w:t xml:space="preserve">J Addict Med</w:t>
      </w:r>
      <w:r>
        <w:t xml:space="preserve"> </w:t>
      </w:r>
      <w:r>
        <w:t xml:space="preserve">· Intranasal Oxytocin Selectively Modulates Social Perception, Craving, and Approach Behavior in Subjects With Alcohol Use Disorder. PMID 27159342</w:t>
      </w:r>
    </w:p>
    <w:p>
      <w:pPr>
        <w:numPr>
          <w:ilvl w:val="0"/>
          <w:numId w:val="1419"/>
        </w:numPr>
        <w:pStyle w:val="Compact"/>
      </w:pPr>
      <w:r>
        <w:t xml:space="preserve">2016 · Woolley JD ·</w:t>
      </w:r>
      <w:r>
        <w:t xml:space="preserve"> </w:t>
      </w:r>
      <w:r>
        <w:rPr>
          <w:iCs/>
          <w:i/>
        </w:rPr>
        <w:t xml:space="preserve">Psychopharmacology (Berl)</w:t>
      </w:r>
      <w:r>
        <w:t xml:space="preserve"> </w:t>
      </w:r>
      <w:r>
        <w:t xml:space="preserve">· The effects of intranasal oxytocin in opioid-dependent individuals and healthy control subjects: a pilot study. PMID 27137199</w:t>
      </w:r>
    </w:p>
    <w:p>
      <w:pPr>
        <w:numPr>
          <w:ilvl w:val="0"/>
          <w:numId w:val="1419"/>
        </w:numPr>
        <w:pStyle w:val="Compact"/>
      </w:pPr>
      <w:r>
        <w:t xml:space="preserve">2016 · Quintana DS ·</w:t>
      </w:r>
      <w:r>
        <w:t xml:space="preserve"> </w:t>
      </w:r>
      <w:r>
        <w:rPr>
          <w:iCs/>
          <w:i/>
        </w:rPr>
        <w:t xml:space="preserve">Psychoneuroendocrinology</w:t>
      </w:r>
      <w:r>
        <w:t xml:space="preserve"> </w:t>
      </w:r>
      <w:r>
        <w:t xml:space="preserve">· Low dose intranasal oxytocin delivered with Breath Powered device dampens amygdala response to emotional stimuli: A peripheral effect-controlled within-subjects randomized dose-response fMRI trial. PMID 27107209</w:t>
      </w:r>
    </w:p>
    <w:p>
      <w:pPr>
        <w:numPr>
          <w:ilvl w:val="0"/>
          <w:numId w:val="1419"/>
        </w:numPr>
        <w:pStyle w:val="Compact"/>
      </w:pPr>
      <w:r>
        <w:t xml:space="preserve">2016 · Hertz U ·</w:t>
      </w:r>
      <w:r>
        <w:t xml:space="preserve"> </w:t>
      </w:r>
      <w:r>
        <w:rPr>
          <w:iCs/>
          <w:i/>
        </w:rPr>
        <w:t xml:space="preserve">PLoS One</w:t>
      </w:r>
      <w:r>
        <w:t xml:space="preserve"> </w:t>
      </w:r>
      <w:r>
        <w:t xml:space="preserve">· Oxytocin Effect on Collective Decision Making: A Randomized Placebo Controlled Study. PMID 27070542</w:t>
      </w:r>
    </w:p>
    <w:p>
      <w:pPr>
        <w:numPr>
          <w:ilvl w:val="0"/>
          <w:numId w:val="1419"/>
        </w:numPr>
        <w:pStyle w:val="Compact"/>
      </w:pPr>
      <w:r>
        <w:t xml:space="preserve">2016 · Cardoso C ·</w:t>
      </w:r>
      <w:r>
        <w:t xml:space="preserve"> </w:t>
      </w:r>
      <w:r>
        <w:rPr>
          <w:iCs/>
          <w:i/>
        </w:rPr>
        <w:t xml:space="preserve">Psychoneuroendocrinology</w:t>
      </w:r>
      <w:r>
        <w:t xml:space="preserve"> </w:t>
      </w:r>
      <w:r>
        <w:t xml:space="preserve">· Memory response to oxytocin predicts relationship dissolution over 18 months. PMID 26986091</w:t>
      </w:r>
    </w:p>
    <w:p>
      <w:pPr>
        <w:numPr>
          <w:ilvl w:val="0"/>
          <w:numId w:val="1419"/>
        </w:numPr>
        <w:pStyle w:val="Compact"/>
      </w:pPr>
      <w:r>
        <w:t xml:space="preserve">2016 · Colonnello V ·</w:t>
      </w:r>
      <w:r>
        <w:t xml:space="preserve"> </w:t>
      </w:r>
      <w:r>
        <w:rPr>
          <w:iCs/>
          <w:i/>
        </w:rPr>
        <w:t xml:space="preserve">Psychoneuroendocrinology</w:t>
      </w:r>
      <w:r>
        <w:t xml:space="preserve"> </w:t>
      </w:r>
      <w:r>
        <w:t xml:space="preserve">· As time goes by: Oxytocin influences the subjective perception of time in a social context. PMID 26945451</w:t>
      </w:r>
    </w:p>
    <w:p>
      <w:pPr>
        <w:numPr>
          <w:ilvl w:val="0"/>
          <w:numId w:val="1419"/>
        </w:numPr>
        <w:pStyle w:val="Compact"/>
      </w:pPr>
      <w:r>
        <w:t xml:space="preserve">2016 · Dagani J ·</w:t>
      </w:r>
      <w:r>
        <w:t xml:space="preserve"> </w:t>
      </w:r>
      <w:r>
        <w:rPr>
          <w:iCs/>
          <w:i/>
        </w:rPr>
        <w:t xml:space="preserve">Schizophr Res</w:t>
      </w:r>
      <w:r>
        <w:t xml:space="preserve"> </w:t>
      </w:r>
      <w:r>
        <w:t xml:space="preserve">· Do we need oxytocin to treat schizophrenia? A randomized clinical trial. PMID 26883950</w:t>
      </w:r>
    </w:p>
    <w:p>
      <w:pPr>
        <w:numPr>
          <w:ilvl w:val="0"/>
          <w:numId w:val="1419"/>
        </w:numPr>
        <w:pStyle w:val="Compact"/>
      </w:pPr>
      <w:r>
        <w:t xml:space="preserve">2016 · Nawijn L ·</w:t>
      </w:r>
      <w:r>
        <w:t xml:space="preserve"> </w:t>
      </w:r>
      <w:r>
        <w:rPr>
          <w:iCs/>
          <w:i/>
        </w:rPr>
        <w:t xml:space="preserve">Psychoneuroendocrinology</w:t>
      </w:r>
      <w:r>
        <w:t xml:space="preserve"> </w:t>
      </w:r>
      <w:r>
        <w:t xml:space="preserve">· Intranasal oxytocin enhances neural processing of monetary reward and loss in post-traumatic stress disorder and traumatized controls. PMID 26851698</w:t>
      </w:r>
    </w:p>
    <w:p>
      <w:pPr>
        <w:numPr>
          <w:ilvl w:val="0"/>
          <w:numId w:val="1419"/>
        </w:numPr>
        <w:pStyle w:val="Compact"/>
      </w:pPr>
      <w:r>
        <w:t xml:space="preserve">2016 · Koch SB ·</w:t>
      </w:r>
      <w:r>
        <w:t xml:space="preserve"> </w:t>
      </w:r>
      <w:r>
        <w:rPr>
          <w:iCs/>
          <w:i/>
        </w:rPr>
        <w:t xml:space="preserve">Neuropsychopharmacology</w:t>
      </w:r>
      <w:r>
        <w:t xml:space="preserve"> </w:t>
      </w:r>
      <w:r>
        <w:t xml:space="preserve">· Intranasal Oxytocin Normalizes Amygdala Functional Connectivity in Posttraumatic Stress Disorder. PMID 26741286</w:t>
      </w:r>
    </w:p>
    <w:p>
      <w:pPr>
        <w:numPr>
          <w:ilvl w:val="0"/>
          <w:numId w:val="1419"/>
        </w:numPr>
        <w:pStyle w:val="Compact"/>
      </w:pPr>
      <w:r>
        <w:t xml:space="preserve">2016 · Busnelli M ·</w:t>
      </w:r>
      <w:r>
        <w:t xml:space="preserve"> </w:t>
      </w:r>
      <w:r>
        <w:rPr>
          <w:iCs/>
          <w:i/>
        </w:rPr>
        <w:t xml:space="preserve">J Neuroendocrinol</w:t>
      </w:r>
      <w:r>
        <w:t xml:space="preserve"> </w:t>
      </w:r>
      <w:r>
        <w:t xml:space="preserve">· Unaltered Oxytocin and Vasopressin Plasma Levels in Patients with Schizophrenia After 4 Months of Daily Treatment with Intranasal Oxytocin. PMID 26715485</w:t>
      </w:r>
    </w:p>
    <w:p>
      <w:pPr>
        <w:numPr>
          <w:ilvl w:val="0"/>
          <w:numId w:val="1419"/>
        </w:numPr>
        <w:pStyle w:val="Compact"/>
      </w:pPr>
      <w:r>
        <w:t xml:space="preserve">2016 · Palgi S ·</w:t>
      </w:r>
      <w:r>
        <w:t xml:space="preserve"> </w:t>
      </w:r>
      <w:r>
        <w:rPr>
          <w:iCs/>
          <w:i/>
        </w:rPr>
        <w:t xml:space="preserve">Psychoneuroendocrinology</w:t>
      </w:r>
      <w:r>
        <w:t xml:space="preserve"> </w:t>
      </w:r>
      <w:r>
        <w:t xml:space="preserve">· Oxytocin improves compassion toward women among patients with PTSD. PMID 26671007</w:t>
      </w:r>
    </w:p>
    <w:p>
      <w:pPr>
        <w:numPr>
          <w:ilvl w:val="0"/>
          <w:numId w:val="1419"/>
        </w:numPr>
        <w:pStyle w:val="Compact"/>
      </w:pPr>
      <w:r>
        <w:t xml:space="preserve">2016 · Paloyelis Y ·</w:t>
      </w:r>
      <w:r>
        <w:t xml:space="preserve"> </w:t>
      </w:r>
      <w:r>
        <w:rPr>
          <w:iCs/>
          <w:i/>
        </w:rPr>
        <w:t xml:space="preserve">J Neuroendocrinol</w:t>
      </w:r>
      <w:r>
        <w:t xml:space="preserve"> </w:t>
      </w:r>
      <w:r>
        <w:t xml:space="preserve">· The Analgesic Effect of Oxytocin in Humans: A Double-Blind, Placebo-Controlled Cross-Over Study Using Laser-Evoked Potentials. PMID 26660859</w:t>
      </w:r>
    </w:p>
    <w:p>
      <w:pPr>
        <w:numPr>
          <w:ilvl w:val="0"/>
          <w:numId w:val="1419"/>
        </w:numPr>
        <w:pStyle w:val="Compact"/>
      </w:pPr>
      <w:r>
        <w:t xml:space="preserve">2016 · Koch SB ·</w:t>
      </w:r>
      <w:r>
        <w:t xml:space="preserve"> </w:t>
      </w:r>
      <w:r>
        <w:rPr>
          <w:iCs/>
          <w:i/>
        </w:rPr>
        <w:t xml:space="preserve">Neuropsychopharmacology</w:t>
      </w:r>
      <w:r>
        <w:t xml:space="preserve"> </w:t>
      </w:r>
      <w:r>
        <w:t xml:space="preserve">· Intranasal Oxytocin Administration Dampens Amygdala Reactivity towards Emotional Faces in Male and Female PTSD Patients. PMID 26404844</w:t>
      </w:r>
    </w:p>
    <w:p>
      <w:pPr>
        <w:numPr>
          <w:ilvl w:val="0"/>
          <w:numId w:val="1419"/>
        </w:numPr>
        <w:pStyle w:val="Compact"/>
      </w:pPr>
      <w:r>
        <w:t xml:space="preserve">2016 · Frijling JL ·</w:t>
      </w:r>
      <w:r>
        <w:t xml:space="preserve"> </w:t>
      </w:r>
      <w:r>
        <w:rPr>
          <w:iCs/>
          <w:i/>
        </w:rPr>
        <w:t xml:space="preserve">Soc Cogn Affect Neurosci</w:t>
      </w:r>
      <w:r>
        <w:t xml:space="preserve"> </w:t>
      </w:r>
      <w:r>
        <w:t xml:space="preserve">· Effects of intranasal oxytocin on amygdala reactivity to emotional faces in recently trauma-exposed individuals. PMID 26382634</w:t>
      </w:r>
    </w:p>
    <w:p>
      <w:pPr>
        <w:numPr>
          <w:ilvl w:val="0"/>
          <w:numId w:val="1419"/>
        </w:numPr>
        <w:pStyle w:val="Compact"/>
      </w:pPr>
      <w:r>
        <w:t xml:space="preserve">2016 · Frijling JL ·</w:t>
      </w:r>
      <w:r>
        <w:t xml:space="preserve"> </w:t>
      </w:r>
      <w:r>
        <w:rPr>
          <w:iCs/>
          <w:i/>
        </w:rPr>
        <w:t xml:space="preserve">Neuropsychopharmacology</w:t>
      </w:r>
      <w:r>
        <w:t xml:space="preserve"> </w:t>
      </w:r>
      <w:r>
        <w:t xml:space="preserve">· Intranasal Oxytocin Affects Amygdala Functional Connectivity after Trauma Script-Driven Imagery in Distressed Recently Trauma-Exposed Individuals. PMID 26346640</w:t>
      </w:r>
    </w:p>
    <w:p>
      <w:pPr>
        <w:numPr>
          <w:ilvl w:val="0"/>
          <w:numId w:val="1419"/>
        </w:numPr>
        <w:pStyle w:val="Compact"/>
      </w:pPr>
      <w:r>
        <w:t xml:space="preserve">2016 · Eckstein M ·</w:t>
      </w:r>
      <w:r>
        <w:t xml:space="preserve"> </w:t>
      </w:r>
      <w:r>
        <w:rPr>
          <w:iCs/>
          <w:i/>
        </w:rPr>
        <w:t xml:space="preserve">Neuropsychopharmacology</w:t>
      </w:r>
      <w:r>
        <w:t xml:space="preserve"> </w:t>
      </w:r>
      <w:r>
        <w:t xml:space="preserve">· Oxytocin Facilitates Pavlovian Fear Learning in Males. PMID 26272050</w:t>
      </w:r>
    </w:p>
    <w:p>
      <w:pPr>
        <w:numPr>
          <w:ilvl w:val="0"/>
          <w:numId w:val="1419"/>
        </w:numPr>
        <w:pStyle w:val="Compact"/>
      </w:pPr>
      <w:r>
        <w:t xml:space="preserve">2016 · Goodyear K ·</w:t>
      </w:r>
      <w:r>
        <w:t xml:space="preserve"> </w:t>
      </w:r>
      <w:r>
        <w:rPr>
          <w:iCs/>
          <w:i/>
        </w:rPr>
        <w:t xml:space="preserve">Soc Neurosci</w:t>
      </w:r>
      <w:r>
        <w:t xml:space="preserve"> </w:t>
      </w:r>
      <w:r>
        <w:t xml:space="preserve">· Oxytocin influences intuitions about the relationship between belief in free will and moral responsibility. PMID 25916658</w:t>
      </w:r>
    </w:p>
    <w:p>
      <w:pPr>
        <w:numPr>
          <w:ilvl w:val="0"/>
          <w:numId w:val="1419"/>
        </w:numPr>
        <w:pStyle w:val="Compact"/>
      </w:pPr>
      <w:r>
        <w:t xml:space="preserve">2015 · Daughters K ·</w:t>
      </w:r>
      <w:r>
        <w:t xml:space="preserve"> </w:t>
      </w:r>
      <w:r>
        <w:rPr>
          <w:iCs/>
          <w:i/>
        </w:rPr>
        <w:t xml:space="preserve">PLoS One</w:t>
      </w:r>
      <w:r>
        <w:t xml:space="preserve"> </w:t>
      </w:r>
      <w:r>
        <w:t xml:space="preserve">· Salivary Oxytocin Concentrations in Males following Intranasal Administration of Oxytocin: A Double-Blind, Cross-Over Study. PMID 26669935</w:t>
      </w:r>
    </w:p>
    <w:p>
      <w:pPr>
        <w:numPr>
          <w:ilvl w:val="0"/>
          <w:numId w:val="1419"/>
        </w:numPr>
        <w:pStyle w:val="Compact"/>
      </w:pPr>
      <w:r>
        <w:t xml:space="preserve">2015 · Kim YR ·</w:t>
      </w:r>
      <w:r>
        <w:t xml:space="preserve"> </w:t>
      </w:r>
      <w:r>
        <w:rPr>
          <w:iCs/>
          <w:i/>
        </w:rPr>
        <w:t xml:space="preserve">PLoS One</w:t>
      </w:r>
      <w:r>
        <w:t xml:space="preserve"> </w:t>
      </w:r>
      <w:r>
        <w:t xml:space="preserve">· The Impact of Oxytocin on Food Intake and Emotion Recognition in Patients with Eating Disorders: A Double Blind Single Dose Within-Subject Cross-Over Design. PMID 26402337</w:t>
      </w:r>
    </w:p>
    <w:p>
      <w:pPr>
        <w:numPr>
          <w:ilvl w:val="0"/>
          <w:numId w:val="1419"/>
        </w:numPr>
        <w:pStyle w:val="Compact"/>
      </w:pPr>
      <w:r>
        <w:t xml:space="preserve">2015 · Flanagan JC ·</w:t>
      </w:r>
      <w:r>
        <w:t xml:space="preserve"> </w:t>
      </w:r>
      <w:r>
        <w:rPr>
          <w:iCs/>
          <w:i/>
        </w:rPr>
        <w:t xml:space="preserve">Psychiatry Res</w:t>
      </w:r>
      <w:r>
        <w:t xml:space="preserve"> </w:t>
      </w:r>
      <w:r>
        <w:t xml:space="preserve">· Effects of adverse childhood experiences on the association between intranasal oxytocin and social stress reactivity among individuals with cocaine dependence. PMID 26231584</w:t>
      </w:r>
    </w:p>
    <w:p>
      <w:pPr>
        <w:numPr>
          <w:ilvl w:val="0"/>
          <w:numId w:val="1419"/>
        </w:numPr>
        <w:pStyle w:val="Compact"/>
      </w:pPr>
      <w:r>
        <w:t xml:space="preserve">2015 · Quintana DS ·</w:t>
      </w:r>
      <w:r>
        <w:t xml:space="preserve"> </w:t>
      </w:r>
      <w:r>
        <w:rPr>
          <w:iCs/>
          <w:i/>
        </w:rPr>
        <w:t xml:space="preserve">Transl Psychiatry</w:t>
      </w:r>
      <w:r>
        <w:t xml:space="preserve"> </w:t>
      </w:r>
      <w:r>
        <w:t xml:space="preserve">· Low-dose oxytocin delivered intranasally with Breath Powered device affects social-cognitive behavior: a randomized four-way crossover trial with nasal cavity dimension assessment. PMID 26171983</w:t>
      </w:r>
    </w:p>
    <w:p>
      <w:pPr>
        <w:numPr>
          <w:ilvl w:val="0"/>
          <w:numId w:val="1419"/>
        </w:numPr>
        <w:pStyle w:val="Compact"/>
      </w:pPr>
      <w:r>
        <w:t xml:space="preserve">2015 · Muin DA ·</w:t>
      </w:r>
      <w:r>
        <w:t xml:space="preserve"> </w:t>
      </w:r>
      <w:r>
        <w:rPr>
          <w:iCs/>
          <w:i/>
        </w:rPr>
        <w:t xml:space="preserve">Fertil Steril</w:t>
      </w:r>
      <w:r>
        <w:t xml:space="preserve"> </w:t>
      </w:r>
      <w:r>
        <w:t xml:space="preserve">· Effect of long-term intranasal oxytocin on sexual dysfunction in premenopausal and postmenopausal women: a randomized trial. PMID 26151620</w:t>
      </w:r>
    </w:p>
    <w:p>
      <w:pPr>
        <w:numPr>
          <w:ilvl w:val="0"/>
          <w:numId w:val="1419"/>
        </w:numPr>
        <w:pStyle w:val="Compact"/>
      </w:pPr>
      <w:r>
        <w:t xml:space="preserve">2015 · Huang Y ·</w:t>
      </w:r>
      <w:r>
        <w:t xml:space="preserve"> </w:t>
      </w:r>
      <w:r>
        <w:rPr>
          <w:iCs/>
          <w:i/>
        </w:rPr>
        <w:t xml:space="preserve">Psychoneuroendocrinology</w:t>
      </w:r>
      <w:r>
        <w:t xml:space="preserve"> </w:t>
      </w:r>
      <w:r>
        <w:t xml:space="preserve">· Oxytocin enhances implicit social conformity to both in-group and out-group opinions. PMID 26143536</w:t>
      </w:r>
    </w:p>
    <w:p>
      <w:pPr>
        <w:numPr>
          <w:ilvl w:val="0"/>
          <w:numId w:val="1419"/>
        </w:numPr>
        <w:pStyle w:val="Compact"/>
      </w:pPr>
      <w:r>
        <w:t xml:space="preserve">2015 · Bartz JA ·</w:t>
      </w:r>
      <w:r>
        <w:t xml:space="preserve"> </w:t>
      </w:r>
      <w:r>
        <w:rPr>
          <w:iCs/>
          <w:i/>
        </w:rPr>
        <w:t xml:space="preserve">Psychol Sci</w:t>
      </w:r>
      <w:r>
        <w:t xml:space="preserve"> </w:t>
      </w:r>
      <w:r>
        <w:t xml:space="preserve">· Differential Effects of Oxytocin on Agency and Communion for Anxiously and Avoidantly Attached Individuals. PMID 26122122</w:t>
      </w:r>
    </w:p>
    <w:p>
      <w:pPr>
        <w:numPr>
          <w:ilvl w:val="0"/>
          <w:numId w:val="1419"/>
        </w:numPr>
        <w:pStyle w:val="Compact"/>
      </w:pPr>
      <w:r>
        <w:t xml:space="preserve">2015 · Wirth MM ·</w:t>
      </w:r>
      <w:r>
        <w:t xml:space="preserve"> </w:t>
      </w:r>
      <w:r>
        <w:rPr>
          <w:iCs/>
          <w:i/>
        </w:rPr>
        <w:t xml:space="preserve">Neuropsychobiology</w:t>
      </w:r>
      <w:r>
        <w:t xml:space="preserve"> </w:t>
      </w:r>
      <w:r>
        <w:t xml:space="preserve">· Effects of intranasal oxytocin on steroid hormones in men and women. PMID 26044829</w:t>
      </w:r>
    </w:p>
    <w:p>
      <w:pPr>
        <w:numPr>
          <w:ilvl w:val="0"/>
          <w:numId w:val="1419"/>
        </w:numPr>
        <w:pStyle w:val="Compact"/>
      </w:pPr>
      <w:r>
        <w:t xml:space="preserve">2015 · Feng C ·</w:t>
      </w:r>
      <w:r>
        <w:t xml:space="preserve"> </w:t>
      </w:r>
      <w:r>
        <w:rPr>
          <w:iCs/>
          <w:i/>
        </w:rPr>
        <w:t xml:space="preserve">Neuropsychologia</w:t>
      </w:r>
      <w:r>
        <w:t xml:space="preserve"> </w:t>
      </w:r>
      <w:r>
        <w:t xml:space="preserve">· Neuroticism modulates the effects of intranasal vasopressin treatment on the neural response to positive and negative social interactions. PMID 25979609</w:t>
      </w:r>
    </w:p>
    <w:p>
      <w:pPr>
        <w:numPr>
          <w:ilvl w:val="0"/>
          <w:numId w:val="1419"/>
        </w:numPr>
        <w:pStyle w:val="Compact"/>
      </w:pPr>
      <w:r>
        <w:t xml:space="preserve">2015 · Lawson EA ·</w:t>
      </w:r>
      <w:r>
        <w:t xml:space="preserve"> </w:t>
      </w:r>
      <w:r>
        <w:rPr>
          <w:iCs/>
          <w:i/>
        </w:rPr>
        <w:t xml:space="preserve">Obesity (Silver Spring)</w:t>
      </w:r>
      <w:r>
        <w:t xml:space="preserve"> </w:t>
      </w:r>
      <w:r>
        <w:t xml:space="preserve">· Oxytocin reduces caloric intake in men. PMID 25865294</w:t>
      </w:r>
    </w:p>
    <w:p>
      <w:pPr>
        <w:numPr>
          <w:ilvl w:val="0"/>
          <w:numId w:val="1419"/>
        </w:numPr>
        <w:pStyle w:val="Compact"/>
      </w:pPr>
      <w:r>
        <w:t xml:space="preserve">2015 · Acheson DT ·</w:t>
      </w:r>
      <w:r>
        <w:t xml:space="preserve"> </w:t>
      </w:r>
      <w:r>
        <w:rPr>
          <w:iCs/>
          <w:i/>
        </w:rPr>
        <w:t xml:space="preserve">Depress Anxiety</w:t>
      </w:r>
      <w:r>
        <w:t xml:space="preserve"> </w:t>
      </w:r>
      <w:r>
        <w:t xml:space="preserve">· Intranasal oxytocin administration prior to exposure therapy for arachnophobia impedes treatment response. PMID 25826649</w:t>
      </w:r>
    </w:p>
    <w:p>
      <w:pPr>
        <w:numPr>
          <w:ilvl w:val="0"/>
          <w:numId w:val="1419"/>
        </w:numPr>
        <w:pStyle w:val="Compact"/>
      </w:pPr>
      <w:r>
        <w:t xml:space="preserve">2015 · Auyeung B ·</w:t>
      </w:r>
      <w:r>
        <w:t xml:space="preserve"> </w:t>
      </w:r>
      <w:r>
        <w:rPr>
          <w:iCs/>
          <w:i/>
        </w:rPr>
        <w:t xml:space="preserve">Transl Psychiatry</w:t>
      </w:r>
      <w:r>
        <w:t xml:space="preserve"> </w:t>
      </w:r>
      <w:r>
        <w:t xml:space="preserve">· Oxytocin increases eye contact during a real-time, naturalistic social interaction in males with and without autism. PMID 25668435</w:t>
      </w:r>
    </w:p>
    <w:p>
      <w:pPr>
        <w:numPr>
          <w:ilvl w:val="0"/>
          <w:numId w:val="1419"/>
        </w:numPr>
        <w:pStyle w:val="Compact"/>
      </w:pPr>
      <w:r>
        <w:t xml:space="preserve">2015 · Shin NY ·</w:t>
      </w:r>
      <w:r>
        <w:t xml:space="preserve"> </w:t>
      </w:r>
      <w:r>
        <w:rPr>
          <w:iCs/>
          <w:i/>
        </w:rPr>
        <w:t xml:space="preserve">Neuropsychopharmacology</w:t>
      </w:r>
      <w:r>
        <w:t xml:space="preserve"> </w:t>
      </w:r>
      <w:r>
        <w:t xml:space="preserve">· Effects of Oxytocin on Neural Response to Facial Expressions in Patients with Schizophrenia. PMID 25666311</w:t>
      </w:r>
    </w:p>
    <w:p>
      <w:pPr>
        <w:numPr>
          <w:ilvl w:val="0"/>
          <w:numId w:val="1419"/>
        </w:numPr>
        <w:pStyle w:val="Compact"/>
      </w:pPr>
      <w:r>
        <w:t xml:space="preserve">2015 · Zunhammer M ·</w:t>
      </w:r>
      <w:r>
        <w:t xml:space="preserve"> </w:t>
      </w:r>
      <w:r>
        <w:rPr>
          <w:iCs/>
          <w:i/>
        </w:rPr>
        <w:t xml:space="preserve">Psychosom Med</w:t>
      </w:r>
      <w:r>
        <w:t xml:space="preserve"> </w:t>
      </w:r>
      <w:r>
        <w:t xml:space="preserve">· Effects of intranasal oxytocin on thermal pain in healthy men: a randomized functional magnetic resonance imaging study. PMID 25647754</w:t>
      </w:r>
    </w:p>
    <w:p>
      <w:pPr>
        <w:numPr>
          <w:ilvl w:val="0"/>
          <w:numId w:val="1419"/>
        </w:numPr>
        <w:pStyle w:val="Compact"/>
      </w:pPr>
      <w:r>
        <w:t xml:space="preserve">2015 · Woolley JD ·</w:t>
      </w:r>
      <w:r>
        <w:t xml:space="preserve"> </w:t>
      </w:r>
      <w:r>
        <w:rPr>
          <w:iCs/>
          <w:i/>
        </w:rPr>
        <w:t xml:space="preserve">Psychoneuroendocrinology</w:t>
      </w:r>
      <w:r>
        <w:t xml:space="preserve"> </w:t>
      </w:r>
      <w:r>
        <w:t xml:space="preserve">· Oxytocin administration selectively improves olfactory detection thresholds for lyral in patients with schizophrenia. PMID 25637811</w:t>
      </w:r>
    </w:p>
    <w:p>
      <w:pPr>
        <w:numPr>
          <w:ilvl w:val="0"/>
          <w:numId w:val="1419"/>
        </w:numPr>
        <w:pStyle w:val="Compact"/>
      </w:pPr>
      <w:r>
        <w:t xml:space="preserve">2015 · Brüne M ·</w:t>
      </w:r>
      <w:r>
        <w:t xml:space="preserve"> </w:t>
      </w:r>
      <w:r>
        <w:rPr>
          <w:iCs/>
          <w:i/>
        </w:rPr>
        <w:t xml:space="preserve">J Nerv Ment Dis</w:t>
      </w:r>
      <w:r>
        <w:t xml:space="preserve"> </w:t>
      </w:r>
      <w:r>
        <w:t xml:space="preserve">· Nonverbal communication of patients with borderline personality disorder during clinical interviews: a double-blind placebo-controlled study using intranasal oxytocin. PMID 25594788</w:t>
      </w:r>
    </w:p>
    <w:p>
      <w:pPr>
        <w:numPr>
          <w:ilvl w:val="0"/>
          <w:numId w:val="1419"/>
        </w:numPr>
        <w:pStyle w:val="Compact"/>
      </w:pPr>
      <w:r>
        <w:t xml:space="preserve">2015 · Gregory R ·</w:t>
      </w:r>
      <w:r>
        <w:t xml:space="preserve"> </w:t>
      </w:r>
      <w:r>
        <w:rPr>
          <w:iCs/>
          <w:i/>
        </w:rPr>
        <w:t xml:space="preserve">Horm Behav</w:t>
      </w:r>
      <w:r>
        <w:t xml:space="preserve"> </w:t>
      </w:r>
      <w:r>
        <w:t xml:space="preserve">· Oxytocin increases VTA activation to infant and sexual stimuli in nulliparous and postpartum women. PMID 25562711</w:t>
      </w:r>
    </w:p>
    <w:p>
      <w:pPr>
        <w:numPr>
          <w:ilvl w:val="0"/>
          <w:numId w:val="1419"/>
        </w:numPr>
        <w:pStyle w:val="Compact"/>
      </w:pPr>
      <w:r>
        <w:t xml:space="preserve">2015 · Finger EC ·</w:t>
      </w:r>
      <w:r>
        <w:t xml:space="preserve"> </w:t>
      </w:r>
      <w:r>
        <w:rPr>
          <w:iCs/>
          <w:i/>
        </w:rPr>
        <w:t xml:space="preserve">Neurology</w:t>
      </w:r>
      <w:r>
        <w:t xml:space="preserve"> </w:t>
      </w:r>
      <w:r>
        <w:t xml:space="preserve">· Oxytocin for frontotemporal dementia: a randomized dose-finding study of safety and tolerability. PMID 25503617</w:t>
      </w:r>
    </w:p>
    <w:p>
      <w:pPr>
        <w:numPr>
          <w:ilvl w:val="0"/>
          <w:numId w:val="1419"/>
        </w:numPr>
        <w:pStyle w:val="Compact"/>
      </w:pPr>
      <w:r>
        <w:t xml:space="preserve">2015 · Edelson MG ·</w:t>
      </w:r>
      <w:r>
        <w:t xml:space="preserve"> </w:t>
      </w:r>
      <w:r>
        <w:rPr>
          <w:iCs/>
          <w:i/>
        </w:rPr>
        <w:t xml:space="preserve">Neuropsychopharmacology</w:t>
      </w:r>
      <w:r>
        <w:t xml:space="preserve"> </w:t>
      </w:r>
      <w:r>
        <w:t xml:space="preserve">· Opposing effects of oxytocin on overt compliance and lasting changes to memory. PMID 25308350</w:t>
      </w:r>
    </w:p>
    <w:p>
      <w:pPr>
        <w:numPr>
          <w:ilvl w:val="0"/>
          <w:numId w:val="1419"/>
        </w:numPr>
        <w:pStyle w:val="Compact"/>
      </w:pPr>
      <w:r>
        <w:t xml:space="preserve">2015 · Scantamburlo G ·</w:t>
      </w:r>
      <w:r>
        <w:t xml:space="preserve"> </w:t>
      </w:r>
      <w:r>
        <w:rPr>
          <w:iCs/>
          <w:i/>
        </w:rPr>
        <w:t xml:space="preserve">Eur Psychiatry</w:t>
      </w:r>
      <w:r>
        <w:t xml:space="preserve"> </w:t>
      </w:r>
      <w:r>
        <w:t xml:space="preserve">· Additional intranasal oxytocin to escitalopram improves depressive symptoms in resistant depression: an open trial. PMID 25282363</w:t>
      </w:r>
    </w:p>
    <w:p>
      <w:pPr>
        <w:numPr>
          <w:ilvl w:val="0"/>
          <w:numId w:val="1419"/>
        </w:numPr>
        <w:pStyle w:val="Compact"/>
      </w:pPr>
      <w:r>
        <w:t xml:space="preserve">2015 · Guastella AJ ·</w:t>
      </w:r>
      <w:r>
        <w:t xml:space="preserve"> </w:t>
      </w:r>
      <w:r>
        <w:rPr>
          <w:iCs/>
          <w:i/>
        </w:rPr>
        <w:t xml:space="preserve">J Child Psychol Psychiatry</w:t>
      </w:r>
      <w:r>
        <w:t xml:space="preserve"> </w:t>
      </w:r>
      <w:r>
        <w:t xml:space="preserve">· The effects of a course of intranasal oxytocin on social behaviors in youth diagnosed with autism spectrum disorders: a randomized controlled trial. PMID 25087908</w:t>
      </w:r>
    </w:p>
    <w:p>
      <w:pPr>
        <w:numPr>
          <w:ilvl w:val="0"/>
          <w:numId w:val="1419"/>
        </w:numPr>
        <w:pStyle w:val="Compact"/>
      </w:pPr>
      <w:r>
        <w:t xml:space="preserve">2015 · Aoki Y ·</w:t>
      </w:r>
      <w:r>
        <w:t xml:space="preserve"> </w:t>
      </w:r>
      <w:r>
        <w:rPr>
          <w:iCs/>
          <w:i/>
        </w:rPr>
        <w:t xml:space="preserve">Mol Psychiatry</w:t>
      </w:r>
      <w:r>
        <w:t xml:space="preserve"> </w:t>
      </w:r>
      <w:r>
        <w:t xml:space="preserve">· Oxytocin’s neurochemical effects in the medial prefrontal cortex underlie recovery of task-specific brain activity in autism: a randomized controlled trial. PMID 25070538</w:t>
      </w:r>
    </w:p>
    <w:p>
      <w:pPr>
        <w:numPr>
          <w:ilvl w:val="0"/>
          <w:numId w:val="1419"/>
        </w:numPr>
        <w:pStyle w:val="Compact"/>
      </w:pPr>
      <w:r>
        <w:t xml:space="preserve">2014 · Kumar J ·</w:t>
      </w:r>
      <w:r>
        <w:t xml:space="preserve"> </w:t>
      </w:r>
      <w:r>
        <w:rPr>
          <w:iCs/>
          <w:i/>
        </w:rPr>
        <w:t xml:space="preserve">Int J Neuropsychopharmacol</w:t>
      </w:r>
      <w:r>
        <w:t xml:space="preserve"> </w:t>
      </w:r>
      <w:r>
        <w:t xml:space="preserve">· Oxytocin affects the connectivity of the precuneus and the amygdala: a randomized, double-blinded, placebo-controlled neuroimaging trial. PMID 25522395</w:t>
      </w:r>
    </w:p>
    <w:p>
      <w:pPr>
        <w:numPr>
          <w:ilvl w:val="0"/>
          <w:numId w:val="1419"/>
        </w:numPr>
        <w:pStyle w:val="Compact"/>
      </w:pPr>
      <w:r>
        <w:t xml:space="preserve">2014 · Colonnello V ·</w:t>
      </w:r>
      <w:r>
        <w:t xml:space="preserve"> </w:t>
      </w:r>
      <w:r>
        <w:rPr>
          <w:iCs/>
          <w:i/>
        </w:rPr>
        <w:t xml:space="preserve">J Psychosom Res</w:t>
      </w:r>
      <w:r>
        <w:t xml:space="preserve"> </w:t>
      </w:r>
      <w:r>
        <w:t xml:space="preserve">· Intranasal oxytocin enhances positive self-attribution in healthy men. PMID 25439340</w:t>
      </w:r>
    </w:p>
    <w:p>
      <w:pPr>
        <w:numPr>
          <w:ilvl w:val="0"/>
          <w:numId w:val="1419"/>
        </w:numPr>
        <w:pStyle w:val="Compact"/>
      </w:pPr>
      <w:r>
        <w:t xml:space="preserve">2014 · Horta de Macedo LR ·</w:t>
      </w:r>
      <w:r>
        <w:t xml:space="preserve"> </w:t>
      </w:r>
      <w:r>
        <w:rPr>
          <w:iCs/>
          <w:i/>
        </w:rPr>
        <w:t xml:space="preserve">Psychiatry Res</w:t>
      </w:r>
      <w:r>
        <w:t xml:space="preserve"> </w:t>
      </w:r>
      <w:r>
        <w:t xml:space="preserve">· Oxytocin does not improve performance of patients with schizophrenia and healthy volunteers in a facial emotion matching task. PMID 25190346</w:t>
      </w:r>
    </w:p>
    <w:p>
      <w:pPr>
        <w:numPr>
          <w:ilvl w:val="0"/>
          <w:numId w:val="1419"/>
        </w:numPr>
        <w:pStyle w:val="Compact"/>
      </w:pPr>
      <w:r>
        <w:t xml:space="preserve">2014 · Lee MR ·</w:t>
      </w:r>
      <w:r>
        <w:t xml:space="preserve"> </w:t>
      </w:r>
      <w:r>
        <w:rPr>
          <w:iCs/>
          <w:i/>
        </w:rPr>
        <w:t xml:space="preserve">Eur Neuropsychopharmacol</w:t>
      </w:r>
      <w:r>
        <w:t xml:space="preserve"> </w:t>
      </w:r>
      <w:r>
        <w:t xml:space="preserve">· Complexity of oxytocin׳s effects in a chronic cocaine dependent population. PMID 25044050</w:t>
      </w:r>
    </w:p>
    <w:p>
      <w:pPr>
        <w:numPr>
          <w:ilvl w:val="0"/>
          <w:numId w:val="1419"/>
        </w:numPr>
        <w:pStyle w:val="Compact"/>
      </w:pPr>
      <w:r>
        <w:t xml:space="preserve">2014 · Woolley JD ·</w:t>
      </w:r>
      <w:r>
        <w:t xml:space="preserve"> </w:t>
      </w:r>
      <w:r>
        <w:rPr>
          <w:iCs/>
          <w:i/>
        </w:rPr>
        <w:t xml:space="preserve">Psychoneuroendocrinology</w:t>
      </w:r>
      <w:r>
        <w:t xml:space="preserve"> </w:t>
      </w:r>
      <w:r>
        <w:t xml:space="preserve">· Oxytocin administration enhances controlled social cognition in patients with schizophrenia. PMID 25001961</w:t>
      </w:r>
    </w:p>
    <w:p>
      <w:pPr>
        <w:numPr>
          <w:ilvl w:val="0"/>
          <w:numId w:val="1419"/>
        </w:numPr>
        <w:pStyle w:val="Compact"/>
      </w:pPr>
      <w:r>
        <w:t xml:space="preserve">2014 · Einfeld SL ·</w:t>
      </w:r>
      <w:r>
        <w:t xml:space="preserve"> </w:t>
      </w:r>
      <w:r>
        <w:rPr>
          <w:iCs/>
          <w:i/>
        </w:rPr>
        <w:t xml:space="preserve">Am J Med Genet A</w:t>
      </w:r>
      <w:r>
        <w:t xml:space="preserve"> </w:t>
      </w:r>
      <w:r>
        <w:t xml:space="preserve">· A double-blind randomized controlled trial of oxytocin nasal spray in Prader Willi syndrome. PMID 24980612</w:t>
      </w:r>
    </w:p>
    <w:p>
      <w:pPr>
        <w:numPr>
          <w:ilvl w:val="0"/>
          <w:numId w:val="1419"/>
        </w:numPr>
        <w:pStyle w:val="Compact"/>
      </w:pPr>
      <w:r>
        <w:t xml:space="preserve">2014 · Rash JA ·</w:t>
      </w:r>
      <w:r>
        <w:t xml:space="preserve"> </w:t>
      </w:r>
      <w:r>
        <w:rPr>
          <w:iCs/>
          <w:i/>
        </w:rPr>
        <w:t xml:space="preserve">Psychosom Med</w:t>
      </w:r>
      <w:r>
        <w:t xml:space="preserve"> </w:t>
      </w:r>
      <w:r>
        <w:t xml:space="preserve">· The effect of intranasal oxytocin administration on acute cold pressor pain: a placebo-controlled, double-blind, within-participants crossover investigation. PMID 24979580</w:t>
      </w:r>
    </w:p>
    <w:p>
      <w:pPr>
        <w:numPr>
          <w:ilvl w:val="0"/>
          <w:numId w:val="1419"/>
        </w:numPr>
        <w:pStyle w:val="Compact"/>
      </w:pPr>
      <w:r>
        <w:t xml:space="preserve">2014 · Bhandari R ·</w:t>
      </w:r>
      <w:r>
        <w:t xml:space="preserve"> </w:t>
      </w:r>
      <w:r>
        <w:rPr>
          <w:iCs/>
          <w:i/>
        </w:rPr>
        <w:t xml:space="preserve">Soc Neurosci</w:t>
      </w:r>
      <w:r>
        <w:t xml:space="preserve"> </w:t>
      </w:r>
      <w:r>
        <w:t xml:space="preserve">· Effects of intranasal oxytocin administration on memory for infant cues: moderation by childhood emotional maltreatment. PMID 24968101</w:t>
      </w:r>
    </w:p>
    <w:p>
      <w:pPr>
        <w:numPr>
          <w:ilvl w:val="0"/>
          <w:numId w:val="1419"/>
        </w:numPr>
        <w:pStyle w:val="Compact"/>
      </w:pPr>
      <w:r>
        <w:t xml:space="preserve">2014 · Yao S ·</w:t>
      </w:r>
      <w:r>
        <w:t xml:space="preserve"> </w:t>
      </w:r>
      <w:r>
        <w:rPr>
          <w:iCs/>
          <w:i/>
        </w:rPr>
        <w:t xml:space="preserve">Int J Neuropsychopharmacol</w:t>
      </w:r>
      <w:r>
        <w:t xml:space="preserve"> </w:t>
      </w:r>
      <w:r>
        <w:t xml:space="preserve">· Oxytocin makes females, but not males, less forgiving following betrayal of trust. PMID 24916520</w:t>
      </w:r>
    </w:p>
    <w:p>
      <w:pPr>
        <w:numPr>
          <w:ilvl w:val="0"/>
          <w:numId w:val="1419"/>
        </w:numPr>
        <w:pStyle w:val="Compact"/>
      </w:pPr>
      <w:r>
        <w:t xml:space="preserve">2014 · Hoge EA ·</w:t>
      </w:r>
      <w:r>
        <w:t xml:space="preserve"> </w:t>
      </w:r>
      <w:r>
        <w:rPr>
          <w:iCs/>
          <w:i/>
        </w:rPr>
        <w:t xml:space="preserve">Hum Psychopharmacol</w:t>
      </w:r>
      <w:r>
        <w:t xml:space="preserve"> </w:t>
      </w:r>
      <w:r>
        <w:t xml:space="preserve">· Gender moderates the effect of oxytocin on social judgments. PMID 24911580</w:t>
      </w:r>
    </w:p>
    <w:p>
      <w:pPr>
        <w:numPr>
          <w:ilvl w:val="0"/>
          <w:numId w:val="1419"/>
        </w:numPr>
        <w:pStyle w:val="Compact"/>
      </w:pPr>
      <w:r>
        <w:t xml:space="preserve">2014 · Kirkpatrick MG ·</w:t>
      </w:r>
      <w:r>
        <w:t xml:space="preserve"> </w:t>
      </w:r>
      <w:r>
        <w:rPr>
          <w:iCs/>
          <w:i/>
        </w:rPr>
        <w:t xml:space="preserve">Psychoneuroendocrinology</w:t>
      </w:r>
      <w:r>
        <w:t xml:space="preserve"> </w:t>
      </w:r>
      <w:r>
        <w:t xml:space="preserve">· Plasma oxytocin concentrations following MDMA or intranasal oxytocin in humans. PMID 24882155</w:t>
      </w:r>
    </w:p>
    <w:p>
      <w:pPr>
        <w:numPr>
          <w:ilvl w:val="0"/>
          <w:numId w:val="1419"/>
        </w:numPr>
        <w:pStyle w:val="Compact"/>
      </w:pPr>
      <w:r>
        <w:t xml:space="preserve">2014 · Gibson CM ·</w:t>
      </w:r>
      <w:r>
        <w:t xml:space="preserve"> </w:t>
      </w:r>
      <w:r>
        <w:rPr>
          <w:iCs/>
          <w:i/>
        </w:rPr>
        <w:t xml:space="preserve">Schizophr Res</w:t>
      </w:r>
      <w:r>
        <w:t xml:space="preserve"> </w:t>
      </w:r>
      <w:r>
        <w:t xml:space="preserve">· A pilot six-week randomized controlled trial of oxytocin on social cognition and social skills in schizophrenia. PMID 24799299</w:t>
      </w:r>
    </w:p>
    <w:p>
      <w:pPr>
        <w:numPr>
          <w:ilvl w:val="0"/>
          <w:numId w:val="1419"/>
        </w:numPr>
        <w:pStyle w:val="Compact"/>
      </w:pPr>
      <w:r>
        <w:t xml:space="preserve">2014 · Frijling JL ·</w:t>
      </w:r>
      <w:r>
        <w:t xml:space="preserve"> </w:t>
      </w:r>
      <w:r>
        <w:rPr>
          <w:iCs/>
          <w:i/>
        </w:rPr>
        <w:t xml:space="preserve">BMC Psychiatry</w:t>
      </w:r>
      <w:r>
        <w:t xml:space="preserve"> </w:t>
      </w:r>
      <w:r>
        <w:t xml:space="preserve">· Efficacy of oxytocin administration early after psychotrauma in preventing the development of PTSD: study protocol of a randomized controlled trial. PMID 24679046</w:t>
      </w:r>
    </w:p>
    <w:p>
      <w:pPr>
        <w:numPr>
          <w:ilvl w:val="0"/>
          <w:numId w:val="1419"/>
        </w:numPr>
        <w:pStyle w:val="Compact"/>
      </w:pPr>
      <w:r>
        <w:t xml:space="preserve">2014 · Davis MC ·</w:t>
      </w:r>
      <w:r>
        <w:t xml:space="preserve"> </w:t>
      </w:r>
      <w:r>
        <w:rPr>
          <w:iCs/>
          <w:i/>
        </w:rPr>
        <w:t xml:space="preserve">Neuropsychopharmacology</w:t>
      </w:r>
      <w:r>
        <w:t xml:space="preserve"> </w:t>
      </w:r>
      <w:r>
        <w:t xml:space="preserve">· Oxytocin-augmented social cognitive skills training in schizophrenia. PMID 24637803</w:t>
      </w:r>
    </w:p>
    <w:p>
      <w:pPr>
        <w:numPr>
          <w:ilvl w:val="0"/>
          <w:numId w:val="1419"/>
        </w:numPr>
        <w:pStyle w:val="Compact"/>
      </w:pPr>
      <w:r>
        <w:t xml:space="preserve">2014 · Kim YR ·</w:t>
      </w:r>
      <w:r>
        <w:t xml:space="preserve"> </w:t>
      </w:r>
      <w:r>
        <w:rPr>
          <w:iCs/>
          <w:i/>
        </w:rPr>
        <w:t xml:space="preserve">PLoS One</w:t>
      </w:r>
      <w:r>
        <w:t xml:space="preserve"> </w:t>
      </w:r>
      <w:r>
        <w:t xml:space="preserve">· The impact of intranasal oxytocin on attention to social emotional stimuli in patients with anorexia nervosa: a double blind within-subject cross-over experiment. PMID 24603863</w:t>
      </w:r>
    </w:p>
    <w:p>
      <w:pPr>
        <w:numPr>
          <w:ilvl w:val="0"/>
          <w:numId w:val="1419"/>
        </w:numPr>
        <w:pStyle w:val="Compact"/>
      </w:pPr>
      <w:r>
        <w:t xml:space="preserve">2014 · Behnia B ·</w:t>
      </w:r>
      <w:r>
        <w:t xml:space="preserve"> </w:t>
      </w:r>
      <w:r>
        <w:rPr>
          <w:iCs/>
          <w:i/>
        </w:rPr>
        <w:t xml:space="preserve">Horm Behav</w:t>
      </w:r>
      <w:r>
        <w:t xml:space="preserve"> </w:t>
      </w:r>
      <w:r>
        <w:t xml:space="preserve">· Differential effects of intranasal oxytocin on sexual experiences and partner interactions in couples. PMID 24503174</w:t>
      </w:r>
    </w:p>
    <w:p>
      <w:pPr>
        <w:numPr>
          <w:ilvl w:val="0"/>
          <w:numId w:val="1419"/>
        </w:numPr>
        <w:pStyle w:val="Compact"/>
      </w:pPr>
      <w:r>
        <w:t xml:space="preserve">2014 · Riem MM ·</w:t>
      </w:r>
      <w:r>
        <w:t xml:space="preserve"> </w:t>
      </w:r>
      <w:r>
        <w:rPr>
          <w:iCs/>
          <w:i/>
        </w:rPr>
        <w:t xml:space="preserve">Prog Neuropsychopharmacol Biol Psychiatry</w:t>
      </w:r>
      <w:r>
        <w:t xml:space="preserve"> </w:t>
      </w:r>
      <w:r>
        <w:t xml:space="preserve">· Oxytocin effects on mind-reading are moderated by experiences of maternal love withdrawal: an fMRI study. PMID 24486563</w:t>
      </w:r>
    </w:p>
    <w:p>
      <w:pPr>
        <w:numPr>
          <w:ilvl w:val="0"/>
          <w:numId w:val="1419"/>
        </w:numPr>
        <w:pStyle w:val="Compact"/>
      </w:pPr>
      <w:r>
        <w:t xml:space="preserve">2014 · Kirkpatrick MG ·</w:t>
      </w:r>
      <w:r>
        <w:t xml:space="preserve"> </w:t>
      </w:r>
      <w:r>
        <w:rPr>
          <w:iCs/>
          <w:i/>
        </w:rPr>
        <w:t xml:space="preserve">Neuropsychopharmacology</w:t>
      </w:r>
      <w:r>
        <w:t xml:space="preserve"> </w:t>
      </w:r>
      <w:r>
        <w:t xml:space="preserve">· Effects of MDMA and Intranasal oxytocin on social and emotional processing. PMID 24448644</w:t>
      </w:r>
    </w:p>
    <w:p>
      <w:pPr>
        <w:numPr>
          <w:ilvl w:val="0"/>
          <w:numId w:val="1419"/>
        </w:numPr>
        <w:pStyle w:val="Compact"/>
      </w:pPr>
      <w:r>
        <w:t xml:space="preserve">2014 · Cardoso C ·</w:t>
      </w:r>
      <w:r>
        <w:t xml:space="preserve"> </w:t>
      </w:r>
      <w:r>
        <w:rPr>
          <w:iCs/>
          <w:i/>
        </w:rPr>
        <w:t xml:space="preserve">Soc Neurosci</w:t>
      </w:r>
      <w:r>
        <w:t xml:space="preserve"> </w:t>
      </w:r>
      <w:r>
        <w:t xml:space="preserve">· Oxytocin and enhancement of the positive valence of social affiliation memories: an autobiographical memory study. PMID 24387003</w:t>
      </w:r>
    </w:p>
    <w:p>
      <w:pPr>
        <w:numPr>
          <w:ilvl w:val="0"/>
          <w:numId w:val="1419"/>
        </w:numPr>
        <w:pStyle w:val="Compact"/>
      </w:pPr>
      <w:r>
        <w:t xml:space="preserve">2014 · Watanabe T ·</w:t>
      </w:r>
      <w:r>
        <w:t xml:space="preserve"> </w:t>
      </w:r>
      <w:r>
        <w:rPr>
          <w:iCs/>
          <w:i/>
        </w:rPr>
        <w:t xml:space="preserve">JAMA Psychiatry</w:t>
      </w:r>
      <w:r>
        <w:t xml:space="preserve"> </w:t>
      </w:r>
      <w:r>
        <w:t xml:space="preserve">· Mitigation of sociocommunicational deficits of autism through oxytocin-induced recovery of medial prefrontal activity: a randomized trial. PMID 24352377</w:t>
      </w:r>
    </w:p>
    <w:p>
      <w:pPr>
        <w:numPr>
          <w:ilvl w:val="0"/>
          <w:numId w:val="1419"/>
        </w:numPr>
        <w:pStyle w:val="Compact"/>
      </w:pPr>
      <w:r>
        <w:t xml:space="preserve">2014 · Cardoso C ·</w:t>
      </w:r>
      <w:r>
        <w:t xml:space="preserve"> </w:t>
      </w:r>
      <w:r>
        <w:rPr>
          <w:iCs/>
          <w:i/>
        </w:rPr>
        <w:t xml:space="preserve">Emotion</w:t>
      </w:r>
      <w:r>
        <w:t xml:space="preserve"> </w:t>
      </w:r>
      <w:r>
        <w:t xml:space="preserve">· The effect of intranasal oxytocin on perceiving and understanding emotion on the Mayer-Salovey-Caruso Emotional Intelligence Test (MSCEIT). PMID 24188065</w:t>
      </w:r>
    </w:p>
    <w:p>
      <w:pPr>
        <w:numPr>
          <w:ilvl w:val="0"/>
          <w:numId w:val="1419"/>
        </w:numPr>
        <w:pStyle w:val="Compact"/>
      </w:pPr>
      <w:r>
        <w:t xml:space="preserve">2014 · Rilling JK ·</w:t>
      </w:r>
      <w:r>
        <w:t xml:space="preserve"> </w:t>
      </w:r>
      <w:r>
        <w:rPr>
          <w:iCs/>
          <w:i/>
        </w:rPr>
        <w:t xml:space="preserve">Psychoneuroendocrinology</w:t>
      </w:r>
      <w:r>
        <w:t xml:space="preserve"> </w:t>
      </w:r>
      <w:r>
        <w:t xml:space="preserve">· Sex differences in the neural and behavioral response to intranasal oxytocin and vasopressin during human social interaction. PMID 24157401</w:t>
      </w:r>
    </w:p>
    <w:p>
      <w:pPr>
        <w:numPr>
          <w:ilvl w:val="0"/>
          <w:numId w:val="1419"/>
        </w:numPr>
        <w:pStyle w:val="Compact"/>
      </w:pPr>
      <w:r>
        <w:t xml:space="preserve">2014 · Domes G ·</w:t>
      </w:r>
      <w:r>
        <w:t xml:space="preserve"> </w:t>
      </w:r>
      <w:r>
        <w:rPr>
          <w:iCs/>
          <w:i/>
        </w:rPr>
        <w:t xml:space="preserve">Neuropsychopharmacology</w:t>
      </w:r>
      <w:r>
        <w:t xml:space="preserve"> </w:t>
      </w:r>
      <w:r>
        <w:t xml:space="preserve">· Oxytocin promotes facial emotion recognition and amygdala reactivity in adults with asperger syndrome. PMID 24067301</w:t>
      </w:r>
    </w:p>
    <w:p>
      <w:pPr>
        <w:numPr>
          <w:ilvl w:val="0"/>
          <w:numId w:val="1419"/>
        </w:numPr>
        <w:pStyle w:val="Compact"/>
      </w:pPr>
      <w:r>
        <w:t xml:space="preserve">2014 · Dadds MR ·</w:t>
      </w:r>
      <w:r>
        <w:t xml:space="preserve"> </w:t>
      </w:r>
      <w:r>
        <w:rPr>
          <w:iCs/>
          <w:i/>
        </w:rPr>
        <w:t xml:space="preserve">J Autism Dev Disord</w:t>
      </w:r>
      <w:r>
        <w:t xml:space="preserve"> </w:t>
      </w:r>
      <w:r>
        <w:t xml:space="preserve">· Nasal oxytocin for social deficits in childhood autism: a randomized controlled trial. PMID 23888359</w:t>
      </w:r>
    </w:p>
    <w:p>
      <w:pPr>
        <w:numPr>
          <w:ilvl w:val="0"/>
          <w:numId w:val="1419"/>
        </w:numPr>
        <w:pStyle w:val="Compact"/>
      </w:pPr>
      <w:r>
        <w:t xml:space="preserve">2014 · Rupp HA ·</w:t>
      </w:r>
      <w:r>
        <w:t xml:space="preserve"> </w:t>
      </w:r>
      <w:r>
        <w:rPr>
          <w:iCs/>
          <w:i/>
        </w:rPr>
        <w:t xml:space="preserve">Soc Cogn Affect Neurosci</w:t>
      </w:r>
      <w:r>
        <w:t xml:space="preserve"> </w:t>
      </w:r>
      <w:r>
        <w:t xml:space="preserve">· Amygdala response to negative images in postpartum vs nulliparous women and intranasal oxytocin. PMID 22956670</w:t>
      </w:r>
    </w:p>
    <w:p>
      <w:pPr>
        <w:numPr>
          <w:ilvl w:val="0"/>
          <w:numId w:val="1419"/>
        </w:numPr>
        <w:pStyle w:val="Compact"/>
      </w:pPr>
      <w:r>
        <w:t xml:space="preserve">2013 · Striepens N ·</w:t>
      </w:r>
      <w:r>
        <w:t xml:space="preserve"> </w:t>
      </w:r>
      <w:r>
        <w:rPr>
          <w:iCs/>
          <w:i/>
        </w:rPr>
        <w:t xml:space="preserve">Sci Rep</w:t>
      </w:r>
      <w:r>
        <w:t xml:space="preserve"> </w:t>
      </w:r>
      <w:r>
        <w:t xml:space="preserve">· Elevated cerebrospinal fluid and blood concentrations of oxytocin following its intranasal administration in humans. PMID 24310737</w:t>
      </w:r>
    </w:p>
    <w:p>
      <w:pPr>
        <w:numPr>
          <w:ilvl w:val="0"/>
          <w:numId w:val="1419"/>
        </w:numPr>
        <w:pStyle w:val="Compact"/>
      </w:pPr>
      <w:r>
        <w:t xml:space="preserve">2013 · Montag C ·</w:t>
      </w:r>
      <w:r>
        <w:t xml:space="preserve"> </w:t>
      </w:r>
      <w:r>
        <w:rPr>
          <w:iCs/>
          <w:i/>
        </w:rPr>
        <w:t xml:space="preserve">Eur Arch Psychiatry Clin Neurosci</w:t>
      </w:r>
      <w:r>
        <w:t xml:space="preserve"> </w:t>
      </w:r>
      <w:r>
        <w:t xml:space="preserve">· An interaction between oxytocin and a genetic variation of the oxytocin receptor modulates amygdala activity toward direct gaze: evidence from a pharmacological imaging genetics study. PMID 24071915</w:t>
      </w:r>
    </w:p>
    <w:p>
      <w:pPr>
        <w:numPr>
          <w:ilvl w:val="0"/>
          <w:numId w:val="1419"/>
        </w:numPr>
        <w:pStyle w:val="Compact"/>
      </w:pPr>
      <w:r>
        <w:t xml:space="preserve">2013 · Ebert A ·</w:t>
      </w:r>
      <w:r>
        <w:t xml:space="preserve"> </w:t>
      </w:r>
      <w:r>
        <w:rPr>
          <w:iCs/>
          <w:i/>
        </w:rPr>
        <w:t xml:space="preserve">Soc Neurosci</w:t>
      </w:r>
      <w:r>
        <w:t xml:space="preserve"> </w:t>
      </w:r>
      <w:r>
        <w:t xml:space="preserve">· Modulation of interpersonal trust in borderline personality disorder by intranasal oxytocin and childhood trauma. PMID 23802121</w:t>
      </w:r>
    </w:p>
    <w:p>
      <w:pPr>
        <w:numPr>
          <w:ilvl w:val="0"/>
          <w:numId w:val="1419"/>
        </w:numPr>
        <w:pStyle w:val="Compact"/>
      </w:pPr>
      <w:r>
        <w:t xml:space="preserve">2013 · Cardoso C ·</w:t>
      </w:r>
      <w:r>
        <w:t xml:space="preserve"> </w:t>
      </w:r>
      <w:r>
        <w:rPr>
          <w:iCs/>
          <w:i/>
        </w:rPr>
        <w:t xml:space="preserve">Psychoneuroendocrinology</w:t>
      </w:r>
      <w:r>
        <w:t xml:space="preserve"> </w:t>
      </w:r>
      <w:r>
        <w:t xml:space="preserve">· Stress-induced negative mood moderates the relation between oxytocin administration and trust: evidence for the tend-and-befriend response to stress?. PMID 23768973</w:t>
      </w:r>
    </w:p>
    <w:p>
      <w:pPr>
        <w:numPr>
          <w:ilvl w:val="0"/>
          <w:numId w:val="1419"/>
        </w:numPr>
        <w:pStyle w:val="Compact"/>
      </w:pPr>
      <w:r>
        <w:t xml:space="preserve">2013 · Zhang H ·</w:t>
      </w:r>
      <w:r>
        <w:t xml:space="preserve"> </w:t>
      </w:r>
      <w:r>
        <w:rPr>
          <w:iCs/>
          <w:i/>
        </w:rPr>
        <w:t xml:space="preserve">PLoS One</w:t>
      </w:r>
      <w:r>
        <w:t xml:space="preserve"> </w:t>
      </w:r>
      <w:r>
        <w:t xml:space="preserve">· Treatment of obesity and diabetes using oxytocin or analogs in patients and mouse models. PMID 23700406</w:t>
      </w:r>
    </w:p>
    <w:p>
      <w:pPr>
        <w:numPr>
          <w:ilvl w:val="0"/>
          <w:numId w:val="1419"/>
        </w:numPr>
        <w:pStyle w:val="Compact"/>
      </w:pPr>
      <w:r>
        <w:t xml:space="preserve">2013 · Davis MC ·</w:t>
      </w:r>
      <w:r>
        <w:t xml:space="preserve"> </w:t>
      </w:r>
      <w:r>
        <w:rPr>
          <w:iCs/>
          <w:i/>
        </w:rPr>
        <w:t xml:space="preserve">Schizophr Res</w:t>
      </w:r>
      <w:r>
        <w:t xml:space="preserve"> </w:t>
      </w:r>
      <w:r>
        <w:t xml:space="preserve">· Effects of single dose intranasal oxytocin on social cognition in schizophrenia. PMID 23676253</w:t>
      </w:r>
    </w:p>
    <w:p>
      <w:pPr>
        <w:numPr>
          <w:ilvl w:val="0"/>
          <w:numId w:val="1419"/>
        </w:numPr>
        <w:pStyle w:val="Compact"/>
      </w:pPr>
      <w:r>
        <w:t xml:space="preserve">2013 · Acheson D ·</w:t>
      </w:r>
      <w:r>
        <w:t xml:space="preserve"> </w:t>
      </w:r>
      <w:r>
        <w:rPr>
          <w:iCs/>
          <w:i/>
        </w:rPr>
        <w:t xml:space="preserve">Psychopharmacology (Berl)</w:t>
      </w:r>
      <w:r>
        <w:t xml:space="preserve"> </w:t>
      </w:r>
      <w:r>
        <w:t xml:space="preserve">· The effect of intranasal oxytocin treatment on conditioned fear extinction and recall in a healthy human sample. PMID 23644911</w:t>
      </w:r>
    </w:p>
    <w:p>
      <w:pPr>
        <w:numPr>
          <w:ilvl w:val="0"/>
          <w:numId w:val="1419"/>
        </w:numPr>
        <w:pStyle w:val="Compact"/>
      </w:pPr>
      <w:r>
        <w:t xml:space="preserve">2013 · Prehn K ·</w:t>
      </w:r>
      <w:r>
        <w:t xml:space="preserve"> </w:t>
      </w:r>
      <w:r>
        <w:rPr>
          <w:iCs/>
          <w:i/>
        </w:rPr>
        <w:t xml:space="preserve">Psychophysiology</w:t>
      </w:r>
      <w:r>
        <w:t xml:space="preserve"> </w:t>
      </w:r>
      <w:r>
        <w:t xml:space="preserve">· Effects of intranasal oxytocin on pupil dilation indicate increased salience of socioaffective stimuli. PMID 23551070</w:t>
      </w:r>
    </w:p>
    <w:p>
      <w:pPr>
        <w:numPr>
          <w:ilvl w:val="0"/>
          <w:numId w:val="1419"/>
        </w:numPr>
        <w:pStyle w:val="Compact"/>
      </w:pPr>
      <w:r>
        <w:t xml:space="preserve">2013 · Domes G ·</w:t>
      </w:r>
      <w:r>
        <w:t xml:space="preserve"> </w:t>
      </w:r>
      <w:r>
        <w:rPr>
          <w:iCs/>
          <w:i/>
        </w:rPr>
        <w:t xml:space="preserve">Biol Psychiatry</w:t>
      </w:r>
      <w:r>
        <w:t xml:space="preserve"> </w:t>
      </w:r>
      <w:r>
        <w:t xml:space="preserve">· Effects of intranasal oxytocin on the neural basis of face processing in autism spectrum disorder. PMID 23510581</w:t>
      </w:r>
    </w:p>
    <w:p>
      <w:pPr>
        <w:numPr>
          <w:ilvl w:val="0"/>
          <w:numId w:val="1419"/>
        </w:numPr>
        <w:pStyle w:val="Compact"/>
      </w:pPr>
      <w:r>
        <w:t xml:space="preserve">2013 · Tachibana M ·</w:t>
      </w:r>
      <w:r>
        <w:t xml:space="preserve"> </w:t>
      </w:r>
      <w:r>
        <w:rPr>
          <w:iCs/>
          <w:i/>
        </w:rPr>
        <w:t xml:space="preserve">J Child Adolesc Psychopharmacol</w:t>
      </w:r>
      <w:r>
        <w:t xml:space="preserve"> </w:t>
      </w:r>
      <w:r>
        <w:t xml:space="preserve">· Long-term administration of intranasal oxytocin is a safe and promising therapy for early adolescent boys with autism spectrum disorders. PMID 23480321</w:t>
      </w:r>
    </w:p>
    <w:p>
      <w:pPr>
        <w:numPr>
          <w:ilvl w:val="0"/>
          <w:numId w:val="1419"/>
        </w:numPr>
        <w:pStyle w:val="Compact"/>
      </w:pPr>
      <w:r>
        <w:t xml:space="preserve">2013 · Theodoridou A ·</w:t>
      </w:r>
      <w:r>
        <w:t xml:space="preserve"> </w:t>
      </w:r>
      <w:r>
        <w:rPr>
          <w:iCs/>
          <w:i/>
        </w:rPr>
        <w:t xml:space="preserve">PLoS One</w:t>
      </w:r>
      <w:r>
        <w:t xml:space="preserve"> </w:t>
      </w:r>
      <w:r>
        <w:t xml:space="preserve">· A direct examination of the effect of intranasal administration of oxytocin on approach-avoidance motor responses to emotional stimuli. PMID 23469148</w:t>
      </w:r>
    </w:p>
    <w:p>
      <w:pPr>
        <w:numPr>
          <w:ilvl w:val="0"/>
          <w:numId w:val="1419"/>
        </w:numPr>
        <w:pStyle w:val="Compact"/>
      </w:pPr>
      <w:r>
        <w:t xml:space="preserve">2013 · Groppe SE ·</w:t>
      </w:r>
      <w:r>
        <w:t xml:space="preserve"> </w:t>
      </w:r>
      <w:r>
        <w:rPr>
          <w:iCs/>
          <w:i/>
        </w:rPr>
        <w:t xml:space="preserve">Biol Psychiatry</w:t>
      </w:r>
      <w:r>
        <w:t xml:space="preserve"> </w:t>
      </w:r>
      <w:r>
        <w:t xml:space="preserve">· Oxytocin influences processing of socially relevant cues in the ventral tegmental area of the human brain. PMID 23419544</w:t>
      </w:r>
    </w:p>
    <w:p>
      <w:pPr>
        <w:numPr>
          <w:ilvl w:val="0"/>
          <w:numId w:val="1419"/>
        </w:numPr>
        <w:pStyle w:val="Compact"/>
      </w:pPr>
      <w:r>
        <w:t xml:space="preserve">2013 · Lee MR ·</w:t>
      </w:r>
      <w:r>
        <w:t xml:space="preserve"> </w:t>
      </w:r>
      <w:r>
        <w:rPr>
          <w:iCs/>
          <w:i/>
        </w:rPr>
        <w:t xml:space="preserve">Schizophr Res</w:t>
      </w:r>
      <w:r>
        <w:t xml:space="preserve"> </w:t>
      </w:r>
      <w:r>
        <w:t xml:space="preserve">· Effects of adjunctive intranasal oxytocin on olfactory identification and clinical symptoms in schizophrenia: results from a randomized double blind placebo controlled pilot study. PMID 23415472</w:t>
      </w:r>
    </w:p>
    <w:p>
      <w:pPr>
        <w:numPr>
          <w:ilvl w:val="0"/>
          <w:numId w:val="1419"/>
        </w:numPr>
        <w:pStyle w:val="Compact"/>
      </w:pPr>
      <w:r>
        <w:t xml:space="preserve">2013 · Riem MM ·</w:t>
      </w:r>
      <w:r>
        <w:t xml:space="preserve"> </w:t>
      </w:r>
      <w:r>
        <w:rPr>
          <w:iCs/>
          <w:i/>
        </w:rPr>
        <w:t xml:space="preserve">Psychoneuroendocrinology</w:t>
      </w:r>
      <w:r>
        <w:t xml:space="preserve"> </w:t>
      </w:r>
      <w:r>
        <w:t xml:space="preserve">· Does intranasal oxytocin promote prosocial behavior to an excluded fellow player? A randomized-controlled trial with Cyberball. PMID 23352229</w:t>
      </w:r>
    </w:p>
    <w:p>
      <w:pPr>
        <w:numPr>
          <w:ilvl w:val="0"/>
          <w:numId w:val="1419"/>
        </w:numPr>
        <w:pStyle w:val="Compact"/>
      </w:pPr>
      <w:r>
        <w:t xml:space="preserve">2013 · Weigand A ·</w:t>
      </w:r>
      <w:r>
        <w:t xml:space="preserve"> </w:t>
      </w:r>
      <w:r>
        <w:rPr>
          <w:iCs/>
          <w:i/>
        </w:rPr>
        <w:t xml:space="preserve">Psychopharmacology (Berl)</w:t>
      </w:r>
      <w:r>
        <w:t xml:space="preserve"> </w:t>
      </w:r>
      <w:r>
        <w:t xml:space="preserve">· Effects of intranasal oxytocin prior to encoding and retrieval on recognition memory. PMID 23334103</w:t>
      </w:r>
    </w:p>
    <w:p>
      <w:pPr>
        <w:numPr>
          <w:ilvl w:val="0"/>
          <w:numId w:val="1419"/>
        </w:numPr>
        <w:pStyle w:val="Compact"/>
      </w:pPr>
      <w:r>
        <w:t xml:space="preserve">2013 · Modabbernia A ·</w:t>
      </w:r>
      <w:r>
        <w:t xml:space="preserve"> </w:t>
      </w:r>
      <w:r>
        <w:rPr>
          <w:iCs/>
          <w:i/>
        </w:rPr>
        <w:t xml:space="preserve">CNS Drugs</w:t>
      </w:r>
      <w:r>
        <w:t xml:space="preserve"> </w:t>
      </w:r>
      <w:r>
        <w:t xml:space="preserve">· Intranasal oxytocin as an adjunct to risperidone in patients with schizophrenia : an 8-week, randomized, double-blind, placebo-controlled study. PMID 23233269</w:t>
      </w:r>
    </w:p>
    <w:p>
      <w:pPr>
        <w:numPr>
          <w:ilvl w:val="0"/>
          <w:numId w:val="1419"/>
        </w:numPr>
        <w:pStyle w:val="Compact"/>
      </w:pPr>
      <w:r>
        <w:t xml:space="preserve">2013 · Huffmeijer R ·</w:t>
      </w:r>
      <w:r>
        <w:t xml:space="preserve"> </w:t>
      </w:r>
      <w:r>
        <w:rPr>
          <w:iCs/>
          <w:i/>
        </w:rPr>
        <w:t xml:space="preserve">Horm Behav</w:t>
      </w:r>
      <w:r>
        <w:t xml:space="preserve"> </w:t>
      </w:r>
      <w:r>
        <w:t xml:space="preserve">· The impact of oxytocin administration and maternal love withdrawal on event-related potential (ERP) responses to emotional faces with performance feedback. PMID 23159479</w:t>
      </w:r>
    </w:p>
    <w:p>
      <w:pPr>
        <w:numPr>
          <w:ilvl w:val="0"/>
          <w:numId w:val="1419"/>
        </w:numPr>
        <w:pStyle w:val="Compact"/>
      </w:pPr>
      <w:r>
        <w:t xml:space="preserve">2013 · Domes G ·</w:t>
      </w:r>
      <w:r>
        <w:t xml:space="preserve"> </w:t>
      </w:r>
      <w:r>
        <w:rPr>
          <w:iCs/>
          <w:i/>
        </w:rPr>
        <w:t xml:space="preserve">Psychol Med</w:t>
      </w:r>
      <w:r>
        <w:t xml:space="preserve"> </w:t>
      </w:r>
      <w:r>
        <w:t xml:space="preserve">· Intranasal oxytocin increases covert attention to positive social cues. PMID 23146328</w:t>
      </w:r>
    </w:p>
    <w:p>
      <w:pPr>
        <w:numPr>
          <w:ilvl w:val="0"/>
          <w:numId w:val="1419"/>
        </w:numPr>
        <w:pStyle w:val="Compact"/>
      </w:pPr>
      <w:r>
        <w:t xml:space="preserve">2013 · Mah BL ·</w:t>
      </w:r>
      <w:r>
        <w:t xml:space="preserve"> </w:t>
      </w:r>
      <w:r>
        <w:rPr>
          <w:iCs/>
          <w:i/>
        </w:rPr>
        <w:t xml:space="preserve">Prog Neuropsychopharmacol Biol Psychiatry</w:t>
      </w:r>
      <w:r>
        <w:t xml:space="preserve"> </w:t>
      </w:r>
      <w:r>
        <w:t xml:space="preserve">· Oxytocin in postnatally depressed mothers: its influence on mood and expressed emotion. PMID 23085508</w:t>
      </w:r>
    </w:p>
    <w:p>
      <w:pPr>
        <w:numPr>
          <w:ilvl w:val="0"/>
          <w:numId w:val="1419"/>
        </w:numPr>
        <w:pStyle w:val="Compact"/>
      </w:pPr>
      <w:r>
        <w:t xml:space="preserve">2013 · Pedersen CA ·</w:t>
      </w:r>
      <w:r>
        <w:t xml:space="preserve"> </w:t>
      </w:r>
      <w:r>
        <w:rPr>
          <w:iCs/>
          <w:i/>
        </w:rPr>
        <w:t xml:space="preserve">Alcohol Clin Exp Res</w:t>
      </w:r>
      <w:r>
        <w:t xml:space="preserve"> </w:t>
      </w:r>
      <w:r>
        <w:t xml:space="preserve">· Intranasal oxytocin blocks alcohol withdrawal in human subjects. PMID 23025690</w:t>
      </w:r>
    </w:p>
    <w:p>
      <w:pPr>
        <w:numPr>
          <w:ilvl w:val="0"/>
          <w:numId w:val="1419"/>
        </w:numPr>
        <w:pStyle w:val="Compact"/>
      </w:pPr>
      <w:r>
        <w:t xml:space="preserve">2013 · Ellenbogen MA ·</w:t>
      </w:r>
      <w:r>
        <w:t xml:space="preserve"> </w:t>
      </w:r>
      <w:r>
        <w:rPr>
          <w:iCs/>
          <w:i/>
        </w:rPr>
        <w:t xml:space="preserve">Psychoneuroendocrinology</w:t>
      </w:r>
      <w:r>
        <w:t xml:space="preserve"> </w:t>
      </w:r>
      <w:r>
        <w:t xml:space="preserve">· Intranasal oxytocin impedes the ability to ignore task-irrelevant facial expressions of sadness in students with depressive symptoms. PMID 22902063</w:t>
      </w:r>
    </w:p>
    <w:p>
      <w:pPr>
        <w:numPr>
          <w:ilvl w:val="0"/>
          <w:numId w:val="1419"/>
        </w:numPr>
        <w:pStyle w:val="Compact"/>
      </w:pPr>
      <w:r>
        <w:t xml:space="preserve">2013 · Cardoso C ·</w:t>
      </w:r>
      <w:r>
        <w:t xml:space="preserve"> </w:t>
      </w:r>
      <w:r>
        <w:rPr>
          <w:iCs/>
          <w:i/>
        </w:rPr>
        <w:t xml:space="preserve">Psychoneuroendocrinology</w:t>
      </w:r>
      <w:r>
        <w:t xml:space="preserve"> </w:t>
      </w:r>
      <w:r>
        <w:t xml:space="preserve">· Intranasal oxytocin attenuates the cortisol response to physical stress: a dose-response study. PMID 22889586</w:t>
      </w:r>
    </w:p>
    <w:p>
      <w:pPr>
        <w:numPr>
          <w:ilvl w:val="0"/>
          <w:numId w:val="1419"/>
        </w:numPr>
        <w:pStyle w:val="Compact"/>
      </w:pPr>
      <w:r>
        <w:t xml:space="preserve">2013 · Ditzen B ·</w:t>
      </w:r>
      <w:r>
        <w:t xml:space="preserve"> </w:t>
      </w:r>
      <w:r>
        <w:rPr>
          <w:iCs/>
          <w:i/>
        </w:rPr>
        <w:t xml:space="preserve">Soc Cogn Affect Neurosci</w:t>
      </w:r>
      <w:r>
        <w:t xml:space="preserve"> </w:t>
      </w:r>
      <w:r>
        <w:t xml:space="preserve">· Sex-specific effects of intranasal oxytocin on autonomic nervous system and emotional responses to couple conflict. PMID 22842905</w:t>
      </w:r>
    </w:p>
    <w:p>
      <w:pPr>
        <w:numPr>
          <w:ilvl w:val="0"/>
          <w:numId w:val="1419"/>
        </w:numPr>
        <w:pStyle w:val="Compact"/>
      </w:pPr>
      <w:r>
        <w:t xml:space="preserve">2013 · Leknes S ·</w:t>
      </w:r>
      <w:r>
        <w:t xml:space="preserve"> </w:t>
      </w:r>
      <w:r>
        <w:rPr>
          <w:iCs/>
          <w:i/>
        </w:rPr>
        <w:t xml:space="preserve">Soc Cogn Affect Neurosci</w:t>
      </w:r>
      <w:r>
        <w:t xml:space="preserve"> </w:t>
      </w:r>
      <w:r>
        <w:t xml:space="preserve">· Oxytocin enhances pupil dilation and sensitivity to</w:t>
      </w:r>
      <w:r>
        <w:t xml:space="preserve"> </w:t>
      </w:r>
      <w:r>
        <w:t xml:space="preserve">‘</w:t>
      </w:r>
      <w:r>
        <w:t xml:space="preserve">hidden</w:t>
      </w:r>
      <w:r>
        <w:t xml:space="preserve">’</w:t>
      </w:r>
      <w:r>
        <w:t xml:space="preserve"> </w:t>
      </w:r>
      <w:r>
        <w:t xml:space="preserve">emotional expressions. PMID 22648957</w:t>
      </w:r>
    </w:p>
    <w:p>
      <w:pPr>
        <w:numPr>
          <w:ilvl w:val="0"/>
          <w:numId w:val="1419"/>
        </w:numPr>
        <w:pStyle w:val="Compact"/>
      </w:pPr>
      <w:r>
        <w:t xml:space="preserve">2013 · Krueger F ·</w:t>
      </w:r>
      <w:r>
        <w:t xml:space="preserve"> </w:t>
      </w:r>
      <w:r>
        <w:rPr>
          <w:iCs/>
          <w:i/>
        </w:rPr>
        <w:t xml:space="preserve">Soc Cogn Affect Neurosci</w:t>
      </w:r>
      <w:r>
        <w:t xml:space="preserve"> </w:t>
      </w:r>
      <w:r>
        <w:t xml:space="preserve">· Oxytocin selectively increases perceptions of harm for victims but not the desire to punish offenders of criminal offenses. PMID 22368214</w:t>
      </w:r>
    </w:p>
    <w:p>
      <w:pPr>
        <w:numPr>
          <w:ilvl w:val="0"/>
          <w:numId w:val="1419"/>
        </w:numPr>
        <w:pStyle w:val="Compact"/>
      </w:pPr>
      <w:r>
        <w:t xml:space="preserve">2012 · Feifel D ·</w:t>
      </w:r>
      <w:r>
        <w:t xml:space="preserve"> </w:t>
      </w:r>
      <w:r>
        <w:rPr>
          <w:iCs/>
          <w:i/>
        </w:rPr>
        <w:t xml:space="preserve">Schizophr Res</w:t>
      </w:r>
      <w:r>
        <w:t xml:space="preserve"> </w:t>
      </w:r>
      <w:r>
        <w:t xml:space="preserve">· Adjunctive intranasal oxytocin improves verbal memory in people with schizophrenia. PMID 22682705</w:t>
      </w:r>
    </w:p>
    <w:p>
      <w:pPr>
        <w:numPr>
          <w:ilvl w:val="0"/>
          <w:numId w:val="1419"/>
        </w:numPr>
        <w:pStyle w:val="Compact"/>
      </w:pPr>
      <w:r>
        <w:t xml:space="preserve">2012 · Huffmeijer R ·</w:t>
      </w:r>
      <w:r>
        <w:t xml:space="preserve"> </w:t>
      </w:r>
      <w:r>
        <w:rPr>
          <w:iCs/>
          <w:i/>
        </w:rPr>
        <w:t xml:space="preserve">Neuro Endocrinol Lett</w:t>
      </w:r>
      <w:r>
        <w:t xml:space="preserve"> </w:t>
      </w:r>
      <w:r>
        <w:t xml:space="preserve">· Salivary levels of oxytocin remain elevated for more than two hours after intranasal oxytocin administration. PMID 22467107</w:t>
      </w:r>
    </w:p>
    <w:p>
      <w:pPr>
        <w:numPr>
          <w:ilvl w:val="0"/>
          <w:numId w:val="1419"/>
        </w:numPr>
        <w:pStyle w:val="Compact"/>
      </w:pPr>
      <w:r>
        <w:t xml:space="preserve">2012 · Weisman O ·</w:t>
      </w:r>
      <w:r>
        <w:t xml:space="preserve"> </w:t>
      </w:r>
      <w:r>
        <w:rPr>
          <w:iCs/>
          <w:i/>
        </w:rPr>
        <w:t xml:space="preserve">Psychoneuroendocrinology</w:t>
      </w:r>
      <w:r>
        <w:t xml:space="preserve"> </w:t>
      </w:r>
      <w:r>
        <w:t xml:space="preserve">· Intranasal oxytocin administration is reflected in human saliva. PMID 22436536</w:t>
      </w:r>
    </w:p>
    <w:p>
      <w:pPr>
        <w:numPr>
          <w:ilvl w:val="0"/>
          <w:numId w:val="1419"/>
        </w:numPr>
        <w:pStyle w:val="Compact"/>
      </w:pPr>
      <w:r>
        <w:t xml:space="preserve">2012 · Riem MM ·</w:t>
      </w:r>
      <w:r>
        <w:t xml:space="preserve"> </w:t>
      </w:r>
      <w:r>
        <w:rPr>
          <w:iCs/>
          <w:i/>
        </w:rPr>
        <w:t xml:space="preserve">Neuropsychopharmacology</w:t>
      </w:r>
      <w:r>
        <w:t xml:space="preserve"> </w:t>
      </w:r>
      <w:r>
        <w:t xml:space="preserve">· No laughing matter: intranasal oxytocin administration changes functional brain connectivity during exposure to infant laughter. PMID 22189289</w:t>
      </w:r>
    </w:p>
    <w:p>
      <w:pPr>
        <w:numPr>
          <w:ilvl w:val="0"/>
          <w:numId w:val="1419"/>
        </w:numPr>
        <w:pStyle w:val="Compact"/>
      </w:pPr>
      <w:r>
        <w:t xml:space="preserve">2012 · De Dreu CK ·</w:t>
      </w:r>
      <w:r>
        <w:t xml:space="preserve"> </w:t>
      </w:r>
      <w:r>
        <w:rPr>
          <w:iCs/>
          <w:i/>
        </w:rPr>
        <w:t xml:space="preserve">Psychoneuroendocrinology</w:t>
      </w:r>
      <w:r>
        <w:t xml:space="preserve"> </w:t>
      </w:r>
      <w:r>
        <w:t xml:space="preserve">· Oxytocin modulates the link between adult attachment and cooperation through reduced betrayal aversion. PMID 22055739</w:t>
      </w:r>
    </w:p>
    <w:p>
      <w:pPr>
        <w:numPr>
          <w:ilvl w:val="0"/>
          <w:numId w:val="1419"/>
        </w:numPr>
        <w:pStyle w:val="Compact"/>
      </w:pPr>
      <w:r>
        <w:t xml:space="preserve">2012 · Linnen AM ·</w:t>
      </w:r>
      <w:r>
        <w:t xml:space="preserve"> </w:t>
      </w:r>
      <w:r>
        <w:rPr>
          <w:iCs/>
          <w:i/>
        </w:rPr>
        <w:t xml:space="preserve">Stress</w:t>
      </w:r>
      <w:r>
        <w:t xml:space="preserve"> </w:t>
      </w:r>
      <w:r>
        <w:t xml:space="preserve">· Intranasal oxytocin and salivary cortisol concentrations during social rejection in university students. PMID 22044077</w:t>
      </w:r>
    </w:p>
    <w:p>
      <w:pPr>
        <w:numPr>
          <w:ilvl w:val="0"/>
          <w:numId w:val="1419"/>
        </w:numPr>
        <w:pStyle w:val="Compact"/>
      </w:pPr>
      <w:r>
        <w:t xml:space="preserve">2012 · Cardoso C ·</w:t>
      </w:r>
      <w:r>
        <w:t xml:space="preserve"> </w:t>
      </w:r>
      <w:r>
        <w:rPr>
          <w:iCs/>
          <w:i/>
        </w:rPr>
        <w:t xml:space="preserve">Psychopharmacology (Berl)</w:t>
      </w:r>
      <w:r>
        <w:t xml:space="preserve"> </w:t>
      </w:r>
      <w:r>
        <w:t xml:space="preserve">· Acute intranasal oxytocin improves positive self-perceptions of personality. PMID 22012170</w:t>
      </w:r>
    </w:p>
    <w:p>
      <w:pPr>
        <w:numPr>
          <w:ilvl w:val="0"/>
          <w:numId w:val="1419"/>
        </w:numPr>
        <w:pStyle w:val="Compact"/>
      </w:pPr>
      <w:r>
        <w:t xml:space="preserve">2012 · Cardoso C ·</w:t>
      </w:r>
      <w:r>
        <w:t xml:space="preserve"> </w:t>
      </w:r>
      <w:r>
        <w:rPr>
          <w:iCs/>
          <w:i/>
        </w:rPr>
        <w:t xml:space="preserve">Exp Clin Psychopharmacol</w:t>
      </w:r>
      <w:r>
        <w:t xml:space="preserve"> </w:t>
      </w:r>
      <w:r>
        <w:t xml:space="preserve">· Coping style moderates the effect of intranasal oxytocin on the mood response to interpersonal stress. PMID 21988218</w:t>
      </w:r>
    </w:p>
    <w:p>
      <w:pPr>
        <w:numPr>
          <w:ilvl w:val="0"/>
          <w:numId w:val="1419"/>
        </w:numPr>
        <w:pStyle w:val="Compact"/>
      </w:pPr>
      <w:r>
        <w:t xml:space="preserve">2012 · Hall SS ·</w:t>
      </w:r>
      <w:r>
        <w:t xml:space="preserve"> </w:t>
      </w:r>
      <w:r>
        <w:rPr>
          <w:iCs/>
          <w:i/>
        </w:rPr>
        <w:t xml:space="preserve">Psychoneuroendocrinology</w:t>
      </w:r>
      <w:r>
        <w:t xml:space="preserve"> </w:t>
      </w:r>
      <w:r>
        <w:t xml:space="preserve">· Effects of intranasal oxytocin on social anxiety in males with fragile X syndrome. PMID 21862226</w:t>
      </w:r>
    </w:p>
    <w:p>
      <w:pPr>
        <w:numPr>
          <w:ilvl w:val="0"/>
          <w:numId w:val="1419"/>
        </w:numPr>
        <w:pStyle w:val="Compact"/>
      </w:pPr>
      <w:r>
        <w:t xml:space="preserve">2012 · Lischke A ·</w:t>
      </w:r>
      <w:r>
        <w:t xml:space="preserve"> </w:t>
      </w:r>
      <w:r>
        <w:rPr>
          <w:iCs/>
          <w:i/>
        </w:rPr>
        <w:t xml:space="preserve">Psychoneuroendocrinology</w:t>
      </w:r>
      <w:r>
        <w:t xml:space="preserve"> </w:t>
      </w:r>
      <w:r>
        <w:t xml:space="preserve">· Intranasal oxytocin enhances emotion recognition from dynamic facial expressions and leaves eye-gaze unaffected. PMID 21862223</w:t>
      </w:r>
    </w:p>
    <w:p>
      <w:pPr>
        <w:numPr>
          <w:ilvl w:val="0"/>
          <w:numId w:val="1419"/>
        </w:numPr>
        <w:pStyle w:val="Compact"/>
      </w:pPr>
      <w:r>
        <w:t xml:space="preserve">2012 · Rilling JK ·</w:t>
      </w:r>
      <w:r>
        <w:t xml:space="preserve"> </w:t>
      </w:r>
      <w:r>
        <w:rPr>
          <w:iCs/>
          <w:i/>
        </w:rPr>
        <w:t xml:space="preserve">Psychoneuroendocrinology</w:t>
      </w:r>
      <w:r>
        <w:t xml:space="preserve"> </w:t>
      </w:r>
      <w:r>
        <w:t xml:space="preserve">· Effects of intranasal oxytocin and vasopressin on cooperative behavior and associated brain activity in men. PMID 21840129</w:t>
      </w:r>
    </w:p>
    <w:p>
      <w:pPr>
        <w:numPr>
          <w:ilvl w:val="0"/>
          <w:numId w:val="1419"/>
        </w:numPr>
        <w:pStyle w:val="Compact"/>
      </w:pPr>
      <w:r>
        <w:t xml:space="preserve">2011 · Jesso S ·</w:t>
      </w:r>
      <w:r>
        <w:t xml:space="preserve"> </w:t>
      </w:r>
      <w:r>
        <w:rPr>
          <w:iCs/>
          <w:i/>
        </w:rPr>
        <w:t xml:space="preserve">Brain</w:t>
      </w:r>
      <w:r>
        <w:t xml:space="preserve"> </w:t>
      </w:r>
      <w:r>
        <w:t xml:space="preserve">· The effects of oxytocin on social cognition and behaviour in frontotemporal dementia. PMID 21859765</w:t>
      </w:r>
    </w:p>
    <w:p>
      <w:pPr>
        <w:numPr>
          <w:ilvl w:val="0"/>
          <w:numId w:val="1419"/>
        </w:numPr>
        <w:pStyle w:val="Compact"/>
      </w:pPr>
      <w:r>
        <w:t xml:space="preserve">2011 · Pedersen CA ·</w:t>
      </w:r>
      <w:r>
        <w:t xml:space="preserve"> </w:t>
      </w:r>
      <w:r>
        <w:rPr>
          <w:iCs/>
          <w:i/>
        </w:rPr>
        <w:t xml:space="preserve">Schizophr Res</w:t>
      </w:r>
      <w:r>
        <w:t xml:space="preserve"> </w:t>
      </w:r>
      <w:r>
        <w:t xml:space="preserve">· Intranasal oxytocin reduces psychotic symptoms and improves Theory of Mind and social perception in schizophrenia. PMID 21840177</w:t>
      </w:r>
    </w:p>
    <w:p>
      <w:pPr>
        <w:numPr>
          <w:ilvl w:val="0"/>
          <w:numId w:val="1419"/>
        </w:numPr>
        <w:pStyle w:val="Compact"/>
      </w:pPr>
      <w:r>
        <w:t xml:space="preserve">2011 · Rockliff H ·</w:t>
      </w:r>
      <w:r>
        <w:t xml:space="preserve"> </w:t>
      </w:r>
      <w:r>
        <w:rPr>
          <w:iCs/>
          <w:i/>
        </w:rPr>
        <w:t xml:space="preserve">Emotion</w:t>
      </w:r>
      <w:r>
        <w:t xml:space="preserve"> </w:t>
      </w:r>
      <w:r>
        <w:t xml:space="preserve">· Effects of intranasal oxytocin on</w:t>
      </w:r>
      <w:r>
        <w:t xml:space="preserve"> </w:t>
      </w:r>
      <w:r>
        <w:t xml:space="preserve">‘</w:t>
      </w:r>
      <w:r>
        <w:t xml:space="preserve">compassion focused imagery</w:t>
      </w:r>
      <w:r>
        <w:t xml:space="preserve">’</w:t>
      </w:r>
      <w:r>
        <w:t xml:space="preserve">. PMID 21707149</w:t>
      </w:r>
    </w:p>
    <w:p>
      <w:pPr>
        <w:numPr>
          <w:ilvl w:val="0"/>
          <w:numId w:val="1419"/>
        </w:numPr>
        <w:pStyle w:val="Compact"/>
      </w:pPr>
      <w:r>
        <w:t xml:space="preserve">2011 · Simeon D ·</w:t>
      </w:r>
      <w:r>
        <w:t xml:space="preserve"> </w:t>
      </w:r>
      <w:r>
        <w:rPr>
          <w:iCs/>
          <w:i/>
        </w:rPr>
        <w:t xml:space="preserve">Psychoneuroendocrinology</w:t>
      </w:r>
      <w:r>
        <w:t xml:space="preserve"> </w:t>
      </w:r>
      <w:r>
        <w:t xml:space="preserve">· Oxytocin administration attenuates stress reactivity in borderline personality disorder: a pilot study. PMID 21546164</w:t>
      </w:r>
    </w:p>
    <w:p>
      <w:pPr>
        <w:numPr>
          <w:ilvl w:val="0"/>
          <w:numId w:val="1419"/>
        </w:numPr>
        <w:pStyle w:val="Compact"/>
      </w:pPr>
      <w:r>
        <w:t xml:space="preserve">2011 · Schulze L ·</w:t>
      </w:r>
      <w:r>
        <w:t xml:space="preserve"> </w:t>
      </w:r>
      <w:r>
        <w:rPr>
          <w:iCs/>
          <w:i/>
        </w:rPr>
        <w:t xml:space="preserve">Psychoneuroendocrinology</w:t>
      </w:r>
      <w:r>
        <w:t xml:space="preserve"> </w:t>
      </w:r>
      <w:r>
        <w:t xml:space="preserve">· Oxytocin increases recognition of masked emotional faces. PMID 21477929</w:t>
      </w:r>
    </w:p>
    <w:p>
      <w:pPr>
        <w:numPr>
          <w:ilvl w:val="0"/>
          <w:numId w:val="1419"/>
        </w:numPr>
        <w:pStyle w:val="Compact"/>
      </w:pPr>
      <w:r>
        <w:t xml:space="preserve">2011 · Goldman MB ·</w:t>
      </w:r>
      <w:r>
        <w:t xml:space="preserve"> </w:t>
      </w:r>
      <w:r>
        <w:rPr>
          <w:iCs/>
          <w:i/>
        </w:rPr>
        <w:t xml:space="preserve">Psychopharmacology (Berl)</w:t>
      </w:r>
      <w:r>
        <w:t xml:space="preserve"> </w:t>
      </w:r>
      <w:r>
        <w:t xml:space="preserve">· Divergent effects of two different doses of intranasal oxytocin on facial affect discrimination in schizophrenic patients with and without polydipsia. PMID 21301811</w:t>
      </w:r>
    </w:p>
    <w:p>
      <w:pPr>
        <w:numPr>
          <w:ilvl w:val="0"/>
          <w:numId w:val="1419"/>
        </w:numPr>
        <w:pStyle w:val="Compact"/>
      </w:pPr>
      <w:r>
        <w:t xml:space="preserve">2011 · Quirin M ·</w:t>
      </w:r>
      <w:r>
        <w:t xml:space="preserve"> </w:t>
      </w:r>
      <w:r>
        <w:rPr>
          <w:iCs/>
          <w:i/>
        </w:rPr>
        <w:t xml:space="preserve">Psychoneuroendocrinology</w:t>
      </w:r>
      <w:r>
        <w:t xml:space="preserve"> </w:t>
      </w:r>
      <w:r>
        <w:t xml:space="preserve">· Oxytocin buffers cortisol responses to stress in individuals with impaired emotion regulation abilities. PMID 21208748</w:t>
      </w:r>
    </w:p>
    <w:p>
      <w:pPr>
        <w:numPr>
          <w:ilvl w:val="0"/>
          <w:numId w:val="1419"/>
        </w:numPr>
        <w:pStyle w:val="Compact"/>
      </w:pPr>
      <w:r>
        <w:t xml:space="preserve">2011 · Bartz J ·</w:t>
      </w:r>
      <w:r>
        <w:t xml:space="preserve"> </w:t>
      </w:r>
      <w:r>
        <w:rPr>
          <w:iCs/>
          <w:i/>
        </w:rPr>
        <w:t xml:space="preserve">Soc Cogn Affect Neurosci</w:t>
      </w:r>
      <w:r>
        <w:t xml:space="preserve"> </w:t>
      </w:r>
      <w:r>
        <w:t xml:space="preserve">· Oxytocin can hinder trust and cooperation in borderline personality disorder. PMID 21115541</w:t>
      </w:r>
    </w:p>
    <w:p>
      <w:pPr>
        <w:numPr>
          <w:ilvl w:val="0"/>
          <w:numId w:val="1419"/>
        </w:numPr>
        <w:pStyle w:val="Compact"/>
      </w:pPr>
      <w:r>
        <w:t xml:space="preserve">2010 · Alvares GA ·</w:t>
      </w:r>
      <w:r>
        <w:t xml:space="preserve"> </w:t>
      </w:r>
      <w:r>
        <w:rPr>
          <w:iCs/>
          <w:i/>
        </w:rPr>
        <w:t xml:space="preserve">Exp Clin Psychopharmacol</w:t>
      </w:r>
      <w:r>
        <w:t xml:space="preserve"> </w:t>
      </w:r>
      <w:r>
        <w:t xml:space="preserve">· Acute effects of intranasal oxytocin on subjective and behavioral responses to social rejection. PMID 20695687</w:t>
      </w:r>
    </w:p>
    <w:p>
      <w:pPr>
        <w:numPr>
          <w:ilvl w:val="0"/>
          <w:numId w:val="1419"/>
        </w:numPr>
        <w:pStyle w:val="Compact"/>
      </w:pPr>
      <w:r>
        <w:t xml:space="preserve">2010 · Feifel D ·</w:t>
      </w:r>
      <w:r>
        <w:t xml:space="preserve"> </w:t>
      </w:r>
      <w:r>
        <w:rPr>
          <w:iCs/>
          <w:i/>
        </w:rPr>
        <w:t xml:space="preserve">Biol Psychiatry</w:t>
      </w:r>
      <w:r>
        <w:t xml:space="preserve"> </w:t>
      </w:r>
      <w:r>
        <w:t xml:space="preserve">· Adjunctive intranasal oxytocin reduces symptoms in schizophrenia patients. PMID 20615494</w:t>
      </w:r>
    </w:p>
    <w:p>
      <w:pPr>
        <w:numPr>
          <w:ilvl w:val="0"/>
          <w:numId w:val="1419"/>
        </w:numPr>
        <w:pStyle w:val="Compact"/>
      </w:pPr>
      <w:r>
        <w:t xml:space="preserve">2010 · Perry A ·</w:t>
      </w:r>
      <w:r>
        <w:t xml:space="preserve"> </w:t>
      </w:r>
      <w:r>
        <w:rPr>
          <w:iCs/>
          <w:i/>
        </w:rPr>
        <w:t xml:space="preserve">Psychoneuroendocrinology</w:t>
      </w:r>
      <w:r>
        <w:t xml:space="preserve"> </w:t>
      </w:r>
      <w:r>
        <w:t xml:space="preserve">· Intranasal oxytocin modulates EEG mu/alpha and beta rhythms during perception of biological motion. PMID 20493637</w:t>
      </w:r>
    </w:p>
    <w:p>
      <w:pPr>
        <w:numPr>
          <w:ilvl w:val="0"/>
          <w:numId w:val="1419"/>
        </w:numPr>
        <w:pStyle w:val="Compact"/>
      </w:pPr>
      <w:r>
        <w:t xml:space="preserve">2010 · Naber F ·</w:t>
      </w:r>
      <w:r>
        <w:t xml:space="preserve"> </w:t>
      </w:r>
      <w:r>
        <w:rPr>
          <w:iCs/>
          <w:i/>
        </w:rPr>
        <w:t xml:space="preserve">Psychoneuroendocrinology</w:t>
      </w:r>
      <w:r>
        <w:t xml:space="preserve"> </w:t>
      </w:r>
      <w:r>
        <w:t xml:space="preserve">· Intranasal oxytocin increases fathers’ observed responsiveness during play with their children: a double-blind within-subject experiment. PMID 20457491</w:t>
      </w:r>
    </w:p>
    <w:p>
      <w:pPr>
        <w:numPr>
          <w:ilvl w:val="0"/>
          <w:numId w:val="1419"/>
        </w:numPr>
        <w:pStyle w:val="Compact"/>
      </w:pPr>
      <w:r>
        <w:t xml:space="preserve">2010 · Ochsenkühn R ·</w:t>
      </w:r>
      <w:r>
        <w:t xml:space="preserve"> </w:t>
      </w:r>
      <w:r>
        <w:rPr>
          <w:iCs/>
          <w:i/>
        </w:rPr>
        <w:t xml:space="preserve">Arch Gynecol Obstet</w:t>
      </w:r>
      <w:r>
        <w:t xml:space="preserve"> </w:t>
      </w:r>
      <w:r>
        <w:t xml:space="preserve">· The effect of nasal oxytocin on pregnancy rates following intrauterine insemination: double-blind, randomized, clinical pilot study. PMID 19921230</w:t>
      </w:r>
    </w:p>
    <w:p>
      <w:pPr>
        <w:numPr>
          <w:ilvl w:val="0"/>
          <w:numId w:val="1419"/>
        </w:numPr>
        <w:pStyle w:val="Compact"/>
      </w:pPr>
      <w:r>
        <w:t xml:space="preserve">2010 · Guastella AJ ·</w:t>
      </w:r>
      <w:r>
        <w:t xml:space="preserve"> </w:t>
      </w:r>
      <w:r>
        <w:rPr>
          <w:iCs/>
          <w:i/>
        </w:rPr>
        <w:t xml:space="preserve">Biol Psychiatry</w:t>
      </w:r>
      <w:r>
        <w:t xml:space="preserve"> </w:t>
      </w:r>
      <w:r>
        <w:t xml:space="preserve">· Intranasal oxytocin improves emotion recognition for youth with autism spectrum disorders. PMID 19897177</w:t>
      </w:r>
    </w:p>
    <w:p>
      <w:pPr>
        <w:numPr>
          <w:ilvl w:val="0"/>
          <w:numId w:val="1419"/>
        </w:numPr>
        <w:pStyle w:val="Compact"/>
      </w:pPr>
      <w:r>
        <w:t xml:space="preserve">2009 · Guastella AJ ·</w:t>
      </w:r>
      <w:r>
        <w:t xml:space="preserve"> </w:t>
      </w:r>
      <w:r>
        <w:rPr>
          <w:iCs/>
          <w:i/>
        </w:rPr>
        <w:t xml:space="preserve">Psychoneuroendocrinology</w:t>
      </w:r>
      <w:r>
        <w:t xml:space="preserve"> </w:t>
      </w:r>
      <w:r>
        <w:t xml:space="preserve">· A randomized controlled trial of intranasal oxytocin as an adjunct to exposure therapy for social anxiety disorder. PMID 19246160</w:t>
      </w:r>
    </w:p>
    <w:p>
      <w:pPr>
        <w:numPr>
          <w:ilvl w:val="0"/>
          <w:numId w:val="1419"/>
        </w:numPr>
        <w:pStyle w:val="Compact"/>
      </w:pPr>
      <w:r>
        <w:t xml:space="preserve">2009 · Ditzen B ·</w:t>
      </w:r>
      <w:r>
        <w:t xml:space="preserve"> </w:t>
      </w:r>
      <w:r>
        <w:rPr>
          <w:iCs/>
          <w:i/>
        </w:rPr>
        <w:t xml:space="preserve">Biol Psychiatry</w:t>
      </w:r>
      <w:r>
        <w:t xml:space="preserve"> </w:t>
      </w:r>
      <w:r>
        <w:t xml:space="preserve">· Intranasal oxytocin increases positive communication and reduces cortisol levels during couple conflict. PMID 19027101</w:t>
      </w:r>
    </w:p>
    <w:p>
      <w:pPr>
        <w:numPr>
          <w:ilvl w:val="0"/>
          <w:numId w:val="1419"/>
        </w:numPr>
        <w:pStyle w:val="Compact"/>
      </w:pPr>
      <w:r>
        <w:t xml:space="preserve">2008 · Burri A ·</w:t>
      </w:r>
      <w:r>
        <w:t xml:space="preserve"> </w:t>
      </w:r>
      <w:r>
        <w:rPr>
          <w:iCs/>
          <w:i/>
        </w:rPr>
        <w:t xml:space="preserve">Psychoneuroendocrinology</w:t>
      </w:r>
      <w:r>
        <w:t xml:space="preserve"> </w:t>
      </w:r>
      <w:r>
        <w:t xml:space="preserve">· The acute effects of intranasal oxytocin administration on endocrine and sexual function in males. PMID 18375074</w:t>
      </w:r>
    </w:p>
    <w:p>
      <w:pPr>
        <w:numPr>
          <w:ilvl w:val="0"/>
          <w:numId w:val="1419"/>
        </w:numPr>
        <w:pStyle w:val="Compact"/>
      </w:pPr>
      <w:r>
        <w:t xml:space="preserve">2008 · Savaskan E ·</w:t>
      </w:r>
      <w:r>
        <w:t xml:space="preserve"> </w:t>
      </w:r>
      <w:r>
        <w:rPr>
          <w:iCs/>
          <w:i/>
        </w:rPr>
        <w:t xml:space="preserve">Psychoneuroendocrinology</w:t>
      </w:r>
      <w:r>
        <w:t xml:space="preserve"> </w:t>
      </w:r>
      <w:r>
        <w:t xml:space="preserve">· Post-learning intranasal oxytocin modulates human memory for facial identity. PMID 18221838</w:t>
      </w:r>
    </w:p>
    <w:p>
      <w:pPr>
        <w:numPr>
          <w:ilvl w:val="0"/>
          <w:numId w:val="1419"/>
        </w:numPr>
        <w:pStyle w:val="Compact"/>
      </w:pPr>
      <w:r>
        <w:t xml:space="preserve">2007 · Meinlschmidt G ·</w:t>
      </w:r>
      <w:r>
        <w:t xml:space="preserve"> </w:t>
      </w:r>
      <w:r>
        <w:rPr>
          <w:iCs/>
          <w:i/>
        </w:rPr>
        <w:t xml:space="preserve">Biol Psychiatry</w:t>
      </w:r>
      <w:r>
        <w:t xml:space="preserve"> </w:t>
      </w:r>
      <w:r>
        <w:t xml:space="preserve">· Sensitivity to intranasal oxytocin in adult men with early parental separation. PMID 17141739</w:t>
      </w:r>
    </w:p>
    <w:p>
      <w:pPr>
        <w:numPr>
          <w:ilvl w:val="0"/>
          <w:numId w:val="1419"/>
        </w:numPr>
        <w:pStyle w:val="Compact"/>
      </w:pPr>
      <w:r>
        <w:t xml:space="preserve">2004 · Heinrichs M ·</w:t>
      </w:r>
      <w:r>
        <w:t xml:space="preserve"> </w:t>
      </w:r>
      <w:r>
        <w:rPr>
          <w:iCs/>
          <w:i/>
        </w:rPr>
        <w:t xml:space="preserve">Physiol Behav</w:t>
      </w:r>
      <w:r>
        <w:t xml:space="preserve"> </w:t>
      </w:r>
      <w:r>
        <w:t xml:space="preserve">· Selective amnesic effects of oxytocin on human memory. PMID 15501488</w:t>
      </w:r>
    </w:p>
    <w:p>
      <w:pPr>
        <w:numPr>
          <w:ilvl w:val="0"/>
          <w:numId w:val="1419"/>
        </w:numPr>
        <w:pStyle w:val="Compact"/>
      </w:pPr>
      <w:r>
        <w:t xml:space="preserve">2003 · Heinrichs M ·</w:t>
      </w:r>
      <w:r>
        <w:t xml:space="preserve"> </w:t>
      </w:r>
      <w:r>
        <w:rPr>
          <w:iCs/>
          <w:i/>
        </w:rPr>
        <w:t xml:space="preserve">Biol Psychiatry</w:t>
      </w:r>
      <w:r>
        <w:t xml:space="preserve"> </w:t>
      </w:r>
      <w:r>
        <w:t xml:space="preserve">· Social support and oxytocin interact to suppress cortisol and subjective responses to psychosocial stress. PMID 14675803</w:t>
      </w:r>
    </w:p>
    <w:p>
      <w:pPr>
        <w:numPr>
          <w:ilvl w:val="0"/>
          <w:numId w:val="1419"/>
        </w:numPr>
        <w:pStyle w:val="Compact"/>
      </w:pPr>
      <w:r>
        <w:t xml:space="preserve">1996 · Epperson CN ·</w:t>
      </w:r>
      <w:r>
        <w:t xml:space="preserve"> </w:t>
      </w:r>
      <w:r>
        <w:rPr>
          <w:iCs/>
          <w:i/>
        </w:rPr>
        <w:t xml:space="preserve">Biol Psychiatry</w:t>
      </w:r>
      <w:r>
        <w:t xml:space="preserve"> </w:t>
      </w:r>
      <w:r>
        <w:t xml:space="preserve">· Intranasal oxytocin in obsessive-compulsive disorder. PMID 8879477</w:t>
      </w:r>
    </w:p>
    <w:p>
      <w:pPr>
        <w:numPr>
          <w:ilvl w:val="0"/>
          <w:numId w:val="1419"/>
        </w:numPr>
        <w:pStyle w:val="Compact"/>
      </w:pPr>
      <w:r>
        <w:t xml:space="preserve">1985 · Andreasson B ·</w:t>
      </w:r>
      <w:r>
        <w:t xml:space="preserve"> </w:t>
      </w:r>
      <w:r>
        <w:rPr>
          <w:iCs/>
          <w:i/>
        </w:rPr>
        <w:t xml:space="preserve">Acta Obstet Gynecol Scand</w:t>
      </w:r>
      <w:r>
        <w:t xml:space="preserve"> </w:t>
      </w:r>
      <w:r>
        <w:t xml:space="preserve">· Induction of labor. A double-blind randomized controlled study of prostaglandin E2 vaginal suppositories compared with intranasal oxytocin and with sequential treatment. PMID 3885670</w:t>
      </w:r>
    </w:p>
    <w:p>
      <w:pPr>
        <w:numPr>
          <w:ilvl w:val="0"/>
          <w:numId w:val="1419"/>
        </w:numPr>
        <w:pStyle w:val="Compact"/>
      </w:pPr>
      <w:r>
        <w:t xml:space="preserve">1983 · Larsen J ·</w:t>
      </w:r>
      <w:r>
        <w:t xml:space="preserve"> </w:t>
      </w:r>
      <w:r>
        <w:rPr>
          <w:iCs/>
          <w:i/>
        </w:rPr>
        <w:t xml:space="preserve">Ugeskr Laeger</w:t>
      </w:r>
      <w:r>
        <w:t xml:space="preserve"> </w:t>
      </w:r>
      <w:r>
        <w:t xml:space="preserve">· [Induction of labor. A double-blind randomized study of prostaglandin E2 vaginal suppositories compared with intranasal oxytocin]. PMID 6351397</w:t>
      </w:r>
    </w:p>
    <w:bookmarkEnd w:id="3061"/>
    <w:bookmarkStart w:id="3062" w:name="gonadorelina-9"/>
    <w:p>
      <w:pPr>
        <w:pStyle w:val="Heading2"/>
      </w:pPr>
      <w:r>
        <w:t xml:space="preserve">Gonadorelina (9)</w:t>
      </w:r>
    </w:p>
    <w:p>
      <w:pPr>
        <w:numPr>
          <w:ilvl w:val="0"/>
          <w:numId w:val="1420"/>
        </w:numPr>
        <w:pStyle w:val="Compact"/>
      </w:pPr>
      <w:r>
        <w:t xml:space="preserve">2022 · Fiala V ·</w:t>
      </w:r>
      <w:r>
        <w:t xml:space="preserve"> </w:t>
      </w:r>
      <w:r>
        <w:rPr>
          <w:iCs/>
          <w:i/>
        </w:rPr>
        <w:t xml:space="preserve">J Pediatr Urol</w:t>
      </w:r>
      <w:r>
        <w:t xml:space="preserve"> </w:t>
      </w:r>
      <w:r>
        <w:t xml:space="preserve">· The safety of neoadjuvant hormonal treatment in infants with cryptorchidism. PMID 35691791</w:t>
      </w:r>
    </w:p>
    <w:p>
      <w:pPr>
        <w:numPr>
          <w:ilvl w:val="0"/>
          <w:numId w:val="1420"/>
        </w:numPr>
        <w:pStyle w:val="Compact"/>
      </w:pPr>
      <w:r>
        <w:t xml:space="preserve">2014 · Spinelli C ·</w:t>
      </w:r>
      <w:r>
        <w:t xml:space="preserve"> </w:t>
      </w:r>
      <w:r>
        <w:rPr>
          <w:iCs/>
          <w:i/>
        </w:rPr>
        <w:t xml:space="preserve">Pediatr Surg Int</w:t>
      </w:r>
      <w:r>
        <w:t xml:space="preserve"> </w:t>
      </w:r>
      <w:r>
        <w:t xml:space="preserve">· Effects on normalized testicular atrophy index (TAIn) in cryptorchid infants treated with GnRHa pre and post-operative vs surgery alone: a prospective randomized trial and long-term follow-up on 62 cases. PMID 25106891</w:t>
      </w:r>
    </w:p>
    <w:p>
      <w:pPr>
        <w:numPr>
          <w:ilvl w:val="0"/>
          <w:numId w:val="1420"/>
        </w:numPr>
        <w:pStyle w:val="Compact"/>
      </w:pPr>
      <w:r>
        <w:t xml:space="preserve">2011 · Shamash J ·</w:t>
      </w:r>
      <w:r>
        <w:t xml:space="preserve"> </w:t>
      </w:r>
      <w:r>
        <w:rPr>
          <w:iCs/>
          <w:i/>
        </w:rPr>
        <w:t xml:space="preserve">Br J Cancer</w:t>
      </w:r>
      <w:r>
        <w:t xml:space="preserve"> </w:t>
      </w:r>
      <w:r>
        <w:t xml:space="preserve">· A multi-centre randomised phase III trial of Dexamethasone vs Dexamethasone and diethylstilbestrol in castration-resistant prostate cancer: immediate vs deferred Diethylstilbestrol. PMID 21285990</w:t>
      </w:r>
    </w:p>
    <w:p>
      <w:pPr>
        <w:numPr>
          <w:ilvl w:val="0"/>
          <w:numId w:val="1420"/>
        </w:numPr>
        <w:pStyle w:val="Compact"/>
      </w:pPr>
      <w:r>
        <w:t xml:space="preserve">1997 · Falkenbach A ·</w:t>
      </w:r>
      <w:r>
        <w:t xml:space="preserve"> </w:t>
      </w:r>
      <w:r>
        <w:rPr>
          <w:iCs/>
          <w:i/>
        </w:rPr>
        <w:t xml:space="preserve">Eur J Appl Physiol Occup Physiol</w:t>
      </w:r>
      <w:r>
        <w:t xml:space="preserve"> </w:t>
      </w:r>
      <w:r>
        <w:t xml:space="preserve">· Unchanged response to stimulation of pituitary hormone release after serial UV irradiation in men. PMID 9189734</w:t>
      </w:r>
    </w:p>
    <w:p>
      <w:pPr>
        <w:numPr>
          <w:ilvl w:val="0"/>
          <w:numId w:val="1420"/>
        </w:numPr>
        <w:pStyle w:val="Compact"/>
      </w:pPr>
      <w:r>
        <w:t xml:space="preserve">1996 · Segarra A ·</w:t>
      </w:r>
      <w:r>
        <w:t xml:space="preserve"> </w:t>
      </w:r>
      <w:r>
        <w:rPr>
          <w:iCs/>
          <w:i/>
        </w:rPr>
        <w:t xml:space="preserve">Nephron</w:t>
      </w:r>
      <w:r>
        <w:t xml:space="preserve"> </w:t>
      </w:r>
      <w:r>
        <w:t xml:space="preserve">· Prospective case control study to determine the effect of lovastatin on serum testosterone and cortisol concentrations in hyperlipidemic nephrotic patients with chronic renal failure. PMID 8773342</w:t>
      </w:r>
    </w:p>
    <w:p>
      <w:pPr>
        <w:numPr>
          <w:ilvl w:val="0"/>
          <w:numId w:val="1420"/>
        </w:numPr>
        <w:pStyle w:val="Compact"/>
      </w:pPr>
      <w:r>
        <w:t xml:space="preserve">1990 · Santoro N ·</w:t>
      </w:r>
      <w:r>
        <w:t xml:space="preserve"> </w:t>
      </w:r>
      <w:r>
        <w:rPr>
          <w:iCs/>
          <w:i/>
        </w:rPr>
        <w:t xml:space="preserve">Am J Obstet Gynecol</w:t>
      </w:r>
      <w:r>
        <w:t xml:space="preserve"> </w:t>
      </w:r>
      <w:r>
        <w:t xml:space="preserve">· Efficacy and safety of intravenous pulsatile gonadotropin-releasing hormone: Lutrepulse for injection. PMID 2122733</w:t>
      </w:r>
    </w:p>
    <w:p>
      <w:pPr>
        <w:numPr>
          <w:ilvl w:val="0"/>
          <w:numId w:val="1420"/>
        </w:numPr>
        <w:pStyle w:val="Compact"/>
      </w:pPr>
      <w:r>
        <w:t xml:space="preserve">1987 · Kadrnka-Lovrencić M ·</w:t>
      </w:r>
      <w:r>
        <w:t xml:space="preserve"> </w:t>
      </w:r>
      <w:r>
        <w:rPr>
          <w:iCs/>
          <w:i/>
        </w:rPr>
        <w:t xml:space="preserve">Lijec Vjesn</w:t>
      </w:r>
      <w:r>
        <w:t xml:space="preserve"> </w:t>
      </w:r>
      <w:r>
        <w:t xml:space="preserve">· [Comparative clinico-therapeutic study of gonadorelin and chorionic gonadotropin in boys with undescended testes]. PMID 2885699</w:t>
      </w:r>
    </w:p>
    <w:p>
      <w:pPr>
        <w:numPr>
          <w:ilvl w:val="0"/>
          <w:numId w:val="1420"/>
        </w:numPr>
        <w:pStyle w:val="Compact"/>
      </w:pPr>
      <w:r>
        <w:t xml:space="preserve">1986 · Lopes P ·</w:t>
      </w:r>
      <w:r>
        <w:t xml:space="preserve"> </w:t>
      </w:r>
      <w:r>
        <w:rPr>
          <w:iCs/>
          <w:i/>
        </w:rPr>
        <w:t xml:space="preserve">Presse Med</w:t>
      </w:r>
      <w:r>
        <w:t xml:space="preserve"> </w:t>
      </w:r>
      <w:r>
        <w:t xml:space="preserve">· [Value of short-term use of a gonadorelin analog in an in vitro fertilization program]. PMID 2949236</w:t>
      </w:r>
    </w:p>
    <w:p>
      <w:pPr>
        <w:numPr>
          <w:ilvl w:val="0"/>
          <w:numId w:val="1420"/>
        </w:numPr>
        <w:pStyle w:val="Compact"/>
      </w:pPr>
      <w:r>
        <w:t xml:space="preserve">1985 · Steg A ·</w:t>
      </w:r>
      <w:r>
        <w:t xml:space="preserve"> </w:t>
      </w:r>
      <w:r>
        <w:rPr>
          <w:iCs/>
          <w:i/>
        </w:rPr>
        <w:t xml:space="preserve">Presse Med</w:t>
      </w:r>
      <w:r>
        <w:t xml:space="preserve"> </w:t>
      </w:r>
      <w:r>
        <w:t xml:space="preserve">· [Treatment of advanced prostatic cancer with a gonadorelin agonist, dTrp6 LHRH. 41 cases]. PMID 2934695</w:t>
      </w:r>
    </w:p>
    <w:bookmarkEnd w:id="3062"/>
    <w:bookmarkStart w:id="3063" w:name="Xc95361ebaeaf98faaef9c98f369c524174b768d"/>
    <w:p>
      <w:pPr>
        <w:pStyle w:val="Heading2"/>
      </w:pPr>
      <w:r>
        <w:t xml:space="preserve">Peptídeos de colágeno (colágeno hidrolisado) (101)</w:t>
      </w:r>
    </w:p>
    <w:p>
      <w:pPr>
        <w:numPr>
          <w:ilvl w:val="0"/>
          <w:numId w:val="1421"/>
        </w:numPr>
        <w:pStyle w:val="Compact"/>
      </w:pPr>
      <w:r>
        <w:t xml:space="preserve">2026 · Hwang S ·</w:t>
      </w:r>
      <w:r>
        <w:t xml:space="preserve"> </w:t>
      </w:r>
      <w:r>
        <w:rPr>
          <w:iCs/>
          <w:i/>
        </w:rPr>
        <w:t xml:space="preserve">J Med Food</w:t>
      </w:r>
      <w:r>
        <w:t xml:space="preserve"> </w:t>
      </w:r>
      <w:r>
        <w:t xml:space="preserve">· Low-Molecular-Weight Collagen Peptide Supplementation Improves Cellulite Severity, Skin Elasticity, and Hair Shaft Diameter: A Clinical Study with Pharmacokinetic Evaluation. PMID 41788055</w:t>
      </w:r>
    </w:p>
    <w:p>
      <w:pPr>
        <w:numPr>
          <w:ilvl w:val="0"/>
          <w:numId w:val="1421"/>
        </w:numPr>
        <w:pStyle w:val="Compact"/>
      </w:pPr>
      <w:r>
        <w:t xml:space="preserve">2026 · Proksch E ·</w:t>
      </w:r>
      <w:r>
        <w:t xml:space="preserve"> </w:t>
      </w:r>
      <w:r>
        <w:rPr>
          <w:iCs/>
          <w:i/>
        </w:rPr>
        <w:t xml:space="preserve">Skin Pharmacol Physiol</w:t>
      </w:r>
      <w:r>
        <w:t xml:space="preserve"> </w:t>
      </w:r>
      <w:r>
        <w:t xml:space="preserve">· Oral Administration of Specific Bioactive Collagen Peptides in the Treatment of Moderate Forms of Atopic Dermatitis: A New Approach. PMID 41758763</w:t>
      </w:r>
    </w:p>
    <w:p>
      <w:pPr>
        <w:numPr>
          <w:ilvl w:val="0"/>
          <w:numId w:val="1421"/>
        </w:numPr>
        <w:pStyle w:val="Compact"/>
      </w:pPr>
      <w:r>
        <w:t xml:space="preserve">2025 · Aguilera JA ·</w:t>
      </w:r>
      <w:r>
        <w:t xml:space="preserve"> </w:t>
      </w:r>
      <w:r>
        <w:rPr>
          <w:iCs/>
          <w:i/>
        </w:rPr>
        <w:t xml:space="preserve">J Int Soc Sports Nutr</w:t>
      </w:r>
      <w:r>
        <w:t xml:space="preserve"> </w:t>
      </w:r>
      <w:r>
        <w:t xml:space="preserve">· Dileucine-supplemented essential amino acids support whole-body anabolism after resistance exercise and serum-stimulated cell-based anabolism. PMID 41321015</w:t>
      </w:r>
    </w:p>
    <w:p>
      <w:pPr>
        <w:numPr>
          <w:ilvl w:val="0"/>
          <w:numId w:val="1421"/>
        </w:numPr>
        <w:pStyle w:val="Compact"/>
      </w:pPr>
      <w:r>
        <w:t xml:space="preserve">2025 · Wang Y ·</w:t>
      </w:r>
      <w:r>
        <w:t xml:space="preserve"> </w:t>
      </w:r>
      <w:r>
        <w:rPr>
          <w:iCs/>
          <w:i/>
        </w:rPr>
        <w:t xml:space="preserve">J Cosmet Dermatol</w:t>
      </w:r>
      <w:r>
        <w:t xml:space="preserve"> </w:t>
      </w:r>
      <w:r>
        <w:t xml:space="preserve">· The Sustained Effects of Bioactive Collagen Peptides on Skin Health: A Randomized, Double-Blind, Placebo-Controlled Clinical Study. PMID 41311286</w:t>
      </w:r>
    </w:p>
    <w:p>
      <w:pPr>
        <w:numPr>
          <w:ilvl w:val="0"/>
          <w:numId w:val="1421"/>
        </w:numPr>
        <w:pStyle w:val="Compact"/>
      </w:pPr>
      <w:r>
        <w:t xml:space="preserve">2025 · Chavez-Alfaro MA ·</w:t>
      </w:r>
      <w:r>
        <w:t xml:space="preserve"> </w:t>
      </w:r>
      <w:r>
        <w:rPr>
          <w:iCs/>
          <w:i/>
        </w:rPr>
        <w:t xml:space="preserve">Food Funct</w:t>
      </w:r>
      <w:r>
        <w:t xml:space="preserve"> </w:t>
      </w:r>
      <w:r>
        <w:t xml:space="preserve">· Effects of porcine-derived collagen hydrolysates on 24 h blood pressure profiles, markers for endothelial dysfunction and low-grade inflammation and the retinal vasculature in adults with overweight/obesity: a randomized, controlled trial. PMID 41288414</w:t>
      </w:r>
    </w:p>
    <w:p>
      <w:pPr>
        <w:numPr>
          <w:ilvl w:val="0"/>
          <w:numId w:val="1421"/>
        </w:numPr>
        <w:pStyle w:val="Compact"/>
      </w:pPr>
      <w:r>
        <w:t xml:space="preserve">2025 · Lee E ·</w:t>
      </w:r>
      <w:r>
        <w:t xml:space="preserve"> </w:t>
      </w:r>
      <w:r>
        <w:rPr>
          <w:iCs/>
          <w:i/>
        </w:rPr>
        <w:t xml:space="preserve">J Microbiol Biotechnol</w:t>
      </w:r>
      <w:r>
        <w:t xml:space="preserve"> </w:t>
      </w:r>
      <w:r>
        <w:t xml:space="preserve">· Skin Anti-Aging and Moisturizing Effects of Low-Molecular-Weight Collagen Peptide Supplementation in Healthy Adults: A Randomized, Double-Blind, Placebo-Controlled Clinical Trial. PMID 40935395</w:t>
      </w:r>
    </w:p>
    <w:p>
      <w:pPr>
        <w:numPr>
          <w:ilvl w:val="0"/>
          <w:numId w:val="1421"/>
        </w:numPr>
        <w:pStyle w:val="Compact"/>
      </w:pPr>
      <w:r>
        <w:t xml:space="preserve">2025 · Reynolds KM ·</w:t>
      </w:r>
      <w:r>
        <w:t xml:space="preserve"> </w:t>
      </w:r>
      <w:r>
        <w:rPr>
          <w:iCs/>
          <w:i/>
        </w:rPr>
        <w:t xml:space="preserve">Br J Nutr</w:t>
      </w:r>
      <w:r>
        <w:t xml:space="preserve"> </w:t>
      </w:r>
      <w:r>
        <w:t xml:space="preserve">· The effects of collagen peptide supplementation on appetite and post-exercise energy intake in females: a randomised controlled trial. PMID 40685650</w:t>
      </w:r>
    </w:p>
    <w:p>
      <w:pPr>
        <w:numPr>
          <w:ilvl w:val="0"/>
          <w:numId w:val="1421"/>
        </w:numPr>
        <w:pStyle w:val="Compact"/>
      </w:pPr>
      <w:r>
        <w:t xml:space="preserve">2025 · Miyamoto N ·</w:t>
      </w:r>
      <w:r>
        <w:t xml:space="preserve"> </w:t>
      </w:r>
      <w:r>
        <w:rPr>
          <w:iCs/>
          <w:i/>
        </w:rPr>
        <w:t xml:space="preserve">Med Sci Sports Exerc</w:t>
      </w:r>
      <w:r>
        <w:t xml:space="preserve"> </w:t>
      </w:r>
      <w:r>
        <w:t xml:space="preserve">· Collagen Peptide Supplementation Enhances Muscle-Tendon Stiffness and Explosive Strength: A 16-wk Randomized Controlled Trial. PMID 40623147</w:t>
      </w:r>
    </w:p>
    <w:p>
      <w:pPr>
        <w:numPr>
          <w:ilvl w:val="0"/>
          <w:numId w:val="1421"/>
        </w:numPr>
        <w:pStyle w:val="Compact"/>
      </w:pPr>
      <w:r>
        <w:t xml:space="preserve">2025 · Aussieker T ·</w:t>
      </w:r>
      <w:r>
        <w:t xml:space="preserve"> </w:t>
      </w:r>
      <w:r>
        <w:rPr>
          <w:iCs/>
          <w:i/>
        </w:rPr>
        <w:t xml:space="preserve">Med Sci Sports Exerc</w:t>
      </w:r>
      <w:r>
        <w:t xml:space="preserve"> </w:t>
      </w:r>
      <w:r>
        <w:t xml:space="preserve">· The Effects of Ingesting a Single Bolus of Hydrolyzed Collagen versus Free Amino Acids on Muscle Connective Protein Synthesis Rates. PMID 40523226</w:t>
      </w:r>
    </w:p>
    <w:p>
      <w:pPr>
        <w:numPr>
          <w:ilvl w:val="0"/>
          <w:numId w:val="1421"/>
        </w:numPr>
        <w:pStyle w:val="Compact"/>
      </w:pPr>
      <w:r>
        <w:t xml:space="preserve">2025 · Zague V ·</w:t>
      </w:r>
      <w:r>
        <w:t xml:space="preserve"> </w:t>
      </w:r>
      <w:r>
        <w:rPr>
          <w:iCs/>
          <w:i/>
        </w:rPr>
        <w:t xml:space="preserve">J Med Food</w:t>
      </w:r>
      <w:r>
        <w:t xml:space="preserve"> </w:t>
      </w:r>
      <w:r>
        <w:t xml:space="preserve">· Oral Collagen Oligopeptides as a Modulator of Skin Health: A Comprehensive Evaluation of Clinical and Molecular Effects. PMID 40518844</w:t>
      </w:r>
    </w:p>
    <w:p>
      <w:pPr>
        <w:numPr>
          <w:ilvl w:val="0"/>
          <w:numId w:val="1421"/>
        </w:numPr>
        <w:pStyle w:val="Compact"/>
      </w:pPr>
      <w:r>
        <w:t xml:space="preserve">2025 · Bhardwaj V ·</w:t>
      </w:r>
      <w:r>
        <w:t xml:space="preserve"> </w:t>
      </w:r>
      <w:r>
        <w:rPr>
          <w:iCs/>
          <w:i/>
        </w:rPr>
        <w:t xml:space="preserve">J Drugs Dermatol</w:t>
      </w:r>
      <w:r>
        <w:t xml:space="preserve"> </w:t>
      </w:r>
      <w:r>
        <w:t xml:space="preserve">· Artificial Intelligence-Based Personalization of Treatment Regimen for Hair Loss: A 6-Month Clinical Trial. PMID 40043278</w:t>
      </w:r>
    </w:p>
    <w:p>
      <w:pPr>
        <w:numPr>
          <w:ilvl w:val="0"/>
          <w:numId w:val="1421"/>
        </w:numPr>
        <w:pStyle w:val="Compact"/>
      </w:pPr>
      <w:r>
        <w:t xml:space="preserve">2025 · Xing X ·</w:t>
      </w:r>
      <w:r>
        <w:t xml:space="preserve"> </w:t>
      </w:r>
      <w:r>
        <w:rPr>
          <w:iCs/>
          <w:i/>
        </w:rPr>
        <w:t xml:space="preserve">Food Funct</w:t>
      </w:r>
      <w:r>
        <w:t xml:space="preserve"> </w:t>
      </w:r>
      <w:r>
        <w:t xml:space="preserve">· Effects of protein-rich multi-nutrient intervention on bone mineralization and development: insights from a randomized controlled trial in prepubertal children and a zebrafish experiment. PMID 39991811</w:t>
      </w:r>
    </w:p>
    <w:p>
      <w:pPr>
        <w:numPr>
          <w:ilvl w:val="0"/>
          <w:numId w:val="1421"/>
        </w:numPr>
        <w:pStyle w:val="Compact"/>
      </w:pPr>
      <w:r>
        <w:t xml:space="preserve">2025 · Paulus MC ·</w:t>
      </w:r>
      <w:r>
        <w:t xml:space="preserve"> </w:t>
      </w:r>
      <w:r>
        <w:rPr>
          <w:iCs/>
          <w:i/>
        </w:rPr>
        <w:t xml:space="preserve">Clin Nutr</w:t>
      </w:r>
      <w:r>
        <w:t xml:space="preserve"> </w:t>
      </w:r>
      <w:r>
        <w:t xml:space="preserve">· Feasibility challenges in protein supplementation research: Insights from the convalescence of functional outcomes after intensive care unit stay in a Randomised Controlled Trial. PMID 39914233</w:t>
      </w:r>
    </w:p>
    <w:p>
      <w:pPr>
        <w:numPr>
          <w:ilvl w:val="0"/>
          <w:numId w:val="1421"/>
        </w:numPr>
        <w:pStyle w:val="Compact"/>
      </w:pPr>
      <w:r>
        <w:t xml:space="preserve">2025 · Genç AS ·</w:t>
      </w:r>
      <w:r>
        <w:t xml:space="preserve"> </w:t>
      </w:r>
      <w:r>
        <w:rPr>
          <w:iCs/>
          <w:i/>
        </w:rPr>
        <w:t xml:space="preserve">BMC Musculoskelet Disord</w:t>
      </w:r>
      <w:r>
        <w:t xml:space="preserve"> </w:t>
      </w:r>
      <w:r>
        <w:t xml:space="preserve">· The effect of supplementation with type I and type III collagen peptide and type II hydrolyzed collagen on pain, quality of life and physical function in patients with meniscopathy: a randomized, double-blind, placebo-controlled study. PMID 39755603</w:t>
      </w:r>
    </w:p>
    <w:p>
      <w:pPr>
        <w:numPr>
          <w:ilvl w:val="0"/>
          <w:numId w:val="1421"/>
        </w:numPr>
        <w:pStyle w:val="Compact"/>
      </w:pPr>
      <w:r>
        <w:t xml:space="preserve">2025 · Genç AS ·</w:t>
      </w:r>
      <w:r>
        <w:t xml:space="preserve"> </w:t>
      </w:r>
      <w:r>
        <w:rPr>
          <w:iCs/>
          <w:i/>
        </w:rPr>
        <w:t xml:space="preserve">Jt Dis Relat Surg</w:t>
      </w:r>
      <w:r>
        <w:t xml:space="preserve"> </w:t>
      </w:r>
      <w:r>
        <w:t xml:space="preserve">· Effect of supplementation with type 1 and type 3 collagen peptide and type 2 hydrolyzed collagen on osteoarthritis-related pain, quality of life, and physical function: A double-blind, randomized, placebo-controlled study. PMID 39719905</w:t>
      </w:r>
    </w:p>
    <w:p>
      <w:pPr>
        <w:numPr>
          <w:ilvl w:val="0"/>
          <w:numId w:val="1421"/>
        </w:numPr>
        <w:pStyle w:val="Compact"/>
      </w:pPr>
      <w:r>
        <w:t xml:space="preserve">2024 · Nilsson MI ·</w:t>
      </w:r>
      <w:r>
        <w:t xml:space="preserve"> </w:t>
      </w:r>
      <w:r>
        <w:rPr>
          <w:iCs/>
          <w:i/>
        </w:rPr>
        <w:t xml:space="preserve">Nutrients</w:t>
      </w:r>
      <w:r>
        <w:t xml:space="preserve"> </w:t>
      </w:r>
      <w:r>
        <w:t xml:space="preserve">· Obesity and Metabolic Disease Impair the Anabolic Response to Protein Supplementation and Resistance Exercise: A Retrospective Analysis of a Randomized Clinical Trial with Implications for Aging, Sarcopenic Obesity, and Weight Management. PMID 39771028</w:t>
      </w:r>
    </w:p>
    <w:p>
      <w:pPr>
        <w:numPr>
          <w:ilvl w:val="0"/>
          <w:numId w:val="1421"/>
        </w:numPr>
        <w:pStyle w:val="Compact"/>
      </w:pPr>
      <w:r>
        <w:t xml:space="preserve">2024 · Barclay R ·</w:t>
      </w:r>
      <w:r>
        <w:t xml:space="preserve"> </w:t>
      </w:r>
      <w:r>
        <w:rPr>
          <w:iCs/>
          <w:i/>
        </w:rPr>
        <w:t xml:space="preserve">Nutrients</w:t>
      </w:r>
      <w:r>
        <w:t xml:space="preserve"> </w:t>
      </w:r>
      <w:r>
        <w:t xml:space="preserve">· Comparing the Effects of Collagen Hydrolysate and Dairy Protein on Recovery from Eccentric Exercise: A Double Blind, Placebo-Controlled Study. PMID 39771010</w:t>
      </w:r>
    </w:p>
    <w:p>
      <w:pPr>
        <w:numPr>
          <w:ilvl w:val="0"/>
          <w:numId w:val="1421"/>
        </w:numPr>
        <w:pStyle w:val="Compact"/>
      </w:pPr>
      <w:r>
        <w:t xml:space="preserve">2024 · Vleminckx S ·</w:t>
      </w:r>
      <w:r>
        <w:t xml:space="preserve"> </w:t>
      </w:r>
      <w:r>
        <w:rPr>
          <w:iCs/>
          <w:i/>
        </w:rPr>
        <w:t xml:space="preserve">J Cosmet Dermatol</w:t>
      </w:r>
      <w:r>
        <w:t xml:space="preserve"> </w:t>
      </w:r>
      <w:r>
        <w:t xml:space="preserve">· Influence of collagen peptide supplementation on visible signs of skin and nail health and -aging in an East Asian population: A double blind, randomized, placebo-controlled trial. PMID 39143887</w:t>
      </w:r>
    </w:p>
    <w:p>
      <w:pPr>
        <w:numPr>
          <w:ilvl w:val="0"/>
          <w:numId w:val="1421"/>
        </w:numPr>
        <w:pStyle w:val="Compact"/>
      </w:pPr>
      <w:r>
        <w:t xml:space="preserve">2024 · Kirmse M ·</w:t>
      </w:r>
      <w:r>
        <w:t xml:space="preserve"> </w:t>
      </w:r>
      <w:r>
        <w:rPr>
          <w:iCs/>
          <w:i/>
        </w:rPr>
        <w:t xml:space="preserve">Med Sci Sports Exerc</w:t>
      </w:r>
      <w:r>
        <w:t xml:space="preserve"> </w:t>
      </w:r>
      <w:r>
        <w:t xml:space="preserve">· Collagen Peptide Supplementation during Training Does Not Further Increase Connective Tissue Protein Synthesis Rates. PMID 39086044</w:t>
      </w:r>
    </w:p>
    <w:p>
      <w:pPr>
        <w:numPr>
          <w:ilvl w:val="0"/>
          <w:numId w:val="1421"/>
        </w:numPr>
        <w:pStyle w:val="Compact"/>
      </w:pPr>
      <w:r>
        <w:t xml:space="preserve">2024 · Morakul B ·</w:t>
      </w:r>
      <w:r>
        <w:t xml:space="preserve"> </w:t>
      </w:r>
      <w:r>
        <w:rPr>
          <w:iCs/>
          <w:i/>
        </w:rPr>
        <w:t xml:space="preserve">J Cosmet Dermatol</w:t>
      </w:r>
      <w:r>
        <w:t xml:space="preserve"> </w:t>
      </w:r>
      <w:r>
        <w:t xml:space="preserve">· The evidence from in vitro primary fibroblasts and a randomized, double-blind, placebo-controlled clinical trial of tuna collagen peptides intake on skin health. PMID 39075819</w:t>
      </w:r>
    </w:p>
    <w:p>
      <w:pPr>
        <w:numPr>
          <w:ilvl w:val="0"/>
          <w:numId w:val="1421"/>
        </w:numPr>
        <w:pStyle w:val="Compact"/>
      </w:pPr>
      <w:r>
        <w:t xml:space="preserve">2024 · Schulze C ·</w:t>
      </w:r>
      <w:r>
        <w:t xml:space="preserve"> </w:t>
      </w:r>
      <w:r>
        <w:rPr>
          <w:iCs/>
          <w:i/>
        </w:rPr>
        <w:t xml:space="preserve">Int J Environ Res Public Health</w:t>
      </w:r>
      <w:r>
        <w:t xml:space="preserve"> </w:t>
      </w:r>
      <w:r>
        <w:t xml:space="preserve">· Impact of Specific Bioactive Collagen Peptides on Joint Discomforts in the Lower Extremity during Daily Activities: A Randomized Controlled Trial. PMID 38928934</w:t>
      </w:r>
    </w:p>
    <w:p>
      <w:pPr>
        <w:numPr>
          <w:ilvl w:val="0"/>
          <w:numId w:val="1421"/>
        </w:numPr>
        <w:pStyle w:val="Compact"/>
      </w:pPr>
      <w:r>
        <w:t xml:space="preserve">2024 · Devasia S ·</w:t>
      </w:r>
      <w:r>
        <w:t xml:space="preserve"> </w:t>
      </w:r>
      <w:r>
        <w:rPr>
          <w:iCs/>
          <w:i/>
        </w:rPr>
        <w:t xml:space="preserve">Cartilage</w:t>
      </w:r>
      <w:r>
        <w:t xml:space="preserve"> </w:t>
      </w:r>
      <w:r>
        <w:t xml:space="preserve">· Management and Amelioration of Knee Joint Osteoarthritis in Adults Using a Novel High-Functional Bovine Collagen Peptide as a Nutritional Therapy: A Double-Blind, Prospective, Multicentric, Randomized, Active and Placebo Controlled, Five-Arm, Clinical Study to Evaluate the Efficacy, Safety, and Tolerability. PMID 38235711</w:t>
      </w:r>
    </w:p>
    <w:p>
      <w:pPr>
        <w:numPr>
          <w:ilvl w:val="0"/>
          <w:numId w:val="1421"/>
        </w:numPr>
        <w:pStyle w:val="Compact"/>
      </w:pPr>
      <w:r>
        <w:t xml:space="preserve">2024 · Salehi S ·</w:t>
      </w:r>
      <w:r>
        <w:t xml:space="preserve"> </w:t>
      </w:r>
      <w:r>
        <w:rPr>
          <w:iCs/>
          <w:i/>
        </w:rPr>
        <w:t xml:space="preserve">Burns</w:t>
      </w:r>
      <w:r>
        <w:t xml:space="preserve"> </w:t>
      </w:r>
      <w:r>
        <w:t xml:space="preserve">· Effects of hydrolyzed collagen alone or in combination with fish oil on the gut microbiome in patients with major burns. PMID 38114377</w:t>
      </w:r>
    </w:p>
    <w:p>
      <w:pPr>
        <w:numPr>
          <w:ilvl w:val="0"/>
          <w:numId w:val="1421"/>
        </w:numPr>
        <w:pStyle w:val="Compact"/>
      </w:pPr>
      <w:r>
        <w:t xml:space="preserve">2024 · Robberechts R ·</w:t>
      </w:r>
      <w:r>
        <w:t xml:space="preserve"> </w:t>
      </w:r>
      <w:r>
        <w:rPr>
          <w:iCs/>
          <w:i/>
        </w:rPr>
        <w:t xml:space="preserve">Int J Sport Nutr Exerc Metab</w:t>
      </w:r>
      <w:r>
        <w:t xml:space="preserve"> </w:t>
      </w:r>
      <w:r>
        <w:t xml:space="preserve">· Partly Substituting Whey for Collagen Peptide Supplementation Improves Neither Indices of Muscle Damage Nor Recovery of Functional Capacity During Eccentric Exercise Training in Fit Males. PMID 37922892</w:t>
      </w:r>
    </w:p>
    <w:p>
      <w:pPr>
        <w:numPr>
          <w:ilvl w:val="0"/>
          <w:numId w:val="1421"/>
        </w:numPr>
        <w:pStyle w:val="Compact"/>
      </w:pPr>
      <w:r>
        <w:t xml:space="preserve">2024 · Thomas C ·</w:t>
      </w:r>
      <w:r>
        <w:t xml:space="preserve"> </w:t>
      </w:r>
      <w:r>
        <w:rPr>
          <w:iCs/>
          <w:i/>
        </w:rPr>
        <w:t xml:space="preserve">Eur J Nutr</w:t>
      </w:r>
      <w:r>
        <w:t xml:space="preserve"> </w:t>
      </w:r>
      <w:r>
        <w:t xml:space="preserve">· Collagen peptide supplementation before bedtime reduces sleep fragmentation and improves cognitive function in physically active males with sleep complaints. PMID 37874350</w:t>
      </w:r>
    </w:p>
    <w:p>
      <w:pPr>
        <w:numPr>
          <w:ilvl w:val="0"/>
          <w:numId w:val="1421"/>
        </w:numPr>
        <w:pStyle w:val="Compact"/>
      </w:pPr>
      <w:r>
        <w:t xml:space="preserve">2024 · Seong SH ·</w:t>
      </w:r>
      <w:r>
        <w:t xml:space="preserve"> </w:t>
      </w:r>
      <w:r>
        <w:rPr>
          <w:iCs/>
          <w:i/>
        </w:rPr>
        <w:t xml:space="preserve">J Cosmet Dermatol</w:t>
      </w:r>
      <w:r>
        <w:t xml:space="preserve"> </w:t>
      </w:r>
      <w:r>
        <w:t xml:space="preserve">· Low-molecular-weight collagen peptides supplement promotes a healthy skin: A randomized, double-blinded, placebo-controlled study. PMID 37822045</w:t>
      </w:r>
    </w:p>
    <w:p>
      <w:pPr>
        <w:numPr>
          <w:ilvl w:val="0"/>
          <w:numId w:val="1421"/>
        </w:numPr>
        <w:pStyle w:val="Compact"/>
      </w:pPr>
      <w:r>
        <w:t xml:space="preserve">2023 · Chen L ·</w:t>
      </w:r>
      <w:r>
        <w:t xml:space="preserve"> </w:t>
      </w:r>
      <w:r>
        <w:rPr>
          <w:iCs/>
          <w:i/>
        </w:rPr>
        <w:t xml:space="preserve">Food Funct</w:t>
      </w:r>
      <w:r>
        <w:t xml:space="preserve"> </w:t>
      </w:r>
      <w:r>
        <w:t xml:space="preserve">· The effect of oral supplements containing collagen peptides rich in X-Hyp or X-Hyp-Gly compared with normal collagen hydrolysates on skin elasticity and collagen holes: a randomised double-blind clinical study. PMID 37970760</w:t>
      </w:r>
    </w:p>
    <w:p>
      <w:pPr>
        <w:numPr>
          <w:ilvl w:val="0"/>
          <w:numId w:val="1421"/>
        </w:numPr>
        <w:pStyle w:val="Compact"/>
      </w:pPr>
      <w:r>
        <w:t xml:space="preserve">2023 · Kviatkovsky SA ·</w:t>
      </w:r>
      <w:r>
        <w:t xml:space="preserve"> </w:t>
      </w:r>
      <w:r>
        <w:rPr>
          <w:iCs/>
          <w:i/>
        </w:rPr>
        <w:t xml:space="preserve">J Int Soc Sports Nutr</w:t>
      </w:r>
      <w:r>
        <w:t xml:space="preserve"> </w:t>
      </w:r>
      <w:r>
        <w:t xml:space="preserve">· Collagen peptides supplementation improves function, pain, and physical and mental outcomes in active adults. PMID 37551682</w:t>
      </w:r>
    </w:p>
    <w:p>
      <w:pPr>
        <w:numPr>
          <w:ilvl w:val="0"/>
          <w:numId w:val="1421"/>
        </w:numPr>
        <w:pStyle w:val="Compact"/>
      </w:pPr>
      <w:r>
        <w:t xml:space="preserve">2023 · Balshaw TG ·</w:t>
      </w:r>
      <w:r>
        <w:t xml:space="preserve"> </w:t>
      </w:r>
      <w:r>
        <w:rPr>
          <w:iCs/>
          <w:i/>
        </w:rPr>
        <w:t xml:space="preserve">Med Sci Sports Exerc</w:t>
      </w:r>
      <w:r>
        <w:t xml:space="preserve"> </w:t>
      </w:r>
      <w:r>
        <w:t xml:space="preserve">· The Effect of Specific Bioactive Collagen Peptides on Tendon Remodeling during 15 wk of Lower Body Resistance Training. PMID 37436929</w:t>
      </w:r>
    </w:p>
    <w:p>
      <w:pPr>
        <w:numPr>
          <w:ilvl w:val="0"/>
          <w:numId w:val="1421"/>
        </w:numPr>
        <w:pStyle w:val="Compact"/>
      </w:pPr>
      <w:r>
        <w:t xml:space="preserve">2023 · Jerger S ·</w:t>
      </w:r>
      <w:r>
        <w:t xml:space="preserve"> </w:t>
      </w:r>
      <w:r>
        <w:rPr>
          <w:iCs/>
          <w:i/>
        </w:rPr>
        <w:t xml:space="preserve">Eur J Sport Sci</w:t>
      </w:r>
      <w:r>
        <w:t xml:space="preserve"> </w:t>
      </w:r>
      <w:r>
        <w:t xml:space="preserve">· Specific collagen peptides increase adaptions of patellar tendon morphology following 14-weeks of high-load resistance training: A randomized-controlled trial. PMID 37424319</w:t>
      </w:r>
    </w:p>
    <w:p>
      <w:pPr>
        <w:numPr>
          <w:ilvl w:val="0"/>
          <w:numId w:val="1421"/>
        </w:numPr>
        <w:pStyle w:val="Compact"/>
      </w:pPr>
      <w:r>
        <w:t xml:space="preserve">2023 · Koizumi S ·</w:t>
      </w:r>
      <w:r>
        <w:t xml:space="preserve"> </w:t>
      </w:r>
      <w:r>
        <w:rPr>
          <w:iCs/>
          <w:i/>
        </w:rPr>
        <w:t xml:space="preserve">Biosci Biotechnol Biochem</w:t>
      </w:r>
      <w:r>
        <w:t xml:space="preserve"> </w:t>
      </w:r>
      <w:r>
        <w:t xml:space="preserve">· Ingestion of a collagen peptide containing high concentrations of prolyl-hydroxyproline and hydroxyprolyl-glycine reduces advanced glycation end products levels in the skin and subcutaneous blood vessel walls: a randomized, double-blind, placebo-controlled study. PMID 37245058</w:t>
      </w:r>
    </w:p>
    <w:p>
      <w:pPr>
        <w:numPr>
          <w:ilvl w:val="0"/>
          <w:numId w:val="1421"/>
        </w:numPr>
        <w:pStyle w:val="Compact"/>
      </w:pPr>
      <w:r>
        <w:t xml:space="preserve">2023 · Chen CC ·</w:t>
      </w:r>
      <w:r>
        <w:t xml:space="preserve"> </w:t>
      </w:r>
      <w:r>
        <w:rPr>
          <w:iCs/>
          <w:i/>
        </w:rPr>
        <w:t xml:space="preserve">Nutr J</w:t>
      </w:r>
      <w:r>
        <w:t xml:space="preserve"> </w:t>
      </w:r>
      <w:r>
        <w:t xml:space="preserve">· Randomized, double-blind, four-arm pilot study on the effects of chicken essence and type II collagen hydrolysate on joint, bone, and muscle functions. PMID 36918892</w:t>
      </w:r>
    </w:p>
    <w:p>
      <w:pPr>
        <w:numPr>
          <w:ilvl w:val="0"/>
          <w:numId w:val="1421"/>
        </w:numPr>
        <w:pStyle w:val="Compact"/>
      </w:pPr>
      <w:r>
        <w:t xml:space="preserve">2023 · Lee M ·</w:t>
      </w:r>
      <w:r>
        <w:t xml:space="preserve"> </w:t>
      </w:r>
      <w:r>
        <w:rPr>
          <w:iCs/>
          <w:i/>
        </w:rPr>
        <w:t xml:space="preserve">Food Funct</w:t>
      </w:r>
      <w:r>
        <w:t xml:space="preserve"> </w:t>
      </w:r>
      <w:r>
        <w:t xml:space="preserve">· Oral intake of collagen peptide NS improves hydration, elasticity, desquamation, and wrinkling in human skin: a randomized, double-blinded, placebo-controlled study. PMID 36916504</w:t>
      </w:r>
    </w:p>
    <w:p>
      <w:pPr>
        <w:numPr>
          <w:ilvl w:val="0"/>
          <w:numId w:val="1421"/>
        </w:numPr>
        <w:pStyle w:val="Compact"/>
      </w:pPr>
      <w:r>
        <w:t xml:space="preserve">2023 · Balshaw TG ·</w:t>
      </w:r>
      <w:r>
        <w:t xml:space="preserve"> </w:t>
      </w:r>
      <w:r>
        <w:rPr>
          <w:iCs/>
          <w:i/>
        </w:rPr>
        <w:t xml:space="preserve">Acta Physiol (Oxf)</w:t>
      </w:r>
      <w:r>
        <w:t xml:space="preserve"> </w:t>
      </w:r>
      <w:r>
        <w:t xml:space="preserve">· The effect of specific bioactive collagen peptides on function and muscle remodeling during human resistance training. PMID 36433662</w:t>
      </w:r>
    </w:p>
    <w:p>
      <w:pPr>
        <w:numPr>
          <w:ilvl w:val="0"/>
          <w:numId w:val="1421"/>
        </w:numPr>
        <w:pStyle w:val="Compact"/>
      </w:pPr>
      <w:r>
        <w:t xml:space="preserve">2023 · Taylor G ·</w:t>
      </w:r>
      <w:r>
        <w:t xml:space="preserve"> </w:t>
      </w:r>
      <w:r>
        <w:rPr>
          <w:iCs/>
          <w:i/>
        </w:rPr>
        <w:t xml:space="preserve">Eur J Nutr</w:t>
      </w:r>
      <w:r>
        <w:t xml:space="preserve"> </w:t>
      </w:r>
      <w:r>
        <w:t xml:space="preserve">· The effects of collagen peptides on exercise-induced gastrointestinal stress: a randomized, controlled trial. PMID 36370176</w:t>
      </w:r>
    </w:p>
    <w:p>
      <w:pPr>
        <w:numPr>
          <w:ilvl w:val="0"/>
          <w:numId w:val="1421"/>
        </w:numPr>
        <w:pStyle w:val="Compact"/>
      </w:pPr>
      <w:r>
        <w:t xml:space="preserve">2022 · Kim J ·</w:t>
      </w:r>
      <w:r>
        <w:t xml:space="preserve"> </w:t>
      </w:r>
      <w:r>
        <w:rPr>
          <w:iCs/>
          <w:i/>
        </w:rPr>
        <w:t xml:space="preserve">J Med Food</w:t>
      </w:r>
      <w:r>
        <w:t xml:space="preserve"> </w:t>
      </w:r>
      <w:r>
        <w:t xml:space="preserve">· Oral Supplementation of Low-Molecular-Weight Collagen Peptides Reduces Skin Wrinkles and Improves Biophysical Properties of Skin: A Randomized, Double-Blinded, Placebo-Controlled Study. PMID 36516059</w:t>
      </w:r>
    </w:p>
    <w:p>
      <w:pPr>
        <w:numPr>
          <w:ilvl w:val="0"/>
          <w:numId w:val="1421"/>
        </w:numPr>
        <w:pStyle w:val="Compact"/>
      </w:pPr>
      <w:r>
        <w:t xml:space="preserve">2022 · Jockel-Schneider Y ·</w:t>
      </w:r>
      <w:r>
        <w:t xml:space="preserve"> </w:t>
      </w:r>
      <w:r>
        <w:rPr>
          <w:iCs/>
          <w:i/>
        </w:rPr>
        <w:t xml:space="preserve">Nutrients</w:t>
      </w:r>
      <w:r>
        <w:t xml:space="preserve"> </w:t>
      </w:r>
      <w:r>
        <w:t xml:space="preserve">· Impact of a Specific Collagen Peptide Food Supplement on Periodontal Inflammation in Aftercare Patients-A Randomised Controlled Trial. PMID 36364735</w:t>
      </w:r>
    </w:p>
    <w:p>
      <w:pPr>
        <w:numPr>
          <w:ilvl w:val="0"/>
          <w:numId w:val="1421"/>
        </w:numPr>
        <w:pStyle w:val="Compact"/>
      </w:pPr>
      <w:r>
        <w:t xml:space="preserve">2022 · Jerger S ·</w:t>
      </w:r>
      <w:r>
        <w:t xml:space="preserve"> </w:t>
      </w:r>
      <w:r>
        <w:rPr>
          <w:iCs/>
          <w:i/>
        </w:rPr>
        <w:t xml:space="preserve">Scand J Med Sci Sports</w:t>
      </w:r>
      <w:r>
        <w:t xml:space="preserve"> </w:t>
      </w:r>
      <w:r>
        <w:t xml:space="preserve">· Effects of specific collagen peptide supplementation combined with resistance training on Achilles tendon properties. PMID 35403756</w:t>
      </w:r>
    </w:p>
    <w:p>
      <w:pPr>
        <w:numPr>
          <w:ilvl w:val="0"/>
          <w:numId w:val="1421"/>
        </w:numPr>
        <w:pStyle w:val="Compact"/>
      </w:pPr>
      <w:r>
        <w:t xml:space="preserve">2022 · Jacinto JL ·</w:t>
      </w:r>
      <w:r>
        <w:t xml:space="preserve"> </w:t>
      </w:r>
      <w:r>
        <w:rPr>
          <w:iCs/>
          <w:i/>
        </w:rPr>
        <w:t xml:space="preserve">Int J Sport Nutr Exerc Metab</w:t>
      </w:r>
      <w:r>
        <w:t xml:space="preserve"> </w:t>
      </w:r>
      <w:r>
        <w:t xml:space="preserve">· Whey Protein Supplementation Is Superior to Leucine-Matched Collagen Peptides to Increase Muscle Thickness During a 10-Week Resistance Training Program in Untrained Young Adults. PMID 35042187</w:t>
      </w:r>
    </w:p>
    <w:p>
      <w:pPr>
        <w:numPr>
          <w:ilvl w:val="0"/>
          <w:numId w:val="1421"/>
        </w:numPr>
        <w:pStyle w:val="Compact"/>
      </w:pPr>
      <w:r>
        <w:t xml:space="preserve">2022 · Lampropoulou-Adamidou K ·</w:t>
      </w:r>
      <w:r>
        <w:t xml:space="preserve"> </w:t>
      </w:r>
      <w:r>
        <w:rPr>
          <w:iCs/>
          <w:i/>
        </w:rPr>
        <w:t xml:space="preserve">J Clin Densitom</w:t>
      </w:r>
      <w:r>
        <w:t xml:space="preserve"> </w:t>
      </w:r>
      <w:r>
        <w:t xml:space="preserve">· Effect of Calcium and Vitamin D Supplementation With and Without Collagen Peptides on Volumetric and Areal Bone Mineral Density, Bone Geometry and Bone Turnover in Postmenopausal Women With Osteopenia. PMID 34980546</w:t>
      </w:r>
    </w:p>
    <w:p>
      <w:pPr>
        <w:numPr>
          <w:ilvl w:val="0"/>
          <w:numId w:val="1421"/>
        </w:numPr>
        <w:pStyle w:val="Compact"/>
      </w:pPr>
      <w:r>
        <w:t xml:space="preserve">2022 · Farì G ·</w:t>
      </w:r>
      <w:r>
        <w:t xml:space="preserve"> </w:t>
      </w:r>
      <w:r>
        <w:rPr>
          <w:iCs/>
          <w:i/>
        </w:rPr>
        <w:t xml:space="preserve">Endocr Metab Immune Disord Drug Targets</w:t>
      </w:r>
      <w:r>
        <w:t xml:space="preserve"> </w:t>
      </w:r>
      <w:r>
        <w:t xml:space="preserve">· Collagen Peptides, in Association with Vitamin C, Sodium Hyaluronate, Manganese and Copper, as Part of the Rehabilitation Project in the Treatment of Chronic Low Back Pain. PMID 33568038</w:t>
      </w:r>
    </w:p>
    <w:p>
      <w:pPr>
        <w:numPr>
          <w:ilvl w:val="0"/>
          <w:numId w:val="1421"/>
        </w:numPr>
        <w:pStyle w:val="Compact"/>
      </w:pPr>
      <w:r>
        <w:t xml:space="preserve">2021 · Maia Campos PMBG ·</w:t>
      </w:r>
      <w:r>
        <w:t xml:space="preserve"> </w:t>
      </w:r>
      <w:r>
        <w:rPr>
          <w:iCs/>
          <w:i/>
        </w:rPr>
        <w:t xml:space="preserve">Molecules</w:t>
      </w:r>
      <w:r>
        <w:t xml:space="preserve"> </w:t>
      </w:r>
      <w:r>
        <w:t xml:space="preserve">· Oral Supplementation with Hydrolyzed Fish Cartilage Improves the Morphological and Structural Characteristics of the Skin: A Double-Blind, Placebo-Controlled Clinical Study. PMID 34443468</w:t>
      </w:r>
    </w:p>
    <w:p>
      <w:pPr>
        <w:numPr>
          <w:ilvl w:val="0"/>
          <w:numId w:val="1421"/>
        </w:numPr>
        <w:pStyle w:val="Compact"/>
      </w:pPr>
      <w:r>
        <w:t xml:space="preserve">2021 · Osawa Y ·</w:t>
      </w:r>
      <w:r>
        <w:t xml:space="preserve"> </w:t>
      </w:r>
      <w:r>
        <w:rPr>
          <w:iCs/>
          <w:i/>
        </w:rPr>
        <w:t xml:space="preserve">Sci Rep</w:t>
      </w:r>
      <w:r>
        <w:t xml:space="preserve"> </w:t>
      </w:r>
      <w:r>
        <w:t xml:space="preserve">· Monitoring urinary collagen metabolite changes following collagen peptide ingestion and physical activity using ELISA with anti active collagen oligopeptide antibody. PMID 34188133</w:t>
      </w:r>
    </w:p>
    <w:p>
      <w:pPr>
        <w:numPr>
          <w:ilvl w:val="0"/>
          <w:numId w:val="1421"/>
        </w:numPr>
        <w:pStyle w:val="Compact"/>
      </w:pPr>
      <w:r>
        <w:t xml:space="preserve">2021 · Zdzieblik D ·</w:t>
      </w:r>
      <w:r>
        <w:t xml:space="preserve"> </w:t>
      </w:r>
      <w:r>
        <w:rPr>
          <w:iCs/>
          <w:i/>
        </w:rPr>
        <w:t xml:space="preserve">Int J Environ Res Public Health</w:t>
      </w:r>
      <w:r>
        <w:t xml:space="preserve"> </w:t>
      </w:r>
      <w:r>
        <w:t xml:space="preserve">· The Influence of Specific Bioactive Collagen Peptides on Body Composition and Muscle Strength in Middle-Aged, Untrained Men: A Randomized Controlled Trial. PMID 33946565</w:t>
      </w:r>
    </w:p>
    <w:p>
      <w:pPr>
        <w:numPr>
          <w:ilvl w:val="0"/>
          <w:numId w:val="1421"/>
        </w:numPr>
        <w:pStyle w:val="Compact"/>
      </w:pPr>
      <w:r>
        <w:t xml:space="preserve">2021 · Miyanaga M ·</w:t>
      </w:r>
      <w:r>
        <w:t xml:space="preserve"> </w:t>
      </w:r>
      <w:r>
        <w:rPr>
          <w:iCs/>
          <w:i/>
        </w:rPr>
        <w:t xml:space="preserve">Skin Pharmacol Physiol</w:t>
      </w:r>
      <w:r>
        <w:t xml:space="preserve"> </w:t>
      </w:r>
      <w:r>
        <w:t xml:space="preserve">· Oral Supplementation of Collagen Peptides Improves Skin Hydration by Increasing the Natural Moisturizing Factor Content in the Stratum Corneum: A Randomized, Double-Blind, Placebo-Controlled Clinical Trial. PMID 33774639</w:t>
      </w:r>
    </w:p>
    <w:p>
      <w:pPr>
        <w:numPr>
          <w:ilvl w:val="0"/>
          <w:numId w:val="1421"/>
        </w:numPr>
        <w:pStyle w:val="Compact"/>
      </w:pPr>
      <w:r>
        <w:t xml:space="preserve">2021 · Wageh M ·</w:t>
      </w:r>
      <w:r>
        <w:t xml:space="preserve"> </w:t>
      </w:r>
      <w:r>
        <w:rPr>
          <w:iCs/>
          <w:i/>
        </w:rPr>
        <w:t xml:space="preserve">Med Sci Sports Exerc</w:t>
      </w:r>
      <w:r>
        <w:t xml:space="preserve"> </w:t>
      </w:r>
      <w:r>
        <w:t xml:space="preserve">· The Effect of a Multi-ingredient Supplement on Resistance Training-induced Adaptations. PMID 33756525</w:t>
      </w:r>
    </w:p>
    <w:p>
      <w:pPr>
        <w:numPr>
          <w:ilvl w:val="0"/>
          <w:numId w:val="1421"/>
        </w:numPr>
        <w:pStyle w:val="Compact"/>
      </w:pPr>
      <w:r>
        <w:t xml:space="preserve">2021 · Zdzieblik D ·</w:t>
      </w:r>
      <w:r>
        <w:t xml:space="preserve"> </w:t>
      </w:r>
      <w:r>
        <w:rPr>
          <w:iCs/>
          <w:i/>
        </w:rPr>
        <w:t xml:space="preserve">Nutrients</w:t>
      </w:r>
      <w:r>
        <w:t xml:space="preserve"> </w:t>
      </w:r>
      <w:r>
        <w:t xml:space="preserve">· The Influence of Specific Bioactive Collagen Peptides on Knee Joint Discomfort in Young Physically Active Adults: A Randomized Controlled Trial. PMID 33562729</w:t>
      </w:r>
    </w:p>
    <w:p>
      <w:pPr>
        <w:numPr>
          <w:ilvl w:val="0"/>
          <w:numId w:val="1421"/>
        </w:numPr>
        <w:pStyle w:val="Compact"/>
      </w:pPr>
      <w:r>
        <w:t xml:space="preserve">2021 · Brook MS ·</w:t>
      </w:r>
      <w:r>
        <w:t xml:space="preserve"> </w:t>
      </w:r>
      <w:r>
        <w:rPr>
          <w:iCs/>
          <w:i/>
        </w:rPr>
        <w:t xml:space="preserve">Clin Nutr</w:t>
      </w:r>
      <w:r>
        <w:t xml:space="preserve"> </w:t>
      </w:r>
      <w:r>
        <w:t xml:space="preserve">· A collagen hydrolysate/milk protein-blend stimulates muscle anabolism equivalently to an isoenergetic milk protein-blend containing a greater quantity of essential amino acids in older men. PMID 33487503</w:t>
      </w:r>
    </w:p>
    <w:p>
      <w:pPr>
        <w:numPr>
          <w:ilvl w:val="0"/>
          <w:numId w:val="1421"/>
        </w:numPr>
        <w:pStyle w:val="Compact"/>
      </w:pPr>
      <w:r>
        <w:t xml:space="preserve">2021 · Prowting JL ·</w:t>
      </w:r>
      <w:r>
        <w:t xml:space="preserve"> </w:t>
      </w:r>
      <w:r>
        <w:rPr>
          <w:iCs/>
          <w:i/>
        </w:rPr>
        <w:t xml:space="preserve">Int J Sport Nutr Exerc Metab</w:t>
      </w:r>
      <w:r>
        <w:t xml:space="preserve"> </w:t>
      </w:r>
      <w:r>
        <w:t xml:space="preserve">· Effects of Collagen Peptides on Recovery Following Eccentric Exercise in Resistance-Trained Males-A Pilot Study. PMID 33186897</w:t>
      </w:r>
    </w:p>
    <w:p>
      <w:pPr>
        <w:numPr>
          <w:ilvl w:val="0"/>
          <w:numId w:val="1421"/>
        </w:numPr>
        <w:pStyle w:val="Compact"/>
      </w:pPr>
      <w:r>
        <w:t xml:space="preserve">2021 · Sangsuwan W ·</w:t>
      </w:r>
      <w:r>
        <w:t xml:space="preserve"> </w:t>
      </w:r>
      <w:r>
        <w:rPr>
          <w:iCs/>
          <w:i/>
        </w:rPr>
        <w:t xml:space="preserve">J Dermatolog Treat</w:t>
      </w:r>
      <w:r>
        <w:t xml:space="preserve"> </w:t>
      </w:r>
      <w:r>
        <w:t xml:space="preserve">· Four-weeks daily intake of oral collagen hydrolysate results in improved skin elasticity, especially in sun-exposed areas: a randomized, double-blind, placebo-controlled trial. PMID 32009486</w:t>
      </w:r>
    </w:p>
    <w:p>
      <w:pPr>
        <w:numPr>
          <w:ilvl w:val="0"/>
          <w:numId w:val="1421"/>
        </w:numPr>
        <w:pStyle w:val="Compact"/>
      </w:pPr>
      <w:r>
        <w:t xml:space="preserve">2020 · MacInnis MJ ·</w:t>
      </w:r>
      <w:r>
        <w:t xml:space="preserve"> </w:t>
      </w:r>
      <w:r>
        <w:rPr>
          <w:iCs/>
          <w:i/>
        </w:rPr>
        <w:t xml:space="preserve">Int J Sport Nutr Exerc Metab</w:t>
      </w:r>
      <w:r>
        <w:t xml:space="preserve"> </w:t>
      </w:r>
      <w:r>
        <w:t xml:space="preserve">· Presleep α-Lactalbumin Consumption Does Not Improve Sleep Quality or Time-Trial Performance in Cyclists. PMID 32698123</w:t>
      </w:r>
    </w:p>
    <w:p>
      <w:pPr>
        <w:numPr>
          <w:ilvl w:val="0"/>
          <w:numId w:val="1421"/>
        </w:numPr>
        <w:pStyle w:val="Compact"/>
      </w:pPr>
      <w:r>
        <w:t xml:space="preserve">2020 · Nomoto T ·</w:t>
      </w:r>
      <w:r>
        <w:t xml:space="preserve"> </w:t>
      </w:r>
      <w:r>
        <w:rPr>
          <w:iCs/>
          <w:i/>
        </w:rPr>
        <w:t xml:space="preserve">Adv Skin Wound Care</w:t>
      </w:r>
      <w:r>
        <w:t xml:space="preserve"> </w:t>
      </w:r>
      <w:r>
        <w:t xml:space="preserve">· Effect of an Oral Nutrition Supplement Containing Collagen Peptides on Stratum Corneum Hydration and Skin Elasticity in Hospitalized Older Adults: A Multicenter Open-label Randomized Controlled Study. PMID 32195722</w:t>
      </w:r>
    </w:p>
    <w:p>
      <w:pPr>
        <w:numPr>
          <w:ilvl w:val="0"/>
          <w:numId w:val="1421"/>
        </w:numPr>
        <w:pStyle w:val="Compact"/>
      </w:pPr>
      <w:r>
        <w:t xml:space="preserve">2020 · Argyrou C ·</w:t>
      </w:r>
      <w:r>
        <w:t xml:space="preserve"> </w:t>
      </w:r>
      <w:r>
        <w:rPr>
          <w:iCs/>
          <w:i/>
        </w:rPr>
        <w:t xml:space="preserve">J Musculoskelet Neuronal Interact</w:t>
      </w:r>
      <w:r>
        <w:t xml:space="preserve"> </w:t>
      </w:r>
      <w:r>
        <w:t xml:space="preserve">· Effect of calcium and vitamin D supplementation with and without collagen peptides on bone turnover in postmenopausal women with osteopenia. PMID 32131366</w:t>
      </w:r>
    </w:p>
    <w:p>
      <w:pPr>
        <w:numPr>
          <w:ilvl w:val="0"/>
          <w:numId w:val="1421"/>
        </w:numPr>
        <w:pStyle w:val="Compact"/>
      </w:pPr>
      <w:r>
        <w:t xml:space="preserve">2020 · Žmitek K ·</w:t>
      </w:r>
      <w:r>
        <w:t xml:space="preserve"> </w:t>
      </w:r>
      <w:r>
        <w:rPr>
          <w:iCs/>
          <w:i/>
        </w:rPr>
        <w:t xml:space="preserve">Nutrients</w:t>
      </w:r>
      <w:r>
        <w:t xml:space="preserve"> </w:t>
      </w:r>
      <w:r>
        <w:t xml:space="preserve">· Effects of a Combination of Water-Soluble CoenzymeQ10 and Collagen on Skin Parameters and Condition:Results of a Randomised, Placebo-Controlled,Double-Blind Study. PMID 32120787</w:t>
      </w:r>
    </w:p>
    <w:p>
      <w:pPr>
        <w:numPr>
          <w:ilvl w:val="0"/>
          <w:numId w:val="1421"/>
        </w:numPr>
        <w:pStyle w:val="Compact"/>
      </w:pPr>
      <w:r>
        <w:t xml:space="preserve">2020 · Laing S ·</w:t>
      </w:r>
      <w:r>
        <w:t xml:space="preserve"> </w:t>
      </w:r>
      <w:r>
        <w:rPr>
          <w:iCs/>
          <w:i/>
        </w:rPr>
        <w:t xml:space="preserve">J Med Food</w:t>
      </w:r>
      <w:r>
        <w:t xml:space="preserve"> </w:t>
      </w:r>
      <w:r>
        <w:t xml:space="preserve">· A Dermonutrient Containing Special Collagen Peptides Improves Skin Structure and Function: A Randomized, Placebo-Controlled, Triple-Blind Trial Using Confocal Laser Scanning Microscopy on the Cosmetic Effects and Tolerance of a Drinkable Collagen Supplement. PMID 32017646</w:t>
      </w:r>
    </w:p>
    <w:p>
      <w:pPr>
        <w:numPr>
          <w:ilvl w:val="0"/>
          <w:numId w:val="1421"/>
        </w:numPr>
        <w:pStyle w:val="Compact"/>
      </w:pPr>
      <w:r>
        <w:t xml:space="preserve">2020 · Bongers CCWG ·</w:t>
      </w:r>
      <w:r>
        <w:t xml:space="preserve"> </w:t>
      </w:r>
      <w:r>
        <w:rPr>
          <w:iCs/>
          <w:i/>
        </w:rPr>
        <w:t xml:space="preserve">Appl Physiol Nutr Metab</w:t>
      </w:r>
      <w:r>
        <w:t xml:space="preserve"> </w:t>
      </w:r>
      <w:r>
        <w:t xml:space="preserve">· Effectiveness of collagen supplementation on pain scores in healthy individuals with self-reported knee pain: a randomized controlled trial. PMID 31990581</w:t>
      </w:r>
    </w:p>
    <w:p>
      <w:pPr>
        <w:numPr>
          <w:ilvl w:val="0"/>
          <w:numId w:val="1421"/>
        </w:numPr>
        <w:pStyle w:val="Compact"/>
      </w:pPr>
      <w:r>
        <w:t xml:space="preserve">2020 · Oikawa SY ·</w:t>
      </w:r>
      <w:r>
        <w:t xml:space="preserve"> </w:t>
      </w:r>
      <w:r>
        <w:rPr>
          <w:iCs/>
          <w:i/>
        </w:rPr>
        <w:t xml:space="preserve">Am J Clin Nutr</w:t>
      </w:r>
      <w:r>
        <w:t xml:space="preserve"> </w:t>
      </w:r>
      <w:r>
        <w:t xml:space="preserve">· Whey protein but not collagen peptides stimulate acute and longer-term muscle protein synthesis with and without resistance exercise in healthy older women: a randomized controlled trial. PMID 31919527</w:t>
      </w:r>
    </w:p>
    <w:p>
      <w:pPr>
        <w:numPr>
          <w:ilvl w:val="0"/>
          <w:numId w:val="1421"/>
        </w:numPr>
        <w:pStyle w:val="Compact"/>
      </w:pPr>
      <w:r>
        <w:t xml:space="preserve">2019 · Bolke L ·</w:t>
      </w:r>
      <w:r>
        <w:t xml:space="preserve"> </w:t>
      </w:r>
      <w:r>
        <w:rPr>
          <w:iCs/>
          <w:i/>
        </w:rPr>
        <w:t xml:space="preserve">Nutrients</w:t>
      </w:r>
      <w:r>
        <w:t xml:space="preserve"> </w:t>
      </w:r>
      <w:r>
        <w:t xml:space="preserve">· A Collagen Supplement Improves Skin Hydration, Elasticity, Roughness, and Density: Results of a Randomized, Placebo-Controlled, Blind Study. PMID 31627309</w:t>
      </w:r>
    </w:p>
    <w:p>
      <w:pPr>
        <w:numPr>
          <w:ilvl w:val="0"/>
          <w:numId w:val="1421"/>
        </w:numPr>
        <w:pStyle w:val="Compact"/>
      </w:pPr>
      <w:r>
        <w:t xml:space="preserve">2019 · Centner C ·</w:t>
      </w:r>
      <w:r>
        <w:t xml:space="preserve"> </w:t>
      </w:r>
      <w:r>
        <w:rPr>
          <w:iCs/>
          <w:i/>
        </w:rPr>
        <w:t xml:space="preserve">J Sports Sci Med</w:t>
      </w:r>
      <w:r>
        <w:t xml:space="preserve"> </w:t>
      </w:r>
      <w:r>
        <w:t xml:space="preserve">· Effects of Blood Flow Restriction Training with Protein Supplementation on Muscle Mass And Strength in Older Men. PMID 31427869</w:t>
      </w:r>
    </w:p>
    <w:p>
      <w:pPr>
        <w:numPr>
          <w:ilvl w:val="0"/>
          <w:numId w:val="1421"/>
        </w:numPr>
        <w:pStyle w:val="Compact"/>
      </w:pPr>
      <w:r>
        <w:t xml:space="preserve">2019 · Kirmse M ·</w:t>
      </w:r>
      <w:r>
        <w:t xml:space="preserve"> </w:t>
      </w:r>
      <w:r>
        <w:rPr>
          <w:iCs/>
          <w:i/>
        </w:rPr>
        <w:t xml:space="preserve">Nutrients</w:t>
      </w:r>
      <w:r>
        <w:t xml:space="preserve"> </w:t>
      </w:r>
      <w:r>
        <w:t xml:space="preserve">· Prolonged Collagen Peptide Supplementation and Resistance Exercise Training Affects Body Composition in Recreationally Active Men. PMID 31126103</w:t>
      </w:r>
    </w:p>
    <w:p>
      <w:pPr>
        <w:numPr>
          <w:ilvl w:val="0"/>
          <w:numId w:val="1421"/>
        </w:numPr>
        <w:pStyle w:val="Compact"/>
      </w:pPr>
      <w:r>
        <w:t xml:space="preserve">2019 · Oertzen-Hagemann V ·</w:t>
      </w:r>
      <w:r>
        <w:t xml:space="preserve"> </w:t>
      </w:r>
      <w:r>
        <w:rPr>
          <w:iCs/>
          <w:i/>
        </w:rPr>
        <w:t xml:space="preserve">Nutrients</w:t>
      </w:r>
      <w:r>
        <w:t xml:space="preserve"> </w:t>
      </w:r>
      <w:r>
        <w:t xml:space="preserve">· Effects of 12 Weeks of Hypertrophy Resistance Exercise Training Combined with Collagen Peptide Supplementation on the Skeletal Muscle Proteome in Recreationally Active Men. PMID 31091754</w:t>
      </w:r>
    </w:p>
    <w:p>
      <w:pPr>
        <w:numPr>
          <w:ilvl w:val="0"/>
          <w:numId w:val="1421"/>
        </w:numPr>
        <w:pStyle w:val="Compact"/>
      </w:pPr>
      <w:r>
        <w:t xml:space="preserve">2019 · Skov K ·</w:t>
      </w:r>
      <w:r>
        <w:t xml:space="preserve"> </w:t>
      </w:r>
      <w:r>
        <w:rPr>
          <w:iCs/>
          <w:i/>
        </w:rPr>
        <w:t xml:space="preserve">Nutrients</w:t>
      </w:r>
      <w:r>
        <w:t xml:space="preserve"> </w:t>
      </w:r>
      <w:r>
        <w:t xml:space="preserve">· Enzymatic Hydrolysis of a Collagen Hydrolysate Enhances Postprandial Absorption Rate-A Randomized Controlled Trial. PMID 31086034</w:t>
      </w:r>
    </w:p>
    <w:p>
      <w:pPr>
        <w:numPr>
          <w:ilvl w:val="0"/>
          <w:numId w:val="1421"/>
        </w:numPr>
        <w:pStyle w:val="Compact"/>
      </w:pPr>
      <w:r>
        <w:t xml:space="preserve">2019 · Jendricke P ·</w:t>
      </w:r>
      <w:r>
        <w:t xml:space="preserve"> </w:t>
      </w:r>
      <w:r>
        <w:rPr>
          <w:iCs/>
          <w:i/>
        </w:rPr>
        <w:t xml:space="preserve">Nutrients</w:t>
      </w:r>
      <w:r>
        <w:t xml:space="preserve"> </w:t>
      </w:r>
      <w:r>
        <w:t xml:space="preserve">· Specific Collagen Peptides in Combination with Resistance Training Improve Body Composition and Regional Muscle Strength in Premenopausal Women: A Randomized Controlled Trial. PMID 31010031</w:t>
      </w:r>
    </w:p>
    <w:p>
      <w:pPr>
        <w:numPr>
          <w:ilvl w:val="0"/>
          <w:numId w:val="1421"/>
        </w:numPr>
        <w:pStyle w:val="Compact"/>
      </w:pPr>
      <w:r>
        <w:t xml:space="preserve">2019 · Tak YJ ·</w:t>
      </w:r>
      <w:r>
        <w:t xml:space="preserve"> </w:t>
      </w:r>
      <w:r>
        <w:rPr>
          <w:iCs/>
          <w:i/>
        </w:rPr>
        <w:t xml:space="preserve">Mar Drugs</w:t>
      </w:r>
      <w:r>
        <w:t xml:space="preserve"> </w:t>
      </w:r>
      <w:r>
        <w:t xml:space="preserve">· Effect of Oral Ingestion of Low-Molecular Collagen Peptides Derived from Skate (Raja Kenojei) Skin on Body Fat in Overweight Adults: A Randomized, Double-Blind, Placebo-Controlled Trial. PMID 30866485</w:t>
      </w:r>
    </w:p>
    <w:p>
      <w:pPr>
        <w:numPr>
          <w:ilvl w:val="0"/>
          <w:numId w:val="1421"/>
        </w:numPr>
        <w:pStyle w:val="Compact"/>
      </w:pPr>
      <w:r>
        <w:t xml:space="preserve">2019 · Asai T ·</w:t>
      </w:r>
      <w:r>
        <w:t xml:space="preserve"> </w:t>
      </w:r>
      <w:r>
        <w:rPr>
          <w:iCs/>
          <w:i/>
        </w:rPr>
        <w:t xml:space="preserve">J Agric Food Chem</w:t>
      </w:r>
      <w:r>
        <w:t xml:space="preserve"> </w:t>
      </w:r>
      <w:r>
        <w:t xml:space="preserve">· Amount of Collagen in the Meat Contained in Japanese Daily Dishes and the Collagen Peptide Content in Human Blood after Ingestion of Cooked Fish Meat. PMID 30784272</w:t>
      </w:r>
    </w:p>
    <w:p>
      <w:pPr>
        <w:numPr>
          <w:ilvl w:val="0"/>
          <w:numId w:val="1421"/>
        </w:numPr>
        <w:pStyle w:val="Compact"/>
      </w:pPr>
      <w:r>
        <w:t xml:space="preserve">2019 · Clifford T ·</w:t>
      </w:r>
      <w:r>
        <w:t xml:space="preserve"> </w:t>
      </w:r>
      <w:r>
        <w:rPr>
          <w:iCs/>
          <w:i/>
        </w:rPr>
        <w:t xml:space="preserve">Amino Acids</w:t>
      </w:r>
      <w:r>
        <w:t xml:space="preserve"> </w:t>
      </w:r>
      <w:r>
        <w:t xml:space="preserve">· The effects of collagen peptides on muscle damage, inflammation and bone turnover following exercise: a randomized, controlled trial. PMID 30783776</w:t>
      </w:r>
    </w:p>
    <w:p>
      <w:pPr>
        <w:numPr>
          <w:ilvl w:val="0"/>
          <w:numId w:val="1421"/>
        </w:numPr>
        <w:pStyle w:val="Compact"/>
      </w:pPr>
      <w:r>
        <w:t xml:space="preserve">2019 · Praet SFE ·</w:t>
      </w:r>
      <w:r>
        <w:t xml:space="preserve"> </w:t>
      </w:r>
      <w:r>
        <w:rPr>
          <w:iCs/>
          <w:i/>
        </w:rPr>
        <w:t xml:space="preserve">Nutrients</w:t>
      </w:r>
      <w:r>
        <w:t xml:space="preserve"> </w:t>
      </w:r>
      <w:r>
        <w:t xml:space="preserve">· Oral Supplementation of Specific Collagen Peptides Combined with Calf-Strengthening Exercises Enhances Function and Reduces Pain in Achilles Tendinopathy Patients. PMID 30609761</w:t>
      </w:r>
    </w:p>
    <w:p>
      <w:pPr>
        <w:numPr>
          <w:ilvl w:val="0"/>
          <w:numId w:val="1421"/>
        </w:numPr>
        <w:pStyle w:val="Compact"/>
      </w:pPr>
      <w:r>
        <w:t xml:space="preserve">2018 · Ito N ·</w:t>
      </w:r>
      <w:r>
        <w:t xml:space="preserve"> </w:t>
      </w:r>
      <w:r>
        <w:rPr>
          <w:iCs/>
          <w:i/>
        </w:rPr>
        <w:t xml:space="preserve">Mar Drugs</w:t>
      </w:r>
      <w:r>
        <w:t xml:space="preserve"> </w:t>
      </w:r>
      <w:r>
        <w:t xml:space="preserve">· Effects of Composite Supplement Containing Collagen Peptide and Ornithine on Skin Conditions and Plasma IGF-1 Levels-A Randomized, Double-Blind, Placebo-Controlled Trial. PMID 30513923</w:t>
      </w:r>
    </w:p>
    <w:p>
      <w:pPr>
        <w:numPr>
          <w:ilvl w:val="0"/>
          <w:numId w:val="1421"/>
        </w:numPr>
        <w:pStyle w:val="Compact"/>
      </w:pPr>
      <w:r>
        <w:t xml:space="preserve">2018 · Oikawa SY ·</w:t>
      </w:r>
      <w:r>
        <w:t xml:space="preserve"> </w:t>
      </w:r>
      <w:r>
        <w:rPr>
          <w:iCs/>
          <w:i/>
        </w:rPr>
        <w:t xml:space="preserve">Am J Clin Nutr</w:t>
      </w:r>
      <w:r>
        <w:t xml:space="preserve"> </w:t>
      </w:r>
      <w:r>
        <w:t xml:space="preserve">· A randomized controlled trial of the impact of protein supplementation on leg lean mass and integrated muscle protein synthesis during inactivity and energy restriction in older persons. PMID 30289425</w:t>
      </w:r>
    </w:p>
    <w:p>
      <w:pPr>
        <w:numPr>
          <w:ilvl w:val="0"/>
          <w:numId w:val="1421"/>
        </w:numPr>
        <w:pStyle w:val="Compact"/>
      </w:pPr>
      <w:r>
        <w:t xml:space="preserve">2018 · Shigemura Y ·</w:t>
      </w:r>
      <w:r>
        <w:t xml:space="preserve"> </w:t>
      </w:r>
      <w:r>
        <w:rPr>
          <w:iCs/>
          <w:i/>
        </w:rPr>
        <w:t xml:space="preserve">Nutrients</w:t>
      </w:r>
      <w:r>
        <w:t xml:space="preserve"> </w:t>
      </w:r>
      <w:r>
        <w:t xml:space="preserve">· A Pilot Study for the Detection of Cyclic Prolyl-Hydroxyproline (Pro-Hyp) in Human Blood after Ingestion of Collagen Hydrolysate. PMID 30248982</w:t>
      </w:r>
    </w:p>
    <w:p>
      <w:pPr>
        <w:numPr>
          <w:ilvl w:val="0"/>
          <w:numId w:val="1421"/>
        </w:numPr>
        <w:pStyle w:val="Compact"/>
      </w:pPr>
      <w:r>
        <w:t xml:space="preserve">2018 · Czajka A ·</w:t>
      </w:r>
      <w:r>
        <w:t xml:space="preserve"> </w:t>
      </w:r>
      <w:r>
        <w:rPr>
          <w:iCs/>
          <w:i/>
        </w:rPr>
        <w:t xml:space="preserve">Nutr Res</w:t>
      </w:r>
      <w:r>
        <w:t xml:space="preserve"> </w:t>
      </w:r>
      <w:r>
        <w:t xml:space="preserve">· Daily oral supplementation with collagen peptides combined with vitamins and other bioactive compounds improves skin elasticity and has a beneficial effect on joint and general wellbeing. PMID 30122200</w:t>
      </w:r>
    </w:p>
    <w:p>
      <w:pPr>
        <w:numPr>
          <w:ilvl w:val="0"/>
          <w:numId w:val="1421"/>
        </w:numPr>
        <w:pStyle w:val="Compact"/>
      </w:pPr>
      <w:r>
        <w:t xml:space="preserve">2018 · Sugihara F ·</w:t>
      </w:r>
      <w:r>
        <w:t xml:space="preserve"> </w:t>
      </w:r>
      <w:r>
        <w:rPr>
          <w:iCs/>
          <w:i/>
        </w:rPr>
        <w:t xml:space="preserve">Sci Rep</w:t>
      </w:r>
      <w:r>
        <w:t xml:space="preserve"> </w:t>
      </w:r>
      <w:r>
        <w:t xml:space="preserve">· Ingestion of bioactive collagen hydrolysates enhanced pressure ulcer healing in a randomized double-blind placebo-controlled clinical study. PMID 30061579</w:t>
      </w:r>
    </w:p>
    <w:p>
      <w:pPr>
        <w:numPr>
          <w:ilvl w:val="0"/>
          <w:numId w:val="1421"/>
        </w:numPr>
        <w:pStyle w:val="Compact"/>
      </w:pPr>
      <w:r>
        <w:t xml:space="preserve">2018 · Kim DU ·</w:t>
      </w:r>
      <w:r>
        <w:t xml:space="preserve"> </w:t>
      </w:r>
      <w:r>
        <w:rPr>
          <w:iCs/>
          <w:i/>
        </w:rPr>
        <w:t xml:space="preserve">Nutrients</w:t>
      </w:r>
      <w:r>
        <w:t xml:space="preserve"> </w:t>
      </w:r>
      <w:r>
        <w:t xml:space="preserve">· Oral Intake of Low-Molecular-Weight Collagen Peptide Improves Hydration, Elasticity, and Wrinkling in Human Skin: A Randomized, Double-Blind, Placebo-Controlled Study. PMID 29949889</w:t>
      </w:r>
    </w:p>
    <w:p>
      <w:pPr>
        <w:numPr>
          <w:ilvl w:val="0"/>
          <w:numId w:val="1421"/>
        </w:numPr>
        <w:pStyle w:val="Compact"/>
      </w:pPr>
      <w:r>
        <w:t xml:space="preserve">2018 · Dressler P ·</w:t>
      </w:r>
      <w:r>
        <w:t xml:space="preserve"> </w:t>
      </w:r>
      <w:r>
        <w:rPr>
          <w:iCs/>
          <w:i/>
        </w:rPr>
        <w:t xml:space="preserve">J Sports Sci Med</w:t>
      </w:r>
      <w:r>
        <w:t xml:space="preserve"> </w:t>
      </w:r>
      <w:r>
        <w:t xml:space="preserve">· Improvement of Functional Ankle Properties Following Supplementation with Specific Collagen Peptides in Athletes with Chronic Ankle Instability. PMID 29769831</w:t>
      </w:r>
    </w:p>
    <w:p>
      <w:pPr>
        <w:numPr>
          <w:ilvl w:val="0"/>
          <w:numId w:val="1421"/>
        </w:numPr>
        <w:pStyle w:val="Compact"/>
      </w:pPr>
      <w:r>
        <w:t xml:space="preserve">2018 · König D ·</w:t>
      </w:r>
      <w:r>
        <w:t xml:space="preserve"> </w:t>
      </w:r>
      <w:r>
        <w:rPr>
          <w:iCs/>
          <w:i/>
        </w:rPr>
        <w:t xml:space="preserve">Nutrients</w:t>
      </w:r>
      <w:r>
        <w:t xml:space="preserve"> </w:t>
      </w:r>
      <w:r>
        <w:t xml:space="preserve">· Specific Collagen Peptides Improve Bone Mineral Density and Bone Markers in Postmenopausal Women-A Randomized Controlled Study. PMID 29337906</w:t>
      </w:r>
    </w:p>
    <w:p>
      <w:pPr>
        <w:numPr>
          <w:ilvl w:val="0"/>
          <w:numId w:val="1421"/>
        </w:numPr>
        <w:pStyle w:val="Compact"/>
      </w:pPr>
      <w:r>
        <w:t xml:space="preserve">2017 · Hakuta A ·</w:t>
      </w:r>
      <w:r>
        <w:t xml:space="preserve"> </w:t>
      </w:r>
      <w:r>
        <w:rPr>
          <w:iCs/>
          <w:i/>
        </w:rPr>
        <w:t xml:space="preserve">J Dermatol Sci</w:t>
      </w:r>
      <w:r>
        <w:t xml:space="preserve"> </w:t>
      </w:r>
      <w:r>
        <w:t xml:space="preserve">· Anti-inflammatory effect of collagen tripeptide in atopic dermatitis. PMID 29017796</w:t>
      </w:r>
    </w:p>
    <w:p>
      <w:pPr>
        <w:numPr>
          <w:ilvl w:val="0"/>
          <w:numId w:val="1421"/>
        </w:numPr>
        <w:pStyle w:val="Compact"/>
      </w:pPr>
      <w:r>
        <w:t xml:space="preserve">2017 · Hexsel D ·</w:t>
      </w:r>
      <w:r>
        <w:t xml:space="preserve"> </w:t>
      </w:r>
      <w:r>
        <w:rPr>
          <w:iCs/>
          <w:i/>
        </w:rPr>
        <w:t xml:space="preserve">J Cosmet Dermatol</w:t>
      </w:r>
      <w:r>
        <w:t xml:space="preserve"> </w:t>
      </w:r>
      <w:r>
        <w:t xml:space="preserve">· Oral supplementation with specific bioactive collagen peptides improves nail growth and reduces symptoms of brittle nails. PMID 28786550</w:t>
      </w:r>
    </w:p>
    <w:p>
      <w:pPr>
        <w:numPr>
          <w:ilvl w:val="0"/>
          <w:numId w:val="1421"/>
        </w:numPr>
        <w:pStyle w:val="Compact"/>
      </w:pPr>
      <w:r>
        <w:t xml:space="preserve">2017 · Genovese L ·</w:t>
      </w:r>
      <w:r>
        <w:t xml:space="preserve"> </w:t>
      </w:r>
      <w:r>
        <w:rPr>
          <w:iCs/>
          <w:i/>
        </w:rPr>
        <w:t xml:space="preserve">Skin Pharmacol Physiol</w:t>
      </w:r>
      <w:r>
        <w:t xml:space="preserve"> </w:t>
      </w:r>
      <w:r>
        <w:t xml:space="preserve">· An Insight into the Changes in Skin Texture and Properties following Dietary Intervention with a Nutricosmeceutical Containing a Blend of Collagen Bioactive Peptides and Antioxidants. PMID 28528342</w:t>
      </w:r>
    </w:p>
    <w:p>
      <w:pPr>
        <w:numPr>
          <w:ilvl w:val="0"/>
          <w:numId w:val="1421"/>
        </w:numPr>
        <w:pStyle w:val="Compact"/>
      </w:pPr>
      <w:r>
        <w:t xml:space="preserve">2017 · Zdzieblik D ·</w:t>
      </w:r>
      <w:r>
        <w:t xml:space="preserve"> </w:t>
      </w:r>
      <w:r>
        <w:rPr>
          <w:iCs/>
          <w:i/>
        </w:rPr>
        <w:t xml:space="preserve">Appl Physiol Nutr Metab</w:t>
      </w:r>
      <w:r>
        <w:t xml:space="preserve"> </w:t>
      </w:r>
      <w:r>
        <w:t xml:space="preserve">· Improvement of activity-related knee joint discomfort following supplementation of specific collagen peptides. PMID 28177710</w:t>
      </w:r>
    </w:p>
    <w:p>
      <w:pPr>
        <w:numPr>
          <w:ilvl w:val="0"/>
          <w:numId w:val="1421"/>
        </w:numPr>
        <w:pStyle w:val="Compact"/>
      </w:pPr>
      <w:r>
        <w:t xml:space="preserve">2016 · Yamamoto S ·</w:t>
      </w:r>
      <w:r>
        <w:t xml:space="preserve"> </w:t>
      </w:r>
      <w:r>
        <w:rPr>
          <w:iCs/>
          <w:i/>
        </w:rPr>
        <w:t xml:space="preserve">Biol Pharm Bull</w:t>
      </w:r>
      <w:r>
        <w:t xml:space="preserve"> </w:t>
      </w:r>
      <w:r>
        <w:t xml:space="preserve">· Absorption and Urinary Excretion of Peptides after Collagen Tripeptide Ingestion in Humans. PMID 26934933</w:t>
      </w:r>
    </w:p>
    <w:p>
      <w:pPr>
        <w:numPr>
          <w:ilvl w:val="0"/>
          <w:numId w:val="1421"/>
        </w:numPr>
        <w:pStyle w:val="Compact"/>
      </w:pPr>
      <w:r>
        <w:t xml:space="preserve">2016 · De Luca C ·</w:t>
      </w:r>
      <w:r>
        <w:t xml:space="preserve"> </w:t>
      </w:r>
      <w:r>
        <w:rPr>
          <w:iCs/>
          <w:i/>
        </w:rPr>
        <w:t xml:space="preserve">Oxid Med Cell Longev</w:t>
      </w:r>
      <w:r>
        <w:t xml:space="preserve"> </w:t>
      </w:r>
      <w:r>
        <w:t xml:space="preserve">· Skin Antiageing and Systemic Redox Effects of Supplementation with Marine Collagen Peptides and Plant-Derived Antioxidants: A Single-Blind Case-Control Clinical Study. PMID 26904164</w:t>
      </w:r>
    </w:p>
    <w:p>
      <w:pPr>
        <w:numPr>
          <w:ilvl w:val="0"/>
          <w:numId w:val="1421"/>
        </w:numPr>
        <w:pStyle w:val="Compact"/>
      </w:pPr>
      <w:r>
        <w:t xml:space="preserve">2016 · Inoue N ·</w:t>
      </w:r>
      <w:r>
        <w:t xml:space="preserve"> </w:t>
      </w:r>
      <w:r>
        <w:rPr>
          <w:iCs/>
          <w:i/>
        </w:rPr>
        <w:t xml:space="preserve">J Sci Food Agric</w:t>
      </w:r>
      <w:r>
        <w:t xml:space="preserve"> </w:t>
      </w:r>
      <w:r>
        <w:t xml:space="preserve">· Ingestion of bioactive collagen hydrolysates enhance facial skin moisture and elasticity and reduce facial ageing signs in a randomised double-blind placebo-controlled clinical study. PMID 26840887</w:t>
      </w:r>
    </w:p>
    <w:p>
      <w:pPr>
        <w:numPr>
          <w:ilvl w:val="0"/>
          <w:numId w:val="1421"/>
        </w:numPr>
        <w:pStyle w:val="Compact"/>
      </w:pPr>
      <w:r>
        <w:t xml:space="preserve">2016 · Stenbæk DS ·</w:t>
      </w:r>
      <w:r>
        <w:t xml:space="preserve"> </w:t>
      </w:r>
      <w:r>
        <w:rPr>
          <w:iCs/>
          <w:i/>
        </w:rPr>
        <w:t xml:space="preserve">Eur Neuropsychopharmacol</w:t>
      </w:r>
      <w:r>
        <w:t xml:space="preserve"> </w:t>
      </w:r>
      <w:r>
        <w:t xml:space="preserve">· Evaluation of acute tryptophan depletion and sham depletion with a gelatin-based collagen peptide protein mixture. PMID 26655163</w:t>
      </w:r>
    </w:p>
    <w:p>
      <w:pPr>
        <w:numPr>
          <w:ilvl w:val="0"/>
          <w:numId w:val="1421"/>
        </w:numPr>
        <w:pStyle w:val="Compact"/>
      </w:pPr>
      <w:r>
        <w:t xml:space="preserve">2015 · Kanzaki N ·</w:t>
      </w:r>
      <w:r>
        <w:t xml:space="preserve"> </w:t>
      </w:r>
      <w:r>
        <w:rPr>
          <w:iCs/>
          <w:i/>
        </w:rPr>
        <w:t xml:space="preserve">Clin Interv Aging</w:t>
      </w:r>
      <w:r>
        <w:t xml:space="preserve"> </w:t>
      </w:r>
      <w:r>
        <w:t xml:space="preserve">· Glucosamine-containing supplement improves locomotor functions in subjects with knee pain: a randomized, double-blind, placebo-controlled study. PMID 26604721</w:t>
      </w:r>
    </w:p>
    <w:p>
      <w:pPr>
        <w:numPr>
          <w:ilvl w:val="0"/>
          <w:numId w:val="1421"/>
        </w:numPr>
        <w:pStyle w:val="Compact"/>
      </w:pPr>
      <w:r>
        <w:t xml:space="preserve">2015 · Schunck M ·</w:t>
      </w:r>
      <w:r>
        <w:t xml:space="preserve"> </w:t>
      </w:r>
      <w:r>
        <w:rPr>
          <w:iCs/>
          <w:i/>
        </w:rPr>
        <w:t xml:space="preserve">J Med Food</w:t>
      </w:r>
      <w:r>
        <w:t xml:space="preserve"> </w:t>
      </w:r>
      <w:r>
        <w:t xml:space="preserve">· Dietary Supplementation with Specific Collagen Peptides Has a Body Mass Index-Dependent Beneficial Effect on Cellulite Morphology. PMID 26561784</w:t>
      </w:r>
    </w:p>
    <w:p>
      <w:pPr>
        <w:numPr>
          <w:ilvl w:val="0"/>
          <w:numId w:val="1421"/>
        </w:numPr>
        <w:pStyle w:val="Compact"/>
      </w:pPr>
      <w:r>
        <w:t xml:space="preserve">2015 · Asserin J ·</w:t>
      </w:r>
      <w:r>
        <w:t xml:space="preserve"> </w:t>
      </w:r>
      <w:r>
        <w:rPr>
          <w:iCs/>
          <w:i/>
        </w:rPr>
        <w:t xml:space="preserve">J Cosmet Dermatol</w:t>
      </w:r>
      <w:r>
        <w:t xml:space="preserve"> </w:t>
      </w:r>
      <w:r>
        <w:t xml:space="preserve">· The effect of oral collagen peptide supplementation on skin moisture and the dermal collagen network: evidence from an ex vivo model and randomized, placebo-controlled clinical trials. PMID 26362110</w:t>
      </w:r>
    </w:p>
    <w:p>
      <w:pPr>
        <w:numPr>
          <w:ilvl w:val="0"/>
          <w:numId w:val="1421"/>
        </w:numPr>
        <w:pStyle w:val="Compact"/>
      </w:pPr>
      <w:r>
        <w:t xml:space="preserve">2015 · Zdzieblik D ·</w:t>
      </w:r>
      <w:r>
        <w:t xml:space="preserve"> </w:t>
      </w:r>
      <w:r>
        <w:rPr>
          <w:iCs/>
          <w:i/>
        </w:rPr>
        <w:t xml:space="preserve">Br J Nutr</w:t>
      </w:r>
      <w:r>
        <w:t xml:space="preserve"> </w:t>
      </w:r>
      <w:r>
        <w:t xml:space="preserve">· Collagen peptide supplementation in combination with resistance training improves body composition and increases muscle strength in elderly sarcopenic men: a randomised controlled trial. PMID 26353786</w:t>
      </w:r>
    </w:p>
    <w:p>
      <w:pPr>
        <w:numPr>
          <w:ilvl w:val="0"/>
          <w:numId w:val="1421"/>
        </w:numPr>
        <w:pStyle w:val="Compact"/>
      </w:pPr>
      <w:r>
        <w:t xml:space="preserve">2015 · Elam ML ·</w:t>
      </w:r>
      <w:r>
        <w:t xml:space="preserve"> </w:t>
      </w:r>
      <w:r>
        <w:rPr>
          <w:iCs/>
          <w:i/>
        </w:rPr>
        <w:t xml:space="preserve">J Med Food</w:t>
      </w:r>
      <w:r>
        <w:t xml:space="preserve"> </w:t>
      </w:r>
      <w:r>
        <w:t xml:space="preserve">· A calcium-collagen chelate dietary supplement attenuates bone loss in postmenopausal women with osteopenia: a randomized controlled trial. PMID 25314004</w:t>
      </w:r>
    </w:p>
    <w:p>
      <w:pPr>
        <w:numPr>
          <w:ilvl w:val="0"/>
          <w:numId w:val="1421"/>
        </w:numPr>
        <w:pStyle w:val="Compact"/>
      </w:pPr>
      <w:r>
        <w:t xml:space="preserve">2015 · Kumar S ·</w:t>
      </w:r>
      <w:r>
        <w:t xml:space="preserve"> </w:t>
      </w:r>
      <w:r>
        <w:rPr>
          <w:iCs/>
          <w:i/>
        </w:rPr>
        <w:t xml:space="preserve">J Sci Food Agric</w:t>
      </w:r>
      <w:r>
        <w:t xml:space="preserve"> </w:t>
      </w:r>
      <w:r>
        <w:t xml:space="preserve">· A double-blind, placebo-controlled, randomised, clinical study on the effectiveness of collagen peptide on osteoarthritis. PMID 24852756</w:t>
      </w:r>
    </w:p>
    <w:p>
      <w:pPr>
        <w:numPr>
          <w:ilvl w:val="0"/>
          <w:numId w:val="1421"/>
        </w:numPr>
        <w:pStyle w:val="Compact"/>
      </w:pPr>
      <w:r>
        <w:t xml:space="preserve">2014 · Choi SY ·</w:t>
      </w:r>
      <w:r>
        <w:t xml:space="preserve"> </w:t>
      </w:r>
      <w:r>
        <w:rPr>
          <w:iCs/>
          <w:i/>
        </w:rPr>
        <w:t xml:space="preserve">Clin Exp Dermatol</w:t>
      </w:r>
      <w:r>
        <w:t xml:space="preserve"> </w:t>
      </w:r>
      <w:r>
        <w:t xml:space="preserve">· Effect of high advanced-collagen tripeptide on wound healing and skin recovery after fractional photothermolysis treatment. PMID 25283252</w:t>
      </w:r>
    </w:p>
    <w:p>
      <w:pPr>
        <w:numPr>
          <w:ilvl w:val="0"/>
          <w:numId w:val="1421"/>
        </w:numPr>
        <w:pStyle w:val="Compact"/>
      </w:pPr>
      <w:r>
        <w:t xml:space="preserve">2014 · Yoon HS ·</w:t>
      </w:r>
      <w:r>
        <w:t xml:space="preserve"> </w:t>
      </w:r>
      <w:r>
        <w:rPr>
          <w:iCs/>
          <w:i/>
        </w:rPr>
        <w:t xml:space="preserve">J Med Food</w:t>
      </w:r>
      <w:r>
        <w:t xml:space="preserve"> </w:t>
      </w:r>
      <w:r>
        <w:t xml:space="preserve">· Supplementating with dietary astaxanthin combined with collagen hydrolysate improves facial elasticity and decreases matrix metalloproteinase-1 and -12 expression: a comparative study with placebo. PMID 24955642</w:t>
      </w:r>
    </w:p>
    <w:p>
      <w:pPr>
        <w:numPr>
          <w:ilvl w:val="0"/>
          <w:numId w:val="1421"/>
        </w:numPr>
        <w:pStyle w:val="Compact"/>
      </w:pPr>
      <w:r>
        <w:t xml:space="preserve">2014 · Proksch E ·</w:t>
      </w:r>
      <w:r>
        <w:t xml:space="preserve"> </w:t>
      </w:r>
      <w:r>
        <w:rPr>
          <w:iCs/>
          <w:i/>
        </w:rPr>
        <w:t xml:space="preserve">Skin Pharmacol Physiol</w:t>
      </w:r>
      <w:r>
        <w:t xml:space="preserve"> </w:t>
      </w:r>
      <w:r>
        <w:t xml:space="preserve">· Oral intake of specific bioactive collagen peptides reduces skin wrinkles and increases dermal matrix synthesis. PMID 24401291</w:t>
      </w:r>
    </w:p>
    <w:p>
      <w:pPr>
        <w:numPr>
          <w:ilvl w:val="0"/>
          <w:numId w:val="1421"/>
        </w:numPr>
        <w:pStyle w:val="Compact"/>
      </w:pPr>
      <w:r>
        <w:t xml:space="preserve">2014 · Choi SY ·</w:t>
      </w:r>
      <w:r>
        <w:t xml:space="preserve"> </w:t>
      </w:r>
      <w:r>
        <w:rPr>
          <w:iCs/>
          <w:i/>
        </w:rPr>
        <w:t xml:space="preserve">J Cosmet Laser Ther</w:t>
      </w:r>
      <w:r>
        <w:t xml:space="preserve"> </w:t>
      </w:r>
      <w:r>
        <w:t xml:space="preserve">· Effects of collagen tripeptide supplement on skin properties: a prospective, randomized, controlled study. PMID 24131075</w:t>
      </w:r>
    </w:p>
    <w:p>
      <w:pPr>
        <w:numPr>
          <w:ilvl w:val="0"/>
          <w:numId w:val="1421"/>
        </w:numPr>
        <w:pStyle w:val="Compact"/>
      </w:pPr>
      <w:r>
        <w:t xml:space="preserve">2014 · Proksch E ·</w:t>
      </w:r>
      <w:r>
        <w:t xml:space="preserve"> </w:t>
      </w:r>
      <w:r>
        <w:rPr>
          <w:iCs/>
          <w:i/>
        </w:rPr>
        <w:t xml:space="preserve">Skin Pharmacol Physiol</w:t>
      </w:r>
      <w:r>
        <w:t xml:space="preserve"> </w:t>
      </w:r>
      <w:r>
        <w:t xml:space="preserve">· Oral supplementation of specific collagen peptides has beneficial effects on human skin physiology: a double-blind, placebo-controlled study. PMID 23949208</w:t>
      </w:r>
    </w:p>
    <w:p>
      <w:pPr>
        <w:numPr>
          <w:ilvl w:val="0"/>
          <w:numId w:val="1421"/>
        </w:numPr>
        <w:pStyle w:val="Compact"/>
      </w:pPr>
      <w:r>
        <w:t xml:space="preserve">2012 · Bruyère O ·</w:t>
      </w:r>
      <w:r>
        <w:t xml:space="preserve"> </w:t>
      </w:r>
      <w:r>
        <w:rPr>
          <w:iCs/>
          <w:i/>
        </w:rPr>
        <w:t xml:space="preserve">Complement Ther Med</w:t>
      </w:r>
      <w:r>
        <w:t xml:space="preserve"> </w:t>
      </w:r>
      <w:r>
        <w:t xml:space="preserve">· Effect of collagen hydrolysate in articular pain: a 6-month randomized, double-blind, placebo controlled study. PMID 22500661</w:t>
      </w:r>
    </w:p>
    <w:p>
      <w:pPr>
        <w:numPr>
          <w:ilvl w:val="0"/>
          <w:numId w:val="1421"/>
        </w:numPr>
        <w:pStyle w:val="Compact"/>
      </w:pPr>
      <w:r>
        <w:t xml:space="preserve">2010 · Zhu CF ·</w:t>
      </w:r>
      <w:r>
        <w:t xml:space="preserve"> </w:t>
      </w:r>
      <w:r>
        <w:rPr>
          <w:iCs/>
          <w:i/>
        </w:rPr>
        <w:t xml:space="preserve">Am J Med Sci</w:t>
      </w:r>
      <w:r>
        <w:t xml:space="preserve"> </w:t>
      </w:r>
      <w:r>
        <w:t xml:space="preserve">· Therapeutic effects of marine collagen peptides on Chinese patients with type 2 diabetes mellitus and primary hypertension. PMID 20739874</w:t>
      </w:r>
    </w:p>
    <w:p>
      <w:pPr>
        <w:numPr>
          <w:ilvl w:val="0"/>
          <w:numId w:val="1421"/>
        </w:numPr>
        <w:pStyle w:val="Compact"/>
      </w:pPr>
      <w:r>
        <w:t xml:space="preserve">2009 · Hays NP ·</w:t>
      </w:r>
      <w:r>
        <w:t xml:space="preserve"> </w:t>
      </w:r>
      <w:r>
        <w:rPr>
          <w:iCs/>
          <w:i/>
        </w:rPr>
        <w:t xml:space="preserve">J Am Diet Assoc</w:t>
      </w:r>
      <w:r>
        <w:t xml:space="preserve"> </w:t>
      </w:r>
      <w:r>
        <w:t xml:space="preserve">· Effects of whey and fortified collagen hydrolysate protein supplements on nitrogen balance and body composition in older women. PMID 19465192</w:t>
      </w:r>
    </w:p>
    <w:p>
      <w:pPr>
        <w:numPr>
          <w:ilvl w:val="0"/>
          <w:numId w:val="1421"/>
        </w:numPr>
        <w:pStyle w:val="Compact"/>
      </w:pPr>
      <w:r>
        <w:t xml:space="preserve">2008 · Clark KL ·</w:t>
      </w:r>
      <w:r>
        <w:t xml:space="preserve"> </w:t>
      </w:r>
      <w:r>
        <w:rPr>
          <w:iCs/>
          <w:i/>
        </w:rPr>
        <w:t xml:space="preserve">Curr Med Res Opin</w:t>
      </w:r>
      <w:r>
        <w:t xml:space="preserve"> </w:t>
      </w:r>
      <w:r>
        <w:t xml:space="preserve">· 24-Week study on the use of collagen hydrolysate as a dietary supplement in athletes with activity-related joint pain. PMID 18416885</w:t>
      </w:r>
    </w:p>
    <w:p>
      <w:pPr>
        <w:numPr>
          <w:ilvl w:val="0"/>
          <w:numId w:val="1421"/>
        </w:numPr>
        <w:pStyle w:val="Compact"/>
      </w:pPr>
      <w:r>
        <w:t xml:space="preserve">2001 · Peretz A ·</w:t>
      </w:r>
      <w:r>
        <w:t xml:space="preserve"> </w:t>
      </w:r>
      <w:r>
        <w:rPr>
          <w:iCs/>
          <w:i/>
        </w:rPr>
        <w:t xml:space="preserve">J Trace Elem Med Biol</w:t>
      </w:r>
      <w:r>
        <w:t xml:space="preserve"> </w:t>
      </w:r>
      <w:r>
        <w:t xml:space="preserve">· Zinc supplementation increases bone alkaline phosphatase in healthy men. PMID 11787985</w:t>
      </w:r>
    </w:p>
    <w:p>
      <w:pPr>
        <w:numPr>
          <w:ilvl w:val="0"/>
          <w:numId w:val="1421"/>
        </w:numPr>
        <w:pStyle w:val="Compact"/>
      </w:pPr>
      <w:r>
        <w:t xml:space="preserve">2000 · Moskowitz RW ·</w:t>
      </w:r>
      <w:r>
        <w:t xml:space="preserve"> </w:t>
      </w:r>
      <w:r>
        <w:rPr>
          <w:iCs/>
          <w:i/>
        </w:rPr>
        <w:t xml:space="preserve">Semin Arthritis Rheum</w:t>
      </w:r>
      <w:r>
        <w:t xml:space="preserve"> </w:t>
      </w:r>
      <w:r>
        <w:t xml:space="preserve">· Role of collagen hydrolysate in bone and joint disease. PMID 11071580</w:t>
      </w:r>
    </w:p>
    <w:p>
      <w:pPr>
        <w:numPr>
          <w:ilvl w:val="0"/>
          <w:numId w:val="1421"/>
        </w:numPr>
        <w:pStyle w:val="Compact"/>
      </w:pPr>
      <w:r>
        <w:t xml:space="preserve">1996 · Adam M ·</w:t>
      </w:r>
      <w:r>
        <w:t xml:space="preserve"> </w:t>
      </w:r>
      <w:r>
        <w:rPr>
          <w:iCs/>
          <w:i/>
        </w:rPr>
        <w:t xml:space="preserve">Cas Lek Cesk</w:t>
      </w:r>
      <w:r>
        <w:t xml:space="preserve"> </w:t>
      </w:r>
      <w:r>
        <w:t xml:space="preserve">· [Postmenopausal osteoporosis. Treatment with calcitonin and a diet rich in collagen proteins]. PMID 8625373</w:t>
      </w:r>
    </w:p>
    <w:bookmarkEnd w:id="3063"/>
    <w:bookmarkStart w:id="3064" w:name="lactotripeptídeos-vpp-e-ipp-21"/>
    <w:p>
      <w:pPr>
        <w:pStyle w:val="Heading2"/>
      </w:pPr>
      <w:r>
        <w:t xml:space="preserve">Lactotripeptídeos (VPP e IPP) (21)</w:t>
      </w:r>
    </w:p>
    <w:p>
      <w:pPr>
        <w:numPr>
          <w:ilvl w:val="0"/>
          <w:numId w:val="1422"/>
        </w:numPr>
        <w:pStyle w:val="Compact"/>
      </w:pPr>
      <w:r>
        <w:t xml:space="preserve">2023 · Yoshioka M ·</w:t>
      </w:r>
      <w:r>
        <w:t xml:space="preserve"> </w:t>
      </w:r>
      <w:r>
        <w:rPr>
          <w:iCs/>
          <w:i/>
        </w:rPr>
        <w:t xml:space="preserve">Sci Rep</w:t>
      </w:r>
      <w:r>
        <w:t xml:space="preserve"> </w:t>
      </w:r>
      <w:r>
        <w:t xml:space="preserve">· Effects of lactotripeptide ingestion and physical activity intervention on the fatigue status of middle-aged and older adults: a randomized controlled trial. PMID 37735182</w:t>
      </w:r>
    </w:p>
    <w:p>
      <w:pPr>
        <w:numPr>
          <w:ilvl w:val="0"/>
          <w:numId w:val="1422"/>
        </w:numPr>
        <w:pStyle w:val="Compact"/>
      </w:pPr>
      <w:r>
        <w:t xml:space="preserve">2019 · Hamasaki A ·</w:t>
      </w:r>
      <w:r>
        <w:t xml:space="preserve"> </w:t>
      </w:r>
      <w:r>
        <w:rPr>
          <w:iCs/>
          <w:i/>
        </w:rPr>
        <w:t xml:space="preserve">Am J Clin Nutr</w:t>
      </w:r>
      <w:r>
        <w:t xml:space="preserve"> </w:t>
      </w:r>
      <w:r>
        <w:t xml:space="preserve">· Combined effects of lactotripeptide and aerobic exercise on cognitive function and cerebral oxygenation in middle-aged and older adults. PMID 30624594</w:t>
      </w:r>
    </w:p>
    <w:p>
      <w:pPr>
        <w:numPr>
          <w:ilvl w:val="0"/>
          <w:numId w:val="1422"/>
        </w:numPr>
        <w:pStyle w:val="Compact"/>
      </w:pPr>
      <w:r>
        <w:t xml:space="preserve">2018 · Akazawa N ·</w:t>
      </w:r>
      <w:r>
        <w:t xml:space="preserve"> </w:t>
      </w:r>
      <w:r>
        <w:rPr>
          <w:iCs/>
          <w:i/>
        </w:rPr>
        <w:t xml:space="preserve">Nutr Res</w:t>
      </w:r>
      <w:r>
        <w:t xml:space="preserve"> </w:t>
      </w:r>
      <w:r>
        <w:t xml:space="preserve">· Lactotripeptide ingestion increases cerebral blood flow velocity in middle-aged and older adults. PMID 29703414</w:t>
      </w:r>
    </w:p>
    <w:p>
      <w:pPr>
        <w:numPr>
          <w:ilvl w:val="0"/>
          <w:numId w:val="1422"/>
        </w:numPr>
        <w:pStyle w:val="Compact"/>
      </w:pPr>
      <w:r>
        <w:t xml:space="preserve">2018 · Tagawa K ·</w:t>
      </w:r>
      <w:r>
        <w:t xml:space="preserve"> </w:t>
      </w:r>
      <w:r>
        <w:rPr>
          <w:iCs/>
          <w:i/>
        </w:rPr>
        <w:t xml:space="preserve">Am J Phys Med Rehabil</w:t>
      </w:r>
      <w:r>
        <w:t xml:space="preserve"> </w:t>
      </w:r>
      <w:r>
        <w:t xml:space="preserve">· Lactotripeptides Supplementations Alleviate the Decrease in Maximal Isometric Force After High-Intensity Eccentric Exercise: A Randomized, Placebo-Controlled, Double-Blind Clinical Trial. PMID 29189308</w:t>
      </w:r>
    </w:p>
    <w:p>
      <w:pPr>
        <w:numPr>
          <w:ilvl w:val="0"/>
          <w:numId w:val="1422"/>
        </w:numPr>
        <w:pStyle w:val="Compact"/>
      </w:pPr>
      <w:r>
        <w:t xml:space="preserve">2016 · Cicero AF ·</w:t>
      </w:r>
      <w:r>
        <w:t xml:space="preserve"> </w:t>
      </w:r>
      <w:r>
        <w:rPr>
          <w:iCs/>
          <w:i/>
        </w:rPr>
        <w:t xml:space="preserve">Metab Syndr Relat Disord</w:t>
      </w:r>
      <w:r>
        <w:t xml:space="preserve"> </w:t>
      </w:r>
      <w:r>
        <w:t xml:space="preserve">· Effect of Lactotripeptides (Isoleucine-Proline-Proline/Valine-Proline-Proline) on Blood Pressure and Arterial Stiffness Changes in Subjects with Suboptimal Blood Pressure Control and Metabolic Syndrome: A Double-Blind, Randomized, Crossover Clinical Trial. PMID 26683986</w:t>
      </w:r>
    </w:p>
    <w:p>
      <w:pPr>
        <w:numPr>
          <w:ilvl w:val="0"/>
          <w:numId w:val="1422"/>
        </w:numPr>
        <w:pStyle w:val="Compact"/>
      </w:pPr>
      <w:r>
        <w:t xml:space="preserve">2015 · Hautaniemi EJ ·</w:t>
      </w:r>
      <w:r>
        <w:t xml:space="preserve"> </w:t>
      </w:r>
      <w:r>
        <w:rPr>
          <w:iCs/>
          <w:i/>
        </w:rPr>
        <w:t xml:space="preserve">Br J Nutr</w:t>
      </w:r>
      <w:r>
        <w:t xml:space="preserve"> </w:t>
      </w:r>
      <w:r>
        <w:t xml:space="preserve">· Effect of fermented milk product containing lactotripeptides and plant sterol esters on haemodynamics in subjects with the metabolic syndrome–a randomised, double-blind, placebo-controlled study. PMID 26168857</w:t>
      </w:r>
    </w:p>
    <w:p>
      <w:pPr>
        <w:numPr>
          <w:ilvl w:val="0"/>
          <w:numId w:val="1422"/>
        </w:numPr>
        <w:pStyle w:val="Compact"/>
      </w:pPr>
      <w:r>
        <w:t xml:space="preserve">2012 · Jauhiainen T ·</w:t>
      </w:r>
      <w:r>
        <w:t xml:space="preserve"> </w:t>
      </w:r>
      <w:r>
        <w:rPr>
          <w:iCs/>
          <w:i/>
        </w:rPr>
        <w:t xml:space="preserve">Eur J Clin Nutr</w:t>
      </w:r>
      <w:r>
        <w:t xml:space="preserve"> </w:t>
      </w:r>
      <w:r>
        <w:t xml:space="preserve">· Effects of long-term intake of lactotripeptides on cardiovascular risk factors in hypertensive subjects. PMID 22617279</w:t>
      </w:r>
    </w:p>
    <w:p>
      <w:pPr>
        <w:numPr>
          <w:ilvl w:val="0"/>
          <w:numId w:val="1422"/>
        </w:numPr>
        <w:pStyle w:val="Compact"/>
      </w:pPr>
      <w:r>
        <w:t xml:space="preserve">2012 · Cicero AF ·</w:t>
      </w:r>
      <w:r>
        <w:t xml:space="preserve"> </w:t>
      </w:r>
      <w:r>
        <w:rPr>
          <w:iCs/>
          <w:i/>
        </w:rPr>
        <w:t xml:space="preserve">Clin Exp Hypertens</w:t>
      </w:r>
      <w:r>
        <w:t xml:space="preserve"> </w:t>
      </w:r>
      <w:r>
        <w:t xml:space="preserve">· Predictors of the short-term effect of isoleucine-proline-proline/valine-proline-proline lactotripeptides from casein on office and ambulatory blood pressure in subjects with pharmacologically untreated high-normal blood pressure or first-degree hypertension. PMID 22574612</w:t>
      </w:r>
    </w:p>
    <w:p>
      <w:pPr>
        <w:numPr>
          <w:ilvl w:val="0"/>
          <w:numId w:val="1422"/>
        </w:numPr>
        <w:pStyle w:val="Compact"/>
      </w:pPr>
      <w:r>
        <w:t xml:space="preserve">2011 · Cicero AF ·</w:t>
      </w:r>
      <w:r>
        <w:t xml:space="preserve"> </w:t>
      </w:r>
      <w:r>
        <w:rPr>
          <w:iCs/>
          <w:i/>
        </w:rPr>
        <w:t xml:space="preserve">Hypertens Res</w:t>
      </w:r>
      <w:r>
        <w:t xml:space="preserve"> </w:t>
      </w:r>
      <w:r>
        <w:t xml:space="preserve">· Lactotripeptides effect on office and 24-h ambulatory blood pressure, blood pressure stress response, pulse wave velocity and cardiac output in patients with high-normal blood pressure or first-degree hypertension: a randomized double-blind clinical trial. PMID 21753776</w:t>
      </w:r>
    </w:p>
    <w:p>
      <w:pPr>
        <w:numPr>
          <w:ilvl w:val="0"/>
          <w:numId w:val="1422"/>
        </w:numPr>
        <w:pStyle w:val="Compact"/>
      </w:pPr>
      <w:r>
        <w:t xml:space="preserve">2010 · Cicero AF ·</w:t>
      </w:r>
      <w:r>
        <w:t xml:space="preserve"> </w:t>
      </w:r>
      <w:r>
        <w:rPr>
          <w:iCs/>
          <w:i/>
        </w:rPr>
        <w:t xml:space="preserve">J Med Food</w:t>
      </w:r>
      <w:r>
        <w:t xml:space="preserve"> </w:t>
      </w:r>
      <w:r>
        <w:t xml:space="preserve">· Hemodynamic effects of lactotripeptides from casein hydrolysate in Mediterranean normotensive subjects and patients with high-normal blood pressure: a randomized, double-blind, crossover clinical trial. PMID 21091250</w:t>
      </w:r>
    </w:p>
    <w:p>
      <w:pPr>
        <w:numPr>
          <w:ilvl w:val="0"/>
          <w:numId w:val="1422"/>
        </w:numPr>
        <w:pStyle w:val="Compact"/>
      </w:pPr>
      <w:r>
        <w:t xml:space="preserve">2010 · Yamasue K ·</w:t>
      </w:r>
      <w:r>
        <w:t xml:space="preserve"> </w:t>
      </w:r>
      <w:r>
        <w:rPr>
          <w:iCs/>
          <w:i/>
        </w:rPr>
        <w:t xml:space="preserve">Clin Exp Hypertens</w:t>
      </w:r>
      <w:r>
        <w:t xml:space="preserve"> </w:t>
      </w:r>
      <w:r>
        <w:t xml:space="preserve">· The blood pressure lowering effect of lactotripeptides and salt intake in 24-h ambulatory blood pressure measurements. PMID 20608891</w:t>
      </w:r>
    </w:p>
    <w:p>
      <w:pPr>
        <w:numPr>
          <w:ilvl w:val="0"/>
          <w:numId w:val="1422"/>
        </w:numPr>
        <w:pStyle w:val="Compact"/>
      </w:pPr>
      <w:r>
        <w:t xml:space="preserve">2010 · Germino FW ·</w:t>
      </w:r>
      <w:r>
        <w:t xml:space="preserve"> </w:t>
      </w:r>
      <w:r>
        <w:rPr>
          <w:iCs/>
          <w:i/>
        </w:rPr>
        <w:t xml:space="preserve">J Clin Hypertens (Greenwich)</w:t>
      </w:r>
      <w:r>
        <w:t xml:space="preserve"> </w:t>
      </w:r>
      <w:r>
        <w:t xml:space="preserve">· The impact of lactotripeptides on blood pressure response in stage 1 and stage 2 hypertensives. PMID 20433527</w:t>
      </w:r>
    </w:p>
    <w:p>
      <w:pPr>
        <w:numPr>
          <w:ilvl w:val="0"/>
          <w:numId w:val="1422"/>
        </w:numPr>
        <w:pStyle w:val="Compact"/>
      </w:pPr>
      <w:r>
        <w:t xml:space="preserve">2010 · Jauhiainen T ·</w:t>
      </w:r>
      <w:r>
        <w:t xml:space="preserve"> </w:t>
      </w:r>
      <w:r>
        <w:rPr>
          <w:iCs/>
          <w:i/>
        </w:rPr>
        <w:t xml:space="preserve">Eur J Clin Nutr</w:t>
      </w:r>
      <w:r>
        <w:t xml:space="preserve"> </w:t>
      </w:r>
      <w:r>
        <w:t xml:space="preserve">· Long-term intervention with Lactobacillus helveticus fermented milk reduces augmentation index in hypertensive subjects. PMID 20145666</w:t>
      </w:r>
    </w:p>
    <w:p>
      <w:pPr>
        <w:numPr>
          <w:ilvl w:val="0"/>
          <w:numId w:val="1422"/>
        </w:numPr>
        <w:pStyle w:val="Compact"/>
      </w:pPr>
      <w:r>
        <w:t xml:space="preserve">2010 · Yoshizawa M ·</w:t>
      </w:r>
      <w:r>
        <w:t xml:space="preserve"> </w:t>
      </w:r>
      <w:r>
        <w:rPr>
          <w:iCs/>
          <w:i/>
        </w:rPr>
        <w:t xml:space="preserve">Am J Hypertens</w:t>
      </w:r>
      <w:r>
        <w:t xml:space="preserve"> </w:t>
      </w:r>
      <w:r>
        <w:t xml:space="preserve">· Additive beneficial effects of lactotripeptides intake with regular exercise on endothelium-dependent dilatation in postmenopausal women. PMID 20075849</w:t>
      </w:r>
    </w:p>
    <w:p>
      <w:pPr>
        <w:numPr>
          <w:ilvl w:val="0"/>
          <w:numId w:val="1422"/>
        </w:numPr>
        <w:pStyle w:val="Compact"/>
      </w:pPr>
      <w:r>
        <w:t xml:space="preserve">2009 · Nakamura T ·</w:t>
      </w:r>
      <w:r>
        <w:t xml:space="preserve"> </w:t>
      </w:r>
      <w:r>
        <w:rPr>
          <w:iCs/>
          <w:i/>
        </w:rPr>
        <w:t xml:space="preserve">J Med Food</w:t>
      </w:r>
      <w:r>
        <w:t xml:space="preserve"> </w:t>
      </w:r>
      <w:r>
        <w:t xml:space="preserve">· Beneficial potential of casein hydrolysate containing Val-Pro-Pro and Ile-Pro-Pro on central blood pressure and hemodynamic index: a preliminary study. PMID 19821692</w:t>
      </w:r>
    </w:p>
    <w:p>
      <w:pPr>
        <w:numPr>
          <w:ilvl w:val="0"/>
          <w:numId w:val="1422"/>
        </w:numPr>
        <w:pStyle w:val="Compact"/>
      </w:pPr>
      <w:r>
        <w:t xml:space="preserve">2009 · Yoshizawa M ·</w:t>
      </w:r>
      <w:r>
        <w:t xml:space="preserve"> </w:t>
      </w:r>
      <w:r>
        <w:rPr>
          <w:iCs/>
          <w:i/>
        </w:rPr>
        <w:t xml:space="preserve">Am J Physiol Heart Circ Physiol</w:t>
      </w:r>
      <w:r>
        <w:t xml:space="preserve"> </w:t>
      </w:r>
      <w:r>
        <w:t xml:space="preserve">· Additive beneficial effects of lactotripeptides and aerobic exercise on arterial compliance in postmenopausal women. PMID 19783777</w:t>
      </w:r>
    </w:p>
    <w:p>
      <w:pPr>
        <w:numPr>
          <w:ilvl w:val="0"/>
          <w:numId w:val="1422"/>
        </w:numPr>
        <w:pStyle w:val="Compact"/>
      </w:pPr>
      <w:r>
        <w:t xml:space="preserve">2009 · van Mierlo LA ·</w:t>
      </w:r>
      <w:r>
        <w:t xml:space="preserve"> </w:t>
      </w:r>
      <w:r>
        <w:rPr>
          <w:iCs/>
          <w:i/>
        </w:rPr>
        <w:t xml:space="preserve">Am J Clin Nutr</w:t>
      </w:r>
      <w:r>
        <w:t xml:space="preserve"> </w:t>
      </w:r>
      <w:r>
        <w:t xml:space="preserve">· Lactotripeptides do not lower ambulatory blood pressure in untreated whites: results from 2 controlled multicenter crossover studies. PMID 19106238</w:t>
      </w:r>
    </w:p>
    <w:p>
      <w:pPr>
        <w:numPr>
          <w:ilvl w:val="0"/>
          <w:numId w:val="1422"/>
        </w:numPr>
        <w:pStyle w:val="Compact"/>
      </w:pPr>
      <w:r>
        <w:t xml:space="preserve">2008 · van der Zander K ·</w:t>
      </w:r>
      <w:r>
        <w:t xml:space="preserve"> </w:t>
      </w:r>
      <w:r>
        <w:rPr>
          <w:iCs/>
          <w:i/>
        </w:rPr>
        <w:t xml:space="preserve">Am J Clin Nutr</w:t>
      </w:r>
      <w:r>
        <w:t xml:space="preserve"> </w:t>
      </w:r>
      <w:r>
        <w:t xml:space="preserve">· Enzymatically hydrolyzed lactotripeptides do not lower blood pressure in mildly hypertensive subjects. PMID 19064533</w:t>
      </w:r>
    </w:p>
    <w:p>
      <w:pPr>
        <w:numPr>
          <w:ilvl w:val="0"/>
          <w:numId w:val="1422"/>
        </w:numPr>
        <w:pStyle w:val="Compact"/>
      </w:pPr>
      <w:r>
        <w:t xml:space="preserve">2008 · Engberink MF ·</w:t>
      </w:r>
      <w:r>
        <w:t xml:space="preserve"> </w:t>
      </w:r>
      <w:r>
        <w:rPr>
          <w:iCs/>
          <w:i/>
        </w:rPr>
        <w:t xml:space="preserve">Hypertension</w:t>
      </w:r>
      <w:r>
        <w:t xml:space="preserve"> </w:t>
      </w:r>
      <w:r>
        <w:t xml:space="preserve">· Lactotripeptides show no effect on human blood pressure: results from a double-blind randomized controlled trial. PMID 18086944</w:t>
      </w:r>
    </w:p>
    <w:p>
      <w:pPr>
        <w:numPr>
          <w:ilvl w:val="0"/>
          <w:numId w:val="1422"/>
        </w:numPr>
        <w:pStyle w:val="Compact"/>
      </w:pPr>
      <w:r>
        <w:t xml:space="preserve">2007 · Foltz M ·</w:t>
      </w:r>
      <w:r>
        <w:t xml:space="preserve"> </w:t>
      </w:r>
      <w:r>
        <w:rPr>
          <w:iCs/>
          <w:i/>
        </w:rPr>
        <w:t xml:space="preserve">J Nutr</w:t>
      </w:r>
      <w:r>
        <w:t xml:space="preserve"> </w:t>
      </w:r>
      <w:r>
        <w:t xml:space="preserve">· Angiotensin converting enzyme inhibitory peptides from a lactotripeptide-enriched milk beverage are absorbed intact into the circulation. PMID 17374660</w:t>
      </w:r>
    </w:p>
    <w:p>
      <w:pPr>
        <w:numPr>
          <w:ilvl w:val="0"/>
          <w:numId w:val="1422"/>
        </w:numPr>
        <w:pStyle w:val="Compact"/>
      </w:pPr>
      <w:r>
        <w:t xml:space="preserve">2004 · Tuomilehto J ·</w:t>
      </w:r>
      <w:r>
        <w:t xml:space="preserve"> </w:t>
      </w:r>
      <w:r>
        <w:rPr>
          <w:iCs/>
          <w:i/>
        </w:rPr>
        <w:t xml:space="preserve">J Hum Hypertens</w:t>
      </w:r>
      <w:r>
        <w:t xml:space="preserve"> </w:t>
      </w:r>
      <w:r>
        <w:t xml:space="preserve">· Effect of ingesting sour milk fermented using Lactobacillus helveticus bacteria producing tripeptides on blood pressure in subjects with mild hypertension. PMID 15175633</w:t>
      </w:r>
    </w:p>
    <w:bookmarkEnd w:id="3064"/>
    <w:bookmarkStart w:id="3065" w:name="carnosina-57"/>
    <w:p>
      <w:pPr>
        <w:pStyle w:val="Heading2"/>
      </w:pPr>
      <w:r>
        <w:t xml:space="preserve">Carnosina (57)</w:t>
      </w:r>
    </w:p>
    <w:p>
      <w:pPr>
        <w:numPr>
          <w:ilvl w:val="0"/>
          <w:numId w:val="1423"/>
        </w:numPr>
        <w:pStyle w:val="Compact"/>
      </w:pPr>
      <w:r>
        <w:t xml:space="preserve">2026 · O’Toole TE ·</w:t>
      </w:r>
      <w:r>
        <w:t xml:space="preserve"> </w:t>
      </w:r>
      <w:r>
        <w:rPr>
          <w:iCs/>
          <w:i/>
        </w:rPr>
        <w:t xml:space="preserve">J Int Soc Sports Nutr</w:t>
      </w:r>
      <w:r>
        <w:t xml:space="preserve"> </w:t>
      </w:r>
      <w:r>
        <w:t xml:space="preserve">· Effects of carnosine supplementation on physical endurance: a placebo-controlled randomized clinical trial. PMID 42308284</w:t>
      </w:r>
    </w:p>
    <w:p>
      <w:pPr>
        <w:numPr>
          <w:ilvl w:val="0"/>
          <w:numId w:val="1423"/>
        </w:numPr>
        <w:pStyle w:val="Compact"/>
      </w:pPr>
      <w:r>
        <w:t xml:space="preserve">2026 · Togni L ·</w:t>
      </w:r>
      <w:r>
        <w:t xml:space="preserve"> </w:t>
      </w:r>
      <w:r>
        <w:rPr>
          <w:iCs/>
          <w:i/>
        </w:rPr>
        <w:t xml:space="preserve">Minerva Dent Oral Sci</w:t>
      </w:r>
      <w:r>
        <w:t xml:space="preserve"> </w:t>
      </w:r>
      <w:r>
        <w:t xml:space="preserve">· Zinc-L-carnosine mouthwash in oral mucositis patients: a single-blind, randomized, controlled trial. PMID 41855025</w:t>
      </w:r>
    </w:p>
    <w:p>
      <w:pPr>
        <w:numPr>
          <w:ilvl w:val="0"/>
          <w:numId w:val="1423"/>
        </w:numPr>
        <w:pStyle w:val="Compact"/>
      </w:pPr>
      <w:r>
        <w:t xml:space="preserve">2025 · Beaven CM ·</w:t>
      </w:r>
      <w:r>
        <w:t xml:space="preserve"> </w:t>
      </w:r>
      <w:r>
        <w:rPr>
          <w:iCs/>
          <w:i/>
        </w:rPr>
        <w:t xml:space="preserve">J Int Soc Sports Nutr</w:t>
      </w:r>
      <w:r>
        <w:t xml:space="preserve"> </w:t>
      </w:r>
      <w:r>
        <w:t xml:space="preserve">· Topical carnosine gel improves intermittent high-intensity exercise performance in world-class rugby sevens players. PMID 40859880</w:t>
      </w:r>
    </w:p>
    <w:p>
      <w:pPr>
        <w:numPr>
          <w:ilvl w:val="0"/>
          <w:numId w:val="1423"/>
        </w:numPr>
        <w:pStyle w:val="Compact"/>
      </w:pPr>
      <w:r>
        <w:t xml:space="preserve">2025 · Perić L ·</w:t>
      </w:r>
      <w:r>
        <w:t xml:space="preserve"> </w:t>
      </w:r>
      <w:r>
        <w:rPr>
          <w:iCs/>
          <w:i/>
        </w:rPr>
        <w:t xml:space="preserve">Appl Physiol Nutr Metab</w:t>
      </w:r>
      <w:r>
        <w:t xml:space="preserve"> </w:t>
      </w:r>
      <w:r>
        <w:t xml:space="preserve">· Carnosine-enriched functional food enhances micro- and macrovascular endothelium-independent vasodilation in competitive athletes-a randomized study. PMID 39983097</w:t>
      </w:r>
    </w:p>
    <w:p>
      <w:pPr>
        <w:numPr>
          <w:ilvl w:val="0"/>
          <w:numId w:val="1423"/>
        </w:numPr>
        <w:pStyle w:val="Compact"/>
      </w:pPr>
      <w:r>
        <w:t xml:space="preserve">2025 · O’Toole TE ·</w:t>
      </w:r>
      <w:r>
        <w:t xml:space="preserve"> </w:t>
      </w:r>
      <w:r>
        <w:rPr>
          <w:iCs/>
          <w:i/>
        </w:rPr>
        <w:t xml:space="preserve">Neurotherapeutics</w:t>
      </w:r>
      <w:r>
        <w:t xml:space="preserve"> </w:t>
      </w:r>
      <w:r>
        <w:t xml:space="preserve">· Carnosine supplementation improves cognitive outcomes in younger participants of the NEAT trial. PMID 39919936</w:t>
      </w:r>
    </w:p>
    <w:p>
      <w:pPr>
        <w:numPr>
          <w:ilvl w:val="0"/>
          <w:numId w:val="1423"/>
        </w:numPr>
        <w:pStyle w:val="Compact"/>
      </w:pPr>
      <w:r>
        <w:t xml:space="preserve">2024 · Saadati S ·</w:t>
      </w:r>
      <w:r>
        <w:t xml:space="preserve"> </w:t>
      </w:r>
      <w:r>
        <w:rPr>
          <w:iCs/>
          <w:i/>
        </w:rPr>
        <w:t xml:space="preserve">Nutrients</w:t>
      </w:r>
      <w:r>
        <w:t xml:space="preserve"> </w:t>
      </w:r>
      <w:r>
        <w:t xml:space="preserve">· The Effect of Carnosine Supplementation on Musculoskeletal Health in Adults with Prediabetes and Type 2 Diabetes: A Secondary Analysis of a Randomized Controlled Trial. PMID 39770949</w:t>
      </w:r>
    </w:p>
    <w:p>
      <w:pPr>
        <w:numPr>
          <w:ilvl w:val="0"/>
          <w:numId w:val="1423"/>
        </w:numPr>
        <w:pStyle w:val="Compact"/>
      </w:pPr>
      <w:r>
        <w:t xml:space="preserve">2024 · Saadati S ·</w:t>
      </w:r>
      <w:r>
        <w:t xml:space="preserve"> </w:t>
      </w:r>
      <w:r>
        <w:rPr>
          <w:iCs/>
          <w:i/>
        </w:rPr>
        <w:t xml:space="preserve">Nutrients</w:t>
      </w:r>
      <w:r>
        <w:t xml:space="preserve"> </w:t>
      </w:r>
      <w:r>
        <w:t xml:space="preserve">· Carnosine Supplementation Has No Effect on Inflammatory Markers in Adults with Prediabetes and Type 2 Diabetes: A Randomised Controlled Trial. PMID 39599686</w:t>
      </w:r>
    </w:p>
    <w:p>
      <w:pPr>
        <w:numPr>
          <w:ilvl w:val="0"/>
          <w:numId w:val="1423"/>
        </w:numPr>
        <w:pStyle w:val="Compact"/>
      </w:pPr>
      <w:r>
        <w:t xml:space="preserve">2024 · Abraham DA ·</w:t>
      </w:r>
      <w:r>
        <w:t xml:space="preserve"> </w:t>
      </w:r>
      <w:r>
        <w:rPr>
          <w:iCs/>
          <w:i/>
        </w:rPr>
        <w:t xml:space="preserve">Front Biosci (Landmark Ed)</w:t>
      </w:r>
      <w:r>
        <w:t xml:space="preserve"> </w:t>
      </w:r>
      <w:r>
        <w:t xml:space="preserve">· Estimation of Plasma Concentration of L-Carnosine and its Correlation with Core Symptoms of Autism Spectrum Disorder Children: A Pilot Clinical Trial. PMID 39473402</w:t>
      </w:r>
    </w:p>
    <w:p>
      <w:pPr>
        <w:numPr>
          <w:ilvl w:val="0"/>
          <w:numId w:val="1423"/>
        </w:numPr>
        <w:pStyle w:val="Compact"/>
      </w:pPr>
      <w:r>
        <w:t xml:space="preserve">2024 · Baba SP ·</w:t>
      </w:r>
      <w:r>
        <w:t xml:space="preserve"> </w:t>
      </w:r>
      <w:r>
        <w:rPr>
          <w:iCs/>
          <w:i/>
        </w:rPr>
        <w:t xml:space="preserve">Amino Acids</w:t>
      </w:r>
      <w:r>
        <w:t xml:space="preserve"> </w:t>
      </w:r>
      <w:r>
        <w:t xml:space="preserve">· Evaluation of supplementary carnosine accumulation and distribution: an initial analysis of participants in the Nucleophilic Defense Against PM Toxicity (NEAT) clinical trial. PMID 39215872</w:t>
      </w:r>
    </w:p>
    <w:p>
      <w:pPr>
        <w:numPr>
          <w:ilvl w:val="0"/>
          <w:numId w:val="1423"/>
        </w:numPr>
        <w:pStyle w:val="Compact"/>
      </w:pPr>
      <w:r>
        <w:t xml:space="preserve">2024 · Rondanelli M ·</w:t>
      </w:r>
      <w:r>
        <w:t xml:space="preserve"> </w:t>
      </w:r>
      <w:r>
        <w:rPr>
          <w:iCs/>
          <w:i/>
        </w:rPr>
        <w:t xml:space="preserve">Nutrients</w:t>
      </w:r>
      <w:r>
        <w:t xml:space="preserve"> </w:t>
      </w:r>
      <w:r>
        <w:t xml:space="preserve">· A Patented Dietary Supplement (Hydroxy-Methyl-Butyrate, Carnosine, Magnesium, Butyrate, Lactoferrin) Is a Promising Therapeutic Target for Age-Related Sarcopenia through the Regulation of Gut Permeability: A Randomized Controlled Trial. PMID 38732615</w:t>
      </w:r>
    </w:p>
    <w:p>
      <w:pPr>
        <w:numPr>
          <w:ilvl w:val="0"/>
          <w:numId w:val="1423"/>
        </w:numPr>
        <w:pStyle w:val="Compact"/>
      </w:pPr>
      <w:r>
        <w:t xml:space="preserve">2024 · Hariharan R ·</w:t>
      </w:r>
      <w:r>
        <w:t xml:space="preserve"> </w:t>
      </w:r>
      <w:r>
        <w:rPr>
          <w:iCs/>
          <w:i/>
        </w:rPr>
        <w:t xml:space="preserve">Nutr Metab Cardiovasc Dis</w:t>
      </w:r>
      <w:r>
        <w:t xml:space="preserve"> </w:t>
      </w:r>
      <w:r>
        <w:t xml:space="preserve">· Carnosine supplementation improves glucose control in adults with pre-diabetes and type 2 diabetes: A randomised controlled trial. PMID 38172006</w:t>
      </w:r>
    </w:p>
    <w:p>
      <w:pPr>
        <w:numPr>
          <w:ilvl w:val="0"/>
          <w:numId w:val="1423"/>
        </w:numPr>
        <w:pStyle w:val="Compact"/>
      </w:pPr>
      <w:r>
        <w:t xml:space="preserve">2023 · Saadati S ·</w:t>
      </w:r>
      <w:r>
        <w:t xml:space="preserve"> </w:t>
      </w:r>
      <w:r>
        <w:rPr>
          <w:iCs/>
          <w:i/>
        </w:rPr>
        <w:t xml:space="preserve">Nutrients</w:t>
      </w:r>
      <w:r>
        <w:t xml:space="preserve"> </w:t>
      </w:r>
      <w:r>
        <w:t xml:space="preserve">· Carnosine Did Not Affect Vascular and Metabolic Outcomes in Patients with Prediabetes and Type 2 Diabetes: A 14-Week Randomized Controlled Trial. PMID 38004228</w:t>
      </w:r>
    </w:p>
    <w:p>
      <w:pPr>
        <w:numPr>
          <w:ilvl w:val="0"/>
          <w:numId w:val="1423"/>
        </w:numPr>
        <w:pStyle w:val="Compact"/>
      </w:pPr>
      <w:r>
        <w:t xml:space="preserve">2021 · Siriwattanasit N ·</w:t>
      </w:r>
      <w:r>
        <w:t xml:space="preserve"> </w:t>
      </w:r>
      <w:r>
        <w:rPr>
          <w:iCs/>
          <w:i/>
        </w:rPr>
        <w:t xml:space="preserve">BMC Nephrol</w:t>
      </w:r>
      <w:r>
        <w:t xml:space="preserve"> </w:t>
      </w:r>
      <w:r>
        <w:t xml:space="preserve">· Effect of Oral carnosine supplementation on urinary TGF-β in diabetic nephropathy: a randomized controlled trial. PMID 34174842</w:t>
      </w:r>
    </w:p>
    <w:p>
      <w:pPr>
        <w:numPr>
          <w:ilvl w:val="0"/>
          <w:numId w:val="1423"/>
        </w:numPr>
        <w:pStyle w:val="Compact"/>
      </w:pPr>
      <w:r>
        <w:t xml:space="preserve">2021 · Blancquaert L ·</w:t>
      </w:r>
      <w:r>
        <w:t xml:space="preserve"> </w:t>
      </w:r>
      <w:r>
        <w:rPr>
          <w:iCs/>
          <w:i/>
        </w:rPr>
        <w:t xml:space="preserve">J Appl Physiol (1985)</w:t>
      </w:r>
      <w:r>
        <w:t xml:space="preserve"> </w:t>
      </w:r>
      <w:r>
        <w:t xml:space="preserve">· Acute preexercise supplementation of combined carnosine and anserine enhances initial maximal power of Wingate tests in humans. PMID 33914660</w:t>
      </w:r>
    </w:p>
    <w:p>
      <w:pPr>
        <w:numPr>
          <w:ilvl w:val="0"/>
          <w:numId w:val="1423"/>
        </w:numPr>
        <w:pStyle w:val="Compact"/>
      </w:pPr>
      <w:r>
        <w:t xml:space="preserve">2021 · Yamaguchi GC ·</w:t>
      </w:r>
      <w:r>
        <w:t xml:space="preserve"> </w:t>
      </w:r>
      <w:r>
        <w:rPr>
          <w:iCs/>
          <w:i/>
        </w:rPr>
        <w:t xml:space="preserve">Med Sci Sports Exerc</w:t>
      </w:r>
      <w:r>
        <w:t xml:space="preserve"> </w:t>
      </w:r>
      <w:r>
        <w:t xml:space="preserve">· Kinetics of Muscle Carnosine Decay after β-Alanine Supplementation: A 16-wk Washout Study. PMID 33148972</w:t>
      </w:r>
    </w:p>
    <w:p>
      <w:pPr>
        <w:numPr>
          <w:ilvl w:val="0"/>
          <w:numId w:val="1423"/>
        </w:numPr>
        <w:pStyle w:val="Compact"/>
      </w:pPr>
      <w:r>
        <w:t xml:space="preserve">2021 · Limonta E ·</w:t>
      </w:r>
      <w:r>
        <w:t xml:space="preserve"> </w:t>
      </w:r>
      <w:r>
        <w:rPr>
          <w:iCs/>
          <w:i/>
        </w:rPr>
        <w:t xml:space="preserve">J Sports Med Phys Fitness</w:t>
      </w:r>
      <w:r>
        <w:t xml:space="preserve"> </w:t>
      </w:r>
      <w:r>
        <w:t xml:space="preserve">· Acute carnosine and β-alanine supplementation increase the compensated part of the ventilation versus work rate relationship during a ramp incremental cycle test in physically active men. PMID 33092320</w:t>
      </w:r>
    </w:p>
    <w:p>
      <w:pPr>
        <w:numPr>
          <w:ilvl w:val="0"/>
          <w:numId w:val="1423"/>
        </w:numPr>
        <w:pStyle w:val="Compact"/>
      </w:pPr>
      <w:r>
        <w:t xml:space="preserve">2020 · Zanini D ·</w:t>
      </w:r>
      <w:r>
        <w:t xml:space="preserve"> </w:t>
      </w:r>
      <w:r>
        <w:rPr>
          <w:iCs/>
          <w:i/>
        </w:rPr>
        <w:t xml:space="preserve">Nutr Res</w:t>
      </w:r>
      <w:r>
        <w:t xml:space="preserve"> </w:t>
      </w:r>
      <w:r>
        <w:t xml:space="preserve">· Dietary supplementation with L-carnosine improves patient-reported outcomes, autonomic nervous system performance, and brain metabolism in 3 adult patients with multiple sclerosis. PMID 33189432</w:t>
      </w:r>
    </w:p>
    <w:p>
      <w:pPr>
        <w:numPr>
          <w:ilvl w:val="0"/>
          <w:numId w:val="1423"/>
        </w:numPr>
        <w:pStyle w:val="Compact"/>
      </w:pPr>
      <w:r>
        <w:t xml:space="preserve">2020 · Ann Abraham D ·</w:t>
      </w:r>
      <w:r>
        <w:t xml:space="preserve"> </w:t>
      </w:r>
      <w:r>
        <w:rPr>
          <w:iCs/>
          <w:i/>
        </w:rPr>
        <w:t xml:space="preserve">Amino Acids</w:t>
      </w:r>
      <w:r>
        <w:t xml:space="preserve"> </w:t>
      </w:r>
      <w:r>
        <w:t xml:space="preserve">· Effect of L-Carnosine as adjunctive therapy in the management of children with autism spectrum disorder: a randomized controlled study. PMID 33170378</w:t>
      </w:r>
    </w:p>
    <w:p>
      <w:pPr>
        <w:numPr>
          <w:ilvl w:val="0"/>
          <w:numId w:val="1423"/>
        </w:numPr>
        <w:pStyle w:val="Compact"/>
      </w:pPr>
      <w:r>
        <w:t xml:space="preserve">2019 · Masuoka N ·</w:t>
      </w:r>
      <w:r>
        <w:t xml:space="preserve"> </w:t>
      </w:r>
      <w:r>
        <w:rPr>
          <w:iCs/>
          <w:i/>
        </w:rPr>
        <w:t xml:space="preserve">Nutrients</w:t>
      </w:r>
      <w:r>
        <w:t xml:space="preserve"> </w:t>
      </w:r>
      <w:r>
        <w:t xml:space="preserve">· Effects of Anserine/Carnosine Supplementation on Mild Cognitive Impairment with APOE4. PMID 31319510</w:t>
      </w:r>
    </w:p>
    <w:p>
      <w:pPr>
        <w:numPr>
          <w:ilvl w:val="0"/>
          <w:numId w:val="1423"/>
        </w:numPr>
        <w:pStyle w:val="Compact"/>
      </w:pPr>
      <w:r>
        <w:t xml:space="preserve">2019 · Yehia R ·</w:t>
      </w:r>
      <w:r>
        <w:t xml:space="preserve"> </w:t>
      </w:r>
      <w:r>
        <w:rPr>
          <w:iCs/>
          <w:i/>
        </w:rPr>
        <w:t xml:space="preserve">Toxicol Appl Pharmacol</w:t>
      </w:r>
      <w:r>
        <w:t xml:space="preserve"> </w:t>
      </w:r>
      <w:r>
        <w:t xml:space="preserve">· L-Carnosine protects against Oxaliplatin-induced peripheral neuropathy in colorectal cancer patients: A perspective on targeting Nrf-2 and NF-κB pathways. PMID 30592963</w:t>
      </w:r>
    </w:p>
    <w:p>
      <w:pPr>
        <w:numPr>
          <w:ilvl w:val="0"/>
          <w:numId w:val="1423"/>
        </w:numPr>
        <w:pStyle w:val="Compact"/>
      </w:pPr>
      <w:r>
        <w:t xml:space="preserve">2019 · Baye E ·</w:t>
      </w:r>
      <w:r>
        <w:t xml:space="preserve"> </w:t>
      </w:r>
      <w:r>
        <w:rPr>
          <w:iCs/>
          <w:i/>
        </w:rPr>
        <w:t xml:space="preserve">Amino Acids</w:t>
      </w:r>
      <w:r>
        <w:t xml:space="preserve"> </w:t>
      </w:r>
      <w:r>
        <w:t xml:space="preserve">· Carnosine supplementation reduces plasma soluble transferrin receptor in healthy overweight or obese individuals: a pilot randomised trial. PMID 30136029</w:t>
      </w:r>
    </w:p>
    <w:p>
      <w:pPr>
        <w:numPr>
          <w:ilvl w:val="0"/>
          <w:numId w:val="1423"/>
        </w:numPr>
        <w:pStyle w:val="Compact"/>
      </w:pPr>
      <w:r>
        <w:t xml:space="preserve">2019 · Ghodsi R ·</w:t>
      </w:r>
      <w:r>
        <w:t xml:space="preserve"> </w:t>
      </w:r>
      <w:r>
        <w:rPr>
          <w:iCs/>
          <w:i/>
        </w:rPr>
        <w:t xml:space="preserve">Ann Clin Biochem</w:t>
      </w:r>
      <w:r>
        <w:t xml:space="preserve"> </w:t>
      </w:r>
      <w:r>
        <w:t xml:space="preserve">· Carnosine supplementation does not affect serum concentrations of advanced glycation and precursors of lipoxidation end products in autism: a randomized controlled clinical trial. PMID 30089410</w:t>
      </w:r>
    </w:p>
    <w:p>
      <w:pPr>
        <w:numPr>
          <w:ilvl w:val="0"/>
          <w:numId w:val="1423"/>
        </w:numPr>
        <w:pStyle w:val="Compact"/>
      </w:pPr>
      <w:r>
        <w:t xml:space="preserve">2018 · Karkabounas S ·</w:t>
      </w:r>
      <w:r>
        <w:t xml:space="preserve"> </w:t>
      </w:r>
      <w:r>
        <w:rPr>
          <w:iCs/>
          <w:i/>
        </w:rPr>
        <w:t xml:space="preserve">J Med Food</w:t>
      </w:r>
      <w:r>
        <w:t xml:space="preserve"> </w:t>
      </w:r>
      <w:r>
        <w:t xml:space="preserve">· Effects of α-Lipoic Acid, Carnosine, and Thiamine Supplementation in Obese Patients with Type 2 Diabetes Mellitus: A Randomized, Double-Blind Study. PMID 30311825</w:t>
      </w:r>
    </w:p>
    <w:p>
      <w:pPr>
        <w:numPr>
          <w:ilvl w:val="0"/>
          <w:numId w:val="1423"/>
        </w:numPr>
        <w:pStyle w:val="Compact"/>
      </w:pPr>
      <w:r>
        <w:t xml:space="preserve">2018 · Baye E ·</w:t>
      </w:r>
      <w:r>
        <w:t xml:space="preserve"> </w:t>
      </w:r>
      <w:r>
        <w:rPr>
          <w:iCs/>
          <w:i/>
        </w:rPr>
        <w:t xml:space="preserve">Nutrients</w:t>
      </w:r>
      <w:r>
        <w:t xml:space="preserve"> </w:t>
      </w:r>
      <w:r>
        <w:t xml:space="preserve">· Carnosine Supplementation Improves Serum Resistin Concentrations in Overweight or Obese Otherwise Healthy Adults: A Pilot Randomized Trial. PMID 30205427</w:t>
      </w:r>
    </w:p>
    <w:p>
      <w:pPr>
        <w:numPr>
          <w:ilvl w:val="0"/>
          <w:numId w:val="1423"/>
        </w:numPr>
        <w:pStyle w:val="Compact"/>
      </w:pPr>
      <w:r>
        <w:t xml:space="preserve">2018 · Blancquaert L ·</w:t>
      </w:r>
      <w:r>
        <w:t xml:space="preserve"> </w:t>
      </w:r>
      <w:r>
        <w:rPr>
          <w:iCs/>
          <w:i/>
        </w:rPr>
        <w:t xml:space="preserve">Br J Nutr</w:t>
      </w:r>
      <w:r>
        <w:t xml:space="preserve"> </w:t>
      </w:r>
      <w:r>
        <w:t xml:space="preserve">· Changing to a vegetarian diet reduces the body creatine pool in omnivorous women, but appears not to affect carnitine and carnosine homeostasis: a randomised trial. PMID 29569535</w:t>
      </w:r>
    </w:p>
    <w:p>
      <w:pPr>
        <w:numPr>
          <w:ilvl w:val="0"/>
          <w:numId w:val="1423"/>
        </w:numPr>
        <w:pStyle w:val="Compact"/>
      </w:pPr>
      <w:r>
        <w:t xml:space="preserve">2018 · Mehrazad-Saber Z ·</w:t>
      </w:r>
      <w:r>
        <w:t xml:space="preserve"> </w:t>
      </w:r>
      <w:r>
        <w:rPr>
          <w:iCs/>
          <w:i/>
        </w:rPr>
        <w:t xml:space="preserve">Basic Clin Pharmacol Toxicol</w:t>
      </w:r>
      <w:r>
        <w:t xml:space="preserve"> </w:t>
      </w:r>
      <w:r>
        <w:t xml:space="preserve">· Effects of l-Carnosine Supplementation on Sleep Disorders and Disease Severity in Autistic Children: A Randomized, Controlled Clinical Trial. PMID 29430839</w:t>
      </w:r>
    </w:p>
    <w:p>
      <w:pPr>
        <w:numPr>
          <w:ilvl w:val="0"/>
          <w:numId w:val="1423"/>
        </w:numPr>
        <w:pStyle w:val="Compact"/>
      </w:pPr>
      <w:r>
        <w:t xml:space="preserve">2018 · Houjeghani S ·</w:t>
      </w:r>
      <w:r>
        <w:t xml:space="preserve"> </w:t>
      </w:r>
      <w:r>
        <w:rPr>
          <w:iCs/>
          <w:i/>
        </w:rPr>
        <w:t xml:space="preserve">Nutr Res</w:t>
      </w:r>
      <w:r>
        <w:t xml:space="preserve"> </w:t>
      </w:r>
      <w:r>
        <w:t xml:space="preserve">· l-Carnosine supplementation attenuated fasting glucose, triglycerides, advanced glycation end products, and tumor necrosis factor-α levels in patients with type 2 diabetes: a double-blind placebo-controlled randomized clinical trial. PMID 29420997</w:t>
      </w:r>
    </w:p>
    <w:p>
      <w:pPr>
        <w:numPr>
          <w:ilvl w:val="0"/>
          <w:numId w:val="1423"/>
        </w:numPr>
        <w:pStyle w:val="Compact"/>
      </w:pPr>
      <w:r>
        <w:t xml:space="preserve">2018 · Elbarbary NS ·</w:t>
      </w:r>
      <w:r>
        <w:t xml:space="preserve"> </w:t>
      </w:r>
      <w:r>
        <w:rPr>
          <w:iCs/>
          <w:i/>
        </w:rPr>
        <w:t xml:space="preserve">Pediatr Diabetes</w:t>
      </w:r>
      <w:r>
        <w:t xml:space="preserve"> </w:t>
      </w:r>
      <w:r>
        <w:t xml:space="preserve">· The effect of 12 weeks carnosine supplementation on renal functional integrity and oxidative stress in pediatric patients with diabetic nephropathy: a randomized placebo-controlled trial. PMID 28744992</w:t>
      </w:r>
    </w:p>
    <w:p>
      <w:pPr>
        <w:numPr>
          <w:ilvl w:val="0"/>
          <w:numId w:val="1423"/>
        </w:numPr>
        <w:pStyle w:val="Compact"/>
      </w:pPr>
      <w:r>
        <w:t xml:space="preserve">2017 · Varanoske AN ·</w:t>
      </w:r>
      <w:r>
        <w:t xml:space="preserve"> </w:t>
      </w:r>
      <w:r>
        <w:rPr>
          <w:iCs/>
          <w:i/>
        </w:rPr>
        <w:t xml:space="preserve">Nutr Res</w:t>
      </w:r>
      <w:r>
        <w:t xml:space="preserve"> </w:t>
      </w:r>
      <w:r>
        <w:t xml:space="preserve">· β-Alanine supplementation elevates intramuscular carnosine content and attenuates fatigue in men and women similarly but does not change muscle l-histidine content. PMID 29246277</w:t>
      </w:r>
    </w:p>
    <w:p>
      <w:pPr>
        <w:numPr>
          <w:ilvl w:val="0"/>
          <w:numId w:val="1423"/>
        </w:numPr>
        <w:pStyle w:val="Compact"/>
      </w:pPr>
      <w:r>
        <w:t xml:space="preserve">2017 · Baye E ·</w:t>
      </w:r>
      <w:r>
        <w:t xml:space="preserve"> </w:t>
      </w:r>
      <w:r>
        <w:rPr>
          <w:iCs/>
          <w:i/>
        </w:rPr>
        <w:t xml:space="preserve">Sci Rep</w:t>
      </w:r>
      <w:r>
        <w:t xml:space="preserve"> </w:t>
      </w:r>
      <w:r>
        <w:t xml:space="preserve">· Effect of carnosine supplementation on the plasma lipidome in overweight and obese adults: a pilot randomised controlled trial. PMID 29234057</w:t>
      </w:r>
    </w:p>
    <w:p>
      <w:pPr>
        <w:numPr>
          <w:ilvl w:val="0"/>
          <w:numId w:val="1423"/>
        </w:numPr>
        <w:pStyle w:val="Compact"/>
      </w:pPr>
      <w:r>
        <w:t xml:space="preserve">2017 · Katakura Y ·</w:t>
      </w:r>
      <w:r>
        <w:t xml:space="preserve"> </w:t>
      </w:r>
      <w:r>
        <w:rPr>
          <w:iCs/>
          <w:i/>
        </w:rPr>
        <w:t xml:space="preserve">Nutrients</w:t>
      </w:r>
      <w:r>
        <w:t xml:space="preserve"> </w:t>
      </w:r>
      <w:r>
        <w:t xml:space="preserve">· Anserine/Carnosine Supplementation Suppresses the Expression of the Inflammatory Chemokine CCL24 in Peripheral Blood Mononuclear Cells from Elderly People. PMID 29088099</w:t>
      </w:r>
    </w:p>
    <w:p>
      <w:pPr>
        <w:numPr>
          <w:ilvl w:val="0"/>
          <w:numId w:val="1423"/>
        </w:numPr>
        <w:pStyle w:val="Compact"/>
      </w:pPr>
      <w:r>
        <w:t xml:space="preserve">2017 · Church DD ·</w:t>
      </w:r>
      <w:r>
        <w:t xml:space="preserve"> </w:t>
      </w:r>
      <w:r>
        <w:rPr>
          <w:iCs/>
          <w:i/>
        </w:rPr>
        <w:t xml:space="preserve">J Am Coll Nutr</w:t>
      </w:r>
      <w:r>
        <w:t xml:space="preserve"> </w:t>
      </w:r>
      <w:r>
        <w:t xml:space="preserve">· Comparison of Two β-Alanine Dosing Protocols on Muscle Carnosine Elevations. PMID 28910200</w:t>
      </w:r>
    </w:p>
    <w:p>
      <w:pPr>
        <w:numPr>
          <w:ilvl w:val="0"/>
          <w:numId w:val="1423"/>
        </w:numPr>
        <w:pStyle w:val="Compact"/>
      </w:pPr>
      <w:r>
        <w:t xml:space="preserve">2017 · Baye E ·</w:t>
      </w:r>
      <w:r>
        <w:t xml:space="preserve"> </w:t>
      </w:r>
      <w:r>
        <w:rPr>
          <w:iCs/>
          <w:i/>
        </w:rPr>
        <w:t xml:space="preserve">BMJ Open</w:t>
      </w:r>
      <w:r>
        <w:t xml:space="preserve"> </w:t>
      </w:r>
      <w:r>
        <w:t xml:space="preserve">· Does supplementation with carnosine improve cardiometabolic health and cognitive function in patients with pre-diabetes and type 2 diabetes? study protocol for a randomised, double-blind, placebo-controlled trial. PMID 28864708</w:t>
      </w:r>
    </w:p>
    <w:p>
      <w:pPr>
        <w:numPr>
          <w:ilvl w:val="0"/>
          <w:numId w:val="1423"/>
        </w:numPr>
        <w:pStyle w:val="Compact"/>
      </w:pPr>
      <w:r>
        <w:t xml:space="preserve">2017 · Saunders B ·</w:t>
      </w:r>
      <w:r>
        <w:t xml:space="preserve"> </w:t>
      </w:r>
      <w:r>
        <w:rPr>
          <w:iCs/>
          <w:i/>
        </w:rPr>
        <w:t xml:space="preserve">Med Sci Sports Exerc</w:t>
      </w:r>
      <w:r>
        <w:t xml:space="preserve"> </w:t>
      </w:r>
      <w:r>
        <w:t xml:space="preserve">· Twenty-four Weeks of β-Alanine Supplementation on Carnosine Content, Related Genes, and Exercise. PMID 28157726</w:t>
      </w:r>
    </w:p>
    <w:p>
      <w:pPr>
        <w:numPr>
          <w:ilvl w:val="0"/>
          <w:numId w:val="1423"/>
        </w:numPr>
        <w:pStyle w:val="Compact"/>
      </w:pPr>
      <w:r>
        <w:t xml:space="preserve">2016 · de Courten B ·</w:t>
      </w:r>
      <w:r>
        <w:t xml:space="preserve"> </w:t>
      </w:r>
      <w:r>
        <w:rPr>
          <w:iCs/>
          <w:i/>
        </w:rPr>
        <w:t xml:space="preserve">Obesity (Silver Spring)</w:t>
      </w:r>
      <w:r>
        <w:t xml:space="preserve"> </w:t>
      </w:r>
      <w:r>
        <w:t xml:space="preserve">· Effects of carnosine supplementation on glucose metabolism: Pilot clinical trial. PMID 27040154</w:t>
      </w:r>
    </w:p>
    <w:p>
      <w:pPr>
        <w:numPr>
          <w:ilvl w:val="0"/>
          <w:numId w:val="1423"/>
        </w:numPr>
        <w:pStyle w:val="Compact"/>
      </w:pPr>
      <w:r>
        <w:t xml:space="preserve">2016 · Mutolo MG ·</w:t>
      </w:r>
      <w:r>
        <w:t xml:space="preserve"> </w:t>
      </w:r>
      <w:r>
        <w:rPr>
          <w:iCs/>
          <w:i/>
        </w:rPr>
        <w:t xml:space="preserve">J Ocul Pharmacol Ther</w:t>
      </w:r>
      <w:r>
        <w:t xml:space="preserve"> </w:t>
      </w:r>
      <w:r>
        <w:t xml:space="preserve">· Oral Administration of Forskolin, Homotaurine, Carnosine, and Folic Acid in Patients with Primary Open Angle Glaucoma: Changes in Intraocular Pressure, Pattern Electroretinogram Amplitude, and Foveal Sensitivity. PMID 26771282</w:t>
      </w:r>
    </w:p>
    <w:p>
      <w:pPr>
        <w:numPr>
          <w:ilvl w:val="0"/>
          <w:numId w:val="1423"/>
        </w:numPr>
        <w:pStyle w:val="Compact"/>
      </w:pPr>
      <w:r>
        <w:t xml:space="preserve">2016 · Hisatsune T ·</w:t>
      </w:r>
      <w:r>
        <w:t xml:space="preserve"> </w:t>
      </w:r>
      <w:r>
        <w:rPr>
          <w:iCs/>
          <w:i/>
        </w:rPr>
        <w:t xml:space="preserve">J Alzheimers Dis</w:t>
      </w:r>
      <w:r>
        <w:t xml:space="preserve"> </w:t>
      </w:r>
      <w:r>
        <w:t xml:space="preserve">· Effect of Anserine/Carnosine Supplementation on Verbal Episodic Memory in Elderly People. PMID 26682691</w:t>
      </w:r>
    </w:p>
    <w:p>
      <w:pPr>
        <w:numPr>
          <w:ilvl w:val="0"/>
          <w:numId w:val="1423"/>
        </w:numPr>
        <w:pStyle w:val="Compact"/>
      </w:pPr>
      <w:r>
        <w:t xml:space="preserve">2016 · Invernizzi PL ·</w:t>
      </w:r>
      <w:r>
        <w:t xml:space="preserve"> </w:t>
      </w:r>
      <w:r>
        <w:rPr>
          <w:iCs/>
          <w:i/>
        </w:rPr>
        <w:t xml:space="preserve">Int J Sports Physiol Perform</w:t>
      </w:r>
      <w:r>
        <w:t xml:space="preserve"> </w:t>
      </w:r>
      <w:r>
        <w:t xml:space="preserve">· Effects of Acute Carnosine and β-Alanine on Isometric Force and Jumping Performance. PMID 26308179</w:t>
      </w:r>
    </w:p>
    <w:p>
      <w:pPr>
        <w:numPr>
          <w:ilvl w:val="0"/>
          <w:numId w:val="1423"/>
        </w:numPr>
        <w:pStyle w:val="Compact"/>
      </w:pPr>
      <w:r>
        <w:t xml:space="preserve">2015 · Hoffman JR ·</w:t>
      </w:r>
      <w:r>
        <w:t xml:space="preserve"> </w:t>
      </w:r>
      <w:r>
        <w:rPr>
          <w:iCs/>
          <w:i/>
        </w:rPr>
        <w:t xml:space="preserve">Amino Acids</w:t>
      </w:r>
      <w:r>
        <w:t xml:space="preserve"> </w:t>
      </w:r>
      <w:r>
        <w:t xml:space="preserve">· β-Alanine ingestion increases muscle carnosine content and combat specific performance in soldiers. PMID 25510839</w:t>
      </w:r>
    </w:p>
    <w:p>
      <w:pPr>
        <w:numPr>
          <w:ilvl w:val="0"/>
          <w:numId w:val="1423"/>
        </w:numPr>
        <w:pStyle w:val="Compact"/>
      </w:pPr>
      <w:r>
        <w:t xml:space="preserve">2015 · Lombardi C ·</w:t>
      </w:r>
      <w:r>
        <w:t xml:space="preserve"> </w:t>
      </w:r>
      <w:r>
        <w:rPr>
          <w:iCs/>
          <w:i/>
        </w:rPr>
        <w:t xml:space="preserve">Nutrition</w:t>
      </w:r>
      <w:r>
        <w:t xml:space="preserve"> </w:t>
      </w:r>
      <w:r>
        <w:t xml:space="preserve">· Effects of oral administration of orodispersible levo-carnosine on quality of life and exercise performance in patients with chronic heart failure. PMID 25287762</w:t>
      </w:r>
    </w:p>
    <w:p>
      <w:pPr>
        <w:numPr>
          <w:ilvl w:val="0"/>
          <w:numId w:val="1423"/>
        </w:numPr>
        <w:pStyle w:val="Compact"/>
      </w:pPr>
      <w:r>
        <w:t xml:space="preserve">2014 · Slowinska-Lisowska M ·</w:t>
      </w:r>
      <w:r>
        <w:t xml:space="preserve"> </w:t>
      </w:r>
      <w:r>
        <w:rPr>
          <w:iCs/>
          <w:i/>
        </w:rPr>
        <w:t xml:space="preserve">Acta Physiol Hung</w:t>
      </w:r>
      <w:r>
        <w:t xml:space="preserve"> </w:t>
      </w:r>
      <w:r>
        <w:t xml:space="preserve">· Influence of l-carnosine on pro-antioxidant status in elite kayakers and canoeists. PMID 25201708</w:t>
      </w:r>
    </w:p>
    <w:p>
      <w:pPr>
        <w:numPr>
          <w:ilvl w:val="0"/>
          <w:numId w:val="1423"/>
        </w:numPr>
        <w:pStyle w:val="Compact"/>
      </w:pPr>
      <w:r>
        <w:t xml:space="preserve">2014 · Sakae K ·</w:t>
      </w:r>
      <w:r>
        <w:t xml:space="preserve"> </w:t>
      </w:r>
      <w:r>
        <w:rPr>
          <w:iCs/>
          <w:i/>
        </w:rPr>
        <w:t xml:space="preserve">Biol Trace Elem Res</w:t>
      </w:r>
      <w:r>
        <w:t xml:space="preserve"> </w:t>
      </w:r>
      <w:r>
        <w:t xml:space="preserve">· Oral treatment of pressure ulcers with polaprezinc (zinc L-carnosine complex): 8-week open-label trial. PMID 24691900</w:t>
      </w:r>
    </w:p>
    <w:p>
      <w:pPr>
        <w:numPr>
          <w:ilvl w:val="0"/>
          <w:numId w:val="1423"/>
        </w:numPr>
        <w:pStyle w:val="Compact"/>
      </w:pPr>
      <w:r>
        <w:t xml:space="preserve">2014 · Chung W ·</w:t>
      </w:r>
      <w:r>
        <w:t xml:space="preserve"> </w:t>
      </w:r>
      <w:r>
        <w:rPr>
          <w:iCs/>
          <w:i/>
        </w:rPr>
        <w:t xml:space="preserve">Int J Sport Nutr Exerc Metab</w:t>
      </w:r>
      <w:r>
        <w:t xml:space="preserve"> </w:t>
      </w:r>
      <w:r>
        <w:t xml:space="preserve">· Doubling of muscle carnosine concentration does not improve laboratory 1-hr cycling time-trial performance. PMID 24457999</w:t>
      </w:r>
    </w:p>
    <w:p>
      <w:pPr>
        <w:numPr>
          <w:ilvl w:val="0"/>
          <w:numId w:val="1423"/>
        </w:numPr>
        <w:pStyle w:val="Compact"/>
      </w:pPr>
      <w:r>
        <w:t xml:space="preserve">2013 · Baraniuk JN ·</w:t>
      </w:r>
      <w:r>
        <w:t xml:space="preserve"> </w:t>
      </w:r>
      <w:r>
        <w:rPr>
          <w:iCs/>
          <w:i/>
        </w:rPr>
        <w:t xml:space="preserve">Glob J Health Sci</w:t>
      </w:r>
      <w:r>
        <w:t xml:space="preserve"> </w:t>
      </w:r>
      <w:r>
        <w:t xml:space="preserve">· Carnosine treatment for gulf war illness: a randomized controlled trial. PMID 23618477</w:t>
      </w:r>
    </w:p>
    <w:p>
      <w:pPr>
        <w:numPr>
          <w:ilvl w:val="0"/>
          <w:numId w:val="1423"/>
        </w:numPr>
        <w:pStyle w:val="Compact"/>
      </w:pPr>
      <w:r>
        <w:t xml:space="preserve">2012 · del Favero S ·</w:t>
      </w:r>
      <w:r>
        <w:t xml:space="preserve"> </w:t>
      </w:r>
      <w:r>
        <w:rPr>
          <w:iCs/>
          <w:i/>
        </w:rPr>
        <w:t xml:space="preserve">Amino Acids</w:t>
      </w:r>
      <w:r>
        <w:t xml:space="preserve"> </w:t>
      </w:r>
      <w:r>
        <w:t xml:space="preserve">· Beta-alanine (Carnosyn™) supplementation in elderly subjects (60-80 years): effects on muscle carnosine content and physical capacity. PMID 22143432</w:t>
      </w:r>
    </w:p>
    <w:p>
      <w:pPr>
        <w:numPr>
          <w:ilvl w:val="0"/>
          <w:numId w:val="1423"/>
        </w:numPr>
        <w:pStyle w:val="Compact"/>
      </w:pPr>
      <w:r>
        <w:t xml:space="preserve">2012 · Stellingwerff T ·</w:t>
      </w:r>
      <w:r>
        <w:t xml:space="preserve"> </w:t>
      </w:r>
      <w:r>
        <w:rPr>
          <w:iCs/>
          <w:i/>
        </w:rPr>
        <w:t xml:space="preserve">Amino Acids</w:t>
      </w:r>
      <w:r>
        <w:t xml:space="preserve"> </w:t>
      </w:r>
      <w:r>
        <w:t xml:space="preserve">· Effect of two β-alanine dosing protocols on muscle carnosine synthesis and washout. PMID 21847611</w:t>
      </w:r>
    </w:p>
    <w:p>
      <w:pPr>
        <w:numPr>
          <w:ilvl w:val="0"/>
          <w:numId w:val="1423"/>
        </w:numPr>
        <w:pStyle w:val="Compact"/>
      </w:pPr>
      <w:r>
        <w:t xml:space="preserve">2012 · Babizhayev MA ·</w:t>
      </w:r>
      <w:r>
        <w:t xml:space="preserve"> </w:t>
      </w:r>
      <w:r>
        <w:rPr>
          <w:iCs/>
          <w:i/>
        </w:rPr>
        <w:t xml:space="preserve">J Dermatolog Treat</w:t>
      </w:r>
      <w:r>
        <w:t xml:space="preserve"> </w:t>
      </w:r>
      <w:r>
        <w:t xml:space="preserve">· Skin beautification with oral non-hydrolized versions of carnosine and carcinine: Effective therapeutic management and cosmetic skincare solutions against oxidative glycation and free-radical production as a causal mechanism of diabetic complications and skin aging. PMID 21756141</w:t>
      </w:r>
    </w:p>
    <w:p>
      <w:pPr>
        <w:numPr>
          <w:ilvl w:val="0"/>
          <w:numId w:val="1423"/>
        </w:numPr>
        <w:pStyle w:val="Compact"/>
      </w:pPr>
      <w:r>
        <w:t xml:space="preserve">2011 · Gualano B ·</w:t>
      </w:r>
      <w:r>
        <w:t xml:space="preserve"> </w:t>
      </w:r>
      <w:r>
        <w:rPr>
          <w:iCs/>
          <w:i/>
        </w:rPr>
        <w:t xml:space="preserve">Appl Physiol Nutr Metab</w:t>
      </w:r>
      <w:r>
        <w:t xml:space="preserve"> </w:t>
      </w:r>
      <w:r>
        <w:t xml:space="preserve">· Creatine supplementation does not augment muscle carnosine content in type 2 diabetic patients. PMID 21999299</w:t>
      </w:r>
    </w:p>
    <w:p>
      <w:pPr>
        <w:numPr>
          <w:ilvl w:val="0"/>
          <w:numId w:val="1423"/>
        </w:numPr>
        <w:pStyle w:val="Compact"/>
      </w:pPr>
      <w:r>
        <w:t xml:space="preserve">2011 · Goto K ·</w:t>
      </w:r>
      <w:r>
        <w:t xml:space="preserve"> </w:t>
      </w:r>
      <w:r>
        <w:rPr>
          <w:iCs/>
          <w:i/>
        </w:rPr>
        <w:t xml:space="preserve">J Strength Cond Res</w:t>
      </w:r>
      <w:r>
        <w:t xml:space="preserve"> </w:t>
      </w:r>
      <w:r>
        <w:t xml:space="preserve">· Hormonal responses to resistance exercise after ingestion of carnosine and anserine. PMID 20224451</w:t>
      </w:r>
    </w:p>
    <w:p>
      <w:pPr>
        <w:numPr>
          <w:ilvl w:val="0"/>
          <w:numId w:val="1423"/>
        </w:numPr>
        <w:pStyle w:val="Compact"/>
      </w:pPr>
      <w:r>
        <w:t xml:space="preserve">2010 · Baguet A ·</w:t>
      </w:r>
      <w:r>
        <w:t xml:space="preserve"> </w:t>
      </w:r>
      <w:r>
        <w:rPr>
          <w:iCs/>
          <w:i/>
        </w:rPr>
        <w:t xml:space="preserve">J Appl Physiol (1985)</w:t>
      </w:r>
      <w:r>
        <w:t xml:space="preserve"> </w:t>
      </w:r>
      <w:r>
        <w:t xml:space="preserve">· Important role of muscle carnosine in rowing performance. PMID 20671038</w:t>
      </w:r>
    </w:p>
    <w:p>
      <w:pPr>
        <w:numPr>
          <w:ilvl w:val="0"/>
          <w:numId w:val="1423"/>
        </w:numPr>
        <w:pStyle w:val="Compact"/>
      </w:pPr>
      <w:r>
        <w:t xml:space="preserve">2009 · Kendrick IP ·</w:t>
      </w:r>
      <w:r>
        <w:t xml:space="preserve"> </w:t>
      </w:r>
      <w:r>
        <w:rPr>
          <w:iCs/>
          <w:i/>
        </w:rPr>
        <w:t xml:space="preserve">Eur J Appl Physiol</w:t>
      </w:r>
      <w:r>
        <w:t xml:space="preserve"> </w:t>
      </w:r>
      <w:r>
        <w:t xml:space="preserve">· The effect of 4 weeks beta-alanine supplementation and isokinetic training on carnosine concentrations in type I and II human skeletal muscle fibres. PMID 19214556</w:t>
      </w:r>
    </w:p>
    <w:p>
      <w:pPr>
        <w:numPr>
          <w:ilvl w:val="0"/>
          <w:numId w:val="1423"/>
        </w:numPr>
        <w:pStyle w:val="Compact"/>
      </w:pPr>
      <w:r>
        <w:t xml:space="preserve">2009 · Kairaluoma L ·</w:t>
      </w:r>
      <w:r>
        <w:t xml:space="preserve"> </w:t>
      </w:r>
      <w:r>
        <w:rPr>
          <w:iCs/>
          <w:i/>
        </w:rPr>
        <w:t xml:space="preserve">Child Care Health Dev</w:t>
      </w:r>
      <w:r>
        <w:t xml:space="preserve"> </w:t>
      </w:r>
      <w:r>
        <w:t xml:space="preserve">· Do fatty acids help in overcoming reading difficulties? A double-blind, placebo-controlled study of the effects of eicosapentaenoic acid and carnosine supplementation on children with dyslexia. PMID 18991979</w:t>
      </w:r>
    </w:p>
    <w:p>
      <w:pPr>
        <w:numPr>
          <w:ilvl w:val="0"/>
          <w:numId w:val="1423"/>
        </w:numPr>
        <w:pStyle w:val="Compact"/>
      </w:pPr>
      <w:r>
        <w:t xml:space="preserve">2007 · Derave W ·</w:t>
      </w:r>
      <w:r>
        <w:t xml:space="preserve"> </w:t>
      </w:r>
      <w:r>
        <w:rPr>
          <w:iCs/>
          <w:i/>
        </w:rPr>
        <w:t xml:space="preserve">J Appl Physiol (1985)</w:t>
      </w:r>
      <w:r>
        <w:t xml:space="preserve"> </w:t>
      </w:r>
      <w:r>
        <w:t xml:space="preserve">· beta-Alanine supplementation augments muscle carnosine content and attenuates fatigue during repeated isokinetic contraction bouts in trained sprinters. PMID 17690198</w:t>
      </w:r>
    </w:p>
    <w:p>
      <w:pPr>
        <w:numPr>
          <w:ilvl w:val="0"/>
          <w:numId w:val="1423"/>
        </w:numPr>
        <w:pStyle w:val="Compact"/>
      </w:pPr>
      <w:r>
        <w:t xml:space="preserve">2007 · Mahmood A ·</w:t>
      </w:r>
      <w:r>
        <w:t xml:space="preserve"> </w:t>
      </w:r>
      <w:r>
        <w:rPr>
          <w:iCs/>
          <w:i/>
        </w:rPr>
        <w:t xml:space="preserve">Gut</w:t>
      </w:r>
      <w:r>
        <w:t xml:space="preserve"> </w:t>
      </w:r>
      <w:r>
        <w:t xml:space="preserve">· Zinc carnosine, a health food supplement that stabilises small bowel integrity and stimulates gut repair processes. PMID 16777920</w:t>
      </w:r>
    </w:p>
    <w:p>
      <w:pPr>
        <w:numPr>
          <w:ilvl w:val="0"/>
          <w:numId w:val="1423"/>
        </w:numPr>
        <w:pStyle w:val="Compact"/>
      </w:pPr>
      <w:r>
        <w:t xml:space="preserve">2006 · Harris RC ·</w:t>
      </w:r>
      <w:r>
        <w:t xml:space="preserve"> </w:t>
      </w:r>
      <w:r>
        <w:rPr>
          <w:iCs/>
          <w:i/>
        </w:rPr>
        <w:t xml:space="preserve">Amino Acids</w:t>
      </w:r>
      <w:r>
        <w:t xml:space="preserve"> </w:t>
      </w:r>
      <w:r>
        <w:t xml:space="preserve">· The absorption of orally supplied beta-alanine and its effect on muscle carnosine synthesis in human vastus lateralis. PMID 16554972</w:t>
      </w:r>
    </w:p>
    <w:p>
      <w:pPr>
        <w:numPr>
          <w:ilvl w:val="0"/>
          <w:numId w:val="1423"/>
        </w:numPr>
        <w:pStyle w:val="Compact"/>
      </w:pPr>
      <w:r>
        <w:t xml:space="preserve">2006 · Suzuki Y ·</w:t>
      </w:r>
      <w:r>
        <w:t xml:space="preserve"> </w:t>
      </w:r>
      <w:r>
        <w:rPr>
          <w:iCs/>
          <w:i/>
        </w:rPr>
        <w:t xml:space="preserve">Med Sci Sports Exerc</w:t>
      </w:r>
      <w:r>
        <w:t xml:space="preserve"> </w:t>
      </w:r>
      <w:r>
        <w:t xml:space="preserve">· Carnosine and anserine ingestion enhances contribution of nonbicarbonate buffering. PMID 16531904</w:t>
      </w:r>
    </w:p>
    <w:p>
      <w:pPr>
        <w:numPr>
          <w:ilvl w:val="0"/>
          <w:numId w:val="1423"/>
        </w:numPr>
        <w:pStyle w:val="Compact"/>
      </w:pPr>
      <w:r>
        <w:t xml:space="preserve">2002 · Chez MG ·</w:t>
      </w:r>
      <w:r>
        <w:t xml:space="preserve"> </w:t>
      </w:r>
      <w:r>
        <w:rPr>
          <w:iCs/>
          <w:i/>
        </w:rPr>
        <w:t xml:space="preserve">J Child Neurol</w:t>
      </w:r>
      <w:r>
        <w:t xml:space="preserve"> </w:t>
      </w:r>
      <w:r>
        <w:t xml:space="preserve">· Double-blind, placebo-controlled study of L-carnosine supplementation in children with autistic spectrum disorders. PMID 12585724</w:t>
      </w:r>
    </w:p>
    <w:bookmarkEnd w:id="3065"/>
    <w:bookmarkStart w:id="3066" w:name="ghk-cu-peptídeo-de-cobre-1"/>
    <w:p>
      <w:pPr>
        <w:pStyle w:val="Heading2"/>
      </w:pPr>
      <w:r>
        <w:t xml:space="preserve">GHK-Cu (peptídeo de cobre) (1)</w:t>
      </w:r>
    </w:p>
    <w:p>
      <w:pPr>
        <w:numPr>
          <w:ilvl w:val="0"/>
          <w:numId w:val="1424"/>
        </w:numPr>
        <w:pStyle w:val="Compact"/>
      </w:pPr>
      <w:r>
        <w:t xml:space="preserve">2006 · Miller TR ·</w:t>
      </w:r>
      <w:r>
        <w:t xml:space="preserve"> </w:t>
      </w:r>
      <w:r>
        <w:rPr>
          <w:iCs/>
          <w:i/>
        </w:rPr>
        <w:t xml:space="preserve">Arch Facial Plast Surg</w:t>
      </w:r>
      <w:r>
        <w:t xml:space="preserve"> </w:t>
      </w:r>
      <w:r>
        <w:t xml:space="preserve">· Effects of topical copper tripeptide complex on CO2 laser-resurfaced skin. PMID 16847171</w:t>
      </w:r>
    </w:p>
    <w:bookmarkEnd w:id="3066"/>
    <w:bookmarkStart w:id="3067" w:name="palmitoil-pentapeptídeo-4-matrixyl-1"/>
    <w:p>
      <w:pPr>
        <w:pStyle w:val="Heading2"/>
      </w:pPr>
      <w:r>
        <w:t xml:space="preserve">Palmitoil pentapeptídeo-4 (Matrixyl) (1)</w:t>
      </w:r>
    </w:p>
    <w:p>
      <w:pPr>
        <w:numPr>
          <w:ilvl w:val="0"/>
          <w:numId w:val="1425"/>
        </w:numPr>
        <w:pStyle w:val="Compact"/>
      </w:pPr>
      <w:r>
        <w:t xml:space="preserve">2004 · Röper B ·</w:t>
      </w:r>
      <w:r>
        <w:t xml:space="preserve"> </w:t>
      </w:r>
      <w:r>
        <w:rPr>
          <w:iCs/>
          <w:i/>
        </w:rPr>
        <w:t xml:space="preserve">Strahlenther Onkol</w:t>
      </w:r>
      <w:r>
        <w:t xml:space="preserve"> </w:t>
      </w:r>
      <w:r>
        <w:t xml:space="preserve">· Thêta-Cream versus Bepanthol lotion in breast cancer patients under radiotherapy. A new prophylactic agent in skin care?. PMID 15127162</w:t>
      </w:r>
    </w:p>
    <w:bookmarkEnd w:id="3067"/>
    <w:bookmarkStart w:id="3068" w:name="acetil-hexapeptídeo-8-argireline-3"/>
    <w:p>
      <w:pPr>
        <w:pStyle w:val="Heading2"/>
      </w:pPr>
      <w:r>
        <w:t xml:space="preserve">Acetil hexapeptídeo-8 (Argireline) (3)</w:t>
      </w:r>
    </w:p>
    <w:p>
      <w:pPr>
        <w:numPr>
          <w:ilvl w:val="0"/>
          <w:numId w:val="1426"/>
        </w:numPr>
        <w:pStyle w:val="Compact"/>
      </w:pPr>
      <w:r>
        <w:t xml:space="preserve">2017 · Raikou V ·</w:t>
      </w:r>
      <w:r>
        <w:t xml:space="preserve"> </w:t>
      </w:r>
      <w:r>
        <w:rPr>
          <w:iCs/>
          <w:i/>
        </w:rPr>
        <w:t xml:space="preserve">J Cosmet Dermatol</w:t>
      </w:r>
      <w:r>
        <w:t xml:space="preserve"> </w:t>
      </w:r>
      <w:r>
        <w:t xml:space="preserve">· The efficacy study of the combination of tripeptide-10-citrulline and acetyl hexapeptide-3. A prospective, randomized controlled study. PMID 28150423</w:t>
      </w:r>
    </w:p>
    <w:p>
      <w:pPr>
        <w:numPr>
          <w:ilvl w:val="0"/>
          <w:numId w:val="1426"/>
        </w:numPr>
        <w:pStyle w:val="Compact"/>
      </w:pPr>
      <w:r>
        <w:t xml:space="preserve">2013 · Wang Y ·</w:t>
      </w:r>
      <w:r>
        <w:t xml:space="preserve"> </w:t>
      </w:r>
      <w:r>
        <w:rPr>
          <w:iCs/>
          <w:i/>
        </w:rPr>
        <w:t xml:space="preserve">Am J Clin Dermatol</w:t>
      </w:r>
      <w:r>
        <w:t xml:space="preserve"> </w:t>
      </w:r>
      <w:r>
        <w:t xml:space="preserve">· The anti-wrinkle efficacy of argireline, a synthetic hexapeptide, in Chinese subjects: a randomized, placebo-controlled study. PMID 23417317</w:t>
      </w:r>
    </w:p>
    <w:p>
      <w:pPr>
        <w:numPr>
          <w:ilvl w:val="0"/>
          <w:numId w:val="1426"/>
        </w:numPr>
        <w:pStyle w:val="Compact"/>
      </w:pPr>
      <w:r>
        <w:t xml:space="preserve">2013 · Lungu C ·</w:t>
      </w:r>
      <w:r>
        <w:t xml:space="preserve"> </w:t>
      </w:r>
      <w:r>
        <w:rPr>
          <w:iCs/>
          <w:i/>
        </w:rPr>
        <w:t xml:space="preserve">Eur J Neurol</w:t>
      </w:r>
      <w:r>
        <w:t xml:space="preserve"> </w:t>
      </w:r>
      <w:r>
        <w:t xml:space="preserve">· Pilot study of topical acetyl hexapeptide-8 in the treatment for blepharospasm in patients receiving botulinum toxin therapy. PMID 23146065</w:t>
      </w:r>
    </w:p>
    <w:bookmarkEnd w:id="3068"/>
    <w:bookmarkEnd w:id="30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r>
        <w:t xml:space="preserve">Krug 2018, PMID 29864719.</w:t>
      </w:r>
    </w:p>
  </w:footnote>
  <w:footnote w:id="40">
    <w:p>
      <w:pPr>
        <w:pStyle w:val="FootnoteText"/>
      </w:pPr>
      <w:r>
        <w:rPr>
          <w:rStyle w:val="FootnoteReference"/>
        </w:rPr>
        <w:footnoteRef/>
      </w:r>
      <w:r>
        <w:t xml:space="preserve"> </w:t>
      </w:r>
      <w:r>
        <w:t xml:space="preserve">Eng 1992, PMID 1313797.</w:t>
      </w:r>
    </w:p>
  </w:footnote>
  <w:footnote w:id="42">
    <w:p>
      <w:pPr>
        <w:pStyle w:val="FootnoteText"/>
      </w:pPr>
      <w:r>
        <w:rPr>
          <w:rStyle w:val="FootnoteReference"/>
        </w:rPr>
        <w:footnoteRef/>
      </w:r>
      <w:r>
        <w:t xml:space="preserve"> </w:t>
      </w:r>
      <w:r>
        <w:t xml:space="preserve">Knudsen 2019, PMID 31031702.</w:t>
      </w:r>
    </w:p>
  </w:footnote>
  <w:footnote w:id="44">
    <w:p>
      <w:pPr>
        <w:pStyle w:val="FootnoteText"/>
      </w:pPr>
      <w:r>
        <w:rPr>
          <w:rStyle w:val="FootnoteReference"/>
        </w:rPr>
        <w:footnoteRef/>
      </w:r>
      <w:r>
        <w:t xml:space="preserve"> </w:t>
      </w:r>
      <w:r>
        <w:t xml:space="preserve">Deacon 1995, PMID 7883856.</w:t>
      </w:r>
    </w:p>
  </w:footnote>
  <w:footnote w:id="45">
    <w:p>
      <w:pPr>
        <w:pStyle w:val="FootnoteText"/>
      </w:pPr>
      <w:r>
        <w:rPr>
          <w:rStyle w:val="FootnoteReference"/>
        </w:rPr>
        <w:footnoteRef/>
      </w:r>
      <w:r>
        <w:t xml:space="preserve"> </w:t>
      </w:r>
      <w:r>
        <w:t xml:space="preserve">Lau 2015, PMID 26308095.</w:t>
      </w:r>
    </w:p>
  </w:footnote>
  <w:footnote w:id="46">
    <w:p>
      <w:pPr>
        <w:pStyle w:val="FootnoteText"/>
      </w:pPr>
      <w:r>
        <w:rPr>
          <w:rStyle w:val="FootnoteReference"/>
        </w:rPr>
        <w:footnoteRef/>
      </w:r>
      <w:r>
        <w:t xml:space="preserve"> </w:t>
      </w:r>
      <w:r>
        <w:t xml:space="preserve">Marso 2016, PMID 27633186.</w:t>
      </w:r>
    </w:p>
  </w:footnote>
  <w:footnote w:id="48">
    <w:p>
      <w:pPr>
        <w:pStyle w:val="FootnoteText"/>
      </w:pPr>
      <w:r>
        <w:rPr>
          <w:rStyle w:val="FootnoteReference"/>
        </w:rPr>
        <w:footnoteRef/>
      </w:r>
      <w:r>
        <w:t xml:space="preserve"> </w:t>
      </w:r>
      <w:r>
        <w:t xml:space="preserve">Merrifield 1969, PMID 4307033.</w:t>
      </w:r>
    </w:p>
  </w:footnote>
  <w:footnote w:id="49">
    <w:p>
      <w:pPr>
        <w:pStyle w:val="FootnoteText"/>
      </w:pPr>
      <w:r>
        <w:rPr>
          <w:rStyle w:val="FootnoteReference"/>
        </w:rPr>
        <w:footnoteRef/>
      </w:r>
      <w:r>
        <w:t xml:space="preserve"> </w:t>
      </w:r>
      <w:r>
        <w:t xml:space="preserve">The 1989, PMID 2690608.</w:t>
      </w:r>
    </w:p>
  </w:footnote>
  <w:footnote w:id="50">
    <w:p>
      <w:pPr>
        <w:pStyle w:val="FootnoteText"/>
      </w:pPr>
      <w:r>
        <w:rPr>
          <w:rStyle w:val="FootnoteReference"/>
        </w:rPr>
        <w:footnoteRef/>
      </w:r>
      <w:r>
        <w:t xml:space="preserve"> </w:t>
      </w:r>
      <w:r>
        <w:t xml:space="preserve">Hach 2024, PMID 39379664.</w:t>
      </w:r>
    </w:p>
  </w:footnote>
  <w:footnote w:id="52">
    <w:p>
      <w:pPr>
        <w:pStyle w:val="FootnoteText"/>
      </w:pPr>
      <w:r>
        <w:rPr>
          <w:rStyle w:val="FootnoteReference"/>
        </w:rPr>
        <w:footnoteRef/>
      </w:r>
      <w:r>
        <w:t xml:space="preserve"> </w:t>
      </w:r>
      <w:r>
        <w:t xml:space="preserve">Muttenthaler 2021, PMID 33536635.</w:t>
      </w:r>
    </w:p>
  </w:footnote>
  <w:footnote w:id="53">
    <w:p>
      <w:pPr>
        <w:pStyle w:val="FootnoteText"/>
      </w:pPr>
      <w:r>
        <w:rPr>
          <w:rStyle w:val="FootnoteReference"/>
        </w:rPr>
        <w:footnoteRef/>
      </w:r>
      <w:r>
        <w:t xml:space="preserve"> </w:t>
      </w:r>
      <w:r>
        <w:t xml:space="preserve">Lau 2018, PMID 28720325.</w:t>
      </w:r>
    </w:p>
  </w:footnote>
  <w:footnote w:id="55">
    <w:p>
      <w:pPr>
        <w:pStyle w:val="FootnoteText"/>
      </w:pPr>
      <w:r>
        <w:rPr>
          <w:rStyle w:val="FootnoteReference"/>
        </w:rPr>
        <w:footnoteRef/>
      </w:r>
      <w:r>
        <w:t xml:space="preserve"> </w:t>
      </w:r>
      <w:r>
        <w:t xml:space="preserve">Cox 2017, PMID 28035768.</w:t>
      </w:r>
    </w:p>
  </w:footnote>
  <w:footnote w:id="58">
    <w:p>
      <w:pPr>
        <w:pStyle w:val="FootnoteText"/>
      </w:pPr>
      <w:r>
        <w:rPr>
          <w:rStyle w:val="FootnoteReference"/>
        </w:rPr>
        <w:footnoteRef/>
      </w:r>
      <w:r>
        <w:t xml:space="preserve"> </w:t>
      </w:r>
      <w:r>
        <w:t xml:space="preserve">Wilding 2021, PMID 33567185.</w:t>
      </w:r>
    </w:p>
  </w:footnote>
  <w:footnote w:id="59">
    <w:p>
      <w:pPr>
        <w:pStyle w:val="FootnoteText"/>
      </w:pPr>
      <w:r>
        <w:rPr>
          <w:rStyle w:val="FootnoteReference"/>
        </w:rPr>
        <w:footnoteRef/>
      </w:r>
      <w:r>
        <w:t xml:space="preserve"> </w:t>
      </w:r>
      <w:r>
        <w:t xml:space="preserve">Hailu 2026, PMID 42437212.</w:t>
      </w:r>
    </w:p>
  </w:footnote>
  <w:footnote w:id="64">
    <w:p>
      <w:pPr>
        <w:pStyle w:val="FootnoteText"/>
      </w:pPr>
      <w:r>
        <w:rPr>
          <w:rStyle w:val="FootnoteReference"/>
        </w:rPr>
        <w:footnoteRef/>
      </w:r>
      <w:r>
        <w:t xml:space="preserve"> </w:t>
      </w:r>
      <w:r>
        <w:t xml:space="preserve">Banting 1922, PMID 20314060.</w:t>
      </w:r>
    </w:p>
  </w:footnote>
  <w:footnote w:id="65">
    <w:p>
      <w:pPr>
        <w:pStyle w:val="FootnoteText"/>
      </w:pPr>
      <w:r>
        <w:rPr>
          <w:rStyle w:val="FootnoteReference"/>
        </w:rPr>
        <w:footnoteRef/>
      </w:r>
      <w:r>
        <w:t xml:space="preserve"> </w:t>
      </w:r>
      <w:r>
        <w:t xml:space="preserve">Sims 2021, PMID 34267380.</w:t>
      </w:r>
    </w:p>
  </w:footnote>
  <w:footnote w:id="66">
    <w:p>
      <w:pPr>
        <w:pStyle w:val="FootnoteText"/>
      </w:pPr>
      <w:r>
        <w:rPr>
          <w:rStyle w:val="FootnoteReference"/>
        </w:rPr>
        <w:footnoteRef/>
      </w:r>
      <w:r>
        <w:t xml:space="preserve"> </w:t>
      </w:r>
      <w:r>
        <w:t xml:space="preserve">Owens 2022, PMID 34708913.</w:t>
      </w:r>
    </w:p>
  </w:footnote>
  <w:footnote w:id="68">
    <w:p>
      <w:pPr>
        <w:pStyle w:val="FootnoteText"/>
      </w:pPr>
      <w:r>
        <w:rPr>
          <w:rStyle w:val="FootnoteReference"/>
        </w:rPr>
        <w:footnoteRef/>
      </w:r>
      <w:r>
        <w:t xml:space="preserve"> </w:t>
      </w:r>
      <w:r>
        <w:t xml:space="preserve">Sanger 1952, PMID 13018185.</w:t>
      </w:r>
    </w:p>
  </w:footnote>
  <w:footnote w:id="69">
    <w:p>
      <w:pPr>
        <w:pStyle w:val="FootnoteText"/>
      </w:pPr>
      <w:r>
        <w:rPr>
          <w:rStyle w:val="FootnoteReference"/>
        </w:rPr>
        <w:footnoteRef/>
      </w:r>
      <w:r>
        <w:t xml:space="preserve"> </w:t>
      </w:r>
      <w:r>
        <w:t xml:space="preserve">Merrifield 1969, PMID 4307033.</w:t>
      </w:r>
    </w:p>
  </w:footnote>
  <w:footnote w:id="71">
    <w:p>
      <w:pPr>
        <w:pStyle w:val="FootnoteText"/>
      </w:pPr>
      <w:r>
        <w:rPr>
          <w:rStyle w:val="FootnoteReference"/>
        </w:rPr>
        <w:footnoteRef/>
      </w:r>
      <w:r>
        <w:t xml:space="preserve"> </w:t>
      </w:r>
      <w:r>
        <w:t xml:space="preserve">Yalow 1960, PMID 13846364.</w:t>
      </w:r>
    </w:p>
  </w:footnote>
  <w:footnote w:id="73">
    <w:p>
      <w:pPr>
        <w:pStyle w:val="FootnoteText"/>
      </w:pPr>
      <w:r>
        <w:rPr>
          <w:rStyle w:val="FootnoteReference"/>
        </w:rPr>
        <w:footnoteRef/>
      </w:r>
      <w:r>
        <w:t xml:space="preserve"> </w:t>
      </w:r>
      <w:r>
        <w:t xml:space="preserve">Ranke 2018, PMID 29546874.</w:t>
      </w:r>
    </w:p>
  </w:footnote>
  <w:footnote w:id="74">
    <w:p>
      <w:pPr>
        <w:pStyle w:val="FootnoteText"/>
      </w:pPr>
      <w:r>
        <w:rPr>
          <w:rStyle w:val="FootnoteReference"/>
        </w:rPr>
        <w:footnoteRef/>
      </w:r>
      <w:r>
        <w:t xml:space="preserve"> </w:t>
      </w:r>
      <w:r>
        <w:t xml:space="preserve">The 1989, PMID 2690608.</w:t>
      </w:r>
    </w:p>
  </w:footnote>
  <w:footnote w:id="75">
    <w:p>
      <w:pPr>
        <w:pStyle w:val="FootnoteText"/>
      </w:pPr>
      <w:r>
        <w:rPr>
          <w:rStyle w:val="FootnoteReference"/>
        </w:rPr>
        <w:footnoteRef/>
      </w:r>
      <w:r>
        <w:t xml:space="preserve"> </w:t>
      </w:r>
      <w:r>
        <w:t xml:space="preserve">Neer 2001, PMID 11346808.</w:t>
      </w:r>
    </w:p>
  </w:footnote>
  <w:footnote w:id="77">
    <w:p>
      <w:pPr>
        <w:pStyle w:val="FootnoteText"/>
      </w:pPr>
      <w:r>
        <w:rPr>
          <w:rStyle w:val="FootnoteReference"/>
        </w:rPr>
        <w:footnoteRef/>
      </w:r>
      <w:r>
        <w:t xml:space="preserve"> </w:t>
      </w:r>
      <w:r>
        <w:t xml:space="preserve">Kreymann 1987, PMID 2890903.</w:t>
      </w:r>
    </w:p>
  </w:footnote>
  <w:footnote w:id="78">
    <w:p>
      <w:pPr>
        <w:pStyle w:val="FootnoteText"/>
      </w:pPr>
      <w:r>
        <w:rPr>
          <w:rStyle w:val="FootnoteReference"/>
        </w:rPr>
        <w:footnoteRef/>
      </w:r>
      <w:r>
        <w:t xml:space="preserve"> </w:t>
      </w:r>
      <w:r>
        <w:t xml:space="preserve">Deacon 1995, PMID 7883856.</w:t>
      </w:r>
    </w:p>
  </w:footnote>
  <w:footnote w:id="80">
    <w:p>
      <w:pPr>
        <w:pStyle w:val="FootnoteText"/>
      </w:pPr>
      <w:r>
        <w:rPr>
          <w:rStyle w:val="FootnoteReference"/>
        </w:rPr>
        <w:footnoteRef/>
      </w:r>
      <w:r>
        <w:t xml:space="preserve"> </w:t>
      </w:r>
      <w:r>
        <w:t xml:space="preserve">Eng 1992, PMID 1313797.</w:t>
      </w:r>
    </w:p>
  </w:footnote>
  <w:footnote w:id="81">
    <w:p>
      <w:pPr>
        <w:pStyle w:val="FootnoteText"/>
      </w:pPr>
      <w:r>
        <w:rPr>
          <w:rStyle w:val="FootnoteReference"/>
        </w:rPr>
        <w:footnoteRef/>
      </w:r>
      <w:r>
        <w:t xml:space="preserve"> </w:t>
      </w:r>
      <w:r>
        <w:t xml:space="preserve">DeFronzo 2005, PMID 15855572.</w:t>
      </w:r>
    </w:p>
  </w:footnote>
  <w:footnote w:id="83">
    <w:p>
      <w:pPr>
        <w:pStyle w:val="FootnoteText"/>
      </w:pPr>
      <w:r>
        <w:rPr>
          <w:rStyle w:val="FootnoteReference"/>
        </w:rPr>
        <w:footnoteRef/>
      </w:r>
      <w:r>
        <w:t xml:space="preserve"> </w:t>
      </w:r>
      <w:r>
        <w:t xml:space="preserve">Knudsen 2019, PMID 31031702.</w:t>
      </w:r>
    </w:p>
  </w:footnote>
  <w:footnote w:id="84">
    <w:p>
      <w:pPr>
        <w:pStyle w:val="FootnoteText"/>
      </w:pPr>
      <w:r>
        <w:rPr>
          <w:rStyle w:val="FootnoteReference"/>
        </w:rPr>
        <w:footnoteRef/>
      </w:r>
      <w:r>
        <w:t xml:space="preserve"> </w:t>
      </w:r>
      <w:r>
        <w:t xml:space="preserve">Pi-Sunyer 2015, PMID 26132939.</w:t>
      </w:r>
    </w:p>
  </w:footnote>
  <w:footnote w:id="85">
    <w:p>
      <w:pPr>
        <w:pStyle w:val="FootnoteText"/>
      </w:pPr>
      <w:r>
        <w:rPr>
          <w:rStyle w:val="FootnoteReference"/>
        </w:rPr>
        <w:footnoteRef/>
      </w:r>
      <w:r>
        <w:t xml:space="preserve"> </w:t>
      </w:r>
      <w:r>
        <w:t xml:space="preserve">Lau 2015, PMID 26308095.</w:t>
      </w:r>
    </w:p>
  </w:footnote>
  <w:footnote w:id="86">
    <w:p>
      <w:pPr>
        <w:pStyle w:val="FootnoteText"/>
      </w:pPr>
      <w:r>
        <w:rPr>
          <w:rStyle w:val="FootnoteReference"/>
        </w:rPr>
        <w:footnoteRef/>
      </w:r>
      <w:r>
        <w:t xml:space="preserve"> </w:t>
      </w:r>
      <w:r>
        <w:t xml:space="preserve">Wilding 2021, PMID 33567185.</w:t>
      </w:r>
    </w:p>
  </w:footnote>
  <w:footnote w:id="88">
    <w:p>
      <w:pPr>
        <w:pStyle w:val="FootnoteText"/>
      </w:pPr>
      <w:r>
        <w:rPr>
          <w:rStyle w:val="FootnoteReference"/>
        </w:rPr>
        <w:footnoteRef/>
      </w:r>
      <w:r>
        <w:t xml:space="preserve"> </w:t>
      </w:r>
      <w:r>
        <w:t xml:space="preserve">Marso 2016, PMID 27295427.</w:t>
      </w:r>
    </w:p>
  </w:footnote>
  <w:footnote w:id="89">
    <w:p>
      <w:pPr>
        <w:pStyle w:val="FootnoteText"/>
      </w:pPr>
      <w:r>
        <w:rPr>
          <w:rStyle w:val="FootnoteReference"/>
        </w:rPr>
        <w:footnoteRef/>
      </w:r>
      <w:r>
        <w:t xml:space="preserve"> </w:t>
      </w:r>
      <w:r>
        <w:t xml:space="preserve">Marso 2016, PMID 27633186.</w:t>
      </w:r>
    </w:p>
  </w:footnote>
  <w:footnote w:id="90">
    <w:p>
      <w:pPr>
        <w:pStyle w:val="FootnoteText"/>
      </w:pPr>
      <w:r>
        <w:rPr>
          <w:rStyle w:val="FootnoteReference"/>
        </w:rPr>
        <w:footnoteRef/>
      </w:r>
      <w:r>
        <w:t xml:space="preserve"> </w:t>
      </w:r>
      <w:r>
        <w:t xml:space="preserve">Lincoff 2023, PMID 37952131.</w:t>
      </w:r>
    </w:p>
  </w:footnote>
  <w:footnote w:id="92">
    <w:p>
      <w:pPr>
        <w:pStyle w:val="FootnoteText"/>
      </w:pPr>
      <w:r>
        <w:rPr>
          <w:rStyle w:val="FootnoteReference"/>
        </w:rPr>
        <w:footnoteRef/>
      </w:r>
      <w:r>
        <w:t xml:space="preserve"> </w:t>
      </w:r>
      <w:r>
        <w:t xml:space="preserve">Aroda 2019, PMID 31186300.</w:t>
      </w:r>
    </w:p>
  </w:footnote>
  <w:footnote w:id="93">
    <w:p>
      <w:pPr>
        <w:pStyle w:val="FootnoteText"/>
      </w:pPr>
      <w:r>
        <w:rPr>
          <w:rStyle w:val="FootnoteReference"/>
        </w:rPr>
        <w:footnoteRef/>
      </w:r>
      <w:r>
        <w:t xml:space="preserve"> </w:t>
      </w:r>
      <w:r>
        <w:t xml:space="preserve">Jastreboff 2022, PMID 35658024.</w:t>
      </w:r>
    </w:p>
  </w:footnote>
  <w:footnote w:id="94">
    <w:p>
      <w:pPr>
        <w:pStyle w:val="FootnoteText"/>
      </w:pPr>
      <w:r>
        <w:rPr>
          <w:rStyle w:val="FootnoteReference"/>
        </w:rPr>
        <w:footnoteRef/>
      </w:r>
      <w:r>
        <w:t xml:space="preserve"> </w:t>
      </w:r>
      <w:r>
        <w:t xml:space="preserve">Kreymann 1987, PMID 2890903.</w:t>
      </w:r>
    </w:p>
  </w:footnote>
  <w:footnote w:id="100">
    <w:p>
      <w:pPr>
        <w:pStyle w:val="FootnoteText"/>
      </w:pPr>
      <w:r>
        <w:rPr>
          <w:rStyle w:val="FootnoteReference"/>
        </w:rPr>
        <w:footnoteRef/>
      </w:r>
      <w:r>
        <w:t xml:space="preserve"> </w:t>
      </w:r>
      <w:r>
        <w:t xml:space="preserve">Drucker 2020, PMID 31848464.</w:t>
      </w:r>
    </w:p>
  </w:footnote>
  <w:footnote w:id="102">
    <w:p>
      <w:pPr>
        <w:pStyle w:val="FootnoteText"/>
      </w:pPr>
      <w:r>
        <w:rPr>
          <w:rStyle w:val="FootnoteReference"/>
        </w:rPr>
        <w:footnoteRef/>
      </w:r>
      <w:r>
        <w:t xml:space="preserve"> </w:t>
      </w:r>
      <w:r>
        <w:t xml:space="preserve">Knudsen 2019, PMID 31031702.</w:t>
      </w:r>
    </w:p>
  </w:footnote>
  <w:footnote w:id="103">
    <w:p>
      <w:pPr>
        <w:pStyle w:val="FootnoteText"/>
      </w:pPr>
      <w:r>
        <w:rPr>
          <w:rStyle w:val="FootnoteReference"/>
        </w:rPr>
        <w:footnoteRef/>
      </w:r>
      <w:r>
        <w:t xml:space="preserve"> </w:t>
      </w:r>
      <w:r>
        <w:t xml:space="preserve">Marso 2016, PMID 27633186.</w:t>
      </w:r>
    </w:p>
  </w:footnote>
  <w:footnote w:id="104">
    <w:p>
      <w:pPr>
        <w:pStyle w:val="FootnoteText"/>
      </w:pPr>
      <w:r>
        <w:rPr>
          <w:rStyle w:val="FootnoteReference"/>
        </w:rPr>
        <w:footnoteRef/>
      </w:r>
      <w:r>
        <w:t xml:space="preserve"> </w:t>
      </w:r>
      <w:r>
        <w:t xml:space="preserve">Lambson 2023, PMID 37392810.</w:t>
      </w:r>
    </w:p>
  </w:footnote>
  <w:footnote w:id="106">
    <w:p>
      <w:pPr>
        <w:pStyle w:val="FootnoteText"/>
      </w:pPr>
      <w:r>
        <w:rPr>
          <w:rStyle w:val="FootnoteReference"/>
        </w:rPr>
        <w:footnoteRef/>
      </w:r>
      <w:r>
        <w:t xml:space="preserve"> </w:t>
      </w:r>
      <w:r>
        <w:t xml:space="preserve">Drucker 2020, PMID 31848464.</w:t>
      </w:r>
    </w:p>
  </w:footnote>
  <w:footnote w:id="108">
    <w:p>
      <w:pPr>
        <w:pStyle w:val="FootnoteText"/>
      </w:pPr>
      <w:r>
        <w:rPr>
          <w:rStyle w:val="FootnoteReference"/>
        </w:rPr>
        <w:footnoteRef/>
      </w:r>
      <w:r>
        <w:t xml:space="preserve"> </w:t>
      </w:r>
      <w:r>
        <w:t xml:space="preserve">Buckley 2018, PMID 30429357.</w:t>
      </w:r>
    </w:p>
  </w:footnote>
  <w:footnote w:id="109">
    <w:p>
      <w:pPr>
        <w:pStyle w:val="FootnoteText"/>
      </w:pPr>
      <w:r>
        <w:rPr>
          <w:rStyle w:val="FootnoteReference"/>
        </w:rPr>
        <w:footnoteRef/>
      </w:r>
      <w:r>
        <w:t xml:space="preserve"> </w:t>
      </w:r>
      <w:r>
        <w:t xml:space="preserve">Vahora 2026, PMID 42687069.</w:t>
      </w:r>
    </w:p>
  </w:footnote>
  <w:footnote w:id="110">
    <w:p>
      <w:pPr>
        <w:pStyle w:val="FootnoteText"/>
      </w:pPr>
      <w:r>
        <w:rPr>
          <w:rStyle w:val="FootnoteReference"/>
        </w:rPr>
        <w:footnoteRef/>
      </w:r>
      <w:r>
        <w:t xml:space="preserve"> </w:t>
      </w:r>
      <w:r>
        <w:t xml:space="preserve">Vahora 2026, PMID 42687069.</w:t>
      </w:r>
    </w:p>
  </w:footnote>
  <w:footnote w:id="111">
    <w:p>
      <w:pPr>
        <w:pStyle w:val="FootnoteText"/>
      </w:pPr>
      <w:r>
        <w:rPr>
          <w:rStyle w:val="FootnoteReference"/>
        </w:rPr>
        <w:footnoteRef/>
      </w:r>
      <w:r>
        <w:t xml:space="preserve"> </w:t>
      </w:r>
      <w:r>
        <w:t xml:space="preserve">Marso 2016, PMID 27633186.</w:t>
      </w:r>
    </w:p>
  </w:footnote>
  <w:footnote w:id="112">
    <w:p>
      <w:pPr>
        <w:pStyle w:val="FootnoteText"/>
      </w:pPr>
      <w:r>
        <w:rPr>
          <w:rStyle w:val="FootnoteReference"/>
        </w:rPr>
        <w:footnoteRef/>
      </w:r>
      <w:r>
        <w:t xml:space="preserve"> </w:t>
      </w:r>
      <w:r>
        <w:t xml:space="preserve">Aroda 2019, PMID 31186300.</w:t>
      </w:r>
    </w:p>
  </w:footnote>
  <w:footnote w:id="113">
    <w:p>
      <w:pPr>
        <w:pStyle w:val="FootnoteText"/>
      </w:pPr>
      <w:r>
        <w:rPr>
          <w:rStyle w:val="FootnoteReference"/>
        </w:rPr>
        <w:footnoteRef/>
      </w:r>
      <w:r>
        <w:t xml:space="preserve"> </w:t>
      </w:r>
      <w:r>
        <w:t xml:space="preserve">Vahora 2026, PMID 42687069.</w:t>
      </w:r>
    </w:p>
  </w:footnote>
  <w:footnote w:id="114">
    <w:p>
      <w:pPr>
        <w:pStyle w:val="FootnoteText"/>
      </w:pPr>
      <w:r>
        <w:rPr>
          <w:rStyle w:val="FootnoteReference"/>
        </w:rPr>
        <w:footnoteRef/>
      </w:r>
      <w:r>
        <w:t xml:space="preserve"> </w:t>
      </w:r>
      <w:r>
        <w:t xml:space="preserve">Aroda 2019, PMID 31186300.</w:t>
      </w:r>
    </w:p>
  </w:footnote>
  <w:footnote w:id="115">
    <w:p>
      <w:pPr>
        <w:pStyle w:val="FootnoteText"/>
      </w:pPr>
      <w:r>
        <w:rPr>
          <w:rStyle w:val="FootnoteReference"/>
        </w:rPr>
        <w:footnoteRef/>
      </w:r>
      <w:r>
        <w:t xml:space="preserve"> </w:t>
      </w:r>
      <w:r>
        <w:t xml:space="preserve">Knop 2023, PMID 37385278.</w:t>
      </w:r>
    </w:p>
  </w:footnote>
  <w:footnote w:id="116">
    <w:p>
      <w:pPr>
        <w:pStyle w:val="FootnoteText"/>
      </w:pPr>
      <w:r>
        <w:rPr>
          <w:rStyle w:val="FootnoteReference"/>
        </w:rPr>
        <w:footnoteRef/>
      </w:r>
      <w:r>
        <w:t xml:space="preserve"> </w:t>
      </w:r>
      <w:r>
        <w:t xml:space="preserve">Hach 2024, PMID 39379664.</w:t>
      </w:r>
    </w:p>
  </w:footnote>
  <w:footnote w:id="118">
    <w:p>
      <w:pPr>
        <w:pStyle w:val="FootnoteText"/>
      </w:pPr>
      <w:r>
        <w:rPr>
          <w:rStyle w:val="FootnoteReference"/>
        </w:rPr>
        <w:footnoteRef/>
      </w:r>
      <w:r>
        <w:t xml:space="preserve"> </w:t>
      </w:r>
      <w:r>
        <w:t xml:space="preserve">Sugihara 2012, PMID 22040651.</w:t>
      </w:r>
    </w:p>
  </w:footnote>
  <w:footnote w:id="120">
    <w:p>
      <w:pPr>
        <w:pStyle w:val="FootnoteText"/>
      </w:pPr>
      <w:r>
        <w:rPr>
          <w:rStyle w:val="FootnoteReference"/>
        </w:rPr>
        <w:footnoteRef/>
      </w:r>
      <w:r>
        <w:t xml:space="preserve"> </w:t>
      </w:r>
      <w:r>
        <w:t xml:space="preserve">Belcourt 2026, PMID 41689811.</w:t>
      </w:r>
    </w:p>
  </w:footnote>
  <w:footnote w:id="122">
    <w:p>
      <w:pPr>
        <w:pStyle w:val="FootnoteText"/>
      </w:pPr>
      <w:r>
        <w:rPr>
          <w:rStyle w:val="FootnoteReference"/>
        </w:rPr>
        <w:footnoteRef/>
      </w:r>
      <w:r>
        <w:t xml:space="preserve"> </w:t>
      </w:r>
      <w:r>
        <w:t xml:space="preserve">Leng 2016, PMID 26049207.</w:t>
      </w:r>
    </w:p>
  </w:footnote>
  <w:footnote w:id="124">
    <w:p>
      <w:pPr>
        <w:pStyle w:val="FootnoteText"/>
      </w:pPr>
      <w:r>
        <w:rPr>
          <w:rStyle w:val="FootnoteReference"/>
        </w:rPr>
        <w:footnoteRef/>
      </w:r>
      <w:r>
        <w:t xml:space="preserve"> </w:t>
      </w:r>
      <w:r>
        <w:t xml:space="preserve">Heinemann 2008, PMID 19885220.</w:t>
      </w:r>
    </w:p>
  </w:footnote>
  <w:footnote w:id="126">
    <w:p>
      <w:pPr>
        <w:pStyle w:val="FootnoteText"/>
      </w:pPr>
      <w:r>
        <w:rPr>
          <w:rStyle w:val="FootnoteReference"/>
        </w:rPr>
        <w:footnoteRef/>
      </w:r>
      <w:r>
        <w:t xml:space="preserve"> </w:t>
      </w:r>
      <w:r>
        <w:t xml:space="preserve">Bos 2000, PMID 10839713.</w:t>
      </w:r>
    </w:p>
  </w:footnote>
  <w:footnote w:id="128">
    <w:p>
      <w:pPr>
        <w:pStyle w:val="FootnoteText"/>
      </w:pPr>
      <w:r>
        <w:rPr>
          <w:rStyle w:val="FootnoteReference"/>
        </w:rPr>
        <w:footnoteRef/>
      </w:r>
      <w:r>
        <w:t xml:space="preserve"> </w:t>
      </w:r>
      <w:r>
        <w:t xml:space="preserve">Hach 2024, PMID 39379664.</w:t>
      </w:r>
    </w:p>
  </w:footnote>
  <w:footnote w:id="130">
    <w:p>
      <w:pPr>
        <w:pStyle w:val="FootnoteText"/>
      </w:pPr>
      <w:r>
        <w:rPr>
          <w:rStyle w:val="FootnoteReference"/>
        </w:rPr>
        <w:footnoteRef/>
      </w:r>
      <w:r>
        <w:t xml:space="preserve"> </w:t>
      </w:r>
      <w:r>
        <w:t xml:space="preserve">Hach 2024, PMID 39379664.</w:t>
      </w:r>
    </w:p>
  </w:footnote>
  <w:footnote w:id="137">
    <w:p>
      <w:pPr>
        <w:pStyle w:val="FootnoteText"/>
      </w:pPr>
      <w:r>
        <w:rPr>
          <w:rStyle w:val="FootnoteReference"/>
        </w:rPr>
        <w:footnoteRef/>
      </w:r>
      <w:r>
        <w:t xml:space="preserve"> </w:t>
      </w:r>
      <w:r>
        <w:t xml:space="preserve">Perel 2007, PMID 17175568.</w:t>
      </w:r>
    </w:p>
  </w:footnote>
  <w:footnote w:id="141">
    <w:p>
      <w:pPr>
        <w:pStyle w:val="FootnoteText"/>
      </w:pPr>
      <w:r>
        <w:rPr>
          <w:rStyle w:val="FootnoteReference"/>
        </w:rPr>
        <w:footnoteRef/>
      </w:r>
      <w:r>
        <w:t xml:space="preserve"> </w:t>
      </w:r>
      <w:r>
        <w:t xml:space="preserve">Wilding 2021, PMID 33567185.</w:t>
      </w:r>
    </w:p>
  </w:footnote>
  <w:footnote w:id="142">
    <w:p>
      <w:pPr>
        <w:pStyle w:val="FootnoteText"/>
      </w:pPr>
      <w:r>
        <w:rPr>
          <w:rStyle w:val="FootnoteReference"/>
        </w:rPr>
        <w:footnoteRef/>
      </w:r>
      <w:r>
        <w:t xml:space="preserve"> </w:t>
      </w:r>
      <w:r>
        <w:t xml:space="preserve">Mendias 2026, PMID 41966639.</w:t>
      </w:r>
    </w:p>
  </w:footnote>
  <w:footnote w:id="145">
    <w:p>
      <w:pPr>
        <w:pStyle w:val="FootnoteText"/>
      </w:pPr>
      <w:r>
        <w:rPr>
          <w:rStyle w:val="FootnoteReference"/>
        </w:rPr>
        <w:footnoteRef/>
      </w:r>
      <w:r>
        <w:t xml:space="preserve"> </w:t>
      </w:r>
      <w:r>
        <w:t xml:space="preserve">Echt 1991, PMID 1900101.</w:t>
      </w:r>
    </w:p>
  </w:footnote>
  <w:footnote w:id="147">
    <w:p>
      <w:pPr>
        <w:pStyle w:val="FootnoteText"/>
      </w:pPr>
      <w:r>
        <w:rPr>
          <w:rStyle w:val="FootnoteReference"/>
        </w:rPr>
        <w:footnoteRef/>
      </w:r>
      <w:r>
        <w:t xml:space="preserve"> </w:t>
      </w:r>
      <w:r>
        <w:t xml:space="preserve">Lincoff 2023, PMID 37952131.</w:t>
      </w:r>
    </w:p>
  </w:footnote>
  <w:footnote w:id="148">
    <w:p>
      <w:pPr>
        <w:pStyle w:val="FootnoteText"/>
      </w:pPr>
      <w:r>
        <w:rPr>
          <w:rStyle w:val="FootnoteReference"/>
        </w:rPr>
        <w:footnoteRef/>
      </w:r>
      <w:r>
        <w:t xml:space="preserve"> </w:t>
      </w:r>
      <w:r>
        <w:t xml:space="preserve">Lincoff 2023, PMID 37952131.</w:t>
      </w:r>
    </w:p>
  </w:footnote>
  <w:footnote w:id="150">
    <w:p>
      <w:pPr>
        <w:pStyle w:val="FootnoteText"/>
      </w:pPr>
      <w:r>
        <w:rPr>
          <w:rStyle w:val="FootnoteReference"/>
        </w:rPr>
        <w:footnoteRef/>
      </w:r>
      <w:r>
        <w:t xml:space="preserve"> </w:t>
      </w:r>
      <w:r>
        <w:t xml:space="preserve">Wilding 2021, PMID 33567185.</w:t>
      </w:r>
    </w:p>
  </w:footnote>
  <w:footnote w:id="152">
    <w:p>
      <w:pPr>
        <w:pStyle w:val="FootnoteText"/>
      </w:pPr>
      <w:r>
        <w:rPr>
          <w:rStyle w:val="FootnoteReference"/>
        </w:rPr>
        <w:footnoteRef/>
      </w:r>
      <w:r>
        <w:t xml:space="preserve"> </w:t>
      </w:r>
      <w:r>
        <w:t xml:space="preserve">Aroda 2019, PMID 31186300.</w:t>
      </w:r>
    </w:p>
  </w:footnote>
  <w:footnote w:id="154">
    <w:p>
      <w:pPr>
        <w:pStyle w:val="FootnoteText"/>
      </w:pPr>
      <w:r>
        <w:rPr>
          <w:rStyle w:val="FootnoteReference"/>
        </w:rPr>
        <w:footnoteRef/>
      </w:r>
      <w:r>
        <w:t xml:space="preserve"> </w:t>
      </w:r>
      <w:r>
        <w:t xml:space="preserve">Ioannidis 2005, PMID 16060722.</w:t>
      </w:r>
    </w:p>
  </w:footnote>
  <w:footnote w:id="156">
    <w:p>
      <w:pPr>
        <w:pStyle w:val="FootnoteText"/>
      </w:pPr>
      <w:r>
        <w:rPr>
          <w:rStyle w:val="FootnoteReference"/>
        </w:rPr>
        <w:footnoteRef/>
      </w:r>
      <w:r>
        <w:t xml:space="preserve"> </w:t>
      </w:r>
      <w:r>
        <w:t xml:space="preserve">Lundh 2017, PMID 28207928.</w:t>
      </w:r>
    </w:p>
  </w:footnote>
  <w:footnote w:id="158">
    <w:p>
      <w:pPr>
        <w:pStyle w:val="FootnoteText"/>
      </w:pPr>
      <w:r>
        <w:rPr>
          <w:rStyle w:val="FootnoteReference"/>
        </w:rPr>
        <w:footnoteRef/>
      </w:r>
      <w:r>
        <w:t xml:space="preserve"> </w:t>
      </w:r>
      <w:r>
        <w:t xml:space="preserve">Turner 2008, PMID 18199864.</w:t>
      </w:r>
    </w:p>
  </w:footnote>
  <w:footnote w:id="160">
    <w:p>
      <w:pPr>
        <w:pStyle w:val="FootnoteText"/>
      </w:pPr>
      <w:r>
        <w:rPr>
          <w:rStyle w:val="FootnoteReference"/>
        </w:rPr>
        <w:footnoteRef/>
      </w:r>
      <w:r>
        <w:t xml:space="preserve"> </w:t>
      </w:r>
      <w:r>
        <w:t xml:space="preserve">DeAngelis 2004, PMID 15355936.</w:t>
      </w:r>
    </w:p>
  </w:footnote>
  <w:footnote w:id="167">
    <w:p>
      <w:pPr>
        <w:pStyle w:val="FootnoteText"/>
      </w:pPr>
      <w:r>
        <w:rPr>
          <w:rStyle w:val="FootnoteReference"/>
        </w:rPr>
        <w:footnoteRef/>
      </w:r>
      <w:r>
        <w:t xml:space="preserve"> </w:t>
      </w:r>
      <w:r>
        <w:t xml:space="preserve">Belcourt 2025, PMID 39285774.</w:t>
      </w:r>
    </w:p>
  </w:footnote>
  <w:footnote w:id="168">
    <w:p>
      <w:pPr>
        <w:pStyle w:val="FootnoteText"/>
      </w:pPr>
      <w:r>
        <w:rPr>
          <w:rStyle w:val="FootnoteReference"/>
        </w:rPr>
        <w:footnoteRef/>
      </w:r>
      <w:r>
        <w:t xml:space="preserve"> </w:t>
      </w:r>
      <w:r>
        <w:t xml:space="preserve">Sedensky 2026, PMID 42541373.</w:t>
      </w:r>
    </w:p>
  </w:footnote>
  <w:footnote w:id="170">
    <w:p>
      <w:pPr>
        <w:pStyle w:val="FootnoteText"/>
      </w:pPr>
      <w:r>
        <w:rPr>
          <w:rStyle w:val="FootnoteReference"/>
        </w:rPr>
        <w:footnoteRef/>
      </w:r>
      <w:r>
        <w:t xml:space="preserve"> </w:t>
      </w:r>
      <w:r>
        <w:t xml:space="preserve">Ashraf 2024, PMID 39509151.</w:t>
      </w:r>
    </w:p>
  </w:footnote>
  <w:footnote w:id="172">
    <w:p>
      <w:pPr>
        <w:pStyle w:val="FootnoteText"/>
      </w:pPr>
      <w:r>
        <w:rPr>
          <w:rStyle w:val="FootnoteReference"/>
        </w:rPr>
        <w:footnoteRef/>
      </w:r>
      <w:r>
        <w:t xml:space="preserve"> </w:t>
      </w:r>
      <w:r>
        <w:t xml:space="preserve">Hach 2024, PMID 39379664.</w:t>
      </w:r>
    </w:p>
  </w:footnote>
  <w:footnote w:id="174">
    <w:p>
      <w:pPr>
        <w:pStyle w:val="FootnoteText"/>
      </w:pPr>
      <w:r>
        <w:rPr>
          <w:rStyle w:val="FootnoteReference"/>
        </w:rPr>
        <w:footnoteRef/>
      </w:r>
      <w:r>
        <w:t xml:space="preserve"> </w:t>
      </w:r>
      <w:r>
        <w:t xml:space="preserve">Breindahl 2015, PMID 24771717.</w:t>
      </w:r>
    </w:p>
  </w:footnote>
  <w:footnote w:id="176">
    <w:p>
      <w:pPr>
        <w:pStyle w:val="FootnoteText"/>
      </w:pPr>
      <w:r>
        <w:rPr>
          <w:rStyle w:val="FootnoteReference"/>
        </w:rPr>
        <w:footnoteRef/>
      </w:r>
      <w:r>
        <w:t xml:space="preserve"> </w:t>
      </w:r>
      <w:r>
        <w:t xml:space="preserve">Kohler 2010, PMID 21204286.</w:t>
      </w:r>
    </w:p>
  </w:footnote>
  <w:footnote w:id="177">
    <w:p>
      <w:pPr>
        <w:pStyle w:val="FootnoteText"/>
      </w:pPr>
      <w:r>
        <w:rPr>
          <w:rStyle w:val="FootnoteReference"/>
        </w:rPr>
        <w:footnoteRef/>
      </w:r>
      <w:r>
        <w:t xml:space="preserve"> </w:t>
      </w:r>
      <w:r>
        <w:t xml:space="preserve">Thomas 2010, PMID 20878896.</w:t>
      </w:r>
    </w:p>
  </w:footnote>
  <w:footnote w:id="178">
    <w:p>
      <w:pPr>
        <w:pStyle w:val="FootnoteText"/>
      </w:pPr>
      <w:r>
        <w:rPr>
          <w:rStyle w:val="FootnoteReference"/>
        </w:rPr>
        <w:footnoteRef/>
      </w:r>
      <w:r>
        <w:t xml:space="preserve"> </w:t>
      </w:r>
      <w:r>
        <w:t xml:space="preserve">Krug 2014, PMID 25168622.</w:t>
      </w:r>
    </w:p>
  </w:footnote>
  <w:footnote w:id="179">
    <w:p>
      <w:pPr>
        <w:pStyle w:val="FootnoteText"/>
      </w:pPr>
      <w:r>
        <w:rPr>
          <w:rStyle w:val="FootnoteReference"/>
        </w:rPr>
        <w:footnoteRef/>
      </w:r>
      <w:r>
        <w:t xml:space="preserve"> </w:t>
      </w:r>
      <w:r>
        <w:t xml:space="preserve">Hullstein 2015, PMID 26607218.</w:t>
      </w:r>
    </w:p>
  </w:footnote>
  <w:footnote w:id="180">
    <w:p>
      <w:pPr>
        <w:pStyle w:val="FootnoteText"/>
      </w:pPr>
      <w:r>
        <w:rPr>
          <w:rStyle w:val="FootnoteReference"/>
        </w:rPr>
        <w:footnoteRef/>
      </w:r>
      <w:r>
        <w:t xml:space="preserve"> </w:t>
      </w:r>
      <w:r>
        <w:t xml:space="preserve">Krug 2018, PMID 29864719.</w:t>
      </w:r>
    </w:p>
  </w:footnote>
  <w:footnote w:id="181">
    <w:p>
      <w:pPr>
        <w:pStyle w:val="FootnoteText"/>
      </w:pPr>
      <w:r>
        <w:rPr>
          <w:rStyle w:val="FootnoteReference"/>
        </w:rPr>
        <w:footnoteRef/>
      </w:r>
      <w:r>
        <w:t xml:space="preserve"> </w:t>
      </w:r>
      <w:r>
        <w:t xml:space="preserve">Cox 2017, PMID 28035768.</w:t>
      </w:r>
    </w:p>
  </w:footnote>
  <w:footnote w:id="182">
    <w:p>
      <w:pPr>
        <w:pStyle w:val="FootnoteText"/>
      </w:pPr>
      <w:r>
        <w:rPr>
          <w:rStyle w:val="FootnoteReference"/>
        </w:rPr>
        <w:footnoteRef/>
      </w:r>
      <w:r>
        <w:t xml:space="preserve"> </w:t>
      </w:r>
      <w:r>
        <w:t xml:space="preserve">Janvier 2018, PMID 30165334.</w:t>
      </w:r>
    </w:p>
  </w:footnote>
  <w:footnote w:id="186">
    <w:p>
      <w:pPr>
        <w:pStyle w:val="FootnoteText"/>
      </w:pPr>
      <w:r>
        <w:rPr>
          <w:rStyle w:val="FootnoteReference"/>
        </w:rPr>
        <w:footnoteRef/>
      </w:r>
      <w:r>
        <w:t xml:space="preserve"> </w:t>
      </w:r>
      <w:r>
        <w:t xml:space="preserve">Ashraf 2024, PMID 39509151.</w:t>
      </w:r>
    </w:p>
  </w:footnote>
  <w:footnote w:id="188">
    <w:p>
      <w:pPr>
        <w:pStyle w:val="FootnoteText"/>
      </w:pPr>
      <w:r>
        <w:rPr>
          <w:rStyle w:val="FootnoteReference"/>
        </w:rPr>
        <w:footnoteRef/>
      </w:r>
      <w:r>
        <w:t xml:space="preserve"> </w:t>
      </w:r>
      <w:r>
        <w:t xml:space="preserve">Ashraf 2024, PMID 39509151.</w:t>
      </w:r>
    </w:p>
  </w:footnote>
  <w:footnote w:id="190">
    <w:p>
      <w:pPr>
        <w:pStyle w:val="FootnoteText"/>
      </w:pPr>
      <w:r>
        <w:rPr>
          <w:rStyle w:val="FootnoteReference"/>
        </w:rPr>
        <w:footnoteRef/>
      </w:r>
      <w:r>
        <w:t xml:space="preserve"> </w:t>
      </w:r>
      <w:r>
        <w:t xml:space="preserve">Lambson 2023, PMID 37392810.</w:t>
      </w:r>
    </w:p>
  </w:footnote>
  <w:footnote w:id="192">
    <w:p>
      <w:pPr>
        <w:pStyle w:val="FootnoteText"/>
      </w:pPr>
      <w:r>
        <w:rPr>
          <w:rStyle w:val="FootnoteReference"/>
        </w:rPr>
        <w:footnoteRef/>
      </w:r>
      <w:r>
        <w:t xml:space="preserve"> </w:t>
      </w:r>
      <w:r>
        <w:t xml:space="preserve">Ruder 2024, PMID 39028647.</w:t>
      </w:r>
    </w:p>
  </w:footnote>
  <w:footnote w:id="193">
    <w:p>
      <w:pPr>
        <w:pStyle w:val="FootnoteText"/>
      </w:pPr>
      <w:r>
        <w:rPr>
          <w:rStyle w:val="FootnoteReference"/>
        </w:rPr>
        <w:footnoteRef/>
      </w:r>
      <w:r>
        <w:t xml:space="preserve"> </w:t>
      </w:r>
      <w:r>
        <w:t xml:space="preserve">Antonacci 2026, PMID 41125326.</w:t>
      </w:r>
    </w:p>
  </w:footnote>
  <w:footnote w:id="194">
    <w:p>
      <w:pPr>
        <w:pStyle w:val="FootnoteText"/>
      </w:pPr>
      <w:r>
        <w:rPr>
          <w:rStyle w:val="FootnoteReference"/>
        </w:rPr>
        <w:footnoteRef/>
      </w:r>
      <w:r>
        <w:t xml:space="preserve"> </w:t>
      </w:r>
      <w:r>
        <w:t xml:space="preserve">Stammers 2026, PMID 42390457.</w:t>
      </w:r>
    </w:p>
  </w:footnote>
  <w:footnote w:id="195">
    <w:p>
      <w:pPr>
        <w:pStyle w:val="FootnoteText"/>
      </w:pPr>
      <w:r>
        <w:rPr>
          <w:rStyle w:val="FootnoteReference"/>
        </w:rPr>
        <w:footnoteRef/>
      </w:r>
      <w:r>
        <w:t xml:space="preserve"> </w:t>
      </w:r>
      <w:r>
        <w:t xml:space="preserve">Zinzi 2026, PMID 42137313.</w:t>
      </w:r>
    </w:p>
  </w:footnote>
  <w:footnote w:id="197">
    <w:p>
      <w:pPr>
        <w:pStyle w:val="FootnoteText"/>
      </w:pPr>
      <w:r>
        <w:rPr>
          <w:rStyle w:val="FootnoteReference"/>
        </w:rPr>
        <w:footnoteRef/>
      </w:r>
      <w:r>
        <w:t xml:space="preserve"> </w:t>
      </w:r>
      <w:r>
        <w:t xml:space="preserve">Rubin 2026, PMID 42853576.</w:t>
      </w:r>
    </w:p>
  </w:footnote>
  <w:footnote w:id="198">
    <w:p>
      <w:pPr>
        <w:pStyle w:val="FootnoteText"/>
      </w:pPr>
      <w:r>
        <w:rPr>
          <w:rStyle w:val="FootnoteReference"/>
        </w:rPr>
        <w:footnoteRef/>
      </w:r>
      <w:r>
        <w:t xml:space="preserve"> </w:t>
      </w:r>
      <w:r>
        <w:t xml:space="preserve">Buzzi 2026, PMID 42843917.</w:t>
      </w:r>
    </w:p>
  </w:footnote>
  <w:footnote w:id="200">
    <w:p>
      <w:pPr>
        <w:pStyle w:val="FootnoteText"/>
      </w:pPr>
      <w:r>
        <w:rPr>
          <w:rStyle w:val="FootnoteReference"/>
        </w:rPr>
        <w:footnoteRef/>
      </w:r>
      <w:r>
        <w:t xml:space="preserve"> </w:t>
      </w:r>
      <w:r>
        <w:t xml:space="preserve">Nelson 2012, PMID 23121206.</w:t>
      </w:r>
    </w:p>
  </w:footnote>
  <w:footnote w:id="201">
    <w:p>
      <w:pPr>
        <w:pStyle w:val="FootnoteText"/>
      </w:pPr>
      <w:r>
        <w:rPr>
          <w:rStyle w:val="FootnoteReference"/>
        </w:rPr>
        <w:footnoteRef/>
      </w:r>
      <w:r>
        <w:t xml:space="preserve"> </w:t>
      </w:r>
      <w:r>
        <w:t xml:space="preserve">Moiz 2026, PMID 42757290.</w:t>
      </w:r>
    </w:p>
  </w:footnote>
  <w:footnote w:id="202">
    <w:p>
      <w:pPr>
        <w:pStyle w:val="FootnoteText"/>
      </w:pPr>
      <w:r>
        <w:rPr>
          <w:rStyle w:val="FootnoteReference"/>
        </w:rPr>
        <w:footnoteRef/>
      </w:r>
      <w:r>
        <w:t xml:space="preserve"> </w:t>
      </w:r>
      <w:r>
        <w:t xml:space="preserve">Mendias 2026, PMID 41966639.</w:t>
      </w:r>
    </w:p>
  </w:footnote>
  <w:footnote w:id="204">
    <w:p>
      <w:pPr>
        <w:pStyle w:val="FootnoteText"/>
      </w:pPr>
      <w:r>
        <w:rPr>
          <w:rStyle w:val="FootnoteReference"/>
        </w:rPr>
        <w:footnoteRef/>
      </w:r>
      <w:r>
        <w:t xml:space="preserve"> </w:t>
      </w:r>
      <w:r>
        <w:t xml:space="preserve">McCall 2026, PMID 40285721.</w:t>
      </w:r>
    </w:p>
  </w:footnote>
  <w:footnote w:id="205">
    <w:p>
      <w:pPr>
        <w:pStyle w:val="FootnoteText"/>
      </w:pPr>
      <w:r>
        <w:rPr>
          <w:rStyle w:val="FootnoteReference"/>
        </w:rPr>
        <w:footnoteRef/>
      </w:r>
      <w:r>
        <w:t xml:space="preserve"> </w:t>
      </w:r>
      <w:r>
        <w:t xml:space="preserve">Belcourt 2026, PMID 41689811.</w:t>
      </w:r>
    </w:p>
  </w:footnote>
  <w:footnote w:id="207">
    <w:p>
      <w:pPr>
        <w:pStyle w:val="FootnoteText"/>
      </w:pPr>
      <w:r>
        <w:rPr>
          <w:rStyle w:val="FootnoteReference"/>
        </w:rPr>
        <w:footnoteRef/>
      </w:r>
      <w:r>
        <w:t xml:space="preserve"> </w:t>
      </w:r>
      <w:r>
        <w:t xml:space="preserve">Hailu 2026, PMID 42437212.</w:t>
      </w:r>
    </w:p>
  </w:footnote>
  <w:footnote w:id="215">
    <w:p>
      <w:pPr>
        <w:pStyle w:val="FootnoteText"/>
      </w:pPr>
      <w:r>
        <w:rPr>
          <w:rStyle w:val="FootnoteReference"/>
        </w:rPr>
        <w:footnoteRef/>
      </w:r>
      <w:r>
        <w:t xml:space="preserve"> </w:t>
      </w:r>
      <w:r>
        <w:t xml:space="preserve">Thomas 2010, PMID 20878896.</w:t>
      </w:r>
    </w:p>
  </w:footnote>
  <w:footnote w:id="221">
    <w:p>
      <w:pPr>
        <w:pStyle w:val="FootnoteText"/>
      </w:pPr>
      <w:r>
        <w:rPr>
          <w:rStyle w:val="FootnoteReference"/>
        </w:rPr>
        <w:footnoteRef/>
      </w:r>
      <w:r>
        <w:t xml:space="preserve"> </w:t>
      </w:r>
      <w:r>
        <w:t xml:space="preserve">Belcourt 2026, PMID 41689811.</w:t>
      </w:r>
    </w:p>
  </w:footnote>
  <w:footnote w:id="222">
    <w:p>
      <w:pPr>
        <w:pStyle w:val="FootnoteText"/>
      </w:pPr>
      <w:r>
        <w:rPr>
          <w:rStyle w:val="FootnoteReference"/>
        </w:rPr>
        <w:footnoteRef/>
      </w:r>
      <w:r>
        <w:t xml:space="preserve"> </w:t>
      </w:r>
      <w:r>
        <w:t xml:space="preserve">Belcourt 2025, PMID 39285774.</w:t>
      </w:r>
    </w:p>
  </w:footnote>
  <w:footnote w:id="224">
    <w:p>
      <w:pPr>
        <w:pStyle w:val="FootnoteText"/>
      </w:pPr>
      <w:r>
        <w:rPr>
          <w:rStyle w:val="FootnoteReference"/>
        </w:rPr>
        <w:footnoteRef/>
      </w:r>
      <w:r>
        <w:t xml:space="preserve"> </w:t>
      </w:r>
      <w:r>
        <w:t xml:space="preserve">Cox 2017, PMID 28035768.</w:t>
      </w:r>
    </w:p>
  </w:footnote>
  <w:footnote w:id="234">
    <w:p>
      <w:pPr>
        <w:pStyle w:val="FootnoteText"/>
      </w:pPr>
      <w:r>
        <w:rPr>
          <w:rStyle w:val="FootnoteReference"/>
        </w:rPr>
        <w:footnoteRef/>
      </w:r>
      <w:r>
        <w:t xml:space="preserve"> </w:t>
      </w:r>
      <w:r>
        <w:t xml:space="preserve">Eng 1992, PMID 1313797.</w:t>
      </w:r>
    </w:p>
  </w:footnote>
  <w:footnote w:id="237">
    <w:p>
      <w:pPr>
        <w:pStyle w:val="FootnoteText"/>
      </w:pPr>
      <w:r>
        <w:rPr>
          <w:rStyle w:val="FootnoteReference"/>
        </w:rPr>
        <w:footnoteRef/>
      </w:r>
      <w:r>
        <w:t xml:space="preserve"> </w:t>
      </w:r>
      <w:r>
        <w:t xml:space="preserve">Heine 2005, PMID 16230722.</w:t>
      </w:r>
    </w:p>
  </w:footnote>
  <w:footnote w:id="239">
    <w:p>
      <w:pPr>
        <w:pStyle w:val="FootnoteText"/>
      </w:pPr>
      <w:r>
        <w:rPr>
          <w:rStyle w:val="FootnoteReference"/>
        </w:rPr>
        <w:footnoteRef/>
      </w:r>
      <w:r>
        <w:t xml:space="preserve"> </w:t>
      </w:r>
      <w:r>
        <w:t xml:space="preserve">Wysham 2015, PMID 25744115.</w:t>
      </w:r>
    </w:p>
  </w:footnote>
  <w:footnote w:id="240">
    <w:p>
      <w:pPr>
        <w:pStyle w:val="FootnoteText"/>
      </w:pPr>
      <w:r>
        <w:rPr>
          <w:rStyle w:val="FootnoteReference"/>
        </w:rPr>
        <w:footnoteRef/>
      </w:r>
      <w:r>
        <w:t xml:space="preserve"> </w:t>
      </w:r>
      <w:r>
        <w:t xml:space="preserve">Bergenstal 2010, PMID 20580422.</w:t>
      </w:r>
    </w:p>
  </w:footnote>
  <w:footnote w:id="241">
    <w:p>
      <w:pPr>
        <w:pStyle w:val="FootnoteText"/>
      </w:pPr>
      <w:r>
        <w:rPr>
          <w:rStyle w:val="FootnoteReference"/>
        </w:rPr>
        <w:footnoteRef/>
      </w:r>
      <w:r>
        <w:t xml:space="preserve"> </w:t>
      </w:r>
      <w:r>
        <w:t xml:space="preserve">Diamant 2010, PMID 20609969.</w:t>
      </w:r>
    </w:p>
  </w:footnote>
  <w:footnote w:id="243">
    <w:p>
      <w:pPr>
        <w:pStyle w:val="FootnoteText"/>
      </w:pPr>
      <w:r>
        <w:rPr>
          <w:rStyle w:val="FootnoteReference"/>
        </w:rPr>
        <w:footnoteRef/>
      </w:r>
      <w:r>
        <w:t xml:space="preserve"> </w:t>
      </w:r>
      <w:r>
        <w:t xml:space="preserve">Buse 2013, PMID 23141817.</w:t>
      </w:r>
    </w:p>
  </w:footnote>
  <w:footnote w:id="244">
    <w:p>
      <w:pPr>
        <w:pStyle w:val="FootnoteText"/>
      </w:pPr>
      <w:r>
        <w:rPr>
          <w:rStyle w:val="FootnoteReference"/>
        </w:rPr>
        <w:footnoteRef/>
      </w:r>
      <w:r>
        <w:t xml:space="preserve"> </w:t>
      </w:r>
      <w:r>
        <w:t xml:space="preserve">Ahmann 2018, PMID 29246950.</w:t>
      </w:r>
    </w:p>
  </w:footnote>
  <w:footnote w:id="246">
    <w:p>
      <w:pPr>
        <w:pStyle w:val="FootnoteText"/>
      </w:pPr>
      <w:r>
        <w:rPr>
          <w:rStyle w:val="FootnoteReference"/>
        </w:rPr>
        <w:footnoteRef/>
      </w:r>
      <w:r>
        <w:t xml:space="preserve"> </w:t>
      </w:r>
      <w:r>
        <w:t xml:space="preserve">Holman 2017, PMID 28910237.</w:t>
      </w:r>
    </w:p>
  </w:footnote>
  <w:footnote w:id="247">
    <w:p>
      <w:pPr>
        <w:pStyle w:val="FootnoteText"/>
      </w:pPr>
      <w:r>
        <w:rPr>
          <w:rStyle w:val="FootnoteReference"/>
        </w:rPr>
        <w:footnoteRef/>
      </w:r>
      <w:r>
        <w:t xml:space="preserve"> </w:t>
      </w:r>
      <w:r>
        <w:t xml:space="preserve">Kristensen 2019, PMID 31422062.</w:t>
      </w:r>
    </w:p>
  </w:footnote>
  <w:footnote w:id="248">
    <w:p>
      <w:pPr>
        <w:pStyle w:val="FootnoteText"/>
      </w:pPr>
      <w:r>
        <w:rPr>
          <w:rStyle w:val="FootnoteReference"/>
        </w:rPr>
        <w:footnoteRef/>
      </w:r>
      <w:r>
        <w:t xml:space="preserve"> </w:t>
      </w:r>
      <w:r>
        <w:t xml:space="preserve">Ruff 2022, PMID 34873344.</w:t>
      </w:r>
    </w:p>
  </w:footnote>
  <w:footnote w:id="250">
    <w:p>
      <w:pPr>
        <w:pStyle w:val="FootnoteText"/>
      </w:pPr>
      <w:r>
        <w:rPr>
          <w:rStyle w:val="FootnoteReference"/>
        </w:rPr>
        <w:footnoteRef/>
      </w:r>
      <w:r>
        <w:t xml:space="preserve"> </w:t>
      </w:r>
      <w:r>
        <w:t xml:space="preserve">Rosenstock 2010, PMID 20332357.</w:t>
      </w:r>
    </w:p>
  </w:footnote>
  <w:footnote w:id="251">
    <w:p>
      <w:pPr>
        <w:pStyle w:val="FootnoteText"/>
      </w:pPr>
      <w:r>
        <w:rPr>
          <w:rStyle w:val="FootnoteReference"/>
        </w:rPr>
        <w:footnoteRef/>
      </w:r>
      <w:r>
        <w:t xml:space="preserve"> </w:t>
      </w:r>
      <w:r>
        <w:t xml:space="preserve">Su 2016, PMID 27343423.</w:t>
      </w:r>
    </w:p>
  </w:footnote>
  <w:footnote w:id="252">
    <w:p>
      <w:pPr>
        <w:pStyle w:val="FootnoteText"/>
      </w:pPr>
      <w:r>
        <w:rPr>
          <w:rStyle w:val="FootnoteReference"/>
        </w:rPr>
        <w:footnoteRef/>
      </w:r>
      <w:r>
        <w:t xml:space="preserve"> </w:t>
      </w:r>
      <w:r>
        <w:t xml:space="preserve">Tamborlane 2022, PMID 35679098.</w:t>
      </w:r>
    </w:p>
  </w:footnote>
  <w:footnote w:id="254">
    <w:p>
      <w:pPr>
        <w:pStyle w:val="FootnoteText"/>
      </w:pPr>
      <w:r>
        <w:rPr>
          <w:rStyle w:val="FootnoteReference"/>
        </w:rPr>
        <w:footnoteRef/>
      </w:r>
      <w:r>
        <w:t xml:space="preserve"> </w:t>
      </w:r>
      <w:r>
        <w:t xml:space="preserve">PMID 28781108.</w:t>
      </w:r>
    </w:p>
  </w:footnote>
  <w:footnote w:id="255">
    <w:p>
      <w:pPr>
        <w:pStyle w:val="FootnoteText"/>
      </w:pPr>
      <w:r>
        <w:rPr>
          <w:rStyle w:val="FootnoteReference"/>
        </w:rPr>
        <w:footnoteRef/>
      </w:r>
      <w:r>
        <w:t xml:space="preserve"> </w:t>
      </w:r>
      <w:r>
        <w:t xml:space="preserve">Vijiaratnam 2025, PMID 39919773.</w:t>
      </w:r>
    </w:p>
  </w:footnote>
  <w:footnote w:id="256">
    <w:p>
      <w:pPr>
        <w:pStyle w:val="FootnoteText"/>
      </w:pPr>
      <w:r>
        <w:rPr>
          <w:rStyle w:val="FootnoteReference"/>
        </w:rPr>
        <w:footnoteRef/>
      </w:r>
      <w:r>
        <w:t xml:space="preserve"> </w:t>
      </w:r>
      <w:r>
        <w:t xml:space="preserve">McGarry 2024, PMID 38101901.</w:t>
      </w:r>
    </w:p>
  </w:footnote>
  <w:footnote w:id="257">
    <w:p>
      <w:pPr>
        <w:pStyle w:val="FootnoteText"/>
      </w:pPr>
      <w:r>
        <w:rPr>
          <w:rStyle w:val="FootnoteReference"/>
        </w:rPr>
        <w:footnoteRef/>
      </w:r>
      <w:r>
        <w:t xml:space="preserve"> </w:t>
      </w:r>
      <w:r>
        <w:t xml:space="preserve">Vijiaratnam 2025, PMID 40727970.</w:t>
      </w:r>
    </w:p>
  </w:footnote>
  <w:footnote w:id="259">
    <w:p>
      <w:pPr>
        <w:pStyle w:val="FootnoteText"/>
      </w:pPr>
      <w:r>
        <w:rPr>
          <w:rStyle w:val="FootnoteReference"/>
        </w:rPr>
        <w:footnoteRef/>
      </w:r>
      <w:r>
        <w:t xml:space="preserve"> </w:t>
      </w:r>
      <w:r>
        <w:t xml:space="preserve">Mullins 2019, PMID 31518224.</w:t>
      </w:r>
    </w:p>
  </w:footnote>
  <w:footnote w:id="260">
    <w:p>
      <w:pPr>
        <w:pStyle w:val="FootnoteText"/>
      </w:pPr>
      <w:r>
        <w:rPr>
          <w:rStyle w:val="FootnoteReference"/>
        </w:rPr>
        <w:footnoteRef/>
      </w:r>
      <w:r>
        <w:t xml:space="preserve"> </w:t>
      </w:r>
      <w:r>
        <w:t xml:space="preserve">Dei Cas 2024, PMID 38565814.</w:t>
      </w:r>
    </w:p>
  </w:footnote>
  <w:footnote w:id="261">
    <w:p>
      <w:pPr>
        <w:pStyle w:val="FootnoteText"/>
      </w:pPr>
      <w:r>
        <w:rPr>
          <w:rStyle w:val="FootnoteReference"/>
        </w:rPr>
        <w:footnoteRef/>
      </w:r>
      <w:r>
        <w:t xml:space="preserve"> </w:t>
      </w:r>
      <w:r>
        <w:t xml:space="preserve">Klausen 2022, PMID 36066977.</w:t>
      </w:r>
    </w:p>
  </w:footnote>
  <w:footnote w:id="262">
    <w:p>
      <w:pPr>
        <w:pStyle w:val="FootnoteText"/>
      </w:pPr>
      <w:r>
        <w:rPr>
          <w:rStyle w:val="FootnoteReference"/>
        </w:rPr>
        <w:footnoteRef/>
      </w:r>
      <w:r>
        <w:t xml:space="preserve"> </w:t>
      </w:r>
      <w:r>
        <w:t xml:space="preserve">Mitchell 2023, PMID 36907221.</w:t>
      </w:r>
    </w:p>
  </w:footnote>
  <w:footnote w:id="265">
    <w:p>
      <w:pPr>
        <w:pStyle w:val="FootnoteText"/>
      </w:pPr>
      <w:r>
        <w:rPr>
          <w:rStyle w:val="FootnoteReference"/>
        </w:rPr>
        <w:footnoteRef/>
      </w:r>
      <w:r>
        <w:t xml:space="preserve"> </w:t>
      </w:r>
      <w:r>
        <w:t xml:space="preserve">Eng 1992, PMID 1313797.</w:t>
      </w:r>
    </w:p>
  </w:footnote>
  <w:footnote w:id="266">
    <w:p>
      <w:pPr>
        <w:pStyle w:val="FootnoteText"/>
      </w:pPr>
      <w:r>
        <w:rPr>
          <w:rStyle w:val="FootnoteReference"/>
        </w:rPr>
        <w:footnoteRef/>
      </w:r>
      <w:r>
        <w:t xml:space="preserve"> </w:t>
      </w:r>
      <w:r>
        <w:t xml:space="preserve">Xu 1999, PMID 10580413.</w:t>
      </w:r>
    </w:p>
  </w:footnote>
  <w:footnote w:id="267">
    <w:p>
      <w:pPr>
        <w:pStyle w:val="FootnoteText"/>
      </w:pPr>
      <w:r>
        <w:rPr>
          <w:rStyle w:val="FootnoteReference"/>
        </w:rPr>
        <w:footnoteRef/>
      </w:r>
      <w:r>
        <w:t xml:space="preserve"> </w:t>
      </w:r>
      <w:r>
        <w:t xml:space="preserve">Bjerre Knudsen 2010, PMID 20203154.</w:t>
      </w:r>
    </w:p>
  </w:footnote>
  <w:footnote w:id="269">
    <w:p>
      <w:pPr>
        <w:pStyle w:val="FootnoteText"/>
      </w:pPr>
      <w:r>
        <w:rPr>
          <w:rStyle w:val="FootnoteReference"/>
        </w:rPr>
        <w:footnoteRef/>
      </w:r>
      <w:r>
        <w:t xml:space="preserve"> </w:t>
      </w:r>
      <w:r>
        <w:t xml:space="preserve">Heine 2005, PMID 16230722.</w:t>
      </w:r>
    </w:p>
  </w:footnote>
  <w:footnote w:id="270">
    <w:p>
      <w:pPr>
        <w:pStyle w:val="FootnoteText"/>
      </w:pPr>
      <w:r>
        <w:rPr>
          <w:rStyle w:val="FootnoteReference"/>
        </w:rPr>
        <w:footnoteRef/>
      </w:r>
      <w:r>
        <w:t xml:space="preserve"> </w:t>
      </w:r>
      <w:r>
        <w:t xml:space="preserve">Buse 2013, PMID 23141817.</w:t>
      </w:r>
    </w:p>
  </w:footnote>
  <w:footnote w:id="271">
    <w:p>
      <w:pPr>
        <w:pStyle w:val="FootnoteText"/>
      </w:pPr>
      <w:r>
        <w:rPr>
          <w:rStyle w:val="FootnoteReference"/>
        </w:rPr>
        <w:footnoteRef/>
      </w:r>
      <w:r>
        <w:t xml:space="preserve"> </w:t>
      </w:r>
      <w:r>
        <w:t xml:space="preserve">Kendall 2005, PMID 15855571.</w:t>
      </w:r>
    </w:p>
  </w:footnote>
  <w:footnote w:id="272">
    <w:p>
      <w:pPr>
        <w:pStyle w:val="FootnoteText"/>
      </w:pPr>
      <w:r>
        <w:rPr>
          <w:rStyle w:val="FootnoteReference"/>
        </w:rPr>
        <w:footnoteRef/>
      </w:r>
      <w:r>
        <w:t xml:space="preserve"> </w:t>
      </w:r>
      <w:r>
        <w:t xml:space="preserve">Wysham 2015, PMID 25744115.</w:t>
      </w:r>
    </w:p>
  </w:footnote>
  <w:footnote w:id="273">
    <w:p>
      <w:pPr>
        <w:pStyle w:val="FootnoteText"/>
      </w:pPr>
      <w:r>
        <w:rPr>
          <w:rStyle w:val="FootnoteReference"/>
        </w:rPr>
        <w:footnoteRef/>
      </w:r>
      <w:r>
        <w:t xml:space="preserve"> </w:t>
      </w:r>
      <w:r>
        <w:t xml:space="preserve">Dore 2013, PMID 23981106.</w:t>
      </w:r>
    </w:p>
  </w:footnote>
  <w:footnote w:id="274">
    <w:p>
      <w:pPr>
        <w:pStyle w:val="FootnoteText"/>
      </w:pPr>
      <w:r>
        <w:rPr>
          <w:rStyle w:val="FootnoteReference"/>
        </w:rPr>
        <w:footnoteRef/>
      </w:r>
      <w:r>
        <w:t xml:space="preserve"> </w:t>
      </w:r>
      <w:r>
        <w:t xml:space="preserve">Holman 2017, PMID 28910237.</w:t>
      </w:r>
    </w:p>
  </w:footnote>
  <w:footnote w:id="275">
    <w:p>
      <w:pPr>
        <w:pStyle w:val="FootnoteText"/>
      </w:pPr>
      <w:r>
        <w:rPr>
          <w:rStyle w:val="FootnoteReference"/>
        </w:rPr>
        <w:footnoteRef/>
      </w:r>
      <w:r>
        <w:t xml:space="preserve"> </w:t>
      </w:r>
      <w:r>
        <w:t xml:space="preserve">Liang 2019, PMID 30474347.</w:t>
      </w:r>
    </w:p>
  </w:footnote>
  <w:footnote w:id="276">
    <w:p>
      <w:pPr>
        <w:pStyle w:val="FootnoteText"/>
      </w:pPr>
      <w:r>
        <w:rPr>
          <w:rStyle w:val="FootnoteReference"/>
        </w:rPr>
        <w:footnoteRef/>
      </w:r>
      <w:r>
        <w:t xml:space="preserve"> </w:t>
      </w:r>
      <w:r>
        <w:t xml:space="preserve">Silverii 2025, PMID 40437949.</w:t>
      </w:r>
    </w:p>
  </w:footnote>
  <w:footnote w:id="277">
    <w:p>
      <w:pPr>
        <w:pStyle w:val="FootnoteText"/>
      </w:pPr>
      <w:r>
        <w:rPr>
          <w:rStyle w:val="FootnoteReference"/>
        </w:rPr>
        <w:footnoteRef/>
      </w:r>
      <w:r>
        <w:t xml:space="preserve"> </w:t>
      </w:r>
      <w:r>
        <w:t xml:space="preserve">NCT05663515.</w:t>
      </w:r>
    </w:p>
  </w:footnote>
  <w:footnote w:id="280">
    <w:p>
      <w:pPr>
        <w:pStyle w:val="FootnoteText"/>
      </w:pPr>
      <w:r>
        <w:rPr>
          <w:rStyle w:val="FootnoteReference"/>
        </w:rPr>
        <w:footnoteRef/>
      </w:r>
      <w:r>
        <w:t xml:space="preserve"> </w:t>
      </w:r>
      <w:r>
        <w:t xml:space="preserve">Ji 2021, PMID 33687487.</w:t>
      </w:r>
    </w:p>
  </w:footnote>
  <w:footnote w:id="281">
    <w:p>
      <w:pPr>
        <w:pStyle w:val="FootnoteText"/>
      </w:pPr>
      <w:r>
        <w:rPr>
          <w:rStyle w:val="FootnoteReference"/>
        </w:rPr>
        <w:footnoteRef/>
      </w:r>
      <w:r>
        <w:t xml:space="preserve"> </w:t>
      </w:r>
      <w:r>
        <w:t xml:space="preserve">NCT06254014, NCT06257966.</w:t>
      </w:r>
    </w:p>
  </w:footnote>
  <w:footnote w:id="282">
    <w:p>
      <w:pPr>
        <w:pStyle w:val="FootnoteText"/>
      </w:pPr>
      <w:r>
        <w:rPr>
          <w:rStyle w:val="FootnoteReference"/>
        </w:rPr>
        <w:footnoteRef/>
      </w:r>
      <w:r>
        <w:t xml:space="preserve"> </w:t>
      </w:r>
      <w:r>
        <w:t xml:space="preserve">NCT07497399.</w:t>
      </w:r>
    </w:p>
  </w:footnote>
  <w:footnote w:id="283">
    <w:p>
      <w:pPr>
        <w:pStyle w:val="FootnoteText"/>
      </w:pPr>
      <w:r>
        <w:rPr>
          <w:rStyle w:val="FootnoteReference"/>
        </w:rPr>
        <w:footnoteRef/>
      </w:r>
      <w:r>
        <w:t xml:space="preserve"> </w:t>
      </w:r>
      <w:r>
        <w:t xml:space="preserve">NCT05663515.</w:t>
      </w:r>
    </w:p>
  </w:footnote>
  <w:footnote w:id="284">
    <w:p>
      <w:pPr>
        <w:pStyle w:val="FootnoteText"/>
      </w:pPr>
      <w:r>
        <w:rPr>
          <w:rStyle w:val="FootnoteReference"/>
        </w:rPr>
        <w:footnoteRef/>
      </w:r>
      <w:r>
        <w:t xml:space="preserve"> </w:t>
      </w:r>
      <w:r>
        <w:t xml:space="preserve">NCT01511393.</w:t>
      </w:r>
    </w:p>
  </w:footnote>
  <w:footnote w:id="285">
    <w:p>
      <w:pPr>
        <w:pStyle w:val="FootnoteText"/>
      </w:pPr>
      <w:r>
        <w:rPr>
          <w:rStyle w:val="FootnoteReference"/>
        </w:rPr>
        <w:footnoteRef/>
      </w:r>
      <w:r>
        <w:t xml:space="preserve"> </w:t>
      </w:r>
      <w:r>
        <w:t xml:space="preserve">NCT07808879.</w:t>
      </w:r>
    </w:p>
  </w:footnote>
  <w:footnote w:id="289">
    <w:p>
      <w:pPr>
        <w:pStyle w:val="FootnoteText"/>
      </w:pPr>
      <w:r>
        <w:rPr>
          <w:rStyle w:val="FootnoteReference"/>
        </w:rPr>
        <w:footnoteRef/>
      </w:r>
      <w:r>
        <w:t xml:space="preserve"> </w:t>
      </w:r>
      <w:r>
        <w:t xml:space="preserve">Knudsen 2019, PMID 31031702.</w:t>
      </w:r>
    </w:p>
  </w:footnote>
  <w:footnote w:id="291">
    <w:p>
      <w:pPr>
        <w:pStyle w:val="FootnoteText"/>
      </w:pPr>
      <w:r>
        <w:rPr>
          <w:rStyle w:val="FootnoteReference"/>
        </w:rPr>
        <w:footnoteRef/>
      </w:r>
      <w:r>
        <w:t xml:space="preserve"> </w:t>
      </w:r>
      <w:r>
        <w:t xml:space="preserve">Secher 2014, PMID 25202980.</w:t>
      </w:r>
    </w:p>
  </w:footnote>
  <w:footnote w:id="292">
    <w:p>
      <w:pPr>
        <w:pStyle w:val="FootnoteText"/>
      </w:pPr>
      <w:r>
        <w:rPr>
          <w:rStyle w:val="FootnoteReference"/>
        </w:rPr>
        <w:footnoteRef/>
      </w:r>
      <w:r>
        <w:t xml:space="preserve"> </w:t>
      </w:r>
      <w:r>
        <w:t xml:space="preserve">Knudsen 2019, PMID 31031702.</w:t>
      </w:r>
    </w:p>
  </w:footnote>
  <w:footnote w:id="294">
    <w:p>
      <w:pPr>
        <w:pStyle w:val="FootnoteText"/>
      </w:pPr>
      <w:r>
        <w:rPr>
          <w:rStyle w:val="FootnoteReference"/>
        </w:rPr>
        <w:footnoteRef/>
      </w:r>
      <w:r>
        <w:t xml:space="preserve"> </w:t>
      </w:r>
      <w:r>
        <w:t xml:space="preserve">Garber 2009, PMID 18819705.</w:t>
      </w:r>
    </w:p>
  </w:footnote>
  <w:footnote w:id="295">
    <w:p>
      <w:pPr>
        <w:pStyle w:val="FootnoteText"/>
      </w:pPr>
      <w:r>
        <w:rPr>
          <w:rStyle w:val="FootnoteReference"/>
        </w:rPr>
        <w:footnoteRef/>
      </w:r>
      <w:r>
        <w:t xml:space="preserve"> </w:t>
      </w:r>
      <w:r>
        <w:t xml:space="preserve">Pratley 2010, PMID 20417856.</w:t>
      </w:r>
    </w:p>
  </w:footnote>
  <w:footnote w:id="297">
    <w:p>
      <w:pPr>
        <w:pStyle w:val="FootnoteText"/>
      </w:pPr>
      <w:r>
        <w:rPr>
          <w:rStyle w:val="FootnoteReference"/>
        </w:rPr>
        <w:footnoteRef/>
      </w:r>
      <w:r>
        <w:t xml:space="preserve"> </w:t>
      </w:r>
      <w:r>
        <w:t xml:space="preserve">Buse 2009, PMID 19515413.</w:t>
      </w:r>
    </w:p>
  </w:footnote>
  <w:footnote w:id="298">
    <w:p>
      <w:pPr>
        <w:pStyle w:val="FootnoteText"/>
      </w:pPr>
      <w:r>
        <w:rPr>
          <w:rStyle w:val="FootnoteReference"/>
        </w:rPr>
        <w:footnoteRef/>
      </w:r>
      <w:r>
        <w:t xml:space="preserve"> </w:t>
      </w:r>
      <w:r>
        <w:t xml:space="preserve">Dungan 2014, PMID 25018121.</w:t>
      </w:r>
    </w:p>
  </w:footnote>
  <w:footnote w:id="299">
    <w:p>
      <w:pPr>
        <w:pStyle w:val="FootnoteText"/>
      </w:pPr>
      <w:r>
        <w:rPr>
          <w:rStyle w:val="FootnoteReference"/>
        </w:rPr>
        <w:footnoteRef/>
      </w:r>
      <w:r>
        <w:t xml:space="preserve"> </w:t>
      </w:r>
      <w:r>
        <w:t xml:space="preserve">Rubino 2022, PMID 35015037.</w:t>
      </w:r>
    </w:p>
  </w:footnote>
  <w:footnote w:id="300">
    <w:p>
      <w:pPr>
        <w:pStyle w:val="FootnoteText"/>
      </w:pPr>
      <w:r>
        <w:rPr>
          <w:rStyle w:val="FootnoteReference"/>
        </w:rPr>
        <w:footnoteRef/>
      </w:r>
      <w:r>
        <w:t xml:space="preserve"> </w:t>
      </w:r>
      <w:r>
        <w:t xml:space="preserve">Pratley 2019, PMID 31186120.</w:t>
      </w:r>
    </w:p>
  </w:footnote>
  <w:footnote w:id="302">
    <w:p>
      <w:pPr>
        <w:pStyle w:val="FootnoteText"/>
      </w:pPr>
      <w:r>
        <w:rPr>
          <w:rStyle w:val="FootnoteReference"/>
        </w:rPr>
        <w:footnoteRef/>
      </w:r>
      <w:r>
        <w:t xml:space="preserve"> </w:t>
      </w:r>
      <w:r>
        <w:t xml:space="preserve">Marso 2016, PMID 27295427.</w:t>
      </w:r>
    </w:p>
  </w:footnote>
  <w:footnote w:id="303">
    <w:p>
      <w:pPr>
        <w:pStyle w:val="FootnoteText"/>
      </w:pPr>
      <w:r>
        <w:rPr>
          <w:rStyle w:val="FootnoteReference"/>
        </w:rPr>
        <w:footnoteRef/>
      </w:r>
      <w:r>
        <w:t xml:space="preserve"> </w:t>
      </w:r>
      <w:r>
        <w:t xml:space="preserve">Mann 2017, PMID 28854085.</w:t>
      </w:r>
    </w:p>
  </w:footnote>
  <w:footnote w:id="304">
    <w:p>
      <w:pPr>
        <w:pStyle w:val="FootnoteText"/>
      </w:pPr>
      <w:r>
        <w:rPr>
          <w:rStyle w:val="FootnoteReference"/>
        </w:rPr>
        <w:footnoteRef/>
      </w:r>
      <w:r>
        <w:t xml:space="preserve"> </w:t>
      </w:r>
      <w:r>
        <w:t xml:space="preserve">Margulies 2016, PMID 27483064.</w:t>
      </w:r>
    </w:p>
  </w:footnote>
  <w:footnote w:id="306">
    <w:p>
      <w:pPr>
        <w:pStyle w:val="FootnoteText"/>
      </w:pPr>
      <w:r>
        <w:rPr>
          <w:rStyle w:val="FootnoteReference"/>
        </w:rPr>
        <w:footnoteRef/>
      </w:r>
      <w:r>
        <w:t xml:space="preserve"> </w:t>
      </w:r>
      <w:r>
        <w:t xml:space="preserve">Pi-Sunyer 2015, PMID 26132939.</w:t>
      </w:r>
    </w:p>
  </w:footnote>
  <w:footnote w:id="307">
    <w:p>
      <w:pPr>
        <w:pStyle w:val="FootnoteText"/>
      </w:pPr>
      <w:r>
        <w:rPr>
          <w:rStyle w:val="FootnoteReference"/>
        </w:rPr>
        <w:footnoteRef/>
      </w:r>
      <w:r>
        <w:t xml:space="preserve"> </w:t>
      </w:r>
      <w:r>
        <w:t xml:space="preserve">le Roux 2017, PMID 28237263.</w:t>
      </w:r>
    </w:p>
  </w:footnote>
  <w:footnote w:id="308">
    <w:p>
      <w:pPr>
        <w:pStyle w:val="FootnoteText"/>
      </w:pPr>
      <w:r>
        <w:rPr>
          <w:rStyle w:val="FootnoteReference"/>
        </w:rPr>
        <w:footnoteRef/>
      </w:r>
      <w:r>
        <w:t xml:space="preserve"> </w:t>
      </w:r>
      <w:r>
        <w:t xml:space="preserve">Davies 2015, PMID 26284720.</w:t>
      </w:r>
    </w:p>
  </w:footnote>
  <w:footnote w:id="309">
    <w:p>
      <w:pPr>
        <w:pStyle w:val="FootnoteText"/>
      </w:pPr>
      <w:r>
        <w:rPr>
          <w:rStyle w:val="FootnoteReference"/>
        </w:rPr>
        <w:footnoteRef/>
      </w:r>
      <w:r>
        <w:t xml:space="preserve"> </w:t>
      </w:r>
      <w:r>
        <w:t xml:space="preserve">Wadden 2013, PMID 23812094.</w:t>
      </w:r>
    </w:p>
  </w:footnote>
  <w:footnote w:id="311">
    <w:p>
      <w:pPr>
        <w:pStyle w:val="FootnoteText"/>
      </w:pPr>
      <w:r>
        <w:rPr>
          <w:rStyle w:val="FootnoteReference"/>
        </w:rPr>
        <w:footnoteRef/>
      </w:r>
      <w:r>
        <w:t xml:space="preserve"> </w:t>
      </w:r>
      <w:r>
        <w:t xml:space="preserve">Kelly 2020, PMID 32233338.</w:t>
      </w:r>
    </w:p>
  </w:footnote>
  <w:footnote w:id="312">
    <w:p>
      <w:pPr>
        <w:pStyle w:val="FootnoteText"/>
      </w:pPr>
      <w:r>
        <w:rPr>
          <w:rStyle w:val="FootnoteReference"/>
        </w:rPr>
        <w:footnoteRef/>
      </w:r>
      <w:r>
        <w:t xml:space="preserve"> </w:t>
      </w:r>
      <w:r>
        <w:t xml:space="preserve">Fox 2025, PMID 39258838.</w:t>
      </w:r>
    </w:p>
  </w:footnote>
  <w:footnote w:id="313">
    <w:p>
      <w:pPr>
        <w:pStyle w:val="FootnoteText"/>
      </w:pPr>
      <w:r>
        <w:rPr>
          <w:rStyle w:val="FootnoteReference"/>
        </w:rPr>
        <w:footnoteRef/>
      </w:r>
      <w:r>
        <w:t xml:space="preserve"> </w:t>
      </w:r>
      <w:r>
        <w:t xml:space="preserve">NCT06903923.</w:t>
      </w:r>
    </w:p>
  </w:footnote>
  <w:footnote w:id="315">
    <w:p>
      <w:pPr>
        <w:pStyle w:val="FootnoteText"/>
      </w:pPr>
      <w:r>
        <w:rPr>
          <w:rStyle w:val="FootnoteReference"/>
        </w:rPr>
        <w:footnoteRef/>
      </w:r>
      <w:r>
        <w:t xml:space="preserve"> </w:t>
      </w:r>
      <w:r>
        <w:t xml:space="preserve">Armstrong 2016, PMID 26608256.</w:t>
      </w:r>
    </w:p>
  </w:footnote>
  <w:footnote w:id="316">
    <w:p>
      <w:pPr>
        <w:pStyle w:val="FootnoteText"/>
      </w:pPr>
      <w:r>
        <w:rPr>
          <w:rStyle w:val="FootnoteReference"/>
        </w:rPr>
        <w:footnoteRef/>
      </w:r>
      <w:r>
        <w:t xml:space="preserve"> </w:t>
      </w:r>
      <w:r>
        <w:t xml:space="preserve">Edison 2026, PMID 41326666.</w:t>
      </w:r>
    </w:p>
  </w:footnote>
  <w:footnote w:id="317">
    <w:p>
      <w:pPr>
        <w:pStyle w:val="FootnoteText"/>
      </w:pPr>
      <w:r>
        <w:rPr>
          <w:rStyle w:val="FootnoteReference"/>
        </w:rPr>
        <w:footnoteRef/>
      </w:r>
      <w:r>
        <w:t xml:space="preserve"> </w:t>
      </w:r>
      <w:r>
        <w:t xml:space="preserve">Lähteenvuo 2025, PMID 39535805.</w:t>
      </w:r>
    </w:p>
  </w:footnote>
  <w:footnote w:id="320">
    <w:p>
      <w:pPr>
        <w:pStyle w:val="FootnoteText"/>
      </w:pPr>
      <w:r>
        <w:rPr>
          <w:rStyle w:val="FootnoteReference"/>
        </w:rPr>
        <w:footnoteRef/>
      </w:r>
      <w:r>
        <w:t xml:space="preserve"> </w:t>
      </w:r>
      <w:r>
        <w:t xml:space="preserve">Secher 2014, PMID 25202980.</w:t>
      </w:r>
    </w:p>
  </w:footnote>
  <w:footnote w:id="321">
    <w:p>
      <w:pPr>
        <w:pStyle w:val="FootnoteText"/>
      </w:pPr>
      <w:r>
        <w:rPr>
          <w:rStyle w:val="FootnoteReference"/>
        </w:rPr>
        <w:footnoteRef/>
      </w:r>
      <w:r>
        <w:t xml:space="preserve"> </w:t>
      </w:r>
      <w:r>
        <w:t xml:space="preserve">Bjerre Knudsen 2010, PMID 20203154.</w:t>
      </w:r>
    </w:p>
  </w:footnote>
  <w:footnote w:id="323">
    <w:p>
      <w:pPr>
        <w:pStyle w:val="FootnoteText"/>
      </w:pPr>
      <w:r>
        <w:rPr>
          <w:rStyle w:val="FootnoteReference"/>
        </w:rPr>
        <w:footnoteRef/>
      </w:r>
      <w:r>
        <w:t xml:space="preserve"> </w:t>
      </w:r>
      <w:r>
        <w:t xml:space="preserve">Marso 2016, PMID 27295427.</w:t>
      </w:r>
    </w:p>
  </w:footnote>
  <w:footnote w:id="324">
    <w:p>
      <w:pPr>
        <w:pStyle w:val="FootnoteText"/>
      </w:pPr>
      <w:r>
        <w:rPr>
          <w:rStyle w:val="FootnoteReference"/>
        </w:rPr>
        <w:footnoteRef/>
      </w:r>
      <w:r>
        <w:t xml:space="preserve"> </w:t>
      </w:r>
      <w:r>
        <w:t xml:space="preserve">Davies 2015, PMID 26284720.</w:t>
      </w:r>
    </w:p>
  </w:footnote>
  <w:footnote w:id="325">
    <w:p>
      <w:pPr>
        <w:pStyle w:val="FootnoteText"/>
      </w:pPr>
      <w:r>
        <w:rPr>
          <w:rStyle w:val="FootnoteReference"/>
        </w:rPr>
        <w:footnoteRef/>
      </w:r>
      <w:r>
        <w:t xml:space="preserve"> </w:t>
      </w:r>
      <w:r>
        <w:t xml:space="preserve">He 2022, PMID 35344001.</w:t>
      </w:r>
    </w:p>
  </w:footnote>
  <w:footnote w:id="326">
    <w:p>
      <w:pPr>
        <w:pStyle w:val="FootnoteText"/>
      </w:pPr>
      <w:r>
        <w:rPr>
          <w:rStyle w:val="FootnoteReference"/>
        </w:rPr>
        <w:footnoteRef/>
      </w:r>
      <w:r>
        <w:t xml:space="preserve"> </w:t>
      </w:r>
      <w:r>
        <w:t xml:space="preserve">Marso 2016, PMID 27295427.</w:t>
      </w:r>
    </w:p>
  </w:footnote>
  <w:footnote w:id="327">
    <w:p>
      <w:pPr>
        <w:pStyle w:val="FootnoteText"/>
      </w:pPr>
      <w:r>
        <w:rPr>
          <w:rStyle w:val="FootnoteReference"/>
        </w:rPr>
        <w:footnoteRef/>
      </w:r>
      <w:r>
        <w:t xml:space="preserve"> </w:t>
      </w:r>
      <w:r>
        <w:t xml:space="preserve">Alves 2012, PMID 23010561.</w:t>
      </w:r>
    </w:p>
  </w:footnote>
  <w:footnote w:id="328">
    <w:p>
      <w:pPr>
        <w:pStyle w:val="FootnoteText"/>
      </w:pPr>
      <w:r>
        <w:rPr>
          <w:rStyle w:val="FootnoteReference"/>
        </w:rPr>
        <w:footnoteRef/>
      </w:r>
      <w:r>
        <w:t xml:space="preserve"> </w:t>
      </w:r>
      <w:r>
        <w:t xml:space="preserve">Bezin 2023, PMID 36356111.</w:t>
      </w:r>
    </w:p>
  </w:footnote>
  <w:footnote w:id="329">
    <w:p>
      <w:pPr>
        <w:pStyle w:val="FootnoteText"/>
      </w:pPr>
      <w:r>
        <w:rPr>
          <w:rStyle w:val="FootnoteReference"/>
        </w:rPr>
        <w:footnoteRef/>
      </w:r>
      <w:r>
        <w:t xml:space="preserve"> </w:t>
      </w:r>
      <w:r>
        <w:t xml:space="preserve">Silverii 2025, PMID 40437949.</w:t>
      </w:r>
    </w:p>
  </w:footnote>
  <w:footnote w:id="330">
    <w:p>
      <w:pPr>
        <w:pStyle w:val="FootnoteText"/>
      </w:pPr>
      <w:r>
        <w:rPr>
          <w:rStyle w:val="FootnoteReference"/>
        </w:rPr>
        <w:footnoteRef/>
      </w:r>
      <w:r>
        <w:t xml:space="preserve"> </w:t>
      </w:r>
      <w:r>
        <w:t xml:space="preserve">Ueda 2024, PMID 39226030.</w:t>
      </w:r>
    </w:p>
  </w:footnote>
  <w:footnote w:id="331">
    <w:p>
      <w:pPr>
        <w:pStyle w:val="FootnoteText"/>
      </w:pPr>
      <w:r>
        <w:rPr>
          <w:rStyle w:val="FootnoteReference"/>
        </w:rPr>
        <w:footnoteRef/>
      </w:r>
      <w:r>
        <w:t xml:space="preserve"> </w:t>
      </w:r>
      <w:r>
        <w:t xml:space="preserve">Choudhury 2026, PMID 41862354.</w:t>
      </w:r>
    </w:p>
  </w:footnote>
  <w:footnote w:id="334">
    <w:p>
      <w:pPr>
        <w:pStyle w:val="FootnoteText"/>
      </w:pPr>
      <w:r>
        <w:rPr>
          <w:rStyle w:val="FootnoteReference"/>
        </w:rPr>
        <w:footnoteRef/>
      </w:r>
      <w:r>
        <w:t xml:space="preserve"> </w:t>
      </w:r>
      <w:r>
        <w:t xml:space="preserve">NCT06742710.</w:t>
      </w:r>
    </w:p>
  </w:footnote>
  <w:footnote w:id="335">
    <w:p>
      <w:pPr>
        <w:pStyle w:val="FootnoteText"/>
      </w:pPr>
      <w:r>
        <w:rPr>
          <w:rStyle w:val="FootnoteReference"/>
        </w:rPr>
        <w:footnoteRef/>
      </w:r>
      <w:r>
        <w:t xml:space="preserve"> </w:t>
      </w:r>
      <w:r>
        <w:t xml:space="preserve">NCT06361238.</w:t>
      </w:r>
    </w:p>
  </w:footnote>
  <w:footnote w:id="336">
    <w:p>
      <w:pPr>
        <w:pStyle w:val="FootnoteText"/>
      </w:pPr>
      <w:r>
        <w:rPr>
          <w:rStyle w:val="FootnoteReference"/>
        </w:rPr>
        <w:footnoteRef/>
      </w:r>
      <w:r>
        <w:t xml:space="preserve"> </w:t>
      </w:r>
      <w:r>
        <w:t xml:space="preserve">NCT07029009.</w:t>
      </w:r>
    </w:p>
  </w:footnote>
  <w:footnote w:id="337">
    <w:p>
      <w:pPr>
        <w:pStyle w:val="FootnoteText"/>
      </w:pPr>
      <w:r>
        <w:rPr>
          <w:rStyle w:val="FootnoteReference"/>
        </w:rPr>
        <w:footnoteRef/>
      </w:r>
      <w:r>
        <w:t xml:space="preserve"> </w:t>
      </w:r>
      <w:r>
        <w:t xml:space="preserve">NCT05390892.</w:t>
      </w:r>
    </w:p>
  </w:footnote>
  <w:footnote w:id="338">
    <w:p>
      <w:pPr>
        <w:pStyle w:val="FootnoteText"/>
      </w:pPr>
      <w:r>
        <w:rPr>
          <w:rStyle w:val="FootnoteReference"/>
        </w:rPr>
        <w:footnoteRef/>
      </w:r>
      <w:r>
        <w:t xml:space="preserve"> </w:t>
      </w:r>
      <w:r>
        <w:t xml:space="preserve">NCT04775082.</w:t>
      </w:r>
    </w:p>
  </w:footnote>
  <w:footnote w:id="342">
    <w:p>
      <w:pPr>
        <w:pStyle w:val="FootnoteText"/>
      </w:pPr>
      <w:r>
        <w:rPr>
          <w:rStyle w:val="FootnoteReference"/>
        </w:rPr>
        <w:footnoteRef/>
      </w:r>
      <w:r>
        <w:t xml:space="preserve"> </w:t>
      </w:r>
      <w:r>
        <w:t xml:space="preserve">Glaesner 2010, PMID 20503261.</w:t>
      </w:r>
    </w:p>
  </w:footnote>
  <w:footnote w:id="344">
    <w:p>
      <w:pPr>
        <w:pStyle w:val="FootnoteText"/>
      </w:pPr>
      <w:r>
        <w:rPr>
          <w:rStyle w:val="FootnoteReference"/>
        </w:rPr>
        <w:footnoteRef/>
      </w:r>
      <w:r>
        <w:t xml:space="preserve"> </w:t>
      </w:r>
      <w:r>
        <w:t xml:space="preserve">Glaesner 2010, PMID 20503261.</w:t>
      </w:r>
    </w:p>
  </w:footnote>
  <w:footnote w:id="345">
    <w:p>
      <w:pPr>
        <w:pStyle w:val="FootnoteText"/>
      </w:pPr>
      <w:r>
        <w:rPr>
          <w:rStyle w:val="FootnoteReference"/>
        </w:rPr>
        <w:footnoteRef/>
      </w:r>
      <w:r>
        <w:t xml:space="preserve"> </w:t>
      </w:r>
      <w:r>
        <w:t xml:space="preserve">Milicevic 2016, PMID 26847401.</w:t>
      </w:r>
    </w:p>
  </w:footnote>
  <w:footnote w:id="347">
    <w:p>
      <w:pPr>
        <w:pStyle w:val="FootnoteText"/>
      </w:pPr>
      <w:r>
        <w:rPr>
          <w:rStyle w:val="FootnoteReference"/>
        </w:rPr>
        <w:footnoteRef/>
      </w:r>
      <w:r>
        <w:t xml:space="preserve"> </w:t>
      </w:r>
      <w:r>
        <w:t xml:space="preserve">Giorgino 2015, PMID 26089386; Blonde 2015, PMID 26009229.</w:t>
      </w:r>
    </w:p>
  </w:footnote>
  <w:footnote w:id="348">
    <w:p>
      <w:pPr>
        <w:pStyle w:val="FootnoteText"/>
      </w:pPr>
      <w:r>
        <w:rPr>
          <w:rStyle w:val="FootnoteReference"/>
        </w:rPr>
        <w:footnoteRef/>
      </w:r>
      <w:r>
        <w:t xml:space="preserve"> </w:t>
      </w:r>
      <w:r>
        <w:t xml:space="preserve">Tuttle 2018, PMID 29910024.</w:t>
      </w:r>
    </w:p>
  </w:footnote>
  <w:footnote w:id="349">
    <w:p>
      <w:pPr>
        <w:pStyle w:val="FootnoteText"/>
      </w:pPr>
      <w:r>
        <w:rPr>
          <w:rStyle w:val="FootnoteReference"/>
        </w:rPr>
        <w:footnoteRef/>
      </w:r>
      <w:r>
        <w:t xml:space="preserve"> </w:t>
      </w:r>
      <w:r>
        <w:t xml:space="preserve">Dungan 2016, PMID 26799540.</w:t>
      </w:r>
    </w:p>
  </w:footnote>
  <w:footnote w:id="350">
    <w:p>
      <w:pPr>
        <w:pStyle w:val="FootnoteText"/>
      </w:pPr>
      <w:r>
        <w:rPr>
          <w:rStyle w:val="FootnoteReference"/>
        </w:rPr>
        <w:footnoteRef/>
      </w:r>
      <w:r>
        <w:t xml:space="preserve"> </w:t>
      </w:r>
      <w:r>
        <w:t xml:space="preserve">Frias 2021, PMID 33397768.</w:t>
      </w:r>
    </w:p>
  </w:footnote>
  <w:footnote w:id="352">
    <w:p>
      <w:pPr>
        <w:pStyle w:val="FootnoteText"/>
      </w:pPr>
      <w:r>
        <w:rPr>
          <w:rStyle w:val="FootnoteReference"/>
        </w:rPr>
        <w:footnoteRef/>
      </w:r>
      <w:r>
        <w:t xml:space="preserve"> </w:t>
      </w:r>
      <w:r>
        <w:t xml:space="preserve">Wysham 2014, PMID 24879836.</w:t>
      </w:r>
    </w:p>
  </w:footnote>
  <w:footnote w:id="353">
    <w:p>
      <w:pPr>
        <w:pStyle w:val="FootnoteText"/>
      </w:pPr>
      <w:r>
        <w:rPr>
          <w:rStyle w:val="FootnoteReference"/>
        </w:rPr>
        <w:footnoteRef/>
      </w:r>
      <w:r>
        <w:t xml:space="preserve"> </w:t>
      </w:r>
      <w:r>
        <w:t xml:space="preserve">Dungan 2014, PMID 25018121.</w:t>
      </w:r>
    </w:p>
  </w:footnote>
  <w:footnote w:id="354">
    <w:p>
      <w:pPr>
        <w:pStyle w:val="FootnoteText"/>
      </w:pPr>
      <w:r>
        <w:rPr>
          <w:rStyle w:val="FootnoteReference"/>
        </w:rPr>
        <w:footnoteRef/>
      </w:r>
      <w:r>
        <w:t xml:space="preserve"> </w:t>
      </w:r>
      <w:r>
        <w:t xml:space="preserve">Pratley 2018, PMID 29397376.</w:t>
      </w:r>
    </w:p>
  </w:footnote>
  <w:footnote w:id="356">
    <w:p>
      <w:pPr>
        <w:pStyle w:val="FootnoteText"/>
      </w:pPr>
      <w:r>
        <w:rPr>
          <w:rStyle w:val="FootnoteReference"/>
        </w:rPr>
        <w:footnoteRef/>
      </w:r>
      <w:r>
        <w:t xml:space="preserve"> </w:t>
      </w:r>
      <w:r>
        <w:t xml:space="preserve">Gerstein 2019, PMID 31189511.</w:t>
      </w:r>
    </w:p>
  </w:footnote>
  <w:footnote w:id="357">
    <w:p>
      <w:pPr>
        <w:pStyle w:val="FootnoteText"/>
      </w:pPr>
      <w:r>
        <w:rPr>
          <w:rStyle w:val="FootnoteReference"/>
        </w:rPr>
        <w:footnoteRef/>
      </w:r>
      <w:r>
        <w:t xml:space="preserve"> </w:t>
      </w:r>
      <w:r>
        <w:t xml:space="preserve">Gerstein 2019, PMID 31189509.</w:t>
      </w:r>
    </w:p>
  </w:footnote>
  <w:footnote w:id="358">
    <w:p>
      <w:pPr>
        <w:pStyle w:val="FootnoteText"/>
      </w:pPr>
      <w:r>
        <w:rPr>
          <w:rStyle w:val="FootnoteReference"/>
        </w:rPr>
        <w:footnoteRef/>
      </w:r>
      <w:r>
        <w:t xml:space="preserve"> </w:t>
      </w:r>
      <w:r>
        <w:t xml:space="preserve">Cukierman-Yaffe 2020, PMID 32562683.</w:t>
      </w:r>
    </w:p>
  </w:footnote>
  <w:footnote w:id="359">
    <w:p>
      <w:pPr>
        <w:pStyle w:val="FootnoteText"/>
      </w:pPr>
      <w:r>
        <w:rPr>
          <w:rStyle w:val="FootnoteReference"/>
        </w:rPr>
        <w:footnoteRef/>
      </w:r>
      <w:r>
        <w:t xml:space="preserve"> </w:t>
      </w:r>
      <w:r>
        <w:t xml:space="preserve">Kristensen 2019, PMID 31422062.</w:t>
      </w:r>
    </w:p>
  </w:footnote>
  <w:footnote w:id="361">
    <w:p>
      <w:pPr>
        <w:pStyle w:val="FootnoteText"/>
      </w:pPr>
      <w:r>
        <w:rPr>
          <w:rStyle w:val="FootnoteReference"/>
        </w:rPr>
        <w:footnoteRef/>
      </w:r>
      <w:r>
        <w:t xml:space="preserve"> </w:t>
      </w:r>
      <w:r>
        <w:t xml:space="preserve">Raubenheimer 2022, PMID 34984808.</w:t>
      </w:r>
    </w:p>
  </w:footnote>
  <w:footnote w:id="362">
    <w:p>
      <w:pPr>
        <w:pStyle w:val="FootnoteText"/>
      </w:pPr>
      <w:r>
        <w:rPr>
          <w:rStyle w:val="FootnoteReference"/>
        </w:rPr>
        <w:footnoteRef/>
      </w:r>
      <w:r>
        <w:t xml:space="preserve"> </w:t>
      </w:r>
      <w:r>
        <w:t xml:space="preserve">PMID 34563178.</w:t>
      </w:r>
    </w:p>
  </w:footnote>
  <w:footnote w:id="363">
    <w:p>
      <w:pPr>
        <w:pStyle w:val="FootnoteText"/>
      </w:pPr>
      <w:r>
        <w:rPr>
          <w:rStyle w:val="FootnoteReference"/>
        </w:rPr>
        <w:footnoteRef/>
      </w:r>
      <w:r>
        <w:t xml:space="preserve"> </w:t>
      </w:r>
      <w:r>
        <w:t xml:space="preserve">Branch 2022, PMID 36073143.</w:t>
      </w:r>
    </w:p>
  </w:footnote>
  <w:footnote w:id="364">
    <w:p>
      <w:pPr>
        <w:pStyle w:val="FootnoteText"/>
      </w:pPr>
      <w:r>
        <w:rPr>
          <w:rStyle w:val="FootnoteReference"/>
        </w:rPr>
        <w:footnoteRef/>
      </w:r>
      <w:r>
        <w:t xml:space="preserve"> </w:t>
      </w:r>
      <w:r>
        <w:t xml:space="preserve">Raubenheimer 2022, PMID 34984808.</w:t>
      </w:r>
    </w:p>
  </w:footnote>
  <w:footnote w:id="366">
    <w:p>
      <w:pPr>
        <w:pStyle w:val="FootnoteText"/>
      </w:pPr>
      <w:r>
        <w:rPr>
          <w:rStyle w:val="FootnoteReference"/>
        </w:rPr>
        <w:footnoteRef/>
      </w:r>
      <w:r>
        <w:t xml:space="preserve"> </w:t>
      </w:r>
      <w:r>
        <w:t xml:space="preserve">Nicholls 2025, PMID 41406444.</w:t>
      </w:r>
    </w:p>
  </w:footnote>
  <w:footnote w:id="367">
    <w:p>
      <w:pPr>
        <w:pStyle w:val="FootnoteText"/>
      </w:pPr>
      <w:r>
        <w:rPr>
          <w:rStyle w:val="FootnoteReference"/>
        </w:rPr>
        <w:footnoteRef/>
      </w:r>
      <w:r>
        <w:t xml:space="preserve"> </w:t>
      </w:r>
      <w:r>
        <w:t xml:space="preserve">Nissen 2026, PMID 41903177.</w:t>
      </w:r>
    </w:p>
  </w:footnote>
  <w:footnote w:id="369">
    <w:p>
      <w:pPr>
        <w:pStyle w:val="FootnoteText"/>
      </w:pPr>
      <w:r>
        <w:rPr>
          <w:rStyle w:val="FootnoteReference"/>
        </w:rPr>
        <w:footnoteRef/>
      </w:r>
      <w:r>
        <w:t xml:space="preserve"> </w:t>
      </w:r>
      <w:r>
        <w:t xml:space="preserve">Matfin 2015, PMID 25901022.</w:t>
      </w:r>
    </w:p>
  </w:footnote>
  <w:footnote w:id="370">
    <w:p>
      <w:pPr>
        <w:pStyle w:val="FootnoteText"/>
      </w:pPr>
      <w:r>
        <w:rPr>
          <w:rStyle w:val="FootnoteReference"/>
        </w:rPr>
        <w:footnoteRef/>
      </w:r>
      <w:r>
        <w:t xml:space="preserve"> </w:t>
      </w:r>
      <w:r>
        <w:t xml:space="preserve">Matza 2020, PMID 31646727.</w:t>
      </w:r>
    </w:p>
  </w:footnote>
  <w:footnote w:id="372">
    <w:p>
      <w:pPr>
        <w:pStyle w:val="FootnoteText"/>
      </w:pPr>
      <w:r>
        <w:rPr>
          <w:rStyle w:val="FootnoteReference"/>
        </w:rPr>
        <w:footnoteRef/>
      </w:r>
      <w:r>
        <w:t xml:space="preserve"> </w:t>
      </w:r>
      <w:r>
        <w:t xml:space="preserve">Arslanian 2022, PMID 35658022.</w:t>
      </w:r>
    </w:p>
  </w:footnote>
  <w:footnote w:id="374">
    <w:p>
      <w:pPr>
        <w:pStyle w:val="FootnoteText"/>
      </w:pPr>
      <w:r>
        <w:rPr>
          <w:rStyle w:val="FootnoteReference"/>
        </w:rPr>
        <w:footnoteRef/>
      </w:r>
      <w:r>
        <w:t xml:space="preserve"> </w:t>
      </w:r>
      <w:r>
        <w:t xml:space="preserve">Lüthi 2024, PMID 38371479.</w:t>
      </w:r>
    </w:p>
  </w:footnote>
  <w:footnote w:id="375">
    <w:p>
      <w:pPr>
        <w:pStyle w:val="FootnoteText"/>
      </w:pPr>
      <w:r>
        <w:rPr>
          <w:rStyle w:val="FootnoteReference"/>
        </w:rPr>
        <w:footnoteRef/>
      </w:r>
      <w:r>
        <w:t xml:space="preserve"> </w:t>
      </w:r>
      <w:r>
        <w:t xml:space="preserve">Probst 2023, PMID 37991022.</w:t>
      </w:r>
    </w:p>
  </w:footnote>
  <w:footnote w:id="376">
    <w:p>
      <w:pPr>
        <w:pStyle w:val="FootnoteText"/>
      </w:pPr>
      <w:r>
        <w:rPr>
          <w:rStyle w:val="FootnoteReference"/>
        </w:rPr>
        <w:footnoteRef/>
      </w:r>
      <w:r>
        <w:t xml:space="preserve"> </w:t>
      </w:r>
      <w:r>
        <w:t xml:space="preserve">Winzeler 2021, PMID 34473645.</w:t>
      </w:r>
    </w:p>
  </w:footnote>
  <w:footnote w:id="379">
    <w:p>
      <w:pPr>
        <w:pStyle w:val="FootnoteText"/>
      </w:pPr>
      <w:r>
        <w:rPr>
          <w:rStyle w:val="FootnoteReference"/>
        </w:rPr>
        <w:footnoteRef/>
      </w:r>
      <w:r>
        <w:t xml:space="preserve"> </w:t>
      </w:r>
      <w:r>
        <w:t xml:space="preserve">Glaesner 2010, PMID 20503261.</w:t>
      </w:r>
    </w:p>
  </w:footnote>
  <w:footnote w:id="380">
    <w:p>
      <w:pPr>
        <w:pStyle w:val="FootnoteText"/>
      </w:pPr>
      <w:r>
        <w:rPr>
          <w:rStyle w:val="FootnoteReference"/>
        </w:rPr>
        <w:footnoteRef/>
      </w:r>
      <w:r>
        <w:t xml:space="preserve"> </w:t>
      </w:r>
      <w:r>
        <w:t xml:space="preserve">Bjerre Knudsen 2010, PMID 20203154.</w:t>
      </w:r>
    </w:p>
  </w:footnote>
  <w:footnote w:id="382">
    <w:p>
      <w:pPr>
        <w:pStyle w:val="FootnoteText"/>
      </w:pPr>
      <w:r>
        <w:rPr>
          <w:rStyle w:val="FootnoteReference"/>
        </w:rPr>
        <w:footnoteRef/>
      </w:r>
      <w:r>
        <w:t xml:space="preserve"> </w:t>
      </w:r>
      <w:r>
        <w:t xml:space="preserve">Gerstein 2019, PMID 31189511.</w:t>
      </w:r>
    </w:p>
  </w:footnote>
  <w:footnote w:id="383">
    <w:p>
      <w:pPr>
        <w:pStyle w:val="FootnoteText"/>
      </w:pPr>
      <w:r>
        <w:rPr>
          <w:rStyle w:val="FootnoteReference"/>
        </w:rPr>
        <w:footnoteRef/>
      </w:r>
      <w:r>
        <w:t xml:space="preserve"> </w:t>
      </w:r>
      <w:r>
        <w:t xml:space="preserve">Frias 2021, PMID 33397768.</w:t>
      </w:r>
    </w:p>
  </w:footnote>
  <w:footnote w:id="384">
    <w:p>
      <w:pPr>
        <w:pStyle w:val="FootnoteText"/>
      </w:pPr>
      <w:r>
        <w:rPr>
          <w:rStyle w:val="FootnoteReference"/>
        </w:rPr>
        <w:footnoteRef/>
      </w:r>
      <w:r>
        <w:t xml:space="preserve"> </w:t>
      </w:r>
      <w:r>
        <w:t xml:space="preserve">Giorgino 2015, PMID 26089386.</w:t>
      </w:r>
    </w:p>
  </w:footnote>
  <w:footnote w:id="385">
    <w:p>
      <w:pPr>
        <w:pStyle w:val="FootnoteText"/>
      </w:pPr>
      <w:r>
        <w:rPr>
          <w:rStyle w:val="FootnoteReference"/>
        </w:rPr>
        <w:footnoteRef/>
      </w:r>
      <w:r>
        <w:t xml:space="preserve"> </w:t>
      </w:r>
      <w:r>
        <w:t xml:space="preserve">Giorgino 2015, PMID 26089386.</w:t>
      </w:r>
    </w:p>
  </w:footnote>
  <w:footnote w:id="386">
    <w:p>
      <w:pPr>
        <w:pStyle w:val="FootnoteText"/>
      </w:pPr>
      <w:r>
        <w:rPr>
          <w:rStyle w:val="FootnoteReference"/>
        </w:rPr>
        <w:footnoteRef/>
      </w:r>
      <w:r>
        <w:t xml:space="preserve"> </w:t>
      </w:r>
      <w:r>
        <w:t xml:space="preserve">Milicevic 2016, PMID 26847401.</w:t>
      </w:r>
    </w:p>
  </w:footnote>
  <w:footnote w:id="387">
    <w:p>
      <w:pPr>
        <w:pStyle w:val="FootnoteText"/>
      </w:pPr>
      <w:r>
        <w:rPr>
          <w:rStyle w:val="FootnoteReference"/>
        </w:rPr>
        <w:footnoteRef/>
      </w:r>
      <w:r>
        <w:t xml:space="preserve"> </w:t>
      </w:r>
      <w:r>
        <w:t xml:space="preserve">He 2022, PMID 35344001.</w:t>
      </w:r>
    </w:p>
  </w:footnote>
  <w:footnote w:id="388">
    <w:p>
      <w:pPr>
        <w:pStyle w:val="FootnoteText"/>
      </w:pPr>
      <w:r>
        <w:rPr>
          <w:rStyle w:val="FootnoteReference"/>
        </w:rPr>
        <w:footnoteRef/>
      </w:r>
      <w:r>
        <w:t xml:space="preserve"> </w:t>
      </w:r>
      <w:r>
        <w:t xml:space="preserve">Kristensen 2019, PMID 31422062.</w:t>
      </w:r>
    </w:p>
  </w:footnote>
  <w:footnote w:id="389">
    <w:p>
      <w:pPr>
        <w:pStyle w:val="FootnoteText"/>
      </w:pPr>
      <w:r>
        <w:rPr>
          <w:rStyle w:val="FootnoteReference"/>
        </w:rPr>
        <w:footnoteRef/>
      </w:r>
      <w:r>
        <w:t xml:space="preserve"> </w:t>
      </w:r>
      <w:r>
        <w:t xml:space="preserve">Silverii 2025, PMID 40437949.</w:t>
      </w:r>
    </w:p>
  </w:footnote>
  <w:footnote w:id="390">
    <w:p>
      <w:pPr>
        <w:pStyle w:val="FootnoteText"/>
      </w:pPr>
      <w:r>
        <w:rPr>
          <w:rStyle w:val="FootnoteReference"/>
        </w:rPr>
        <w:footnoteRef/>
      </w:r>
      <w:r>
        <w:t xml:space="preserve"> </w:t>
      </w:r>
      <w:r>
        <w:t xml:space="preserve">NCT07276763.</w:t>
      </w:r>
    </w:p>
  </w:footnote>
  <w:footnote w:id="393">
    <w:p>
      <w:pPr>
        <w:pStyle w:val="FootnoteText"/>
      </w:pPr>
      <w:r>
        <w:rPr>
          <w:rStyle w:val="FootnoteReference"/>
        </w:rPr>
        <w:footnoteRef/>
      </w:r>
      <w:r>
        <w:t xml:space="preserve"> </w:t>
      </w:r>
      <w:r>
        <w:t xml:space="preserve">NCT06739122.</w:t>
      </w:r>
    </w:p>
  </w:footnote>
  <w:footnote w:id="394">
    <w:p>
      <w:pPr>
        <w:pStyle w:val="FootnoteText"/>
      </w:pPr>
      <w:r>
        <w:rPr>
          <w:rStyle w:val="FootnoteReference"/>
        </w:rPr>
        <w:footnoteRef/>
      </w:r>
      <w:r>
        <w:t xml:space="preserve"> </w:t>
      </w:r>
      <w:r>
        <w:t xml:space="preserve">NCT07668336.</w:t>
      </w:r>
    </w:p>
  </w:footnote>
  <w:footnote w:id="395">
    <w:p>
      <w:pPr>
        <w:pStyle w:val="FootnoteText"/>
      </w:pPr>
      <w:r>
        <w:rPr>
          <w:rStyle w:val="FootnoteReference"/>
        </w:rPr>
        <w:footnoteRef/>
      </w:r>
      <w:r>
        <w:t xml:space="preserve"> </w:t>
      </w:r>
      <w:r>
        <w:t xml:space="preserve">NCT07282041.</w:t>
      </w:r>
    </w:p>
  </w:footnote>
  <w:footnote w:id="396">
    <w:p>
      <w:pPr>
        <w:pStyle w:val="FootnoteText"/>
      </w:pPr>
      <w:r>
        <w:rPr>
          <w:rStyle w:val="FootnoteReference"/>
        </w:rPr>
        <w:footnoteRef/>
      </w:r>
      <w:r>
        <w:t xml:space="preserve"> </w:t>
      </w:r>
      <w:r>
        <w:t xml:space="preserve">NCT06324461.</w:t>
      </w:r>
    </w:p>
  </w:footnote>
  <w:footnote w:id="397">
    <w:p>
      <w:pPr>
        <w:pStyle w:val="FootnoteText"/>
      </w:pPr>
      <w:r>
        <w:rPr>
          <w:rStyle w:val="FootnoteReference"/>
        </w:rPr>
        <w:footnoteRef/>
      </w:r>
      <w:r>
        <w:t xml:space="preserve"> </w:t>
      </w:r>
      <w:r>
        <w:t xml:space="preserve">NCT04731272.</w:t>
      </w:r>
    </w:p>
  </w:footnote>
  <w:footnote w:id="398">
    <w:p>
      <w:pPr>
        <w:pStyle w:val="FootnoteText"/>
      </w:pPr>
      <w:r>
        <w:rPr>
          <w:rStyle w:val="FootnoteReference"/>
        </w:rPr>
        <w:footnoteRef/>
      </w:r>
      <w:r>
        <w:t xml:space="preserve"> </w:t>
      </w:r>
      <w:r>
        <w:t xml:space="preserve">NCT06257966.</w:t>
      </w:r>
    </w:p>
  </w:footnote>
  <w:footnote w:id="402">
    <w:p>
      <w:pPr>
        <w:pStyle w:val="FootnoteText"/>
      </w:pPr>
      <w:r>
        <w:rPr>
          <w:rStyle w:val="FootnoteReference"/>
        </w:rPr>
        <w:footnoteRef/>
      </w:r>
      <w:r>
        <w:t xml:space="preserve"> </w:t>
      </w:r>
      <w:r>
        <w:t xml:space="preserve">Lau 2015, PMID 26308095.</w:t>
      </w:r>
    </w:p>
  </w:footnote>
  <w:footnote w:id="404">
    <w:p>
      <w:pPr>
        <w:pStyle w:val="FootnoteText"/>
      </w:pPr>
      <w:r>
        <w:rPr>
          <w:rStyle w:val="FootnoteReference"/>
        </w:rPr>
        <w:footnoteRef/>
      </w:r>
      <w:r>
        <w:t xml:space="preserve"> </w:t>
      </w:r>
      <w:r>
        <w:t xml:space="preserve">Lau 2015, PMID 26308095.</w:t>
      </w:r>
    </w:p>
  </w:footnote>
  <w:footnote w:id="405">
    <w:p>
      <w:pPr>
        <w:pStyle w:val="FootnoteText"/>
      </w:pPr>
      <w:r>
        <w:rPr>
          <w:rStyle w:val="FootnoteReference"/>
        </w:rPr>
        <w:footnoteRef/>
      </w:r>
      <w:r>
        <w:t xml:space="preserve"> </w:t>
      </w:r>
      <w:r>
        <w:t xml:space="preserve">Buckley 2018, PMID 30429357.</w:t>
      </w:r>
    </w:p>
  </w:footnote>
  <w:footnote w:id="407">
    <w:p>
      <w:pPr>
        <w:pStyle w:val="FootnoteText"/>
      </w:pPr>
      <w:r>
        <w:rPr>
          <w:rStyle w:val="FootnoteReference"/>
        </w:rPr>
        <w:footnoteRef/>
      </w:r>
      <w:r>
        <w:t xml:space="preserve"> </w:t>
      </w:r>
      <w:r>
        <w:t xml:space="preserve">Sorli 2017, PMID 28110911.</w:t>
      </w:r>
    </w:p>
  </w:footnote>
  <w:footnote w:id="408">
    <w:p>
      <w:pPr>
        <w:pStyle w:val="FootnoteText"/>
      </w:pPr>
      <w:r>
        <w:rPr>
          <w:rStyle w:val="FootnoteReference"/>
        </w:rPr>
        <w:footnoteRef/>
      </w:r>
      <w:r>
        <w:t xml:space="preserve"> </w:t>
      </w:r>
      <w:r>
        <w:t xml:space="preserve">Frías 2021, PMID 34293304.</w:t>
      </w:r>
    </w:p>
  </w:footnote>
  <w:footnote w:id="409">
    <w:p>
      <w:pPr>
        <w:pStyle w:val="FootnoteText"/>
      </w:pPr>
      <w:r>
        <w:rPr>
          <w:rStyle w:val="FootnoteReference"/>
        </w:rPr>
        <w:footnoteRef/>
      </w:r>
      <w:r>
        <w:t xml:space="preserve"> </w:t>
      </w:r>
      <w:r>
        <w:t xml:space="preserve">Marso 2016, PMID 27633186.</w:t>
      </w:r>
    </w:p>
  </w:footnote>
  <w:footnote w:id="411">
    <w:p>
      <w:pPr>
        <w:pStyle w:val="FootnoteText"/>
      </w:pPr>
      <w:r>
        <w:rPr>
          <w:rStyle w:val="FootnoteReference"/>
        </w:rPr>
        <w:footnoteRef/>
      </w:r>
      <w:r>
        <w:t xml:space="preserve"> </w:t>
      </w:r>
      <w:r>
        <w:t xml:space="preserve">Rubino 2022, PMID 35015037.</w:t>
      </w:r>
    </w:p>
  </w:footnote>
  <w:footnote w:id="412">
    <w:p>
      <w:pPr>
        <w:pStyle w:val="FootnoteText"/>
      </w:pPr>
      <w:r>
        <w:rPr>
          <w:rStyle w:val="FootnoteReference"/>
        </w:rPr>
        <w:footnoteRef/>
      </w:r>
      <w:r>
        <w:t xml:space="preserve"> </w:t>
      </w:r>
      <w:r>
        <w:t xml:space="preserve">Capehorn 2020, PMID 31539622.</w:t>
      </w:r>
    </w:p>
  </w:footnote>
  <w:footnote w:id="413">
    <w:p>
      <w:pPr>
        <w:pStyle w:val="FootnoteText"/>
      </w:pPr>
      <w:r>
        <w:rPr>
          <w:rStyle w:val="FootnoteReference"/>
        </w:rPr>
        <w:footnoteRef/>
      </w:r>
      <w:r>
        <w:t xml:space="preserve"> </w:t>
      </w:r>
      <w:r>
        <w:t xml:space="preserve">Ahmann 2018, PMID 29246950.</w:t>
      </w:r>
    </w:p>
  </w:footnote>
  <w:footnote w:id="414">
    <w:p>
      <w:pPr>
        <w:pStyle w:val="FootnoteText"/>
      </w:pPr>
      <w:r>
        <w:rPr>
          <w:rStyle w:val="FootnoteReference"/>
        </w:rPr>
        <w:footnoteRef/>
      </w:r>
      <w:r>
        <w:t xml:space="preserve"> </w:t>
      </w:r>
      <w:r>
        <w:t xml:space="preserve">Pratley 2019, PMID 31186120.</w:t>
      </w:r>
    </w:p>
  </w:footnote>
  <w:footnote w:id="415">
    <w:p>
      <w:pPr>
        <w:pStyle w:val="FootnoteText"/>
      </w:pPr>
      <w:r>
        <w:rPr>
          <w:rStyle w:val="FootnoteReference"/>
        </w:rPr>
        <w:footnoteRef/>
      </w:r>
      <w:r>
        <w:t xml:space="preserve"> </w:t>
      </w:r>
      <w:r>
        <w:t xml:space="preserve">Aronne 2025, PMID 40353578.</w:t>
      </w:r>
    </w:p>
  </w:footnote>
  <w:footnote w:id="417">
    <w:p>
      <w:pPr>
        <w:pStyle w:val="FootnoteText"/>
      </w:pPr>
      <w:r>
        <w:rPr>
          <w:rStyle w:val="FootnoteReference"/>
        </w:rPr>
        <w:footnoteRef/>
      </w:r>
      <w:r>
        <w:t xml:space="preserve"> </w:t>
      </w:r>
      <w:r>
        <w:t xml:space="preserve">Aroda 2023, PMID 37385279.</w:t>
      </w:r>
    </w:p>
  </w:footnote>
  <w:footnote w:id="418">
    <w:p>
      <w:pPr>
        <w:pStyle w:val="FootnoteText"/>
      </w:pPr>
      <w:r>
        <w:rPr>
          <w:rStyle w:val="FootnoteReference"/>
        </w:rPr>
        <w:footnoteRef/>
      </w:r>
      <w:r>
        <w:t xml:space="preserve"> </w:t>
      </w:r>
      <w:r>
        <w:t xml:space="preserve">Husain 2019, PMID 31185157.</w:t>
      </w:r>
    </w:p>
  </w:footnote>
  <w:footnote w:id="419">
    <w:p>
      <w:pPr>
        <w:pStyle w:val="FootnoteText"/>
      </w:pPr>
      <w:r>
        <w:rPr>
          <w:rStyle w:val="FootnoteReference"/>
        </w:rPr>
        <w:footnoteRef/>
      </w:r>
      <w:r>
        <w:t xml:space="preserve"> </w:t>
      </w:r>
      <w:r>
        <w:t xml:space="preserve">McGuire 2025, PMID 40162642.</w:t>
      </w:r>
    </w:p>
  </w:footnote>
  <w:footnote w:id="421">
    <w:p>
      <w:pPr>
        <w:pStyle w:val="FootnoteText"/>
      </w:pPr>
      <w:r>
        <w:rPr>
          <w:rStyle w:val="FootnoteReference"/>
        </w:rPr>
        <w:footnoteRef/>
      </w:r>
      <w:r>
        <w:t xml:space="preserve"> </w:t>
      </w:r>
      <w:r>
        <w:t xml:space="preserve">Wilding 2021, PMID 33567185.</w:t>
      </w:r>
    </w:p>
  </w:footnote>
  <w:footnote w:id="422">
    <w:p>
      <w:pPr>
        <w:pStyle w:val="FootnoteText"/>
      </w:pPr>
      <w:r>
        <w:rPr>
          <w:rStyle w:val="FootnoteReference"/>
        </w:rPr>
        <w:footnoteRef/>
      </w:r>
      <w:r>
        <w:t xml:space="preserve"> </w:t>
      </w:r>
      <w:r>
        <w:t xml:space="preserve">Garvey 2022, PMID 36216945.</w:t>
      </w:r>
    </w:p>
  </w:footnote>
  <w:footnote w:id="423">
    <w:p>
      <w:pPr>
        <w:pStyle w:val="FootnoteText"/>
      </w:pPr>
      <w:r>
        <w:rPr>
          <w:rStyle w:val="FootnoteReference"/>
        </w:rPr>
        <w:footnoteRef/>
      </w:r>
      <w:r>
        <w:t xml:space="preserve"> </w:t>
      </w:r>
      <w:r>
        <w:t xml:space="preserve">Rubino 2021, PMID 33755728.</w:t>
      </w:r>
    </w:p>
  </w:footnote>
  <w:footnote w:id="424">
    <w:p>
      <w:pPr>
        <w:pStyle w:val="FootnoteText"/>
      </w:pPr>
      <w:r>
        <w:rPr>
          <w:rStyle w:val="FootnoteReference"/>
        </w:rPr>
        <w:footnoteRef/>
      </w:r>
      <w:r>
        <w:t xml:space="preserve"> </w:t>
      </w:r>
      <w:r>
        <w:t xml:space="preserve">Wilding 2022, PMID 35441470.</w:t>
      </w:r>
    </w:p>
  </w:footnote>
  <w:footnote w:id="425">
    <w:p>
      <w:pPr>
        <w:pStyle w:val="FootnoteText"/>
      </w:pPr>
      <w:r>
        <w:rPr>
          <w:rStyle w:val="FootnoteReference"/>
        </w:rPr>
        <w:footnoteRef/>
      </w:r>
      <w:r>
        <w:t xml:space="preserve"> </w:t>
      </w:r>
      <w:r>
        <w:t xml:space="preserve">Wharton 2025, PMID 40961952.</w:t>
      </w:r>
    </w:p>
  </w:footnote>
  <w:footnote w:id="427">
    <w:p>
      <w:pPr>
        <w:pStyle w:val="FootnoteText"/>
      </w:pPr>
      <w:r>
        <w:rPr>
          <w:rStyle w:val="FootnoteReference"/>
        </w:rPr>
        <w:footnoteRef/>
      </w:r>
      <w:r>
        <w:t xml:space="preserve"> </w:t>
      </w:r>
      <w:r>
        <w:t xml:space="preserve">Knop 2023, PMID 37385278; Wharton 2025, PMID 40934115.</w:t>
      </w:r>
    </w:p>
  </w:footnote>
  <w:footnote w:id="429">
    <w:p>
      <w:pPr>
        <w:pStyle w:val="FootnoteText"/>
      </w:pPr>
      <w:r>
        <w:rPr>
          <w:rStyle w:val="FootnoteReference"/>
        </w:rPr>
        <w:footnoteRef/>
      </w:r>
      <w:r>
        <w:t xml:space="preserve"> </w:t>
      </w:r>
      <w:r>
        <w:t xml:space="preserve">Weghuber 2022, PMID 36322838.</w:t>
      </w:r>
    </w:p>
  </w:footnote>
  <w:footnote w:id="430">
    <w:p>
      <w:pPr>
        <w:pStyle w:val="FootnoteText"/>
      </w:pPr>
      <w:r>
        <w:rPr>
          <w:rStyle w:val="FootnoteReference"/>
        </w:rPr>
        <w:footnoteRef/>
      </w:r>
      <w:r>
        <w:t xml:space="preserve"> </w:t>
      </w:r>
      <w:r>
        <w:t xml:space="preserve">NCT05726227.</w:t>
      </w:r>
    </w:p>
  </w:footnote>
  <w:footnote w:id="432">
    <w:p>
      <w:pPr>
        <w:pStyle w:val="FootnoteText"/>
      </w:pPr>
      <w:r>
        <w:rPr>
          <w:rStyle w:val="FootnoteReference"/>
        </w:rPr>
        <w:footnoteRef/>
      </w:r>
      <w:r>
        <w:t xml:space="preserve"> </w:t>
      </w:r>
      <w:r>
        <w:t xml:space="preserve">Lincoff 2023, PMID 37952131.</w:t>
      </w:r>
    </w:p>
  </w:footnote>
  <w:footnote w:id="434">
    <w:p>
      <w:pPr>
        <w:pStyle w:val="FootnoteText"/>
      </w:pPr>
      <w:r>
        <w:rPr>
          <w:rStyle w:val="FootnoteReference"/>
        </w:rPr>
        <w:footnoteRef/>
      </w:r>
      <w:r>
        <w:t xml:space="preserve"> </w:t>
      </w:r>
      <w:r>
        <w:t xml:space="preserve">Perkovic 2024, PMID 38785209.</w:t>
      </w:r>
    </w:p>
  </w:footnote>
  <w:footnote w:id="436">
    <w:p>
      <w:pPr>
        <w:pStyle w:val="FootnoteText"/>
      </w:pPr>
      <w:r>
        <w:rPr>
          <w:rStyle w:val="FootnoteReference"/>
        </w:rPr>
        <w:footnoteRef/>
      </w:r>
      <w:r>
        <w:t xml:space="preserve"> </w:t>
      </w:r>
      <w:r>
        <w:t xml:space="preserve">Sanyal 2025, PMID 40305708.</w:t>
      </w:r>
    </w:p>
  </w:footnote>
  <w:footnote w:id="437">
    <w:p>
      <w:pPr>
        <w:pStyle w:val="FootnoteText"/>
      </w:pPr>
      <w:r>
        <w:rPr>
          <w:rStyle w:val="FootnoteReference"/>
        </w:rPr>
        <w:footnoteRef/>
      </w:r>
      <w:r>
        <w:t xml:space="preserve"> </w:t>
      </w:r>
      <w:r>
        <w:t xml:space="preserve">NCT04822181.</w:t>
      </w:r>
    </w:p>
  </w:footnote>
  <w:footnote w:id="438">
    <w:p>
      <w:pPr>
        <w:pStyle w:val="FootnoteText"/>
      </w:pPr>
      <w:r>
        <w:rPr>
          <w:rStyle w:val="FootnoteReference"/>
        </w:rPr>
        <w:footnoteRef/>
      </w:r>
      <w:r>
        <w:t xml:space="preserve"> </w:t>
      </w:r>
      <w:r>
        <w:t xml:space="preserve">Kosiborod 2023, PMID 37622681.</w:t>
      </w:r>
    </w:p>
  </w:footnote>
  <w:footnote w:id="439">
    <w:p>
      <w:pPr>
        <w:pStyle w:val="FootnoteText"/>
      </w:pPr>
      <w:r>
        <w:rPr>
          <w:rStyle w:val="FootnoteReference"/>
        </w:rPr>
        <w:footnoteRef/>
      </w:r>
      <w:r>
        <w:t xml:space="preserve"> </w:t>
      </w:r>
      <w:r>
        <w:t xml:space="preserve">Bonaca 2025, PMID 40169145.</w:t>
      </w:r>
    </w:p>
  </w:footnote>
  <w:footnote w:id="440">
    <w:p>
      <w:pPr>
        <w:pStyle w:val="FootnoteText"/>
      </w:pPr>
      <w:r>
        <w:rPr>
          <w:rStyle w:val="FootnoteReference"/>
        </w:rPr>
        <w:footnoteRef/>
      </w:r>
      <w:r>
        <w:t xml:space="preserve"> </w:t>
      </w:r>
      <w:r>
        <w:t xml:space="preserve">Bliddal 2024, PMID 39476339.</w:t>
      </w:r>
    </w:p>
  </w:footnote>
  <w:footnote w:id="442">
    <w:p>
      <w:pPr>
        <w:pStyle w:val="FootnoteText"/>
      </w:pPr>
      <w:r>
        <w:rPr>
          <w:rStyle w:val="FootnoteReference"/>
        </w:rPr>
        <w:footnoteRef/>
      </w:r>
      <w:r>
        <w:t xml:space="preserve"> </w:t>
      </w:r>
      <w:r>
        <w:t xml:space="preserve">Cummings 2026, PMID 41865758.</w:t>
      </w:r>
    </w:p>
  </w:footnote>
  <w:footnote w:id="443">
    <w:p>
      <w:pPr>
        <w:pStyle w:val="FootnoteText"/>
      </w:pPr>
      <w:r>
        <w:rPr>
          <w:rStyle w:val="FootnoteReference"/>
        </w:rPr>
        <w:footnoteRef/>
      </w:r>
      <w:r>
        <w:t xml:space="preserve"> </w:t>
      </w:r>
      <w:r>
        <w:t xml:space="preserve">Schneider 2026, PMID 41865757.</w:t>
      </w:r>
    </w:p>
  </w:footnote>
  <w:footnote w:id="444">
    <w:p>
      <w:pPr>
        <w:pStyle w:val="FootnoteText"/>
      </w:pPr>
      <w:r>
        <w:rPr>
          <w:rStyle w:val="FootnoteReference"/>
        </w:rPr>
        <w:footnoteRef/>
      </w:r>
      <w:r>
        <w:t xml:space="preserve"> </w:t>
      </w:r>
      <w:r>
        <w:t xml:space="preserve">Hendershot 2025, PMID 39937469.</w:t>
      </w:r>
    </w:p>
  </w:footnote>
  <w:footnote w:id="445">
    <w:p>
      <w:pPr>
        <w:pStyle w:val="FootnoteText"/>
      </w:pPr>
      <w:r>
        <w:rPr>
          <w:rStyle w:val="FootnoteReference"/>
        </w:rPr>
        <w:footnoteRef/>
      </w:r>
      <w:r>
        <w:t xml:space="preserve"> </w:t>
      </w:r>
      <w:r>
        <w:t xml:space="preserve">Lähteenvuo 2025, PMID 39535805.</w:t>
      </w:r>
    </w:p>
  </w:footnote>
  <w:footnote w:id="448">
    <w:p>
      <w:pPr>
        <w:pStyle w:val="FootnoteText"/>
      </w:pPr>
      <w:r>
        <w:rPr>
          <w:rStyle w:val="FootnoteReference"/>
        </w:rPr>
        <w:footnoteRef/>
      </w:r>
      <w:r>
        <w:t xml:space="preserve"> </w:t>
      </w:r>
      <w:r>
        <w:t xml:space="preserve">Lau 2015, PMID 26308095.</w:t>
      </w:r>
    </w:p>
  </w:footnote>
  <w:footnote w:id="449">
    <w:p>
      <w:pPr>
        <w:pStyle w:val="FootnoteText"/>
      </w:pPr>
      <w:r>
        <w:rPr>
          <w:rStyle w:val="FootnoteReference"/>
        </w:rPr>
        <w:footnoteRef/>
      </w:r>
      <w:r>
        <w:t xml:space="preserve"> </w:t>
      </w:r>
      <w:r>
        <w:t xml:space="preserve">Buckley 2018, PMID 30429357.</w:t>
      </w:r>
    </w:p>
  </w:footnote>
  <w:footnote w:id="450">
    <w:p>
      <w:pPr>
        <w:pStyle w:val="FootnoteText"/>
      </w:pPr>
      <w:r>
        <w:rPr>
          <w:rStyle w:val="FootnoteReference"/>
        </w:rPr>
        <w:footnoteRef/>
      </w:r>
      <w:r>
        <w:t xml:space="preserve"> </w:t>
      </w:r>
      <w:r>
        <w:t xml:space="preserve">Bjerre Knudsen 2010, PMID 20203154.</w:t>
      </w:r>
    </w:p>
  </w:footnote>
  <w:footnote w:id="452">
    <w:p>
      <w:pPr>
        <w:pStyle w:val="FootnoteText"/>
      </w:pPr>
      <w:r>
        <w:rPr>
          <w:rStyle w:val="FootnoteReference"/>
        </w:rPr>
        <w:footnoteRef/>
      </w:r>
      <w:r>
        <w:t xml:space="preserve"> </w:t>
      </w:r>
      <w:r>
        <w:t xml:space="preserve">Wilding 2021, PMID 33567185.</w:t>
      </w:r>
    </w:p>
  </w:footnote>
  <w:footnote w:id="453">
    <w:p>
      <w:pPr>
        <w:pStyle w:val="FootnoteText"/>
      </w:pPr>
      <w:r>
        <w:rPr>
          <w:rStyle w:val="FootnoteReference"/>
        </w:rPr>
        <w:footnoteRef/>
      </w:r>
      <w:r>
        <w:t xml:space="preserve"> </w:t>
      </w:r>
      <w:r>
        <w:t xml:space="preserve">He 2022, PMID 35344001.</w:t>
      </w:r>
    </w:p>
  </w:footnote>
  <w:footnote w:id="454">
    <w:p>
      <w:pPr>
        <w:pStyle w:val="FootnoteText"/>
      </w:pPr>
      <w:r>
        <w:rPr>
          <w:rStyle w:val="FootnoteReference"/>
        </w:rPr>
        <w:footnoteRef/>
      </w:r>
      <w:r>
        <w:t xml:space="preserve"> </w:t>
      </w:r>
      <w:r>
        <w:t xml:space="preserve">Weghuber 2022, PMID 36322838.</w:t>
      </w:r>
    </w:p>
  </w:footnote>
  <w:footnote w:id="455">
    <w:p>
      <w:pPr>
        <w:pStyle w:val="FootnoteText"/>
      </w:pPr>
      <w:r>
        <w:rPr>
          <w:rStyle w:val="FootnoteReference"/>
        </w:rPr>
        <w:footnoteRef/>
      </w:r>
      <w:r>
        <w:t xml:space="preserve"> </w:t>
      </w:r>
      <w:r>
        <w:t xml:space="preserve">Marso 2016, PMID 27633186.</w:t>
      </w:r>
    </w:p>
  </w:footnote>
  <w:footnote w:id="456">
    <w:p>
      <w:pPr>
        <w:pStyle w:val="FootnoteText"/>
      </w:pPr>
      <w:r>
        <w:rPr>
          <w:rStyle w:val="FootnoteReference"/>
        </w:rPr>
        <w:footnoteRef/>
      </w:r>
      <w:r>
        <w:t xml:space="preserve"> </w:t>
      </w:r>
      <w:r>
        <w:t xml:space="preserve">NCT03811561.</w:t>
      </w:r>
    </w:p>
  </w:footnote>
  <w:footnote w:id="457">
    <w:p>
      <w:pPr>
        <w:pStyle w:val="FootnoteText"/>
      </w:pPr>
      <w:r>
        <w:rPr>
          <w:rStyle w:val="FootnoteReference"/>
        </w:rPr>
        <w:footnoteRef/>
      </w:r>
      <w:r>
        <w:t xml:space="preserve"> </w:t>
      </w:r>
      <w:r>
        <w:t xml:space="preserve">Hathaway 2024, PMID 38958939.</w:t>
      </w:r>
    </w:p>
  </w:footnote>
  <w:footnote w:id="458">
    <w:p>
      <w:pPr>
        <w:pStyle w:val="FootnoteText"/>
      </w:pPr>
      <w:r>
        <w:rPr>
          <w:rStyle w:val="FootnoteReference"/>
        </w:rPr>
        <w:footnoteRef/>
      </w:r>
      <w:r>
        <w:t xml:space="preserve"> </w:t>
      </w:r>
      <w:r>
        <w:t xml:space="preserve">Simonsen 2025, PMID 40098249.</w:t>
      </w:r>
    </w:p>
  </w:footnote>
  <w:footnote w:id="459">
    <w:p>
      <w:pPr>
        <w:pStyle w:val="FootnoteText"/>
      </w:pPr>
      <w:r>
        <w:rPr>
          <w:rStyle w:val="FootnoteReference"/>
        </w:rPr>
        <w:footnoteRef/>
      </w:r>
      <w:r>
        <w:t xml:space="preserve"> </w:t>
      </w:r>
      <w:r>
        <w:t xml:space="preserve">Liu 2026, PMID 41475544.</w:t>
      </w:r>
    </w:p>
  </w:footnote>
  <w:footnote w:id="460">
    <w:p>
      <w:pPr>
        <w:pStyle w:val="FootnoteText"/>
      </w:pPr>
      <w:r>
        <w:rPr>
          <w:rStyle w:val="FootnoteReference"/>
        </w:rPr>
        <w:footnoteRef/>
      </w:r>
      <w:r>
        <w:t xml:space="preserve"> </w:t>
      </w:r>
      <w:r>
        <w:t xml:space="preserve">Sodhi 2023, PMID 37796527.</w:t>
      </w:r>
    </w:p>
  </w:footnote>
  <w:footnote w:id="461">
    <w:p>
      <w:pPr>
        <w:pStyle w:val="FootnoteText"/>
      </w:pPr>
      <w:r>
        <w:rPr>
          <w:rStyle w:val="FootnoteReference"/>
        </w:rPr>
        <w:footnoteRef/>
      </w:r>
      <w:r>
        <w:t xml:space="preserve"> </w:t>
      </w:r>
      <w:r>
        <w:t xml:space="preserve">Bezin 2023, PMID 36356111; Silverii 2025, PMID 40437949.</w:t>
      </w:r>
    </w:p>
  </w:footnote>
  <w:footnote w:id="462">
    <w:p>
      <w:pPr>
        <w:pStyle w:val="FootnoteText"/>
      </w:pPr>
      <w:r>
        <w:rPr>
          <w:rStyle w:val="FootnoteReference"/>
        </w:rPr>
        <w:footnoteRef/>
      </w:r>
      <w:r>
        <w:t xml:space="preserve"> </w:t>
      </w:r>
      <w:r>
        <w:t xml:space="preserve">Wang 2024, PMID 38182782.</w:t>
      </w:r>
    </w:p>
  </w:footnote>
  <w:footnote w:id="464">
    <w:p>
      <w:pPr>
        <w:pStyle w:val="FootnoteText"/>
      </w:pPr>
      <w:r>
        <w:rPr>
          <w:rStyle w:val="FootnoteReference"/>
        </w:rPr>
        <w:footnoteRef/>
      </w:r>
      <w:r>
        <w:t xml:space="preserve"> </w:t>
      </w:r>
      <w:r>
        <w:t xml:space="preserve">Lambson 2023, PMID 37392810.</w:t>
      </w:r>
    </w:p>
  </w:footnote>
  <w:footnote w:id="465">
    <w:p>
      <w:pPr>
        <w:pStyle w:val="FootnoteText"/>
      </w:pPr>
      <w:r>
        <w:rPr>
          <w:rStyle w:val="FootnoteReference"/>
        </w:rPr>
        <w:footnoteRef/>
      </w:r>
      <w:r>
        <w:t xml:space="preserve"> </w:t>
      </w:r>
      <w:r>
        <w:t xml:space="preserve">McCall 2026, PMID 40285721.</w:t>
      </w:r>
    </w:p>
  </w:footnote>
  <w:footnote w:id="466">
    <w:p>
      <w:pPr>
        <w:pStyle w:val="FootnoteText"/>
      </w:pPr>
      <w:r>
        <w:rPr>
          <w:rStyle w:val="FootnoteReference"/>
        </w:rPr>
        <w:footnoteRef/>
      </w:r>
      <w:r>
        <w:t xml:space="preserve"> </w:t>
      </w:r>
      <w:r>
        <w:t xml:space="preserve">Ashraf 2024, PMID 39509151.</w:t>
      </w:r>
    </w:p>
  </w:footnote>
  <w:footnote w:id="469">
    <w:p>
      <w:pPr>
        <w:pStyle w:val="FootnoteText"/>
      </w:pPr>
      <w:r>
        <w:rPr>
          <w:rStyle w:val="FootnoteReference"/>
        </w:rPr>
        <w:footnoteRef/>
      </w:r>
      <w:r>
        <w:t xml:space="preserve"> </w:t>
      </w:r>
      <w:r>
        <w:t xml:space="preserve">NCT03811561.</w:t>
      </w:r>
    </w:p>
  </w:footnote>
  <w:footnote w:id="470">
    <w:p>
      <w:pPr>
        <w:pStyle w:val="FootnoteText"/>
      </w:pPr>
      <w:r>
        <w:rPr>
          <w:rStyle w:val="FootnoteReference"/>
        </w:rPr>
        <w:footnoteRef/>
      </w:r>
      <w:r>
        <w:t xml:space="preserve"> </w:t>
      </w:r>
      <w:r>
        <w:t xml:space="preserve">NCT04822181.</w:t>
      </w:r>
    </w:p>
  </w:footnote>
  <w:footnote w:id="471">
    <w:p>
      <w:pPr>
        <w:pStyle w:val="FootnoteText"/>
      </w:pPr>
      <w:r>
        <w:rPr>
          <w:rStyle w:val="FootnoteReference"/>
        </w:rPr>
        <w:footnoteRef/>
      </w:r>
      <w:r>
        <w:t xml:space="preserve"> </w:t>
      </w:r>
      <w:r>
        <w:t xml:space="preserve">NCT05726227.</w:t>
      </w:r>
    </w:p>
  </w:footnote>
  <w:footnote w:id="472">
    <w:p>
      <w:pPr>
        <w:pStyle w:val="FootnoteText"/>
      </w:pPr>
      <w:r>
        <w:rPr>
          <w:rStyle w:val="FootnoteReference"/>
        </w:rPr>
        <w:footnoteRef/>
      </w:r>
      <w:r>
        <w:t xml:space="preserve"> </w:t>
      </w:r>
      <w:r>
        <w:t xml:space="preserve">NCT07770841.</w:t>
      </w:r>
    </w:p>
  </w:footnote>
  <w:footnote w:id="473">
    <w:p>
      <w:pPr>
        <w:pStyle w:val="FootnoteText"/>
      </w:pPr>
      <w:r>
        <w:rPr>
          <w:rStyle w:val="FootnoteReference"/>
        </w:rPr>
        <w:footnoteRef/>
      </w:r>
      <w:r>
        <w:t xml:space="preserve"> </w:t>
      </w:r>
      <w:r>
        <w:t xml:space="preserve">NCT05669755.</w:t>
      </w:r>
    </w:p>
  </w:footnote>
  <w:footnote w:id="478">
    <w:p>
      <w:pPr>
        <w:pStyle w:val="FootnoteText"/>
      </w:pPr>
      <w:r>
        <w:rPr>
          <w:rStyle w:val="FootnoteReference"/>
        </w:rPr>
        <w:footnoteRef/>
      </w:r>
      <w:r>
        <w:t xml:space="preserve"> </w:t>
      </w:r>
      <w:r>
        <w:t xml:space="preserve">Willard 2020, PMID 32730231.</w:t>
      </w:r>
    </w:p>
  </w:footnote>
  <w:footnote w:id="479">
    <w:p>
      <w:pPr>
        <w:pStyle w:val="FootnoteText"/>
      </w:pPr>
      <w:r>
        <w:rPr>
          <w:rStyle w:val="FootnoteReference"/>
        </w:rPr>
        <w:footnoteRef/>
      </w:r>
      <w:r>
        <w:t xml:space="preserve"> </w:t>
      </w:r>
      <w:r>
        <w:t xml:space="preserve">Samms 2021, PMID 34003802.</w:t>
      </w:r>
    </w:p>
  </w:footnote>
  <w:footnote w:id="480">
    <w:p>
      <w:pPr>
        <w:pStyle w:val="FootnoteText"/>
      </w:pPr>
      <w:r>
        <w:rPr>
          <w:rStyle w:val="FootnoteReference"/>
        </w:rPr>
        <w:footnoteRef/>
      </w:r>
      <w:r>
        <w:t xml:space="preserve"> </w:t>
      </w:r>
      <w:r>
        <w:t xml:space="preserve">Heise 2023, PMID 36857477.</w:t>
      </w:r>
    </w:p>
  </w:footnote>
  <w:footnote w:id="482">
    <w:p>
      <w:pPr>
        <w:pStyle w:val="FootnoteText"/>
      </w:pPr>
      <w:r>
        <w:rPr>
          <w:rStyle w:val="FootnoteReference"/>
        </w:rPr>
        <w:footnoteRef/>
      </w:r>
      <w:r>
        <w:t xml:space="preserve"> </w:t>
      </w:r>
      <w:r>
        <w:t xml:space="preserve">Coskun 2018, PMID 30473097.</w:t>
      </w:r>
    </w:p>
  </w:footnote>
  <w:footnote w:id="483">
    <w:p>
      <w:pPr>
        <w:pStyle w:val="FootnoteText"/>
      </w:pPr>
      <w:r>
        <w:rPr>
          <w:rStyle w:val="FootnoteReference"/>
        </w:rPr>
        <w:footnoteRef/>
      </w:r>
      <w:r>
        <w:t xml:space="preserve"> </w:t>
      </w:r>
      <w:r>
        <w:t xml:space="preserve">Frias 2018, PMID 30293770.</w:t>
      </w:r>
    </w:p>
  </w:footnote>
  <w:footnote w:id="485">
    <w:p>
      <w:pPr>
        <w:pStyle w:val="FootnoteText"/>
      </w:pPr>
      <w:r>
        <w:rPr>
          <w:rStyle w:val="FootnoteReference"/>
        </w:rPr>
        <w:footnoteRef/>
      </w:r>
      <w:r>
        <w:t xml:space="preserve"> </w:t>
      </w:r>
      <w:r>
        <w:t xml:space="preserve">Frías 2021, PMID 34170647.</w:t>
      </w:r>
    </w:p>
  </w:footnote>
  <w:footnote w:id="486">
    <w:p>
      <w:pPr>
        <w:pStyle w:val="FootnoteText"/>
      </w:pPr>
      <w:r>
        <w:rPr>
          <w:rStyle w:val="FootnoteReference"/>
        </w:rPr>
        <w:footnoteRef/>
      </w:r>
      <w:r>
        <w:t xml:space="preserve"> </w:t>
      </w:r>
      <w:r>
        <w:t xml:space="preserve">Ludvik 2021, PMID 34370970.</w:t>
      </w:r>
    </w:p>
  </w:footnote>
  <w:footnote w:id="487">
    <w:p>
      <w:pPr>
        <w:pStyle w:val="FootnoteText"/>
      </w:pPr>
      <w:r>
        <w:rPr>
          <w:rStyle w:val="FootnoteReference"/>
        </w:rPr>
        <w:footnoteRef/>
      </w:r>
      <w:r>
        <w:t xml:space="preserve"> </w:t>
      </w:r>
      <w:r>
        <w:t xml:space="preserve">Hannon 2025, PMID 40975112.</w:t>
      </w:r>
    </w:p>
  </w:footnote>
  <w:footnote w:id="488">
    <w:p>
      <w:pPr>
        <w:pStyle w:val="FootnoteText"/>
      </w:pPr>
      <w:r>
        <w:rPr>
          <w:rStyle w:val="FootnoteReference"/>
        </w:rPr>
        <w:footnoteRef/>
      </w:r>
      <w:r>
        <w:t xml:space="preserve"> </w:t>
      </w:r>
      <w:r>
        <w:t xml:space="preserve">Snaith 2026, PMID 41264593.</w:t>
      </w:r>
    </w:p>
  </w:footnote>
  <w:footnote w:id="489">
    <w:p>
      <w:pPr>
        <w:pStyle w:val="FootnoteText"/>
      </w:pPr>
      <w:r>
        <w:rPr>
          <w:rStyle w:val="FootnoteReference"/>
        </w:rPr>
        <w:footnoteRef/>
      </w:r>
      <w:r>
        <w:t xml:space="preserve"> </w:t>
      </w:r>
      <w:r>
        <w:t xml:space="preserve">Sattar 2022, PMID 35210595.</w:t>
      </w:r>
    </w:p>
  </w:footnote>
  <w:footnote w:id="491">
    <w:p>
      <w:pPr>
        <w:pStyle w:val="FootnoteText"/>
      </w:pPr>
      <w:r>
        <w:rPr>
          <w:rStyle w:val="FootnoteReference"/>
        </w:rPr>
        <w:footnoteRef/>
      </w:r>
      <w:r>
        <w:t xml:space="preserve"> </w:t>
      </w:r>
      <w:r>
        <w:t xml:space="preserve">Nicholls 2025, PMID 41406444.</w:t>
      </w:r>
    </w:p>
  </w:footnote>
  <w:footnote w:id="492">
    <w:p>
      <w:pPr>
        <w:pStyle w:val="FootnoteText"/>
      </w:pPr>
      <w:r>
        <w:rPr>
          <w:rStyle w:val="FootnoteReference"/>
        </w:rPr>
        <w:footnoteRef/>
      </w:r>
      <w:r>
        <w:t xml:space="preserve"> </w:t>
      </w:r>
      <w:r>
        <w:t xml:space="preserve">Nissen 2026, PMID 41903177.</w:t>
      </w:r>
    </w:p>
  </w:footnote>
  <w:footnote w:id="493">
    <w:p>
      <w:pPr>
        <w:pStyle w:val="FootnoteText"/>
      </w:pPr>
      <w:r>
        <w:rPr>
          <w:rStyle w:val="FootnoteReference"/>
        </w:rPr>
        <w:footnoteRef/>
      </w:r>
      <w:r>
        <w:t xml:space="preserve"> </w:t>
      </w:r>
      <w:r>
        <w:t xml:space="preserve">Sattar 2026, PMID 41940793.</w:t>
      </w:r>
    </w:p>
  </w:footnote>
  <w:footnote w:id="495">
    <w:p>
      <w:pPr>
        <w:pStyle w:val="FootnoteText"/>
      </w:pPr>
      <w:r>
        <w:rPr>
          <w:rStyle w:val="FootnoteReference"/>
        </w:rPr>
        <w:footnoteRef/>
      </w:r>
      <w:r>
        <w:t xml:space="preserve"> </w:t>
      </w:r>
      <w:r>
        <w:t xml:space="preserve">Jastreboff 2022, PMID 35658024.</w:t>
      </w:r>
    </w:p>
  </w:footnote>
  <w:footnote w:id="496">
    <w:p>
      <w:pPr>
        <w:pStyle w:val="FootnoteText"/>
      </w:pPr>
      <w:r>
        <w:rPr>
          <w:rStyle w:val="FootnoteReference"/>
        </w:rPr>
        <w:footnoteRef/>
      </w:r>
      <w:r>
        <w:t xml:space="preserve"> </w:t>
      </w:r>
      <w:r>
        <w:t xml:space="preserve">Garvey 2023, PMID 37385275.</w:t>
      </w:r>
    </w:p>
  </w:footnote>
  <w:footnote w:id="497">
    <w:p>
      <w:pPr>
        <w:pStyle w:val="FootnoteText"/>
      </w:pPr>
      <w:r>
        <w:rPr>
          <w:rStyle w:val="FootnoteReference"/>
        </w:rPr>
        <w:footnoteRef/>
      </w:r>
      <w:r>
        <w:t xml:space="preserve"> </w:t>
      </w:r>
      <w:r>
        <w:t xml:space="preserve">Aronne 2024, PMID 38078870.</w:t>
      </w:r>
    </w:p>
  </w:footnote>
  <w:footnote w:id="498">
    <w:p>
      <w:pPr>
        <w:pStyle w:val="FootnoteText"/>
      </w:pPr>
      <w:r>
        <w:rPr>
          <w:rStyle w:val="FootnoteReference"/>
        </w:rPr>
        <w:footnoteRef/>
      </w:r>
      <w:r>
        <w:t xml:space="preserve"> </w:t>
      </w:r>
      <w:r>
        <w:t xml:space="preserve">Horn 2026, PMID 42119587.</w:t>
      </w:r>
    </w:p>
  </w:footnote>
  <w:footnote w:id="499">
    <w:p>
      <w:pPr>
        <w:pStyle w:val="FootnoteText"/>
      </w:pPr>
      <w:r>
        <w:rPr>
          <w:rStyle w:val="FootnoteReference"/>
        </w:rPr>
        <w:footnoteRef/>
      </w:r>
      <w:r>
        <w:t xml:space="preserve"> </w:t>
      </w:r>
      <w:r>
        <w:t xml:space="preserve">Jastreboff 2025, PMID 39536238.</w:t>
      </w:r>
    </w:p>
  </w:footnote>
  <w:footnote w:id="501">
    <w:p>
      <w:pPr>
        <w:pStyle w:val="FootnoteText"/>
      </w:pPr>
      <w:r>
        <w:rPr>
          <w:rStyle w:val="FootnoteReference"/>
        </w:rPr>
        <w:footnoteRef/>
      </w:r>
      <w:r>
        <w:t xml:space="preserve"> </w:t>
      </w:r>
      <w:r>
        <w:t xml:space="preserve">Aronne 2025, PMID 40353578.</w:t>
      </w:r>
    </w:p>
  </w:footnote>
  <w:footnote w:id="502">
    <w:p>
      <w:pPr>
        <w:pStyle w:val="FootnoteText"/>
      </w:pPr>
      <w:r>
        <w:rPr>
          <w:rStyle w:val="FootnoteReference"/>
        </w:rPr>
        <w:footnoteRef/>
      </w:r>
      <w:r>
        <w:t xml:space="preserve"> </w:t>
      </w:r>
      <w:r>
        <w:t xml:space="preserve">Aronne 2026, PMID 41865857.</w:t>
      </w:r>
    </w:p>
  </w:footnote>
  <w:footnote w:id="504">
    <w:p>
      <w:pPr>
        <w:pStyle w:val="FootnoteText"/>
      </w:pPr>
      <w:r>
        <w:rPr>
          <w:rStyle w:val="FootnoteReference"/>
        </w:rPr>
        <w:footnoteRef/>
      </w:r>
      <w:r>
        <w:t xml:space="preserve"> </w:t>
      </w:r>
      <w:r>
        <w:t xml:space="preserve">Packer 2025, PMID 39555826.</w:t>
      </w:r>
    </w:p>
  </w:footnote>
  <w:footnote w:id="505">
    <w:p>
      <w:pPr>
        <w:pStyle w:val="FootnoteText"/>
      </w:pPr>
      <w:r>
        <w:rPr>
          <w:rStyle w:val="FootnoteReference"/>
        </w:rPr>
        <w:footnoteRef/>
      </w:r>
      <w:r>
        <w:t xml:space="preserve"> </w:t>
      </w:r>
      <w:r>
        <w:t xml:space="preserve">Kramer 2025, PMID 39566869.</w:t>
      </w:r>
    </w:p>
  </w:footnote>
  <w:footnote w:id="507">
    <w:p>
      <w:pPr>
        <w:pStyle w:val="FootnoteText"/>
      </w:pPr>
      <w:r>
        <w:rPr>
          <w:rStyle w:val="FootnoteReference"/>
        </w:rPr>
        <w:footnoteRef/>
      </w:r>
      <w:r>
        <w:t xml:space="preserve"> </w:t>
      </w:r>
      <w:r>
        <w:t xml:space="preserve">Malhotra 2024, PMID 38912654.</w:t>
      </w:r>
    </w:p>
  </w:footnote>
  <w:footnote w:id="509">
    <w:p>
      <w:pPr>
        <w:pStyle w:val="FootnoteText"/>
      </w:pPr>
      <w:r>
        <w:rPr>
          <w:rStyle w:val="FootnoteReference"/>
        </w:rPr>
        <w:footnoteRef/>
      </w:r>
      <w:r>
        <w:t xml:space="preserve"> </w:t>
      </w:r>
      <w:r>
        <w:t xml:space="preserve">Loomba 2024, PMID 38856224.</w:t>
      </w:r>
    </w:p>
  </w:footnote>
  <w:footnote w:id="511">
    <w:p>
      <w:pPr>
        <w:pStyle w:val="FootnoteText"/>
      </w:pPr>
      <w:r>
        <w:rPr>
          <w:rStyle w:val="FootnoteReference"/>
        </w:rPr>
        <w:footnoteRef/>
      </w:r>
      <w:r>
        <w:t xml:space="preserve"> </w:t>
      </w:r>
      <w:r>
        <w:t xml:space="preserve">Lebwohl 2026, PMID 42139049.</w:t>
      </w:r>
    </w:p>
  </w:footnote>
  <w:footnote w:id="512">
    <w:p>
      <w:pPr>
        <w:pStyle w:val="FootnoteText"/>
      </w:pPr>
      <w:r>
        <w:rPr>
          <w:rStyle w:val="FootnoteReference"/>
        </w:rPr>
        <w:footnoteRef/>
      </w:r>
      <w:r>
        <w:t xml:space="preserve"> </w:t>
      </w:r>
      <w:r>
        <w:t xml:space="preserve">Look 2025, PMID 39996356.</w:t>
      </w:r>
    </w:p>
  </w:footnote>
  <w:footnote w:id="515">
    <w:p>
      <w:pPr>
        <w:pStyle w:val="FootnoteText"/>
      </w:pPr>
      <w:r>
        <w:rPr>
          <w:rStyle w:val="FootnoteReference"/>
        </w:rPr>
        <w:footnoteRef/>
      </w:r>
      <w:r>
        <w:t xml:space="preserve"> </w:t>
      </w:r>
      <w:r>
        <w:t xml:space="preserve">Coskun 2018, PMID 30473097.</w:t>
      </w:r>
    </w:p>
  </w:footnote>
  <w:footnote w:id="516">
    <w:p>
      <w:pPr>
        <w:pStyle w:val="FootnoteText"/>
      </w:pPr>
      <w:r>
        <w:rPr>
          <w:rStyle w:val="FootnoteReference"/>
        </w:rPr>
        <w:footnoteRef/>
      </w:r>
      <w:r>
        <w:t xml:space="preserve"> </w:t>
      </w:r>
      <w:r>
        <w:t xml:space="preserve">Samms 2021, PMID 34003802.</w:t>
      </w:r>
    </w:p>
  </w:footnote>
  <w:footnote w:id="517">
    <w:p>
      <w:pPr>
        <w:pStyle w:val="FootnoteText"/>
      </w:pPr>
      <w:r>
        <w:rPr>
          <w:rStyle w:val="FootnoteReference"/>
        </w:rPr>
        <w:footnoteRef/>
      </w:r>
      <w:r>
        <w:t xml:space="preserve"> </w:t>
      </w:r>
      <w:r>
        <w:t xml:space="preserve">Martin 2024, PMID 39243911.</w:t>
      </w:r>
    </w:p>
  </w:footnote>
  <w:footnote w:id="519">
    <w:p>
      <w:pPr>
        <w:pStyle w:val="FootnoteText"/>
      </w:pPr>
      <w:r>
        <w:rPr>
          <w:rStyle w:val="FootnoteReference"/>
        </w:rPr>
        <w:footnoteRef/>
      </w:r>
      <w:r>
        <w:t xml:space="preserve"> </w:t>
      </w:r>
      <w:r>
        <w:t xml:space="preserve">Ludvik 2021, PMID 34370970.</w:t>
      </w:r>
    </w:p>
  </w:footnote>
  <w:footnote w:id="520">
    <w:p>
      <w:pPr>
        <w:pStyle w:val="FootnoteText"/>
      </w:pPr>
      <w:r>
        <w:rPr>
          <w:rStyle w:val="FootnoteReference"/>
        </w:rPr>
        <w:footnoteRef/>
      </w:r>
      <w:r>
        <w:t xml:space="preserve"> </w:t>
      </w:r>
      <w:r>
        <w:t xml:space="preserve">Zeng 2023, PMID 37908750.</w:t>
      </w:r>
    </w:p>
  </w:footnote>
  <w:footnote w:id="521">
    <w:p>
      <w:pPr>
        <w:pStyle w:val="FootnoteText"/>
      </w:pPr>
      <w:r>
        <w:rPr>
          <w:rStyle w:val="FootnoteReference"/>
        </w:rPr>
        <w:footnoteRef/>
      </w:r>
      <w:r>
        <w:t xml:space="preserve"> </w:t>
      </w:r>
      <w:r>
        <w:t xml:space="preserve">Del Prato 2021, PMID 34672967.</w:t>
      </w:r>
    </w:p>
  </w:footnote>
  <w:footnote w:id="522">
    <w:p>
      <w:pPr>
        <w:pStyle w:val="FootnoteText"/>
      </w:pPr>
      <w:r>
        <w:rPr>
          <w:rStyle w:val="FootnoteReference"/>
        </w:rPr>
        <w:footnoteRef/>
      </w:r>
      <w:r>
        <w:t xml:space="preserve"> </w:t>
      </w:r>
      <w:r>
        <w:t xml:space="preserve">Wadden 2026, PMID 41537305.</w:t>
      </w:r>
    </w:p>
  </w:footnote>
  <w:footnote w:id="523">
    <w:p>
      <w:pPr>
        <w:pStyle w:val="FootnoteText"/>
      </w:pPr>
      <w:r>
        <w:rPr>
          <w:rStyle w:val="FootnoteReference"/>
        </w:rPr>
        <w:footnoteRef/>
      </w:r>
      <w:r>
        <w:t xml:space="preserve"> </w:t>
      </w:r>
      <w:r>
        <w:t xml:space="preserve">Look 2025, PMID 39996356.</w:t>
      </w:r>
    </w:p>
  </w:footnote>
  <w:footnote w:id="524">
    <w:p>
      <w:pPr>
        <w:pStyle w:val="FootnoteText"/>
      </w:pPr>
      <w:r>
        <w:rPr>
          <w:rStyle w:val="FootnoteReference"/>
        </w:rPr>
        <w:footnoteRef/>
      </w:r>
      <w:r>
        <w:t xml:space="preserve"> </w:t>
      </w:r>
      <w:r>
        <w:t xml:space="preserve">Caruso 2024, PMID 39141075.</w:t>
      </w:r>
    </w:p>
  </w:footnote>
  <w:footnote w:id="525">
    <w:p>
      <w:pPr>
        <w:pStyle w:val="FootnoteText"/>
      </w:pPr>
      <w:r>
        <w:rPr>
          <w:rStyle w:val="FootnoteReference"/>
        </w:rPr>
        <w:footnoteRef/>
      </w:r>
      <w:r>
        <w:t xml:space="preserve"> </w:t>
      </w:r>
      <w:r>
        <w:t xml:space="preserve">Crisafulli 2026, PMID 41183330.</w:t>
      </w:r>
    </w:p>
  </w:footnote>
  <w:footnote w:id="526">
    <w:p>
      <w:pPr>
        <w:pStyle w:val="FootnoteText"/>
      </w:pPr>
      <w:r>
        <w:rPr>
          <w:rStyle w:val="FootnoteReference"/>
        </w:rPr>
        <w:footnoteRef/>
      </w:r>
      <w:r>
        <w:t xml:space="preserve"> </w:t>
      </w:r>
      <w:r>
        <w:t xml:space="preserve">Belcourt 2026, PMID 41689811.</w:t>
      </w:r>
    </w:p>
  </w:footnote>
  <w:footnote w:id="529">
    <w:p>
      <w:pPr>
        <w:pStyle w:val="FootnoteText"/>
      </w:pPr>
      <w:r>
        <w:rPr>
          <w:rStyle w:val="FootnoteReference"/>
        </w:rPr>
        <w:footnoteRef/>
      </w:r>
      <w:r>
        <w:t xml:space="preserve"> </w:t>
      </w:r>
      <w:r>
        <w:t xml:space="preserve">NCT05556512.</w:t>
      </w:r>
    </w:p>
  </w:footnote>
  <w:footnote w:id="530">
    <w:p>
      <w:pPr>
        <w:pStyle w:val="FootnoteText"/>
      </w:pPr>
      <w:r>
        <w:rPr>
          <w:rStyle w:val="FootnoteReference"/>
        </w:rPr>
        <w:footnoteRef/>
      </w:r>
      <w:r>
        <w:t xml:space="preserve"> </w:t>
      </w:r>
      <w:r>
        <w:t xml:space="preserve">Lam 2025, PMID 40545827.</w:t>
      </w:r>
    </w:p>
  </w:footnote>
  <w:footnote w:id="531">
    <w:p>
      <w:pPr>
        <w:pStyle w:val="FootnoteText"/>
      </w:pPr>
      <w:r>
        <w:rPr>
          <w:rStyle w:val="FootnoteReference"/>
        </w:rPr>
        <w:footnoteRef/>
      </w:r>
      <w:r>
        <w:t xml:space="preserve"> </w:t>
      </w:r>
      <w:r>
        <w:t xml:space="preserve">NCT07165028.</w:t>
      </w:r>
    </w:p>
  </w:footnote>
  <w:footnote w:id="532">
    <w:p>
      <w:pPr>
        <w:pStyle w:val="FootnoteText"/>
      </w:pPr>
      <w:r>
        <w:rPr>
          <w:rStyle w:val="FootnoteReference"/>
        </w:rPr>
        <w:footnoteRef/>
      </w:r>
      <w:r>
        <w:t xml:space="preserve"> </w:t>
      </w:r>
      <w:r>
        <w:t xml:space="preserve">NCT06914895, NCT06962280.</w:t>
      </w:r>
    </w:p>
  </w:footnote>
  <w:footnote w:id="533">
    <w:p>
      <w:pPr>
        <w:pStyle w:val="FootnoteText"/>
      </w:pPr>
      <w:r>
        <w:rPr>
          <w:rStyle w:val="FootnoteReference"/>
        </w:rPr>
        <w:footnoteRef/>
      </w:r>
      <w:r>
        <w:t xml:space="preserve"> </w:t>
      </w:r>
      <w:r>
        <w:t xml:space="preserve">NCT07817875.</w:t>
      </w:r>
    </w:p>
  </w:footnote>
  <w:footnote w:id="538">
    <w:p>
      <w:pPr>
        <w:pStyle w:val="FootnoteText"/>
      </w:pPr>
      <w:r>
        <w:rPr>
          <w:rStyle w:val="FootnoteReference"/>
        </w:rPr>
        <w:footnoteRef/>
      </w:r>
      <w:r>
        <w:t xml:space="preserve"> </w:t>
      </w:r>
      <w:r>
        <w:t xml:space="preserve">Coskun 2022, PMID 35985340.</w:t>
      </w:r>
    </w:p>
  </w:footnote>
  <w:footnote w:id="539">
    <w:p>
      <w:pPr>
        <w:pStyle w:val="FootnoteText"/>
      </w:pPr>
      <w:r>
        <w:rPr>
          <w:rStyle w:val="FootnoteReference"/>
        </w:rPr>
        <w:footnoteRef/>
      </w:r>
      <w:r>
        <w:t xml:space="preserve"> </w:t>
      </w:r>
      <w:r>
        <w:t xml:space="preserve">NCT06313528.</w:t>
      </w:r>
    </w:p>
  </w:footnote>
  <w:footnote w:id="540">
    <w:p>
      <w:pPr>
        <w:pStyle w:val="FootnoteText"/>
      </w:pPr>
      <w:r>
        <w:rPr>
          <w:rStyle w:val="FootnoteReference"/>
        </w:rPr>
        <w:footnoteRef/>
      </w:r>
      <w:r>
        <w:t xml:space="preserve"> </w:t>
      </w:r>
      <w:r>
        <w:t xml:space="preserve">Kanu 2025, PMID 40916752.</w:t>
      </w:r>
    </w:p>
  </w:footnote>
  <w:footnote w:id="542">
    <w:p>
      <w:pPr>
        <w:pStyle w:val="FootnoteText"/>
      </w:pPr>
      <w:r>
        <w:rPr>
          <w:rStyle w:val="FootnoteReference"/>
        </w:rPr>
        <w:footnoteRef/>
      </w:r>
      <w:r>
        <w:t xml:space="preserve"> </w:t>
      </w:r>
      <w:r>
        <w:t xml:space="preserve">Coskun 2022, PMID 35985340.</w:t>
      </w:r>
    </w:p>
  </w:footnote>
  <w:footnote w:id="543">
    <w:p>
      <w:pPr>
        <w:pStyle w:val="FootnoteText"/>
      </w:pPr>
      <w:r>
        <w:rPr>
          <w:rStyle w:val="FootnoteReference"/>
        </w:rPr>
        <w:footnoteRef/>
      </w:r>
      <w:r>
        <w:t xml:space="preserve"> </w:t>
      </w:r>
      <w:r>
        <w:t xml:space="preserve">Urva 2022, PMID 36354040.</w:t>
      </w:r>
    </w:p>
  </w:footnote>
  <w:footnote w:id="545">
    <w:p>
      <w:pPr>
        <w:pStyle w:val="FootnoteText"/>
      </w:pPr>
      <w:r>
        <w:rPr>
          <w:rStyle w:val="FootnoteReference"/>
        </w:rPr>
        <w:footnoteRef/>
      </w:r>
      <w:r>
        <w:t xml:space="preserve"> </w:t>
      </w:r>
      <w:r>
        <w:t xml:space="preserve">Jastreboff 2023, PMID 37366315.</w:t>
      </w:r>
    </w:p>
  </w:footnote>
  <w:footnote w:id="546">
    <w:p>
      <w:pPr>
        <w:pStyle w:val="FootnoteText"/>
      </w:pPr>
      <w:r>
        <w:rPr>
          <w:rStyle w:val="FootnoteReference"/>
        </w:rPr>
        <w:footnoteRef/>
      </w:r>
      <w:r>
        <w:t xml:space="preserve"> </w:t>
      </w:r>
      <w:r>
        <w:t xml:space="preserve">Rosenstock 2023, PMID 37385280.</w:t>
      </w:r>
    </w:p>
  </w:footnote>
  <w:footnote w:id="547">
    <w:p>
      <w:pPr>
        <w:pStyle w:val="FootnoteText"/>
      </w:pPr>
      <w:r>
        <w:rPr>
          <w:rStyle w:val="FootnoteReference"/>
        </w:rPr>
        <w:footnoteRef/>
      </w:r>
      <w:r>
        <w:t xml:space="preserve"> </w:t>
      </w:r>
      <w:r>
        <w:t xml:space="preserve">Coskun 2025, PMID 40609566.</w:t>
      </w:r>
    </w:p>
  </w:footnote>
  <w:footnote w:id="548">
    <w:p>
      <w:pPr>
        <w:pStyle w:val="FootnoteText"/>
      </w:pPr>
      <w:r>
        <w:rPr>
          <w:rStyle w:val="FootnoteReference"/>
        </w:rPr>
        <w:footnoteRef/>
      </w:r>
      <w:r>
        <w:t xml:space="preserve"> </w:t>
      </w:r>
      <w:r>
        <w:t xml:space="preserve">Sanyal 2024, PMID 38858523.</w:t>
      </w:r>
    </w:p>
  </w:footnote>
  <w:footnote w:id="549">
    <w:p>
      <w:pPr>
        <w:pStyle w:val="FootnoteText"/>
      </w:pPr>
      <w:r>
        <w:rPr>
          <w:rStyle w:val="FootnoteReference"/>
        </w:rPr>
        <w:footnoteRef/>
      </w:r>
      <w:r>
        <w:t xml:space="preserve"> </w:t>
      </w:r>
      <w:r>
        <w:t xml:space="preserve">Ruotolo 2026, PMID 42608321.</w:t>
      </w:r>
    </w:p>
  </w:footnote>
  <w:footnote w:id="551">
    <w:p>
      <w:pPr>
        <w:pStyle w:val="FootnoteText"/>
      </w:pPr>
      <w:r>
        <w:rPr>
          <w:rStyle w:val="FootnoteReference"/>
        </w:rPr>
        <w:footnoteRef/>
      </w:r>
      <w:r>
        <w:t xml:space="preserve"> </w:t>
      </w:r>
      <w:r>
        <w:t xml:space="preserve">Giblin 2026, PMID 41090431.</w:t>
      </w:r>
    </w:p>
  </w:footnote>
  <w:footnote w:id="552">
    <w:p>
      <w:pPr>
        <w:pStyle w:val="FootnoteText"/>
      </w:pPr>
      <w:r>
        <w:rPr>
          <w:rStyle w:val="FootnoteReference"/>
        </w:rPr>
        <w:footnoteRef/>
      </w:r>
      <w:r>
        <w:t xml:space="preserve"> </w:t>
      </w:r>
      <w:r>
        <w:t xml:space="preserve">Jastreboff 2026, PMID 42814954.</w:t>
      </w:r>
    </w:p>
  </w:footnote>
  <w:footnote w:id="553">
    <w:p>
      <w:pPr>
        <w:pStyle w:val="FootnoteText"/>
      </w:pPr>
      <w:r>
        <w:rPr>
          <w:rStyle w:val="FootnoteReference"/>
        </w:rPr>
        <w:footnoteRef/>
      </w:r>
      <w:r>
        <w:t xml:space="preserve"> </w:t>
      </w:r>
      <w:r>
        <w:t xml:space="preserve">Bellido 2026, PMID 42810372.</w:t>
      </w:r>
    </w:p>
  </w:footnote>
  <w:footnote w:id="554">
    <w:p>
      <w:pPr>
        <w:pStyle w:val="FootnoteText"/>
      </w:pPr>
      <w:r>
        <w:rPr>
          <w:rStyle w:val="FootnoteReference"/>
        </w:rPr>
        <w:footnoteRef/>
      </w:r>
      <w:r>
        <w:t xml:space="preserve"> </w:t>
      </w:r>
      <w:r>
        <w:t xml:space="preserve">Bajaj 2026, PMID 42250575.</w:t>
      </w:r>
    </w:p>
  </w:footnote>
  <w:footnote w:id="557">
    <w:p>
      <w:pPr>
        <w:pStyle w:val="FootnoteText"/>
      </w:pPr>
      <w:r>
        <w:rPr>
          <w:rStyle w:val="FootnoteReference"/>
        </w:rPr>
        <w:footnoteRef/>
      </w:r>
      <w:r>
        <w:t xml:space="preserve"> </w:t>
      </w:r>
      <w:r>
        <w:t xml:space="preserve">Coskun 2022, PMID 35985340.</w:t>
      </w:r>
    </w:p>
  </w:footnote>
  <w:footnote w:id="558">
    <w:p>
      <w:pPr>
        <w:pStyle w:val="FootnoteText"/>
      </w:pPr>
      <w:r>
        <w:rPr>
          <w:rStyle w:val="FootnoteReference"/>
        </w:rPr>
        <w:footnoteRef/>
      </w:r>
      <w:r>
        <w:t xml:space="preserve"> </w:t>
      </w:r>
      <w:r>
        <w:t xml:space="preserve">Marathe 2025, PMID 40094000.</w:t>
      </w:r>
    </w:p>
  </w:footnote>
  <w:footnote w:id="559">
    <w:p>
      <w:pPr>
        <w:pStyle w:val="FootnoteText"/>
      </w:pPr>
      <w:r>
        <w:rPr>
          <w:rStyle w:val="FootnoteReference"/>
        </w:rPr>
        <w:footnoteRef/>
      </w:r>
      <w:r>
        <w:t xml:space="preserve"> </w:t>
      </w:r>
      <w:r>
        <w:t xml:space="preserve">Carneiro 2026, PMID 42745421.</w:t>
      </w:r>
    </w:p>
  </w:footnote>
  <w:footnote w:id="561">
    <w:p>
      <w:pPr>
        <w:pStyle w:val="FootnoteText"/>
      </w:pPr>
      <w:r>
        <w:rPr>
          <w:rStyle w:val="FootnoteReference"/>
        </w:rPr>
        <w:footnoteRef/>
      </w:r>
      <w:r>
        <w:t xml:space="preserve"> </w:t>
      </w:r>
      <w:r>
        <w:t xml:space="preserve">Bellido 2026, PMID 42810372.</w:t>
      </w:r>
    </w:p>
  </w:footnote>
  <w:footnote w:id="562">
    <w:p>
      <w:pPr>
        <w:pStyle w:val="FootnoteText"/>
      </w:pPr>
      <w:r>
        <w:rPr>
          <w:rStyle w:val="FootnoteReference"/>
        </w:rPr>
        <w:footnoteRef/>
      </w:r>
      <w:r>
        <w:t xml:space="preserve"> </w:t>
      </w:r>
      <w:r>
        <w:t xml:space="preserve">Jastreboff 2023, PMID 37366315.</w:t>
      </w:r>
    </w:p>
  </w:footnote>
  <w:footnote w:id="563">
    <w:p>
      <w:pPr>
        <w:pStyle w:val="FootnoteText"/>
      </w:pPr>
      <w:r>
        <w:rPr>
          <w:rStyle w:val="FootnoteReference"/>
        </w:rPr>
        <w:footnoteRef/>
      </w:r>
      <w:r>
        <w:t xml:space="preserve"> </w:t>
      </w:r>
      <w:r>
        <w:t xml:space="preserve">Rubin 2026, PMID 42853576.</w:t>
      </w:r>
    </w:p>
  </w:footnote>
  <w:footnote w:id="565">
    <w:p>
      <w:pPr>
        <w:pStyle w:val="FootnoteText"/>
      </w:pPr>
      <w:r>
        <w:rPr>
          <w:rStyle w:val="FootnoteReference"/>
        </w:rPr>
        <w:footnoteRef/>
      </w:r>
      <w:r>
        <w:t xml:space="preserve"> </w:t>
      </w:r>
      <w:r>
        <w:t xml:space="preserve">NCT07629401.</w:t>
      </w:r>
    </w:p>
  </w:footnote>
  <w:footnote w:id="567">
    <w:p>
      <w:pPr>
        <w:pStyle w:val="FootnoteText"/>
      </w:pPr>
      <w:r>
        <w:rPr>
          <w:rStyle w:val="FootnoteReference"/>
        </w:rPr>
        <w:footnoteRef/>
      </w:r>
      <w:r>
        <w:t xml:space="preserve"> </w:t>
      </w:r>
      <w:r>
        <w:t xml:space="preserve">NCT06383390.</w:t>
      </w:r>
    </w:p>
  </w:footnote>
  <w:footnote w:id="568">
    <w:p>
      <w:pPr>
        <w:pStyle w:val="FootnoteText"/>
      </w:pPr>
      <w:r>
        <w:rPr>
          <w:rStyle w:val="FootnoteReference"/>
        </w:rPr>
        <w:footnoteRef/>
      </w:r>
      <w:r>
        <w:t xml:space="preserve"> </w:t>
      </w:r>
      <w:r>
        <w:t xml:space="preserve">NCT06662383.</w:t>
      </w:r>
    </w:p>
  </w:footnote>
  <w:footnote w:id="569">
    <w:p>
      <w:pPr>
        <w:pStyle w:val="FootnoteText"/>
      </w:pPr>
      <w:r>
        <w:rPr>
          <w:rStyle w:val="FootnoteReference"/>
        </w:rPr>
        <w:footnoteRef/>
      </w:r>
      <w:r>
        <w:t xml:space="preserve"> </w:t>
      </w:r>
      <w:r>
        <w:t xml:space="preserve">NCT06260722.</w:t>
      </w:r>
    </w:p>
  </w:footnote>
  <w:footnote w:id="570">
    <w:p>
      <w:pPr>
        <w:pStyle w:val="FootnoteText"/>
      </w:pPr>
      <w:r>
        <w:rPr>
          <w:rStyle w:val="FootnoteReference"/>
        </w:rPr>
        <w:footnoteRef/>
      </w:r>
      <w:r>
        <w:t xml:space="preserve"> </w:t>
      </w:r>
      <w:r>
        <w:t xml:space="preserve">NCT06859268.</w:t>
      </w:r>
    </w:p>
  </w:footnote>
  <w:footnote w:id="571">
    <w:p>
      <w:pPr>
        <w:pStyle w:val="FootnoteText"/>
      </w:pPr>
      <w:r>
        <w:rPr>
          <w:rStyle w:val="FootnoteReference"/>
        </w:rPr>
        <w:footnoteRef/>
      </w:r>
      <w:r>
        <w:t xml:space="preserve"> </w:t>
      </w:r>
      <w:r>
        <w:t xml:space="preserve">NCT06297603.</w:t>
      </w:r>
    </w:p>
  </w:footnote>
  <w:footnote w:id="572">
    <w:p>
      <w:pPr>
        <w:pStyle w:val="FootnoteText"/>
      </w:pPr>
      <w:r>
        <w:rPr>
          <w:rStyle w:val="FootnoteReference"/>
        </w:rPr>
        <w:footnoteRef/>
      </w:r>
      <w:r>
        <w:t xml:space="preserve"> </w:t>
      </w:r>
      <w:r>
        <w:t xml:space="preserve">NCT07035093.</w:t>
      </w:r>
    </w:p>
  </w:footnote>
  <w:footnote w:id="573">
    <w:p>
      <w:pPr>
        <w:pStyle w:val="FootnoteText"/>
      </w:pPr>
      <w:r>
        <w:rPr>
          <w:rStyle w:val="FootnoteReference"/>
        </w:rPr>
        <w:footnoteRef/>
      </w:r>
      <w:r>
        <w:t xml:space="preserve"> </w:t>
      </w:r>
      <w:r>
        <w:t xml:space="preserve">NCT07165028.</w:t>
      </w:r>
    </w:p>
  </w:footnote>
  <w:footnote w:id="578">
    <w:p>
      <w:pPr>
        <w:pStyle w:val="FootnoteText"/>
      </w:pPr>
      <w:r>
        <w:rPr>
          <w:rStyle w:val="FootnoteReference"/>
        </w:rPr>
        <w:footnoteRef/>
      </w:r>
      <w:r>
        <w:t xml:space="preserve"> </w:t>
      </w:r>
      <w:r>
        <w:t xml:space="preserve">Thomas 2024, PMID 38560764.</w:t>
      </w:r>
    </w:p>
  </w:footnote>
  <w:footnote w:id="579">
    <w:p>
      <w:pPr>
        <w:pStyle w:val="FootnoteText"/>
      </w:pPr>
      <w:r>
        <w:rPr>
          <w:rStyle w:val="FootnoteReference"/>
        </w:rPr>
        <w:footnoteRef/>
      </w:r>
      <w:r>
        <w:t xml:space="preserve"> </w:t>
      </w:r>
      <w:r>
        <w:t xml:space="preserve">Zimmermann 2026, PMID 41638399.</w:t>
      </w:r>
    </w:p>
  </w:footnote>
  <w:footnote w:id="580">
    <w:p>
      <w:pPr>
        <w:pStyle w:val="FootnoteText"/>
      </w:pPr>
      <w:r>
        <w:rPr>
          <w:rStyle w:val="FootnoteReference"/>
        </w:rPr>
        <w:footnoteRef/>
      </w:r>
      <w:r>
        <w:t xml:space="preserve"> </w:t>
      </w:r>
      <w:r>
        <w:t xml:space="preserve">NCT06745284.</w:t>
      </w:r>
    </w:p>
  </w:footnote>
  <w:footnote w:id="582">
    <w:p>
      <w:pPr>
        <w:pStyle w:val="FootnoteText"/>
      </w:pPr>
      <w:r>
        <w:rPr>
          <w:rStyle w:val="FootnoteReference"/>
        </w:rPr>
        <w:footnoteRef/>
      </w:r>
      <w:r>
        <w:t xml:space="preserve"> </w:t>
      </w:r>
      <w:r>
        <w:t xml:space="preserve">le Roux 2024, PMID 38330987.</w:t>
      </w:r>
    </w:p>
  </w:footnote>
  <w:footnote w:id="583">
    <w:p>
      <w:pPr>
        <w:pStyle w:val="FootnoteText"/>
      </w:pPr>
      <w:r>
        <w:rPr>
          <w:rStyle w:val="FootnoteReference"/>
        </w:rPr>
        <w:footnoteRef/>
      </w:r>
      <w:r>
        <w:t xml:space="preserve"> </w:t>
      </w:r>
      <w:r>
        <w:t xml:space="preserve">le Roux 2026, PMID 42253238.</w:t>
      </w:r>
    </w:p>
  </w:footnote>
  <w:footnote w:id="584">
    <w:p>
      <w:pPr>
        <w:pStyle w:val="FootnoteText"/>
      </w:pPr>
      <w:r>
        <w:rPr>
          <w:rStyle w:val="FootnoteReference"/>
        </w:rPr>
        <w:footnoteRef/>
      </w:r>
      <w:r>
        <w:t xml:space="preserve"> </w:t>
      </w:r>
      <w:r>
        <w:t xml:space="preserve">Wharton 2026, PMID 42820639.</w:t>
      </w:r>
    </w:p>
  </w:footnote>
  <w:footnote w:id="585">
    <w:p>
      <w:pPr>
        <w:pStyle w:val="FootnoteText"/>
      </w:pPr>
      <w:r>
        <w:rPr>
          <w:rStyle w:val="FootnoteReference"/>
        </w:rPr>
        <w:footnoteRef/>
      </w:r>
      <w:r>
        <w:t xml:space="preserve"> </w:t>
      </w:r>
      <w:r>
        <w:t xml:space="preserve">Blüher 2024, PMID 38095657.</w:t>
      </w:r>
    </w:p>
  </w:footnote>
  <w:footnote w:id="587">
    <w:p>
      <w:pPr>
        <w:pStyle w:val="FootnoteText"/>
      </w:pPr>
      <w:r>
        <w:rPr>
          <w:rStyle w:val="FootnoteReference"/>
        </w:rPr>
        <w:footnoteRef/>
      </w:r>
      <w:r>
        <w:t xml:space="preserve"> </w:t>
      </w:r>
      <w:r>
        <w:t xml:space="preserve">Sanyal 2024, PMID 38847460.</w:t>
      </w:r>
    </w:p>
  </w:footnote>
  <w:footnote w:id="588">
    <w:p>
      <w:pPr>
        <w:pStyle w:val="FootnoteText"/>
      </w:pPr>
      <w:r>
        <w:rPr>
          <w:rStyle w:val="FootnoteReference"/>
        </w:rPr>
        <w:footnoteRef/>
      </w:r>
      <w:r>
        <w:t xml:space="preserve"> </w:t>
      </w:r>
      <w:r>
        <w:t xml:space="preserve">Kaplan 2026, PMID 42252333.</w:t>
      </w:r>
    </w:p>
  </w:footnote>
  <w:footnote w:id="589">
    <w:p>
      <w:pPr>
        <w:pStyle w:val="FootnoteText"/>
      </w:pPr>
      <w:r>
        <w:rPr>
          <w:rStyle w:val="FootnoteReference"/>
        </w:rPr>
        <w:footnoteRef/>
      </w:r>
      <w:r>
        <w:t xml:space="preserve"> </w:t>
      </w:r>
      <w:r>
        <w:t xml:space="preserve">Lawitz 2024, PMID 38857788.</w:t>
      </w:r>
    </w:p>
  </w:footnote>
  <w:footnote w:id="592">
    <w:p>
      <w:pPr>
        <w:pStyle w:val="FootnoteText"/>
      </w:pPr>
      <w:r>
        <w:rPr>
          <w:rStyle w:val="FootnoteReference"/>
        </w:rPr>
        <w:footnoteRef/>
      </w:r>
      <w:r>
        <w:t xml:space="preserve"> </w:t>
      </w:r>
      <w:r>
        <w:t xml:space="preserve">Thomas 2024, PMID 38560764.</w:t>
      </w:r>
    </w:p>
  </w:footnote>
  <w:footnote w:id="593">
    <w:p>
      <w:pPr>
        <w:pStyle w:val="FootnoteText"/>
      </w:pPr>
      <w:r>
        <w:rPr>
          <w:rStyle w:val="FootnoteReference"/>
        </w:rPr>
        <w:footnoteRef/>
      </w:r>
      <w:r>
        <w:t xml:space="preserve"> </w:t>
      </w:r>
      <w:r>
        <w:t xml:space="preserve">Zimmermann 2026, PMID 41638399.</w:t>
      </w:r>
    </w:p>
  </w:footnote>
  <w:footnote w:id="595">
    <w:p>
      <w:pPr>
        <w:pStyle w:val="FootnoteText"/>
      </w:pPr>
      <w:r>
        <w:rPr>
          <w:rStyle w:val="FootnoteReference"/>
        </w:rPr>
        <w:footnoteRef/>
      </w:r>
      <w:r>
        <w:t xml:space="preserve"> </w:t>
      </w:r>
      <w:r>
        <w:t xml:space="preserve">Sanyal 2024, PMID 38847460.</w:t>
      </w:r>
    </w:p>
  </w:footnote>
  <w:footnote w:id="596">
    <w:p>
      <w:pPr>
        <w:pStyle w:val="FootnoteText"/>
      </w:pPr>
      <w:r>
        <w:rPr>
          <w:rStyle w:val="FootnoteReference"/>
        </w:rPr>
        <w:footnoteRef/>
      </w:r>
      <w:r>
        <w:t xml:space="preserve"> </w:t>
      </w:r>
      <w:r>
        <w:t xml:space="preserve">le Roux 2026, PMID 42253238.</w:t>
      </w:r>
    </w:p>
  </w:footnote>
  <w:footnote w:id="597">
    <w:p>
      <w:pPr>
        <w:pStyle w:val="FootnoteText"/>
      </w:pPr>
      <w:r>
        <w:rPr>
          <w:rStyle w:val="FootnoteReference"/>
        </w:rPr>
        <w:footnoteRef/>
      </w:r>
      <w:r>
        <w:t xml:space="preserve"> </w:t>
      </w:r>
      <w:r>
        <w:t xml:space="preserve">NCT06200467.</w:t>
      </w:r>
    </w:p>
  </w:footnote>
  <w:footnote w:id="600">
    <w:p>
      <w:pPr>
        <w:pStyle w:val="FootnoteText"/>
      </w:pPr>
      <w:r>
        <w:rPr>
          <w:rStyle w:val="FootnoteReference"/>
        </w:rPr>
        <w:footnoteRef/>
      </w:r>
      <w:r>
        <w:t xml:space="preserve"> </w:t>
      </w:r>
      <w:r>
        <w:t xml:space="preserve">NCT06077864.</w:t>
      </w:r>
    </w:p>
  </w:footnote>
  <w:footnote w:id="601">
    <w:p>
      <w:pPr>
        <w:pStyle w:val="FootnoteText"/>
      </w:pPr>
      <w:r>
        <w:rPr>
          <w:rStyle w:val="FootnoteReference"/>
        </w:rPr>
        <w:footnoteRef/>
      </w:r>
      <w:r>
        <w:t xml:space="preserve"> </w:t>
      </w:r>
      <w:r>
        <w:t xml:space="preserve">PMID 39453356.</w:t>
      </w:r>
    </w:p>
  </w:footnote>
  <w:footnote w:id="602">
    <w:p>
      <w:pPr>
        <w:pStyle w:val="FootnoteText"/>
      </w:pPr>
      <w:r>
        <w:rPr>
          <w:rStyle w:val="FootnoteReference"/>
        </w:rPr>
        <w:footnoteRef/>
      </w:r>
      <w:r>
        <w:t xml:space="preserve"> </w:t>
      </w:r>
      <w:r>
        <w:t xml:space="preserve">NCT06632444.</w:t>
      </w:r>
    </w:p>
  </w:footnote>
  <w:footnote w:id="603">
    <w:p>
      <w:pPr>
        <w:pStyle w:val="FootnoteText"/>
      </w:pPr>
      <w:r>
        <w:rPr>
          <w:rStyle w:val="FootnoteReference"/>
        </w:rPr>
        <w:footnoteRef/>
      </w:r>
      <w:r>
        <w:t xml:space="preserve"> </w:t>
      </w:r>
      <w:r>
        <w:t xml:space="preserve">NCT06632457.</w:t>
      </w:r>
    </w:p>
  </w:footnote>
  <w:footnote w:id="604">
    <w:p>
      <w:pPr>
        <w:pStyle w:val="FootnoteText"/>
      </w:pPr>
      <w:r>
        <w:rPr>
          <w:rStyle w:val="FootnoteReference"/>
        </w:rPr>
        <w:footnoteRef/>
      </w:r>
      <w:r>
        <w:t xml:space="preserve"> </w:t>
      </w:r>
      <w:r>
        <w:t xml:space="preserve">NCT07754461.</w:t>
      </w:r>
    </w:p>
  </w:footnote>
  <w:footnote w:id="605">
    <w:p>
      <w:pPr>
        <w:pStyle w:val="FootnoteText"/>
      </w:pPr>
      <w:r>
        <w:rPr>
          <w:rStyle w:val="FootnoteReference"/>
        </w:rPr>
        <w:footnoteRef/>
      </w:r>
      <w:r>
        <w:t xml:space="preserve"> </w:t>
      </w:r>
      <w:r>
        <w:t xml:space="preserve">NCT07850050.</w:t>
      </w:r>
    </w:p>
  </w:footnote>
  <w:footnote w:id="606">
    <w:p>
      <w:pPr>
        <w:pStyle w:val="FootnoteText"/>
      </w:pPr>
      <w:r>
        <w:rPr>
          <w:rStyle w:val="FootnoteReference"/>
        </w:rPr>
        <w:footnoteRef/>
      </w:r>
      <w:r>
        <w:t xml:space="preserve"> </w:t>
      </w:r>
      <w:r>
        <w:t xml:space="preserve">NCT07850063.</w:t>
      </w:r>
    </w:p>
  </w:footnote>
  <w:footnote w:id="607">
    <w:p>
      <w:pPr>
        <w:pStyle w:val="FootnoteText"/>
      </w:pPr>
      <w:r>
        <w:rPr>
          <w:rStyle w:val="FootnoteReference"/>
        </w:rPr>
        <w:footnoteRef/>
      </w:r>
      <w:r>
        <w:t xml:space="preserve"> </w:t>
      </w:r>
      <w:r>
        <w:t xml:space="preserve">NCT07855900.</w:t>
      </w:r>
    </w:p>
  </w:footnote>
  <w:footnote w:id="608">
    <w:p>
      <w:pPr>
        <w:pStyle w:val="FootnoteText"/>
      </w:pPr>
      <w:r>
        <w:rPr>
          <w:rStyle w:val="FootnoteReference"/>
        </w:rPr>
        <w:footnoteRef/>
      </w:r>
      <w:r>
        <w:t xml:space="preserve"> </w:t>
      </w:r>
      <w:r>
        <w:t xml:space="preserve">NCT06214741.</w:t>
      </w:r>
    </w:p>
  </w:footnote>
  <w:footnote w:id="609">
    <w:p>
      <w:pPr>
        <w:pStyle w:val="FootnoteText"/>
      </w:pPr>
      <w:r>
        <w:rPr>
          <w:rStyle w:val="FootnoteReference"/>
        </w:rPr>
        <w:footnoteRef/>
      </w:r>
      <w:r>
        <w:t xml:space="preserve"> </w:t>
      </w:r>
      <w:r>
        <w:t xml:space="preserve">NCT06176365.</w:t>
      </w:r>
    </w:p>
  </w:footnote>
  <w:footnote w:id="615">
    <w:p>
      <w:pPr>
        <w:pStyle w:val="FootnoteText"/>
      </w:pPr>
      <w:r>
        <w:rPr>
          <w:rStyle w:val="FootnoteReference"/>
        </w:rPr>
        <w:footnoteRef/>
      </w:r>
      <w:r>
        <w:t xml:space="preserve"> </w:t>
      </w:r>
      <w:r>
        <w:t xml:space="preserve">Ji 2025, PMID 40421736.</w:t>
      </w:r>
    </w:p>
  </w:footnote>
  <w:footnote w:id="616">
    <w:p>
      <w:pPr>
        <w:pStyle w:val="FootnoteText"/>
      </w:pPr>
      <w:r>
        <w:rPr>
          <w:rStyle w:val="FootnoteReference"/>
        </w:rPr>
        <w:footnoteRef/>
      </w:r>
      <w:r>
        <w:t xml:space="preserve"> </w:t>
      </w:r>
      <w:r>
        <w:t xml:space="preserve">Gao 2026, PMID 42251595.</w:t>
      </w:r>
    </w:p>
  </w:footnote>
  <w:footnote w:id="618">
    <w:p>
      <w:pPr>
        <w:pStyle w:val="FootnoteText"/>
      </w:pPr>
      <w:r>
        <w:rPr>
          <w:rStyle w:val="FootnoteReference"/>
        </w:rPr>
        <w:footnoteRef/>
      </w:r>
      <w:r>
        <w:t xml:space="preserve"> </w:t>
      </w:r>
      <w:r>
        <w:t xml:space="preserve">Zhu 2026, PMID 41407859.</w:t>
      </w:r>
    </w:p>
  </w:footnote>
  <w:footnote w:id="619">
    <w:p>
      <w:pPr>
        <w:pStyle w:val="FootnoteText"/>
      </w:pPr>
      <w:r>
        <w:rPr>
          <w:rStyle w:val="FootnoteReference"/>
        </w:rPr>
        <w:footnoteRef/>
      </w:r>
      <w:r>
        <w:t xml:space="preserve"> </w:t>
      </w:r>
      <w:r>
        <w:t xml:space="preserve">Guo 2026, PMID 41407860.</w:t>
      </w:r>
    </w:p>
  </w:footnote>
  <w:footnote w:id="620">
    <w:p>
      <w:pPr>
        <w:pStyle w:val="FootnoteText"/>
      </w:pPr>
      <w:r>
        <w:rPr>
          <w:rStyle w:val="FootnoteReference"/>
        </w:rPr>
        <w:footnoteRef/>
      </w:r>
      <w:r>
        <w:t xml:space="preserve"> </w:t>
      </w:r>
      <w:r>
        <w:t xml:space="preserve">NCT06184568.</w:t>
      </w:r>
    </w:p>
  </w:footnote>
  <w:footnote w:id="621">
    <w:p>
      <w:pPr>
        <w:pStyle w:val="FootnoteText"/>
      </w:pPr>
      <w:r>
        <w:rPr>
          <w:rStyle w:val="FootnoteReference"/>
        </w:rPr>
        <w:footnoteRef/>
      </w:r>
      <w:r>
        <w:t xml:space="preserve"> </w:t>
      </w:r>
      <w:r>
        <w:t xml:space="preserve">Luo 2026, PMID 41260459.</w:t>
      </w:r>
    </w:p>
  </w:footnote>
  <w:footnote w:id="623">
    <w:p>
      <w:pPr>
        <w:pStyle w:val="FootnoteText"/>
      </w:pPr>
      <w:r>
        <w:rPr>
          <w:rStyle w:val="FootnoteReference"/>
        </w:rPr>
        <w:footnoteRef/>
      </w:r>
      <w:r>
        <w:t xml:space="preserve"> </w:t>
      </w:r>
      <w:r>
        <w:t xml:space="preserve">Bhattachar 2025, PMID 40832785.</w:t>
      </w:r>
    </w:p>
  </w:footnote>
  <w:footnote w:id="624">
    <w:p>
      <w:pPr>
        <w:pStyle w:val="FootnoteText"/>
      </w:pPr>
      <w:r>
        <w:rPr>
          <w:rStyle w:val="FootnoteReference"/>
        </w:rPr>
        <w:footnoteRef/>
      </w:r>
      <w:r>
        <w:t xml:space="preserve"> </w:t>
      </w:r>
      <w:r>
        <w:t xml:space="preserve">Hsia 2026, PMID 42628555.</w:t>
      </w:r>
    </w:p>
  </w:footnote>
  <w:footnote w:id="626">
    <w:p>
      <w:pPr>
        <w:pStyle w:val="FootnoteText"/>
      </w:pPr>
      <w:r>
        <w:rPr>
          <w:rStyle w:val="FootnoteReference"/>
        </w:rPr>
        <w:footnoteRef/>
      </w:r>
      <w:r>
        <w:t xml:space="preserve"> </w:t>
      </w:r>
      <w:r>
        <w:t xml:space="preserve">Cheng 2025, PMID 41030857.</w:t>
      </w:r>
    </w:p>
  </w:footnote>
  <w:footnote w:id="627">
    <w:p>
      <w:pPr>
        <w:pStyle w:val="FootnoteText"/>
      </w:pPr>
      <w:r>
        <w:rPr>
          <w:rStyle w:val="FootnoteReference"/>
        </w:rPr>
        <w:footnoteRef/>
      </w:r>
      <w:r>
        <w:t xml:space="preserve"> </w:t>
      </w:r>
      <w:r>
        <w:t xml:space="preserve">NCT07255209.</w:t>
      </w:r>
    </w:p>
  </w:footnote>
  <w:footnote w:id="630">
    <w:p>
      <w:pPr>
        <w:pStyle w:val="FootnoteText"/>
      </w:pPr>
      <w:r>
        <w:rPr>
          <w:rStyle w:val="FootnoteReference"/>
        </w:rPr>
        <w:footnoteRef/>
      </w:r>
      <w:r>
        <w:t xml:space="preserve"> </w:t>
      </w:r>
      <w:r>
        <w:t xml:space="preserve">Dong 2025, PMID 40479843.</w:t>
      </w:r>
    </w:p>
  </w:footnote>
  <w:footnote w:id="631">
    <w:p>
      <w:pPr>
        <w:pStyle w:val="FootnoteText"/>
      </w:pPr>
      <w:r>
        <w:rPr>
          <w:rStyle w:val="FootnoteReference"/>
        </w:rPr>
        <w:footnoteRef/>
      </w:r>
      <w:r>
        <w:t xml:space="preserve"> </w:t>
      </w:r>
      <w:r>
        <w:t xml:space="preserve">Gan 2026, PMID 41901218.</w:t>
      </w:r>
    </w:p>
  </w:footnote>
  <w:footnote w:id="632">
    <w:p>
      <w:pPr>
        <w:pStyle w:val="FootnoteText"/>
      </w:pPr>
      <w:r>
        <w:rPr>
          <w:rStyle w:val="FootnoteReference"/>
        </w:rPr>
        <w:footnoteRef/>
      </w:r>
      <w:r>
        <w:t xml:space="preserve"> </w:t>
      </w:r>
      <w:r>
        <w:t xml:space="preserve">NCT07083154.</w:t>
      </w:r>
    </w:p>
  </w:footnote>
  <w:footnote w:id="634">
    <w:p>
      <w:pPr>
        <w:pStyle w:val="FootnoteText"/>
      </w:pPr>
      <w:r>
        <w:rPr>
          <w:rStyle w:val="FootnoteReference"/>
        </w:rPr>
        <w:footnoteRef/>
      </w:r>
      <w:r>
        <w:t xml:space="preserve"> </w:t>
      </w:r>
      <w:r>
        <w:t xml:space="preserve">Zhang 2024, PMID 37943529.</w:t>
      </w:r>
    </w:p>
  </w:footnote>
  <w:footnote w:id="635">
    <w:p>
      <w:pPr>
        <w:pStyle w:val="FootnoteText"/>
      </w:pPr>
      <w:r>
        <w:rPr>
          <w:rStyle w:val="FootnoteReference"/>
        </w:rPr>
        <w:footnoteRef/>
      </w:r>
      <w:r>
        <w:t xml:space="preserve"> </w:t>
      </w:r>
      <w:r>
        <w:t xml:space="preserve">Gao 2026, PMID 42251595.</w:t>
      </w:r>
    </w:p>
  </w:footnote>
  <w:footnote w:id="636">
    <w:p>
      <w:pPr>
        <w:pStyle w:val="FootnoteText"/>
      </w:pPr>
      <w:r>
        <w:rPr>
          <w:rStyle w:val="FootnoteReference"/>
        </w:rPr>
        <w:footnoteRef/>
      </w:r>
      <w:r>
        <w:t xml:space="preserve"> </w:t>
      </w:r>
      <w:r>
        <w:t xml:space="preserve">Zhang 2024, PMID 37943529.</w:t>
      </w:r>
    </w:p>
  </w:footnote>
  <w:footnote w:id="637">
    <w:p>
      <w:pPr>
        <w:pStyle w:val="FootnoteText"/>
      </w:pPr>
      <w:r>
        <w:rPr>
          <w:rStyle w:val="FootnoteReference"/>
        </w:rPr>
        <w:footnoteRef/>
      </w:r>
      <w:r>
        <w:t xml:space="preserve"> </w:t>
      </w:r>
      <w:r>
        <w:t xml:space="preserve">Hsia 2026, PMID 42628555.</w:t>
      </w:r>
    </w:p>
  </w:footnote>
  <w:footnote w:id="639">
    <w:p>
      <w:pPr>
        <w:pStyle w:val="FootnoteText"/>
      </w:pPr>
      <w:r>
        <w:rPr>
          <w:rStyle w:val="FootnoteReference"/>
        </w:rPr>
        <w:footnoteRef/>
      </w:r>
      <w:r>
        <w:t xml:space="preserve"> </w:t>
      </w:r>
      <w:r>
        <w:t xml:space="preserve">Shirley 2025, PMID 41028652.</w:t>
      </w:r>
    </w:p>
  </w:footnote>
  <w:footnote w:id="641">
    <w:p>
      <w:pPr>
        <w:pStyle w:val="FootnoteText"/>
      </w:pPr>
      <w:r>
        <w:rPr>
          <w:rStyle w:val="FootnoteReference"/>
        </w:rPr>
        <w:footnoteRef/>
      </w:r>
      <w:r>
        <w:t xml:space="preserve"> </w:t>
      </w:r>
      <w:r>
        <w:t xml:space="preserve">NCT06884293.</w:t>
      </w:r>
    </w:p>
  </w:footnote>
  <w:footnote w:id="642">
    <w:p>
      <w:pPr>
        <w:pStyle w:val="FootnoteText"/>
      </w:pPr>
      <w:r>
        <w:rPr>
          <w:rStyle w:val="FootnoteReference"/>
        </w:rPr>
        <w:footnoteRef/>
      </w:r>
      <w:r>
        <w:t xml:space="preserve"> </w:t>
      </w:r>
      <w:r>
        <w:t xml:space="preserve">NCT06931028.</w:t>
      </w:r>
    </w:p>
  </w:footnote>
  <w:footnote w:id="643">
    <w:p>
      <w:pPr>
        <w:pStyle w:val="FootnoteText"/>
      </w:pPr>
      <w:r>
        <w:rPr>
          <w:rStyle w:val="FootnoteReference"/>
        </w:rPr>
        <w:footnoteRef/>
      </w:r>
      <w:r>
        <w:t xml:space="preserve"> </w:t>
      </w:r>
      <w:r>
        <w:t xml:space="preserve">NCT07469800.</w:t>
      </w:r>
    </w:p>
  </w:footnote>
  <w:footnote w:id="644">
    <w:p>
      <w:pPr>
        <w:pStyle w:val="FootnoteText"/>
      </w:pPr>
      <w:r>
        <w:rPr>
          <w:rStyle w:val="FootnoteReference"/>
        </w:rPr>
        <w:footnoteRef/>
      </w:r>
      <w:r>
        <w:t xml:space="preserve"> </w:t>
      </w:r>
      <w:r>
        <w:t xml:space="preserve">NCT07255209.</w:t>
      </w:r>
    </w:p>
  </w:footnote>
  <w:footnote w:id="645">
    <w:p>
      <w:pPr>
        <w:pStyle w:val="FootnoteText"/>
      </w:pPr>
      <w:r>
        <w:rPr>
          <w:rStyle w:val="FootnoteReference"/>
        </w:rPr>
        <w:footnoteRef/>
      </w:r>
      <w:r>
        <w:t xml:space="preserve"> </w:t>
      </w:r>
      <w:r>
        <w:t xml:space="preserve">NCT06937749.</w:t>
      </w:r>
    </w:p>
  </w:footnote>
  <w:footnote w:id="646">
    <w:p>
      <w:pPr>
        <w:pStyle w:val="FootnoteText"/>
      </w:pPr>
      <w:r>
        <w:rPr>
          <w:rStyle w:val="FootnoteReference"/>
        </w:rPr>
        <w:footnoteRef/>
      </w:r>
      <w:r>
        <w:t xml:space="preserve"> </w:t>
      </w:r>
      <w:r>
        <w:t xml:space="preserve">NCT06862908.</w:t>
      </w:r>
    </w:p>
  </w:footnote>
  <w:footnote w:id="647">
    <w:p>
      <w:pPr>
        <w:pStyle w:val="FootnoteText"/>
      </w:pPr>
      <w:r>
        <w:rPr>
          <w:rStyle w:val="FootnoteReference"/>
        </w:rPr>
        <w:footnoteRef/>
      </w:r>
      <w:r>
        <w:t xml:space="preserve"> </w:t>
      </w:r>
      <w:r>
        <w:t xml:space="preserve">NCT06143956.</w:t>
      </w:r>
    </w:p>
  </w:footnote>
  <w:footnote w:id="652">
    <w:p>
      <w:pPr>
        <w:pStyle w:val="FootnoteText"/>
      </w:pPr>
      <w:r>
        <w:rPr>
          <w:rStyle w:val="FootnoteReference"/>
        </w:rPr>
        <w:footnoteRef/>
      </w:r>
      <w:r>
        <w:t xml:space="preserve"> </w:t>
      </w:r>
      <w:r>
        <w:t xml:space="preserve">Kruse 2021, PMID 34288673.</w:t>
      </w:r>
    </w:p>
  </w:footnote>
  <w:footnote w:id="653">
    <w:p>
      <w:pPr>
        <w:pStyle w:val="FootnoteText"/>
      </w:pPr>
      <w:r>
        <w:rPr>
          <w:rStyle w:val="FootnoteReference"/>
        </w:rPr>
        <w:footnoteRef/>
      </w:r>
      <w:r>
        <w:t xml:space="preserve"> </w:t>
      </w:r>
      <w:r>
        <w:t xml:space="preserve">Enebo 2021, PMID 33894838.</w:t>
      </w:r>
    </w:p>
  </w:footnote>
  <w:footnote w:id="654">
    <w:p>
      <w:pPr>
        <w:pStyle w:val="FootnoteText"/>
      </w:pPr>
      <w:r>
        <w:rPr>
          <w:rStyle w:val="FootnoteReference"/>
        </w:rPr>
        <w:footnoteRef/>
      </w:r>
      <w:r>
        <w:t xml:space="preserve"> </w:t>
      </w:r>
      <w:r>
        <w:t xml:space="preserve">Carvas 2025, PMID 40609154.</w:t>
      </w:r>
    </w:p>
  </w:footnote>
  <w:footnote w:id="655">
    <w:p>
      <w:pPr>
        <w:pStyle w:val="FootnoteText"/>
      </w:pPr>
      <w:r>
        <w:rPr>
          <w:rStyle w:val="FootnoteReference"/>
        </w:rPr>
        <w:footnoteRef/>
      </w:r>
      <w:r>
        <w:t xml:space="preserve"> </w:t>
      </w:r>
      <w:r>
        <w:t xml:space="preserve">Jacobsen 2025, PMID 40629149.</w:t>
      </w:r>
    </w:p>
  </w:footnote>
  <w:footnote w:id="657">
    <w:p>
      <w:pPr>
        <w:pStyle w:val="FootnoteText"/>
      </w:pPr>
      <w:r>
        <w:rPr>
          <w:rStyle w:val="FootnoteReference"/>
        </w:rPr>
        <w:footnoteRef/>
      </w:r>
      <w:r>
        <w:t xml:space="preserve"> </w:t>
      </w:r>
      <w:r>
        <w:t xml:space="preserve">Lau 2021, PMID 34798060.</w:t>
      </w:r>
    </w:p>
  </w:footnote>
  <w:footnote w:id="658">
    <w:p>
      <w:pPr>
        <w:pStyle w:val="FootnoteText"/>
      </w:pPr>
      <w:r>
        <w:rPr>
          <w:rStyle w:val="FootnoteReference"/>
        </w:rPr>
        <w:footnoteRef/>
      </w:r>
      <w:r>
        <w:t xml:space="preserve"> </w:t>
      </w:r>
      <w:r>
        <w:t xml:space="preserve">NCT07220642.</w:t>
      </w:r>
    </w:p>
  </w:footnote>
  <w:footnote w:id="660">
    <w:p>
      <w:pPr>
        <w:pStyle w:val="FootnoteText"/>
      </w:pPr>
      <w:r>
        <w:rPr>
          <w:rStyle w:val="FootnoteReference"/>
        </w:rPr>
        <w:footnoteRef/>
      </w:r>
      <w:r>
        <w:t xml:space="preserve"> </w:t>
      </w:r>
      <w:r>
        <w:t xml:space="preserve">Enebo 2021, PMID 33894838.</w:t>
      </w:r>
    </w:p>
  </w:footnote>
  <w:footnote w:id="661">
    <w:p>
      <w:pPr>
        <w:pStyle w:val="FootnoteText"/>
      </w:pPr>
      <w:r>
        <w:rPr>
          <w:rStyle w:val="FootnoteReference"/>
        </w:rPr>
        <w:footnoteRef/>
      </w:r>
      <w:r>
        <w:t xml:space="preserve"> </w:t>
      </w:r>
      <w:r>
        <w:t xml:space="preserve">Frias 2023, PMID 37364590.</w:t>
      </w:r>
    </w:p>
  </w:footnote>
  <w:footnote w:id="663">
    <w:p>
      <w:pPr>
        <w:pStyle w:val="FootnoteText"/>
      </w:pPr>
      <w:r>
        <w:rPr>
          <w:rStyle w:val="FootnoteReference"/>
        </w:rPr>
        <w:footnoteRef/>
      </w:r>
      <w:r>
        <w:t xml:space="preserve"> </w:t>
      </w:r>
      <w:r>
        <w:t xml:space="preserve">Garvey 2025, PMID 40544433.</w:t>
      </w:r>
    </w:p>
  </w:footnote>
  <w:footnote w:id="664">
    <w:p>
      <w:pPr>
        <w:pStyle w:val="FootnoteText"/>
      </w:pPr>
      <w:r>
        <w:rPr>
          <w:rStyle w:val="FootnoteReference"/>
        </w:rPr>
        <w:footnoteRef/>
      </w:r>
      <w:r>
        <w:t xml:space="preserve"> </w:t>
      </w:r>
      <w:r>
        <w:t xml:space="preserve">Busetto 2026, PMID 42503495.</w:t>
      </w:r>
    </w:p>
  </w:footnote>
  <w:footnote w:id="665">
    <w:p>
      <w:pPr>
        <w:pStyle w:val="FootnoteText"/>
      </w:pPr>
      <w:r>
        <w:rPr>
          <w:rStyle w:val="FootnoteReference"/>
        </w:rPr>
        <w:footnoteRef/>
      </w:r>
      <w:r>
        <w:t xml:space="preserve"> </w:t>
      </w:r>
      <w:r>
        <w:t xml:space="preserve">Verma 2026, PMID 41328546.</w:t>
      </w:r>
    </w:p>
  </w:footnote>
  <w:footnote w:id="666">
    <w:p>
      <w:pPr>
        <w:pStyle w:val="FootnoteText"/>
      </w:pPr>
      <w:r>
        <w:rPr>
          <w:rStyle w:val="FootnoteReference"/>
        </w:rPr>
        <w:footnoteRef/>
      </w:r>
      <w:r>
        <w:t xml:space="preserve"> </w:t>
      </w:r>
      <w:r>
        <w:t xml:space="preserve">Davies 2025, PMID 40544432.</w:t>
      </w:r>
    </w:p>
  </w:footnote>
  <w:footnote w:id="667">
    <w:p>
      <w:pPr>
        <w:pStyle w:val="FootnoteText"/>
      </w:pPr>
      <w:r>
        <w:rPr>
          <w:rStyle w:val="FootnoteReference"/>
        </w:rPr>
        <w:footnoteRef/>
      </w:r>
      <w:r>
        <w:t xml:space="preserve"> </w:t>
      </w:r>
      <w:r>
        <w:t xml:space="preserve">Yamauchi 2026, PMID 42009015.</w:t>
      </w:r>
    </w:p>
  </w:footnote>
  <w:footnote w:id="668">
    <w:p>
      <w:pPr>
        <w:pStyle w:val="FootnoteText"/>
      </w:pPr>
      <w:r>
        <w:rPr>
          <w:rStyle w:val="FootnoteReference"/>
        </w:rPr>
        <w:footnoteRef/>
      </w:r>
      <w:r>
        <w:t xml:space="preserve"> </w:t>
      </w:r>
      <w:r>
        <w:t xml:space="preserve">Buse 2026, PMID 42251859.</w:t>
      </w:r>
    </w:p>
  </w:footnote>
  <w:footnote w:id="669">
    <w:p>
      <w:pPr>
        <w:pStyle w:val="FootnoteText"/>
      </w:pPr>
      <w:r>
        <w:rPr>
          <w:rStyle w:val="FootnoteReference"/>
        </w:rPr>
        <w:footnoteRef/>
      </w:r>
      <w:r>
        <w:t xml:space="preserve"> </w:t>
      </w:r>
      <w:r>
        <w:t xml:space="preserve">NCT06221969, NCT06534411.</w:t>
      </w:r>
    </w:p>
  </w:footnote>
  <w:footnote w:id="672">
    <w:p>
      <w:pPr>
        <w:pStyle w:val="FootnoteText"/>
      </w:pPr>
      <w:r>
        <w:rPr>
          <w:rStyle w:val="FootnoteReference"/>
        </w:rPr>
        <w:footnoteRef/>
      </w:r>
      <w:r>
        <w:t xml:space="preserve"> </w:t>
      </w:r>
      <w:r>
        <w:t xml:space="preserve">Cao 2025, PMID 40204768.</w:t>
      </w:r>
    </w:p>
  </w:footnote>
  <w:footnote w:id="673">
    <w:p>
      <w:pPr>
        <w:pStyle w:val="FootnoteText"/>
      </w:pPr>
      <w:r>
        <w:rPr>
          <w:rStyle w:val="FootnoteReference"/>
        </w:rPr>
        <w:footnoteRef/>
      </w:r>
      <w:r>
        <w:t xml:space="preserve"> </w:t>
      </w:r>
      <w:r>
        <w:t xml:space="preserve">Carvas 2025, PMID 40609154.</w:t>
      </w:r>
    </w:p>
  </w:footnote>
  <w:footnote w:id="674">
    <w:p>
      <w:pPr>
        <w:pStyle w:val="FootnoteText"/>
      </w:pPr>
      <w:r>
        <w:rPr>
          <w:rStyle w:val="FootnoteReference"/>
        </w:rPr>
        <w:footnoteRef/>
      </w:r>
      <w:r>
        <w:t xml:space="preserve"> </w:t>
      </w:r>
      <w:r>
        <w:t xml:space="preserve">Jacobsen 2025, PMID 40629149.</w:t>
      </w:r>
    </w:p>
  </w:footnote>
  <w:footnote w:id="675">
    <w:p>
      <w:pPr>
        <w:pStyle w:val="FootnoteText"/>
      </w:pPr>
      <w:r>
        <w:rPr>
          <w:rStyle w:val="FootnoteReference"/>
        </w:rPr>
        <w:footnoteRef/>
      </w:r>
      <w:r>
        <w:t xml:space="preserve"> </w:t>
      </w:r>
      <w:r>
        <w:t xml:space="preserve">Petersen 2026, PMID 42744908.</w:t>
      </w:r>
    </w:p>
  </w:footnote>
  <w:footnote w:id="677">
    <w:p>
      <w:pPr>
        <w:pStyle w:val="FootnoteText"/>
      </w:pPr>
      <w:r>
        <w:rPr>
          <w:rStyle w:val="FootnoteReference"/>
        </w:rPr>
        <w:footnoteRef/>
      </w:r>
      <w:r>
        <w:t xml:space="preserve"> </w:t>
      </w:r>
      <w:r>
        <w:t xml:space="preserve">Garvey 2025, PMID 40544433.</w:t>
      </w:r>
    </w:p>
  </w:footnote>
  <w:footnote w:id="678">
    <w:p>
      <w:pPr>
        <w:pStyle w:val="FootnoteText"/>
      </w:pPr>
      <w:r>
        <w:rPr>
          <w:rStyle w:val="FootnoteReference"/>
        </w:rPr>
        <w:footnoteRef/>
      </w:r>
      <w:r>
        <w:t xml:space="preserve"> </w:t>
      </w:r>
      <w:r>
        <w:t xml:space="preserve">Davies 2025, PMID 40544432.</w:t>
      </w:r>
    </w:p>
  </w:footnote>
  <w:footnote w:id="679">
    <w:p>
      <w:pPr>
        <w:pStyle w:val="FootnoteText"/>
      </w:pPr>
      <w:r>
        <w:rPr>
          <w:rStyle w:val="FootnoteReference"/>
        </w:rPr>
        <w:footnoteRef/>
      </w:r>
      <w:r>
        <w:t xml:space="preserve"> </w:t>
      </w:r>
      <w:r>
        <w:t xml:space="preserve">Rosenstock 2026, PMID 42251856.</w:t>
      </w:r>
    </w:p>
  </w:footnote>
  <w:footnote w:id="680">
    <w:p>
      <w:pPr>
        <w:pStyle w:val="FootnoteText"/>
      </w:pPr>
      <w:r>
        <w:rPr>
          <w:rStyle w:val="FootnoteReference"/>
        </w:rPr>
        <w:footnoteRef/>
      </w:r>
      <w:r>
        <w:t xml:space="preserve"> </w:t>
      </w:r>
      <w:r>
        <w:t xml:space="preserve">Gabe 2024, PMID 39279639.</w:t>
      </w:r>
    </w:p>
  </w:footnote>
  <w:footnote w:id="681">
    <w:p>
      <w:pPr>
        <w:pStyle w:val="FootnoteText"/>
      </w:pPr>
      <w:r>
        <w:rPr>
          <w:rStyle w:val="FootnoteReference"/>
        </w:rPr>
        <w:footnoteRef/>
      </w:r>
      <w:r>
        <w:t xml:space="preserve"> </w:t>
      </w:r>
      <w:r>
        <w:t xml:space="preserve">Nielsen 2026, PMID 42228334.</w:t>
      </w:r>
    </w:p>
  </w:footnote>
  <w:footnote w:id="682">
    <w:p>
      <w:pPr>
        <w:pStyle w:val="FootnoteText"/>
      </w:pPr>
      <w:r>
        <w:rPr>
          <w:rStyle w:val="FootnoteReference"/>
        </w:rPr>
        <w:footnoteRef/>
      </w:r>
      <w:r>
        <w:t xml:space="preserve"> </w:t>
      </w:r>
      <w:r>
        <w:t xml:space="preserve">NCT07010432.</w:t>
      </w:r>
    </w:p>
  </w:footnote>
  <w:footnote w:id="683">
    <w:p>
      <w:pPr>
        <w:pStyle w:val="FootnoteText"/>
      </w:pPr>
      <w:r>
        <w:rPr>
          <w:rStyle w:val="FootnoteReference"/>
        </w:rPr>
        <w:footnoteRef/>
      </w:r>
      <w:r>
        <w:t xml:space="preserve"> </w:t>
      </w:r>
      <w:r>
        <w:t xml:space="preserve">NCT07527195.</w:t>
      </w:r>
    </w:p>
  </w:footnote>
  <w:footnote w:id="686">
    <w:p>
      <w:pPr>
        <w:pStyle w:val="FootnoteText"/>
      </w:pPr>
      <w:r>
        <w:rPr>
          <w:rStyle w:val="FootnoteReference"/>
        </w:rPr>
        <w:footnoteRef/>
      </w:r>
      <w:r>
        <w:t xml:space="preserve"> </w:t>
      </w:r>
      <w:r>
        <w:t xml:space="preserve">NCT05669755.</w:t>
      </w:r>
    </w:p>
  </w:footnote>
  <w:footnote w:id="687">
    <w:p>
      <w:pPr>
        <w:pStyle w:val="FootnoteText"/>
      </w:pPr>
      <w:r>
        <w:rPr>
          <w:rStyle w:val="FootnoteReference"/>
        </w:rPr>
        <w:footnoteRef/>
      </w:r>
      <w:r>
        <w:t xml:space="preserve"> </w:t>
      </w:r>
      <w:r>
        <w:t xml:space="preserve">Cavender 2026, PMID 42838477.</w:t>
      </w:r>
    </w:p>
  </w:footnote>
  <w:footnote w:id="688">
    <w:p>
      <w:pPr>
        <w:pStyle w:val="FootnoteText"/>
      </w:pPr>
      <w:r>
        <w:rPr>
          <w:rStyle w:val="FootnoteReference"/>
        </w:rPr>
        <w:footnoteRef/>
      </w:r>
      <w:r>
        <w:t xml:space="preserve"> </w:t>
      </w:r>
      <w:r>
        <w:t xml:space="preserve">NCT06131437, NCT06221969, NCT06534411.</w:t>
      </w:r>
    </w:p>
  </w:footnote>
  <w:footnote w:id="689">
    <w:p>
      <w:pPr>
        <w:pStyle w:val="FootnoteText"/>
      </w:pPr>
      <w:r>
        <w:rPr>
          <w:rStyle w:val="FootnoteReference"/>
        </w:rPr>
        <w:footnoteRef/>
      </w:r>
      <w:r>
        <w:t xml:space="preserve"> </w:t>
      </w:r>
      <w:r>
        <w:t xml:space="preserve">NCT07564414.</w:t>
      </w:r>
    </w:p>
  </w:footnote>
  <w:footnote w:id="690">
    <w:p>
      <w:pPr>
        <w:pStyle w:val="FootnoteText"/>
      </w:pPr>
      <w:r>
        <w:rPr>
          <w:rStyle w:val="FootnoteReference"/>
        </w:rPr>
        <w:footnoteRef/>
      </w:r>
      <w:r>
        <w:t xml:space="preserve"> </w:t>
      </w:r>
      <w:r>
        <w:t xml:space="preserve">NCT06780449.</w:t>
      </w:r>
    </w:p>
  </w:footnote>
  <w:footnote w:id="691">
    <w:p>
      <w:pPr>
        <w:pStyle w:val="FootnoteText"/>
      </w:pPr>
      <w:r>
        <w:rPr>
          <w:rStyle w:val="FootnoteReference"/>
        </w:rPr>
        <w:footnoteRef/>
      </w:r>
      <w:r>
        <w:t xml:space="preserve"> </w:t>
      </w:r>
      <w:r>
        <w:t xml:space="preserve">NCT07253285.</w:t>
      </w:r>
    </w:p>
  </w:footnote>
  <w:footnote w:id="692">
    <w:p>
      <w:pPr>
        <w:pStyle w:val="FootnoteText"/>
      </w:pPr>
      <w:r>
        <w:rPr>
          <w:rStyle w:val="FootnoteReference"/>
        </w:rPr>
        <w:footnoteRef/>
      </w:r>
      <w:r>
        <w:t xml:space="preserve"> </w:t>
      </w:r>
      <w:r>
        <w:t xml:space="preserve">NCT07220642.</w:t>
      </w:r>
    </w:p>
  </w:footnote>
  <w:footnote w:id="693">
    <w:p>
      <w:pPr>
        <w:pStyle w:val="FootnoteText"/>
      </w:pPr>
      <w:r>
        <w:rPr>
          <w:rStyle w:val="FootnoteReference"/>
        </w:rPr>
        <w:footnoteRef/>
      </w:r>
      <w:r>
        <w:t xml:space="preserve"> </w:t>
      </w:r>
      <w:r>
        <w:t xml:space="preserve">NCT07010432.</w:t>
      </w:r>
    </w:p>
  </w:footnote>
  <w:footnote w:id="694">
    <w:p>
      <w:pPr>
        <w:pStyle w:val="FootnoteText"/>
      </w:pPr>
      <w:r>
        <w:rPr>
          <w:rStyle w:val="FootnoteReference"/>
        </w:rPr>
        <w:footnoteRef/>
      </w:r>
      <w:r>
        <w:t xml:space="preserve"> </w:t>
      </w:r>
      <w:r>
        <w:t xml:space="preserve">NCT07527195.</w:t>
      </w:r>
    </w:p>
  </w:footnote>
  <w:footnote w:id="695">
    <w:p>
      <w:pPr>
        <w:pStyle w:val="FootnoteText"/>
      </w:pPr>
      <w:r>
        <w:rPr>
          <w:rStyle w:val="FootnoteReference"/>
        </w:rPr>
        <w:footnoteRef/>
      </w:r>
      <w:r>
        <w:t xml:space="preserve"> </w:t>
      </w:r>
      <w:r>
        <w:t xml:space="preserve">NCT07607587.</w:t>
      </w:r>
    </w:p>
  </w:footnote>
  <w:footnote w:id="700">
    <w:p>
      <w:pPr>
        <w:pStyle w:val="FootnoteText"/>
      </w:pPr>
      <w:r>
        <w:rPr>
          <w:rStyle w:val="FootnoteReference"/>
        </w:rPr>
        <w:footnoteRef/>
      </w:r>
      <w:r>
        <w:t xml:space="preserve"> </w:t>
      </w:r>
      <w:r>
        <w:t xml:space="preserve">Kuhre 2025, PMID 40706446.</w:t>
      </w:r>
    </w:p>
  </w:footnote>
  <w:footnote w:id="702">
    <w:p>
      <w:pPr>
        <w:pStyle w:val="FootnoteText"/>
      </w:pPr>
      <w:r>
        <w:rPr>
          <w:rStyle w:val="FootnoteReference"/>
        </w:rPr>
        <w:footnoteRef/>
      </w:r>
      <w:r>
        <w:t xml:space="preserve"> </w:t>
      </w:r>
      <w:r>
        <w:t xml:space="preserve">Gasiorek 2025, PMID 40550229.</w:t>
      </w:r>
    </w:p>
  </w:footnote>
  <w:footnote w:id="704">
    <w:p>
      <w:pPr>
        <w:pStyle w:val="FootnoteText"/>
      </w:pPr>
      <w:r>
        <w:rPr>
          <w:rStyle w:val="FootnoteReference"/>
        </w:rPr>
        <w:footnoteRef/>
      </w:r>
      <w:r>
        <w:t xml:space="preserve"> </w:t>
      </w:r>
      <w:r>
        <w:t xml:space="preserve">Dahl 2025, PMID 40550231.</w:t>
      </w:r>
    </w:p>
  </w:footnote>
  <w:footnote w:id="706">
    <w:p>
      <w:pPr>
        <w:pStyle w:val="FootnoteText"/>
      </w:pPr>
      <w:r>
        <w:rPr>
          <w:rStyle w:val="FootnoteReference"/>
        </w:rPr>
        <w:footnoteRef/>
      </w:r>
      <w:r>
        <w:t xml:space="preserve"> </w:t>
      </w:r>
      <w:r>
        <w:t xml:space="preserve">Mora 2026, PMID 42532079.</w:t>
      </w:r>
    </w:p>
  </w:footnote>
  <w:footnote w:id="707">
    <w:p>
      <w:pPr>
        <w:pStyle w:val="FootnoteText"/>
      </w:pPr>
      <w:r>
        <w:rPr>
          <w:rStyle w:val="FootnoteReference"/>
        </w:rPr>
        <w:footnoteRef/>
      </w:r>
      <w:r>
        <w:t xml:space="preserve"> </w:t>
      </w:r>
      <w:r>
        <w:t xml:space="preserve">Mora 2026, PMID 42532080.</w:t>
      </w:r>
    </w:p>
  </w:footnote>
  <w:footnote w:id="710">
    <w:p>
      <w:pPr>
        <w:pStyle w:val="FootnoteText"/>
      </w:pPr>
      <w:r>
        <w:rPr>
          <w:rStyle w:val="FootnoteReference"/>
        </w:rPr>
        <w:footnoteRef/>
      </w:r>
      <w:r>
        <w:t xml:space="preserve"> </w:t>
      </w:r>
      <w:r>
        <w:t xml:space="preserve">Kuhre 2025, PMID 40706446.</w:t>
      </w:r>
    </w:p>
  </w:footnote>
  <w:footnote w:id="712">
    <w:p>
      <w:pPr>
        <w:pStyle w:val="FootnoteText"/>
      </w:pPr>
      <w:r>
        <w:rPr>
          <w:rStyle w:val="FootnoteReference"/>
        </w:rPr>
        <w:footnoteRef/>
      </w:r>
      <w:r>
        <w:t xml:space="preserve"> </w:t>
      </w:r>
      <w:r>
        <w:t xml:space="preserve">Gasiorek 2025, PMID 40550229; Dahl 2025, PMID 40550231.</w:t>
      </w:r>
    </w:p>
  </w:footnote>
  <w:footnote w:id="713">
    <w:p>
      <w:pPr>
        <w:pStyle w:val="FootnoteText"/>
      </w:pPr>
      <w:r>
        <w:rPr>
          <w:rStyle w:val="FootnoteReference"/>
        </w:rPr>
        <w:footnoteRef/>
      </w:r>
      <w:r>
        <w:t xml:space="preserve"> </w:t>
      </w:r>
      <w:r>
        <w:t xml:space="preserve">Mora 2026, PMID 42532079; PMID 42532080.</w:t>
      </w:r>
    </w:p>
  </w:footnote>
  <w:footnote w:id="714">
    <w:p>
      <w:pPr>
        <w:pStyle w:val="FootnoteText"/>
      </w:pPr>
      <w:r>
        <w:rPr>
          <w:rStyle w:val="FootnoteReference"/>
        </w:rPr>
        <w:footnoteRef/>
      </w:r>
      <w:r>
        <w:t xml:space="preserve"> </w:t>
      </w:r>
      <w:r>
        <w:t xml:space="preserve">Oldenburg 2026, PMID 42443140.</w:t>
      </w:r>
    </w:p>
  </w:footnote>
  <w:footnote w:id="715">
    <w:p>
      <w:pPr>
        <w:pStyle w:val="FootnoteText"/>
      </w:pPr>
      <w:r>
        <w:rPr>
          <w:rStyle w:val="FootnoteReference"/>
        </w:rPr>
        <w:footnoteRef/>
      </w:r>
      <w:r>
        <w:t xml:space="preserve"> </w:t>
      </w:r>
      <w:r>
        <w:t xml:space="preserve">Rubin 2026, PMID 42853576.</w:t>
      </w:r>
    </w:p>
  </w:footnote>
  <w:footnote w:id="718">
    <w:p>
      <w:pPr>
        <w:pStyle w:val="FootnoteText"/>
      </w:pPr>
      <w:r>
        <w:rPr>
          <w:rStyle w:val="FootnoteReference"/>
        </w:rPr>
        <w:footnoteRef/>
      </w:r>
      <w:r>
        <w:t xml:space="preserve"> </w:t>
      </w:r>
      <w:r>
        <w:t xml:space="preserve">NCT07339423.</w:t>
      </w:r>
    </w:p>
  </w:footnote>
  <w:footnote w:id="719">
    <w:p>
      <w:pPr>
        <w:pStyle w:val="FootnoteText"/>
      </w:pPr>
      <w:r>
        <w:rPr>
          <w:rStyle w:val="FootnoteReference"/>
        </w:rPr>
        <w:footnoteRef/>
      </w:r>
      <w:r>
        <w:t xml:space="preserve"> </w:t>
      </w:r>
      <w:r>
        <w:t xml:space="preserve">NCT07533175.</w:t>
      </w:r>
    </w:p>
  </w:footnote>
  <w:footnote w:id="720">
    <w:p>
      <w:pPr>
        <w:pStyle w:val="FootnoteText"/>
      </w:pPr>
      <w:r>
        <w:rPr>
          <w:rStyle w:val="FootnoteReference"/>
        </w:rPr>
        <w:footnoteRef/>
      </w:r>
      <w:r>
        <w:t xml:space="preserve"> </w:t>
      </w:r>
      <w:r>
        <w:t xml:space="preserve">NCT07571005, NCT07571109.</w:t>
      </w:r>
    </w:p>
  </w:footnote>
  <w:footnote w:id="721">
    <w:p>
      <w:pPr>
        <w:pStyle w:val="FootnoteText"/>
      </w:pPr>
      <w:r>
        <w:rPr>
          <w:rStyle w:val="FootnoteReference"/>
        </w:rPr>
        <w:footnoteRef/>
      </w:r>
      <w:r>
        <w:t xml:space="preserve"> </w:t>
      </w:r>
      <w:r>
        <w:t xml:space="preserve">NCT07509307.</w:t>
      </w:r>
    </w:p>
  </w:footnote>
  <w:footnote w:id="722">
    <w:p>
      <w:pPr>
        <w:pStyle w:val="FootnoteText"/>
      </w:pPr>
      <w:r>
        <w:rPr>
          <w:rStyle w:val="FootnoteReference"/>
        </w:rPr>
        <w:footnoteRef/>
      </w:r>
      <w:r>
        <w:t xml:space="preserve"> </w:t>
      </w:r>
      <w:r>
        <w:t xml:space="preserve">NCT07481630.</w:t>
      </w:r>
    </w:p>
  </w:footnote>
  <w:footnote w:id="723">
    <w:p>
      <w:pPr>
        <w:pStyle w:val="FootnoteText"/>
      </w:pPr>
      <w:r>
        <w:rPr>
          <w:rStyle w:val="FootnoteReference"/>
        </w:rPr>
        <w:footnoteRef/>
      </w:r>
      <w:r>
        <w:t xml:space="preserve"> </w:t>
      </w:r>
      <w:r>
        <w:t xml:space="preserve">NCT07720271.</w:t>
      </w:r>
    </w:p>
  </w:footnote>
  <w:footnote w:id="724">
    <w:p>
      <w:pPr>
        <w:pStyle w:val="FootnoteText"/>
      </w:pPr>
      <w:r>
        <w:rPr>
          <w:rStyle w:val="FootnoteReference"/>
        </w:rPr>
        <w:footnoteRef/>
      </w:r>
      <w:r>
        <w:t xml:space="preserve"> </w:t>
      </w:r>
      <w:r>
        <w:t xml:space="preserve">NCT07503210.</w:t>
      </w:r>
    </w:p>
  </w:footnote>
  <w:footnote w:id="729">
    <w:p>
      <w:pPr>
        <w:pStyle w:val="FootnoteText"/>
      </w:pPr>
      <w:r>
        <w:rPr>
          <w:rStyle w:val="FootnoteReference"/>
        </w:rPr>
        <w:footnoteRef/>
      </w:r>
      <w:r>
        <w:t xml:space="preserve"> </w:t>
      </w:r>
      <w:r>
        <w:t xml:space="preserve">Davies 2026, PMID 41287212.</w:t>
      </w:r>
    </w:p>
  </w:footnote>
  <w:footnote w:id="730">
    <w:p>
      <w:pPr>
        <w:pStyle w:val="FootnoteText"/>
      </w:pPr>
      <w:r>
        <w:rPr>
          <w:rStyle w:val="FootnoteReference"/>
        </w:rPr>
        <w:footnoteRef/>
      </w:r>
      <w:r>
        <w:t xml:space="preserve"> </w:t>
      </w:r>
      <w:r>
        <w:t xml:space="preserve">Véniant 2024, PMID 38316982.</w:t>
      </w:r>
    </w:p>
  </w:footnote>
  <w:footnote w:id="731">
    <w:p>
      <w:pPr>
        <w:pStyle w:val="FootnoteText"/>
      </w:pPr>
      <w:r>
        <w:rPr>
          <w:rStyle w:val="FootnoteReference"/>
        </w:rPr>
        <w:footnoteRef/>
      </w:r>
      <w:r>
        <w:t xml:space="preserve"> </w:t>
      </w:r>
      <w:r>
        <w:t xml:space="preserve">Wu 2026, PMID 41941715.</w:t>
      </w:r>
    </w:p>
  </w:footnote>
  <w:footnote w:id="733">
    <w:p>
      <w:pPr>
        <w:pStyle w:val="FootnoteText"/>
      </w:pPr>
      <w:r>
        <w:rPr>
          <w:rStyle w:val="FootnoteReference"/>
        </w:rPr>
        <w:footnoteRef/>
      </w:r>
      <w:r>
        <w:t xml:space="preserve"> </w:t>
      </w:r>
      <w:r>
        <w:t xml:space="preserve">Véniant 2024, PMID 38316982; NCT04478708.</w:t>
      </w:r>
    </w:p>
  </w:footnote>
  <w:footnote w:id="735">
    <w:p>
      <w:pPr>
        <w:pStyle w:val="FootnoteText"/>
      </w:pPr>
      <w:r>
        <w:rPr>
          <w:rStyle w:val="FootnoteReference"/>
        </w:rPr>
        <w:footnoteRef/>
      </w:r>
      <w:r>
        <w:t xml:space="preserve"> </w:t>
      </w:r>
      <w:r>
        <w:t xml:space="preserve">Jastreboff 2025, PMID 40549887.</w:t>
      </w:r>
    </w:p>
  </w:footnote>
  <w:footnote w:id="738">
    <w:p>
      <w:pPr>
        <w:pStyle w:val="FootnoteText"/>
      </w:pPr>
      <w:r>
        <w:rPr>
          <w:rStyle w:val="FootnoteReference"/>
        </w:rPr>
        <w:footnoteRef/>
      </w:r>
      <w:r>
        <w:t xml:space="preserve"> </w:t>
      </w:r>
      <w:r>
        <w:t xml:space="preserve">Véniant 2024, PMID 38316982; Wu 2026, PMID 41941715.</w:t>
      </w:r>
    </w:p>
  </w:footnote>
  <w:footnote w:id="739">
    <w:p>
      <w:pPr>
        <w:pStyle w:val="FootnoteText"/>
      </w:pPr>
      <w:r>
        <w:rPr>
          <w:rStyle w:val="FootnoteReference"/>
        </w:rPr>
        <w:footnoteRef/>
      </w:r>
      <w:r>
        <w:t xml:space="preserve"> </w:t>
      </w:r>
      <w:r>
        <w:t xml:space="preserve">Davies 2026, PMID 41287212.</w:t>
      </w:r>
    </w:p>
  </w:footnote>
  <w:footnote w:id="741">
    <w:p>
      <w:pPr>
        <w:pStyle w:val="FootnoteText"/>
      </w:pPr>
      <w:r>
        <w:rPr>
          <w:rStyle w:val="FootnoteReference"/>
        </w:rPr>
        <w:footnoteRef/>
      </w:r>
      <w:r>
        <w:t xml:space="preserve"> </w:t>
      </w:r>
      <w:r>
        <w:t xml:space="preserve">Jastreboff 2025, PMID 40549887.</w:t>
      </w:r>
    </w:p>
  </w:footnote>
  <w:footnote w:id="742">
    <w:p>
      <w:pPr>
        <w:pStyle w:val="FootnoteText"/>
      </w:pPr>
      <w:r>
        <w:rPr>
          <w:rStyle w:val="FootnoteReference"/>
        </w:rPr>
        <w:footnoteRef/>
      </w:r>
      <w:r>
        <w:t xml:space="preserve"> </w:t>
      </w:r>
      <w:r>
        <w:t xml:space="preserve">Véniant 2024, PMID 38316982.</w:t>
      </w:r>
    </w:p>
  </w:footnote>
  <w:footnote w:id="743">
    <w:p>
      <w:pPr>
        <w:pStyle w:val="FootnoteText"/>
      </w:pPr>
      <w:r>
        <w:rPr>
          <w:rStyle w:val="FootnoteReference"/>
        </w:rPr>
        <w:footnoteRef/>
      </w:r>
      <w:r>
        <w:t xml:space="preserve"> </w:t>
      </w:r>
      <w:r>
        <w:t xml:space="preserve">Davies 2026, PMID 41287212.</w:t>
      </w:r>
    </w:p>
  </w:footnote>
  <w:footnote w:id="746">
    <w:p>
      <w:pPr>
        <w:pStyle w:val="FootnoteText"/>
      </w:pPr>
      <w:r>
        <w:rPr>
          <w:rStyle w:val="FootnoteReference"/>
        </w:rPr>
        <w:footnoteRef/>
      </w:r>
      <w:r>
        <w:t xml:space="preserve"> </w:t>
      </w:r>
      <w:r>
        <w:t xml:space="preserve">NCT06858839.</w:t>
      </w:r>
    </w:p>
  </w:footnote>
  <w:footnote w:id="747">
    <w:p>
      <w:pPr>
        <w:pStyle w:val="FootnoteText"/>
      </w:pPr>
      <w:r>
        <w:rPr>
          <w:rStyle w:val="FootnoteReference"/>
        </w:rPr>
        <w:footnoteRef/>
      </w:r>
      <w:r>
        <w:t xml:space="preserve"> </w:t>
      </w:r>
      <w:r>
        <w:t xml:space="preserve">NCT06858878.</w:t>
      </w:r>
    </w:p>
  </w:footnote>
  <w:footnote w:id="748">
    <w:p>
      <w:pPr>
        <w:pStyle w:val="FootnoteText"/>
      </w:pPr>
      <w:r>
        <w:rPr>
          <w:rStyle w:val="FootnoteReference"/>
        </w:rPr>
        <w:footnoteRef/>
      </w:r>
      <w:r>
        <w:t xml:space="preserve"> </w:t>
      </w:r>
      <w:r>
        <w:t xml:space="preserve">NCT07037433.</w:t>
      </w:r>
    </w:p>
  </w:footnote>
  <w:footnote w:id="749">
    <w:p>
      <w:pPr>
        <w:pStyle w:val="FootnoteText"/>
      </w:pPr>
      <w:r>
        <w:rPr>
          <w:rStyle w:val="FootnoteReference"/>
        </w:rPr>
        <w:footnoteRef/>
      </w:r>
      <w:r>
        <w:t xml:space="preserve"> </w:t>
      </w:r>
      <w:r>
        <w:t xml:space="preserve">NCT07037459.</w:t>
      </w:r>
    </w:p>
  </w:footnote>
  <w:footnote w:id="750">
    <w:p>
      <w:pPr>
        <w:pStyle w:val="FootnoteText"/>
      </w:pPr>
      <w:r>
        <w:rPr>
          <w:rStyle w:val="FootnoteReference"/>
        </w:rPr>
        <w:footnoteRef/>
      </w:r>
      <w:r>
        <w:t xml:space="preserve"> </w:t>
      </w:r>
      <w:r>
        <w:t xml:space="preserve">NCT07226765, NCT07225686.</w:t>
      </w:r>
    </w:p>
  </w:footnote>
  <w:footnote w:id="751">
    <w:p>
      <w:pPr>
        <w:pStyle w:val="FootnoteText"/>
      </w:pPr>
      <w:r>
        <w:rPr>
          <w:rStyle w:val="FootnoteReference"/>
        </w:rPr>
        <w:footnoteRef/>
      </w:r>
      <w:r>
        <w:t xml:space="preserve"> </w:t>
      </w:r>
      <w:r>
        <w:t xml:space="preserve">NCT07866066.</w:t>
      </w:r>
    </w:p>
  </w:footnote>
  <w:footnote w:id="752">
    <w:p>
      <w:pPr>
        <w:pStyle w:val="FootnoteText"/>
      </w:pPr>
      <w:r>
        <w:rPr>
          <w:rStyle w:val="FootnoteReference"/>
        </w:rPr>
        <w:footnoteRef/>
      </w:r>
      <w:r>
        <w:t xml:space="preserve"> </w:t>
      </w:r>
      <w:r>
        <w:t xml:space="preserve">NCT07575399.</w:t>
      </w:r>
    </w:p>
  </w:footnote>
  <w:footnote w:id="753">
    <w:p>
      <w:pPr>
        <w:pStyle w:val="FootnoteText"/>
      </w:pPr>
      <w:r>
        <w:rPr>
          <w:rStyle w:val="FootnoteReference"/>
        </w:rPr>
        <w:footnoteRef/>
      </w:r>
      <w:r>
        <w:t xml:space="preserve"> </w:t>
      </w:r>
      <w:r>
        <w:t xml:space="preserve">NCT06987695.</w:t>
      </w:r>
    </w:p>
  </w:footnote>
  <w:footnote w:id="754">
    <w:p>
      <w:pPr>
        <w:pStyle w:val="FootnoteText"/>
      </w:pPr>
      <w:r>
        <w:rPr>
          <w:rStyle w:val="FootnoteReference"/>
        </w:rPr>
        <w:footnoteRef/>
      </w:r>
      <w:r>
        <w:t xml:space="preserve"> </w:t>
      </w:r>
      <w:r>
        <w:t xml:space="preserve">NCT07429032.</w:t>
      </w:r>
    </w:p>
  </w:footnote>
  <w:footnote w:id="755">
    <w:p>
      <w:pPr>
        <w:pStyle w:val="FootnoteText"/>
      </w:pPr>
      <w:r>
        <w:rPr>
          <w:rStyle w:val="FootnoteReference"/>
        </w:rPr>
        <w:footnoteRef/>
      </w:r>
      <w:r>
        <w:t xml:space="preserve"> </w:t>
      </w:r>
      <w:r>
        <w:t xml:space="preserve">NCT07229157.</w:t>
      </w:r>
    </w:p>
  </w:footnote>
  <w:footnote w:id="756">
    <w:p>
      <w:pPr>
        <w:pStyle w:val="FootnoteText"/>
      </w:pPr>
      <w:r>
        <w:rPr>
          <w:rStyle w:val="FootnoteReference"/>
        </w:rPr>
        <w:footnoteRef/>
      </w:r>
      <w:r>
        <w:t xml:space="preserve"> </w:t>
      </w:r>
      <w:r>
        <w:t xml:space="preserve">NCT07523711.</w:t>
      </w:r>
    </w:p>
  </w:footnote>
  <w:footnote w:id="761">
    <w:p>
      <w:pPr>
        <w:pStyle w:val="FootnoteText"/>
      </w:pPr>
      <w:r>
        <w:rPr>
          <w:rStyle w:val="FootnoteReference"/>
        </w:rPr>
        <w:footnoteRef/>
      </w:r>
      <w:r>
        <w:t xml:space="preserve"> </w:t>
      </w:r>
      <w:r>
        <w:t xml:space="preserve">Vella 2002, PMID 11975712.</w:t>
      </w:r>
    </w:p>
  </w:footnote>
  <w:footnote w:id="763">
    <w:p>
      <w:pPr>
        <w:pStyle w:val="FootnoteText"/>
      </w:pPr>
      <w:r>
        <w:rPr>
          <w:rStyle w:val="FootnoteReference"/>
        </w:rPr>
        <w:footnoteRef/>
      </w:r>
      <w:r>
        <w:t xml:space="preserve"> </w:t>
      </w:r>
      <w:r>
        <w:t xml:space="preserve">Avgerinos 2021, PMID 33300282.</w:t>
      </w:r>
    </w:p>
  </w:footnote>
  <w:footnote w:id="765">
    <w:p>
      <w:pPr>
        <w:pStyle w:val="FootnoteText"/>
      </w:pPr>
      <w:r>
        <w:rPr>
          <w:rStyle w:val="FootnoteReference"/>
        </w:rPr>
        <w:footnoteRef/>
      </w:r>
      <w:r>
        <w:t xml:space="preserve"> </w:t>
      </w:r>
      <w:r>
        <w:t xml:space="preserve">Hollander 2003, PMID 12610038.</w:t>
      </w:r>
    </w:p>
  </w:footnote>
  <w:footnote w:id="766">
    <w:p>
      <w:pPr>
        <w:pStyle w:val="FootnoteText"/>
      </w:pPr>
      <w:r>
        <w:rPr>
          <w:rStyle w:val="FootnoteReference"/>
        </w:rPr>
        <w:footnoteRef/>
      </w:r>
      <w:r>
        <w:t xml:space="preserve"> </w:t>
      </w:r>
      <w:r>
        <w:t xml:space="preserve">Riddle 2009, PMID 19502544.</w:t>
      </w:r>
    </w:p>
  </w:footnote>
  <w:footnote w:id="767">
    <w:p>
      <w:pPr>
        <w:pStyle w:val="FootnoteText"/>
      </w:pPr>
      <w:r>
        <w:rPr>
          <w:rStyle w:val="FootnoteReference"/>
        </w:rPr>
        <w:footnoteRef/>
      </w:r>
      <w:r>
        <w:t xml:space="preserve"> </w:t>
      </w:r>
      <w:r>
        <w:t xml:space="preserve">Singh-Franco 2011, PMID 21199269.</w:t>
      </w:r>
    </w:p>
  </w:footnote>
  <w:footnote w:id="769">
    <w:p>
      <w:pPr>
        <w:pStyle w:val="FootnoteText"/>
      </w:pPr>
      <w:r>
        <w:rPr>
          <w:rStyle w:val="FootnoteReference"/>
        </w:rPr>
        <w:footnoteRef/>
      </w:r>
      <w:r>
        <w:t xml:space="preserve"> </w:t>
      </w:r>
      <w:r>
        <w:t xml:space="preserve">Aronne 2007, PMID 17504894.</w:t>
      </w:r>
    </w:p>
  </w:footnote>
  <w:footnote w:id="770">
    <w:p>
      <w:pPr>
        <w:pStyle w:val="FootnoteText"/>
      </w:pPr>
      <w:r>
        <w:rPr>
          <w:rStyle w:val="FootnoteReference"/>
        </w:rPr>
        <w:footnoteRef/>
      </w:r>
      <w:r>
        <w:t xml:space="preserve"> </w:t>
      </w:r>
      <w:r>
        <w:t xml:space="preserve">Smith 2008, PMID 18753666.</w:t>
      </w:r>
    </w:p>
  </w:footnote>
  <w:footnote w:id="771">
    <w:p>
      <w:pPr>
        <w:pStyle w:val="FootnoteText"/>
      </w:pPr>
      <w:r>
        <w:rPr>
          <w:rStyle w:val="FootnoteReference"/>
        </w:rPr>
        <w:footnoteRef/>
      </w:r>
      <w:r>
        <w:t xml:space="preserve"> </w:t>
      </w:r>
      <w:r>
        <w:t xml:space="preserve">Ravussin 2009, PMID 19521351.</w:t>
      </w:r>
    </w:p>
  </w:footnote>
  <w:footnote w:id="773">
    <w:p>
      <w:pPr>
        <w:pStyle w:val="FootnoteText"/>
      </w:pPr>
      <w:r>
        <w:rPr>
          <w:rStyle w:val="FootnoteReference"/>
        </w:rPr>
        <w:footnoteRef/>
      </w:r>
      <w:r>
        <w:t xml:space="preserve"> </w:t>
      </w:r>
      <w:r>
        <w:t xml:space="preserve">Haidar 2020, PMID 31974099.</w:t>
      </w:r>
    </w:p>
  </w:footnote>
  <w:footnote w:id="774">
    <w:p>
      <w:pPr>
        <w:pStyle w:val="FootnoteText"/>
      </w:pPr>
      <w:r>
        <w:rPr>
          <w:rStyle w:val="FootnoteReference"/>
        </w:rPr>
        <w:footnoteRef/>
      </w:r>
      <w:r>
        <w:t xml:space="preserve"> </w:t>
      </w:r>
      <w:r>
        <w:t xml:space="preserve">Odabassian 2025, PMID 41174925.</w:t>
      </w:r>
    </w:p>
  </w:footnote>
  <w:footnote w:id="775">
    <w:p>
      <w:pPr>
        <w:pStyle w:val="FootnoteText"/>
      </w:pPr>
      <w:r>
        <w:rPr>
          <w:rStyle w:val="FootnoteReference"/>
        </w:rPr>
        <w:footnoteRef/>
      </w:r>
      <w:r>
        <w:t xml:space="preserve"> </w:t>
      </w:r>
      <w:r>
        <w:t xml:space="preserve">Andersen 2024, PMID 39109464.</w:t>
      </w:r>
    </w:p>
  </w:footnote>
  <w:footnote w:id="778">
    <w:p>
      <w:pPr>
        <w:pStyle w:val="FootnoteText"/>
      </w:pPr>
      <w:r>
        <w:rPr>
          <w:rStyle w:val="FootnoteReference"/>
        </w:rPr>
        <w:footnoteRef/>
      </w:r>
      <w:r>
        <w:t xml:space="preserve"> </w:t>
      </w:r>
      <w:r>
        <w:t xml:space="preserve">descrita como ponto de partida em Ravussin 2009, PMID 19521351.</w:t>
      </w:r>
    </w:p>
  </w:footnote>
  <w:footnote w:id="779">
    <w:p>
      <w:pPr>
        <w:pStyle w:val="FootnoteText"/>
      </w:pPr>
      <w:r>
        <w:rPr>
          <w:rStyle w:val="FootnoteReference"/>
        </w:rPr>
        <w:footnoteRef/>
      </w:r>
      <w:r>
        <w:t xml:space="preserve"> </w:t>
      </w:r>
      <w:r>
        <w:t xml:space="preserve">Ghanizada 2021, PMID 33772845.</w:t>
      </w:r>
    </w:p>
  </w:footnote>
  <w:footnote w:id="781">
    <w:p>
      <w:pPr>
        <w:pStyle w:val="FootnoteText"/>
      </w:pPr>
      <w:r>
        <w:rPr>
          <w:rStyle w:val="FootnoteReference"/>
        </w:rPr>
        <w:footnoteRef/>
      </w:r>
      <w:r>
        <w:t xml:space="preserve"> </w:t>
      </w:r>
      <w:r>
        <w:t xml:space="preserve">Smith 2008, PMID 18753666; Edelman 2006, PMID 17003291.</w:t>
      </w:r>
    </w:p>
  </w:footnote>
  <w:footnote w:id="782">
    <w:p>
      <w:pPr>
        <w:pStyle w:val="FootnoteText"/>
      </w:pPr>
      <w:r>
        <w:rPr>
          <w:rStyle w:val="FootnoteReference"/>
        </w:rPr>
        <w:footnoteRef/>
      </w:r>
      <w:r>
        <w:t xml:space="preserve"> </w:t>
      </w:r>
      <w:r>
        <w:t xml:space="preserve">Edelman 2006, PMID 17003291.</w:t>
      </w:r>
    </w:p>
  </w:footnote>
  <w:footnote w:id="783">
    <w:p>
      <w:pPr>
        <w:pStyle w:val="FootnoteText"/>
      </w:pPr>
      <w:r>
        <w:rPr>
          <w:rStyle w:val="FootnoteReference"/>
        </w:rPr>
        <w:footnoteRef/>
      </w:r>
      <w:r>
        <w:t xml:space="preserve"> </w:t>
      </w:r>
      <w:r>
        <w:t xml:space="preserve">Ghanizada 2021, PMID 33772845.</w:t>
      </w:r>
    </w:p>
  </w:footnote>
  <w:footnote w:id="786">
    <w:p>
      <w:pPr>
        <w:pStyle w:val="FootnoteText"/>
      </w:pPr>
      <w:r>
        <w:rPr>
          <w:rStyle w:val="FootnoteReference"/>
        </w:rPr>
        <w:footnoteRef/>
      </w:r>
      <w:r>
        <w:t xml:space="preserve"> </w:t>
      </w:r>
      <w:r>
        <w:t xml:space="preserve">NCT07340788.</w:t>
      </w:r>
    </w:p>
  </w:footnote>
  <w:footnote w:id="787">
    <w:p>
      <w:pPr>
        <w:pStyle w:val="FootnoteText"/>
      </w:pPr>
      <w:r>
        <w:rPr>
          <w:rStyle w:val="FootnoteReference"/>
        </w:rPr>
        <w:footnoteRef/>
      </w:r>
      <w:r>
        <w:t xml:space="preserve"> </w:t>
      </w:r>
      <w:r>
        <w:t xml:space="preserve">NCT07340775.</w:t>
      </w:r>
    </w:p>
  </w:footnote>
  <w:footnote w:id="788">
    <w:p>
      <w:pPr>
        <w:pStyle w:val="FootnoteText"/>
      </w:pPr>
      <w:r>
        <w:rPr>
          <w:rStyle w:val="FootnoteReference"/>
        </w:rPr>
        <w:footnoteRef/>
      </w:r>
      <w:r>
        <w:t xml:space="preserve"> </w:t>
      </w:r>
      <w:r>
        <w:t xml:space="preserve">NCT07506369.</w:t>
      </w:r>
    </w:p>
  </w:footnote>
  <w:footnote w:id="789">
    <w:p>
      <w:pPr>
        <w:pStyle w:val="FootnoteText"/>
      </w:pPr>
      <w:r>
        <w:rPr>
          <w:rStyle w:val="FootnoteReference"/>
        </w:rPr>
        <w:footnoteRef/>
      </w:r>
      <w:r>
        <w:t xml:space="preserve"> </w:t>
      </w:r>
      <w:r>
        <w:t xml:space="preserve">Odabassian 2025, PMID 41174925.</w:t>
      </w:r>
    </w:p>
  </w:footnote>
  <w:footnote w:id="793">
    <w:p>
      <w:pPr>
        <w:pStyle w:val="FootnoteText"/>
      </w:pPr>
      <w:r>
        <w:rPr>
          <w:rStyle w:val="FootnoteReference"/>
        </w:rPr>
        <w:footnoteRef/>
      </w:r>
      <w:r>
        <w:t xml:space="preserve"> </w:t>
      </w:r>
      <w:r>
        <w:t xml:space="preserve">Markham 2021, PMID 33638809.</w:t>
      </w:r>
    </w:p>
  </w:footnote>
  <w:footnote w:id="796">
    <w:p>
      <w:pPr>
        <w:pStyle w:val="FootnoteText"/>
      </w:pPr>
      <w:r>
        <w:rPr>
          <w:rStyle w:val="FootnoteReference"/>
        </w:rPr>
        <w:footnoteRef/>
      </w:r>
      <w:r>
        <w:t xml:space="preserve"> </w:t>
      </w:r>
      <w:r>
        <w:t xml:space="preserve">Kühnen 2016, PMID 27468060.</w:t>
      </w:r>
    </w:p>
  </w:footnote>
  <w:footnote w:id="797">
    <w:p>
      <w:pPr>
        <w:pStyle w:val="FootnoteText"/>
      </w:pPr>
      <w:r>
        <w:rPr>
          <w:rStyle w:val="FootnoteReference"/>
        </w:rPr>
        <w:footnoteRef/>
      </w:r>
      <w:r>
        <w:t xml:space="preserve"> </w:t>
      </w:r>
      <w:r>
        <w:t xml:space="preserve">Clément 2018, PMID 29736023.</w:t>
      </w:r>
    </w:p>
  </w:footnote>
  <w:footnote w:id="798">
    <w:p>
      <w:pPr>
        <w:pStyle w:val="FootnoteText"/>
      </w:pPr>
      <w:r>
        <w:rPr>
          <w:rStyle w:val="FootnoteReference"/>
        </w:rPr>
        <w:footnoteRef/>
      </w:r>
      <w:r>
        <w:t xml:space="preserve"> </w:t>
      </w:r>
      <w:r>
        <w:t xml:space="preserve">Clément 2020, PMID 33137293.</w:t>
      </w:r>
    </w:p>
  </w:footnote>
  <w:footnote w:id="800">
    <w:p>
      <w:pPr>
        <w:pStyle w:val="FootnoteText"/>
      </w:pPr>
      <w:r>
        <w:rPr>
          <w:rStyle w:val="FootnoteReference"/>
        </w:rPr>
        <w:footnoteRef/>
      </w:r>
      <w:r>
        <w:t xml:space="preserve"> </w:t>
      </w:r>
      <w:r>
        <w:t xml:space="preserve">Haqq 2022, PMID 36356613.</w:t>
      </w:r>
    </w:p>
  </w:footnote>
  <w:footnote w:id="801">
    <w:p>
      <w:pPr>
        <w:pStyle w:val="FootnoteText"/>
      </w:pPr>
      <w:r>
        <w:rPr>
          <w:rStyle w:val="FootnoteReference"/>
        </w:rPr>
        <w:footnoteRef/>
      </w:r>
      <w:r>
        <w:t xml:space="preserve"> </w:t>
      </w:r>
      <w:r>
        <w:t xml:space="preserve">Argente 2026, PMID 41703984.</w:t>
      </w:r>
    </w:p>
  </w:footnote>
  <w:footnote w:id="803">
    <w:p>
      <w:pPr>
        <w:pStyle w:val="FootnoteText"/>
      </w:pPr>
      <w:r>
        <w:rPr>
          <w:rStyle w:val="FootnoteReference"/>
        </w:rPr>
        <w:footnoteRef/>
      </w:r>
      <w:r>
        <w:t xml:space="preserve"> </w:t>
      </w:r>
      <w:r>
        <w:t xml:space="preserve">Argente 2025, PMID 39549719.</w:t>
      </w:r>
    </w:p>
  </w:footnote>
  <w:footnote w:id="805">
    <w:p>
      <w:pPr>
        <w:pStyle w:val="FootnoteText"/>
      </w:pPr>
      <w:r>
        <w:rPr>
          <w:rStyle w:val="FootnoteReference"/>
        </w:rPr>
        <w:footnoteRef/>
      </w:r>
      <w:r>
        <w:t xml:space="preserve"> </w:t>
      </w:r>
      <w:r>
        <w:t xml:space="preserve">Roth 2024, PMID 38697184.</w:t>
      </w:r>
    </w:p>
  </w:footnote>
  <w:footnote w:id="806">
    <w:p>
      <w:pPr>
        <w:pStyle w:val="FootnoteText"/>
      </w:pPr>
      <w:r>
        <w:rPr>
          <w:rStyle w:val="FootnoteReference"/>
        </w:rPr>
        <w:footnoteRef/>
      </w:r>
      <w:r>
        <w:t xml:space="preserve"> </w:t>
      </w:r>
      <w:r>
        <w:t xml:space="preserve">Miller 2026, PMID 42418774.</w:t>
      </w:r>
    </w:p>
  </w:footnote>
  <w:footnote w:id="808">
    <w:p>
      <w:pPr>
        <w:pStyle w:val="FootnoteText"/>
      </w:pPr>
      <w:r>
        <w:rPr>
          <w:rStyle w:val="FootnoteReference"/>
        </w:rPr>
        <w:footnoteRef/>
      </w:r>
      <w:r>
        <w:t xml:space="preserve"> </w:t>
      </w:r>
      <w:r>
        <w:t xml:space="preserve">Collet 2017, PMID 29031731.</w:t>
      </w:r>
    </w:p>
  </w:footnote>
  <w:footnote w:id="809">
    <w:p>
      <w:pPr>
        <w:pStyle w:val="FootnoteText"/>
      </w:pPr>
      <w:r>
        <w:rPr>
          <w:rStyle w:val="FootnoteReference"/>
        </w:rPr>
        <w:footnoteRef/>
      </w:r>
      <w:r>
        <w:t xml:space="preserve"> </w:t>
      </w:r>
      <w:r>
        <w:t xml:space="preserve">NCT05093634.</w:t>
      </w:r>
    </w:p>
  </w:footnote>
  <w:footnote w:id="812">
    <w:p>
      <w:pPr>
        <w:pStyle w:val="FootnoteText"/>
      </w:pPr>
      <w:r>
        <w:rPr>
          <w:rStyle w:val="FootnoteReference"/>
        </w:rPr>
        <w:footnoteRef/>
      </w:r>
      <w:r>
        <w:t xml:space="preserve"> </w:t>
      </w:r>
      <w:r>
        <w:t xml:space="preserve">Collet 2017, PMID 29031731.</w:t>
      </w:r>
    </w:p>
  </w:footnote>
  <w:footnote w:id="814">
    <w:p>
      <w:pPr>
        <w:pStyle w:val="FootnoteText"/>
      </w:pPr>
      <w:r>
        <w:rPr>
          <w:rStyle w:val="FootnoteReference"/>
        </w:rPr>
        <w:footnoteRef/>
      </w:r>
      <w:r>
        <w:t xml:space="preserve"> </w:t>
      </w:r>
      <w:r>
        <w:t xml:space="preserve">Sridharan 2026, PMID 39924461.</w:t>
      </w:r>
    </w:p>
  </w:footnote>
  <w:footnote w:id="815">
    <w:p>
      <w:pPr>
        <w:pStyle w:val="FootnoteText"/>
      </w:pPr>
      <w:r>
        <w:rPr>
          <w:rStyle w:val="FootnoteReference"/>
        </w:rPr>
        <w:footnoteRef/>
      </w:r>
      <w:r>
        <w:t xml:space="preserve"> </w:t>
      </w:r>
      <w:r>
        <w:t xml:space="preserve">Kanti 2021, PMID 34058738.</w:t>
      </w:r>
    </w:p>
  </w:footnote>
  <w:footnote w:id="816">
    <w:p>
      <w:pPr>
        <w:pStyle w:val="FootnoteText"/>
      </w:pPr>
      <w:r>
        <w:rPr>
          <w:rStyle w:val="FootnoteReference"/>
        </w:rPr>
        <w:footnoteRef/>
      </w:r>
      <w:r>
        <w:t xml:space="preserve"> </w:t>
      </w:r>
      <w:r>
        <w:t xml:space="preserve">Sridharan 2026, PMID 39924461.</w:t>
      </w:r>
    </w:p>
  </w:footnote>
  <w:footnote w:id="817">
    <w:p>
      <w:pPr>
        <w:pStyle w:val="FootnoteText"/>
      </w:pPr>
      <w:r>
        <w:rPr>
          <w:rStyle w:val="FootnoteReference"/>
        </w:rPr>
        <w:footnoteRef/>
      </w:r>
      <w:r>
        <w:t xml:space="preserve"> </w:t>
      </w:r>
      <w:r>
        <w:t xml:space="preserve">Miller 2026, PMID 42418774.</w:t>
      </w:r>
    </w:p>
  </w:footnote>
  <w:footnote w:id="818">
    <w:p>
      <w:pPr>
        <w:pStyle w:val="FootnoteText"/>
      </w:pPr>
      <w:r>
        <w:rPr>
          <w:rStyle w:val="FootnoteReference"/>
        </w:rPr>
        <w:footnoteRef/>
      </w:r>
      <w:r>
        <w:t xml:space="preserve"> </w:t>
      </w:r>
      <w:r>
        <w:t xml:space="preserve">Haqq 2022, PMID 36356613.</w:t>
      </w:r>
    </w:p>
  </w:footnote>
  <w:footnote w:id="821">
    <w:p>
      <w:pPr>
        <w:pStyle w:val="FootnoteText"/>
      </w:pPr>
      <w:r>
        <w:rPr>
          <w:rStyle w:val="FootnoteReference"/>
        </w:rPr>
        <w:footnoteRef/>
      </w:r>
      <w:r>
        <w:t xml:space="preserve"> </w:t>
      </w:r>
      <w:r>
        <w:t xml:space="preserve">NCT05774756.</w:t>
      </w:r>
    </w:p>
  </w:footnote>
  <w:footnote w:id="822">
    <w:p>
      <w:pPr>
        <w:pStyle w:val="FootnoteText"/>
      </w:pPr>
      <w:r>
        <w:rPr>
          <w:rStyle w:val="FootnoteReference"/>
        </w:rPr>
        <w:footnoteRef/>
      </w:r>
      <w:r>
        <w:t xml:space="preserve"> </w:t>
      </w:r>
      <w:r>
        <w:t xml:space="preserve">NCT06760546.</w:t>
      </w:r>
    </w:p>
  </w:footnote>
  <w:footnote w:id="823">
    <w:p>
      <w:pPr>
        <w:pStyle w:val="FootnoteText"/>
      </w:pPr>
      <w:r>
        <w:rPr>
          <w:rStyle w:val="FootnoteReference"/>
        </w:rPr>
        <w:footnoteRef/>
      </w:r>
      <w:r>
        <w:t xml:space="preserve"> </w:t>
      </w:r>
      <w:r>
        <w:t xml:space="preserve">NCT06772597.</w:t>
      </w:r>
    </w:p>
  </w:footnote>
  <w:footnote w:id="824">
    <w:p>
      <w:pPr>
        <w:pStyle w:val="FootnoteText"/>
      </w:pPr>
      <w:r>
        <w:rPr>
          <w:rStyle w:val="FootnoteReference"/>
        </w:rPr>
        <w:footnoteRef/>
      </w:r>
      <w:r>
        <w:t xml:space="preserve"> </w:t>
      </w:r>
      <w:r>
        <w:t xml:space="preserve">NCT07674290.</w:t>
      </w:r>
    </w:p>
  </w:footnote>
  <w:footnote w:id="825">
    <w:p>
      <w:pPr>
        <w:pStyle w:val="FootnoteText"/>
      </w:pPr>
      <w:r>
        <w:rPr>
          <w:rStyle w:val="FootnoteReference"/>
        </w:rPr>
        <w:footnoteRef/>
      </w:r>
      <w:r>
        <w:t xml:space="preserve"> </w:t>
      </w:r>
      <w:r>
        <w:t xml:space="preserve">NCT05093634.</w:t>
      </w:r>
    </w:p>
  </w:footnote>
  <w:footnote w:id="826">
    <w:p>
      <w:pPr>
        <w:pStyle w:val="FootnoteText"/>
      </w:pPr>
      <w:r>
        <w:rPr>
          <w:rStyle w:val="FootnoteReference"/>
        </w:rPr>
        <w:footnoteRef/>
      </w:r>
      <w:r>
        <w:t xml:space="preserve"> </w:t>
      </w:r>
      <w:r>
        <w:t xml:space="preserve">NCT04963231.</w:t>
      </w:r>
    </w:p>
  </w:footnote>
  <w:footnote w:id="830">
    <w:p>
      <w:pPr>
        <w:pStyle w:val="FootnoteText"/>
      </w:pPr>
      <w:r>
        <w:rPr>
          <w:rStyle w:val="FootnoteReference"/>
        </w:rPr>
        <w:footnoteRef/>
      </w:r>
      <w:r>
        <w:t xml:space="preserve"> </w:t>
      </w:r>
      <w:r>
        <w:t xml:space="preserve">Cox 2015, PMID 25208511.</w:t>
      </w:r>
    </w:p>
  </w:footnote>
  <w:footnote w:id="832">
    <w:p>
      <w:pPr>
        <w:pStyle w:val="FootnoteText"/>
      </w:pPr>
      <w:r>
        <w:rPr>
          <w:rStyle w:val="FootnoteReference"/>
        </w:rPr>
        <w:footnoteRef/>
      </w:r>
      <w:r>
        <w:t xml:space="preserve"> </w:t>
      </w:r>
      <w:r>
        <w:t xml:space="preserve">Wade 1982, PMID 6751009.</w:t>
      </w:r>
    </w:p>
  </w:footnote>
  <w:footnote w:id="833">
    <w:p>
      <w:pPr>
        <w:pStyle w:val="FootnoteText"/>
      </w:pPr>
      <w:r>
        <w:rPr>
          <w:rStyle w:val="FootnoteReference"/>
        </w:rPr>
        <w:footnoteRef/>
      </w:r>
      <w:r>
        <w:t xml:space="preserve"> </w:t>
      </w:r>
      <w:r>
        <w:t xml:space="preserve">Heffernan 2001, PMID 11673763.</w:t>
      </w:r>
    </w:p>
  </w:footnote>
  <w:footnote w:id="834">
    <w:p>
      <w:pPr>
        <w:pStyle w:val="FootnoteText"/>
      </w:pPr>
      <w:r>
        <w:rPr>
          <w:rStyle w:val="FootnoteReference"/>
        </w:rPr>
        <w:footnoteRef/>
      </w:r>
      <w:r>
        <w:t xml:space="preserve"> </w:t>
      </w:r>
      <w:r>
        <w:t xml:space="preserve">Heffernan 2001, PMID 11713213.</w:t>
      </w:r>
    </w:p>
  </w:footnote>
  <w:footnote w:id="836">
    <w:p>
      <w:pPr>
        <w:pStyle w:val="FootnoteText"/>
      </w:pPr>
      <w:r>
        <w:rPr>
          <w:rStyle w:val="FootnoteReference"/>
        </w:rPr>
        <w:footnoteRef/>
      </w:r>
      <w:r>
        <w:t xml:space="preserve"> </w:t>
      </w:r>
      <w:r>
        <w:t xml:space="preserve">Wilding 2004, PMID 15134286; Halford 2006, PMID 16625817.</w:t>
      </w:r>
    </w:p>
  </w:footnote>
  <w:footnote w:id="838">
    <w:p>
      <w:pPr>
        <w:pStyle w:val="FootnoteText"/>
      </w:pPr>
      <w:r>
        <w:rPr>
          <w:rStyle w:val="FootnoteReference"/>
        </w:rPr>
        <w:footnoteRef/>
      </w:r>
      <w:r>
        <w:t xml:space="preserve"> </w:t>
      </w:r>
      <w:r>
        <w:t xml:space="preserve">Ng 2000, PMID 11146367.</w:t>
      </w:r>
    </w:p>
  </w:footnote>
  <w:footnote w:id="839">
    <w:p>
      <w:pPr>
        <w:pStyle w:val="FootnoteText"/>
      </w:pPr>
      <w:r>
        <w:rPr>
          <w:rStyle w:val="FootnoteReference"/>
        </w:rPr>
        <w:footnoteRef/>
      </w:r>
      <w:r>
        <w:t xml:space="preserve"> </w:t>
      </w:r>
      <w:r>
        <w:t xml:space="preserve">Heffernan 2001, PMID 11673763.</w:t>
      </w:r>
    </w:p>
  </w:footnote>
  <w:footnote w:id="840">
    <w:p>
      <w:pPr>
        <w:pStyle w:val="FootnoteText"/>
      </w:pPr>
      <w:r>
        <w:rPr>
          <w:rStyle w:val="FootnoteReference"/>
        </w:rPr>
        <w:footnoteRef/>
      </w:r>
      <w:r>
        <w:t xml:space="preserve"> </w:t>
      </w:r>
      <w:r>
        <w:t xml:space="preserve">Natera 1994, PMID 7987248.</w:t>
      </w:r>
    </w:p>
  </w:footnote>
  <w:footnote w:id="841">
    <w:p>
      <w:pPr>
        <w:pStyle w:val="FootnoteText"/>
      </w:pPr>
      <w:r>
        <w:rPr>
          <w:rStyle w:val="FootnoteReference"/>
        </w:rPr>
        <w:footnoteRef/>
      </w:r>
      <w:r>
        <w:t xml:space="preserve"> </w:t>
      </w:r>
      <w:r>
        <w:t xml:space="preserve">Kwon 2015, PMID 26275694.</w:t>
      </w:r>
    </w:p>
  </w:footnote>
  <w:footnote w:id="843">
    <w:p>
      <w:pPr>
        <w:pStyle w:val="FootnoteText"/>
      </w:pPr>
      <w:r>
        <w:rPr>
          <w:rStyle w:val="FootnoteReference"/>
        </w:rPr>
        <w:footnoteRef/>
      </w:r>
      <w:r>
        <w:t xml:space="preserve"> </w:t>
      </w:r>
      <w:r>
        <w:t xml:space="preserve">Cox 2015, PMID 25208511.</w:t>
      </w:r>
    </w:p>
  </w:footnote>
  <w:footnote w:id="844">
    <w:p>
      <w:pPr>
        <w:pStyle w:val="FootnoteText"/>
      </w:pPr>
      <w:r>
        <w:rPr>
          <w:rStyle w:val="FootnoteReference"/>
        </w:rPr>
        <w:footnoteRef/>
      </w:r>
      <w:r>
        <w:t xml:space="preserve"> </w:t>
      </w:r>
      <w:r>
        <w:t xml:space="preserve">Vanhee 2014, PMID 24976118.</w:t>
      </w:r>
    </w:p>
  </w:footnote>
  <w:footnote w:id="845">
    <w:p>
      <w:pPr>
        <w:pStyle w:val="FootnoteText"/>
      </w:pPr>
      <w:r>
        <w:rPr>
          <w:rStyle w:val="FootnoteReference"/>
        </w:rPr>
        <w:footnoteRef/>
      </w:r>
      <w:r>
        <w:t xml:space="preserve"> </w:t>
      </w:r>
      <w:r>
        <w:t xml:space="preserve">Mendias 2026, PMID 41966639; Dominikowski 2026, PMID 42395176.</w:t>
      </w:r>
    </w:p>
  </w:footnote>
  <w:footnote w:id="846">
    <w:p>
      <w:pPr>
        <w:pStyle w:val="FootnoteText"/>
      </w:pPr>
      <w:r>
        <w:rPr>
          <w:rStyle w:val="FootnoteReference"/>
        </w:rPr>
        <w:footnoteRef/>
      </w:r>
      <w:r>
        <w:t xml:space="preserve"> </w:t>
      </w:r>
      <w:r>
        <w:t xml:space="preserve">Coutinho 2026, PMID 41880199.</w:t>
      </w:r>
    </w:p>
  </w:footnote>
  <w:footnote w:id="847">
    <w:p>
      <w:pPr>
        <w:pStyle w:val="FootnoteText"/>
      </w:pPr>
      <w:r>
        <w:rPr>
          <w:rStyle w:val="FootnoteReference"/>
        </w:rPr>
        <w:footnoteRef/>
      </w:r>
      <w:r>
        <w:t xml:space="preserve"> </w:t>
      </w:r>
      <w:r>
        <w:t xml:space="preserve">Heffernan 2001, PMID 11673763.</w:t>
      </w:r>
    </w:p>
  </w:footnote>
  <w:footnote w:id="849">
    <w:p>
      <w:pPr>
        <w:pStyle w:val="FootnoteText"/>
      </w:pPr>
      <w:r>
        <w:rPr>
          <w:rStyle w:val="FootnoteReference"/>
        </w:rPr>
        <w:footnoteRef/>
      </w:r>
      <w:r>
        <w:t xml:space="preserve"> </w:t>
      </w:r>
      <w:r>
        <w:t xml:space="preserve">Cox 2015, PMID 25208511.</w:t>
      </w:r>
    </w:p>
  </w:footnote>
  <w:footnote w:id="850">
    <w:p>
      <w:pPr>
        <w:pStyle w:val="FootnoteText"/>
      </w:pPr>
      <w:r>
        <w:rPr>
          <w:rStyle w:val="FootnoteReference"/>
        </w:rPr>
        <w:footnoteRef/>
      </w:r>
      <w:r>
        <w:t xml:space="preserve"> </w:t>
      </w:r>
      <w:r>
        <w:t xml:space="preserve">Orlovius 2013, PMID 24124033.</w:t>
      </w:r>
    </w:p>
  </w:footnote>
  <w:footnote w:id="856">
    <w:p>
      <w:pPr>
        <w:pStyle w:val="FootnoteText"/>
      </w:pPr>
      <w:r>
        <w:rPr>
          <w:rStyle w:val="FootnoteReference"/>
        </w:rPr>
        <w:footnoteRef/>
      </w:r>
      <w:r>
        <w:t xml:space="preserve"> </w:t>
      </w:r>
      <w:r>
        <w:t xml:space="preserve">Rosenstock 2026, PMID 41765029.</w:t>
      </w:r>
    </w:p>
  </w:footnote>
  <w:footnote w:id="858">
    <w:p>
      <w:pPr>
        <w:pStyle w:val="FootnoteText"/>
      </w:pPr>
      <w:r>
        <w:rPr>
          <w:rStyle w:val="FootnoteReference"/>
        </w:rPr>
        <w:footnoteRef/>
      </w:r>
      <w:r>
        <w:t xml:space="preserve"> </w:t>
      </w:r>
      <w:r>
        <w:t xml:space="preserve">Rosenstock 2025, PMID 40808573.</w:t>
      </w:r>
    </w:p>
  </w:footnote>
  <w:footnote w:id="860">
    <w:p>
      <w:pPr>
        <w:pStyle w:val="FootnoteText"/>
      </w:pPr>
      <w:r>
        <w:rPr>
          <w:rStyle w:val="FootnoteReference"/>
        </w:rPr>
        <w:footnoteRef/>
      </w:r>
      <w:r>
        <w:t xml:space="preserve"> </w:t>
      </w:r>
      <w:r>
        <w:t xml:space="preserve">Wharton 2025, PMID 40960239.</w:t>
      </w:r>
    </w:p>
  </w:footnote>
  <w:footnote w:id="861">
    <w:p>
      <w:pPr>
        <w:pStyle w:val="FootnoteText"/>
      </w:pPr>
      <w:r>
        <w:rPr>
          <w:rStyle w:val="FootnoteReference"/>
        </w:rPr>
        <w:footnoteRef/>
      </w:r>
      <w:r>
        <w:t xml:space="preserve"> </w:t>
      </w:r>
      <w:r>
        <w:t xml:space="preserve">Wharton 2023, PMID 37351564.</w:t>
      </w:r>
    </w:p>
  </w:footnote>
  <w:footnote w:id="862">
    <w:p>
      <w:pPr>
        <w:pStyle w:val="FootnoteText"/>
      </w:pPr>
      <w:r>
        <w:rPr>
          <w:rStyle w:val="FootnoteReference"/>
        </w:rPr>
        <w:footnoteRef/>
      </w:r>
      <w:r>
        <w:t xml:space="preserve"> </w:t>
      </w:r>
      <w:r>
        <w:t xml:space="preserve">Horn 2026, PMID 41275875.</w:t>
      </w:r>
    </w:p>
  </w:footnote>
  <w:footnote w:id="863">
    <w:p>
      <w:pPr>
        <w:pStyle w:val="FootnoteText"/>
      </w:pPr>
      <w:r>
        <w:rPr>
          <w:rStyle w:val="FootnoteReference"/>
        </w:rPr>
        <w:footnoteRef/>
      </w:r>
      <w:r>
        <w:t xml:space="preserve"> </w:t>
      </w:r>
      <w:r>
        <w:t xml:space="preserve">Aronne 2026, PMID 42120723.</w:t>
      </w:r>
    </w:p>
  </w:footnote>
  <w:footnote w:id="865">
    <w:p>
      <w:pPr>
        <w:pStyle w:val="FootnoteText"/>
      </w:pPr>
      <w:r>
        <w:rPr>
          <w:rStyle w:val="FootnoteReference"/>
        </w:rPr>
        <w:footnoteRef/>
      </w:r>
      <w:r>
        <w:t xml:space="preserve"> </w:t>
      </w:r>
      <w:r>
        <w:t xml:space="preserve">Rosenstock 2025, PMID 40544435.</w:t>
      </w:r>
    </w:p>
  </w:footnote>
  <w:footnote w:id="866">
    <w:p>
      <w:pPr>
        <w:pStyle w:val="FootnoteText"/>
      </w:pPr>
      <w:r>
        <w:rPr>
          <w:rStyle w:val="FootnoteReference"/>
        </w:rPr>
        <w:footnoteRef/>
      </w:r>
      <w:r>
        <w:t xml:space="preserve"> </w:t>
      </w:r>
      <w:r>
        <w:t xml:space="preserve">Welch 2026, PMID 42259339.</w:t>
      </w:r>
    </w:p>
  </w:footnote>
  <w:footnote w:id="867">
    <w:p>
      <w:pPr>
        <w:pStyle w:val="FootnoteText"/>
      </w:pPr>
      <w:r>
        <w:rPr>
          <w:rStyle w:val="FootnoteReference"/>
        </w:rPr>
        <w:footnoteRef/>
      </w:r>
      <w:r>
        <w:t xml:space="preserve"> </w:t>
      </w:r>
      <w:r>
        <w:t xml:space="preserve">Rosenstock 2026, PMID 41765029.</w:t>
      </w:r>
    </w:p>
  </w:footnote>
  <w:footnote w:id="868">
    <w:p>
      <w:pPr>
        <w:pStyle w:val="FootnoteText"/>
      </w:pPr>
      <w:r>
        <w:rPr>
          <w:rStyle w:val="FootnoteReference"/>
        </w:rPr>
        <w:footnoteRef/>
      </w:r>
      <w:r>
        <w:t xml:space="preserve"> </w:t>
      </w:r>
      <w:r>
        <w:t xml:space="preserve">Klein 2026, PMID 42815506.</w:t>
      </w:r>
    </w:p>
  </w:footnote>
  <w:footnote w:id="871">
    <w:p>
      <w:pPr>
        <w:pStyle w:val="FootnoteText"/>
      </w:pPr>
      <w:r>
        <w:rPr>
          <w:rStyle w:val="FootnoteReference"/>
        </w:rPr>
        <w:footnoteRef/>
      </w:r>
      <w:r>
        <w:t xml:space="preserve"> </w:t>
      </w:r>
      <w:r>
        <w:t xml:space="preserve">NCT05469126, NCT05573230, NCT06370728, NCT06704763.</w:t>
      </w:r>
    </w:p>
  </w:footnote>
  <w:footnote w:id="873">
    <w:p>
      <w:pPr>
        <w:pStyle w:val="FootnoteText"/>
      </w:pPr>
      <w:r>
        <w:rPr>
          <w:rStyle w:val="FootnoteReference"/>
        </w:rPr>
        <w:footnoteRef/>
      </w:r>
      <w:r>
        <w:t xml:space="preserve"> </w:t>
      </w:r>
      <w:r>
        <w:t xml:space="preserve">Klein 2026, PMID 42815506.</w:t>
      </w:r>
    </w:p>
  </w:footnote>
  <w:footnote w:id="874">
    <w:p>
      <w:pPr>
        <w:pStyle w:val="FootnoteText"/>
      </w:pPr>
      <w:r>
        <w:rPr>
          <w:rStyle w:val="FootnoteReference"/>
        </w:rPr>
        <w:footnoteRef/>
      </w:r>
      <w:r>
        <w:t xml:space="preserve"> </w:t>
      </w:r>
      <w:r>
        <w:t xml:space="preserve">Wharton 2025, PMID 40960239.</w:t>
      </w:r>
    </w:p>
  </w:footnote>
  <w:footnote w:id="875">
    <w:p>
      <w:pPr>
        <w:pStyle w:val="FootnoteText"/>
      </w:pPr>
      <w:r>
        <w:rPr>
          <w:rStyle w:val="FootnoteReference"/>
        </w:rPr>
        <w:footnoteRef/>
      </w:r>
      <w:r>
        <w:t xml:space="preserve"> </w:t>
      </w:r>
      <w:r>
        <w:t xml:space="preserve">Rosenstock 2026, PMID 41765029.</w:t>
      </w:r>
    </w:p>
  </w:footnote>
  <w:footnote w:id="876">
    <w:p>
      <w:pPr>
        <w:pStyle w:val="FootnoteText"/>
      </w:pPr>
      <w:r>
        <w:rPr>
          <w:rStyle w:val="FootnoteReference"/>
        </w:rPr>
        <w:footnoteRef/>
      </w:r>
      <w:r>
        <w:t xml:space="preserve"> </w:t>
      </w:r>
      <w:r>
        <w:t xml:space="preserve">Rosenstock 2026, PMID 41765029.</w:t>
      </w:r>
    </w:p>
  </w:footnote>
  <w:footnote w:id="877">
    <w:p>
      <w:pPr>
        <w:pStyle w:val="FootnoteText"/>
      </w:pPr>
      <w:r>
        <w:rPr>
          <w:rStyle w:val="FootnoteReference"/>
        </w:rPr>
        <w:footnoteRef/>
      </w:r>
      <w:r>
        <w:t xml:space="preserve"> </w:t>
      </w:r>
      <w:r>
        <w:t xml:space="preserve">Klein 2026, PMID 42815506.</w:t>
      </w:r>
    </w:p>
  </w:footnote>
  <w:footnote w:id="878">
    <w:p>
      <w:pPr>
        <w:pStyle w:val="FootnoteText"/>
      </w:pPr>
      <w:r>
        <w:rPr>
          <w:rStyle w:val="FootnoteReference"/>
        </w:rPr>
        <w:footnoteRef/>
      </w:r>
      <w:r>
        <w:t xml:space="preserve"> </w:t>
      </w:r>
      <w:r>
        <w:t xml:space="preserve">NCT07241390.</w:t>
      </w:r>
    </w:p>
  </w:footnote>
  <w:footnote w:id="879">
    <w:p>
      <w:pPr>
        <w:pStyle w:val="FootnoteText"/>
      </w:pPr>
      <w:r>
        <w:rPr>
          <w:rStyle w:val="FootnoteReference"/>
        </w:rPr>
        <w:footnoteRef/>
      </w:r>
      <w:r>
        <w:t xml:space="preserve"> </w:t>
      </w:r>
      <w:r>
        <w:t xml:space="preserve">Wharton 2026, PMID 42338042.</w:t>
      </w:r>
    </w:p>
  </w:footnote>
  <w:footnote w:id="882">
    <w:p>
      <w:pPr>
        <w:pStyle w:val="FootnoteText"/>
      </w:pPr>
      <w:r>
        <w:rPr>
          <w:rStyle w:val="FootnoteReference"/>
        </w:rPr>
        <w:footnoteRef/>
      </w:r>
      <w:r>
        <w:t xml:space="preserve"> </w:t>
      </w:r>
      <w:r>
        <w:t xml:space="preserve">NCT07223593.</w:t>
      </w:r>
    </w:p>
  </w:footnote>
  <w:footnote w:id="883">
    <w:p>
      <w:pPr>
        <w:pStyle w:val="FootnoteText"/>
      </w:pPr>
      <w:r>
        <w:rPr>
          <w:rStyle w:val="FootnoteReference"/>
        </w:rPr>
        <w:footnoteRef/>
      </w:r>
      <w:r>
        <w:t xml:space="preserve"> </w:t>
      </w:r>
      <w:r>
        <w:t xml:space="preserve">NCT06948422, NCT06948435, NCT06952530.</w:t>
      </w:r>
    </w:p>
  </w:footnote>
  <w:footnote w:id="884">
    <w:p>
      <w:pPr>
        <w:pStyle w:val="FootnoteText"/>
      </w:pPr>
      <w:r>
        <w:rPr>
          <w:rStyle w:val="FootnoteReference"/>
        </w:rPr>
        <w:footnoteRef/>
      </w:r>
      <w:r>
        <w:t xml:space="preserve"> </w:t>
      </w:r>
      <w:r>
        <w:t xml:space="preserve">NCT07153471.</w:t>
      </w:r>
    </w:p>
  </w:footnote>
  <w:footnote w:id="885">
    <w:p>
      <w:pPr>
        <w:pStyle w:val="FootnoteText"/>
      </w:pPr>
      <w:r>
        <w:rPr>
          <w:rStyle w:val="FootnoteReference"/>
        </w:rPr>
        <w:footnoteRef/>
      </w:r>
      <w:r>
        <w:t xml:space="preserve"> </w:t>
      </w:r>
      <w:r>
        <w:t xml:space="preserve">NCT07202884.</w:t>
      </w:r>
    </w:p>
  </w:footnote>
  <w:footnote w:id="886">
    <w:p>
      <w:pPr>
        <w:pStyle w:val="FootnoteText"/>
      </w:pPr>
      <w:r>
        <w:rPr>
          <w:rStyle w:val="FootnoteReference"/>
        </w:rPr>
        <w:footnoteRef/>
      </w:r>
      <w:r>
        <w:t xml:space="preserve"> </w:t>
      </w:r>
      <w:r>
        <w:t xml:space="preserve">NCT06672939.</w:t>
      </w:r>
    </w:p>
  </w:footnote>
  <w:footnote w:id="887">
    <w:p>
      <w:pPr>
        <w:pStyle w:val="FootnoteText"/>
      </w:pPr>
      <w:r>
        <w:rPr>
          <w:rStyle w:val="FootnoteReference"/>
        </w:rPr>
        <w:footnoteRef/>
      </w:r>
      <w:r>
        <w:t xml:space="preserve"> </w:t>
      </w:r>
      <w:r>
        <w:t xml:space="preserve">NCT07668336.</w:t>
      </w:r>
    </w:p>
  </w:footnote>
  <w:footnote w:id="888">
    <w:p>
      <w:pPr>
        <w:pStyle w:val="FootnoteText"/>
      </w:pPr>
      <w:r>
        <w:rPr>
          <w:rStyle w:val="FootnoteReference"/>
        </w:rPr>
        <w:footnoteRef/>
      </w:r>
      <w:r>
        <w:t xml:space="preserve"> </w:t>
      </w:r>
      <w:r>
        <w:t xml:space="preserve">NCT06649045.</w:t>
      </w:r>
    </w:p>
  </w:footnote>
  <w:footnote w:id="896">
    <w:p>
      <w:pPr>
        <w:pStyle w:val="FootnoteText"/>
      </w:pPr>
      <w:r>
        <w:rPr>
          <w:rStyle w:val="FootnoteReference"/>
        </w:rPr>
        <w:footnoteRef/>
      </w:r>
      <w:r>
        <w:t xml:space="preserve"> </w:t>
      </w:r>
      <w:r>
        <w:t xml:space="preserve">Cox 2017, PMID 28035768.</w:t>
      </w:r>
    </w:p>
  </w:footnote>
  <w:footnote w:id="898">
    <w:p>
      <w:pPr>
        <w:pStyle w:val="FootnoteText"/>
      </w:pPr>
      <w:r>
        <w:rPr>
          <w:rStyle w:val="FootnoteReference"/>
        </w:rPr>
        <w:footnoteRef/>
      </w:r>
      <w:r>
        <w:t xml:space="preserve"> </w:t>
      </w:r>
      <w:r>
        <w:t xml:space="preserve">Hsieh 2017, PMID 27847966.</w:t>
      </w:r>
    </w:p>
  </w:footnote>
  <w:footnote w:id="899">
    <w:p>
      <w:pPr>
        <w:pStyle w:val="FootnoteText"/>
      </w:pPr>
      <w:r>
        <w:rPr>
          <w:rStyle w:val="FootnoteReference"/>
        </w:rPr>
        <w:footnoteRef/>
      </w:r>
      <w:r>
        <w:t xml:space="preserve"> </w:t>
      </w:r>
      <w:r>
        <w:t xml:space="preserve">Zhang 2026, PMID 41606641.</w:t>
      </w:r>
    </w:p>
  </w:footnote>
  <w:footnote w:id="900">
    <w:p>
      <w:pPr>
        <w:pStyle w:val="FootnoteText"/>
      </w:pPr>
      <w:r>
        <w:rPr>
          <w:rStyle w:val="FootnoteReference"/>
        </w:rPr>
        <w:footnoteRef/>
      </w:r>
      <w:r>
        <w:t xml:space="preserve"> </w:t>
      </w:r>
      <w:r>
        <w:t xml:space="preserve">Chang 2011, PMID 21030672.</w:t>
      </w:r>
    </w:p>
  </w:footnote>
  <w:footnote w:id="901">
    <w:p>
      <w:pPr>
        <w:pStyle w:val="FootnoteText"/>
      </w:pPr>
      <w:r>
        <w:rPr>
          <w:rStyle w:val="FootnoteReference"/>
        </w:rPr>
        <w:footnoteRef/>
      </w:r>
      <w:r>
        <w:t xml:space="preserve"> </w:t>
      </w:r>
      <w:r>
        <w:t xml:space="preserve">Chang 2014, PMID 25415472.</w:t>
      </w:r>
    </w:p>
  </w:footnote>
  <w:footnote w:id="902">
    <w:p>
      <w:pPr>
        <w:pStyle w:val="FootnoteText"/>
      </w:pPr>
      <w:r>
        <w:rPr>
          <w:rStyle w:val="FootnoteReference"/>
        </w:rPr>
        <w:footnoteRef/>
      </w:r>
      <w:r>
        <w:t xml:space="preserve"> </w:t>
      </w:r>
      <w:r>
        <w:t xml:space="preserve">Sikiric 2025, PMID 40573323.</w:t>
      </w:r>
    </w:p>
  </w:footnote>
  <w:footnote w:id="903">
    <w:p>
      <w:pPr>
        <w:pStyle w:val="FootnoteText"/>
      </w:pPr>
      <w:r>
        <w:rPr>
          <w:rStyle w:val="FootnoteReference"/>
        </w:rPr>
        <w:footnoteRef/>
      </w:r>
      <w:r>
        <w:t xml:space="preserve"> </w:t>
      </w:r>
      <w:r>
        <w:t xml:space="preserve">Mateescu 2026, PMID 42198317.</w:t>
      </w:r>
    </w:p>
  </w:footnote>
  <w:footnote w:id="905">
    <w:p>
      <w:pPr>
        <w:pStyle w:val="FootnoteText"/>
      </w:pPr>
      <w:r>
        <w:rPr>
          <w:rStyle w:val="FootnoteReference"/>
        </w:rPr>
        <w:footnoteRef/>
      </w:r>
      <w:r>
        <w:t xml:space="preserve"> </w:t>
      </w:r>
      <w:r>
        <w:t xml:space="preserve">Poolton 2026, PMID 42885452.</w:t>
      </w:r>
    </w:p>
  </w:footnote>
  <w:footnote w:id="906">
    <w:p>
      <w:pPr>
        <w:pStyle w:val="FootnoteText"/>
      </w:pPr>
      <w:r>
        <w:rPr>
          <w:rStyle w:val="FootnoteReference"/>
        </w:rPr>
        <w:footnoteRef/>
      </w:r>
      <w:r>
        <w:t xml:space="preserve"> </w:t>
      </w:r>
      <w:r>
        <w:t xml:space="preserve">Lee 2021, PMID 34324435.</w:t>
      </w:r>
    </w:p>
  </w:footnote>
  <w:footnote w:id="907">
    <w:p>
      <w:pPr>
        <w:pStyle w:val="FootnoteText"/>
      </w:pPr>
      <w:r>
        <w:rPr>
          <w:rStyle w:val="FootnoteReference"/>
        </w:rPr>
        <w:footnoteRef/>
      </w:r>
      <w:r>
        <w:t xml:space="preserve"> </w:t>
      </w:r>
      <w:r>
        <w:t xml:space="preserve">Lee 2024, PMID 39325560.</w:t>
      </w:r>
    </w:p>
  </w:footnote>
  <w:footnote w:id="908">
    <w:p>
      <w:pPr>
        <w:pStyle w:val="FootnoteText"/>
      </w:pPr>
      <w:r>
        <w:rPr>
          <w:rStyle w:val="FootnoteReference"/>
        </w:rPr>
        <w:footnoteRef/>
      </w:r>
      <w:r>
        <w:t xml:space="preserve"> </w:t>
      </w:r>
      <w:r>
        <w:t xml:space="preserve">Lee 2025, PMID 40131143.</w:t>
      </w:r>
    </w:p>
  </w:footnote>
  <w:footnote w:id="909">
    <w:p>
      <w:pPr>
        <w:pStyle w:val="FootnoteText"/>
      </w:pPr>
      <w:r>
        <w:rPr>
          <w:rStyle w:val="FootnoteReference"/>
        </w:rPr>
        <w:footnoteRef/>
      </w:r>
      <w:r>
        <w:t xml:space="preserve"> </w:t>
      </w:r>
      <w:r>
        <w:t xml:space="preserve">Poolton 2026, PMID 42885452.</w:t>
      </w:r>
    </w:p>
  </w:footnote>
  <w:footnote w:id="910">
    <w:p>
      <w:pPr>
        <w:pStyle w:val="FootnoteText"/>
      </w:pPr>
      <w:r>
        <w:rPr>
          <w:rStyle w:val="FootnoteReference"/>
        </w:rPr>
        <w:footnoteRef/>
      </w:r>
      <w:r>
        <w:t xml:space="preserve"> </w:t>
      </w:r>
      <w:r>
        <w:t xml:space="preserve">Vasireddi 2025, PMID 40756949.</w:t>
      </w:r>
    </w:p>
  </w:footnote>
  <w:footnote w:id="911">
    <w:p>
      <w:pPr>
        <w:pStyle w:val="FootnoteText"/>
      </w:pPr>
      <w:r>
        <w:rPr>
          <w:rStyle w:val="FootnoteReference"/>
        </w:rPr>
        <w:footnoteRef/>
      </w:r>
      <w:r>
        <w:t xml:space="preserve"> </w:t>
      </w:r>
      <w:r>
        <w:t xml:space="preserve">Tham 2026, PMID 42937313; Tewari 2026, PMID 42578445.</w:t>
      </w:r>
    </w:p>
  </w:footnote>
  <w:footnote w:id="913">
    <w:p>
      <w:pPr>
        <w:pStyle w:val="FootnoteText"/>
      </w:pPr>
      <w:r>
        <w:rPr>
          <w:rStyle w:val="FootnoteReference"/>
        </w:rPr>
        <w:footnoteRef/>
      </w:r>
      <w:r>
        <w:t xml:space="preserve"> </w:t>
      </w:r>
      <w:r>
        <w:t xml:space="preserve">Staresinic 2003, PMID 14554208.</w:t>
      </w:r>
    </w:p>
  </w:footnote>
  <w:footnote w:id="914">
    <w:p>
      <w:pPr>
        <w:pStyle w:val="FootnoteText"/>
      </w:pPr>
      <w:r>
        <w:rPr>
          <w:rStyle w:val="FootnoteReference"/>
        </w:rPr>
        <w:footnoteRef/>
      </w:r>
      <w:r>
        <w:t xml:space="preserve"> </w:t>
      </w:r>
      <w:r>
        <w:t xml:space="preserve">Seiwerth 2021, PMID 34267654.</w:t>
      </w:r>
    </w:p>
  </w:footnote>
  <w:footnote w:id="915">
    <w:p>
      <w:pPr>
        <w:pStyle w:val="FootnoteText"/>
      </w:pPr>
      <w:r>
        <w:rPr>
          <w:rStyle w:val="FootnoteReference"/>
        </w:rPr>
        <w:footnoteRef/>
      </w:r>
      <w:r>
        <w:t xml:space="preserve"> </w:t>
      </w:r>
      <w:r>
        <w:t xml:space="preserve">NCT02637284.</w:t>
      </w:r>
    </w:p>
  </w:footnote>
  <w:footnote w:id="918">
    <w:p>
      <w:pPr>
        <w:pStyle w:val="FootnoteText"/>
      </w:pPr>
      <w:r>
        <w:rPr>
          <w:rStyle w:val="FootnoteReference"/>
        </w:rPr>
        <w:footnoteRef/>
      </w:r>
      <w:r>
        <w:t xml:space="preserve"> </w:t>
      </w:r>
      <w:r>
        <w:t xml:space="preserve">Gwyer 2019, PMID 30915550.</w:t>
      </w:r>
    </w:p>
  </w:footnote>
  <w:footnote w:id="919">
    <w:p>
      <w:pPr>
        <w:pStyle w:val="FootnoteText"/>
      </w:pPr>
      <w:r>
        <w:rPr>
          <w:rStyle w:val="FootnoteReference"/>
        </w:rPr>
        <w:footnoteRef/>
      </w:r>
      <w:r>
        <w:t xml:space="preserve"> </w:t>
      </w:r>
      <w:r>
        <w:t xml:space="preserve">Demirtaş 2026, PMID 42794771.</w:t>
      </w:r>
    </w:p>
  </w:footnote>
  <w:footnote w:id="920">
    <w:p>
      <w:pPr>
        <w:pStyle w:val="FootnoteText"/>
      </w:pPr>
      <w:r>
        <w:rPr>
          <w:rStyle w:val="FootnoteReference"/>
        </w:rPr>
        <w:footnoteRef/>
      </w:r>
      <w:r>
        <w:t xml:space="preserve"> </w:t>
      </w:r>
      <w:r>
        <w:t xml:space="preserve">Whitehouse 2025, PMID 40759852.</w:t>
      </w:r>
    </w:p>
  </w:footnote>
  <w:footnote w:id="923">
    <w:p>
      <w:pPr>
        <w:pStyle w:val="FootnoteText"/>
      </w:pPr>
      <w:r>
        <w:rPr>
          <w:rStyle w:val="FootnoteReference"/>
        </w:rPr>
        <w:footnoteRef/>
      </w:r>
      <w:r>
        <w:t xml:space="preserve"> </w:t>
      </w:r>
      <w:r>
        <w:t xml:space="preserve">He 2022, PMID 36588717.</w:t>
      </w:r>
    </w:p>
  </w:footnote>
  <w:footnote w:id="924">
    <w:p>
      <w:pPr>
        <w:pStyle w:val="FootnoteText"/>
      </w:pPr>
      <w:r>
        <w:rPr>
          <w:rStyle w:val="FootnoteReference"/>
        </w:rPr>
        <w:footnoteRef/>
      </w:r>
      <w:r>
        <w:t xml:space="preserve"> </w:t>
      </w:r>
      <w:r>
        <w:t xml:space="preserve">Xu 2020, PMID 32334036.</w:t>
      </w:r>
    </w:p>
  </w:footnote>
  <w:footnote w:id="927">
    <w:p>
      <w:pPr>
        <w:pStyle w:val="FootnoteText"/>
      </w:pPr>
      <w:r>
        <w:rPr>
          <w:rStyle w:val="FootnoteReference"/>
        </w:rPr>
        <w:footnoteRef/>
      </w:r>
      <w:r>
        <w:t xml:space="preserve"> </w:t>
      </w:r>
      <w:r>
        <w:t xml:space="preserve">Poolton 2026, PMID 42885452.</w:t>
      </w:r>
    </w:p>
  </w:footnote>
  <w:footnote w:id="929">
    <w:p>
      <w:pPr>
        <w:pStyle w:val="FootnoteText"/>
      </w:pPr>
      <w:r>
        <w:rPr>
          <w:rStyle w:val="FootnoteReference"/>
        </w:rPr>
        <w:footnoteRef/>
      </w:r>
      <w:r>
        <w:t xml:space="preserve"> </w:t>
      </w:r>
      <w:r>
        <w:t xml:space="preserve">Hsieh 2017, PMID 27847966.</w:t>
      </w:r>
    </w:p>
  </w:footnote>
  <w:footnote w:id="930">
    <w:p>
      <w:pPr>
        <w:pStyle w:val="FootnoteText"/>
      </w:pPr>
      <w:r>
        <w:rPr>
          <w:rStyle w:val="FootnoteReference"/>
        </w:rPr>
        <w:footnoteRef/>
      </w:r>
      <w:r>
        <w:t xml:space="preserve"> </w:t>
      </w:r>
      <w:r>
        <w:t xml:space="preserve">Moiz 2026, PMID 42757290.</w:t>
      </w:r>
    </w:p>
  </w:footnote>
  <w:footnote w:id="931">
    <w:p>
      <w:pPr>
        <w:pStyle w:val="FootnoteText"/>
      </w:pPr>
      <w:r>
        <w:rPr>
          <w:rStyle w:val="FootnoteReference"/>
        </w:rPr>
        <w:footnoteRef/>
      </w:r>
      <w:r>
        <w:t xml:space="preserve"> </w:t>
      </w:r>
      <w:r>
        <w:t xml:space="preserve">Sikiric 2025, PMID 40573323.</w:t>
      </w:r>
    </w:p>
  </w:footnote>
  <w:footnote w:id="933">
    <w:p>
      <w:pPr>
        <w:pStyle w:val="FootnoteText"/>
      </w:pPr>
      <w:r>
        <w:rPr>
          <w:rStyle w:val="FootnoteReference"/>
        </w:rPr>
        <w:footnoteRef/>
      </w:r>
      <w:r>
        <w:t xml:space="preserve"> </w:t>
      </w:r>
      <w:r>
        <w:t xml:space="preserve">Tham 2026, PMID 42937313; Mendias 2026, PMID 41966639.</w:t>
      </w:r>
    </w:p>
  </w:footnote>
  <w:footnote w:id="934">
    <w:p>
      <w:pPr>
        <w:pStyle w:val="FootnoteText"/>
      </w:pPr>
      <w:r>
        <w:rPr>
          <w:rStyle w:val="FootnoteReference"/>
        </w:rPr>
        <w:footnoteRef/>
      </w:r>
      <w:r>
        <w:t xml:space="preserve"> </w:t>
      </w:r>
      <w:r>
        <w:t xml:space="preserve">Cox 2017, PMID 28035768.</w:t>
      </w:r>
    </w:p>
  </w:footnote>
  <w:footnote w:id="936">
    <w:p>
      <w:pPr>
        <w:pStyle w:val="FootnoteText"/>
      </w:pPr>
      <w:r>
        <w:rPr>
          <w:rStyle w:val="FootnoteReference"/>
        </w:rPr>
        <w:footnoteRef/>
      </w:r>
      <w:r>
        <w:t xml:space="preserve"> </w:t>
      </w:r>
      <w:r>
        <w:t xml:space="preserve">Sikiric 2025, PMID 40573323.</w:t>
      </w:r>
    </w:p>
  </w:footnote>
  <w:footnote w:id="937">
    <w:p>
      <w:pPr>
        <w:pStyle w:val="FootnoteText"/>
      </w:pPr>
      <w:r>
        <w:rPr>
          <w:rStyle w:val="FootnoteReference"/>
        </w:rPr>
        <w:footnoteRef/>
      </w:r>
      <w:r>
        <w:t xml:space="preserve"> </w:t>
      </w:r>
      <w:r>
        <w:t xml:space="preserve">Mendias 2026, PMID 41966639.</w:t>
      </w:r>
    </w:p>
  </w:footnote>
  <w:footnote w:id="940">
    <w:p>
      <w:pPr>
        <w:pStyle w:val="FootnoteText"/>
      </w:pPr>
      <w:r>
        <w:rPr>
          <w:rStyle w:val="FootnoteReference"/>
        </w:rPr>
        <w:footnoteRef/>
      </w:r>
      <w:r>
        <w:t xml:space="preserve"> </w:t>
      </w:r>
      <w:r>
        <w:t xml:space="preserve">Willis 2026, PMID 42752426.</w:t>
      </w:r>
    </w:p>
  </w:footnote>
  <w:footnote w:id="941">
    <w:p>
      <w:pPr>
        <w:pStyle w:val="FootnoteText"/>
      </w:pPr>
      <w:r>
        <w:rPr>
          <w:rStyle w:val="FootnoteReference"/>
        </w:rPr>
        <w:footnoteRef/>
      </w:r>
      <w:r>
        <w:t xml:space="preserve"> </w:t>
      </w:r>
      <w:r>
        <w:t xml:space="preserve">Józwiak 2025, PMID 40005999.</w:t>
      </w:r>
    </w:p>
  </w:footnote>
  <w:footnote w:id="942">
    <w:p>
      <w:pPr>
        <w:pStyle w:val="FootnoteText"/>
      </w:pPr>
      <w:r>
        <w:rPr>
          <w:rStyle w:val="FootnoteReference"/>
        </w:rPr>
        <w:footnoteRef/>
      </w:r>
      <w:r>
        <w:t xml:space="preserve"> </w:t>
      </w:r>
      <w:r>
        <w:t xml:space="preserve">Tian 2023, PMID 37959764.</w:t>
      </w:r>
    </w:p>
  </w:footnote>
  <w:footnote w:id="944">
    <w:p>
      <w:pPr>
        <w:pStyle w:val="FootnoteText"/>
      </w:pPr>
      <w:r>
        <w:rPr>
          <w:rStyle w:val="FootnoteReference"/>
        </w:rPr>
        <w:footnoteRef/>
      </w:r>
      <w:r>
        <w:t xml:space="preserve"> </w:t>
      </w:r>
      <w:r>
        <w:t xml:space="preserve">NCT07437547.</w:t>
      </w:r>
    </w:p>
  </w:footnote>
  <w:footnote w:id="945">
    <w:p>
      <w:pPr>
        <w:pStyle w:val="FootnoteText"/>
      </w:pPr>
      <w:r>
        <w:rPr>
          <w:rStyle w:val="FootnoteReference"/>
        </w:rPr>
        <w:footnoteRef/>
      </w:r>
      <w:r>
        <w:t xml:space="preserve"> </w:t>
      </w:r>
      <w:r>
        <w:t xml:space="preserve">NCT07487363.</w:t>
      </w:r>
    </w:p>
  </w:footnote>
  <w:footnote w:id="946">
    <w:p>
      <w:pPr>
        <w:pStyle w:val="FootnoteText"/>
      </w:pPr>
      <w:r>
        <w:rPr>
          <w:rStyle w:val="FootnoteReference"/>
        </w:rPr>
        <w:footnoteRef/>
      </w:r>
      <w:r>
        <w:t xml:space="preserve"> </w:t>
      </w:r>
      <w:r>
        <w:t xml:space="preserve">NCT07803250.</w:t>
      </w:r>
    </w:p>
  </w:footnote>
  <w:footnote w:id="947">
    <w:p>
      <w:pPr>
        <w:pStyle w:val="FootnoteText"/>
      </w:pPr>
      <w:r>
        <w:rPr>
          <w:rStyle w:val="FootnoteReference"/>
        </w:rPr>
        <w:footnoteRef/>
      </w:r>
      <w:r>
        <w:t xml:space="preserve"> </w:t>
      </w:r>
      <w:r>
        <w:t xml:space="preserve">NCT07752381.</w:t>
      </w:r>
    </w:p>
  </w:footnote>
  <w:footnote w:id="948">
    <w:p>
      <w:pPr>
        <w:pStyle w:val="FootnoteText"/>
      </w:pPr>
      <w:r>
        <w:rPr>
          <w:rStyle w:val="FootnoteReference"/>
        </w:rPr>
        <w:footnoteRef/>
      </w:r>
      <w:r>
        <w:t xml:space="preserve"> </w:t>
      </w:r>
      <w:r>
        <w:t xml:space="preserve">Mateescu 2026, PMID 42198317.</w:t>
      </w:r>
    </w:p>
  </w:footnote>
  <w:footnote w:id="950">
    <w:p>
      <w:pPr>
        <w:pStyle w:val="FootnoteText"/>
      </w:pPr>
      <w:r>
        <w:rPr>
          <w:rStyle w:val="FootnoteReference"/>
        </w:rPr>
        <w:footnoteRef/>
      </w:r>
      <w:r>
        <w:t xml:space="preserve"> </w:t>
      </w:r>
      <w:r>
        <w:t xml:space="preserve">Poolton 2026, PMID 42885452.</w:t>
      </w:r>
    </w:p>
  </w:footnote>
  <w:footnote w:id="951">
    <w:p>
      <w:pPr>
        <w:pStyle w:val="FootnoteText"/>
      </w:pPr>
      <w:r>
        <w:rPr>
          <w:rStyle w:val="FootnoteReference"/>
        </w:rPr>
        <w:footnoteRef/>
      </w:r>
      <w:r>
        <w:t xml:space="preserve"> </w:t>
      </w:r>
      <w:r>
        <w:t xml:space="preserve">NCT07803250.</w:t>
      </w:r>
    </w:p>
  </w:footnote>
  <w:footnote w:id="954">
    <w:p>
      <w:pPr>
        <w:pStyle w:val="FootnoteText"/>
      </w:pPr>
      <w:r>
        <w:rPr>
          <w:rStyle w:val="FootnoteReference"/>
        </w:rPr>
        <w:footnoteRef/>
      </w:r>
      <w:r>
        <w:t xml:space="preserve"> </w:t>
      </w:r>
      <w:r>
        <w:t xml:space="preserve">Esposito 2012, PMID 22962027.</w:t>
      </w:r>
    </w:p>
  </w:footnote>
  <w:footnote w:id="956">
    <w:p>
      <w:pPr>
        <w:pStyle w:val="FootnoteText"/>
      </w:pPr>
      <w:r>
        <w:rPr>
          <w:rStyle w:val="FootnoteReference"/>
        </w:rPr>
        <w:footnoteRef/>
      </w:r>
      <w:r>
        <w:t xml:space="preserve"> </w:t>
      </w:r>
      <w:r>
        <w:t xml:space="preserve">Sosne 2010, PMID 20179146.</w:t>
      </w:r>
    </w:p>
  </w:footnote>
  <w:footnote w:id="957">
    <w:p>
      <w:pPr>
        <w:pStyle w:val="FootnoteText"/>
      </w:pPr>
      <w:r>
        <w:rPr>
          <w:rStyle w:val="FootnoteReference"/>
        </w:rPr>
        <w:footnoteRef/>
      </w:r>
      <w:r>
        <w:t xml:space="preserve"> </w:t>
      </w:r>
      <w:r>
        <w:t xml:space="preserve">Philp 2003, PMID 14500546.</w:t>
      </w:r>
    </w:p>
  </w:footnote>
  <w:footnote w:id="958">
    <w:p>
      <w:pPr>
        <w:pStyle w:val="FootnoteText"/>
      </w:pPr>
      <w:r>
        <w:rPr>
          <w:rStyle w:val="FootnoteReference"/>
        </w:rPr>
        <w:footnoteRef/>
      </w:r>
      <w:r>
        <w:t xml:space="preserve"> </w:t>
      </w:r>
      <w:r>
        <w:t xml:space="preserve">Rahaman 2024, PMID 38382158.</w:t>
      </w:r>
    </w:p>
  </w:footnote>
  <w:footnote w:id="959">
    <w:p>
      <w:pPr>
        <w:pStyle w:val="FootnoteText"/>
      </w:pPr>
      <w:r>
        <w:rPr>
          <w:rStyle w:val="FootnoteReference"/>
        </w:rPr>
        <w:footnoteRef/>
      </w:r>
      <w:r>
        <w:t xml:space="preserve"> </w:t>
      </w:r>
      <w:r>
        <w:t xml:space="preserve">Tham 2026, PMID 42937313.</w:t>
      </w:r>
    </w:p>
  </w:footnote>
  <w:footnote w:id="961">
    <w:p>
      <w:pPr>
        <w:pStyle w:val="FootnoteText"/>
      </w:pPr>
      <w:r>
        <w:rPr>
          <w:rStyle w:val="FootnoteReference"/>
        </w:rPr>
        <w:footnoteRef/>
      </w:r>
      <w:r>
        <w:t xml:space="preserve"> </w:t>
      </w:r>
      <w:r>
        <w:t xml:space="preserve">Sosne 2015, PMID 25826322.</w:t>
      </w:r>
    </w:p>
  </w:footnote>
  <w:footnote w:id="962">
    <w:p>
      <w:pPr>
        <w:pStyle w:val="FootnoteText"/>
      </w:pPr>
      <w:r>
        <w:rPr>
          <w:rStyle w:val="FootnoteReference"/>
        </w:rPr>
        <w:footnoteRef/>
      </w:r>
      <w:r>
        <w:t xml:space="preserve"> </w:t>
      </w:r>
      <w:r>
        <w:t xml:space="preserve">Sosne 2015, PMID 26056426.</w:t>
      </w:r>
    </w:p>
  </w:footnote>
  <w:footnote w:id="963">
    <w:p>
      <w:pPr>
        <w:pStyle w:val="FootnoteText"/>
      </w:pPr>
      <w:r>
        <w:rPr>
          <w:rStyle w:val="FootnoteReference"/>
        </w:rPr>
        <w:footnoteRef/>
      </w:r>
      <w:r>
        <w:t xml:space="preserve"> </w:t>
      </w:r>
      <w:r>
        <w:t xml:space="preserve">NCT02974907; NCT03937882.</w:t>
      </w:r>
    </w:p>
  </w:footnote>
  <w:footnote w:id="964">
    <w:p>
      <w:pPr>
        <w:pStyle w:val="FootnoteText"/>
      </w:pPr>
      <w:r>
        <w:rPr>
          <w:rStyle w:val="FootnoteReference"/>
        </w:rPr>
        <w:footnoteRef/>
      </w:r>
      <w:r>
        <w:t xml:space="preserve"> </w:t>
      </w:r>
      <w:r>
        <w:t xml:space="preserve">Sosne 2022, PMID 36613994.</w:t>
      </w:r>
    </w:p>
  </w:footnote>
  <w:footnote w:id="965">
    <w:p>
      <w:pPr>
        <w:pStyle w:val="FootnoteText"/>
      </w:pPr>
      <w:r>
        <w:rPr>
          <w:rStyle w:val="FootnoteReference"/>
        </w:rPr>
        <w:footnoteRef/>
      </w:r>
      <w:r>
        <w:t xml:space="preserve"> </w:t>
      </w:r>
      <w:r>
        <w:t xml:space="preserve">Kruoch 2025, PMID 41347649.</w:t>
      </w:r>
    </w:p>
  </w:footnote>
  <w:footnote w:id="967">
    <w:p>
      <w:pPr>
        <w:pStyle w:val="FootnoteText"/>
      </w:pPr>
      <w:r>
        <w:rPr>
          <w:rStyle w:val="FootnoteReference"/>
        </w:rPr>
        <w:footnoteRef/>
      </w:r>
      <w:r>
        <w:t xml:space="preserve"> </w:t>
      </w:r>
      <w:r>
        <w:t xml:space="preserve">Zhang 2025, PMID 41229390.</w:t>
      </w:r>
    </w:p>
  </w:footnote>
  <w:footnote w:id="969">
    <w:p>
      <w:pPr>
        <w:pStyle w:val="FootnoteText"/>
      </w:pPr>
      <w:r>
        <w:rPr>
          <w:rStyle w:val="FootnoteReference"/>
        </w:rPr>
        <w:footnoteRef/>
      </w:r>
      <w:r>
        <w:t xml:space="preserve"> </w:t>
      </w:r>
      <w:r>
        <w:t xml:space="preserve">Guarnera 2010, PMID 20536470.</w:t>
      </w:r>
    </w:p>
  </w:footnote>
  <w:footnote w:id="970">
    <w:p>
      <w:pPr>
        <w:pStyle w:val="FootnoteText"/>
      </w:pPr>
      <w:r>
        <w:rPr>
          <w:rStyle w:val="FootnoteReference"/>
        </w:rPr>
        <w:footnoteRef/>
      </w:r>
      <w:r>
        <w:t xml:space="preserve"> </w:t>
      </w:r>
      <w:r>
        <w:t xml:space="preserve">NCT00311766.</w:t>
      </w:r>
    </w:p>
  </w:footnote>
  <w:footnote w:id="972">
    <w:p>
      <w:pPr>
        <w:pStyle w:val="FootnoteText"/>
      </w:pPr>
      <w:r>
        <w:rPr>
          <w:rStyle w:val="FootnoteReference"/>
        </w:rPr>
        <w:footnoteRef/>
      </w:r>
      <w:r>
        <w:t xml:space="preserve"> </w:t>
      </w:r>
      <w:r>
        <w:t xml:space="preserve">NCT07487363.</w:t>
      </w:r>
    </w:p>
  </w:footnote>
  <w:footnote w:id="973">
    <w:p>
      <w:pPr>
        <w:pStyle w:val="FootnoteText"/>
      </w:pPr>
      <w:r>
        <w:rPr>
          <w:rStyle w:val="FootnoteReference"/>
        </w:rPr>
        <w:footnoteRef/>
      </w:r>
      <w:r>
        <w:t xml:space="preserve"> </w:t>
      </w:r>
      <w:r>
        <w:t xml:space="preserve">Lee 2021, PMID 34324435.</w:t>
      </w:r>
    </w:p>
  </w:footnote>
  <w:footnote w:id="976">
    <w:p>
      <w:pPr>
        <w:pStyle w:val="FootnoteText"/>
      </w:pPr>
      <w:r>
        <w:rPr>
          <w:rStyle w:val="FootnoteReference"/>
        </w:rPr>
        <w:footnoteRef/>
      </w:r>
      <w:r>
        <w:t xml:space="preserve"> </w:t>
      </w:r>
      <w:r>
        <w:t xml:space="preserve">Bock-Marquette 2004, PMID 15565145.</w:t>
      </w:r>
    </w:p>
  </w:footnote>
  <w:footnote w:id="977">
    <w:p>
      <w:pPr>
        <w:pStyle w:val="FootnoteText"/>
      </w:pPr>
      <w:r>
        <w:rPr>
          <w:rStyle w:val="FootnoteReference"/>
        </w:rPr>
        <w:footnoteRef/>
      </w:r>
      <w:r>
        <w:t xml:space="preserve"> </w:t>
      </w:r>
      <w:r>
        <w:t xml:space="preserve">Smart 2007, PMID 17108969.</w:t>
      </w:r>
    </w:p>
  </w:footnote>
  <w:footnote w:id="978">
    <w:p>
      <w:pPr>
        <w:pStyle w:val="FootnoteText"/>
      </w:pPr>
      <w:r>
        <w:rPr>
          <w:rStyle w:val="FootnoteReference"/>
        </w:rPr>
        <w:footnoteRef/>
      </w:r>
      <w:r>
        <w:t xml:space="preserve"> </w:t>
      </w:r>
      <w:r>
        <w:t xml:space="preserve">Kispert 2012, PMID 22019445.</w:t>
      </w:r>
    </w:p>
  </w:footnote>
  <w:footnote w:id="979">
    <w:p>
      <w:pPr>
        <w:pStyle w:val="FootnoteText"/>
      </w:pPr>
      <w:r>
        <w:rPr>
          <w:rStyle w:val="FootnoteReference"/>
        </w:rPr>
        <w:footnoteRef/>
      </w:r>
      <w:r>
        <w:t xml:space="preserve"> </w:t>
      </w:r>
      <w:r>
        <w:t xml:space="preserve">Tao 2024, PMID 38757041.</w:t>
      </w:r>
    </w:p>
  </w:footnote>
  <w:footnote w:id="980">
    <w:p>
      <w:pPr>
        <w:pStyle w:val="FootnoteText"/>
      </w:pPr>
      <w:r>
        <w:rPr>
          <w:rStyle w:val="FootnoteReference"/>
        </w:rPr>
        <w:footnoteRef/>
      </w:r>
      <w:r>
        <w:t xml:space="preserve"> </w:t>
      </w:r>
      <w:r>
        <w:t xml:space="preserve">Brady 2014, PMID 25042765.</w:t>
      </w:r>
    </w:p>
  </w:footnote>
  <w:footnote w:id="981">
    <w:p>
      <w:pPr>
        <w:pStyle w:val="FootnoteText"/>
      </w:pPr>
      <w:r>
        <w:rPr>
          <w:rStyle w:val="FootnoteReference"/>
        </w:rPr>
        <w:footnoteRef/>
      </w:r>
      <w:r>
        <w:t xml:space="preserve"> </w:t>
      </w:r>
      <w:r>
        <w:t xml:space="preserve">Tham 2026, PMID 42937313.</w:t>
      </w:r>
    </w:p>
  </w:footnote>
  <w:footnote w:id="982">
    <w:p>
      <w:pPr>
        <w:pStyle w:val="FootnoteText"/>
      </w:pPr>
      <w:r>
        <w:rPr>
          <w:rStyle w:val="FootnoteReference"/>
        </w:rPr>
        <w:footnoteRef/>
      </w:r>
      <w:r>
        <w:t xml:space="preserve"> </w:t>
      </w:r>
      <w:r>
        <w:t xml:space="preserve">Biçer 2026, PMID 42542926.</w:t>
      </w:r>
    </w:p>
  </w:footnote>
  <w:footnote w:id="984">
    <w:p>
      <w:pPr>
        <w:pStyle w:val="FootnoteText"/>
      </w:pPr>
      <w:r>
        <w:rPr>
          <w:rStyle w:val="FootnoteReference"/>
        </w:rPr>
        <w:footnoteRef/>
      </w:r>
      <w:r>
        <w:t xml:space="preserve"> </w:t>
      </w:r>
      <w:r>
        <w:t xml:space="preserve">Ruff 2010, PMID 20536472.</w:t>
      </w:r>
    </w:p>
  </w:footnote>
  <w:footnote w:id="985">
    <w:p>
      <w:pPr>
        <w:pStyle w:val="FootnoteText"/>
      </w:pPr>
      <w:r>
        <w:rPr>
          <w:rStyle w:val="FootnoteReference"/>
        </w:rPr>
        <w:footnoteRef/>
      </w:r>
      <w:r>
        <w:t xml:space="preserve"> </w:t>
      </w:r>
      <w:r>
        <w:t xml:space="preserve">Wang 2021, PMID 34346165.</w:t>
      </w:r>
    </w:p>
  </w:footnote>
  <w:footnote w:id="987">
    <w:p>
      <w:pPr>
        <w:pStyle w:val="FootnoteText"/>
      </w:pPr>
      <w:r>
        <w:rPr>
          <w:rStyle w:val="FootnoteReference"/>
        </w:rPr>
        <w:footnoteRef/>
      </w:r>
      <w:r>
        <w:t xml:space="preserve"> </w:t>
      </w:r>
      <w:r>
        <w:t xml:space="preserve">Wang 2016, PMID 27596300.</w:t>
      </w:r>
    </w:p>
  </w:footnote>
  <w:footnote w:id="988">
    <w:p>
      <w:pPr>
        <w:pStyle w:val="FootnoteText"/>
      </w:pPr>
      <w:r>
        <w:rPr>
          <w:rStyle w:val="FootnoteReference"/>
        </w:rPr>
        <w:footnoteRef/>
      </w:r>
      <w:r>
        <w:t xml:space="preserve"> </w:t>
      </w:r>
      <w:r>
        <w:t xml:space="preserve">Larsson 2007, PMID 17495241.</w:t>
      </w:r>
    </w:p>
  </w:footnote>
  <w:footnote w:id="990">
    <w:p>
      <w:pPr>
        <w:pStyle w:val="FootnoteText"/>
      </w:pPr>
      <w:r>
        <w:rPr>
          <w:rStyle w:val="FootnoteReference"/>
        </w:rPr>
        <w:footnoteRef/>
      </w:r>
      <w:r>
        <w:t xml:space="preserve"> </w:t>
      </w:r>
      <w:r>
        <w:t xml:space="preserve">Delcourt 2023, PMID 36482504.</w:t>
      </w:r>
    </w:p>
  </w:footnote>
  <w:footnote w:id="991">
    <w:p>
      <w:pPr>
        <w:pStyle w:val="FootnoteText"/>
      </w:pPr>
      <w:r>
        <w:rPr>
          <w:rStyle w:val="FootnoteReference"/>
        </w:rPr>
        <w:footnoteRef/>
      </w:r>
      <w:r>
        <w:t xml:space="preserve"> </w:t>
      </w:r>
      <w:r>
        <w:t xml:space="preserve">Ho 2012, PMID 23084823.</w:t>
      </w:r>
    </w:p>
  </w:footnote>
  <w:footnote w:id="994">
    <w:p>
      <w:pPr>
        <w:pStyle w:val="FootnoteText"/>
      </w:pPr>
      <w:r>
        <w:rPr>
          <w:rStyle w:val="FootnoteReference"/>
        </w:rPr>
        <w:footnoteRef/>
      </w:r>
      <w:r>
        <w:t xml:space="preserve"> </w:t>
      </w:r>
      <w:r>
        <w:t xml:space="preserve">Willis 2026, PMID 42752426.</w:t>
      </w:r>
    </w:p>
  </w:footnote>
  <w:footnote w:id="995">
    <w:p>
      <w:pPr>
        <w:pStyle w:val="FootnoteText"/>
      </w:pPr>
      <w:r>
        <w:rPr>
          <w:rStyle w:val="FootnoteReference"/>
        </w:rPr>
        <w:footnoteRef/>
      </w:r>
      <w:r>
        <w:t xml:space="preserve"> </w:t>
      </w:r>
      <w:r>
        <w:t xml:space="preserve">Delcourt 2025, PMID 39314109.</w:t>
      </w:r>
    </w:p>
  </w:footnote>
  <w:footnote w:id="997">
    <w:p>
      <w:pPr>
        <w:pStyle w:val="FootnoteText"/>
      </w:pPr>
      <w:r>
        <w:rPr>
          <w:rStyle w:val="FootnoteReference"/>
        </w:rPr>
        <w:footnoteRef/>
      </w:r>
      <w:r>
        <w:t xml:space="preserve"> </w:t>
      </w:r>
      <w:r>
        <w:t xml:space="preserve">NCT05555589.</w:t>
      </w:r>
    </w:p>
  </w:footnote>
  <w:footnote w:id="998">
    <w:p>
      <w:pPr>
        <w:pStyle w:val="FootnoteText"/>
      </w:pPr>
      <w:r>
        <w:rPr>
          <w:rStyle w:val="FootnoteReference"/>
        </w:rPr>
        <w:footnoteRef/>
      </w:r>
      <w:r>
        <w:t xml:space="preserve"> </w:t>
      </w:r>
      <w:r>
        <w:t xml:space="preserve">NCT07586865.</w:t>
      </w:r>
    </w:p>
  </w:footnote>
  <w:footnote w:id="999">
    <w:p>
      <w:pPr>
        <w:pStyle w:val="FootnoteText"/>
      </w:pPr>
      <w:r>
        <w:rPr>
          <w:rStyle w:val="FootnoteReference"/>
        </w:rPr>
        <w:footnoteRef/>
      </w:r>
      <w:r>
        <w:t xml:space="preserve"> </w:t>
      </w:r>
      <w:r>
        <w:t xml:space="preserve">NCT05485818; NCT05984134.</w:t>
      </w:r>
    </w:p>
  </w:footnote>
  <w:footnote w:id="1001">
    <w:p>
      <w:pPr>
        <w:pStyle w:val="FootnoteText"/>
      </w:pPr>
      <w:r>
        <w:rPr>
          <w:rStyle w:val="FootnoteReference"/>
        </w:rPr>
        <w:footnoteRef/>
      </w:r>
      <w:r>
        <w:t xml:space="preserve"> </w:t>
      </w:r>
      <w:r>
        <w:t xml:space="preserve">Zhang 2025, PMID 41229390.</w:t>
      </w:r>
    </w:p>
  </w:footnote>
  <w:footnote w:id="1004">
    <w:p>
      <w:pPr>
        <w:pStyle w:val="FootnoteText"/>
      </w:pPr>
      <w:r>
        <w:rPr>
          <w:rStyle w:val="FootnoteReference"/>
        </w:rPr>
        <w:footnoteRef/>
      </w:r>
      <w:r>
        <w:t xml:space="preserve"> </w:t>
      </w:r>
      <w:r>
        <w:t xml:space="preserve">Iino 2005, PMID 15850471.</w:t>
      </w:r>
    </w:p>
  </w:footnote>
  <w:footnote w:id="1005">
    <w:p>
      <w:pPr>
        <w:pStyle w:val="FootnoteText"/>
      </w:pPr>
      <w:r>
        <w:rPr>
          <w:rStyle w:val="FootnoteReference"/>
        </w:rPr>
        <w:footnoteRef/>
      </w:r>
      <w:r>
        <w:t xml:space="preserve"> </w:t>
      </w:r>
      <w:r>
        <w:t xml:space="preserve">Dinetz 2024, PMID 38308608.</w:t>
      </w:r>
    </w:p>
  </w:footnote>
  <w:footnote w:id="1007">
    <w:p>
      <w:pPr>
        <w:pStyle w:val="FootnoteText"/>
      </w:pPr>
      <w:r>
        <w:rPr>
          <w:rStyle w:val="FootnoteReference"/>
        </w:rPr>
        <w:footnoteRef/>
      </w:r>
      <w:r>
        <w:t xml:space="preserve"> </w:t>
      </w:r>
      <w:r>
        <w:t xml:space="preserve">Garaci 2007, PMID 17600290.</w:t>
      </w:r>
    </w:p>
  </w:footnote>
  <w:footnote w:id="1008">
    <w:p>
      <w:pPr>
        <w:pStyle w:val="FootnoteText"/>
      </w:pPr>
      <w:r>
        <w:rPr>
          <w:rStyle w:val="FootnoteReference"/>
        </w:rPr>
        <w:footnoteRef/>
      </w:r>
      <w:r>
        <w:t xml:space="preserve"> </w:t>
      </w:r>
      <w:r>
        <w:t xml:space="preserve">Ancell 2001, PMID 11381492.</w:t>
      </w:r>
    </w:p>
  </w:footnote>
  <w:footnote w:id="1010">
    <w:p>
      <w:pPr>
        <w:pStyle w:val="FootnoteText"/>
      </w:pPr>
      <w:r>
        <w:rPr>
          <w:rStyle w:val="FootnoteReference"/>
        </w:rPr>
        <w:footnoteRef/>
      </w:r>
      <w:r>
        <w:t xml:space="preserve"> </w:t>
      </w:r>
      <w:r>
        <w:t xml:space="preserve">Dinetz 2024, PMID 38308608.</w:t>
      </w:r>
    </w:p>
  </w:footnote>
  <w:footnote w:id="1012">
    <w:p>
      <w:pPr>
        <w:pStyle w:val="FootnoteText"/>
      </w:pPr>
      <w:r>
        <w:rPr>
          <w:rStyle w:val="FootnoteReference"/>
        </w:rPr>
        <w:footnoteRef/>
      </w:r>
      <w:r>
        <w:t xml:space="preserve"> </w:t>
      </w:r>
      <w:r>
        <w:t xml:space="preserve">Chien 1998, PMID 9581695.</w:t>
      </w:r>
    </w:p>
  </w:footnote>
  <w:footnote w:id="1013">
    <w:p>
      <w:pPr>
        <w:pStyle w:val="FootnoteText"/>
      </w:pPr>
      <w:r>
        <w:rPr>
          <w:rStyle w:val="FootnoteReference"/>
        </w:rPr>
        <w:footnoteRef/>
      </w:r>
      <w:r>
        <w:t xml:space="preserve"> </w:t>
      </w:r>
      <w:r>
        <w:t xml:space="preserve">Mutchnick 1999, PMID 10607256.</w:t>
      </w:r>
    </w:p>
  </w:footnote>
  <w:footnote w:id="1014">
    <w:p>
      <w:pPr>
        <w:pStyle w:val="FootnoteText"/>
      </w:pPr>
      <w:r>
        <w:rPr>
          <w:rStyle w:val="FootnoteReference"/>
        </w:rPr>
        <w:footnoteRef/>
      </w:r>
      <w:r>
        <w:t xml:space="preserve"> </w:t>
      </w:r>
      <w:r>
        <w:t xml:space="preserve">Yang 2008, PMID 18078676.</w:t>
      </w:r>
    </w:p>
  </w:footnote>
  <w:footnote w:id="1015">
    <w:p>
      <w:pPr>
        <w:pStyle w:val="FootnoteText"/>
      </w:pPr>
      <w:r>
        <w:rPr>
          <w:rStyle w:val="FootnoteReference"/>
        </w:rPr>
        <w:footnoteRef/>
      </w:r>
      <w:r>
        <w:t xml:space="preserve"> </w:t>
      </w:r>
      <w:r>
        <w:t xml:space="preserve">Wu 2018, PMID 30063860.</w:t>
      </w:r>
    </w:p>
  </w:footnote>
  <w:footnote w:id="1016">
    <w:p>
      <w:pPr>
        <w:pStyle w:val="FootnoteText"/>
      </w:pPr>
      <w:r>
        <w:rPr>
          <w:rStyle w:val="FootnoteReference"/>
        </w:rPr>
        <w:footnoteRef/>
      </w:r>
      <w:r>
        <w:t xml:space="preserve"> </w:t>
      </w:r>
      <w:r>
        <w:t xml:space="preserve">Peng 2020, PMID 33076834.</w:t>
      </w:r>
    </w:p>
  </w:footnote>
  <w:footnote w:id="1017">
    <w:p>
      <w:pPr>
        <w:pStyle w:val="FootnoteText"/>
      </w:pPr>
      <w:r>
        <w:rPr>
          <w:rStyle w:val="FootnoteReference"/>
        </w:rPr>
        <w:footnoteRef/>
      </w:r>
      <w:r>
        <w:t xml:space="preserve"> </w:t>
      </w:r>
      <w:r>
        <w:t xml:space="preserve">Chen 2022, PMID 35616850.</w:t>
      </w:r>
    </w:p>
  </w:footnote>
  <w:footnote w:id="1018">
    <w:p>
      <w:pPr>
        <w:pStyle w:val="FootnoteText"/>
      </w:pPr>
      <w:r>
        <w:rPr>
          <w:rStyle w:val="FootnoteReference"/>
        </w:rPr>
        <w:footnoteRef/>
      </w:r>
      <w:r>
        <w:t xml:space="preserve"> </w:t>
      </w:r>
      <w:r>
        <w:t xml:space="preserve">Sherman 1998, PMID 9537454; Andreone 2004, PMID 14738560.</w:t>
      </w:r>
    </w:p>
  </w:footnote>
  <w:footnote w:id="1020">
    <w:p>
      <w:pPr>
        <w:pStyle w:val="FootnoteText"/>
      </w:pPr>
      <w:r>
        <w:rPr>
          <w:rStyle w:val="FootnoteReference"/>
        </w:rPr>
        <w:footnoteRef/>
      </w:r>
      <w:r>
        <w:t xml:space="preserve"> </w:t>
      </w:r>
      <w:r>
        <w:t xml:space="preserve">Wu 2013, PMID 23327199.</w:t>
      </w:r>
    </w:p>
  </w:footnote>
  <w:footnote w:id="1021">
    <w:p>
      <w:pPr>
        <w:pStyle w:val="FootnoteText"/>
      </w:pPr>
      <w:r>
        <w:rPr>
          <w:rStyle w:val="FootnoteReference"/>
        </w:rPr>
        <w:footnoteRef/>
      </w:r>
      <w:r>
        <w:t xml:space="preserve"> </w:t>
      </w:r>
      <w:r>
        <w:t xml:space="preserve">Wu 2025, PMID 39814420.</w:t>
      </w:r>
    </w:p>
  </w:footnote>
  <w:footnote w:id="1022">
    <w:p>
      <w:pPr>
        <w:pStyle w:val="FootnoteText"/>
      </w:pPr>
      <w:r>
        <w:rPr>
          <w:rStyle w:val="FootnoteReference"/>
        </w:rPr>
        <w:footnoteRef/>
      </w:r>
      <w:r>
        <w:t xml:space="preserve"> </w:t>
      </w:r>
      <w:r>
        <w:t xml:space="preserve">Gu 2025, PMID 40969554.</w:t>
      </w:r>
    </w:p>
  </w:footnote>
  <w:footnote w:id="1023">
    <w:p>
      <w:pPr>
        <w:pStyle w:val="FootnoteText"/>
      </w:pPr>
      <w:r>
        <w:rPr>
          <w:rStyle w:val="FootnoteReference"/>
        </w:rPr>
        <w:footnoteRef/>
      </w:r>
      <w:r>
        <w:t xml:space="preserve"> </w:t>
      </w:r>
      <w:r>
        <w:t xml:space="preserve">Luo 2026, PMID 42205841.</w:t>
      </w:r>
    </w:p>
  </w:footnote>
  <w:footnote w:id="1025">
    <w:p>
      <w:pPr>
        <w:pStyle w:val="FootnoteText"/>
      </w:pPr>
      <w:r>
        <w:rPr>
          <w:rStyle w:val="FootnoteReference"/>
        </w:rPr>
        <w:footnoteRef/>
      </w:r>
      <w:r>
        <w:t xml:space="preserve"> </w:t>
      </w:r>
      <w:r>
        <w:t xml:space="preserve">Liu 2020, PMID 32442287.</w:t>
      </w:r>
    </w:p>
  </w:footnote>
  <w:footnote w:id="1026">
    <w:p>
      <w:pPr>
        <w:pStyle w:val="FootnoteText"/>
      </w:pPr>
      <w:r>
        <w:rPr>
          <w:rStyle w:val="FootnoteReference"/>
        </w:rPr>
        <w:footnoteRef/>
      </w:r>
      <w:r>
        <w:t xml:space="preserve"> </w:t>
      </w:r>
      <w:r>
        <w:t xml:space="preserve">Liu 2021, PMID 34408744.</w:t>
      </w:r>
    </w:p>
  </w:footnote>
  <w:footnote w:id="1027">
    <w:p>
      <w:pPr>
        <w:pStyle w:val="FootnoteText"/>
      </w:pPr>
      <w:r>
        <w:rPr>
          <w:rStyle w:val="FootnoteReference"/>
        </w:rPr>
        <w:footnoteRef/>
      </w:r>
      <w:r>
        <w:t xml:space="preserve"> </w:t>
      </w:r>
      <w:r>
        <w:t xml:space="preserve">Shehadeh 2023, PMID 36056913.</w:t>
      </w:r>
    </w:p>
  </w:footnote>
  <w:footnote w:id="1028">
    <w:p>
      <w:pPr>
        <w:pStyle w:val="FootnoteText"/>
      </w:pPr>
      <w:r>
        <w:rPr>
          <w:rStyle w:val="FootnoteReference"/>
        </w:rPr>
        <w:footnoteRef/>
      </w:r>
      <w:r>
        <w:t xml:space="preserve"> </w:t>
      </w:r>
      <w:r>
        <w:t xml:space="preserve">Shang 2023, PMID 36527881.</w:t>
      </w:r>
    </w:p>
  </w:footnote>
  <w:footnote w:id="1029">
    <w:p>
      <w:pPr>
        <w:pStyle w:val="FootnoteText"/>
      </w:pPr>
      <w:r>
        <w:rPr>
          <w:rStyle w:val="FootnoteReference"/>
        </w:rPr>
        <w:footnoteRef/>
      </w:r>
      <w:r>
        <w:t xml:space="preserve"> </w:t>
      </w:r>
      <w:r>
        <w:t xml:space="preserve">Soeroto 2023, PMID 37845598.</w:t>
      </w:r>
    </w:p>
  </w:footnote>
  <w:footnote w:id="1031">
    <w:p>
      <w:pPr>
        <w:pStyle w:val="FootnoteText"/>
      </w:pPr>
      <w:r>
        <w:rPr>
          <w:rStyle w:val="FootnoteReference"/>
        </w:rPr>
        <w:footnoteRef/>
      </w:r>
      <w:r>
        <w:t xml:space="preserve"> </w:t>
      </w:r>
      <w:r>
        <w:t xml:space="preserve">Maio 2010, PMID 20194853.</w:t>
      </w:r>
    </w:p>
  </w:footnote>
  <w:footnote w:id="1032">
    <w:p>
      <w:pPr>
        <w:pStyle w:val="FootnoteText"/>
      </w:pPr>
      <w:r>
        <w:rPr>
          <w:rStyle w:val="FootnoteReference"/>
        </w:rPr>
        <w:footnoteRef/>
      </w:r>
      <w:r>
        <w:t xml:space="preserve"> </w:t>
      </w:r>
      <w:r>
        <w:t xml:space="preserve">Kim 2026, PMID 42797537.</w:t>
      </w:r>
    </w:p>
  </w:footnote>
  <w:footnote w:id="1033">
    <w:p>
      <w:pPr>
        <w:pStyle w:val="FootnoteText"/>
      </w:pPr>
      <w:r>
        <w:rPr>
          <w:rStyle w:val="FootnoteReference"/>
        </w:rPr>
        <w:footnoteRef/>
      </w:r>
      <w:r>
        <w:t xml:space="preserve"> </w:t>
      </w:r>
      <w:r>
        <w:t xml:space="preserve">Xu 2026, PMID 41749205.</w:t>
      </w:r>
    </w:p>
  </w:footnote>
  <w:footnote w:id="1035">
    <w:p>
      <w:pPr>
        <w:pStyle w:val="FootnoteText"/>
      </w:pPr>
      <w:r>
        <w:rPr>
          <w:rStyle w:val="FootnoteReference"/>
        </w:rPr>
        <w:footnoteRef/>
      </w:r>
      <w:r>
        <w:t xml:space="preserve"> </w:t>
      </w:r>
      <w:r>
        <w:t xml:space="preserve">Gravenstein 1989, PMID 2642497.</w:t>
      </w:r>
    </w:p>
  </w:footnote>
  <w:footnote w:id="1036">
    <w:p>
      <w:pPr>
        <w:pStyle w:val="FootnoteText"/>
      </w:pPr>
      <w:r>
        <w:rPr>
          <w:rStyle w:val="FootnoteReference"/>
        </w:rPr>
        <w:footnoteRef/>
      </w:r>
      <w:r>
        <w:t xml:space="preserve"> </w:t>
      </w:r>
      <w:r>
        <w:t xml:space="preserve">Tuthill 2023, PMID 36881981.</w:t>
      </w:r>
    </w:p>
  </w:footnote>
  <w:footnote w:id="1037">
    <w:p>
      <w:pPr>
        <w:pStyle w:val="FootnoteText"/>
      </w:pPr>
      <w:r>
        <w:rPr>
          <w:rStyle w:val="FootnoteReference"/>
        </w:rPr>
        <w:footnoteRef/>
      </w:r>
      <w:r>
        <w:t xml:space="preserve"> </w:t>
      </w:r>
      <w:r>
        <w:t xml:space="preserve">NCT06821100.</w:t>
      </w:r>
    </w:p>
  </w:footnote>
  <w:footnote w:id="1040">
    <w:p>
      <w:pPr>
        <w:pStyle w:val="FootnoteText"/>
      </w:pPr>
      <w:r>
        <w:rPr>
          <w:rStyle w:val="FootnoteReference"/>
        </w:rPr>
        <w:footnoteRef/>
      </w:r>
      <w:r>
        <w:t xml:space="preserve"> </w:t>
      </w:r>
      <w:r>
        <w:t xml:space="preserve">Garaci 2007, PMID 17600290.</w:t>
      </w:r>
    </w:p>
  </w:footnote>
  <w:footnote w:id="1042">
    <w:p>
      <w:pPr>
        <w:pStyle w:val="FootnoteText"/>
      </w:pPr>
      <w:r>
        <w:rPr>
          <w:rStyle w:val="FootnoteReference"/>
        </w:rPr>
        <w:footnoteRef/>
      </w:r>
      <w:r>
        <w:t xml:space="preserve"> </w:t>
      </w:r>
      <w:r>
        <w:t xml:space="preserve">Ancell 2001, PMID 11381492.</w:t>
      </w:r>
    </w:p>
  </w:footnote>
  <w:footnote w:id="1043">
    <w:p>
      <w:pPr>
        <w:pStyle w:val="FootnoteText"/>
      </w:pPr>
      <w:r>
        <w:rPr>
          <w:rStyle w:val="FootnoteReference"/>
        </w:rPr>
        <w:footnoteRef/>
      </w:r>
      <w:r>
        <w:t xml:space="preserve"> </w:t>
      </w:r>
      <w:r>
        <w:t xml:space="preserve">Wu 2025, PMID 39814420.</w:t>
      </w:r>
    </w:p>
  </w:footnote>
  <w:footnote w:id="1044">
    <w:p>
      <w:pPr>
        <w:pStyle w:val="FootnoteText"/>
      </w:pPr>
      <w:r>
        <w:rPr>
          <w:rStyle w:val="FootnoteReference"/>
        </w:rPr>
        <w:footnoteRef/>
      </w:r>
      <w:r>
        <w:t xml:space="preserve"> </w:t>
      </w:r>
      <w:r>
        <w:t xml:space="preserve">Iino 2005, PMID 15850471.</w:t>
      </w:r>
    </w:p>
  </w:footnote>
  <w:footnote w:id="1046">
    <w:p>
      <w:pPr>
        <w:pStyle w:val="FootnoteText"/>
      </w:pPr>
      <w:r>
        <w:rPr>
          <w:rStyle w:val="FootnoteReference"/>
        </w:rPr>
        <w:footnoteRef/>
      </w:r>
      <w:r>
        <w:t xml:space="preserve"> </w:t>
      </w:r>
      <w:r>
        <w:t xml:space="preserve">Wu 2025, PMID 39814420.</w:t>
      </w:r>
    </w:p>
  </w:footnote>
  <w:footnote w:id="1047">
    <w:p>
      <w:pPr>
        <w:pStyle w:val="FootnoteText"/>
      </w:pPr>
      <w:r>
        <w:rPr>
          <w:rStyle w:val="FootnoteReference"/>
        </w:rPr>
        <w:footnoteRef/>
      </w:r>
      <w:r>
        <w:t xml:space="preserve"> </w:t>
      </w:r>
      <w:r>
        <w:t xml:space="preserve">Liu 2021, PMID 34408744.</w:t>
      </w:r>
    </w:p>
  </w:footnote>
  <w:footnote w:id="1048">
    <w:p>
      <w:pPr>
        <w:pStyle w:val="FootnoteText"/>
      </w:pPr>
      <w:r>
        <w:rPr>
          <w:rStyle w:val="FootnoteReference"/>
        </w:rPr>
        <w:footnoteRef/>
      </w:r>
      <w:r>
        <w:t xml:space="preserve"> </w:t>
      </w:r>
      <w:r>
        <w:t xml:space="preserve">Kim 2026, PMID 42797537.</w:t>
      </w:r>
    </w:p>
  </w:footnote>
  <w:footnote w:id="1051">
    <w:p>
      <w:pPr>
        <w:pStyle w:val="FootnoteText"/>
      </w:pPr>
      <w:r>
        <w:rPr>
          <w:rStyle w:val="FootnoteReference"/>
        </w:rPr>
        <w:footnoteRef/>
      </w:r>
      <w:r>
        <w:t xml:space="preserve"> </w:t>
      </w:r>
      <w:r>
        <w:t xml:space="preserve">Dinetz 2024, PMID 38308608.</w:t>
      </w:r>
    </w:p>
  </w:footnote>
  <w:footnote w:id="1052">
    <w:p>
      <w:pPr>
        <w:pStyle w:val="FootnoteText"/>
      </w:pPr>
      <w:r>
        <w:rPr>
          <w:rStyle w:val="FootnoteReference"/>
        </w:rPr>
        <w:footnoteRef/>
      </w:r>
      <w:r>
        <w:t xml:space="preserve"> </w:t>
      </w:r>
      <w:r>
        <w:t xml:space="preserve">Willis 2026, PMID 42752426.</w:t>
      </w:r>
    </w:p>
  </w:footnote>
  <w:footnote w:id="1054">
    <w:p>
      <w:pPr>
        <w:pStyle w:val="FootnoteText"/>
      </w:pPr>
      <w:r>
        <w:rPr>
          <w:rStyle w:val="FootnoteReference"/>
        </w:rPr>
        <w:footnoteRef/>
      </w:r>
      <w:r>
        <w:t xml:space="preserve"> </w:t>
      </w:r>
      <w:r>
        <w:t xml:space="preserve">NCT05086614.</w:t>
      </w:r>
    </w:p>
  </w:footnote>
  <w:footnote w:id="1055">
    <w:p>
      <w:pPr>
        <w:pStyle w:val="FootnoteText"/>
      </w:pPr>
      <w:r>
        <w:rPr>
          <w:rStyle w:val="FootnoteReference"/>
        </w:rPr>
        <w:footnoteRef/>
      </w:r>
      <w:r>
        <w:t xml:space="preserve"> </w:t>
      </w:r>
      <w:r>
        <w:t xml:space="preserve">NCT07884201.</w:t>
      </w:r>
    </w:p>
  </w:footnote>
  <w:footnote w:id="1056">
    <w:p>
      <w:pPr>
        <w:pStyle w:val="FootnoteText"/>
      </w:pPr>
      <w:r>
        <w:rPr>
          <w:rStyle w:val="FootnoteReference"/>
        </w:rPr>
        <w:footnoteRef/>
      </w:r>
      <w:r>
        <w:t xml:space="preserve"> </w:t>
      </w:r>
      <w:r>
        <w:t xml:space="preserve">NCT07866118.</w:t>
      </w:r>
    </w:p>
  </w:footnote>
  <w:footnote w:id="1057">
    <w:p>
      <w:pPr>
        <w:pStyle w:val="FootnoteText"/>
      </w:pPr>
      <w:r>
        <w:rPr>
          <w:rStyle w:val="FootnoteReference"/>
        </w:rPr>
        <w:footnoteRef/>
      </w:r>
      <w:r>
        <w:t xml:space="preserve"> </w:t>
      </w:r>
      <w:r>
        <w:t xml:space="preserve">NCT06821100.</w:t>
      </w:r>
    </w:p>
  </w:footnote>
  <w:footnote w:id="1059">
    <w:p>
      <w:pPr>
        <w:pStyle w:val="FootnoteText"/>
      </w:pPr>
      <w:r>
        <w:rPr>
          <w:rStyle w:val="FootnoteReference"/>
        </w:rPr>
        <w:footnoteRef/>
      </w:r>
      <w:r>
        <w:t xml:space="preserve"> </w:t>
      </w:r>
      <w:r>
        <w:t xml:space="preserve">Wu 2025, PMID 39814420.</w:t>
      </w:r>
    </w:p>
  </w:footnote>
  <w:footnote w:id="1060">
    <w:p>
      <w:pPr>
        <w:pStyle w:val="FootnoteText"/>
      </w:pPr>
      <w:r>
        <w:rPr>
          <w:rStyle w:val="FootnoteReference"/>
        </w:rPr>
        <w:footnoteRef/>
      </w:r>
      <w:r>
        <w:t xml:space="preserve"> </w:t>
      </w:r>
      <w:r>
        <w:t xml:space="preserve">Ke 2022, PMID 35713670.</w:t>
      </w:r>
    </w:p>
  </w:footnote>
  <w:footnote w:id="1061">
    <w:p>
      <w:pPr>
        <w:pStyle w:val="FootnoteText"/>
      </w:pPr>
      <w:r>
        <w:rPr>
          <w:rStyle w:val="FootnoteReference"/>
        </w:rPr>
        <w:footnoteRef/>
      </w:r>
      <w:r>
        <w:t xml:space="preserve"> </w:t>
      </w:r>
      <w:r>
        <w:t xml:space="preserve">Wu 2018, PMID 30063860.</w:t>
      </w:r>
    </w:p>
  </w:footnote>
  <w:footnote w:id="1064">
    <w:p>
      <w:pPr>
        <w:pStyle w:val="FootnoteText"/>
      </w:pPr>
      <w:r>
        <w:rPr>
          <w:rStyle w:val="FootnoteReference"/>
        </w:rPr>
        <w:footnoteRef/>
      </w:r>
      <w:r>
        <w:t xml:space="preserve"> </w:t>
      </w:r>
      <w:r>
        <w:t xml:space="preserve">Cutuli 2000, PMID 10670585.</w:t>
      </w:r>
    </w:p>
  </w:footnote>
  <w:footnote w:id="1066">
    <w:p>
      <w:pPr>
        <w:pStyle w:val="FootnoteText"/>
      </w:pPr>
      <w:r>
        <w:rPr>
          <w:rStyle w:val="FootnoteReference"/>
        </w:rPr>
        <w:footnoteRef/>
      </w:r>
      <w:r>
        <w:t xml:space="preserve"> </w:t>
      </w:r>
      <w:r>
        <w:t xml:space="preserve">Catania 1998, PMID 9700761.</w:t>
      </w:r>
    </w:p>
  </w:footnote>
  <w:footnote w:id="1067">
    <w:p>
      <w:pPr>
        <w:pStyle w:val="FootnoteText"/>
      </w:pPr>
      <w:r>
        <w:rPr>
          <w:rStyle w:val="FootnoteReference"/>
        </w:rPr>
        <w:footnoteRef/>
      </w:r>
      <w:r>
        <w:t xml:space="preserve"> </w:t>
      </w:r>
      <w:r>
        <w:t xml:space="preserve">Getting 2003, PMID 12750433.</w:t>
      </w:r>
    </w:p>
  </w:footnote>
  <w:footnote w:id="1068">
    <w:p>
      <w:pPr>
        <w:pStyle w:val="FootnoteText"/>
      </w:pPr>
      <w:r>
        <w:rPr>
          <w:rStyle w:val="FootnoteReference"/>
        </w:rPr>
        <w:footnoteRef/>
      </w:r>
      <w:r>
        <w:t xml:space="preserve"> </w:t>
      </w:r>
      <w:r>
        <w:t xml:space="preserve">Dalmasso 2008, PMID 18061177.</w:t>
      </w:r>
    </w:p>
  </w:footnote>
  <w:footnote w:id="1069">
    <w:p>
      <w:pPr>
        <w:pStyle w:val="FootnoteText"/>
      </w:pPr>
      <w:r>
        <w:rPr>
          <w:rStyle w:val="FootnoteReference"/>
        </w:rPr>
        <w:footnoteRef/>
      </w:r>
      <w:r>
        <w:t xml:space="preserve"> </w:t>
      </w:r>
      <w:r>
        <w:t xml:space="preserve">Cutuli 2000, PMID 10670585.</w:t>
      </w:r>
    </w:p>
  </w:footnote>
  <w:footnote w:id="1071">
    <w:p>
      <w:pPr>
        <w:pStyle w:val="FootnoteText"/>
      </w:pPr>
      <w:r>
        <w:rPr>
          <w:rStyle w:val="FootnoteReference"/>
        </w:rPr>
        <w:footnoteRef/>
      </w:r>
      <w:r>
        <w:t xml:space="preserve"> </w:t>
      </w:r>
      <w:r>
        <w:t xml:space="preserve">Catania 1998, PMID 9700761.</w:t>
      </w:r>
    </w:p>
  </w:footnote>
  <w:footnote w:id="1072">
    <w:p>
      <w:pPr>
        <w:pStyle w:val="FootnoteText"/>
      </w:pPr>
      <w:r>
        <w:rPr>
          <w:rStyle w:val="FootnoteReference"/>
        </w:rPr>
        <w:footnoteRef/>
      </w:r>
      <w:r>
        <w:t xml:space="preserve"> </w:t>
      </w:r>
      <w:r>
        <w:t xml:space="preserve">Elliott 2004, PMID 15102092.</w:t>
      </w:r>
    </w:p>
  </w:footnote>
  <w:footnote w:id="1073">
    <w:p>
      <w:pPr>
        <w:pStyle w:val="FootnoteText"/>
      </w:pPr>
      <w:r>
        <w:rPr>
          <w:rStyle w:val="FootnoteReference"/>
        </w:rPr>
        <w:footnoteRef/>
      </w:r>
      <w:r>
        <w:t xml:space="preserve"> </w:t>
      </w:r>
      <w:r>
        <w:t xml:space="preserve">Pawar 2017, PMID 28343991.</w:t>
      </w:r>
    </w:p>
  </w:footnote>
  <w:footnote w:id="1074">
    <w:p>
      <w:pPr>
        <w:pStyle w:val="FootnoteText"/>
      </w:pPr>
      <w:r>
        <w:rPr>
          <w:rStyle w:val="FootnoteReference"/>
        </w:rPr>
        <w:footnoteRef/>
      </w:r>
      <w:r>
        <w:t xml:space="preserve"> </w:t>
      </w:r>
      <w:r>
        <w:t xml:space="preserve">Gatti 2006, PMID 16413580.</w:t>
      </w:r>
    </w:p>
  </w:footnote>
  <w:footnote w:id="1078">
    <w:p>
      <w:pPr>
        <w:pStyle w:val="FootnoteText"/>
      </w:pPr>
      <w:r>
        <w:rPr>
          <w:rStyle w:val="FootnoteReference"/>
        </w:rPr>
        <w:footnoteRef/>
      </w:r>
      <w:r>
        <w:t xml:space="preserve"> </w:t>
      </w:r>
      <w:r>
        <w:t xml:space="preserve">Cutuli 2000, PMID 10670585.</w:t>
      </w:r>
    </w:p>
  </w:footnote>
  <w:footnote w:id="1079">
    <w:p>
      <w:pPr>
        <w:pStyle w:val="FootnoteText"/>
      </w:pPr>
      <w:r>
        <w:rPr>
          <w:rStyle w:val="FootnoteReference"/>
        </w:rPr>
        <w:footnoteRef/>
      </w:r>
      <w:r>
        <w:t xml:space="preserve"> </w:t>
      </w:r>
      <w:r>
        <w:t xml:space="preserve">Coutinho 2026, PMID 41880199.</w:t>
      </w:r>
    </w:p>
  </w:footnote>
  <w:footnote w:id="1084">
    <w:p>
      <w:pPr>
        <w:pStyle w:val="FootnoteText"/>
      </w:pPr>
      <w:r>
        <w:rPr>
          <w:rStyle w:val="FootnoteReference"/>
        </w:rPr>
        <w:footnoteRef/>
      </w:r>
      <w:r>
        <w:t xml:space="preserve"> </w:t>
      </w:r>
      <w:r>
        <w:t xml:space="preserve">Dalmasso 2008, PMID 18061177; Kannengiesser 2008, PMID 18092346.</w:t>
      </w:r>
    </w:p>
  </w:footnote>
  <w:footnote w:id="1087">
    <w:p>
      <w:pPr>
        <w:pStyle w:val="FootnoteText"/>
      </w:pPr>
      <w:r>
        <w:rPr>
          <w:rStyle w:val="FootnoteReference"/>
        </w:rPr>
        <w:footnoteRef/>
      </w:r>
      <w:r>
        <w:t xml:space="preserve"> </w:t>
      </w:r>
      <w:r>
        <w:t xml:space="preserve">Gombart 2005, PMID 15985530.</w:t>
      </w:r>
    </w:p>
  </w:footnote>
  <w:footnote w:id="1089">
    <w:p>
      <w:pPr>
        <w:pStyle w:val="FootnoteText"/>
      </w:pPr>
      <w:r>
        <w:rPr>
          <w:rStyle w:val="FootnoteReference"/>
        </w:rPr>
        <w:footnoteRef/>
      </w:r>
      <w:r>
        <w:t xml:space="preserve"> </w:t>
      </w:r>
      <w:r>
        <w:t xml:space="preserve">Gombart 2005, PMID 15985530.</w:t>
      </w:r>
    </w:p>
  </w:footnote>
  <w:footnote w:id="1090">
    <w:p>
      <w:pPr>
        <w:pStyle w:val="FootnoteText"/>
      </w:pPr>
      <w:r>
        <w:rPr>
          <w:rStyle w:val="FootnoteReference"/>
        </w:rPr>
        <w:footnoteRef/>
      </w:r>
      <w:r>
        <w:t xml:space="preserve"> </w:t>
      </w:r>
      <w:r>
        <w:t xml:space="preserve">Lande 2007, PMID 17873860.</w:t>
      </w:r>
    </w:p>
  </w:footnote>
  <w:footnote w:id="1091">
    <w:p>
      <w:pPr>
        <w:pStyle w:val="FootnoteText"/>
      </w:pPr>
      <w:r>
        <w:rPr>
          <w:rStyle w:val="FootnoteReference"/>
        </w:rPr>
        <w:footnoteRef/>
      </w:r>
      <w:r>
        <w:t xml:space="preserve"> </w:t>
      </w:r>
      <w:r>
        <w:t xml:space="preserve">Lande 2014, PMID 25470744.</w:t>
      </w:r>
    </w:p>
  </w:footnote>
  <w:footnote w:id="1092">
    <w:p>
      <w:pPr>
        <w:pStyle w:val="FootnoteText"/>
      </w:pPr>
      <w:r>
        <w:rPr>
          <w:rStyle w:val="FootnoteReference"/>
        </w:rPr>
        <w:footnoteRef/>
      </w:r>
      <w:r>
        <w:t xml:space="preserve"> </w:t>
      </w:r>
      <w:r>
        <w:t xml:space="preserve">Yamasaki 2007, PMID 17676051.</w:t>
      </w:r>
    </w:p>
  </w:footnote>
  <w:footnote w:id="1094">
    <w:p>
      <w:pPr>
        <w:pStyle w:val="FootnoteText"/>
      </w:pPr>
      <w:r>
        <w:rPr>
          <w:rStyle w:val="FootnoteReference"/>
        </w:rPr>
        <w:footnoteRef/>
      </w:r>
      <w:r>
        <w:t xml:space="preserve"> </w:t>
      </w:r>
      <w:r>
        <w:t xml:space="preserve">Grönberg 2014, PMID 25041740.</w:t>
      </w:r>
    </w:p>
  </w:footnote>
  <w:footnote w:id="1095">
    <w:p>
      <w:pPr>
        <w:pStyle w:val="FootnoteText"/>
      </w:pPr>
      <w:r>
        <w:rPr>
          <w:rStyle w:val="FootnoteReference"/>
        </w:rPr>
        <w:footnoteRef/>
      </w:r>
      <w:r>
        <w:t xml:space="preserve"> </w:t>
      </w:r>
      <w:r>
        <w:t xml:space="preserve">Mahlapuu 2021, PMID 34687253.</w:t>
      </w:r>
    </w:p>
  </w:footnote>
  <w:footnote w:id="1096">
    <w:p>
      <w:pPr>
        <w:pStyle w:val="FootnoteText"/>
      </w:pPr>
      <w:r>
        <w:rPr>
          <w:rStyle w:val="FootnoteReference"/>
        </w:rPr>
        <w:footnoteRef/>
      </w:r>
      <w:r>
        <w:t xml:space="preserve"> </w:t>
      </w:r>
      <w:r>
        <w:t xml:space="preserve">Miranda 2023, PMID 37480520.</w:t>
      </w:r>
    </w:p>
  </w:footnote>
  <w:footnote w:id="1097">
    <w:p>
      <w:pPr>
        <w:pStyle w:val="FootnoteText"/>
      </w:pPr>
      <w:r>
        <w:rPr>
          <w:rStyle w:val="FootnoteReference"/>
        </w:rPr>
        <w:footnoteRef/>
      </w:r>
      <w:r>
        <w:t xml:space="preserve"> </w:t>
      </w:r>
      <w:r>
        <w:t xml:space="preserve">Zhao 2023, PMID 37605995.</w:t>
      </w:r>
    </w:p>
  </w:footnote>
  <w:footnote w:id="1099">
    <w:p>
      <w:pPr>
        <w:pStyle w:val="FootnoteText"/>
      </w:pPr>
      <w:r>
        <w:rPr>
          <w:rStyle w:val="FootnoteReference"/>
        </w:rPr>
        <w:footnoteRef/>
      </w:r>
      <w:r>
        <w:t xml:space="preserve"> </w:t>
      </w:r>
      <w:r>
        <w:t xml:space="preserve">Majewski 2017, PMID 28956425.</w:t>
      </w:r>
    </w:p>
  </w:footnote>
  <w:footnote w:id="1100">
    <w:p>
      <w:pPr>
        <w:pStyle w:val="FootnoteText"/>
      </w:pPr>
      <w:r>
        <w:rPr>
          <w:rStyle w:val="FootnoteReference"/>
        </w:rPr>
        <w:footnoteRef/>
      </w:r>
      <w:r>
        <w:t xml:space="preserve"> </w:t>
      </w:r>
      <w:r>
        <w:t xml:space="preserve">Savonius 2018, PMID 28827496.</w:t>
      </w:r>
    </w:p>
  </w:footnote>
  <w:footnote w:id="1101">
    <w:p>
      <w:pPr>
        <w:pStyle w:val="FootnoteText"/>
      </w:pPr>
      <w:r>
        <w:rPr>
          <w:rStyle w:val="FootnoteReference"/>
        </w:rPr>
        <w:footnoteRef/>
      </w:r>
      <w:r>
        <w:t xml:space="preserve"> </w:t>
      </w:r>
      <w:r>
        <w:t xml:space="preserve">Quraishi 2015, PMID 26086941.</w:t>
      </w:r>
    </w:p>
  </w:footnote>
  <w:footnote w:id="1103">
    <w:p>
      <w:pPr>
        <w:pStyle w:val="FootnoteText"/>
      </w:pPr>
      <w:r>
        <w:rPr>
          <w:rStyle w:val="FootnoteReference"/>
        </w:rPr>
        <w:footnoteRef/>
      </w:r>
      <w:r>
        <w:t xml:space="preserve"> </w:t>
      </w:r>
      <w:r>
        <w:t xml:space="preserve">Mily 2015, PMID 26394045.</w:t>
      </w:r>
    </w:p>
  </w:footnote>
  <w:footnote w:id="1106">
    <w:p>
      <w:pPr>
        <w:pStyle w:val="FootnoteText"/>
      </w:pPr>
      <w:r>
        <w:rPr>
          <w:rStyle w:val="FootnoteReference"/>
        </w:rPr>
        <w:footnoteRef/>
      </w:r>
      <w:r>
        <w:t xml:space="preserve"> </w:t>
      </w:r>
      <w:r>
        <w:t xml:space="preserve">Chen 2018, PMID 29843147.</w:t>
      </w:r>
    </w:p>
  </w:footnote>
  <w:footnote w:id="1107">
    <w:p>
      <w:pPr>
        <w:pStyle w:val="FootnoteText"/>
      </w:pPr>
      <w:r>
        <w:rPr>
          <w:rStyle w:val="FootnoteReference"/>
        </w:rPr>
        <w:footnoteRef/>
      </w:r>
      <w:r>
        <w:t xml:space="preserve"> </w:t>
      </w:r>
      <w:r>
        <w:t xml:space="preserve">Gombart 2005, PMID 15985530.</w:t>
      </w:r>
    </w:p>
  </w:footnote>
  <w:footnote w:id="1109">
    <w:p>
      <w:pPr>
        <w:pStyle w:val="FootnoteText"/>
      </w:pPr>
      <w:r>
        <w:rPr>
          <w:rStyle w:val="FootnoteReference"/>
        </w:rPr>
        <w:footnoteRef/>
      </w:r>
      <w:r>
        <w:t xml:space="preserve"> </w:t>
      </w:r>
      <w:r>
        <w:t xml:space="preserve">Grönberg 2014, PMID 25041740; Mahlapuu 2021, PMID 34687253.</w:t>
      </w:r>
    </w:p>
  </w:footnote>
  <w:footnote w:id="1110">
    <w:p>
      <w:pPr>
        <w:pStyle w:val="FootnoteText"/>
      </w:pPr>
      <w:r>
        <w:rPr>
          <w:rStyle w:val="FootnoteReference"/>
        </w:rPr>
        <w:footnoteRef/>
      </w:r>
      <w:r>
        <w:t xml:space="preserve"> </w:t>
      </w:r>
      <w:r>
        <w:t xml:space="preserve">Dolkar 2018, PMID 29665030.</w:t>
      </w:r>
    </w:p>
  </w:footnote>
  <w:footnote w:id="1112">
    <w:p>
      <w:pPr>
        <w:pStyle w:val="FootnoteText"/>
      </w:pPr>
      <w:r>
        <w:rPr>
          <w:rStyle w:val="FootnoteReference"/>
        </w:rPr>
        <w:footnoteRef/>
      </w:r>
      <w:r>
        <w:t xml:space="preserve"> </w:t>
      </w:r>
      <w:r>
        <w:t xml:space="preserve">Lande 2007, PMID 17873860; Lande 2014, PMID 25470744.</w:t>
      </w:r>
    </w:p>
  </w:footnote>
  <w:footnote w:id="1113">
    <w:p>
      <w:pPr>
        <w:pStyle w:val="FootnoteText"/>
      </w:pPr>
      <w:r>
        <w:rPr>
          <w:rStyle w:val="FootnoteReference"/>
        </w:rPr>
        <w:footnoteRef/>
      </w:r>
      <w:r>
        <w:t xml:space="preserve"> </w:t>
      </w:r>
      <w:r>
        <w:t xml:space="preserve">Yamasaki 2007, PMID 17676051.</w:t>
      </w:r>
    </w:p>
  </w:footnote>
  <w:footnote w:id="1114">
    <w:p>
      <w:pPr>
        <w:pStyle w:val="FootnoteText"/>
      </w:pPr>
      <w:r>
        <w:rPr>
          <w:rStyle w:val="FootnoteReference"/>
        </w:rPr>
        <w:footnoteRef/>
      </w:r>
      <w:r>
        <w:t xml:space="preserve"> </w:t>
      </w:r>
      <w:r>
        <w:t xml:space="preserve">Chen 2018, PMID 29843147.</w:t>
      </w:r>
    </w:p>
  </w:footnote>
  <w:footnote w:id="1119">
    <w:p>
      <w:pPr>
        <w:pStyle w:val="FootnoteText"/>
      </w:pPr>
      <w:r>
        <w:rPr>
          <w:rStyle w:val="FootnoteReference"/>
        </w:rPr>
        <w:footnoteRef/>
      </w:r>
      <w:r>
        <w:t xml:space="preserve"> </w:t>
      </w:r>
      <w:r>
        <w:t xml:space="preserve">Mahlapuu 2021, PMID 34687253.</w:t>
      </w:r>
    </w:p>
  </w:footnote>
  <w:footnote w:id="1122">
    <w:p>
      <w:pPr>
        <w:pStyle w:val="FootnoteText"/>
      </w:pPr>
      <w:r>
        <w:rPr>
          <w:rStyle w:val="FootnoteReference"/>
        </w:rPr>
        <w:footnoteRef/>
      </w:r>
      <w:r>
        <w:t xml:space="preserve"> </w:t>
      </w:r>
      <w:r>
        <w:t xml:space="preserve">Winicki 2022, PMID 36741836.</w:t>
      </w:r>
    </w:p>
  </w:footnote>
  <w:footnote w:id="1123">
    <w:p>
      <w:pPr>
        <w:pStyle w:val="FootnoteText"/>
      </w:pPr>
      <w:r>
        <w:rPr>
          <w:rStyle w:val="FootnoteReference"/>
        </w:rPr>
        <w:footnoteRef/>
      </w:r>
      <w:r>
        <w:t xml:space="preserve"> </w:t>
      </w:r>
      <w:r>
        <w:t xml:space="preserve">Thomas 2017, PMID 28941172.</w:t>
      </w:r>
    </w:p>
  </w:footnote>
  <w:footnote w:id="1125">
    <w:p>
      <w:pPr>
        <w:pStyle w:val="FootnoteText"/>
      </w:pPr>
      <w:r>
        <w:rPr>
          <w:rStyle w:val="FootnoteReference"/>
        </w:rPr>
        <w:footnoteRef/>
      </w:r>
      <w:r>
        <w:t xml:space="preserve"> </w:t>
      </w:r>
      <w:r>
        <w:t xml:space="preserve">Swartjes 2014, PMID 24529189.</w:t>
      </w:r>
    </w:p>
  </w:footnote>
  <w:footnote w:id="1126">
    <w:p>
      <w:pPr>
        <w:pStyle w:val="FootnoteText"/>
      </w:pPr>
      <w:r>
        <w:rPr>
          <w:rStyle w:val="FootnoteReference"/>
        </w:rPr>
        <w:footnoteRef/>
      </w:r>
      <w:r>
        <w:t xml:space="preserve"> </w:t>
      </w:r>
      <w:r>
        <w:t xml:space="preserve">Thomas 2017, PMID 28941172.</w:t>
      </w:r>
    </w:p>
  </w:footnote>
  <w:footnote w:id="1128">
    <w:p>
      <w:pPr>
        <w:pStyle w:val="FootnoteText"/>
      </w:pPr>
      <w:r>
        <w:rPr>
          <w:rStyle w:val="FootnoteReference"/>
        </w:rPr>
        <w:footnoteRef/>
      </w:r>
      <w:r>
        <w:t xml:space="preserve"> </w:t>
      </w:r>
      <w:r>
        <w:t xml:space="preserve">Heij 2012, PMID 23168581.</w:t>
      </w:r>
    </w:p>
  </w:footnote>
  <w:footnote w:id="1129">
    <w:p>
      <w:pPr>
        <w:pStyle w:val="FootnoteText"/>
      </w:pPr>
      <w:r>
        <w:rPr>
          <w:rStyle w:val="FootnoteReference"/>
        </w:rPr>
        <w:footnoteRef/>
      </w:r>
      <w:r>
        <w:t xml:space="preserve"> </w:t>
      </w:r>
      <w:r>
        <w:t xml:space="preserve">Culver 2017, PMID 28475703.</w:t>
      </w:r>
    </w:p>
  </w:footnote>
  <w:footnote w:id="1130">
    <w:p>
      <w:pPr>
        <w:pStyle w:val="FootnoteText"/>
      </w:pPr>
      <w:r>
        <w:rPr>
          <w:rStyle w:val="FootnoteReference"/>
        </w:rPr>
        <w:footnoteRef/>
      </w:r>
      <w:r>
        <w:t xml:space="preserve"> </w:t>
      </w:r>
      <w:r>
        <w:t xml:space="preserve">van Velzen 2014, PMID 24555851.</w:t>
      </w:r>
    </w:p>
  </w:footnote>
  <w:footnote w:id="1132">
    <w:p>
      <w:pPr>
        <w:pStyle w:val="FootnoteText"/>
      </w:pPr>
      <w:r>
        <w:rPr>
          <w:rStyle w:val="FootnoteReference"/>
        </w:rPr>
        <w:footnoteRef/>
      </w:r>
      <w:r>
        <w:t xml:space="preserve"> </w:t>
      </w:r>
      <w:r>
        <w:t xml:space="preserve">Brines 2015, PMID 25387363.</w:t>
      </w:r>
    </w:p>
  </w:footnote>
  <w:footnote w:id="1133">
    <w:p>
      <w:pPr>
        <w:pStyle w:val="FootnoteText"/>
      </w:pPr>
      <w:r>
        <w:rPr>
          <w:rStyle w:val="FootnoteReference"/>
        </w:rPr>
        <w:footnoteRef/>
      </w:r>
      <w:r>
        <w:t xml:space="preserve"> </w:t>
      </w:r>
      <w:r>
        <w:t xml:space="preserve">NCT01933529.</w:t>
      </w:r>
    </w:p>
  </w:footnote>
  <w:footnote w:id="1134">
    <w:p>
      <w:pPr>
        <w:pStyle w:val="FootnoteText"/>
      </w:pPr>
      <w:r>
        <w:rPr>
          <w:rStyle w:val="FootnoteReference"/>
        </w:rPr>
        <w:footnoteRef/>
      </w:r>
      <w:r>
        <w:t xml:space="preserve"> </w:t>
      </w:r>
      <w:r>
        <w:t xml:space="preserve">Lois 2020, PMID 32674280.</w:t>
      </w:r>
    </w:p>
  </w:footnote>
  <w:footnote w:id="1137">
    <w:p>
      <w:pPr>
        <w:pStyle w:val="FootnoteText"/>
      </w:pPr>
      <w:r>
        <w:rPr>
          <w:rStyle w:val="FootnoteReference"/>
        </w:rPr>
        <w:footnoteRef/>
      </w:r>
      <w:r>
        <w:t xml:space="preserve"> </w:t>
      </w:r>
      <w:r>
        <w:t xml:space="preserve">Swartjes 2014, PMID 24529189; Pulman 2013, PMID 23262243.</w:t>
      </w:r>
    </w:p>
  </w:footnote>
  <w:footnote w:id="1138">
    <w:p>
      <w:pPr>
        <w:pStyle w:val="FootnoteText"/>
      </w:pPr>
      <w:r>
        <w:rPr>
          <w:rStyle w:val="FootnoteReference"/>
        </w:rPr>
        <w:footnoteRef/>
      </w:r>
      <w:r>
        <w:t xml:space="preserve"> </w:t>
      </w:r>
      <w:r>
        <w:t xml:space="preserve">van Rijt 2013, PMID 23302512.</w:t>
      </w:r>
    </w:p>
  </w:footnote>
  <w:footnote w:id="1139">
    <w:p>
      <w:pPr>
        <w:pStyle w:val="FootnoteText"/>
      </w:pPr>
      <w:r>
        <w:rPr>
          <w:rStyle w:val="FootnoteReference"/>
        </w:rPr>
        <w:footnoteRef/>
      </w:r>
      <w:r>
        <w:t xml:space="preserve"> </w:t>
      </w:r>
      <w:r>
        <w:t xml:space="preserve">Muller 2016, PMID 26736179.</w:t>
      </w:r>
    </w:p>
  </w:footnote>
  <w:footnote w:id="1140">
    <w:p>
      <w:pPr>
        <w:pStyle w:val="FootnoteText"/>
      </w:pPr>
      <w:r>
        <w:rPr>
          <w:rStyle w:val="FootnoteReference"/>
        </w:rPr>
        <w:footnoteRef/>
      </w:r>
      <w:r>
        <w:t xml:space="preserve"> </w:t>
      </w:r>
      <w:r>
        <w:t xml:space="preserve">Al-Onaizi 2022, PMID 34343617.</w:t>
      </w:r>
    </w:p>
  </w:footnote>
  <w:footnote w:id="1141">
    <w:p>
      <w:pPr>
        <w:pStyle w:val="FootnoteText"/>
      </w:pPr>
      <w:r>
        <w:rPr>
          <w:rStyle w:val="FootnoteReference"/>
        </w:rPr>
        <w:footnoteRef/>
      </w:r>
      <w:r>
        <w:t xml:space="preserve"> </w:t>
      </w:r>
      <w:r>
        <w:t xml:space="preserve">Winicki 2022, PMID 36741836.</w:t>
      </w:r>
    </w:p>
  </w:footnote>
  <w:footnote w:id="1143">
    <w:p>
      <w:pPr>
        <w:pStyle w:val="FootnoteText"/>
      </w:pPr>
      <w:r>
        <w:rPr>
          <w:rStyle w:val="FootnoteReference"/>
        </w:rPr>
        <w:footnoteRef/>
      </w:r>
      <w:r>
        <w:t xml:space="preserve"> </w:t>
      </w:r>
      <w:r>
        <w:t xml:space="preserve">Heij 2012, PMID 23168581; Brines 2015, PMID 25387363.</w:t>
      </w:r>
    </w:p>
  </w:footnote>
  <w:footnote w:id="1144">
    <w:p>
      <w:pPr>
        <w:pStyle w:val="FootnoteText"/>
      </w:pPr>
      <w:r>
        <w:rPr>
          <w:rStyle w:val="FootnoteReference"/>
        </w:rPr>
        <w:footnoteRef/>
      </w:r>
      <w:r>
        <w:t xml:space="preserve"> </w:t>
      </w:r>
      <w:r>
        <w:t xml:space="preserve">Lois 2020, PMID 32674280.</w:t>
      </w:r>
    </w:p>
  </w:footnote>
  <w:footnote w:id="1149">
    <w:p>
      <w:pPr>
        <w:pStyle w:val="FootnoteText"/>
      </w:pPr>
      <w:r>
        <w:rPr>
          <w:rStyle w:val="FootnoteReference"/>
        </w:rPr>
        <w:footnoteRef/>
      </w:r>
      <w:r>
        <w:t xml:space="preserve"> </w:t>
      </w:r>
      <w:r>
        <w:t xml:space="preserve">NCT02039687.</w:t>
      </w:r>
    </w:p>
  </w:footnote>
  <w:footnote w:id="1150">
    <w:p>
      <w:pPr>
        <w:pStyle w:val="FootnoteText"/>
      </w:pPr>
      <w:r>
        <w:rPr>
          <w:rStyle w:val="FootnoteReference"/>
        </w:rPr>
        <w:footnoteRef/>
      </w:r>
      <w:r>
        <w:t xml:space="preserve"> </w:t>
      </w:r>
      <w:r>
        <w:t xml:space="preserve">NCT06626971.</w:t>
      </w:r>
    </w:p>
  </w:footnote>
  <w:footnote w:id="1152">
    <w:p>
      <w:pPr>
        <w:pStyle w:val="FootnoteText"/>
      </w:pPr>
      <w:r>
        <w:rPr>
          <w:rStyle w:val="FootnoteReference"/>
        </w:rPr>
        <w:footnoteRef/>
      </w:r>
      <w:r>
        <w:t xml:space="preserve"> </w:t>
      </w:r>
      <w:r>
        <w:t xml:space="preserve">Culver 2017, PMID 28475703.</w:t>
      </w:r>
    </w:p>
  </w:footnote>
  <w:footnote w:id="1155">
    <w:p>
      <w:pPr>
        <w:pStyle w:val="FootnoteText"/>
      </w:pPr>
      <w:r>
        <w:rPr>
          <w:rStyle w:val="FootnoteReference"/>
        </w:rPr>
        <w:footnoteRef/>
      </w:r>
      <w:r>
        <w:t xml:space="preserve"> </w:t>
      </w:r>
      <w:r>
        <w:t xml:space="preserve">Gopalakrishnan 2012, PMID 22401908.</w:t>
      </w:r>
    </w:p>
  </w:footnote>
  <w:footnote w:id="1157">
    <w:p>
      <w:pPr>
        <w:pStyle w:val="FootnoteText"/>
      </w:pPr>
      <w:r>
        <w:rPr>
          <w:rStyle w:val="FootnoteReference"/>
        </w:rPr>
        <w:footnoteRef/>
      </w:r>
      <w:r>
        <w:t xml:space="preserve"> </w:t>
      </w:r>
      <w:r>
        <w:t xml:space="preserve">Gopalakrishnan 2012, PMID 22401908.</w:t>
      </w:r>
    </w:p>
  </w:footnote>
  <w:footnote w:id="1158">
    <w:p>
      <w:pPr>
        <w:pStyle w:val="FootnoteText"/>
      </w:pPr>
      <w:r>
        <w:rPr>
          <w:rStyle w:val="FootnoteReference"/>
        </w:rPr>
        <w:footnoteRef/>
      </w:r>
      <w:r>
        <w:t xml:space="preserve"> </w:t>
      </w:r>
      <w:r>
        <w:t xml:space="preserve">Slifer 2021, PMID 33881350.</w:t>
      </w:r>
    </w:p>
  </w:footnote>
  <w:footnote w:id="1160">
    <w:p>
      <w:pPr>
        <w:pStyle w:val="FootnoteText"/>
      </w:pPr>
      <w:r>
        <w:rPr>
          <w:rStyle w:val="FootnoteReference"/>
        </w:rPr>
        <w:footnoteRef/>
      </w:r>
      <w:r>
        <w:t xml:space="preserve"> </w:t>
      </w:r>
      <w:r>
        <w:t xml:space="preserve">Hoilat 2022, PMID 34339872.</w:t>
      </w:r>
    </w:p>
  </w:footnote>
  <w:footnote w:id="1161">
    <w:p>
      <w:pPr>
        <w:pStyle w:val="FootnoteText"/>
      </w:pPr>
      <w:r>
        <w:rPr>
          <w:rStyle w:val="FootnoteReference"/>
        </w:rPr>
        <w:footnoteRef/>
      </w:r>
      <w:r>
        <w:t xml:space="preserve"> </w:t>
      </w:r>
      <w:r>
        <w:t xml:space="preserve">Leffler 2012, PMID 22825365; Kelly 2013, PMID 23163616.</w:t>
      </w:r>
    </w:p>
  </w:footnote>
  <w:footnote w:id="1162">
    <w:p>
      <w:pPr>
        <w:pStyle w:val="FootnoteText"/>
      </w:pPr>
      <w:r>
        <w:rPr>
          <w:rStyle w:val="FootnoteReference"/>
        </w:rPr>
        <w:footnoteRef/>
      </w:r>
      <w:r>
        <w:t xml:space="preserve"> </w:t>
      </w:r>
      <w:r>
        <w:t xml:space="preserve">Kelly 2013, PMID 23163616.</w:t>
      </w:r>
    </w:p>
  </w:footnote>
  <w:footnote w:id="1163">
    <w:p>
      <w:pPr>
        <w:pStyle w:val="FootnoteText"/>
      </w:pPr>
      <w:r>
        <w:rPr>
          <w:rStyle w:val="FootnoteReference"/>
        </w:rPr>
        <w:footnoteRef/>
      </w:r>
      <w:r>
        <w:t xml:space="preserve"> </w:t>
      </w:r>
      <w:r>
        <w:t xml:space="preserve">Leffler 2015, PMID 25683116.</w:t>
      </w:r>
    </w:p>
  </w:footnote>
  <w:footnote w:id="1164">
    <w:p>
      <w:pPr>
        <w:pStyle w:val="FootnoteText"/>
      </w:pPr>
      <w:r>
        <w:rPr>
          <w:rStyle w:val="FootnoteReference"/>
        </w:rPr>
        <w:footnoteRef/>
      </w:r>
      <w:r>
        <w:t xml:space="preserve"> </w:t>
      </w:r>
      <w:r>
        <w:t xml:space="preserve">Hoilat 2022, PMID 34339872.</w:t>
      </w:r>
    </w:p>
  </w:footnote>
  <w:footnote w:id="1166">
    <w:p>
      <w:pPr>
        <w:pStyle w:val="FootnoteText"/>
      </w:pPr>
      <w:r>
        <w:rPr>
          <w:rStyle w:val="FootnoteReference"/>
        </w:rPr>
        <w:footnoteRef/>
      </w:r>
      <w:r>
        <w:t xml:space="preserve"> </w:t>
      </w:r>
      <w:r>
        <w:t xml:space="preserve">NCT03569007.</w:t>
      </w:r>
    </w:p>
  </w:footnote>
  <w:footnote w:id="1167">
    <w:p>
      <w:pPr>
        <w:pStyle w:val="FootnoteText"/>
      </w:pPr>
      <w:r>
        <w:rPr>
          <w:rStyle w:val="FootnoteReference"/>
        </w:rPr>
        <w:footnoteRef/>
      </w:r>
      <w:r>
        <w:t xml:space="preserve"> </w:t>
      </w:r>
      <w:r>
        <w:t xml:space="preserve">D’heedene 2024, PMID 38648685.</w:t>
      </w:r>
    </w:p>
  </w:footnote>
  <w:footnote w:id="1168">
    <w:p>
      <w:pPr>
        <w:pStyle w:val="FootnoteText"/>
      </w:pPr>
      <w:r>
        <w:rPr>
          <w:rStyle w:val="FootnoteReference"/>
        </w:rPr>
        <w:footnoteRef/>
      </w:r>
      <w:r>
        <w:t xml:space="preserve"> </w:t>
      </w:r>
      <w:r>
        <w:t xml:space="preserve">Girbal-González 2025, PMID 41010485.</w:t>
      </w:r>
    </w:p>
  </w:footnote>
  <w:footnote w:id="1170">
    <w:p>
      <w:pPr>
        <w:pStyle w:val="FootnoteText"/>
      </w:pPr>
      <w:r>
        <w:rPr>
          <w:rStyle w:val="FootnoteReference"/>
        </w:rPr>
        <w:footnoteRef/>
      </w:r>
      <w:r>
        <w:t xml:space="preserve"> </w:t>
      </w:r>
      <w:r>
        <w:t xml:space="preserve">Yonker 2022, PMID 35211683.</w:t>
      </w:r>
    </w:p>
  </w:footnote>
  <w:footnote w:id="1171">
    <w:p>
      <w:pPr>
        <w:pStyle w:val="FootnoteText"/>
      </w:pPr>
      <w:r>
        <w:rPr>
          <w:rStyle w:val="FootnoteReference"/>
        </w:rPr>
        <w:footnoteRef/>
      </w:r>
      <w:r>
        <w:t xml:space="preserve"> </w:t>
      </w:r>
      <w:r>
        <w:t xml:space="preserve">Yonker 2025, PMID 40737433.</w:t>
      </w:r>
    </w:p>
  </w:footnote>
  <w:footnote w:id="1172">
    <w:p>
      <w:pPr>
        <w:pStyle w:val="FootnoteText"/>
      </w:pPr>
      <w:r>
        <w:rPr>
          <w:rStyle w:val="FootnoteReference"/>
        </w:rPr>
        <w:footnoteRef/>
      </w:r>
      <w:r>
        <w:t xml:space="preserve"> </w:t>
      </w:r>
      <w:r>
        <w:t xml:space="preserve">NCT05022303.</w:t>
      </w:r>
    </w:p>
  </w:footnote>
  <w:footnote w:id="1173">
    <w:p>
      <w:pPr>
        <w:pStyle w:val="FootnoteText"/>
      </w:pPr>
      <w:r>
        <w:rPr>
          <w:rStyle w:val="FootnoteReference"/>
        </w:rPr>
        <w:footnoteRef/>
      </w:r>
      <w:r>
        <w:t xml:space="preserve"> </w:t>
      </w:r>
      <w:r>
        <w:t xml:space="preserve">NCT05747534.</w:t>
      </w:r>
    </w:p>
  </w:footnote>
  <w:footnote w:id="1176">
    <w:p>
      <w:pPr>
        <w:pStyle w:val="FootnoteText"/>
      </w:pPr>
      <w:r>
        <w:rPr>
          <w:rStyle w:val="FootnoteReference"/>
        </w:rPr>
        <w:footnoteRef/>
      </w:r>
      <w:r>
        <w:t xml:space="preserve"> </w:t>
      </w:r>
      <w:r>
        <w:t xml:space="preserve">Tajik 2020, PMID 32332732.</w:t>
      </w:r>
    </w:p>
  </w:footnote>
  <w:footnote w:id="1177">
    <w:p>
      <w:pPr>
        <w:pStyle w:val="FootnoteText"/>
      </w:pPr>
      <w:r>
        <w:rPr>
          <w:rStyle w:val="FootnoteReference"/>
        </w:rPr>
        <w:footnoteRef/>
      </w:r>
      <w:r>
        <w:t xml:space="preserve"> </w:t>
      </w:r>
      <w:r>
        <w:t xml:space="preserve">Slifer 2021, PMID 33881350.</w:t>
      </w:r>
    </w:p>
  </w:footnote>
  <w:footnote w:id="1178">
    <w:p>
      <w:pPr>
        <w:pStyle w:val="FootnoteText"/>
      </w:pPr>
      <w:r>
        <w:rPr>
          <w:rStyle w:val="FootnoteReference"/>
        </w:rPr>
        <w:footnoteRef/>
      </w:r>
      <w:r>
        <w:t xml:space="preserve"> </w:t>
      </w:r>
      <w:r>
        <w:t xml:space="preserve">Karahan 2024, PMID 38441784; Caliskan 2021, PMID 34791921.</w:t>
      </w:r>
    </w:p>
  </w:footnote>
  <w:footnote w:id="1180">
    <w:p>
      <w:pPr>
        <w:pStyle w:val="FootnoteText"/>
      </w:pPr>
      <w:r>
        <w:rPr>
          <w:rStyle w:val="FootnoteReference"/>
        </w:rPr>
        <w:footnoteRef/>
      </w:r>
      <w:r>
        <w:t xml:space="preserve"> </w:t>
      </w:r>
      <w:r>
        <w:t xml:space="preserve">Leffler 2012, PMID 22825365.</w:t>
      </w:r>
    </w:p>
  </w:footnote>
  <w:footnote w:id="1181">
    <w:p>
      <w:pPr>
        <w:pStyle w:val="FootnoteText"/>
      </w:pPr>
      <w:r>
        <w:rPr>
          <w:rStyle w:val="FootnoteReference"/>
        </w:rPr>
        <w:footnoteRef/>
      </w:r>
      <w:r>
        <w:t xml:space="preserve"> </w:t>
      </w:r>
      <w:r>
        <w:t xml:space="preserve">Leffler 2015, PMID 25683116.</w:t>
      </w:r>
    </w:p>
  </w:footnote>
  <w:footnote w:id="1182">
    <w:p>
      <w:pPr>
        <w:pStyle w:val="FootnoteText"/>
      </w:pPr>
      <w:r>
        <w:rPr>
          <w:rStyle w:val="FootnoteReference"/>
        </w:rPr>
        <w:footnoteRef/>
      </w:r>
      <w:r>
        <w:t xml:space="preserve"> </w:t>
      </w:r>
      <w:r>
        <w:t xml:space="preserve">Hoilat 2022, PMID 34339872.</w:t>
      </w:r>
    </w:p>
  </w:footnote>
  <w:footnote w:id="1187">
    <w:p>
      <w:pPr>
        <w:pStyle w:val="FootnoteText"/>
      </w:pPr>
      <w:r>
        <w:rPr>
          <w:rStyle w:val="FootnoteReference"/>
        </w:rPr>
        <w:footnoteRef/>
      </w:r>
      <w:r>
        <w:t xml:space="preserve"> </w:t>
      </w:r>
      <w:r>
        <w:t xml:space="preserve">NCT05747534.</w:t>
      </w:r>
    </w:p>
  </w:footnote>
  <w:footnote w:id="1188">
    <w:p>
      <w:pPr>
        <w:pStyle w:val="FootnoteText"/>
      </w:pPr>
      <w:r>
        <w:rPr>
          <w:rStyle w:val="FootnoteReference"/>
        </w:rPr>
        <w:footnoteRef/>
      </w:r>
      <w:r>
        <w:t xml:space="preserve"> </w:t>
      </w:r>
      <w:r>
        <w:t xml:space="preserve">D’heedene 2024, PMID 38648685.</w:t>
      </w:r>
    </w:p>
  </w:footnote>
  <w:footnote w:id="1190">
    <w:p>
      <w:pPr>
        <w:pStyle w:val="FootnoteText"/>
      </w:pPr>
      <w:r>
        <w:rPr>
          <w:rStyle w:val="FootnoteReference"/>
        </w:rPr>
        <w:footnoteRef/>
      </w:r>
      <w:r>
        <w:t xml:space="preserve"> </w:t>
      </w:r>
      <w:r>
        <w:t xml:space="preserve">Leffler 2015, PMID 25683116.</w:t>
      </w:r>
    </w:p>
  </w:footnote>
  <w:footnote w:id="1193">
    <w:p>
      <w:pPr>
        <w:pStyle w:val="FootnoteText"/>
      </w:pPr>
      <w:r>
        <w:rPr>
          <w:rStyle w:val="FootnoteReference"/>
        </w:rPr>
        <w:footnoteRef/>
      </w:r>
      <w:r>
        <w:t xml:space="preserve"> </w:t>
      </w:r>
      <w:r>
        <w:t xml:space="preserve">Morozov 1997, PMID 9637345.</w:t>
      </w:r>
    </w:p>
  </w:footnote>
  <w:footnote w:id="1194">
    <w:p>
      <w:pPr>
        <w:pStyle w:val="FootnoteText"/>
      </w:pPr>
      <w:r>
        <w:rPr>
          <w:rStyle w:val="FootnoteReference"/>
        </w:rPr>
        <w:footnoteRef/>
      </w:r>
      <w:r>
        <w:t xml:space="preserve"> </w:t>
      </w:r>
      <w:r>
        <w:t xml:space="preserve">Linkova 2023, PMID 37686182.</w:t>
      </w:r>
    </w:p>
  </w:footnote>
  <w:footnote w:id="1195">
    <w:p>
      <w:pPr>
        <w:pStyle w:val="FootnoteText"/>
      </w:pPr>
      <w:r>
        <w:rPr>
          <w:rStyle w:val="FootnoteReference"/>
        </w:rPr>
        <w:footnoteRef/>
      </w:r>
      <w:r>
        <w:t xml:space="preserve"> </w:t>
      </w:r>
      <w:r>
        <w:t xml:space="preserve">Anisimov 2000, PMID 11707921.</w:t>
      </w:r>
    </w:p>
  </w:footnote>
  <w:footnote w:id="1197">
    <w:p>
      <w:pPr>
        <w:pStyle w:val="FootnoteText"/>
      </w:pPr>
      <w:r>
        <w:rPr>
          <w:rStyle w:val="FootnoteReference"/>
        </w:rPr>
        <w:footnoteRef/>
      </w:r>
      <w:r>
        <w:t xml:space="preserve"> </w:t>
      </w:r>
      <w:r>
        <w:t xml:space="preserve">Morozov 1997, PMID 9637345.</w:t>
      </w:r>
    </w:p>
  </w:footnote>
  <w:footnote w:id="1198">
    <w:p>
      <w:pPr>
        <w:pStyle w:val="FootnoteText"/>
      </w:pPr>
      <w:r>
        <w:rPr>
          <w:rStyle w:val="FootnoteReference"/>
        </w:rPr>
        <w:footnoteRef/>
      </w:r>
      <w:r>
        <w:t xml:space="preserve"> </w:t>
      </w:r>
      <w:r>
        <w:t xml:space="preserve">Khavinson 2002, PMID 12374906.</w:t>
      </w:r>
    </w:p>
  </w:footnote>
  <w:footnote w:id="1199">
    <w:p>
      <w:pPr>
        <w:pStyle w:val="FootnoteText"/>
      </w:pPr>
      <w:r>
        <w:rPr>
          <w:rStyle w:val="FootnoteReference"/>
        </w:rPr>
        <w:footnoteRef/>
      </w:r>
      <w:r>
        <w:t xml:space="preserve"> </w:t>
      </w:r>
      <w:r>
        <w:t xml:space="preserve">Linkova 2023, PMID 37686182.</w:t>
      </w:r>
    </w:p>
  </w:footnote>
  <w:footnote w:id="1201">
    <w:p>
      <w:pPr>
        <w:pStyle w:val="FootnoteText"/>
      </w:pPr>
      <w:r>
        <w:rPr>
          <w:rStyle w:val="FootnoteReference"/>
        </w:rPr>
        <w:footnoteRef/>
      </w:r>
      <w:r>
        <w:t xml:space="preserve"> </w:t>
      </w:r>
      <w:r>
        <w:t xml:space="preserve">Khavinson 2003, PMID 14523363.</w:t>
      </w:r>
    </w:p>
  </w:footnote>
  <w:footnote w:id="1203">
    <w:p>
      <w:pPr>
        <w:pStyle w:val="FootnoteText"/>
      </w:pPr>
      <w:r>
        <w:rPr>
          <w:rStyle w:val="FootnoteReference"/>
        </w:rPr>
        <w:footnoteRef/>
      </w:r>
      <w:r>
        <w:t xml:space="preserve"> </w:t>
      </w:r>
      <w:r>
        <w:t xml:space="preserve">Kuznik 2022, PMID 36169363.</w:t>
      </w:r>
    </w:p>
  </w:footnote>
  <w:footnote w:id="1204">
    <w:p>
      <w:pPr>
        <w:pStyle w:val="FootnoteText"/>
      </w:pPr>
      <w:r>
        <w:rPr>
          <w:rStyle w:val="FootnoteReference"/>
        </w:rPr>
        <w:footnoteRef/>
      </w:r>
      <w:r>
        <w:t xml:space="preserve"> </w:t>
      </w:r>
      <w:r>
        <w:t xml:space="preserve">Khavinson 2021, PMID 33575961.</w:t>
      </w:r>
    </w:p>
  </w:footnote>
  <w:footnote w:id="1206">
    <w:p>
      <w:pPr>
        <w:pStyle w:val="FootnoteText"/>
      </w:pPr>
      <w:r>
        <w:rPr>
          <w:rStyle w:val="FootnoteReference"/>
        </w:rPr>
        <w:footnoteRef/>
      </w:r>
      <w:r>
        <w:t xml:space="preserve"> </w:t>
      </w:r>
      <w:r>
        <w:t xml:space="preserve">Smirnov 2011, PMID 21957588.</w:t>
      </w:r>
    </w:p>
  </w:footnote>
  <w:footnote w:id="1210">
    <w:p>
      <w:pPr>
        <w:pStyle w:val="FootnoteText"/>
      </w:pPr>
      <w:r>
        <w:rPr>
          <w:rStyle w:val="FootnoteReference"/>
        </w:rPr>
        <w:footnoteRef/>
      </w:r>
      <w:r>
        <w:t xml:space="preserve"> </w:t>
      </w:r>
      <w:r>
        <w:t xml:space="preserve">Anisimov 2000, PMID 11707921.</w:t>
      </w:r>
    </w:p>
  </w:footnote>
  <w:footnote w:id="1211">
    <w:p>
      <w:pPr>
        <w:pStyle w:val="FootnoteText"/>
      </w:pPr>
      <w:r>
        <w:rPr>
          <w:rStyle w:val="FootnoteReference"/>
        </w:rPr>
        <w:footnoteRef/>
      </w:r>
      <w:r>
        <w:t xml:space="preserve"> </w:t>
      </w:r>
      <w:r>
        <w:t xml:space="preserve">Khavinson 2020, PMID 33237528.</w:t>
      </w:r>
    </w:p>
  </w:footnote>
  <w:footnote w:id="1219">
    <w:p>
      <w:pPr>
        <w:pStyle w:val="FootnoteText"/>
      </w:pPr>
      <w:r>
        <w:rPr>
          <w:rStyle w:val="FootnoteReference"/>
        </w:rPr>
        <w:footnoteRef/>
      </w:r>
      <w:r>
        <w:t xml:space="preserve"> </w:t>
      </w:r>
      <w:r>
        <w:t xml:space="preserve">Khavinson 2003, PMID 14523363.</w:t>
      </w:r>
    </w:p>
  </w:footnote>
  <w:footnote w:id="1223">
    <w:p>
      <w:pPr>
        <w:pStyle w:val="FootnoteText"/>
      </w:pPr>
      <w:r>
        <w:rPr>
          <w:rStyle w:val="FootnoteReference"/>
        </w:rPr>
        <w:footnoteRef/>
      </w:r>
      <w:r>
        <w:t xml:space="preserve"> </w:t>
      </w:r>
      <w:r>
        <w:t xml:space="preserve">Kojima 1999, PMID 10604470.</w:t>
      </w:r>
    </w:p>
  </w:footnote>
  <w:footnote w:id="1225">
    <w:p>
      <w:pPr>
        <w:pStyle w:val="FootnoteText"/>
      </w:pPr>
      <w:r>
        <w:rPr>
          <w:rStyle w:val="FootnoteReference"/>
        </w:rPr>
        <w:footnoteRef/>
      </w:r>
      <w:r>
        <w:t xml:space="preserve"> </w:t>
      </w:r>
      <w:r>
        <w:t xml:space="preserve">Liu 2008, PMID 18347346.</w:t>
      </w:r>
    </w:p>
  </w:footnote>
  <w:footnote w:id="1226">
    <w:p>
      <w:pPr>
        <w:pStyle w:val="FootnoteText"/>
      </w:pPr>
      <w:r>
        <w:rPr>
          <w:rStyle w:val="FootnoteReference"/>
        </w:rPr>
        <w:footnoteRef/>
      </w:r>
      <w:r>
        <w:t xml:space="preserve"> </w:t>
      </w:r>
      <w:r>
        <w:t xml:space="preserve">Liu 2007, PMID 17227934.</w:t>
      </w:r>
    </w:p>
  </w:footnote>
  <w:footnote w:id="1228">
    <w:p>
      <w:pPr>
        <w:pStyle w:val="FootnoteText"/>
      </w:pPr>
      <w:r>
        <w:rPr>
          <w:rStyle w:val="FootnoteReference"/>
        </w:rPr>
        <w:footnoteRef/>
      </w:r>
      <w:r>
        <w:t xml:space="preserve"> </w:t>
      </w:r>
      <w:r>
        <w:t xml:space="preserve">Renehan 2004, PMID 15110491.</w:t>
      </w:r>
    </w:p>
  </w:footnote>
  <w:footnote w:id="1229">
    <w:p>
      <w:pPr>
        <w:pStyle w:val="FootnoteText"/>
      </w:pPr>
      <w:r>
        <w:rPr>
          <w:rStyle w:val="FootnoteReference"/>
        </w:rPr>
        <w:footnoteRef/>
      </w:r>
      <w:r>
        <w:t xml:space="preserve"> </w:t>
      </w:r>
      <w:r>
        <w:t xml:space="preserve">Murphy 2020, PMID 32169310; Murphy 2020, PMID 31884074.</w:t>
      </w:r>
    </w:p>
  </w:footnote>
  <w:footnote w:id="1230">
    <w:p>
      <w:pPr>
        <w:pStyle w:val="FootnoteText"/>
      </w:pPr>
      <w:r>
        <w:rPr>
          <w:rStyle w:val="FootnoteReference"/>
        </w:rPr>
        <w:footnoteRef/>
      </w:r>
      <w:r>
        <w:t xml:space="preserve"> </w:t>
      </w:r>
      <w:r>
        <w:t xml:space="preserve">Dal 2018, PMID 29590449.</w:t>
      </w:r>
    </w:p>
  </w:footnote>
  <w:footnote w:id="1231">
    <w:p>
      <w:pPr>
        <w:pStyle w:val="FootnoteText"/>
      </w:pPr>
      <w:r>
        <w:rPr>
          <w:rStyle w:val="FootnoteReference"/>
        </w:rPr>
        <w:footnoteRef/>
      </w:r>
      <w:r>
        <w:t xml:space="preserve"> </w:t>
      </w:r>
      <w:r>
        <w:t xml:space="preserve">Guevara-Aguirre 2011, PMID 21325617.</w:t>
      </w:r>
    </w:p>
  </w:footnote>
  <w:footnote w:id="1232">
    <w:p>
      <w:pPr>
        <w:pStyle w:val="FootnoteText"/>
      </w:pPr>
      <w:r>
        <w:rPr>
          <w:rStyle w:val="FootnoteReference"/>
        </w:rPr>
        <w:footnoteRef/>
      </w:r>
      <w:r>
        <w:t xml:space="preserve"> </w:t>
      </w:r>
      <w:r>
        <w:t xml:space="preserve">Swerdlow 2017, PMID 28187225.</w:t>
      </w:r>
    </w:p>
  </w:footnote>
  <w:footnote w:id="1233">
    <w:p>
      <w:pPr>
        <w:pStyle w:val="FootnoteText"/>
      </w:pPr>
      <w:r>
        <w:rPr>
          <w:rStyle w:val="FootnoteReference"/>
        </w:rPr>
        <w:footnoteRef/>
      </w:r>
      <w:r>
        <w:t xml:space="preserve"> </w:t>
      </w:r>
      <w:r>
        <w:t xml:space="preserve">Child 2015, PMID 25810462.</w:t>
      </w:r>
    </w:p>
  </w:footnote>
  <w:footnote w:id="1237">
    <w:p>
      <w:pPr>
        <w:pStyle w:val="FootnoteText"/>
      </w:pPr>
      <w:r>
        <w:rPr>
          <w:rStyle w:val="FootnoteReference"/>
        </w:rPr>
        <w:footnoteRef/>
      </w:r>
      <w:r>
        <w:t xml:space="preserve"> </w:t>
      </w:r>
      <w:r>
        <w:t xml:space="preserve">Prakash 1999, PMID 18031173.</w:t>
      </w:r>
    </w:p>
  </w:footnote>
  <w:footnote w:id="1239">
    <w:p>
      <w:pPr>
        <w:pStyle w:val="FootnoteText"/>
      </w:pPr>
      <w:r>
        <w:rPr>
          <w:rStyle w:val="FootnoteReference"/>
        </w:rPr>
        <w:footnoteRef/>
      </w:r>
      <w:r>
        <w:t xml:space="preserve"> </w:t>
      </w:r>
      <w:r>
        <w:t xml:space="preserve">Esposito 2003, PMID 14499707.</w:t>
      </w:r>
    </w:p>
  </w:footnote>
  <w:footnote w:id="1241">
    <w:p>
      <w:pPr>
        <w:pStyle w:val="FootnoteText"/>
      </w:pPr>
      <w:r>
        <w:rPr>
          <w:rStyle w:val="FootnoteReference"/>
        </w:rPr>
        <w:footnoteRef/>
      </w:r>
      <w:r>
        <w:t xml:space="preserve"> </w:t>
      </w:r>
      <w:r>
        <w:t xml:space="preserve">Thorner 1996, PMID 8772599.</w:t>
      </w:r>
    </w:p>
  </w:footnote>
  <w:footnote w:id="1242">
    <w:p>
      <w:pPr>
        <w:pStyle w:val="FootnoteText"/>
      </w:pPr>
      <w:r>
        <w:rPr>
          <w:rStyle w:val="FootnoteReference"/>
        </w:rPr>
        <w:footnoteRef/>
      </w:r>
      <w:r>
        <w:t xml:space="preserve"> </w:t>
      </w:r>
      <w:r>
        <w:t xml:space="preserve">Ross 1987, PMID 2879138.</w:t>
      </w:r>
    </w:p>
  </w:footnote>
  <w:footnote w:id="1243">
    <w:p>
      <w:pPr>
        <w:pStyle w:val="FootnoteText"/>
      </w:pPr>
      <w:r>
        <w:rPr>
          <w:rStyle w:val="FootnoteReference"/>
        </w:rPr>
        <w:footnoteRef/>
      </w:r>
      <w:r>
        <w:t xml:space="preserve"> </w:t>
      </w:r>
      <w:r>
        <w:t xml:space="preserve">Neyzi 1993, PMID 8329826.</w:t>
      </w:r>
    </w:p>
  </w:footnote>
  <w:footnote w:id="1244">
    <w:p>
      <w:pPr>
        <w:pStyle w:val="FootnoteText"/>
      </w:pPr>
      <w:r>
        <w:rPr>
          <w:rStyle w:val="FootnoteReference"/>
        </w:rPr>
        <w:footnoteRef/>
      </w:r>
      <w:r>
        <w:t xml:space="preserve"> </w:t>
      </w:r>
      <w:r>
        <w:t xml:space="preserve">Prakash 1999, PMID 18031173.</w:t>
      </w:r>
    </w:p>
  </w:footnote>
  <w:footnote w:id="1245">
    <w:p>
      <w:pPr>
        <w:pStyle w:val="FootnoteText"/>
      </w:pPr>
      <w:r>
        <w:rPr>
          <w:rStyle w:val="FootnoteReference"/>
        </w:rPr>
        <w:footnoteRef/>
      </w:r>
      <w:r>
        <w:t xml:space="preserve"> </w:t>
      </w:r>
      <w:r>
        <w:t xml:space="preserve">Kirk 1994, PMID 7955460.</w:t>
      </w:r>
    </w:p>
  </w:footnote>
  <w:footnote w:id="1247">
    <w:p>
      <w:pPr>
        <w:pStyle w:val="FootnoteText"/>
      </w:pPr>
      <w:r>
        <w:rPr>
          <w:rStyle w:val="FootnoteReference"/>
        </w:rPr>
        <w:footnoteRef/>
      </w:r>
      <w:r>
        <w:t xml:space="preserve"> </w:t>
      </w:r>
      <w:r>
        <w:t xml:space="preserve">Khorram 1997, PMID 9141536.</w:t>
      </w:r>
    </w:p>
  </w:footnote>
  <w:footnote w:id="1248">
    <w:p>
      <w:pPr>
        <w:pStyle w:val="FootnoteText"/>
      </w:pPr>
      <w:r>
        <w:rPr>
          <w:rStyle w:val="FootnoteReference"/>
        </w:rPr>
        <w:footnoteRef/>
      </w:r>
      <w:r>
        <w:t xml:space="preserve"> </w:t>
      </w:r>
      <w:r>
        <w:t xml:space="preserve">Khorram 1997, PMID 9360512.</w:t>
      </w:r>
    </w:p>
  </w:footnote>
  <w:footnote w:id="1249">
    <w:p>
      <w:pPr>
        <w:pStyle w:val="FootnoteText"/>
      </w:pPr>
      <w:r>
        <w:rPr>
          <w:rStyle w:val="FootnoteReference"/>
        </w:rPr>
        <w:footnoteRef/>
      </w:r>
      <w:r>
        <w:t xml:space="preserve"> </w:t>
      </w:r>
      <w:r>
        <w:t xml:space="preserve">Vittone 1997, PMID 9005976.</w:t>
      </w:r>
    </w:p>
  </w:footnote>
  <w:footnote w:id="1250">
    <w:p>
      <w:pPr>
        <w:pStyle w:val="FootnoteText"/>
      </w:pPr>
      <w:r>
        <w:rPr>
          <w:rStyle w:val="FootnoteReference"/>
        </w:rPr>
        <w:footnoteRef/>
      </w:r>
      <w:r>
        <w:t xml:space="preserve"> </w:t>
      </w:r>
      <w:r>
        <w:t xml:space="preserve">NCT00807365, NCT01410799.</w:t>
      </w:r>
    </w:p>
  </w:footnote>
  <w:footnote w:id="1252">
    <w:p>
      <w:pPr>
        <w:pStyle w:val="FootnoteText"/>
      </w:pPr>
      <w:r>
        <w:rPr>
          <w:rStyle w:val="FootnoteReference"/>
        </w:rPr>
        <w:footnoteRef/>
      </w:r>
      <w:r>
        <w:t xml:space="preserve"> </w:t>
      </w:r>
      <w:r>
        <w:t xml:space="preserve">Prakash 1999, PMID 18031173.</w:t>
      </w:r>
    </w:p>
  </w:footnote>
  <w:footnote w:id="1253">
    <w:p>
      <w:pPr>
        <w:pStyle w:val="FootnoteText"/>
      </w:pPr>
      <w:r>
        <w:rPr>
          <w:rStyle w:val="FootnoteReference"/>
        </w:rPr>
        <w:footnoteRef/>
      </w:r>
      <w:r>
        <w:t xml:space="preserve"> </w:t>
      </w:r>
      <w:r>
        <w:t xml:space="preserve">Garcia 2013, PMID 23559086.</w:t>
      </w:r>
    </w:p>
  </w:footnote>
  <w:footnote w:id="1255">
    <w:p>
      <w:pPr>
        <w:pStyle w:val="FootnoteText"/>
      </w:pPr>
      <w:r>
        <w:rPr>
          <w:rStyle w:val="FootnoteReference"/>
        </w:rPr>
        <w:footnoteRef/>
      </w:r>
      <w:r>
        <w:t xml:space="preserve"> </w:t>
      </w:r>
      <w:r>
        <w:t xml:space="preserve">Sigalos 2017, PMID 28830317.</w:t>
      </w:r>
    </w:p>
  </w:footnote>
  <w:footnote w:id="1258">
    <w:p>
      <w:pPr>
        <w:pStyle w:val="FootnoteText"/>
      </w:pPr>
      <w:r>
        <w:rPr>
          <w:rStyle w:val="FootnoteReference"/>
        </w:rPr>
        <w:footnoteRef/>
      </w:r>
      <w:r>
        <w:t xml:space="preserve"> </w:t>
      </w:r>
      <w:r>
        <w:t xml:space="preserve">Esposito 2003, PMID 14499707.</w:t>
      </w:r>
    </w:p>
  </w:footnote>
  <w:footnote w:id="1259">
    <w:p>
      <w:pPr>
        <w:pStyle w:val="FootnoteText"/>
      </w:pPr>
      <w:r>
        <w:rPr>
          <w:rStyle w:val="FootnoteReference"/>
        </w:rPr>
        <w:footnoteRef/>
      </w:r>
      <w:r>
        <w:t xml:space="preserve"> </w:t>
      </w:r>
      <w:r>
        <w:t xml:space="preserve">Chang 2021, PMID 33842627.</w:t>
      </w:r>
    </w:p>
  </w:footnote>
  <w:footnote w:id="1261">
    <w:p>
      <w:pPr>
        <w:pStyle w:val="FootnoteText"/>
      </w:pPr>
      <w:r>
        <w:rPr>
          <w:rStyle w:val="FootnoteReference"/>
        </w:rPr>
        <w:footnoteRef/>
      </w:r>
      <w:r>
        <w:t xml:space="preserve"> </w:t>
      </w:r>
      <w:r>
        <w:t xml:space="preserve">Prakash 1999, PMID 18031173.</w:t>
      </w:r>
    </w:p>
  </w:footnote>
  <w:footnote w:id="1262">
    <w:p>
      <w:pPr>
        <w:pStyle w:val="FootnoteText"/>
      </w:pPr>
      <w:r>
        <w:rPr>
          <w:rStyle w:val="FootnoteReference"/>
        </w:rPr>
        <w:footnoteRef/>
      </w:r>
      <w:r>
        <w:t xml:space="preserve"> </w:t>
      </w:r>
      <w:r>
        <w:t xml:space="preserve">Ross 1987, PMID 2879138.</w:t>
      </w:r>
    </w:p>
  </w:footnote>
  <w:footnote w:id="1263">
    <w:p>
      <w:pPr>
        <w:pStyle w:val="FootnoteText"/>
      </w:pPr>
      <w:r>
        <w:rPr>
          <w:rStyle w:val="FootnoteReference"/>
        </w:rPr>
        <w:footnoteRef/>
      </w:r>
      <w:r>
        <w:t xml:space="preserve"> </w:t>
      </w:r>
      <w:r>
        <w:t xml:space="preserve">Kirk 1994, PMID 7955460; Khorram 1997, PMID 9141536.</w:t>
      </w:r>
    </w:p>
  </w:footnote>
  <w:footnote w:id="1264">
    <w:p>
      <w:pPr>
        <w:pStyle w:val="FootnoteText"/>
      </w:pPr>
      <w:r>
        <w:rPr>
          <w:rStyle w:val="FootnoteReference"/>
        </w:rPr>
        <w:footnoteRef/>
      </w:r>
      <w:r>
        <w:t xml:space="preserve"> </w:t>
      </w:r>
      <w:r>
        <w:t xml:space="preserve">Perez 2026, PMID 42465868.</w:t>
      </w:r>
    </w:p>
  </w:footnote>
  <w:footnote w:id="1265">
    <w:p>
      <w:pPr>
        <w:pStyle w:val="FootnoteText"/>
      </w:pPr>
      <w:r>
        <w:rPr>
          <w:rStyle w:val="FootnoteReference"/>
        </w:rPr>
        <w:footnoteRef/>
      </w:r>
      <w:r>
        <w:t xml:space="preserve"> </w:t>
      </w:r>
      <w:r>
        <w:t xml:space="preserve">Venhuis 2016, PMID 26456392.</w:t>
      </w:r>
    </w:p>
  </w:footnote>
  <w:footnote w:id="1267">
    <w:p>
      <w:pPr>
        <w:pStyle w:val="FootnoteText"/>
      </w:pPr>
      <w:r>
        <w:rPr>
          <w:rStyle w:val="FootnoteReference"/>
        </w:rPr>
        <w:footnoteRef/>
      </w:r>
      <w:r>
        <w:t xml:space="preserve"> </w:t>
      </w:r>
      <w:r>
        <w:t xml:space="preserve">Garcia 2013, PMID 23559086.</w:t>
      </w:r>
    </w:p>
  </w:footnote>
  <w:footnote w:id="1268">
    <w:p>
      <w:pPr>
        <w:pStyle w:val="FootnoteText"/>
      </w:pPr>
      <w:r>
        <w:rPr>
          <w:rStyle w:val="FootnoteReference"/>
        </w:rPr>
        <w:footnoteRef/>
      </w:r>
      <w:r>
        <w:t xml:space="preserve"> </w:t>
      </w:r>
      <w:r>
        <w:t xml:space="preserve">Willis 2026, PMID 42752426.</w:t>
      </w:r>
    </w:p>
  </w:footnote>
  <w:footnote w:id="1269">
    <w:p>
      <w:pPr>
        <w:pStyle w:val="FootnoteText"/>
      </w:pPr>
      <w:r>
        <w:rPr>
          <w:rStyle w:val="FootnoteReference"/>
        </w:rPr>
        <w:footnoteRef/>
      </w:r>
      <w:r>
        <w:t xml:space="preserve"> </w:t>
      </w:r>
      <w:r>
        <w:t xml:space="preserve">Memdouh 2021, PMID 34665524.</w:t>
      </w:r>
    </w:p>
  </w:footnote>
  <w:footnote w:id="1274">
    <w:p>
      <w:pPr>
        <w:pStyle w:val="FootnoteText"/>
      </w:pPr>
      <w:r>
        <w:rPr>
          <w:rStyle w:val="FootnoteReference"/>
        </w:rPr>
        <w:footnoteRef/>
      </w:r>
      <w:r>
        <w:t xml:space="preserve"> </w:t>
      </w:r>
      <w:r>
        <w:t xml:space="preserve">Falutz 2010, PMID 20101189.</w:t>
      </w:r>
    </w:p>
  </w:footnote>
  <w:footnote w:id="1275">
    <w:p>
      <w:pPr>
        <w:pStyle w:val="FootnoteText"/>
      </w:pPr>
      <w:r>
        <w:rPr>
          <w:rStyle w:val="FootnoteReference"/>
        </w:rPr>
        <w:footnoteRef/>
      </w:r>
      <w:r>
        <w:t xml:space="preserve"> </w:t>
      </w:r>
      <w:r>
        <w:t xml:space="preserve">aprovação pela FDA relatada em Traynor 2010, PMID 21115997.</w:t>
      </w:r>
    </w:p>
  </w:footnote>
  <w:footnote w:id="1278">
    <w:p>
      <w:pPr>
        <w:pStyle w:val="FootnoteText"/>
      </w:pPr>
      <w:r>
        <w:rPr>
          <w:rStyle w:val="FootnoteReference"/>
        </w:rPr>
        <w:footnoteRef/>
      </w:r>
      <w:r>
        <w:t xml:space="preserve"> </w:t>
      </w:r>
      <w:r>
        <w:t xml:space="preserve">Falutz 2007, PMID 18057338.</w:t>
      </w:r>
    </w:p>
  </w:footnote>
  <w:footnote w:id="1279">
    <w:p>
      <w:pPr>
        <w:pStyle w:val="FootnoteText"/>
      </w:pPr>
      <w:r>
        <w:rPr>
          <w:rStyle w:val="FootnoteReference"/>
        </w:rPr>
        <w:footnoteRef/>
      </w:r>
      <w:r>
        <w:t xml:space="preserve"> </w:t>
      </w:r>
      <w:r>
        <w:t xml:space="preserve">Falutz 2008, PMID 18690162.</w:t>
      </w:r>
    </w:p>
  </w:footnote>
  <w:footnote w:id="1280">
    <w:p>
      <w:pPr>
        <w:pStyle w:val="FootnoteText"/>
      </w:pPr>
      <w:r>
        <w:rPr>
          <w:rStyle w:val="FootnoteReference"/>
        </w:rPr>
        <w:footnoteRef/>
      </w:r>
      <w:r>
        <w:t xml:space="preserve"> </w:t>
      </w:r>
      <w:r>
        <w:t xml:space="preserve">Falutz 2010, PMID 20101189.</w:t>
      </w:r>
    </w:p>
  </w:footnote>
  <w:footnote w:id="1281">
    <w:p>
      <w:pPr>
        <w:pStyle w:val="FootnoteText"/>
      </w:pPr>
      <w:r>
        <w:rPr>
          <w:rStyle w:val="FootnoteReference"/>
        </w:rPr>
        <w:footnoteRef/>
      </w:r>
      <w:r>
        <w:t xml:space="preserve"> </w:t>
      </w:r>
      <w:r>
        <w:t xml:space="preserve">Falutz 2010, PMID 20554713.</w:t>
      </w:r>
    </w:p>
  </w:footnote>
  <w:footnote w:id="1282">
    <w:p>
      <w:pPr>
        <w:pStyle w:val="FootnoteText"/>
      </w:pPr>
      <w:r>
        <w:rPr>
          <w:rStyle w:val="FootnoteReference"/>
        </w:rPr>
        <w:footnoteRef/>
      </w:r>
      <w:r>
        <w:t xml:space="preserve"> </w:t>
      </w:r>
      <w:r>
        <w:t xml:space="preserve">Stanley 2012, PMID 22495074.</w:t>
      </w:r>
    </w:p>
  </w:footnote>
  <w:footnote w:id="1284">
    <w:p>
      <w:pPr>
        <w:pStyle w:val="FootnoteText"/>
      </w:pPr>
      <w:r>
        <w:rPr>
          <w:rStyle w:val="FootnoteReference"/>
        </w:rPr>
        <w:footnoteRef/>
      </w:r>
      <w:r>
        <w:t xml:space="preserve"> </w:t>
      </w:r>
      <w:r>
        <w:t xml:space="preserve">Stanley 2014, PMID 25038357.</w:t>
      </w:r>
    </w:p>
  </w:footnote>
  <w:footnote w:id="1285">
    <w:p>
      <w:pPr>
        <w:pStyle w:val="FootnoteText"/>
      </w:pPr>
      <w:r>
        <w:rPr>
          <w:rStyle w:val="FootnoteReference"/>
        </w:rPr>
        <w:footnoteRef/>
      </w:r>
      <w:r>
        <w:t xml:space="preserve"> </w:t>
      </w:r>
      <w:r>
        <w:t xml:space="preserve">Stanley 2019, PMID 31611038.</w:t>
      </w:r>
    </w:p>
  </w:footnote>
  <w:footnote w:id="1287">
    <w:p>
      <w:pPr>
        <w:pStyle w:val="FootnoteText"/>
      </w:pPr>
      <w:r>
        <w:rPr>
          <w:rStyle w:val="FootnoteReference"/>
        </w:rPr>
        <w:footnoteRef/>
      </w:r>
      <w:r>
        <w:t xml:space="preserve"> </w:t>
      </w:r>
      <w:r>
        <w:t xml:space="preserve">Makimura 2012, PMID 23015655.</w:t>
      </w:r>
    </w:p>
  </w:footnote>
  <w:footnote w:id="1288">
    <w:p>
      <w:pPr>
        <w:pStyle w:val="FootnoteText"/>
      </w:pPr>
      <w:r>
        <w:rPr>
          <w:rStyle w:val="FootnoteReference"/>
        </w:rPr>
        <w:footnoteRef/>
      </w:r>
      <w:r>
        <w:t xml:space="preserve"> </w:t>
      </w:r>
      <w:r>
        <w:t xml:space="preserve">Clemmons 2017, PMID 28617838.</w:t>
      </w:r>
    </w:p>
  </w:footnote>
  <w:footnote w:id="1289">
    <w:p>
      <w:pPr>
        <w:pStyle w:val="FootnoteText"/>
      </w:pPr>
      <w:r>
        <w:rPr>
          <w:rStyle w:val="FootnoteReference"/>
        </w:rPr>
        <w:footnoteRef/>
      </w:r>
      <w:r>
        <w:t xml:space="preserve"> </w:t>
      </w:r>
      <w:r>
        <w:t xml:space="preserve">Baker 2012, PMID 22869065.</w:t>
      </w:r>
    </w:p>
  </w:footnote>
  <w:footnote w:id="1290">
    <w:p>
      <w:pPr>
        <w:pStyle w:val="FootnoteText"/>
      </w:pPr>
      <w:r>
        <w:rPr>
          <w:rStyle w:val="FootnoteReference"/>
        </w:rPr>
        <w:footnoteRef/>
      </w:r>
      <w:r>
        <w:t xml:space="preserve"> </w:t>
      </w:r>
      <w:r>
        <w:t xml:space="preserve">Ellis 2025, PMID 39813152.</w:t>
      </w:r>
    </w:p>
  </w:footnote>
  <w:footnote w:id="1292">
    <w:p>
      <w:pPr>
        <w:pStyle w:val="FootnoteText"/>
      </w:pPr>
      <w:r>
        <w:rPr>
          <w:rStyle w:val="FootnoteReference"/>
        </w:rPr>
        <w:footnoteRef/>
      </w:r>
      <w:r>
        <w:t xml:space="preserve"> </w:t>
      </w:r>
      <w:r>
        <w:t xml:space="preserve">Ditta 2026, PMID 42538058.</w:t>
      </w:r>
    </w:p>
  </w:footnote>
  <w:footnote w:id="1293">
    <w:p>
      <w:pPr>
        <w:pStyle w:val="FootnoteText"/>
      </w:pPr>
      <w:r>
        <w:rPr>
          <w:rStyle w:val="FootnoteReference"/>
        </w:rPr>
        <w:footnoteRef/>
      </w:r>
      <w:r>
        <w:t xml:space="preserve"> </w:t>
      </w:r>
      <w:r>
        <w:t xml:space="preserve">Badran 2026, PMID 41545261.</w:t>
      </w:r>
    </w:p>
  </w:footnote>
  <w:footnote w:id="1296">
    <w:p>
      <w:pPr>
        <w:pStyle w:val="FootnoteText"/>
      </w:pPr>
      <w:r>
        <w:rPr>
          <w:rStyle w:val="FootnoteReference"/>
        </w:rPr>
        <w:footnoteRef/>
      </w:r>
      <w:r>
        <w:t xml:space="preserve"> </w:t>
      </w:r>
      <w:r>
        <w:t xml:space="preserve">Tuffaha 2016, PMID 27192539.</w:t>
      </w:r>
    </w:p>
  </w:footnote>
  <w:footnote w:id="1297">
    <w:p>
      <w:pPr>
        <w:pStyle w:val="FootnoteText"/>
      </w:pPr>
      <w:r>
        <w:rPr>
          <w:rStyle w:val="FootnoteReference"/>
        </w:rPr>
        <w:footnoteRef/>
      </w:r>
      <w:r>
        <w:t xml:space="preserve"> </w:t>
      </w:r>
      <w:r>
        <w:t xml:space="preserve">NCT03150511.</w:t>
      </w:r>
    </w:p>
  </w:footnote>
  <w:footnote w:id="1298">
    <w:p>
      <w:pPr>
        <w:pStyle w:val="FootnoteText"/>
      </w:pPr>
      <w:r>
        <w:rPr>
          <w:rStyle w:val="FootnoteReference"/>
        </w:rPr>
        <w:footnoteRef/>
      </w:r>
      <w:r>
        <w:t xml:space="preserve"> </w:t>
      </w:r>
      <w:r>
        <w:t xml:space="preserve">Fourman 2020, PMID 32701508.</w:t>
      </w:r>
    </w:p>
  </w:footnote>
  <w:footnote w:id="1300">
    <w:p>
      <w:pPr>
        <w:pStyle w:val="FootnoteText"/>
      </w:pPr>
      <w:r>
        <w:rPr>
          <w:rStyle w:val="FootnoteReference"/>
        </w:rPr>
        <w:footnoteRef/>
      </w:r>
      <w:r>
        <w:t xml:space="preserve"> </w:t>
      </w:r>
      <w:r>
        <w:t xml:space="preserve">Stanley 2019, PMID 31611038.</w:t>
      </w:r>
    </w:p>
  </w:footnote>
  <w:footnote w:id="1301">
    <w:p>
      <w:pPr>
        <w:pStyle w:val="FootnoteText"/>
      </w:pPr>
      <w:r>
        <w:rPr>
          <w:rStyle w:val="FootnoteReference"/>
        </w:rPr>
        <w:footnoteRef/>
      </w:r>
      <w:r>
        <w:t xml:space="preserve"> </w:t>
      </w:r>
      <w:r>
        <w:t xml:space="preserve">Badran 2026, PMID 41545261.</w:t>
      </w:r>
    </w:p>
  </w:footnote>
  <w:footnote w:id="1302">
    <w:p>
      <w:pPr>
        <w:pStyle w:val="FootnoteText"/>
      </w:pPr>
      <w:r>
        <w:rPr>
          <w:rStyle w:val="FootnoteReference"/>
        </w:rPr>
        <w:footnoteRef/>
      </w:r>
      <w:r>
        <w:t xml:space="preserve"> </w:t>
      </w:r>
      <w:r>
        <w:t xml:space="preserve">Stanley 2014, PMID 25038357.</w:t>
      </w:r>
    </w:p>
  </w:footnote>
  <w:footnote w:id="1303">
    <w:p>
      <w:pPr>
        <w:pStyle w:val="FootnoteText"/>
      </w:pPr>
      <w:r>
        <w:rPr>
          <w:rStyle w:val="FootnoteReference"/>
        </w:rPr>
        <w:footnoteRef/>
      </w:r>
      <w:r>
        <w:t xml:space="preserve"> </w:t>
      </w:r>
      <w:r>
        <w:t xml:space="preserve">Stanley 2012, PMID 22495074.</w:t>
      </w:r>
    </w:p>
  </w:footnote>
  <w:footnote w:id="1304">
    <w:p>
      <w:pPr>
        <w:pStyle w:val="FootnoteText"/>
      </w:pPr>
      <w:r>
        <w:rPr>
          <w:rStyle w:val="FootnoteReference"/>
        </w:rPr>
        <w:footnoteRef/>
      </w:r>
      <w:r>
        <w:t xml:space="preserve"> </w:t>
      </w:r>
      <w:r>
        <w:t xml:space="preserve">Falutz 2007, PMID 18057338.</w:t>
      </w:r>
    </w:p>
  </w:footnote>
  <w:footnote w:id="1305">
    <w:p>
      <w:pPr>
        <w:pStyle w:val="FootnoteText"/>
      </w:pPr>
      <w:r>
        <w:rPr>
          <w:rStyle w:val="FootnoteReference"/>
        </w:rPr>
        <w:footnoteRef/>
      </w:r>
      <w:r>
        <w:t xml:space="preserve"> </w:t>
      </w:r>
      <w:r>
        <w:t xml:space="preserve">Falutz 2008, PMID 18690162.</w:t>
      </w:r>
    </w:p>
  </w:footnote>
  <w:footnote w:id="1306">
    <w:p>
      <w:pPr>
        <w:pStyle w:val="FootnoteText"/>
      </w:pPr>
      <w:r>
        <w:rPr>
          <w:rStyle w:val="FootnoteReference"/>
        </w:rPr>
        <w:footnoteRef/>
      </w:r>
      <w:r>
        <w:t xml:space="preserve"> </w:t>
      </w:r>
      <w:r>
        <w:t xml:space="preserve">NCT01579695.</w:t>
      </w:r>
    </w:p>
  </w:footnote>
  <w:footnote w:id="1307">
    <w:p>
      <w:pPr>
        <w:pStyle w:val="FootnoteText"/>
      </w:pPr>
      <w:r>
        <w:rPr>
          <w:rStyle w:val="FootnoteReference"/>
        </w:rPr>
        <w:footnoteRef/>
      </w:r>
      <w:r>
        <w:t xml:space="preserve"> </w:t>
      </w:r>
      <w:r>
        <w:t xml:space="preserve">NCT01591902.</w:t>
      </w:r>
    </w:p>
  </w:footnote>
  <w:footnote w:id="1309">
    <w:p>
      <w:pPr>
        <w:pStyle w:val="FootnoteText"/>
      </w:pPr>
      <w:r>
        <w:rPr>
          <w:rStyle w:val="FootnoteReference"/>
        </w:rPr>
        <w:footnoteRef/>
      </w:r>
      <w:r>
        <w:t xml:space="preserve"> </w:t>
      </w:r>
      <w:r>
        <w:t xml:space="preserve">Memdouh 2021, PMID 34665524.</w:t>
      </w:r>
    </w:p>
  </w:footnote>
  <w:footnote w:id="1314">
    <w:p>
      <w:pPr>
        <w:pStyle w:val="FootnoteText"/>
      </w:pPr>
      <w:r>
        <w:rPr>
          <w:rStyle w:val="FootnoteReference"/>
        </w:rPr>
        <w:footnoteRef/>
      </w:r>
      <w:r>
        <w:t xml:space="preserve"> </w:t>
      </w:r>
      <w:r>
        <w:t xml:space="preserve">Jetté 2005, PMID 15817669.</w:t>
      </w:r>
    </w:p>
  </w:footnote>
  <w:footnote w:id="1316">
    <w:p>
      <w:pPr>
        <w:pStyle w:val="FootnoteText"/>
      </w:pPr>
      <w:r>
        <w:rPr>
          <w:rStyle w:val="FootnoteReference"/>
        </w:rPr>
        <w:footnoteRef/>
      </w:r>
      <w:r>
        <w:t xml:space="preserve"> </w:t>
      </w:r>
      <w:r>
        <w:t xml:space="preserve">Jetté 2005, PMID 15817669.</w:t>
      </w:r>
    </w:p>
  </w:footnote>
  <w:footnote w:id="1318">
    <w:p>
      <w:pPr>
        <w:pStyle w:val="FootnoteText"/>
      </w:pPr>
      <w:r>
        <w:rPr>
          <w:rStyle w:val="FootnoteReference"/>
        </w:rPr>
        <w:footnoteRef/>
      </w:r>
      <w:r>
        <w:t xml:space="preserve"> </w:t>
      </w:r>
      <w:r>
        <w:t xml:space="preserve">Teichman 2006, PMID 16352683.</w:t>
      </w:r>
    </w:p>
  </w:footnote>
  <w:footnote w:id="1319">
    <w:p>
      <w:pPr>
        <w:pStyle w:val="FootnoteText"/>
      </w:pPr>
      <w:r>
        <w:rPr>
          <w:rStyle w:val="FootnoteReference"/>
        </w:rPr>
        <w:footnoteRef/>
      </w:r>
      <w:r>
        <w:t xml:space="preserve"> </w:t>
      </w:r>
      <w:r>
        <w:t xml:space="preserve">Ionescu 2006, PMID 17018654.</w:t>
      </w:r>
    </w:p>
  </w:footnote>
  <w:footnote w:id="1320">
    <w:p>
      <w:pPr>
        <w:pStyle w:val="FootnoteText"/>
      </w:pPr>
      <w:r>
        <w:rPr>
          <w:rStyle w:val="FootnoteReference"/>
        </w:rPr>
        <w:footnoteRef/>
      </w:r>
      <w:r>
        <w:t xml:space="preserve"> </w:t>
      </w:r>
      <w:r>
        <w:t xml:space="preserve">Sackmann-Sala 2009, PMID 19386527.</w:t>
      </w:r>
    </w:p>
  </w:footnote>
  <w:footnote w:id="1321">
    <w:p>
      <w:pPr>
        <w:pStyle w:val="FootnoteText"/>
      </w:pPr>
      <w:r>
        <w:rPr>
          <w:rStyle w:val="FootnoteReference"/>
        </w:rPr>
        <w:footnoteRef/>
      </w:r>
      <w:r>
        <w:t xml:space="preserve"> </w:t>
      </w:r>
      <w:r>
        <w:t xml:space="preserve">NCT00267527.</w:t>
      </w:r>
    </w:p>
  </w:footnote>
  <w:footnote w:id="1324">
    <w:p>
      <w:pPr>
        <w:pStyle w:val="FootnoteText"/>
      </w:pPr>
      <w:r>
        <w:rPr>
          <w:rStyle w:val="FootnoteReference"/>
        </w:rPr>
        <w:footnoteRef/>
      </w:r>
      <w:r>
        <w:t xml:space="preserve"> </w:t>
      </w:r>
      <w:r>
        <w:t xml:space="preserve">Jetté 2005, PMID 15817669.</w:t>
      </w:r>
    </w:p>
  </w:footnote>
  <w:footnote w:id="1325">
    <w:p>
      <w:pPr>
        <w:pStyle w:val="FootnoteText"/>
      </w:pPr>
      <w:r>
        <w:rPr>
          <w:rStyle w:val="FootnoteReference"/>
        </w:rPr>
        <w:footnoteRef/>
      </w:r>
      <w:r>
        <w:t xml:space="preserve"> </w:t>
      </w:r>
      <w:r>
        <w:t xml:space="preserve">Alba 2006, PMID 16822960.</w:t>
      </w:r>
    </w:p>
  </w:footnote>
  <w:footnote w:id="1327">
    <w:p>
      <w:pPr>
        <w:pStyle w:val="FootnoteText"/>
      </w:pPr>
      <w:r>
        <w:rPr>
          <w:rStyle w:val="FootnoteReference"/>
        </w:rPr>
        <w:footnoteRef/>
      </w:r>
      <w:r>
        <w:t xml:space="preserve"> </w:t>
      </w:r>
      <w:r>
        <w:t xml:space="preserve">Teichman 2006, PMID 16352683.</w:t>
      </w:r>
    </w:p>
  </w:footnote>
  <w:footnote w:id="1328">
    <w:p>
      <w:pPr>
        <w:pStyle w:val="FootnoteText"/>
      </w:pPr>
      <w:r>
        <w:rPr>
          <w:rStyle w:val="FootnoteReference"/>
        </w:rPr>
        <w:footnoteRef/>
      </w:r>
      <w:r>
        <w:t xml:space="preserve"> </w:t>
      </w:r>
      <w:r>
        <w:t xml:space="preserve">Henninge 2010, PMID 21204297.</w:t>
      </w:r>
    </w:p>
  </w:footnote>
  <w:footnote w:id="1329">
    <w:p>
      <w:pPr>
        <w:pStyle w:val="FootnoteText"/>
      </w:pPr>
      <w:r>
        <w:rPr>
          <w:rStyle w:val="FootnoteReference"/>
        </w:rPr>
        <w:footnoteRef/>
      </w:r>
      <w:r>
        <w:t xml:space="preserve"> </w:t>
      </w:r>
      <w:r>
        <w:t xml:space="preserve">Gajda 2019, PMID 30136411.</w:t>
      </w:r>
    </w:p>
  </w:footnote>
  <w:footnote w:id="1330">
    <w:p>
      <w:pPr>
        <w:pStyle w:val="FootnoteText"/>
      </w:pPr>
      <w:r>
        <w:rPr>
          <w:rStyle w:val="FootnoteReference"/>
        </w:rPr>
        <w:footnoteRef/>
      </w:r>
      <w:r>
        <w:t xml:space="preserve"> </w:t>
      </w:r>
      <w:r>
        <w:t xml:space="preserve">Van Hout 2016, PMID 26771670.</w:t>
      </w:r>
    </w:p>
  </w:footnote>
  <w:footnote w:id="1332">
    <w:p>
      <w:pPr>
        <w:pStyle w:val="FootnoteText"/>
      </w:pPr>
      <w:r>
        <w:rPr>
          <w:rStyle w:val="FootnoteReference"/>
        </w:rPr>
        <w:footnoteRef/>
      </w:r>
      <w:r>
        <w:t xml:space="preserve"> </w:t>
      </w:r>
      <w:r>
        <w:t xml:space="preserve">Willis 2026, PMID 42752426.</w:t>
      </w:r>
    </w:p>
  </w:footnote>
  <w:footnote w:id="1333">
    <w:p>
      <w:pPr>
        <w:pStyle w:val="FootnoteText"/>
      </w:pPr>
      <w:r>
        <w:rPr>
          <w:rStyle w:val="FootnoteReference"/>
        </w:rPr>
        <w:footnoteRef/>
      </w:r>
      <w:r>
        <w:t xml:space="preserve"> </w:t>
      </w:r>
      <w:r>
        <w:t xml:space="preserve">Memdouh 2021, PMID 34665524.</w:t>
      </w:r>
    </w:p>
  </w:footnote>
  <w:footnote w:id="1334">
    <w:p>
      <w:pPr>
        <w:pStyle w:val="FootnoteText"/>
      </w:pPr>
      <w:r>
        <w:rPr>
          <w:rStyle w:val="FootnoteReference"/>
        </w:rPr>
        <w:footnoteRef/>
      </w:r>
      <w:r>
        <w:t xml:space="preserve"> </w:t>
      </w:r>
      <w:r>
        <w:t xml:space="preserve">Timms 2019, PMID 30938069.</w:t>
      </w:r>
    </w:p>
  </w:footnote>
  <w:footnote w:id="1339">
    <w:p>
      <w:pPr>
        <w:pStyle w:val="FootnoteText"/>
      </w:pPr>
      <w:r>
        <w:rPr>
          <w:rStyle w:val="FootnoteReference"/>
        </w:rPr>
        <w:footnoteRef/>
      </w:r>
      <w:r>
        <w:t xml:space="preserve"> </w:t>
      </w:r>
      <w:r>
        <w:t xml:space="preserve">Raun 1998, PMID 9849822.</w:t>
      </w:r>
    </w:p>
  </w:footnote>
  <w:footnote w:id="1341">
    <w:p>
      <w:pPr>
        <w:pStyle w:val="FootnoteText"/>
      </w:pPr>
      <w:r>
        <w:rPr>
          <w:rStyle w:val="FootnoteReference"/>
        </w:rPr>
        <w:footnoteRef/>
      </w:r>
      <w:r>
        <w:t xml:space="preserve"> </w:t>
      </w:r>
      <w:r>
        <w:t xml:space="preserve">Kojima 1999, PMID 10604470.</w:t>
      </w:r>
    </w:p>
  </w:footnote>
  <w:footnote w:id="1342">
    <w:p>
      <w:pPr>
        <w:pStyle w:val="FootnoteText"/>
      </w:pPr>
      <w:r>
        <w:rPr>
          <w:rStyle w:val="FootnoteReference"/>
        </w:rPr>
        <w:footnoteRef/>
      </w:r>
      <w:r>
        <w:t xml:space="preserve"> </w:t>
      </w:r>
      <w:r>
        <w:t xml:space="preserve">Raun 1998, PMID 9849822.</w:t>
      </w:r>
    </w:p>
  </w:footnote>
  <w:footnote w:id="1344">
    <w:p>
      <w:pPr>
        <w:pStyle w:val="FootnoteText"/>
      </w:pPr>
      <w:r>
        <w:rPr>
          <w:rStyle w:val="FootnoteReference"/>
        </w:rPr>
        <w:footnoteRef/>
      </w:r>
      <w:r>
        <w:t xml:space="preserve"> </w:t>
      </w:r>
      <w:r>
        <w:t xml:space="preserve">NCT07717866.</w:t>
      </w:r>
    </w:p>
  </w:footnote>
  <w:footnote w:id="1345">
    <w:p>
      <w:pPr>
        <w:pStyle w:val="FootnoteText"/>
      </w:pPr>
      <w:r>
        <w:rPr>
          <w:rStyle w:val="FootnoteReference"/>
        </w:rPr>
        <w:footnoteRef/>
      </w:r>
      <w:r>
        <w:t xml:space="preserve"> </w:t>
      </w:r>
      <w:r>
        <w:t xml:space="preserve">Gobburu 1999, PMID 10496658.</w:t>
      </w:r>
    </w:p>
  </w:footnote>
  <w:footnote w:id="1346">
    <w:p>
      <w:pPr>
        <w:pStyle w:val="FootnoteText"/>
      </w:pPr>
      <w:r>
        <w:rPr>
          <w:rStyle w:val="FootnoteReference"/>
        </w:rPr>
        <w:footnoteRef/>
      </w:r>
      <w:r>
        <w:t xml:space="preserve"> </w:t>
      </w:r>
      <w:r>
        <w:t xml:space="preserve">Beck 2014, PMID 25331030.</w:t>
      </w:r>
    </w:p>
  </w:footnote>
  <w:footnote w:id="1347">
    <w:p>
      <w:pPr>
        <w:pStyle w:val="FootnoteText"/>
      </w:pPr>
      <w:r>
        <w:rPr>
          <w:rStyle w:val="FootnoteReference"/>
        </w:rPr>
        <w:footnoteRef/>
      </w:r>
      <w:r>
        <w:t xml:space="preserve"> </w:t>
      </w:r>
      <w:r>
        <w:t xml:space="preserve">NCT01280344.</w:t>
      </w:r>
    </w:p>
  </w:footnote>
  <w:footnote w:id="1349">
    <w:p>
      <w:pPr>
        <w:pStyle w:val="FootnoteText"/>
      </w:pPr>
      <w:r>
        <w:rPr>
          <w:rStyle w:val="FootnoteReference"/>
        </w:rPr>
        <w:footnoteRef/>
      </w:r>
      <w:r>
        <w:t xml:space="preserve"> </w:t>
      </w:r>
      <w:r>
        <w:t xml:space="preserve">Venkova 2009, PMID 19289567.</w:t>
      </w:r>
    </w:p>
  </w:footnote>
  <w:footnote w:id="1350">
    <w:p>
      <w:pPr>
        <w:pStyle w:val="FootnoteText"/>
      </w:pPr>
      <w:r>
        <w:rPr>
          <w:rStyle w:val="FootnoteReference"/>
        </w:rPr>
        <w:footnoteRef/>
      </w:r>
      <w:r>
        <w:t xml:space="preserve"> </w:t>
      </w:r>
      <w:r>
        <w:t xml:space="preserve">Johansen 1999, PMID 10373343.</w:t>
      </w:r>
    </w:p>
  </w:footnote>
  <w:footnote w:id="1351">
    <w:p>
      <w:pPr>
        <w:pStyle w:val="FootnoteText"/>
      </w:pPr>
      <w:r>
        <w:rPr>
          <w:rStyle w:val="FootnoteReference"/>
        </w:rPr>
        <w:footnoteRef/>
      </w:r>
      <w:r>
        <w:t xml:space="preserve"> </w:t>
      </w:r>
      <w:r>
        <w:t xml:space="preserve">Raun 1998, PMID 9849822.</w:t>
      </w:r>
    </w:p>
  </w:footnote>
  <w:footnote w:id="1353">
    <w:p>
      <w:pPr>
        <w:pStyle w:val="FootnoteText"/>
      </w:pPr>
      <w:r>
        <w:rPr>
          <w:rStyle w:val="FootnoteReference"/>
        </w:rPr>
        <w:footnoteRef/>
      </w:r>
      <w:r>
        <w:t xml:space="preserve"> </w:t>
      </w:r>
      <w:r>
        <w:t xml:space="preserve">Beck 2014, PMID 25331030.</w:t>
      </w:r>
    </w:p>
  </w:footnote>
  <w:footnote w:id="1354">
    <w:p>
      <w:pPr>
        <w:pStyle w:val="FootnoteText"/>
      </w:pPr>
      <w:r>
        <w:rPr>
          <w:rStyle w:val="FootnoteReference"/>
        </w:rPr>
        <w:footnoteRef/>
      </w:r>
      <w:r>
        <w:t xml:space="preserve"> </w:t>
      </w:r>
      <w:r>
        <w:t xml:space="preserve">Krug 2018, PMID 29864719; Gajda 2019, PMID 30136411.</w:t>
      </w:r>
    </w:p>
  </w:footnote>
  <w:footnote w:id="1356">
    <w:p>
      <w:pPr>
        <w:pStyle w:val="FootnoteText"/>
      </w:pPr>
      <w:r>
        <w:rPr>
          <w:rStyle w:val="FootnoteReference"/>
        </w:rPr>
        <w:footnoteRef/>
      </w:r>
      <w:r>
        <w:t xml:space="preserve"> </w:t>
      </w:r>
      <w:r>
        <w:t xml:space="preserve">Willis 2026, PMID 42752426.</w:t>
      </w:r>
    </w:p>
  </w:footnote>
  <w:footnote w:id="1357">
    <w:p>
      <w:pPr>
        <w:pStyle w:val="FootnoteText"/>
      </w:pPr>
      <w:r>
        <w:rPr>
          <w:rStyle w:val="FootnoteReference"/>
        </w:rPr>
        <w:footnoteRef/>
      </w:r>
      <w:r>
        <w:t xml:space="preserve"> </w:t>
      </w:r>
      <w:r>
        <w:t xml:space="preserve">Semenistaya 2015, PMID 25869809.</w:t>
      </w:r>
    </w:p>
  </w:footnote>
  <w:footnote w:id="1362">
    <w:p>
      <w:pPr>
        <w:pStyle w:val="FootnoteText"/>
      </w:pPr>
      <w:r>
        <w:rPr>
          <w:rStyle w:val="FootnoteReference"/>
        </w:rPr>
        <w:footnoteRef/>
      </w:r>
      <w:r>
        <w:t xml:space="preserve"> </w:t>
      </w:r>
      <w:r>
        <w:t xml:space="preserve">Doi 2004, PMID 15646370.</w:t>
      </w:r>
    </w:p>
  </w:footnote>
  <w:footnote w:id="1363">
    <w:p>
      <w:pPr>
        <w:pStyle w:val="FootnoteText"/>
      </w:pPr>
      <w:r>
        <w:rPr>
          <w:rStyle w:val="FootnoteReference"/>
        </w:rPr>
        <w:footnoteRef/>
      </w:r>
      <w:r>
        <w:t xml:space="preserve"> </w:t>
      </w:r>
      <w:r>
        <w:t xml:space="preserve">perfil anônimo da substância em Drugs R D 2004, PMID 15230633.</w:t>
      </w:r>
    </w:p>
  </w:footnote>
  <w:footnote w:id="1365">
    <w:p>
      <w:pPr>
        <w:pStyle w:val="FootnoteText"/>
      </w:pPr>
      <w:r>
        <w:rPr>
          <w:rStyle w:val="FootnoteReference"/>
        </w:rPr>
        <w:footnoteRef/>
      </w:r>
      <w:r>
        <w:t xml:space="preserve"> </w:t>
      </w:r>
      <w:r>
        <w:t xml:space="preserve">Kojima 1999, PMID 10604470.</w:t>
      </w:r>
    </w:p>
  </w:footnote>
  <w:footnote w:id="1366">
    <w:p>
      <w:pPr>
        <w:pStyle w:val="FootnoteText"/>
      </w:pPr>
      <w:r>
        <w:rPr>
          <w:rStyle w:val="FootnoteReference"/>
        </w:rPr>
        <w:footnoteRef/>
      </w:r>
      <w:r>
        <w:t xml:space="preserve"> </w:t>
      </w:r>
      <w:r>
        <w:t xml:space="preserve">Doi 2004, PMID 15646370.</w:t>
      </w:r>
    </w:p>
  </w:footnote>
  <w:footnote w:id="1368">
    <w:p>
      <w:pPr>
        <w:pStyle w:val="FootnoteText"/>
      </w:pPr>
      <w:r>
        <w:rPr>
          <w:rStyle w:val="FootnoteReference"/>
        </w:rPr>
        <w:footnoteRef/>
      </w:r>
      <w:r>
        <w:t xml:space="preserve"> </w:t>
      </w:r>
      <w:r>
        <w:t xml:space="preserve">Chihara 2007, PMID 17609397.</w:t>
      </w:r>
    </w:p>
  </w:footnote>
  <w:footnote w:id="1369">
    <w:p>
      <w:pPr>
        <w:pStyle w:val="FootnoteText"/>
      </w:pPr>
      <w:r>
        <w:rPr>
          <w:rStyle w:val="FootnoteReference"/>
        </w:rPr>
        <w:footnoteRef/>
      </w:r>
      <w:r>
        <w:t xml:space="preserve"> </w:t>
      </w:r>
      <w:r>
        <w:t xml:space="preserve">Kinoshita 2013, PMID 23079545.</w:t>
      </w:r>
    </w:p>
  </w:footnote>
  <w:footnote w:id="1370">
    <w:p>
      <w:pPr>
        <w:pStyle w:val="FootnoteText"/>
      </w:pPr>
      <w:r>
        <w:rPr>
          <w:rStyle w:val="FootnoteReference"/>
        </w:rPr>
        <w:footnoteRef/>
      </w:r>
      <w:r>
        <w:t xml:space="preserve"> </w:t>
      </w:r>
      <w:r>
        <w:t xml:space="preserve">Arimura 2016, PMID 27020037.</w:t>
      </w:r>
    </w:p>
  </w:footnote>
  <w:footnote w:id="1371">
    <w:p>
      <w:pPr>
        <w:pStyle w:val="FootnoteText"/>
      </w:pPr>
      <w:r>
        <w:rPr>
          <w:rStyle w:val="FootnoteReference"/>
        </w:rPr>
        <w:footnoteRef/>
      </w:r>
      <w:r>
        <w:t xml:space="preserve"> </w:t>
      </w:r>
      <w:r>
        <w:t xml:space="preserve">Hayakawa 2018, PMID 30324179.</w:t>
      </w:r>
    </w:p>
  </w:footnote>
  <w:footnote w:id="1373">
    <w:p>
      <w:pPr>
        <w:pStyle w:val="FootnoteText"/>
      </w:pPr>
      <w:r>
        <w:rPr>
          <w:rStyle w:val="FootnoteReference"/>
        </w:rPr>
        <w:footnoteRef/>
      </w:r>
      <w:r>
        <w:t xml:space="preserve"> </w:t>
      </w:r>
      <w:r>
        <w:t xml:space="preserve">Mericq 1998, PMID 9661608.</w:t>
      </w:r>
    </w:p>
  </w:footnote>
  <w:footnote w:id="1374">
    <w:p>
      <w:pPr>
        <w:pStyle w:val="FootnoteText"/>
      </w:pPr>
      <w:r>
        <w:rPr>
          <w:rStyle w:val="FootnoteReference"/>
        </w:rPr>
        <w:footnoteRef/>
      </w:r>
      <w:r>
        <w:t xml:space="preserve"> </w:t>
      </w:r>
      <w:r>
        <w:t xml:space="preserve">Pihoker 1997, PMID 9390009.</w:t>
      </w:r>
    </w:p>
  </w:footnote>
  <w:footnote w:id="1375">
    <w:p>
      <w:pPr>
        <w:pStyle w:val="FootnoteText"/>
      </w:pPr>
      <w:r>
        <w:rPr>
          <w:rStyle w:val="FootnoteReference"/>
        </w:rPr>
        <w:footnoteRef/>
      </w:r>
      <w:r>
        <w:t xml:space="preserve"> </w:t>
      </w:r>
      <w:r>
        <w:t xml:space="preserve">Mericq 2003, PMID 14513874.</w:t>
      </w:r>
    </w:p>
  </w:footnote>
  <w:footnote w:id="1376">
    <w:p>
      <w:pPr>
        <w:pStyle w:val="FootnoteText"/>
      </w:pPr>
      <w:r>
        <w:rPr>
          <w:rStyle w:val="FootnoteReference"/>
        </w:rPr>
        <w:footnoteRef/>
      </w:r>
      <w:r>
        <w:t xml:space="preserve"> </w:t>
      </w:r>
      <w:r>
        <w:t xml:space="preserve">perfil anônimo da substância em Drugs R D 2004, PMID 15230633.</w:t>
      </w:r>
    </w:p>
  </w:footnote>
  <w:footnote w:id="1378">
    <w:p>
      <w:pPr>
        <w:pStyle w:val="FootnoteText"/>
      </w:pPr>
      <w:r>
        <w:rPr>
          <w:rStyle w:val="FootnoteReference"/>
        </w:rPr>
        <w:footnoteRef/>
      </w:r>
      <w:r>
        <w:t xml:space="preserve"> </w:t>
      </w:r>
      <w:r>
        <w:t xml:space="preserve">Laferrère 2006, PMID 16861611.</w:t>
      </w:r>
    </w:p>
  </w:footnote>
  <w:footnote w:id="1379">
    <w:p>
      <w:pPr>
        <w:pStyle w:val="FootnoteText"/>
      </w:pPr>
      <w:r>
        <w:rPr>
          <w:rStyle w:val="FootnoteReference"/>
        </w:rPr>
        <w:footnoteRef/>
      </w:r>
      <w:r>
        <w:t xml:space="preserve"> </w:t>
      </w:r>
      <w:r>
        <w:t xml:space="preserve">Van den Berghe 1999, PMID 10199772.</w:t>
      </w:r>
    </w:p>
  </w:footnote>
  <w:footnote w:id="1382">
    <w:p>
      <w:pPr>
        <w:pStyle w:val="FootnoteText"/>
      </w:pPr>
      <w:r>
        <w:rPr>
          <w:rStyle w:val="FootnoteReference"/>
        </w:rPr>
        <w:footnoteRef/>
      </w:r>
      <w:r>
        <w:t xml:space="preserve"> </w:t>
      </w:r>
      <w:r>
        <w:t xml:space="preserve">Doi 2004, PMID 15646370.</w:t>
      </w:r>
    </w:p>
  </w:footnote>
  <w:footnote w:id="1383">
    <w:p>
      <w:pPr>
        <w:pStyle w:val="FootnoteText"/>
      </w:pPr>
      <w:r>
        <w:rPr>
          <w:rStyle w:val="FootnoteReference"/>
        </w:rPr>
        <w:footnoteRef/>
      </w:r>
      <w:r>
        <w:t xml:space="preserve"> </w:t>
      </w:r>
      <w:r>
        <w:t xml:space="preserve">Raun 1998, PMID 9849822.</w:t>
      </w:r>
    </w:p>
  </w:footnote>
  <w:footnote w:id="1385">
    <w:p>
      <w:pPr>
        <w:pStyle w:val="FootnoteText"/>
      </w:pPr>
      <w:r>
        <w:rPr>
          <w:rStyle w:val="FootnoteReference"/>
        </w:rPr>
        <w:footnoteRef/>
      </w:r>
      <w:r>
        <w:t xml:space="preserve"> </w:t>
      </w:r>
      <w:r>
        <w:t xml:space="preserve">Mericq 2003, PMID 14513874; Laferrère 2006, PMID 16861611.</w:t>
      </w:r>
    </w:p>
  </w:footnote>
  <w:footnote w:id="1386">
    <w:p>
      <w:pPr>
        <w:pStyle w:val="FootnoteText"/>
      </w:pPr>
      <w:r>
        <w:rPr>
          <w:rStyle w:val="FootnoteReference"/>
        </w:rPr>
        <w:footnoteRef/>
      </w:r>
      <w:r>
        <w:t xml:space="preserve"> </w:t>
      </w:r>
      <w:r>
        <w:t xml:space="preserve">Arimura 2016, PMID 27020037.</w:t>
      </w:r>
    </w:p>
  </w:footnote>
  <w:footnote w:id="1387">
    <w:p>
      <w:pPr>
        <w:pStyle w:val="FootnoteText"/>
      </w:pPr>
      <w:r>
        <w:rPr>
          <w:rStyle w:val="FootnoteReference"/>
        </w:rPr>
        <w:footnoteRef/>
      </w:r>
      <w:r>
        <w:t xml:space="preserve"> </w:t>
      </w:r>
      <w:r>
        <w:t xml:space="preserve">Sigalos 2018, PMID 28400207.</w:t>
      </w:r>
    </w:p>
  </w:footnote>
  <w:footnote w:id="1388">
    <w:p>
      <w:pPr>
        <w:pStyle w:val="FootnoteText"/>
      </w:pPr>
      <w:r>
        <w:rPr>
          <w:rStyle w:val="FootnoteReference"/>
        </w:rPr>
        <w:footnoteRef/>
      </w:r>
      <w:r>
        <w:t xml:space="preserve"> </w:t>
      </w:r>
      <w:r>
        <w:t xml:space="preserve">Krug 2018, PMID 29864719; Gajda 2019, PMID 30136411.</w:t>
      </w:r>
    </w:p>
  </w:footnote>
  <w:footnote w:id="1390">
    <w:p>
      <w:pPr>
        <w:pStyle w:val="FootnoteText"/>
      </w:pPr>
      <w:r>
        <w:rPr>
          <w:rStyle w:val="FootnoteReference"/>
        </w:rPr>
        <w:footnoteRef/>
      </w:r>
      <w:r>
        <w:t xml:space="preserve"> </w:t>
      </w:r>
      <w:r>
        <w:t xml:space="preserve">Semenistaya 2015, PMID 25869809.</w:t>
      </w:r>
    </w:p>
  </w:footnote>
  <w:footnote w:id="1395">
    <w:p>
      <w:pPr>
        <w:pStyle w:val="FootnoteText"/>
      </w:pPr>
      <w:r>
        <w:rPr>
          <w:rStyle w:val="FootnoteReference"/>
        </w:rPr>
        <w:footnoteRef/>
      </w:r>
      <w:r>
        <w:t xml:space="preserve"> </w:t>
      </w:r>
      <w:r>
        <w:t xml:space="preserve">Bowers 1984, PMID 6714155.</w:t>
      </w:r>
    </w:p>
  </w:footnote>
  <w:footnote w:id="1397">
    <w:p>
      <w:pPr>
        <w:pStyle w:val="FootnoteText"/>
      </w:pPr>
      <w:r>
        <w:rPr>
          <w:rStyle w:val="FootnoteReference"/>
        </w:rPr>
        <w:footnoteRef/>
      </w:r>
      <w:r>
        <w:t xml:space="preserve"> </w:t>
      </w:r>
      <w:r>
        <w:t xml:space="preserve">Bowers 1984, PMID 6714155.</w:t>
      </w:r>
    </w:p>
  </w:footnote>
  <w:footnote w:id="1398">
    <w:p>
      <w:pPr>
        <w:pStyle w:val="FootnoteText"/>
      </w:pPr>
      <w:r>
        <w:rPr>
          <w:rStyle w:val="FootnoteReference"/>
        </w:rPr>
        <w:footnoteRef/>
      </w:r>
      <w:r>
        <w:t xml:space="preserve"> </w:t>
      </w:r>
      <w:r>
        <w:t xml:space="preserve">Kojima 1999, PMID 10604470.</w:t>
      </w:r>
    </w:p>
  </w:footnote>
  <w:footnote w:id="1400">
    <w:p>
      <w:pPr>
        <w:pStyle w:val="FootnoteText"/>
      </w:pPr>
      <w:r>
        <w:rPr>
          <w:rStyle w:val="FootnoteReference"/>
        </w:rPr>
        <w:footnoteRef/>
      </w:r>
      <w:r>
        <w:t xml:space="preserve"> </w:t>
      </w:r>
      <w:r>
        <w:t xml:space="preserve">Popovic 2000, PMID 11030292.</w:t>
      </w:r>
    </w:p>
  </w:footnote>
  <w:footnote w:id="1401">
    <w:p>
      <w:pPr>
        <w:pStyle w:val="FootnoteText"/>
      </w:pPr>
      <w:r>
        <w:rPr>
          <w:rStyle w:val="FootnoteReference"/>
        </w:rPr>
        <w:footnoteRef/>
      </w:r>
      <w:r>
        <w:t xml:space="preserve"> </w:t>
      </w:r>
      <w:r>
        <w:t xml:space="preserve">Petersenn 2002, PMID 11980622.</w:t>
      </w:r>
    </w:p>
  </w:footnote>
  <w:footnote w:id="1402">
    <w:p>
      <w:pPr>
        <w:pStyle w:val="FootnoteText"/>
      </w:pPr>
      <w:r>
        <w:rPr>
          <w:rStyle w:val="FootnoteReference"/>
        </w:rPr>
        <w:footnoteRef/>
      </w:r>
      <w:r>
        <w:t xml:space="preserve"> </w:t>
      </w:r>
      <w:r>
        <w:t xml:space="preserve">Leal-Cerro 1995, PMID 7788011.</w:t>
      </w:r>
    </w:p>
  </w:footnote>
  <w:footnote w:id="1403">
    <w:p>
      <w:pPr>
        <w:pStyle w:val="FootnoteText"/>
      </w:pPr>
      <w:r>
        <w:rPr>
          <w:rStyle w:val="FootnoteReference"/>
        </w:rPr>
        <w:footnoteRef/>
      </w:r>
      <w:r>
        <w:t xml:space="preserve"> </w:t>
      </w:r>
      <w:r>
        <w:t xml:space="preserve">Alaioubi 2010, PMID 19946832.</w:t>
      </w:r>
    </w:p>
  </w:footnote>
  <w:footnote w:id="1405">
    <w:p>
      <w:pPr>
        <w:pStyle w:val="FootnoteText"/>
      </w:pPr>
      <w:r>
        <w:rPr>
          <w:rStyle w:val="FootnoteReference"/>
        </w:rPr>
        <w:footnoteRef/>
      </w:r>
      <w:r>
        <w:t xml:space="preserve"> </w:t>
      </w:r>
      <w:r>
        <w:t xml:space="preserve">Cabrales 2013, PMID 23099431.</w:t>
      </w:r>
    </w:p>
  </w:footnote>
  <w:footnote w:id="1406">
    <w:p>
      <w:pPr>
        <w:pStyle w:val="FootnoteText"/>
      </w:pPr>
      <w:r>
        <w:rPr>
          <w:rStyle w:val="FootnoteReference"/>
        </w:rPr>
        <w:footnoteRef/>
      </w:r>
      <w:r>
        <w:t xml:space="preserve"> </w:t>
      </w:r>
      <w:r>
        <w:t xml:space="preserve">Frieboes 1995, PMID 7617137.</w:t>
      </w:r>
    </w:p>
  </w:footnote>
  <w:footnote w:id="1407">
    <w:p>
      <w:pPr>
        <w:pStyle w:val="FootnoteText"/>
      </w:pPr>
      <w:r>
        <w:rPr>
          <w:rStyle w:val="FootnoteReference"/>
        </w:rPr>
        <w:footnoteRef/>
      </w:r>
      <w:r>
        <w:t xml:space="preserve"> </w:t>
      </w:r>
      <w:r>
        <w:t xml:space="preserve">Micic 1995, PMID 7734029.</w:t>
      </w:r>
    </w:p>
  </w:footnote>
  <w:footnote w:id="1408">
    <w:p>
      <w:pPr>
        <w:pStyle w:val="FootnoteText"/>
      </w:pPr>
      <w:r>
        <w:rPr>
          <w:rStyle w:val="FootnoteReference"/>
        </w:rPr>
        <w:footnoteRef/>
      </w:r>
      <w:r>
        <w:t xml:space="preserve"> </w:t>
      </w:r>
      <w:r>
        <w:t xml:space="preserve">Bellone 1995, PMID 7581965.</w:t>
      </w:r>
    </w:p>
  </w:footnote>
  <w:footnote w:id="1411">
    <w:p>
      <w:pPr>
        <w:pStyle w:val="FootnoteText"/>
      </w:pPr>
      <w:r>
        <w:rPr>
          <w:rStyle w:val="FootnoteReference"/>
        </w:rPr>
        <w:footnoteRef/>
      </w:r>
      <w:r>
        <w:t xml:space="preserve"> </w:t>
      </w:r>
      <w:r>
        <w:t xml:space="preserve">Berlanga-Acosta 2024, PMID 38873418.</w:t>
      </w:r>
    </w:p>
  </w:footnote>
  <w:footnote w:id="1412">
    <w:p>
      <w:pPr>
        <w:pStyle w:val="FootnoteText"/>
      </w:pPr>
      <w:r>
        <w:rPr>
          <w:rStyle w:val="FootnoteReference"/>
        </w:rPr>
        <w:footnoteRef/>
      </w:r>
      <w:r>
        <w:t xml:space="preserve"> </w:t>
      </w:r>
      <w:r>
        <w:t xml:space="preserve">Cibrián 2006, PMID 16417467.</w:t>
      </w:r>
    </w:p>
  </w:footnote>
  <w:footnote w:id="1413">
    <w:p>
      <w:pPr>
        <w:pStyle w:val="FootnoteText"/>
      </w:pPr>
      <w:r>
        <w:rPr>
          <w:rStyle w:val="FootnoteReference"/>
        </w:rPr>
        <w:footnoteRef/>
      </w:r>
      <w:r>
        <w:t xml:space="preserve"> </w:t>
      </w:r>
      <w:r>
        <w:t xml:space="preserve">del Barco 2011, PMID 21697595.</w:t>
      </w:r>
    </w:p>
  </w:footnote>
  <w:footnote w:id="1415">
    <w:p>
      <w:pPr>
        <w:pStyle w:val="FootnoteText"/>
      </w:pPr>
      <w:r>
        <w:rPr>
          <w:rStyle w:val="FootnoteReference"/>
        </w:rPr>
        <w:footnoteRef/>
      </w:r>
      <w:r>
        <w:t xml:space="preserve"> </w:t>
      </w:r>
      <w:r>
        <w:t xml:space="preserve">Petersenn 2002, PMID 11980622.</w:t>
      </w:r>
    </w:p>
  </w:footnote>
  <w:footnote w:id="1416">
    <w:p>
      <w:pPr>
        <w:pStyle w:val="FootnoteText"/>
      </w:pPr>
      <w:r>
        <w:rPr>
          <w:rStyle w:val="FootnoteReference"/>
        </w:rPr>
        <w:footnoteRef/>
      </w:r>
      <w:r>
        <w:t xml:space="preserve"> </w:t>
      </w:r>
      <w:r>
        <w:t xml:space="preserve">Frieboes 1995, PMID 7617137.</w:t>
      </w:r>
    </w:p>
  </w:footnote>
  <w:footnote w:id="1417">
    <w:p>
      <w:pPr>
        <w:pStyle w:val="FootnoteText"/>
      </w:pPr>
      <w:r>
        <w:rPr>
          <w:rStyle w:val="FootnoteReference"/>
        </w:rPr>
        <w:footnoteRef/>
      </w:r>
      <w:r>
        <w:t xml:space="preserve"> </w:t>
      </w:r>
      <w:r>
        <w:t xml:space="preserve">Perez 2026, PMID 42465868.</w:t>
      </w:r>
    </w:p>
  </w:footnote>
  <w:footnote w:id="1418">
    <w:p>
      <w:pPr>
        <w:pStyle w:val="FootnoteText"/>
      </w:pPr>
      <w:r>
        <w:rPr>
          <w:rStyle w:val="FootnoteReference"/>
        </w:rPr>
        <w:footnoteRef/>
      </w:r>
      <w:r>
        <w:t xml:space="preserve"> </w:t>
      </w:r>
      <w:r>
        <w:t xml:space="preserve">Krug 2018, PMID 29864719.</w:t>
      </w:r>
    </w:p>
  </w:footnote>
  <w:footnote w:id="1420">
    <w:p>
      <w:pPr>
        <w:pStyle w:val="FootnoteText"/>
      </w:pPr>
      <w:r>
        <w:rPr>
          <w:rStyle w:val="FootnoteReference"/>
        </w:rPr>
        <w:footnoteRef/>
      </w:r>
      <w:r>
        <w:t xml:space="preserve"> </w:t>
      </w:r>
      <w:r>
        <w:t xml:space="preserve">Semenistaya 2015, PMID 25869809.</w:t>
      </w:r>
    </w:p>
  </w:footnote>
  <w:footnote w:id="1425">
    <w:p>
      <w:pPr>
        <w:pStyle w:val="FootnoteText"/>
      </w:pPr>
      <w:r>
        <w:rPr>
          <w:rStyle w:val="FootnoteReference"/>
        </w:rPr>
        <w:footnoteRef/>
      </w:r>
      <w:r>
        <w:t xml:space="preserve"> </w:t>
      </w:r>
      <w:r>
        <w:t xml:space="preserve">Imbimbo 1994, PMID 7957536.</w:t>
      </w:r>
    </w:p>
  </w:footnote>
  <w:footnote w:id="1426">
    <w:p>
      <w:pPr>
        <w:pStyle w:val="FootnoteText"/>
      </w:pPr>
      <w:r>
        <w:rPr>
          <w:rStyle w:val="FootnoteReference"/>
        </w:rPr>
        <w:footnoteRef/>
      </w:r>
      <w:r>
        <w:t xml:space="preserve"> </w:t>
      </w:r>
      <w:r>
        <w:t xml:space="preserve">Mao 2014, PMID 25278975.</w:t>
      </w:r>
    </w:p>
  </w:footnote>
  <w:footnote w:id="1428">
    <w:p>
      <w:pPr>
        <w:pStyle w:val="FootnoteText"/>
      </w:pPr>
      <w:r>
        <w:rPr>
          <w:rStyle w:val="FootnoteReference"/>
        </w:rPr>
        <w:footnoteRef/>
      </w:r>
      <w:r>
        <w:t xml:space="preserve"> </w:t>
      </w:r>
      <w:r>
        <w:t xml:space="preserve">Loche 1995, PMID 7673411.</w:t>
      </w:r>
    </w:p>
  </w:footnote>
  <w:footnote w:id="1430">
    <w:p>
      <w:pPr>
        <w:pStyle w:val="FootnoteText"/>
      </w:pPr>
      <w:r>
        <w:rPr>
          <w:rStyle w:val="FootnoteReference"/>
        </w:rPr>
        <w:footnoteRef/>
      </w:r>
      <w:r>
        <w:t xml:space="preserve"> </w:t>
      </w:r>
      <w:r>
        <w:t xml:space="preserve">Imbimbo 1994, PMID 7957536.</w:t>
      </w:r>
    </w:p>
  </w:footnote>
  <w:footnote w:id="1431">
    <w:p>
      <w:pPr>
        <w:pStyle w:val="FootnoteText"/>
      </w:pPr>
      <w:r>
        <w:rPr>
          <w:rStyle w:val="FootnoteReference"/>
        </w:rPr>
        <w:footnoteRef/>
      </w:r>
      <w:r>
        <w:t xml:space="preserve"> </w:t>
      </w:r>
      <w:r>
        <w:t xml:space="preserve">Massoud 1996, PMID 8954038.</w:t>
      </w:r>
    </w:p>
  </w:footnote>
  <w:footnote w:id="1432">
    <w:p>
      <w:pPr>
        <w:pStyle w:val="FootnoteText"/>
      </w:pPr>
      <w:r>
        <w:rPr>
          <w:rStyle w:val="FootnoteReference"/>
        </w:rPr>
        <w:footnoteRef/>
      </w:r>
      <w:r>
        <w:t xml:space="preserve"> </w:t>
      </w:r>
      <w:r>
        <w:t xml:space="preserve">Korbonits 1999, PMID 10404825.</w:t>
      </w:r>
    </w:p>
  </w:footnote>
  <w:footnote w:id="1434">
    <w:p>
      <w:pPr>
        <w:pStyle w:val="FootnoteText"/>
      </w:pPr>
      <w:r>
        <w:rPr>
          <w:rStyle w:val="FootnoteReference"/>
        </w:rPr>
        <w:footnoteRef/>
      </w:r>
      <w:r>
        <w:t xml:space="preserve"> </w:t>
      </w:r>
      <w:r>
        <w:t xml:space="preserve">Rahim 1998, PMID 9589671.</w:t>
      </w:r>
    </w:p>
  </w:footnote>
  <w:footnote w:id="1435">
    <w:p>
      <w:pPr>
        <w:pStyle w:val="FootnoteText"/>
      </w:pPr>
      <w:r>
        <w:rPr>
          <w:rStyle w:val="FootnoteReference"/>
        </w:rPr>
        <w:footnoteRef/>
      </w:r>
      <w:r>
        <w:t xml:space="preserve"> </w:t>
      </w:r>
      <w:r>
        <w:t xml:space="preserve">Rahim 1999, PMID 10341859.</w:t>
      </w:r>
    </w:p>
  </w:footnote>
  <w:footnote w:id="1436">
    <w:p>
      <w:pPr>
        <w:pStyle w:val="FootnoteText"/>
      </w:pPr>
      <w:r>
        <w:rPr>
          <w:rStyle w:val="FootnoteReference"/>
        </w:rPr>
        <w:footnoteRef/>
      </w:r>
      <w:r>
        <w:t xml:space="preserve"> </w:t>
      </w:r>
      <w:r>
        <w:t xml:space="preserve">Laron 1995, PMID 8548949.</w:t>
      </w:r>
    </w:p>
  </w:footnote>
  <w:footnote w:id="1437">
    <w:p>
      <w:pPr>
        <w:pStyle w:val="FootnoteText"/>
      </w:pPr>
      <w:r>
        <w:rPr>
          <w:rStyle w:val="FootnoteReference"/>
        </w:rPr>
        <w:footnoteRef/>
      </w:r>
      <w:r>
        <w:t xml:space="preserve"> </w:t>
      </w:r>
      <w:r>
        <w:t xml:space="preserve">Klinger 1996, PMID 8766941.</w:t>
      </w:r>
    </w:p>
  </w:footnote>
  <w:footnote w:id="1439">
    <w:p>
      <w:pPr>
        <w:pStyle w:val="FootnoteText"/>
      </w:pPr>
      <w:r>
        <w:rPr>
          <w:rStyle w:val="FootnoteReference"/>
        </w:rPr>
        <w:footnoteRef/>
      </w:r>
      <w:r>
        <w:t xml:space="preserve"> </w:t>
      </w:r>
      <w:r>
        <w:t xml:space="preserve">Bisi 1999, PMID 10528131.</w:t>
      </w:r>
    </w:p>
  </w:footnote>
  <w:footnote w:id="1440">
    <w:p>
      <w:pPr>
        <w:pStyle w:val="FootnoteText"/>
      </w:pPr>
      <w:r>
        <w:rPr>
          <w:rStyle w:val="FootnoteReference"/>
        </w:rPr>
        <w:footnoteRef/>
      </w:r>
      <w:r>
        <w:t xml:space="preserve"> </w:t>
      </w:r>
      <w:r>
        <w:t xml:space="preserve">Broglio 2001, PMID 11322491.</w:t>
      </w:r>
    </w:p>
  </w:footnote>
  <w:footnote w:id="1441">
    <w:p>
      <w:pPr>
        <w:pStyle w:val="FootnoteText"/>
      </w:pPr>
      <w:r>
        <w:rPr>
          <w:rStyle w:val="FootnoteReference"/>
        </w:rPr>
        <w:footnoteRef/>
      </w:r>
      <w:r>
        <w:t xml:space="preserve"> </w:t>
      </w:r>
      <w:r>
        <w:t xml:space="preserve">Broglio 2002, PMID 12144941.</w:t>
      </w:r>
    </w:p>
  </w:footnote>
  <w:footnote w:id="1444">
    <w:p>
      <w:pPr>
        <w:pStyle w:val="FootnoteText"/>
      </w:pPr>
      <w:r>
        <w:rPr>
          <w:rStyle w:val="FootnoteReference"/>
        </w:rPr>
        <w:footnoteRef/>
      </w:r>
      <w:r>
        <w:t xml:space="preserve"> </w:t>
      </w:r>
      <w:r>
        <w:t xml:space="preserve">Tivesten 2000, PMID 10614623.</w:t>
      </w:r>
    </w:p>
  </w:footnote>
  <w:footnote w:id="1445">
    <w:p>
      <w:pPr>
        <w:pStyle w:val="FootnoteText"/>
      </w:pPr>
      <w:r>
        <w:rPr>
          <w:rStyle w:val="FootnoteReference"/>
        </w:rPr>
        <w:footnoteRef/>
      </w:r>
      <w:r>
        <w:t xml:space="preserve"> </w:t>
      </w:r>
      <w:r>
        <w:t xml:space="preserve">McDonald 2018, PMID 29756411.</w:t>
      </w:r>
    </w:p>
  </w:footnote>
  <w:footnote w:id="1446">
    <w:p>
      <w:pPr>
        <w:pStyle w:val="FootnoteText"/>
      </w:pPr>
      <w:r>
        <w:rPr>
          <w:rStyle w:val="FootnoteReference"/>
        </w:rPr>
        <w:footnoteRef/>
      </w:r>
      <w:r>
        <w:t xml:space="preserve"> </w:t>
      </w:r>
      <w:r>
        <w:t xml:space="preserve">Mao 2014, PMID 25278975.</w:t>
      </w:r>
    </w:p>
  </w:footnote>
  <w:footnote w:id="1448">
    <w:p>
      <w:pPr>
        <w:pStyle w:val="FootnoteText"/>
      </w:pPr>
      <w:r>
        <w:rPr>
          <w:rStyle w:val="FootnoteReference"/>
        </w:rPr>
        <w:footnoteRef/>
      </w:r>
      <w:r>
        <w:t xml:space="preserve"> </w:t>
      </w:r>
      <w:r>
        <w:t xml:space="preserve">Massoud 1996, PMID 8954038; Korbonits 1999, PMID 10404825.</w:t>
      </w:r>
    </w:p>
  </w:footnote>
  <w:footnote w:id="1449">
    <w:p>
      <w:pPr>
        <w:pStyle w:val="FootnoteText"/>
      </w:pPr>
      <w:r>
        <w:rPr>
          <w:rStyle w:val="FootnoteReference"/>
        </w:rPr>
        <w:footnoteRef/>
      </w:r>
      <w:r>
        <w:t xml:space="preserve"> </w:t>
      </w:r>
      <w:r>
        <w:t xml:space="preserve">Korbonits 1999, PMID 10404825.</w:t>
      </w:r>
    </w:p>
  </w:footnote>
  <w:footnote w:id="1450">
    <w:p>
      <w:pPr>
        <w:pStyle w:val="FootnoteText"/>
      </w:pPr>
      <w:r>
        <w:rPr>
          <w:rStyle w:val="FootnoteReference"/>
        </w:rPr>
        <w:footnoteRef/>
      </w:r>
      <w:r>
        <w:t xml:space="preserve"> </w:t>
      </w:r>
      <w:r>
        <w:t xml:space="preserve">Rahim 1998, PMID 9589671; Klinger 1996, PMID 8766941.</w:t>
      </w:r>
    </w:p>
  </w:footnote>
  <w:footnote w:id="1451">
    <w:p>
      <w:pPr>
        <w:pStyle w:val="FootnoteText"/>
      </w:pPr>
      <w:r>
        <w:rPr>
          <w:rStyle w:val="FootnoteReference"/>
        </w:rPr>
        <w:footnoteRef/>
      </w:r>
      <w:r>
        <w:t xml:space="preserve"> </w:t>
      </w:r>
      <w:r>
        <w:t xml:space="preserve">Laron 1995, PMID 8548949.</w:t>
      </w:r>
    </w:p>
  </w:footnote>
  <w:footnote w:id="1453">
    <w:p>
      <w:pPr>
        <w:pStyle w:val="FootnoteText"/>
      </w:pPr>
      <w:r>
        <w:rPr>
          <w:rStyle w:val="FootnoteReference"/>
        </w:rPr>
        <w:footnoteRef/>
      </w:r>
      <w:r>
        <w:t xml:space="preserve"> </w:t>
      </w:r>
      <w:r>
        <w:t xml:space="preserve">Semenistaya 2015, PMID 25869809.</w:t>
      </w:r>
    </w:p>
  </w:footnote>
  <w:footnote w:id="1458">
    <w:p>
      <w:pPr>
        <w:pStyle w:val="FootnoteText"/>
      </w:pPr>
      <w:r>
        <w:rPr>
          <w:rStyle w:val="FootnoteReference"/>
        </w:rPr>
        <w:footnoteRef/>
      </w:r>
      <w:r>
        <w:t xml:space="preserve"> </w:t>
      </w:r>
      <w:r>
        <w:t xml:space="preserve">Piccoli 2007, PMID 17284637.</w:t>
      </w:r>
    </w:p>
  </w:footnote>
  <w:footnote w:id="1461">
    <w:p>
      <w:pPr>
        <w:pStyle w:val="FootnoteText"/>
      </w:pPr>
      <w:r>
        <w:rPr>
          <w:rStyle w:val="FootnoteReference"/>
        </w:rPr>
        <w:footnoteRef/>
      </w:r>
      <w:r>
        <w:t xml:space="preserve"> </w:t>
      </w:r>
      <w:r>
        <w:t xml:space="preserve">Piccoli 2007, PMID 17284637.</w:t>
      </w:r>
    </w:p>
  </w:footnote>
  <w:footnote w:id="1462">
    <w:p>
      <w:pPr>
        <w:pStyle w:val="FootnoteText"/>
      </w:pPr>
      <w:r>
        <w:rPr>
          <w:rStyle w:val="FootnoteReference"/>
        </w:rPr>
        <w:footnoteRef/>
      </w:r>
      <w:r>
        <w:t xml:space="preserve"> </w:t>
      </w:r>
      <w:r>
        <w:t xml:space="preserve">Klaus 2020, PMID 32325373.</w:t>
      </w:r>
    </w:p>
  </w:footnote>
  <w:footnote w:id="1464">
    <w:p>
      <w:pPr>
        <w:pStyle w:val="FootnoteText"/>
      </w:pPr>
      <w:r>
        <w:rPr>
          <w:rStyle w:val="FootnoteReference"/>
        </w:rPr>
        <w:footnoteRef/>
      </w:r>
      <w:r>
        <w:t xml:space="preserve"> </w:t>
      </w:r>
      <w:r>
        <w:t xml:space="preserve">Garcia 2013, PMID 23559086.</w:t>
      </w:r>
    </w:p>
  </w:footnote>
  <w:footnote w:id="1465">
    <w:p>
      <w:pPr>
        <w:pStyle w:val="FootnoteText"/>
      </w:pPr>
      <w:r>
        <w:rPr>
          <w:rStyle w:val="FootnoteReference"/>
        </w:rPr>
        <w:footnoteRef/>
      </w:r>
      <w:r>
        <w:t xml:space="preserve"> </w:t>
      </w:r>
      <w:r>
        <w:t xml:space="preserve">Garcia 2018, PMID 29860473; NCT02558829.</w:t>
      </w:r>
    </w:p>
  </w:footnote>
  <w:footnote w:id="1466">
    <w:p>
      <w:pPr>
        <w:pStyle w:val="FootnoteText"/>
      </w:pPr>
      <w:r>
        <w:rPr>
          <w:rStyle w:val="FootnoteReference"/>
        </w:rPr>
        <w:footnoteRef/>
      </w:r>
      <w:r>
        <w:t xml:space="preserve"> </w:t>
      </w:r>
      <w:r>
        <w:t xml:space="preserve">Garcia 2021, PMID 33320108.</w:t>
      </w:r>
    </w:p>
  </w:footnote>
  <w:footnote w:id="1468">
    <w:p>
      <w:pPr>
        <w:pStyle w:val="FootnoteText"/>
      </w:pPr>
      <w:r>
        <w:rPr>
          <w:rStyle w:val="FootnoteReference"/>
        </w:rPr>
        <w:footnoteRef/>
      </w:r>
      <w:r>
        <w:t xml:space="preserve"> </w:t>
      </w:r>
      <w:r>
        <w:t xml:space="preserve">Yadav 2026, PMID 41793495.</w:t>
      </w:r>
    </w:p>
  </w:footnote>
  <w:footnote w:id="1470">
    <w:p>
      <w:pPr>
        <w:pStyle w:val="FootnoteText"/>
      </w:pPr>
      <w:r>
        <w:rPr>
          <w:rStyle w:val="FootnoteReference"/>
        </w:rPr>
        <w:footnoteRef/>
      </w:r>
      <w:r>
        <w:t xml:space="preserve"> </w:t>
      </w:r>
      <w:r>
        <w:t xml:space="preserve">Csákváry 2021, PMID 34438400.</w:t>
      </w:r>
    </w:p>
  </w:footnote>
  <w:footnote w:id="1471">
    <w:p>
      <w:pPr>
        <w:pStyle w:val="FootnoteText"/>
      </w:pPr>
      <w:r>
        <w:rPr>
          <w:rStyle w:val="FootnoteReference"/>
        </w:rPr>
        <w:footnoteRef/>
      </w:r>
      <w:r>
        <w:t xml:space="preserve"> </w:t>
      </w:r>
      <w:r>
        <w:t xml:space="preserve">NCT04786873.</w:t>
      </w:r>
    </w:p>
  </w:footnote>
  <w:footnote w:id="1472">
    <w:p>
      <w:pPr>
        <w:pStyle w:val="FootnoteText"/>
      </w:pPr>
      <w:r>
        <w:rPr>
          <w:rStyle w:val="FootnoteReference"/>
        </w:rPr>
        <w:footnoteRef/>
      </w:r>
      <w:r>
        <w:t xml:space="preserve"> </w:t>
      </w:r>
      <w:r>
        <w:t xml:space="preserve">Herodes 2023, PMID 36860137.</w:t>
      </w:r>
    </w:p>
  </w:footnote>
  <w:footnote w:id="1475">
    <w:p>
      <w:pPr>
        <w:pStyle w:val="FootnoteText"/>
      </w:pPr>
      <w:r>
        <w:rPr>
          <w:rStyle w:val="FootnoteReference"/>
        </w:rPr>
        <w:footnoteRef/>
      </w:r>
      <w:r>
        <w:t xml:space="preserve"> </w:t>
      </w:r>
      <w:r>
        <w:t xml:space="preserve">Buckinx 2021, PMID 34157194.</w:t>
      </w:r>
    </w:p>
  </w:footnote>
  <w:footnote w:id="1476">
    <w:p>
      <w:pPr>
        <w:pStyle w:val="FootnoteText"/>
      </w:pPr>
      <w:r>
        <w:rPr>
          <w:rStyle w:val="FootnoteReference"/>
        </w:rPr>
        <w:footnoteRef/>
      </w:r>
      <w:r>
        <w:t xml:space="preserve"> </w:t>
      </w:r>
      <w:r>
        <w:t xml:space="preserve">Wang 2025, PMID 40542284.</w:t>
      </w:r>
    </w:p>
  </w:footnote>
  <w:footnote w:id="1478">
    <w:p>
      <w:pPr>
        <w:pStyle w:val="FootnoteText"/>
      </w:pPr>
      <w:r>
        <w:rPr>
          <w:rStyle w:val="FootnoteReference"/>
        </w:rPr>
        <w:footnoteRef/>
      </w:r>
      <w:r>
        <w:t xml:space="preserve"> </w:t>
      </w:r>
      <w:r>
        <w:t xml:space="preserve">Garcia 2018, PMID 29860473.</w:t>
      </w:r>
    </w:p>
  </w:footnote>
  <w:footnote w:id="1479">
    <w:p>
      <w:pPr>
        <w:pStyle w:val="FootnoteText"/>
      </w:pPr>
      <w:r>
        <w:rPr>
          <w:rStyle w:val="FootnoteReference"/>
        </w:rPr>
        <w:footnoteRef/>
      </w:r>
      <w:r>
        <w:t xml:space="preserve"> </w:t>
      </w:r>
      <w:r>
        <w:t xml:space="preserve">Klaus 2020, PMID 32325373.</w:t>
      </w:r>
    </w:p>
  </w:footnote>
  <w:footnote w:id="1480">
    <w:p>
      <w:pPr>
        <w:pStyle w:val="FootnoteText"/>
      </w:pPr>
      <w:r>
        <w:rPr>
          <w:rStyle w:val="FootnoteReference"/>
        </w:rPr>
        <w:footnoteRef/>
      </w:r>
      <w:r>
        <w:t xml:space="preserve"> </w:t>
      </w:r>
      <w:r>
        <w:t xml:space="preserve">Lissy 2021, PMID 32961034.</w:t>
      </w:r>
    </w:p>
  </w:footnote>
  <w:footnote w:id="1481">
    <w:p>
      <w:pPr>
        <w:pStyle w:val="FootnoteText"/>
      </w:pPr>
      <w:r>
        <w:rPr>
          <w:rStyle w:val="FootnoteReference"/>
        </w:rPr>
        <w:footnoteRef/>
      </w:r>
      <w:r>
        <w:t xml:space="preserve"> </w:t>
      </w:r>
      <w:r>
        <w:t xml:space="preserve">Yadav 2026, PMID 41793495.</w:t>
      </w:r>
    </w:p>
  </w:footnote>
  <w:footnote w:id="1483">
    <w:p>
      <w:pPr>
        <w:pStyle w:val="FootnoteText"/>
      </w:pPr>
      <w:r>
        <w:rPr>
          <w:rStyle w:val="FootnoteReference"/>
        </w:rPr>
        <w:footnoteRef/>
      </w:r>
      <w:r>
        <w:t xml:space="preserve"> </w:t>
      </w:r>
      <w:r>
        <w:t xml:space="preserve">Lange 2021, PMID 33458843.</w:t>
      </w:r>
    </w:p>
  </w:footnote>
  <w:footnote w:id="1485">
    <w:p>
      <w:pPr>
        <w:pStyle w:val="FootnoteText"/>
      </w:pPr>
      <w:r>
        <w:rPr>
          <w:rStyle w:val="FootnoteReference"/>
        </w:rPr>
        <w:footnoteRef/>
      </w:r>
      <w:r>
        <w:t xml:space="preserve"> </w:t>
      </w:r>
      <w:r>
        <w:t xml:space="preserve">NCT04786873.</w:t>
      </w:r>
    </w:p>
  </w:footnote>
  <w:footnote w:id="1486">
    <w:p>
      <w:pPr>
        <w:pStyle w:val="FootnoteText"/>
      </w:pPr>
      <w:r>
        <w:rPr>
          <w:rStyle w:val="FootnoteReference"/>
        </w:rPr>
        <w:footnoteRef/>
      </w:r>
      <w:r>
        <w:t xml:space="preserve"> </w:t>
      </w:r>
      <w:r>
        <w:t xml:space="preserve">NCT03844217.</w:t>
      </w:r>
    </w:p>
  </w:footnote>
  <w:footnote w:id="1491">
    <w:p>
      <w:pPr>
        <w:pStyle w:val="FootnoteText"/>
      </w:pPr>
      <w:r>
        <w:rPr>
          <w:rStyle w:val="FootnoteReference"/>
        </w:rPr>
        <w:footnoteRef/>
      </w:r>
      <w:r>
        <w:t xml:space="preserve"> </w:t>
      </w:r>
      <w:r>
        <w:t xml:space="preserve">Saavedra 2026, PMID 42341624.</w:t>
      </w:r>
    </w:p>
  </w:footnote>
  <w:footnote w:id="1493">
    <w:p>
      <w:pPr>
        <w:pStyle w:val="FootnoteText"/>
      </w:pPr>
      <w:r>
        <w:rPr>
          <w:rStyle w:val="FootnoteReference"/>
        </w:rPr>
        <w:footnoteRef/>
      </w:r>
      <w:r>
        <w:t xml:space="preserve"> </w:t>
      </w:r>
      <w:r>
        <w:t xml:space="preserve">Chernausek 2007, PMID 17192294.</w:t>
      </w:r>
    </w:p>
  </w:footnote>
  <w:footnote w:id="1494">
    <w:p>
      <w:pPr>
        <w:pStyle w:val="FootnoteText"/>
      </w:pPr>
      <w:r>
        <w:rPr>
          <w:rStyle w:val="FootnoteReference"/>
        </w:rPr>
        <w:footnoteRef/>
      </w:r>
      <w:r>
        <w:t xml:space="preserve"> </w:t>
      </w:r>
      <w:r>
        <w:t xml:space="preserve">NCT00903110.</w:t>
      </w:r>
    </w:p>
  </w:footnote>
  <w:footnote w:id="1495">
    <w:p>
      <w:pPr>
        <w:pStyle w:val="FootnoteText"/>
      </w:pPr>
      <w:r>
        <w:rPr>
          <w:rStyle w:val="FootnoteReference"/>
        </w:rPr>
        <w:footnoteRef/>
      </w:r>
      <w:r>
        <w:t xml:space="preserve"> </w:t>
      </w:r>
      <w:r>
        <w:t xml:space="preserve">Bang 2021, PMID 33434161.</w:t>
      </w:r>
    </w:p>
  </w:footnote>
  <w:footnote w:id="1496">
    <w:p>
      <w:pPr>
        <w:pStyle w:val="FootnoteText"/>
      </w:pPr>
      <w:r>
        <w:rPr>
          <w:rStyle w:val="FootnoteReference"/>
        </w:rPr>
        <w:footnoteRef/>
      </w:r>
      <w:r>
        <w:t xml:space="preserve"> </w:t>
      </w:r>
      <w:r>
        <w:t xml:space="preserve">Ramon-Krauel 2026, PMID 40626687.</w:t>
      </w:r>
    </w:p>
  </w:footnote>
  <w:footnote w:id="1497">
    <w:p>
      <w:pPr>
        <w:pStyle w:val="FootnoteText"/>
      </w:pPr>
      <w:r>
        <w:rPr>
          <w:rStyle w:val="FootnoteReference"/>
        </w:rPr>
        <w:footnoteRef/>
      </w:r>
      <w:r>
        <w:t xml:space="preserve"> </w:t>
      </w:r>
      <w:r>
        <w:t xml:space="preserve">Bang 2023, PMID 37579214.</w:t>
      </w:r>
    </w:p>
  </w:footnote>
  <w:footnote w:id="1499">
    <w:p>
      <w:pPr>
        <w:pStyle w:val="FootnoteText"/>
      </w:pPr>
      <w:r>
        <w:rPr>
          <w:rStyle w:val="FootnoteReference"/>
        </w:rPr>
        <w:footnoteRef/>
      </w:r>
      <w:r>
        <w:t xml:space="preserve"> </w:t>
      </w:r>
      <w:r>
        <w:t xml:space="preserve">Sorenson 2008, PMID 19029516.</w:t>
      </w:r>
    </w:p>
  </w:footnote>
  <w:footnote w:id="1500">
    <w:p>
      <w:pPr>
        <w:pStyle w:val="FootnoteText"/>
      </w:pPr>
      <w:r>
        <w:rPr>
          <w:rStyle w:val="FootnoteReference"/>
        </w:rPr>
        <w:footnoteRef/>
      </w:r>
      <w:r>
        <w:t xml:space="preserve"> </w:t>
      </w:r>
      <w:r>
        <w:t xml:space="preserve">Rutter 2020, PMID 32108355.</w:t>
      </w:r>
    </w:p>
  </w:footnote>
  <w:footnote w:id="1501">
    <w:p>
      <w:pPr>
        <w:pStyle w:val="FootnoteText"/>
      </w:pPr>
      <w:r>
        <w:rPr>
          <w:rStyle w:val="FootnoteReference"/>
        </w:rPr>
        <w:footnoteRef/>
      </w:r>
      <w:r>
        <w:t xml:space="preserve"> </w:t>
      </w:r>
      <w:r>
        <w:t xml:space="preserve">Ribeiro 2025, PMID 41174329.</w:t>
      </w:r>
    </w:p>
  </w:footnote>
  <w:footnote w:id="1502">
    <w:p>
      <w:pPr>
        <w:pStyle w:val="FootnoteText"/>
      </w:pPr>
      <w:r>
        <w:rPr>
          <w:rStyle w:val="FootnoteReference"/>
        </w:rPr>
        <w:footnoteRef/>
      </w:r>
      <w:r>
        <w:t xml:space="preserve"> </w:t>
      </w:r>
      <w:r>
        <w:t xml:space="preserve">Ley 2019, PMID 30471715.</w:t>
      </w:r>
    </w:p>
  </w:footnote>
  <w:footnote w:id="1503">
    <w:p>
      <w:pPr>
        <w:pStyle w:val="FootnoteText"/>
      </w:pPr>
      <w:r>
        <w:rPr>
          <w:rStyle w:val="FootnoteReference"/>
        </w:rPr>
        <w:footnoteRef/>
      </w:r>
      <w:r>
        <w:t xml:space="preserve"> </w:t>
      </w:r>
      <w:r>
        <w:t xml:space="preserve">NCT03253263.</w:t>
      </w:r>
    </w:p>
  </w:footnote>
  <w:footnote w:id="1504">
    <w:p>
      <w:pPr>
        <w:pStyle w:val="FootnoteText"/>
      </w:pPr>
      <w:r>
        <w:rPr>
          <w:rStyle w:val="FootnoteReference"/>
        </w:rPr>
        <w:footnoteRef/>
      </w:r>
      <w:r>
        <w:t xml:space="preserve"> </w:t>
      </w:r>
      <w:r>
        <w:t xml:space="preserve">Haines 2021, PMID 34355814.</w:t>
      </w:r>
    </w:p>
  </w:footnote>
  <w:footnote w:id="1505">
    <w:p>
      <w:pPr>
        <w:pStyle w:val="FootnoteText"/>
      </w:pPr>
      <w:r>
        <w:rPr>
          <w:rStyle w:val="FootnoteReference"/>
        </w:rPr>
        <w:footnoteRef/>
      </w:r>
      <w:r>
        <w:t xml:space="preserve"> </w:t>
      </w:r>
      <w:r>
        <w:t xml:space="preserve">Mauras 2000, PMID 10999782.</w:t>
      </w:r>
    </w:p>
  </w:footnote>
  <w:footnote w:id="1506">
    <w:p>
      <w:pPr>
        <w:pStyle w:val="FootnoteText"/>
      </w:pPr>
      <w:r>
        <w:rPr>
          <w:rStyle w:val="FootnoteReference"/>
        </w:rPr>
        <w:footnoteRef/>
      </w:r>
      <w:r>
        <w:t xml:space="preserve"> </w:t>
      </w:r>
      <w:r>
        <w:t xml:space="preserve">Guha 2021, PMID 33249593.</w:t>
      </w:r>
    </w:p>
  </w:footnote>
  <w:footnote w:id="1509">
    <w:p>
      <w:pPr>
        <w:pStyle w:val="FootnoteText"/>
      </w:pPr>
      <w:r>
        <w:rPr>
          <w:rStyle w:val="FootnoteReference"/>
        </w:rPr>
        <w:footnoteRef/>
      </w:r>
      <w:r>
        <w:t xml:space="preserve"> </w:t>
      </w:r>
      <w:r>
        <w:t xml:space="preserve">Guevara-Aguirre 2011, PMID 21325617.</w:t>
      </w:r>
    </w:p>
  </w:footnote>
  <w:footnote w:id="1510">
    <w:p>
      <w:pPr>
        <w:pStyle w:val="FootnoteText"/>
      </w:pPr>
      <w:r>
        <w:rPr>
          <w:rStyle w:val="FootnoteReference"/>
        </w:rPr>
        <w:footnoteRef/>
      </w:r>
      <w:r>
        <w:t xml:space="preserve"> </w:t>
      </w:r>
      <w:r>
        <w:t xml:space="preserve">Guevara-Aguirre 2015, PMID 25316432.</w:t>
      </w:r>
    </w:p>
  </w:footnote>
  <w:footnote w:id="1512">
    <w:p>
      <w:pPr>
        <w:pStyle w:val="FootnoteText"/>
      </w:pPr>
      <w:r>
        <w:rPr>
          <w:rStyle w:val="FootnoteReference"/>
        </w:rPr>
        <w:footnoteRef/>
      </w:r>
      <w:r>
        <w:t xml:space="preserve"> </w:t>
      </w:r>
      <w:r>
        <w:t xml:space="preserve">Chernausek 2007, PMID 17192294; Bang 2023, PMID 37579214.</w:t>
      </w:r>
    </w:p>
  </w:footnote>
  <w:footnote w:id="1513">
    <w:p>
      <w:pPr>
        <w:pStyle w:val="FootnoteText"/>
      </w:pPr>
      <w:r>
        <w:rPr>
          <w:rStyle w:val="FootnoteReference"/>
        </w:rPr>
        <w:footnoteRef/>
      </w:r>
      <w:r>
        <w:t xml:space="preserve"> </w:t>
      </w:r>
      <w:r>
        <w:t xml:space="preserve">Chernausek 2007, PMID 17192294.</w:t>
      </w:r>
    </w:p>
  </w:footnote>
  <w:footnote w:id="1514">
    <w:p>
      <w:pPr>
        <w:pStyle w:val="FootnoteText"/>
      </w:pPr>
      <w:r>
        <w:rPr>
          <w:rStyle w:val="FootnoteReference"/>
        </w:rPr>
        <w:footnoteRef/>
      </w:r>
      <w:r>
        <w:t xml:space="preserve"> </w:t>
      </w:r>
      <w:r>
        <w:t xml:space="preserve">Ley 2019, PMID 30471715.</w:t>
      </w:r>
    </w:p>
  </w:footnote>
  <w:footnote w:id="1515">
    <w:p>
      <w:pPr>
        <w:pStyle w:val="FootnoteText"/>
      </w:pPr>
      <w:r>
        <w:rPr>
          <w:rStyle w:val="FootnoteReference"/>
        </w:rPr>
        <w:footnoteRef/>
      </w:r>
      <w:r>
        <w:t xml:space="preserve"> </w:t>
      </w:r>
      <w:r>
        <w:t xml:space="preserve">Renehan 2004, PMID 15110491.</w:t>
      </w:r>
    </w:p>
  </w:footnote>
  <w:footnote w:id="1516">
    <w:p>
      <w:pPr>
        <w:pStyle w:val="FootnoteText"/>
      </w:pPr>
      <w:r>
        <w:rPr>
          <w:rStyle w:val="FootnoteReference"/>
        </w:rPr>
        <w:footnoteRef/>
      </w:r>
      <w:r>
        <w:t xml:space="preserve"> </w:t>
      </w:r>
      <w:r>
        <w:t xml:space="preserve">Murphy 2020, PMID 32169310.</w:t>
      </w:r>
    </w:p>
  </w:footnote>
  <w:footnote w:id="1517">
    <w:p>
      <w:pPr>
        <w:pStyle w:val="FootnoteText"/>
      </w:pPr>
      <w:r>
        <w:rPr>
          <w:rStyle w:val="FootnoteReference"/>
        </w:rPr>
        <w:footnoteRef/>
      </w:r>
      <w:r>
        <w:t xml:space="preserve"> </w:t>
      </w:r>
      <w:r>
        <w:t xml:space="preserve">Murphy 2020, PMID 31884074.</w:t>
      </w:r>
    </w:p>
  </w:footnote>
  <w:footnote w:id="1518">
    <w:p>
      <w:pPr>
        <w:pStyle w:val="FootnoteText"/>
      </w:pPr>
      <w:r>
        <w:rPr>
          <w:rStyle w:val="FootnoteReference"/>
        </w:rPr>
        <w:footnoteRef/>
      </w:r>
      <w:r>
        <w:t xml:space="preserve"> </w:t>
      </w:r>
      <w:r>
        <w:t xml:space="preserve">Watts 2023, PMID 35726641.</w:t>
      </w:r>
    </w:p>
  </w:footnote>
  <w:footnote w:id="1519">
    <w:p>
      <w:pPr>
        <w:pStyle w:val="FootnoteText"/>
      </w:pPr>
      <w:r>
        <w:rPr>
          <w:rStyle w:val="FootnoteReference"/>
        </w:rPr>
        <w:footnoteRef/>
      </w:r>
      <w:r>
        <w:t xml:space="preserve"> </w:t>
      </w:r>
      <w:r>
        <w:t xml:space="preserve">Murphy 2020, PMID 32169310; Murphy 2020, PMID 31884074.</w:t>
      </w:r>
    </w:p>
  </w:footnote>
  <w:footnote w:id="1520">
    <w:p>
      <w:pPr>
        <w:pStyle w:val="FootnoteText"/>
      </w:pPr>
      <w:r>
        <w:rPr>
          <w:rStyle w:val="FootnoteReference"/>
        </w:rPr>
        <w:footnoteRef/>
      </w:r>
      <w:r>
        <w:t xml:space="preserve"> </w:t>
      </w:r>
      <w:r>
        <w:t xml:space="preserve">Guevara-Aguirre 2011, PMID 21325617.</w:t>
      </w:r>
    </w:p>
  </w:footnote>
  <w:footnote w:id="1521">
    <w:p>
      <w:pPr>
        <w:pStyle w:val="FootnoteText"/>
      </w:pPr>
      <w:r>
        <w:rPr>
          <w:rStyle w:val="FootnoteReference"/>
        </w:rPr>
        <w:footnoteRef/>
      </w:r>
      <w:r>
        <w:t xml:space="preserve"> </w:t>
      </w:r>
      <w:r>
        <w:t xml:space="preserve">NCT00903110.</w:t>
      </w:r>
    </w:p>
  </w:footnote>
  <w:footnote w:id="1523">
    <w:p>
      <w:pPr>
        <w:pStyle w:val="FootnoteText"/>
      </w:pPr>
      <w:r>
        <w:rPr>
          <w:rStyle w:val="FootnoteReference"/>
        </w:rPr>
        <w:footnoteRef/>
      </w:r>
      <w:r>
        <w:t xml:space="preserve"> </w:t>
      </w:r>
      <w:r>
        <w:t xml:space="preserve">Saavedra 2026, PMID 42341624.</w:t>
      </w:r>
    </w:p>
  </w:footnote>
  <w:footnote w:id="1524">
    <w:p>
      <w:pPr>
        <w:pStyle w:val="FootnoteText"/>
      </w:pPr>
      <w:r>
        <w:rPr>
          <w:rStyle w:val="FootnoteReference"/>
        </w:rPr>
        <w:footnoteRef/>
      </w:r>
      <w:r>
        <w:t xml:space="preserve"> </w:t>
      </w:r>
      <w:r>
        <w:t xml:space="preserve">Guha 2013, PMID 23934394.</w:t>
      </w:r>
    </w:p>
  </w:footnote>
  <w:footnote w:id="1526">
    <w:p>
      <w:pPr>
        <w:pStyle w:val="FootnoteText"/>
      </w:pPr>
      <w:r>
        <w:rPr>
          <w:rStyle w:val="FootnoteReference"/>
        </w:rPr>
        <w:footnoteRef/>
      </w:r>
      <w:r>
        <w:t xml:space="preserve"> </w:t>
      </w:r>
      <w:r>
        <w:t xml:space="preserve">NCT00903110.</w:t>
      </w:r>
    </w:p>
  </w:footnote>
  <w:footnote w:id="1530">
    <w:p>
      <w:pPr>
        <w:pStyle w:val="FootnoteText"/>
      </w:pPr>
      <w:r>
        <w:rPr>
          <w:rStyle w:val="FootnoteReference"/>
        </w:rPr>
        <w:footnoteRef/>
      </w:r>
      <w:r>
        <w:t xml:space="preserve"> </w:t>
      </w:r>
      <w:r>
        <w:t xml:space="preserve">Bastian 1993, PMID 7693845; Tomas 1993, PMID 7683875.</w:t>
      </w:r>
    </w:p>
  </w:footnote>
  <w:footnote w:id="1532">
    <w:p>
      <w:pPr>
        <w:pStyle w:val="FootnoteText"/>
      </w:pPr>
      <w:r>
        <w:rPr>
          <w:rStyle w:val="FootnoteReference"/>
        </w:rPr>
        <w:footnoteRef/>
      </w:r>
      <w:r>
        <w:t xml:space="preserve"> </w:t>
      </w:r>
      <w:r>
        <w:t xml:space="preserve">Devi 2001, PMID 11735239.</w:t>
      </w:r>
    </w:p>
  </w:footnote>
  <w:footnote w:id="1533">
    <w:p>
      <w:pPr>
        <w:pStyle w:val="FootnoteText"/>
      </w:pPr>
      <w:r>
        <w:rPr>
          <w:rStyle w:val="FootnoteReference"/>
        </w:rPr>
        <w:footnoteRef/>
      </w:r>
      <w:r>
        <w:t xml:space="preserve"> </w:t>
      </w:r>
      <w:r>
        <w:t xml:space="preserve">Bastian 1993, PMID 7693845.</w:t>
      </w:r>
    </w:p>
  </w:footnote>
  <w:footnote w:id="1534">
    <w:p>
      <w:pPr>
        <w:pStyle w:val="FootnoteText"/>
      </w:pPr>
      <w:r>
        <w:rPr>
          <w:rStyle w:val="FootnoteReference"/>
        </w:rPr>
        <w:footnoteRef/>
      </w:r>
      <w:r>
        <w:t xml:space="preserve"> </w:t>
      </w:r>
      <w:r>
        <w:t xml:space="preserve">Tomas 1993, PMID 7683875.</w:t>
      </w:r>
    </w:p>
  </w:footnote>
  <w:footnote w:id="1536">
    <w:p>
      <w:pPr>
        <w:pStyle w:val="FootnoteText"/>
      </w:pPr>
      <w:r>
        <w:rPr>
          <w:rStyle w:val="FootnoteReference"/>
        </w:rPr>
        <w:footnoteRef/>
      </w:r>
      <w:r>
        <w:t xml:space="preserve"> </w:t>
      </w:r>
      <w:r>
        <w:t xml:space="preserve">Kohler 2010, PMID 20675162.</w:t>
      </w:r>
    </w:p>
  </w:footnote>
  <w:footnote w:id="1537">
    <w:p>
      <w:pPr>
        <w:pStyle w:val="FootnoteText"/>
      </w:pPr>
      <w:r>
        <w:rPr>
          <w:rStyle w:val="FootnoteReference"/>
        </w:rPr>
        <w:footnoteRef/>
      </w:r>
      <w:r>
        <w:t xml:space="preserve"> </w:t>
      </w:r>
      <w:r>
        <w:t xml:space="preserve">Mongongu 2021, PMID 33587816.</w:t>
      </w:r>
    </w:p>
  </w:footnote>
  <w:footnote w:id="1538">
    <w:p>
      <w:pPr>
        <w:pStyle w:val="FootnoteText"/>
      </w:pPr>
      <w:r>
        <w:rPr>
          <w:rStyle w:val="FootnoteReference"/>
        </w:rPr>
        <w:footnoteRef/>
      </w:r>
      <w:r>
        <w:t xml:space="preserve"> </w:t>
      </w:r>
      <w:r>
        <w:t xml:space="preserve">Guha 2013, PMID 23934394.</w:t>
      </w:r>
    </w:p>
  </w:footnote>
  <w:footnote w:id="1540">
    <w:p>
      <w:pPr>
        <w:pStyle w:val="FootnoteText"/>
      </w:pPr>
      <w:r>
        <w:rPr>
          <w:rStyle w:val="FootnoteReference"/>
        </w:rPr>
        <w:footnoteRef/>
      </w:r>
      <w:r>
        <w:t xml:space="preserve"> </w:t>
      </w:r>
      <w:r>
        <w:t xml:space="preserve">Bastian 1993, PMID 7693845.</w:t>
      </w:r>
    </w:p>
  </w:footnote>
  <w:footnote w:id="1541">
    <w:p>
      <w:pPr>
        <w:pStyle w:val="FootnoteText"/>
      </w:pPr>
      <w:r>
        <w:rPr>
          <w:rStyle w:val="FootnoteReference"/>
        </w:rPr>
        <w:footnoteRef/>
      </w:r>
      <w:r>
        <w:t xml:space="preserve"> </w:t>
      </w:r>
      <w:r>
        <w:t xml:space="preserve">Tomas 1993, PMID 7683875.</w:t>
      </w:r>
    </w:p>
  </w:footnote>
  <w:footnote w:id="1542">
    <w:p>
      <w:pPr>
        <w:pStyle w:val="FootnoteText"/>
      </w:pPr>
      <w:r>
        <w:rPr>
          <w:rStyle w:val="FootnoteReference"/>
        </w:rPr>
        <w:footnoteRef/>
      </w:r>
      <w:r>
        <w:t xml:space="preserve"> </w:t>
      </w:r>
      <w:r>
        <w:t xml:space="preserve">Dunaiski 1997, PMID 9488001.</w:t>
      </w:r>
    </w:p>
  </w:footnote>
  <w:footnote w:id="1543">
    <w:p>
      <w:pPr>
        <w:pStyle w:val="FootnoteText"/>
      </w:pPr>
      <w:r>
        <w:rPr>
          <w:rStyle w:val="FootnoteReference"/>
        </w:rPr>
        <w:footnoteRef/>
      </w:r>
      <w:r>
        <w:t xml:space="preserve"> </w:t>
      </w:r>
      <w:r>
        <w:t xml:space="preserve">Conlon 1995, PMID 7561636.</w:t>
      </w:r>
    </w:p>
  </w:footnote>
  <w:footnote w:id="1544">
    <w:p>
      <w:pPr>
        <w:pStyle w:val="FootnoteText"/>
      </w:pPr>
      <w:r>
        <w:rPr>
          <w:rStyle w:val="FootnoteReference"/>
        </w:rPr>
        <w:footnoteRef/>
      </w:r>
      <w:r>
        <w:t xml:space="preserve"> </w:t>
      </w:r>
      <w:r>
        <w:t xml:space="preserve">White 2023, PMID 37114757.</w:t>
      </w:r>
    </w:p>
  </w:footnote>
  <w:footnote w:id="1545">
    <w:p>
      <w:pPr>
        <w:pStyle w:val="FootnoteText"/>
      </w:pPr>
      <w:r>
        <w:rPr>
          <w:rStyle w:val="FootnoteReference"/>
        </w:rPr>
        <w:footnoteRef/>
      </w:r>
      <w:r>
        <w:t xml:space="preserve"> </w:t>
      </w:r>
      <w:r>
        <w:t xml:space="preserve">White 2025, PMID 39679943.</w:t>
      </w:r>
    </w:p>
  </w:footnote>
  <w:footnote w:id="1546">
    <w:p>
      <w:pPr>
        <w:pStyle w:val="FootnoteText"/>
      </w:pPr>
      <w:r>
        <w:rPr>
          <w:rStyle w:val="FootnoteReference"/>
        </w:rPr>
        <w:footnoteRef/>
      </w:r>
      <w:r>
        <w:t xml:space="preserve"> </w:t>
      </w:r>
      <w:r>
        <w:t xml:space="preserve">Engel 2025, PMID 39610283.</w:t>
      </w:r>
    </w:p>
  </w:footnote>
  <w:footnote w:id="1548">
    <w:p>
      <w:pPr>
        <w:pStyle w:val="FootnoteText"/>
      </w:pPr>
      <w:r>
        <w:rPr>
          <w:rStyle w:val="FootnoteReference"/>
        </w:rPr>
        <w:footnoteRef/>
      </w:r>
      <w:r>
        <w:t xml:space="preserve"> </w:t>
      </w:r>
      <w:r>
        <w:t xml:space="preserve">Chernausek 2007, PMID 17192294.</w:t>
      </w:r>
    </w:p>
  </w:footnote>
  <w:footnote w:id="1549">
    <w:p>
      <w:pPr>
        <w:pStyle w:val="FootnoteText"/>
      </w:pPr>
      <w:r>
        <w:rPr>
          <w:rStyle w:val="FootnoteReference"/>
        </w:rPr>
        <w:footnoteRef/>
      </w:r>
      <w:r>
        <w:t xml:space="preserve"> </w:t>
      </w:r>
      <w:r>
        <w:t xml:space="preserve">Dunaiski 1997, PMID 9488001; White 2023, PMID 37114757.</w:t>
      </w:r>
    </w:p>
  </w:footnote>
  <w:footnote w:id="1550">
    <w:p>
      <w:pPr>
        <w:pStyle w:val="FootnoteText"/>
      </w:pPr>
      <w:r>
        <w:rPr>
          <w:rStyle w:val="FootnoteReference"/>
        </w:rPr>
        <w:footnoteRef/>
      </w:r>
      <w:r>
        <w:t xml:space="preserve"> </w:t>
      </w:r>
      <w:r>
        <w:t xml:space="preserve">Conlon 1995, PMID 7561636.</w:t>
      </w:r>
    </w:p>
  </w:footnote>
  <w:footnote w:id="1551">
    <w:p>
      <w:pPr>
        <w:pStyle w:val="FootnoteText"/>
      </w:pPr>
      <w:r>
        <w:rPr>
          <w:rStyle w:val="FootnoteReference"/>
        </w:rPr>
        <w:footnoteRef/>
      </w:r>
      <w:r>
        <w:t xml:space="preserve"> </w:t>
      </w:r>
      <w:r>
        <w:t xml:space="preserve">Renehan 2004, PMID 15110491; Murphy 2020, PMID 32169310; Watts 2023, PMID 35726641.</w:t>
      </w:r>
    </w:p>
  </w:footnote>
  <w:footnote w:id="1552">
    <w:p>
      <w:pPr>
        <w:pStyle w:val="FootnoteText"/>
      </w:pPr>
      <w:r>
        <w:rPr>
          <w:rStyle w:val="FootnoteReference"/>
        </w:rPr>
        <w:footnoteRef/>
      </w:r>
      <w:r>
        <w:t xml:space="preserve"> </w:t>
      </w:r>
      <w:r>
        <w:t xml:space="preserve">Guevara-Aguirre 2011, PMID 21325617.</w:t>
      </w:r>
    </w:p>
  </w:footnote>
  <w:footnote w:id="1553">
    <w:p>
      <w:pPr>
        <w:pStyle w:val="FootnoteText"/>
      </w:pPr>
      <w:r>
        <w:rPr>
          <w:rStyle w:val="FootnoteReference"/>
        </w:rPr>
        <w:footnoteRef/>
      </w:r>
      <w:r>
        <w:t xml:space="preserve"> </w:t>
      </w:r>
      <w:r>
        <w:t xml:space="preserve">Kohler 2010, PMID 20675162; Mongongu 2021, PMID 33587816.</w:t>
      </w:r>
    </w:p>
  </w:footnote>
  <w:footnote w:id="1555">
    <w:p>
      <w:pPr>
        <w:pStyle w:val="FootnoteText"/>
      </w:pPr>
      <w:r>
        <w:rPr>
          <w:rStyle w:val="FootnoteReference"/>
        </w:rPr>
        <w:footnoteRef/>
      </w:r>
      <w:r>
        <w:t xml:space="preserve"> </w:t>
      </w:r>
      <w:r>
        <w:t xml:space="preserve">Mongongu 2021, PMID 33587816.</w:t>
      </w:r>
    </w:p>
  </w:footnote>
  <w:footnote w:id="1560">
    <w:p>
      <w:pPr>
        <w:pStyle w:val="FootnoteText"/>
      </w:pPr>
      <w:r>
        <w:rPr>
          <w:rStyle w:val="FootnoteReference"/>
        </w:rPr>
        <w:footnoteRef/>
      </w:r>
      <w:r>
        <w:t xml:space="preserve"> </w:t>
      </w:r>
      <w:r>
        <w:t xml:space="preserve">Bright 2022, PMID 35354138.</w:t>
      </w:r>
    </w:p>
  </w:footnote>
  <w:footnote w:id="1562">
    <w:p>
      <w:pPr>
        <w:pStyle w:val="FootnoteText"/>
      </w:pPr>
      <w:r>
        <w:rPr>
          <w:rStyle w:val="FootnoteReference"/>
        </w:rPr>
        <w:footnoteRef/>
      </w:r>
      <w:r>
        <w:t xml:space="preserve"> </w:t>
      </w:r>
      <w:r>
        <w:t xml:space="preserve">Chapman 1996, PMID 8954023.</w:t>
      </w:r>
    </w:p>
  </w:footnote>
  <w:footnote w:id="1564">
    <w:p>
      <w:pPr>
        <w:pStyle w:val="FootnoteText"/>
      </w:pPr>
      <w:r>
        <w:rPr>
          <w:rStyle w:val="FootnoteReference"/>
        </w:rPr>
        <w:footnoteRef/>
      </w:r>
      <w:r>
        <w:t xml:space="preserve"> </w:t>
      </w:r>
      <w:r>
        <w:t xml:space="preserve">Nass 2008, PMID 18981485.</w:t>
      </w:r>
    </w:p>
  </w:footnote>
  <w:footnote w:id="1566">
    <w:p>
      <w:pPr>
        <w:pStyle w:val="FootnoteText"/>
      </w:pPr>
      <w:r>
        <w:rPr>
          <w:rStyle w:val="FootnoteReference"/>
        </w:rPr>
        <w:footnoteRef/>
      </w:r>
      <w:r>
        <w:t xml:space="preserve"> </w:t>
      </w:r>
      <w:r>
        <w:t xml:space="preserve">Bach 2004, PMID 15066065.</w:t>
      </w:r>
    </w:p>
  </w:footnote>
  <w:footnote w:id="1567">
    <w:p>
      <w:pPr>
        <w:pStyle w:val="FootnoteText"/>
      </w:pPr>
      <w:r>
        <w:rPr>
          <w:rStyle w:val="FootnoteReference"/>
        </w:rPr>
        <w:footnoteRef/>
      </w:r>
      <w:r>
        <w:t xml:space="preserve"> </w:t>
      </w:r>
      <w:r>
        <w:t xml:space="preserve">Adunsky 2011, PMID 21067829.</w:t>
      </w:r>
    </w:p>
  </w:footnote>
  <w:footnote w:id="1569">
    <w:p>
      <w:pPr>
        <w:pStyle w:val="FootnoteText"/>
      </w:pPr>
      <w:r>
        <w:rPr>
          <w:rStyle w:val="FootnoteReference"/>
        </w:rPr>
        <w:footnoteRef/>
      </w:r>
      <w:r>
        <w:t xml:space="preserve"> </w:t>
      </w:r>
      <w:r>
        <w:t xml:space="preserve">Sevigny 2008, PMID 19015485.</w:t>
      </w:r>
    </w:p>
  </w:footnote>
  <w:footnote w:id="1571">
    <w:p>
      <w:pPr>
        <w:pStyle w:val="FootnoteText"/>
      </w:pPr>
      <w:r>
        <w:rPr>
          <w:rStyle w:val="FootnoteReference"/>
        </w:rPr>
        <w:footnoteRef/>
      </w:r>
      <w:r>
        <w:t xml:space="preserve"> </w:t>
      </w:r>
      <w:r>
        <w:t xml:space="preserve">Svensson 1998, PMID 9467542.</w:t>
      </w:r>
    </w:p>
  </w:footnote>
  <w:footnote w:id="1572">
    <w:p>
      <w:pPr>
        <w:pStyle w:val="FootnoteText"/>
      </w:pPr>
      <w:r>
        <w:rPr>
          <w:rStyle w:val="FootnoteReference"/>
        </w:rPr>
        <w:footnoteRef/>
      </w:r>
      <w:r>
        <w:t xml:space="preserve"> </w:t>
      </w:r>
      <w:r>
        <w:t xml:space="preserve">Murphy 2001, PMID 11238495.</w:t>
      </w:r>
    </w:p>
  </w:footnote>
  <w:footnote w:id="1573">
    <w:p>
      <w:pPr>
        <w:pStyle w:val="FootnoteText"/>
      </w:pPr>
      <w:r>
        <w:rPr>
          <w:rStyle w:val="FootnoteReference"/>
        </w:rPr>
        <w:footnoteRef/>
      </w:r>
      <w:r>
        <w:t xml:space="preserve"> </w:t>
      </w:r>
      <w:r>
        <w:t xml:space="preserve">Copinschi 1997, PMID 9349662.</w:t>
      </w:r>
    </w:p>
  </w:footnote>
  <w:footnote w:id="1574">
    <w:p>
      <w:pPr>
        <w:pStyle w:val="FootnoteText"/>
      </w:pPr>
      <w:r>
        <w:rPr>
          <w:rStyle w:val="FootnoteReference"/>
        </w:rPr>
        <w:footnoteRef/>
      </w:r>
      <w:r>
        <w:t xml:space="preserve"> </w:t>
      </w:r>
      <w:r>
        <w:t xml:space="preserve">Campbell 2018, PMID 28340044.</w:t>
      </w:r>
    </w:p>
  </w:footnote>
  <w:footnote w:id="1575">
    <w:p>
      <w:pPr>
        <w:pStyle w:val="FootnoteText"/>
      </w:pPr>
      <w:r>
        <w:rPr>
          <w:rStyle w:val="FootnoteReference"/>
        </w:rPr>
        <w:footnoteRef/>
      </w:r>
      <w:r>
        <w:t xml:space="preserve"> </w:t>
      </w:r>
      <w:r>
        <w:t xml:space="preserve">Codner 2001, PMID 11452249.</w:t>
      </w:r>
    </w:p>
  </w:footnote>
  <w:footnote w:id="1576">
    <w:p>
      <w:pPr>
        <w:pStyle w:val="FootnoteText"/>
      </w:pPr>
      <w:r>
        <w:rPr>
          <w:rStyle w:val="FootnoteReference"/>
        </w:rPr>
        <w:footnoteRef/>
      </w:r>
      <w:r>
        <w:t xml:space="preserve"> </w:t>
      </w:r>
      <w:r>
        <w:t xml:space="preserve">Bright 2022, PMID 35354138.</w:t>
      </w:r>
    </w:p>
  </w:footnote>
  <w:footnote w:id="1579">
    <w:p>
      <w:pPr>
        <w:pStyle w:val="FootnoteText"/>
      </w:pPr>
      <w:r>
        <w:rPr>
          <w:rStyle w:val="FootnoteReference"/>
        </w:rPr>
        <w:footnoteRef/>
      </w:r>
      <w:r>
        <w:t xml:space="preserve"> </w:t>
      </w:r>
      <w:r>
        <w:t xml:space="preserve">Jeong 2018, PMID 29912176.</w:t>
      </w:r>
    </w:p>
  </w:footnote>
  <w:footnote w:id="1580">
    <w:p>
      <w:pPr>
        <w:pStyle w:val="FootnoteText"/>
      </w:pPr>
      <w:r>
        <w:rPr>
          <w:rStyle w:val="FootnoteReference"/>
        </w:rPr>
        <w:footnoteRef/>
      </w:r>
      <w:r>
        <w:t xml:space="preserve"> </w:t>
      </w:r>
      <w:r>
        <w:t xml:space="preserve">Liu 2021, PMID 34737341.</w:t>
      </w:r>
    </w:p>
  </w:footnote>
  <w:footnote w:id="1582">
    <w:p>
      <w:pPr>
        <w:pStyle w:val="FootnoteText"/>
      </w:pPr>
      <w:r>
        <w:rPr>
          <w:rStyle w:val="FootnoteReference"/>
        </w:rPr>
        <w:footnoteRef/>
      </w:r>
      <w:r>
        <w:t xml:space="preserve"> </w:t>
      </w:r>
      <w:r>
        <w:t xml:space="preserve">Adunsky 2011, PMID 21067829.</w:t>
      </w:r>
    </w:p>
  </w:footnote>
  <w:footnote w:id="1583">
    <w:p>
      <w:pPr>
        <w:pStyle w:val="FootnoteText"/>
      </w:pPr>
      <w:r>
        <w:rPr>
          <w:rStyle w:val="FootnoteReference"/>
        </w:rPr>
        <w:footnoteRef/>
      </w:r>
      <w:r>
        <w:t xml:space="preserve"> </w:t>
      </w:r>
      <w:r>
        <w:t xml:space="preserve">Nass 2008, PMID 18981485; Chapman 1996, PMID 8954023.</w:t>
      </w:r>
    </w:p>
  </w:footnote>
  <w:footnote w:id="1584">
    <w:p>
      <w:pPr>
        <w:pStyle w:val="FootnoteText"/>
      </w:pPr>
      <w:r>
        <w:rPr>
          <w:rStyle w:val="FootnoteReference"/>
        </w:rPr>
        <w:footnoteRef/>
      </w:r>
      <w:r>
        <w:t xml:space="preserve"> </w:t>
      </w:r>
      <w:r>
        <w:t xml:space="preserve">Svensson 1998, PMID 9467542.</w:t>
      </w:r>
    </w:p>
  </w:footnote>
  <w:footnote w:id="1585">
    <w:p>
      <w:pPr>
        <w:pStyle w:val="FootnoteText"/>
      </w:pPr>
      <w:r>
        <w:rPr>
          <w:rStyle w:val="FootnoteReference"/>
        </w:rPr>
        <w:footnoteRef/>
      </w:r>
      <w:r>
        <w:t xml:space="preserve"> </w:t>
      </w:r>
      <w:r>
        <w:t xml:space="preserve">Nass 2008, PMID 18981485.</w:t>
      </w:r>
    </w:p>
  </w:footnote>
  <w:footnote w:id="1586">
    <w:p>
      <w:pPr>
        <w:pStyle w:val="FootnoteText"/>
      </w:pPr>
      <w:r>
        <w:rPr>
          <w:rStyle w:val="FootnoteReference"/>
        </w:rPr>
        <w:footnoteRef/>
      </w:r>
      <w:r>
        <w:t xml:space="preserve"> </w:t>
      </w:r>
      <w:r>
        <w:t xml:space="preserve">Nass 2008, PMID 18981485.</w:t>
      </w:r>
    </w:p>
  </w:footnote>
  <w:footnote w:id="1587">
    <w:p>
      <w:pPr>
        <w:pStyle w:val="FootnoteText"/>
      </w:pPr>
      <w:r>
        <w:rPr>
          <w:rStyle w:val="FootnoteReference"/>
        </w:rPr>
        <w:footnoteRef/>
      </w:r>
      <w:r>
        <w:t xml:space="preserve"> </w:t>
      </w:r>
      <w:r>
        <w:t xml:space="preserve">Cobani 2025, PMID 40675653.</w:t>
      </w:r>
    </w:p>
  </w:footnote>
  <w:footnote w:id="1588">
    <w:p>
      <w:pPr>
        <w:pStyle w:val="FootnoteText"/>
      </w:pPr>
      <w:r>
        <w:rPr>
          <w:rStyle w:val="FootnoteReference"/>
        </w:rPr>
        <w:footnoteRef/>
      </w:r>
      <w:r>
        <w:t xml:space="preserve"> </w:t>
      </w:r>
      <w:r>
        <w:t xml:space="preserve">Chong 2024, PMID 39145153.</w:t>
      </w:r>
    </w:p>
  </w:footnote>
  <w:footnote w:id="1589">
    <w:p>
      <w:pPr>
        <w:pStyle w:val="FootnoteText"/>
      </w:pPr>
      <w:r>
        <w:rPr>
          <w:rStyle w:val="FootnoteReference"/>
        </w:rPr>
        <w:footnoteRef/>
      </w:r>
      <w:r>
        <w:t xml:space="preserve"> </w:t>
      </w:r>
      <w:r>
        <w:t xml:space="preserve">Sigalos 2018, PMID 28400207.</w:t>
      </w:r>
    </w:p>
  </w:footnote>
  <w:footnote w:id="1590">
    <w:p>
      <w:pPr>
        <w:pStyle w:val="FootnoteText"/>
      </w:pPr>
      <w:r>
        <w:rPr>
          <w:rStyle w:val="FootnoteReference"/>
        </w:rPr>
        <w:footnoteRef/>
      </w:r>
      <w:r>
        <w:t xml:space="preserve"> </w:t>
      </w:r>
      <w:r>
        <w:t xml:space="preserve">Van Wagoner 2017, PMID 29183075.</w:t>
      </w:r>
    </w:p>
  </w:footnote>
  <w:footnote w:id="1591">
    <w:p>
      <w:pPr>
        <w:pStyle w:val="FootnoteText"/>
      </w:pPr>
      <w:r>
        <w:rPr>
          <w:rStyle w:val="FootnoteReference"/>
        </w:rPr>
        <w:footnoteRef/>
      </w:r>
      <w:r>
        <w:t xml:space="preserve"> </w:t>
      </w:r>
      <w:r>
        <w:t xml:space="preserve">Barrios 2025, PMID 40551438.</w:t>
      </w:r>
    </w:p>
  </w:footnote>
  <w:footnote w:id="1593">
    <w:p>
      <w:pPr>
        <w:pStyle w:val="FootnoteText"/>
      </w:pPr>
      <w:r>
        <w:rPr>
          <w:rStyle w:val="FootnoteReference"/>
        </w:rPr>
        <w:footnoteRef/>
      </w:r>
      <w:r>
        <w:t xml:space="preserve"> </w:t>
      </w:r>
      <w:r>
        <w:t xml:space="preserve">Viljanto 2023, PMID 36354265.</w:t>
      </w:r>
    </w:p>
  </w:footnote>
  <w:footnote w:id="1595">
    <w:p>
      <w:pPr>
        <w:pStyle w:val="FootnoteText"/>
      </w:pPr>
      <w:r>
        <w:rPr>
          <w:rStyle w:val="FootnoteReference"/>
        </w:rPr>
        <w:footnoteRef/>
      </w:r>
      <w:r>
        <w:t xml:space="preserve"> </w:t>
      </w:r>
      <w:r>
        <w:t xml:space="preserve">NCT04614337.</w:t>
      </w:r>
    </w:p>
  </w:footnote>
  <w:footnote w:id="1596">
    <w:p>
      <w:pPr>
        <w:pStyle w:val="FootnoteText"/>
      </w:pPr>
      <w:r>
        <w:rPr>
          <w:rStyle w:val="FootnoteReference"/>
        </w:rPr>
        <w:footnoteRef/>
      </w:r>
      <w:r>
        <w:t xml:space="preserve"> </w:t>
      </w:r>
      <w:r>
        <w:t xml:space="preserve">NCT06948214.</w:t>
      </w:r>
    </w:p>
  </w:footnote>
  <w:footnote w:id="1597">
    <w:p>
      <w:pPr>
        <w:pStyle w:val="FootnoteText"/>
      </w:pPr>
      <w:r>
        <w:rPr>
          <w:rStyle w:val="FootnoteReference"/>
        </w:rPr>
        <w:footnoteRef/>
      </w:r>
      <w:r>
        <w:t xml:space="preserve"> </w:t>
      </w:r>
      <w:r>
        <w:t xml:space="preserve">NCT07129759.</w:t>
      </w:r>
    </w:p>
  </w:footnote>
  <w:footnote w:id="1598">
    <w:p>
      <w:pPr>
        <w:pStyle w:val="FootnoteText"/>
      </w:pPr>
      <w:r>
        <w:rPr>
          <w:rStyle w:val="FootnoteReference"/>
        </w:rPr>
        <w:footnoteRef/>
      </w:r>
      <w:r>
        <w:t xml:space="preserve"> </w:t>
      </w:r>
      <w:r>
        <w:t xml:space="preserve">NCT07754045.</w:t>
      </w:r>
    </w:p>
  </w:footnote>
  <w:footnote w:id="1609">
    <w:p>
      <w:pPr>
        <w:pStyle w:val="FootnoteText"/>
      </w:pPr>
      <w:r>
        <w:rPr>
          <w:rStyle w:val="FootnoteReference"/>
        </w:rPr>
        <w:footnoteRef/>
      </w:r>
      <w:r>
        <w:t xml:space="preserve"> </w:t>
      </w:r>
      <w:r>
        <w:t xml:space="preserve">Dolotov 2006, PMID 16635254.</w:t>
      </w:r>
    </w:p>
  </w:footnote>
  <w:footnote w:id="1610">
    <w:p>
      <w:pPr>
        <w:pStyle w:val="FootnoteText"/>
      </w:pPr>
      <w:r>
        <w:rPr>
          <w:rStyle w:val="FootnoteReference"/>
        </w:rPr>
        <w:footnoteRef/>
      </w:r>
      <w:r>
        <w:t xml:space="preserve"> </w:t>
      </w:r>
      <w:r>
        <w:t xml:space="preserve">Medvedeva 2014, PMID 24661604.</w:t>
      </w:r>
    </w:p>
  </w:footnote>
  <w:footnote w:id="1612">
    <w:p>
      <w:pPr>
        <w:pStyle w:val="FootnoteText"/>
      </w:pPr>
      <w:r>
        <w:rPr>
          <w:rStyle w:val="FootnoteReference"/>
        </w:rPr>
        <w:footnoteRef/>
      </w:r>
      <w:r>
        <w:t xml:space="preserve"> </w:t>
      </w:r>
      <w:r>
        <w:t xml:space="preserve">Gusev 1997, PMID 11517472.</w:t>
      </w:r>
    </w:p>
  </w:footnote>
  <w:footnote w:id="1613">
    <w:p>
      <w:pPr>
        <w:pStyle w:val="FootnoteText"/>
      </w:pPr>
      <w:r>
        <w:rPr>
          <w:rStyle w:val="FootnoteReference"/>
        </w:rPr>
        <w:footnoteRef/>
      </w:r>
      <w:r>
        <w:t xml:space="preserve"> </w:t>
      </w:r>
      <w:r>
        <w:t xml:space="preserve">Miasoedova 1999, PMID 10358912.</w:t>
      </w:r>
    </w:p>
  </w:footnote>
  <w:footnote w:id="1614">
    <w:p>
      <w:pPr>
        <w:pStyle w:val="FootnoteText"/>
      </w:pPr>
      <w:r>
        <w:rPr>
          <w:rStyle w:val="FootnoteReference"/>
        </w:rPr>
        <w:footnoteRef/>
      </w:r>
      <w:r>
        <w:t xml:space="preserve"> </w:t>
      </w:r>
      <w:r>
        <w:t xml:space="preserve">Gusev 2018, PMID 29798983.</w:t>
      </w:r>
    </w:p>
  </w:footnote>
  <w:footnote w:id="1616">
    <w:p>
      <w:pPr>
        <w:pStyle w:val="FootnoteText"/>
      </w:pPr>
      <w:r>
        <w:rPr>
          <w:rStyle w:val="FootnoteReference"/>
        </w:rPr>
        <w:footnoteRef/>
      </w:r>
      <w:r>
        <w:t xml:space="preserve"> </w:t>
      </w:r>
      <w:r>
        <w:t xml:space="preserve">Serdiuk 2007, PMID 18379501.</w:t>
      </w:r>
    </w:p>
  </w:footnote>
  <w:footnote w:id="1617">
    <w:p>
      <w:pPr>
        <w:pStyle w:val="FootnoteText"/>
      </w:pPr>
      <w:r>
        <w:rPr>
          <w:rStyle w:val="FootnoteReference"/>
        </w:rPr>
        <w:footnoteRef/>
      </w:r>
      <w:r>
        <w:t xml:space="preserve"> </w:t>
      </w:r>
      <w:r>
        <w:t xml:space="preserve">Polunin 2000, PMID 10741256.</w:t>
      </w:r>
    </w:p>
  </w:footnote>
  <w:footnote w:id="1618">
    <w:p>
      <w:pPr>
        <w:pStyle w:val="FootnoteText"/>
      </w:pPr>
      <w:r>
        <w:rPr>
          <w:rStyle w:val="FootnoteReference"/>
        </w:rPr>
        <w:footnoteRef/>
      </w:r>
      <w:r>
        <w:t xml:space="preserve"> </w:t>
      </w:r>
      <w:r>
        <w:t xml:space="preserve">Alekseeva 1999, PMID 10199046.</w:t>
      </w:r>
    </w:p>
  </w:footnote>
  <w:footnote w:id="1619">
    <w:p>
      <w:pPr>
        <w:pStyle w:val="FootnoteText"/>
      </w:pPr>
      <w:r>
        <w:rPr>
          <w:rStyle w:val="FootnoteReference"/>
        </w:rPr>
        <w:footnoteRef/>
      </w:r>
      <w:r>
        <w:t xml:space="preserve"> </w:t>
      </w:r>
      <w:r>
        <w:t xml:space="preserve">Ivanikov 2002, PMID 12459874.</w:t>
      </w:r>
    </w:p>
  </w:footnote>
  <w:footnote w:id="1621">
    <w:p>
      <w:pPr>
        <w:pStyle w:val="FootnoteText"/>
      </w:pPr>
      <w:r>
        <w:rPr>
          <w:rStyle w:val="FootnoteReference"/>
        </w:rPr>
        <w:footnoteRef/>
      </w:r>
      <w:r>
        <w:t xml:space="preserve"> </w:t>
      </w:r>
      <w:r>
        <w:t xml:space="preserve">Asmarin 1997, PMID 9173745.</w:t>
      </w:r>
    </w:p>
  </w:footnote>
  <w:footnote w:id="1624">
    <w:p>
      <w:pPr>
        <w:pStyle w:val="FootnoteText"/>
      </w:pPr>
      <w:r>
        <w:rPr>
          <w:rStyle w:val="FootnoteReference"/>
        </w:rPr>
        <w:footnoteRef/>
      </w:r>
      <w:r>
        <w:t xml:space="preserve"> </w:t>
      </w:r>
      <w:r>
        <w:t xml:space="preserve">Medvedeva 2014, PMID 24661604.</w:t>
      </w:r>
    </w:p>
  </w:footnote>
  <w:footnote w:id="1625">
    <w:p>
      <w:pPr>
        <w:pStyle w:val="FootnoteText"/>
      </w:pPr>
      <w:r>
        <w:rPr>
          <w:rStyle w:val="FootnoteReference"/>
        </w:rPr>
        <w:footnoteRef/>
      </w:r>
      <w:r>
        <w:t xml:space="preserve"> </w:t>
      </w:r>
      <w:r>
        <w:t xml:space="preserve">Levitskaya 2004, PMID 15341218.</w:t>
      </w:r>
    </w:p>
  </w:footnote>
  <w:footnote w:id="1626">
    <w:p>
      <w:pPr>
        <w:pStyle w:val="FootnoteText"/>
      </w:pPr>
      <w:r>
        <w:rPr>
          <w:rStyle w:val="FootnoteReference"/>
        </w:rPr>
        <w:footnoteRef/>
      </w:r>
      <w:r>
        <w:t xml:space="preserve"> </w:t>
      </w:r>
      <w:r>
        <w:t xml:space="preserve">Radchenko 2025, PMID 41479572.</w:t>
      </w:r>
    </w:p>
  </w:footnote>
  <w:footnote w:id="1627">
    <w:p>
      <w:pPr>
        <w:pStyle w:val="FootnoteText"/>
      </w:pPr>
      <w:r>
        <w:rPr>
          <w:rStyle w:val="FootnoteReference"/>
        </w:rPr>
        <w:footnoteRef/>
      </w:r>
      <w:r>
        <w:t xml:space="preserve"> </w:t>
      </w:r>
      <w:r>
        <w:t xml:space="preserve">Tomasello 2025, PMID 40496623.</w:t>
      </w:r>
    </w:p>
  </w:footnote>
  <w:footnote w:id="1629">
    <w:p>
      <w:pPr>
        <w:pStyle w:val="FootnoteText"/>
      </w:pPr>
      <w:r>
        <w:rPr>
          <w:rStyle w:val="FootnoteReference"/>
        </w:rPr>
        <w:footnoteRef/>
      </w:r>
      <w:r>
        <w:t xml:space="preserve"> </w:t>
      </w:r>
      <w:r>
        <w:t xml:space="preserve">Gusev 2005, PMID 15792140.</w:t>
      </w:r>
    </w:p>
  </w:footnote>
  <w:footnote w:id="1630">
    <w:p>
      <w:pPr>
        <w:pStyle w:val="FootnoteText"/>
      </w:pPr>
      <w:r>
        <w:rPr>
          <w:rStyle w:val="FootnoteReference"/>
        </w:rPr>
        <w:footnoteRef/>
      </w:r>
      <w:r>
        <w:t xml:space="preserve"> </w:t>
      </w:r>
      <w:r>
        <w:t xml:space="preserve">Alekseeva 1999, PMID 10199046.</w:t>
      </w:r>
    </w:p>
  </w:footnote>
  <w:footnote w:id="1631">
    <w:p>
      <w:pPr>
        <w:pStyle w:val="FootnoteText"/>
      </w:pPr>
      <w:r>
        <w:rPr>
          <w:rStyle w:val="FootnoteReference"/>
        </w:rPr>
        <w:footnoteRef/>
      </w:r>
      <w:r>
        <w:t xml:space="preserve"> </w:t>
      </w:r>
      <w:r>
        <w:t xml:space="preserve">Vanhee 2020, PMID 31667971.</w:t>
      </w:r>
    </w:p>
  </w:footnote>
  <w:footnote w:id="1638">
    <w:p>
      <w:pPr>
        <w:pStyle w:val="FootnoteText"/>
      </w:pPr>
      <w:r>
        <w:rPr>
          <w:rStyle w:val="FootnoteReference"/>
        </w:rPr>
        <w:footnoteRef/>
      </w:r>
      <w:r>
        <w:t xml:space="preserve"> </w:t>
      </w:r>
      <w:r>
        <w:t xml:space="preserve">Zozulya 2001, PMID 11550013.</w:t>
      </w:r>
    </w:p>
  </w:footnote>
  <w:footnote w:id="1639">
    <w:p>
      <w:pPr>
        <w:pStyle w:val="FootnoteText"/>
      </w:pPr>
      <w:r>
        <w:rPr>
          <w:rStyle w:val="FootnoteReference"/>
        </w:rPr>
        <w:footnoteRef/>
      </w:r>
      <w:r>
        <w:t xml:space="preserve"> </w:t>
      </w:r>
      <w:r>
        <w:t xml:space="preserve">Volkova 2016, PMID 26924987.</w:t>
      </w:r>
    </w:p>
  </w:footnote>
  <w:footnote w:id="1640">
    <w:p>
      <w:pPr>
        <w:pStyle w:val="FootnoteText"/>
      </w:pPr>
      <w:r>
        <w:rPr>
          <w:rStyle w:val="FootnoteReference"/>
        </w:rPr>
        <w:footnoteRef/>
      </w:r>
      <w:r>
        <w:t xml:space="preserve"> </w:t>
      </w:r>
      <w:r>
        <w:t xml:space="preserve">Ershov 2009, PMID 19882898.</w:t>
      </w:r>
    </w:p>
  </w:footnote>
  <w:footnote w:id="1642">
    <w:p>
      <w:pPr>
        <w:pStyle w:val="FootnoteText"/>
      </w:pPr>
      <w:r>
        <w:rPr>
          <w:rStyle w:val="FootnoteReference"/>
        </w:rPr>
        <w:footnoteRef/>
      </w:r>
      <w:r>
        <w:t xml:space="preserve"> </w:t>
      </w:r>
      <w:r>
        <w:t xml:space="preserve">Zozulia 2008, PMID 18454096.</w:t>
      </w:r>
    </w:p>
  </w:footnote>
  <w:footnote w:id="1643">
    <w:p>
      <w:pPr>
        <w:pStyle w:val="FootnoteText"/>
      </w:pPr>
      <w:r>
        <w:rPr>
          <w:rStyle w:val="FootnoteReference"/>
        </w:rPr>
        <w:footnoteRef/>
      </w:r>
      <w:r>
        <w:t xml:space="preserve"> </w:t>
      </w:r>
      <w:r>
        <w:t xml:space="preserve">Medvedev 2014, PMID 25176261.</w:t>
      </w:r>
    </w:p>
  </w:footnote>
  <w:footnote w:id="1644">
    <w:p>
      <w:pPr>
        <w:pStyle w:val="FootnoteText"/>
      </w:pPr>
      <w:r>
        <w:rPr>
          <w:rStyle w:val="FootnoteReference"/>
        </w:rPr>
        <w:footnoteRef/>
      </w:r>
      <w:r>
        <w:t xml:space="preserve"> </w:t>
      </w:r>
      <w:r>
        <w:t xml:space="preserve">Medvedev 2015, PMID 26356395.</w:t>
      </w:r>
    </w:p>
  </w:footnote>
  <w:footnote w:id="1646">
    <w:p>
      <w:pPr>
        <w:pStyle w:val="FootnoteText"/>
      </w:pPr>
      <w:r>
        <w:rPr>
          <w:rStyle w:val="FootnoteReference"/>
        </w:rPr>
        <w:footnoteRef/>
      </w:r>
      <w:r>
        <w:t xml:space="preserve"> </w:t>
      </w:r>
      <w:r>
        <w:t xml:space="preserve">Uchakina 2008, PMID 18577961.</w:t>
      </w:r>
    </w:p>
  </w:footnote>
  <w:footnote w:id="1647">
    <w:p>
      <w:pPr>
        <w:pStyle w:val="FootnoteText"/>
      </w:pPr>
      <w:r>
        <w:rPr>
          <w:rStyle w:val="FootnoteReference"/>
        </w:rPr>
        <w:footnoteRef/>
      </w:r>
      <w:r>
        <w:t xml:space="preserve"> </w:t>
      </w:r>
      <w:r>
        <w:t xml:space="preserve">Panikratova 2020, PMID 32342318.</w:t>
      </w:r>
    </w:p>
  </w:footnote>
  <w:footnote w:id="1650">
    <w:p>
      <w:pPr>
        <w:pStyle w:val="FootnoteText"/>
      </w:pPr>
      <w:r>
        <w:rPr>
          <w:rStyle w:val="FootnoteReference"/>
        </w:rPr>
        <w:footnoteRef/>
      </w:r>
      <w:r>
        <w:t xml:space="preserve"> </w:t>
      </w:r>
      <w:r>
        <w:t xml:space="preserve">Kolik 2019, PMID 31625062.</w:t>
      </w:r>
    </w:p>
  </w:footnote>
  <w:footnote w:id="1651">
    <w:p>
      <w:pPr>
        <w:pStyle w:val="FootnoteText"/>
      </w:pPr>
      <w:r>
        <w:rPr>
          <w:rStyle w:val="FootnoteReference"/>
        </w:rPr>
        <w:footnoteRef/>
      </w:r>
      <w:r>
        <w:t xml:space="preserve"> </w:t>
      </w:r>
      <w:r>
        <w:t xml:space="preserve">Volkova 2016, PMID 26924987.</w:t>
      </w:r>
    </w:p>
  </w:footnote>
  <w:footnote w:id="1652">
    <w:p>
      <w:pPr>
        <w:pStyle w:val="FootnoteText"/>
      </w:pPr>
      <w:r>
        <w:rPr>
          <w:rStyle w:val="FootnoteReference"/>
        </w:rPr>
        <w:footnoteRef/>
      </w:r>
      <w:r>
        <w:t xml:space="preserve"> </w:t>
      </w:r>
      <w:r>
        <w:t xml:space="preserve">Ershov 2009, PMID 19882898.</w:t>
      </w:r>
    </w:p>
  </w:footnote>
  <w:footnote w:id="1654">
    <w:p>
      <w:pPr>
        <w:pStyle w:val="FootnoteText"/>
      </w:pPr>
      <w:r>
        <w:rPr>
          <w:rStyle w:val="FootnoteReference"/>
        </w:rPr>
        <w:footnoteRef/>
      </w:r>
      <w:r>
        <w:t xml:space="preserve"> </w:t>
      </w:r>
      <w:r>
        <w:t xml:space="preserve">Vanhee 2020, PMID 31667971.</w:t>
      </w:r>
    </w:p>
  </w:footnote>
  <w:footnote w:id="1662">
    <w:p>
      <w:pPr>
        <w:pStyle w:val="FootnoteText"/>
      </w:pPr>
      <w:r>
        <w:rPr>
          <w:rStyle w:val="FootnoteReference"/>
        </w:rPr>
        <w:footnoteRef/>
      </w:r>
      <w:r>
        <w:t xml:space="preserve"> </w:t>
      </w:r>
      <w:r>
        <w:t xml:space="preserve">Hong 2009, PMID 19765131.</w:t>
      </w:r>
    </w:p>
  </w:footnote>
  <w:footnote w:id="1663">
    <w:p>
      <w:pPr>
        <w:pStyle w:val="FootnoteText"/>
      </w:pPr>
      <w:r>
        <w:rPr>
          <w:rStyle w:val="FootnoteReference"/>
        </w:rPr>
        <w:footnoteRef/>
      </w:r>
      <w:r>
        <w:t xml:space="preserve"> </w:t>
      </w:r>
      <w:r>
        <w:t xml:space="preserve">NCT00868283.</w:t>
      </w:r>
    </w:p>
  </w:footnote>
  <w:footnote w:id="1664">
    <w:p>
      <w:pPr>
        <w:pStyle w:val="FootnoteText"/>
      </w:pPr>
      <w:r>
        <w:rPr>
          <w:rStyle w:val="FootnoteReference"/>
        </w:rPr>
        <w:footnoteRef/>
      </w:r>
      <w:r>
        <w:t xml:space="preserve"> </w:t>
      </w:r>
      <w:r>
        <w:t xml:space="preserve">Heiss 2012, PMID 22282884.</w:t>
      </w:r>
    </w:p>
  </w:footnote>
  <w:footnote w:id="1665">
    <w:p>
      <w:pPr>
        <w:pStyle w:val="FootnoteText"/>
      </w:pPr>
      <w:r>
        <w:rPr>
          <w:rStyle w:val="FootnoteReference"/>
        </w:rPr>
        <w:footnoteRef/>
      </w:r>
      <w:r>
        <w:t xml:space="preserve"> </w:t>
      </w:r>
      <w:r>
        <w:t xml:space="preserve">Lang 2013, PMID 23009193.</w:t>
      </w:r>
    </w:p>
  </w:footnote>
  <w:footnote w:id="1666">
    <w:p>
      <w:pPr>
        <w:pStyle w:val="FootnoteText"/>
      </w:pPr>
      <w:r>
        <w:rPr>
          <w:rStyle w:val="FootnoteReference"/>
        </w:rPr>
        <w:footnoteRef/>
      </w:r>
      <w:r>
        <w:t xml:space="preserve"> </w:t>
      </w:r>
      <w:r>
        <w:t xml:space="preserve">Khasanova 2023, PMID 36973684.</w:t>
      </w:r>
    </w:p>
  </w:footnote>
  <w:footnote w:id="1667">
    <w:p>
      <w:pPr>
        <w:pStyle w:val="FootnoteText"/>
      </w:pPr>
      <w:r>
        <w:rPr>
          <w:rStyle w:val="FootnoteReference"/>
        </w:rPr>
        <w:footnoteRef/>
      </w:r>
      <w:r>
        <w:t xml:space="preserve"> </w:t>
      </w:r>
      <w:r>
        <w:t xml:space="preserve">Staszewski 2025, PMID 40325343.</w:t>
      </w:r>
    </w:p>
  </w:footnote>
  <w:footnote w:id="1669">
    <w:p>
      <w:pPr>
        <w:pStyle w:val="FootnoteText"/>
      </w:pPr>
      <w:r>
        <w:rPr>
          <w:rStyle w:val="FootnoteReference"/>
        </w:rPr>
        <w:footnoteRef/>
      </w:r>
      <w:r>
        <w:t xml:space="preserve"> </w:t>
      </w:r>
      <w:r>
        <w:t xml:space="preserve">Muresanu 2016, PMID 26564102.</w:t>
      </w:r>
    </w:p>
  </w:footnote>
  <w:footnote w:id="1670">
    <w:p>
      <w:pPr>
        <w:pStyle w:val="FootnoteText"/>
      </w:pPr>
      <w:r>
        <w:rPr>
          <w:rStyle w:val="FootnoteReference"/>
        </w:rPr>
        <w:footnoteRef/>
      </w:r>
      <w:r>
        <w:t xml:space="preserve"> </w:t>
      </w:r>
      <w:r>
        <w:t xml:space="preserve">Guekht 2017, PMID 28707130.</w:t>
      </w:r>
    </w:p>
  </w:footnote>
  <w:footnote w:id="1671">
    <w:p>
      <w:pPr>
        <w:pStyle w:val="FootnoteText"/>
      </w:pPr>
      <w:r>
        <w:rPr>
          <w:rStyle w:val="FootnoteReference"/>
        </w:rPr>
        <w:footnoteRef/>
      </w:r>
      <w:r>
        <w:t xml:space="preserve"> </w:t>
      </w:r>
      <w:r>
        <w:t xml:space="preserve">Stan 2017, PMID 29362596.</w:t>
      </w:r>
    </w:p>
  </w:footnote>
  <w:footnote w:id="1672">
    <w:p>
      <w:pPr>
        <w:pStyle w:val="FootnoteText"/>
      </w:pPr>
      <w:r>
        <w:rPr>
          <w:rStyle w:val="FootnoteReference"/>
        </w:rPr>
        <w:footnoteRef/>
      </w:r>
      <w:r>
        <w:t xml:space="preserve"> </w:t>
      </w:r>
      <w:r>
        <w:t xml:space="preserve">Chang 2016, PMID 26934986.</w:t>
      </w:r>
    </w:p>
  </w:footnote>
  <w:footnote w:id="1673">
    <w:p>
      <w:pPr>
        <w:pStyle w:val="FootnoteText"/>
      </w:pPr>
      <w:r>
        <w:rPr>
          <w:rStyle w:val="FootnoteReference"/>
        </w:rPr>
        <w:footnoteRef/>
      </w:r>
      <w:r>
        <w:t xml:space="preserve"> </w:t>
      </w:r>
      <w:r>
        <w:t xml:space="preserve">Homberg 2025, PMID 39957612.</w:t>
      </w:r>
    </w:p>
  </w:footnote>
  <w:footnote w:id="1674">
    <w:p>
      <w:pPr>
        <w:pStyle w:val="FootnoteText"/>
      </w:pPr>
      <w:r>
        <w:rPr>
          <w:rStyle w:val="FootnoteReference"/>
        </w:rPr>
        <w:footnoteRef/>
      </w:r>
      <w:r>
        <w:t xml:space="preserve"> </w:t>
      </w:r>
      <w:r>
        <w:t xml:space="preserve">Beghi 2021, PMID 34152062.</w:t>
      </w:r>
    </w:p>
  </w:footnote>
  <w:footnote w:id="1676">
    <w:p>
      <w:pPr>
        <w:pStyle w:val="FootnoteText"/>
      </w:pPr>
      <w:r>
        <w:rPr>
          <w:rStyle w:val="FootnoteReference"/>
        </w:rPr>
        <w:footnoteRef/>
      </w:r>
      <w:r>
        <w:t xml:space="preserve"> </w:t>
      </w:r>
      <w:r>
        <w:t xml:space="preserve">Ziganshina 2020, PMID 32662068.</w:t>
      </w:r>
    </w:p>
  </w:footnote>
  <w:footnote w:id="1677">
    <w:p>
      <w:pPr>
        <w:pStyle w:val="FootnoteText"/>
      </w:pPr>
      <w:r>
        <w:rPr>
          <w:rStyle w:val="FootnoteReference"/>
        </w:rPr>
        <w:footnoteRef/>
      </w:r>
      <w:r>
        <w:t xml:space="preserve"> </w:t>
      </w:r>
      <w:r>
        <w:t xml:space="preserve">Ziganshina 2023, PMID 37818733.</w:t>
      </w:r>
    </w:p>
  </w:footnote>
  <w:footnote w:id="1678">
    <w:p>
      <w:pPr>
        <w:pStyle w:val="FootnoteText"/>
      </w:pPr>
      <w:r>
        <w:rPr>
          <w:rStyle w:val="FootnoteReference"/>
        </w:rPr>
        <w:footnoteRef/>
      </w:r>
      <w:r>
        <w:t xml:space="preserve"> </w:t>
      </w:r>
      <w:r>
        <w:t xml:space="preserve">Bornstein 2018, PMID 29248999.</w:t>
      </w:r>
    </w:p>
  </w:footnote>
  <w:footnote w:id="1679">
    <w:p>
      <w:pPr>
        <w:pStyle w:val="FootnoteText"/>
      </w:pPr>
      <w:r>
        <w:rPr>
          <w:rStyle w:val="FootnoteReference"/>
        </w:rPr>
        <w:footnoteRef/>
      </w:r>
      <w:r>
        <w:t xml:space="preserve"> </w:t>
      </w:r>
      <w:r>
        <w:t xml:space="preserve">Strilciuc 2021, PMID 34959697.</w:t>
      </w:r>
    </w:p>
  </w:footnote>
  <w:footnote w:id="1681">
    <w:p>
      <w:pPr>
        <w:pStyle w:val="FootnoteText"/>
      </w:pPr>
      <w:r>
        <w:rPr>
          <w:rStyle w:val="FootnoteReference"/>
        </w:rPr>
        <w:footnoteRef/>
      </w:r>
      <w:r>
        <w:t xml:space="preserve"> </w:t>
      </w:r>
      <w:r>
        <w:t xml:space="preserve">Vosko 2025, PMID 40851188; NCT03480698.</w:t>
      </w:r>
    </w:p>
  </w:footnote>
  <w:footnote w:id="1683">
    <w:p>
      <w:pPr>
        <w:pStyle w:val="FootnoteText"/>
      </w:pPr>
      <w:r>
        <w:rPr>
          <w:rStyle w:val="FootnoteReference"/>
        </w:rPr>
        <w:footnoteRef/>
      </w:r>
      <w:r>
        <w:t xml:space="preserve"> </w:t>
      </w:r>
      <w:r>
        <w:t xml:space="preserve">Bajenaru 2010, PMID 20968198.</w:t>
      </w:r>
    </w:p>
  </w:footnote>
  <w:footnote w:id="1684">
    <w:p>
      <w:pPr>
        <w:pStyle w:val="FootnoteText"/>
      </w:pPr>
      <w:r>
        <w:rPr>
          <w:rStyle w:val="FootnoteReference"/>
        </w:rPr>
        <w:footnoteRef/>
      </w:r>
      <w:r>
        <w:t xml:space="preserve"> </w:t>
      </w:r>
      <w:r>
        <w:t xml:space="preserve">Woo 2020, PMID 33143640; NCT01787123.</w:t>
      </w:r>
    </w:p>
  </w:footnote>
  <w:footnote w:id="1685">
    <w:p>
      <w:pPr>
        <w:pStyle w:val="FootnoteText"/>
      </w:pPr>
      <w:r>
        <w:rPr>
          <w:rStyle w:val="FootnoteReference"/>
        </w:rPr>
        <w:footnoteRef/>
      </w:r>
      <w:r>
        <w:t xml:space="preserve"> </w:t>
      </w:r>
      <w:r>
        <w:t xml:space="preserve">Kobayashi 2025, PMID 41180520.</w:t>
      </w:r>
    </w:p>
  </w:footnote>
  <w:footnote w:id="1687">
    <w:p>
      <w:pPr>
        <w:pStyle w:val="FootnoteText"/>
      </w:pPr>
      <w:r>
        <w:rPr>
          <w:rStyle w:val="FootnoteReference"/>
        </w:rPr>
        <w:footnoteRef/>
      </w:r>
      <w:r>
        <w:t xml:space="preserve"> </w:t>
      </w:r>
      <w:r>
        <w:t xml:space="preserve">Ghaffarpasand 2019, PMID 30643411; Jarosz 2023, PMID 36979317.</w:t>
      </w:r>
    </w:p>
  </w:footnote>
  <w:footnote w:id="1689">
    <w:p>
      <w:pPr>
        <w:pStyle w:val="FootnoteText"/>
      </w:pPr>
      <w:r>
        <w:rPr>
          <w:rStyle w:val="FootnoteReference"/>
        </w:rPr>
        <w:footnoteRef/>
      </w:r>
      <w:r>
        <w:t xml:space="preserve"> </w:t>
      </w:r>
      <w:r>
        <w:t xml:space="preserve">Panisset 2002, PMID 12111446.</w:t>
      </w:r>
    </w:p>
  </w:footnote>
  <w:footnote w:id="1690">
    <w:p>
      <w:pPr>
        <w:pStyle w:val="FootnoteText"/>
      </w:pPr>
      <w:r>
        <w:rPr>
          <w:rStyle w:val="FootnoteReference"/>
        </w:rPr>
        <w:footnoteRef/>
      </w:r>
      <w:r>
        <w:t xml:space="preserve"> </w:t>
      </w:r>
      <w:r>
        <w:t xml:space="preserve">Alvarez 2011, PMID 21679156.</w:t>
      </w:r>
    </w:p>
  </w:footnote>
  <w:footnote w:id="1691">
    <w:p>
      <w:pPr>
        <w:pStyle w:val="FootnoteText"/>
      </w:pPr>
      <w:r>
        <w:rPr>
          <w:rStyle w:val="FootnoteReference"/>
        </w:rPr>
        <w:footnoteRef/>
      </w:r>
      <w:r>
        <w:t xml:space="preserve"> </w:t>
      </w:r>
      <w:r>
        <w:t xml:space="preserve">Gauthier 2015, PMID 25832905.</w:t>
      </w:r>
    </w:p>
  </w:footnote>
  <w:footnote w:id="1692">
    <w:p>
      <w:pPr>
        <w:pStyle w:val="FootnoteText"/>
      </w:pPr>
      <w:r>
        <w:rPr>
          <w:rStyle w:val="FootnoteReference"/>
        </w:rPr>
        <w:footnoteRef/>
      </w:r>
      <w:r>
        <w:t xml:space="preserve"> </w:t>
      </w:r>
      <w:r>
        <w:t xml:space="preserve">Guekht 2011, PMID 20656516.</w:t>
      </w:r>
    </w:p>
  </w:footnote>
  <w:footnote w:id="1693">
    <w:p>
      <w:pPr>
        <w:pStyle w:val="FootnoteText"/>
      </w:pPr>
      <w:r>
        <w:rPr>
          <w:rStyle w:val="FootnoteReference"/>
        </w:rPr>
        <w:footnoteRef/>
      </w:r>
      <w:r>
        <w:t xml:space="preserve"> </w:t>
      </w:r>
      <w:r>
        <w:t xml:space="preserve">Cui 2019, PMID 31710397.</w:t>
      </w:r>
    </w:p>
  </w:footnote>
  <w:footnote w:id="1695">
    <w:p>
      <w:pPr>
        <w:pStyle w:val="FootnoteText"/>
      </w:pPr>
      <w:r>
        <w:rPr>
          <w:rStyle w:val="FootnoteReference"/>
        </w:rPr>
        <w:footnoteRef/>
      </w:r>
      <w:r>
        <w:t xml:space="preserve"> </w:t>
      </w:r>
      <w:r>
        <w:t xml:space="preserve">Funke 1998, PMID 9700674.</w:t>
      </w:r>
    </w:p>
  </w:footnote>
  <w:footnote w:id="1698">
    <w:p>
      <w:pPr>
        <w:pStyle w:val="FootnoteText"/>
      </w:pPr>
      <w:r>
        <w:rPr>
          <w:rStyle w:val="FootnoteReference"/>
        </w:rPr>
        <w:footnoteRef/>
      </w:r>
      <w:r>
        <w:t xml:space="preserve"> </w:t>
      </w:r>
      <w:r>
        <w:t xml:space="preserve">Zhang 2016, PMID 26763925.</w:t>
      </w:r>
    </w:p>
  </w:footnote>
  <w:footnote w:id="1699">
    <w:p>
      <w:pPr>
        <w:pStyle w:val="FootnoteText"/>
      </w:pPr>
      <w:r>
        <w:rPr>
          <w:rStyle w:val="FootnoteReference"/>
        </w:rPr>
        <w:footnoteRef/>
      </w:r>
      <w:r>
        <w:t xml:space="preserve"> </w:t>
      </w:r>
      <w:r>
        <w:t xml:space="preserve">Zhang 2019, PMID 30499355.</w:t>
      </w:r>
    </w:p>
  </w:footnote>
  <w:footnote w:id="1700">
    <w:p>
      <w:pPr>
        <w:pStyle w:val="FootnoteText"/>
      </w:pPr>
      <w:r>
        <w:rPr>
          <w:rStyle w:val="FootnoteReference"/>
        </w:rPr>
        <w:footnoteRef/>
      </w:r>
      <w:r>
        <w:t xml:space="preserve"> </w:t>
      </w:r>
      <w:r>
        <w:t xml:space="preserve">Kastberger 2024, PMID 38062874.</w:t>
      </w:r>
    </w:p>
  </w:footnote>
  <w:footnote w:id="1702">
    <w:p>
      <w:pPr>
        <w:pStyle w:val="FootnoteText"/>
      </w:pPr>
      <w:r>
        <w:rPr>
          <w:rStyle w:val="FootnoteReference"/>
        </w:rPr>
        <w:footnoteRef/>
      </w:r>
      <w:r>
        <w:t xml:space="preserve"> </w:t>
      </w:r>
      <w:r>
        <w:t xml:space="preserve">Panisset 2002, PMID 12111446.</w:t>
      </w:r>
    </w:p>
  </w:footnote>
  <w:footnote w:id="1703">
    <w:p>
      <w:pPr>
        <w:pStyle w:val="FootnoteText"/>
      </w:pPr>
      <w:r>
        <w:rPr>
          <w:rStyle w:val="FootnoteReference"/>
        </w:rPr>
        <w:footnoteRef/>
      </w:r>
      <w:r>
        <w:t xml:space="preserve"> </w:t>
      </w:r>
      <w:r>
        <w:t xml:space="preserve">Strilciuc 2021, PMID 34959697.</w:t>
      </w:r>
    </w:p>
  </w:footnote>
  <w:footnote w:id="1704">
    <w:p>
      <w:pPr>
        <w:pStyle w:val="FootnoteText"/>
      </w:pPr>
      <w:r>
        <w:rPr>
          <w:rStyle w:val="FootnoteReference"/>
        </w:rPr>
        <w:footnoteRef/>
      </w:r>
      <w:r>
        <w:t xml:space="preserve"> </w:t>
      </w:r>
      <w:r>
        <w:t xml:space="preserve">Trimmel 2024, PMID 39055722.</w:t>
      </w:r>
    </w:p>
  </w:footnote>
  <w:footnote w:id="1707">
    <w:p>
      <w:pPr>
        <w:pStyle w:val="FootnoteText"/>
      </w:pPr>
      <w:r>
        <w:rPr>
          <w:rStyle w:val="FootnoteReference"/>
        </w:rPr>
        <w:footnoteRef/>
      </w:r>
      <w:r>
        <w:t xml:space="preserve"> </w:t>
      </w:r>
      <w:r>
        <w:t xml:space="preserve">NCT05755997.</w:t>
      </w:r>
    </w:p>
  </w:footnote>
  <w:footnote w:id="1708">
    <w:p>
      <w:pPr>
        <w:pStyle w:val="FootnoteText"/>
      </w:pPr>
      <w:r>
        <w:rPr>
          <w:rStyle w:val="FootnoteReference"/>
        </w:rPr>
        <w:footnoteRef/>
      </w:r>
      <w:r>
        <w:t xml:space="preserve"> </w:t>
      </w:r>
      <w:r>
        <w:t xml:space="preserve">NCT06897176.</w:t>
      </w:r>
    </w:p>
  </w:footnote>
  <w:footnote w:id="1709">
    <w:p>
      <w:pPr>
        <w:pStyle w:val="FootnoteText"/>
      </w:pPr>
      <w:r>
        <w:rPr>
          <w:rStyle w:val="FootnoteReference"/>
        </w:rPr>
        <w:footnoteRef/>
      </w:r>
      <w:r>
        <w:t xml:space="preserve"> </w:t>
      </w:r>
      <w:r>
        <w:t xml:space="preserve">NCT06339411.</w:t>
      </w:r>
    </w:p>
  </w:footnote>
  <w:footnote w:id="1714">
    <w:p>
      <w:pPr>
        <w:pStyle w:val="FootnoteText"/>
      </w:pPr>
      <w:r>
        <w:rPr>
          <w:rStyle w:val="FootnoteReference"/>
        </w:rPr>
        <w:footnoteRef/>
      </w:r>
      <w:r>
        <w:t xml:space="preserve"> </w:t>
      </w:r>
      <w:r>
        <w:t xml:space="preserve">McCoy 2013, PMID 23055539.</w:t>
      </w:r>
    </w:p>
  </w:footnote>
  <w:footnote w:id="1715">
    <w:p>
      <w:pPr>
        <w:pStyle w:val="FootnoteText"/>
      </w:pPr>
      <w:r>
        <w:rPr>
          <w:rStyle w:val="FootnoteReference"/>
        </w:rPr>
        <w:footnoteRef/>
      </w:r>
      <w:r>
        <w:t xml:space="preserve"> </w:t>
      </w:r>
      <w:r>
        <w:t xml:space="preserve">Benoist 2014, PMID 25187433.</w:t>
      </w:r>
    </w:p>
  </w:footnote>
  <w:footnote w:id="1717">
    <w:p>
      <w:pPr>
        <w:pStyle w:val="FootnoteText"/>
      </w:pPr>
      <w:r>
        <w:rPr>
          <w:rStyle w:val="FootnoteReference"/>
        </w:rPr>
        <w:footnoteRef/>
      </w:r>
      <w:r>
        <w:t xml:space="preserve"> </w:t>
      </w:r>
      <w:r>
        <w:t xml:space="preserve">NCT04488419.</w:t>
      </w:r>
    </w:p>
  </w:footnote>
  <w:footnote w:id="1718">
    <w:p>
      <w:pPr>
        <w:pStyle w:val="FootnoteText"/>
      </w:pPr>
      <w:r>
        <w:rPr>
          <w:rStyle w:val="FootnoteReference"/>
        </w:rPr>
        <w:footnoteRef/>
      </w:r>
      <w:r>
        <w:t xml:space="preserve"> </w:t>
      </w:r>
      <w:r>
        <w:t xml:space="preserve">Porsteinsson 2025, PMID 41393340.</w:t>
      </w:r>
    </w:p>
  </w:footnote>
  <w:footnote w:id="1719">
    <w:p>
      <w:pPr>
        <w:pStyle w:val="FootnoteText"/>
      </w:pPr>
      <w:r>
        <w:rPr>
          <w:rStyle w:val="FootnoteReference"/>
        </w:rPr>
        <w:footnoteRef/>
      </w:r>
      <w:r>
        <w:t xml:space="preserve"> </w:t>
      </w:r>
      <w:r>
        <w:t xml:space="preserve">NCT04831281.</w:t>
      </w:r>
    </w:p>
  </w:footnote>
  <w:footnote w:id="1722">
    <w:p>
      <w:pPr>
        <w:pStyle w:val="FootnoteText"/>
      </w:pPr>
      <w:r>
        <w:rPr>
          <w:rStyle w:val="FootnoteReference"/>
        </w:rPr>
        <w:footnoteRef/>
      </w:r>
      <w:r>
        <w:t xml:space="preserve"> </w:t>
      </w:r>
      <w:r>
        <w:t xml:space="preserve">McCoy 2013, PMID 23055539.</w:t>
      </w:r>
    </w:p>
  </w:footnote>
  <w:footnote w:id="1723">
    <w:p>
      <w:pPr>
        <w:pStyle w:val="FootnoteText"/>
      </w:pPr>
      <w:r>
        <w:rPr>
          <w:rStyle w:val="FootnoteReference"/>
        </w:rPr>
        <w:footnoteRef/>
      </w:r>
      <w:r>
        <w:t xml:space="preserve"> </w:t>
      </w:r>
      <w:r>
        <w:t xml:space="preserve">Sun 2021, PMID 34827486.</w:t>
      </w:r>
    </w:p>
  </w:footnote>
  <w:footnote w:id="1724">
    <w:p>
      <w:pPr>
        <w:pStyle w:val="FootnoteText"/>
      </w:pPr>
      <w:r>
        <w:rPr>
          <w:rStyle w:val="FootnoteReference"/>
        </w:rPr>
        <w:footnoteRef/>
      </w:r>
      <w:r>
        <w:t xml:space="preserve"> </w:t>
      </w:r>
      <w:r>
        <w:t xml:space="preserve">Wells 2024, PMID 38489193.</w:t>
      </w:r>
    </w:p>
  </w:footnote>
  <w:footnote w:id="1725">
    <w:p>
      <w:pPr>
        <w:pStyle w:val="FootnoteText"/>
      </w:pPr>
      <w:r>
        <w:rPr>
          <w:rStyle w:val="FootnoteReference"/>
        </w:rPr>
        <w:footnoteRef/>
      </w:r>
      <w:r>
        <w:t xml:space="preserve"> </w:t>
      </w:r>
      <w:r>
        <w:t xml:space="preserve">Uribe 2015, PMID 25674052.</w:t>
      </w:r>
    </w:p>
  </w:footnote>
  <w:footnote w:id="1726">
    <w:p>
      <w:pPr>
        <w:pStyle w:val="FootnoteText"/>
      </w:pPr>
      <w:r>
        <w:rPr>
          <w:rStyle w:val="FootnoteReference"/>
        </w:rPr>
        <w:footnoteRef/>
      </w:r>
      <w:r>
        <w:t xml:space="preserve"> </w:t>
      </w:r>
      <w:r>
        <w:t xml:space="preserve">Pan 2022, PMID 35410439.</w:t>
      </w:r>
    </w:p>
  </w:footnote>
  <w:footnote w:id="1727">
    <w:p>
      <w:pPr>
        <w:pStyle w:val="FootnoteText"/>
      </w:pPr>
      <w:r>
        <w:rPr>
          <w:rStyle w:val="FootnoteReference"/>
        </w:rPr>
        <w:footnoteRef/>
      </w:r>
      <w:r>
        <w:t xml:space="preserve"> </w:t>
      </w:r>
      <w:r>
        <w:t xml:space="preserve">Ho 2018, PMID 29733881.</w:t>
      </w:r>
    </w:p>
  </w:footnote>
  <w:footnote w:id="1729">
    <w:p>
      <w:pPr>
        <w:pStyle w:val="FootnoteText"/>
      </w:pPr>
      <w:r>
        <w:rPr>
          <w:rStyle w:val="FootnoteReference"/>
        </w:rPr>
        <w:footnoteRef/>
      </w:r>
      <w:r>
        <w:t xml:space="preserve"> </w:t>
      </w:r>
      <w:r>
        <w:t xml:space="preserve">Wright 2015, PMID 25649658.</w:t>
      </w:r>
    </w:p>
  </w:footnote>
  <w:footnote w:id="1736">
    <w:p>
      <w:pPr>
        <w:pStyle w:val="FootnoteText"/>
      </w:pPr>
      <w:r>
        <w:rPr>
          <w:rStyle w:val="FootnoteReference"/>
        </w:rPr>
        <w:footnoteRef/>
      </w:r>
      <w:r>
        <w:t xml:space="preserve"> </w:t>
      </w:r>
      <w:r>
        <w:t xml:space="preserve">Monnier 1977, PMID 862769.</w:t>
      </w:r>
    </w:p>
  </w:footnote>
  <w:footnote w:id="1737">
    <w:p>
      <w:pPr>
        <w:pStyle w:val="FootnoteText"/>
      </w:pPr>
      <w:r>
        <w:rPr>
          <w:rStyle w:val="FootnoteReference"/>
        </w:rPr>
        <w:footnoteRef/>
      </w:r>
      <w:r>
        <w:t xml:space="preserve"> </w:t>
      </w:r>
      <w:r>
        <w:t xml:space="preserve">Kovalzon 2006, PMID 16539679.</w:t>
      </w:r>
    </w:p>
  </w:footnote>
  <w:footnote w:id="1738">
    <w:p>
      <w:pPr>
        <w:pStyle w:val="FootnoteText"/>
      </w:pPr>
      <w:r>
        <w:rPr>
          <w:rStyle w:val="FootnoteReference"/>
        </w:rPr>
        <w:footnoteRef/>
      </w:r>
      <w:r>
        <w:t xml:space="preserve"> </w:t>
      </w:r>
      <w:r>
        <w:t xml:space="preserve">Zlokovic 1988, PMID 3420012.</w:t>
      </w:r>
    </w:p>
  </w:footnote>
  <w:footnote w:id="1740">
    <w:p>
      <w:pPr>
        <w:pStyle w:val="FootnoteText"/>
      </w:pPr>
      <w:r>
        <w:rPr>
          <w:rStyle w:val="FootnoteReference"/>
        </w:rPr>
        <w:footnoteRef/>
      </w:r>
      <w:r>
        <w:t xml:space="preserve"> </w:t>
      </w:r>
      <w:r>
        <w:t xml:space="preserve">Schneider-Helmert 1981, PMID 6895513.</w:t>
      </w:r>
    </w:p>
  </w:footnote>
  <w:footnote w:id="1741">
    <w:p>
      <w:pPr>
        <w:pStyle w:val="FootnoteText"/>
      </w:pPr>
      <w:r>
        <w:rPr>
          <w:rStyle w:val="FootnoteReference"/>
        </w:rPr>
        <w:footnoteRef/>
      </w:r>
      <w:r>
        <w:t xml:space="preserve"> </w:t>
      </w:r>
      <w:r>
        <w:t xml:space="preserve">Schneider-Helmert 1987, PMID 3622582.</w:t>
      </w:r>
    </w:p>
  </w:footnote>
  <w:footnote w:id="1742">
    <w:p>
      <w:pPr>
        <w:pStyle w:val="FootnoteText"/>
      </w:pPr>
      <w:r>
        <w:rPr>
          <w:rStyle w:val="FootnoteReference"/>
        </w:rPr>
        <w:footnoteRef/>
      </w:r>
      <w:r>
        <w:t xml:space="preserve"> </w:t>
      </w:r>
      <w:r>
        <w:t xml:space="preserve">Monti 1987, PMID 3583493.</w:t>
      </w:r>
    </w:p>
  </w:footnote>
  <w:footnote w:id="1743">
    <w:p>
      <w:pPr>
        <w:pStyle w:val="FootnoteText"/>
      </w:pPr>
      <w:r>
        <w:rPr>
          <w:rStyle w:val="FootnoteReference"/>
        </w:rPr>
        <w:footnoteRef/>
      </w:r>
      <w:r>
        <w:t xml:space="preserve"> </w:t>
      </w:r>
      <w:r>
        <w:t xml:space="preserve">Bes 1992, PMID 1299794.</w:t>
      </w:r>
    </w:p>
  </w:footnote>
  <w:footnote w:id="1745">
    <w:p>
      <w:pPr>
        <w:pStyle w:val="FootnoteText"/>
      </w:pPr>
      <w:r>
        <w:rPr>
          <w:rStyle w:val="FootnoteReference"/>
        </w:rPr>
        <w:footnoteRef/>
      </w:r>
      <w:r>
        <w:t xml:space="preserve"> </w:t>
      </w:r>
      <w:r>
        <w:t xml:space="preserve">Dick 1984, PMID 6548969.</w:t>
      </w:r>
    </w:p>
  </w:footnote>
  <w:footnote w:id="1746">
    <w:p>
      <w:pPr>
        <w:pStyle w:val="FootnoteText"/>
      </w:pPr>
      <w:r>
        <w:rPr>
          <w:rStyle w:val="FootnoteReference"/>
        </w:rPr>
        <w:footnoteRef/>
      </w:r>
      <w:r>
        <w:t xml:space="preserve"> </w:t>
      </w:r>
      <w:r>
        <w:t xml:space="preserve">Backmund 1998, PMID 9617990.</w:t>
      </w:r>
    </w:p>
  </w:footnote>
  <w:footnote w:id="1747">
    <w:p>
      <w:pPr>
        <w:pStyle w:val="FootnoteText"/>
      </w:pPr>
      <w:r>
        <w:rPr>
          <w:rStyle w:val="FootnoteReference"/>
        </w:rPr>
        <w:footnoteRef/>
      </w:r>
      <w:r>
        <w:t xml:space="preserve"> </w:t>
      </w:r>
      <w:r>
        <w:t xml:space="preserve">Larbig 1984, PMID 6548970.</w:t>
      </w:r>
    </w:p>
  </w:footnote>
  <w:footnote w:id="1748">
    <w:p>
      <w:pPr>
        <w:pStyle w:val="FootnoteText"/>
      </w:pPr>
      <w:r>
        <w:rPr>
          <w:rStyle w:val="FootnoteReference"/>
        </w:rPr>
        <w:footnoteRef/>
      </w:r>
      <w:r>
        <w:t xml:space="preserve"> </w:t>
      </w:r>
      <w:r>
        <w:t xml:space="preserve">Schneider-Helmert 1984, PMID 6548968.</w:t>
      </w:r>
    </w:p>
  </w:footnote>
  <w:footnote w:id="1749">
    <w:p>
      <w:pPr>
        <w:pStyle w:val="FootnoteText"/>
      </w:pPr>
      <w:r>
        <w:rPr>
          <w:rStyle w:val="FootnoteReference"/>
        </w:rPr>
        <w:footnoteRef/>
      </w:r>
      <w:r>
        <w:t xml:space="preserve"> </w:t>
      </w:r>
      <w:r>
        <w:t xml:space="preserve">Kresiun 2014, PMID 25739189.</w:t>
      </w:r>
    </w:p>
  </w:footnote>
  <w:footnote w:id="1751">
    <w:p>
      <w:pPr>
        <w:pStyle w:val="FootnoteText"/>
      </w:pPr>
      <w:r>
        <w:rPr>
          <w:rStyle w:val="FootnoteReference"/>
        </w:rPr>
        <w:footnoteRef/>
      </w:r>
      <w:r>
        <w:t xml:space="preserve"> </w:t>
      </w:r>
      <w:r>
        <w:t xml:space="preserve">Bjartell 1989, PMID 2554357.</w:t>
      </w:r>
    </w:p>
  </w:footnote>
  <w:footnote w:id="1752">
    <w:p>
      <w:pPr>
        <w:pStyle w:val="FootnoteText"/>
      </w:pPr>
      <w:r>
        <w:rPr>
          <w:rStyle w:val="FootnoteReference"/>
        </w:rPr>
        <w:footnoteRef/>
      </w:r>
      <w:r>
        <w:t xml:space="preserve"> </w:t>
      </w:r>
      <w:r>
        <w:t xml:space="preserve">Späth-Schwalbe 1995, PMID 7777652.</w:t>
      </w:r>
    </w:p>
  </w:footnote>
  <w:footnote w:id="1753">
    <w:p>
      <w:pPr>
        <w:pStyle w:val="FootnoteText"/>
      </w:pPr>
      <w:r>
        <w:rPr>
          <w:rStyle w:val="FootnoteReference"/>
        </w:rPr>
        <w:footnoteRef/>
      </w:r>
      <w:r>
        <w:t xml:space="preserve"> </w:t>
      </w:r>
      <w:r>
        <w:t xml:space="preserve">Giusti 1993, PMID 8475226.</w:t>
      </w:r>
    </w:p>
  </w:footnote>
  <w:footnote w:id="1754">
    <w:p>
      <w:pPr>
        <w:pStyle w:val="FootnoteText"/>
      </w:pPr>
      <w:r>
        <w:rPr>
          <w:rStyle w:val="FootnoteReference"/>
        </w:rPr>
        <w:footnoteRef/>
      </w:r>
      <w:r>
        <w:t xml:space="preserve"> </w:t>
      </w:r>
      <w:r>
        <w:t xml:space="preserve">Pomfrett 2009, PMID 19142086.</w:t>
      </w:r>
    </w:p>
  </w:footnote>
  <w:footnote w:id="1757">
    <w:p>
      <w:pPr>
        <w:pStyle w:val="FootnoteText"/>
      </w:pPr>
      <w:r>
        <w:rPr>
          <w:rStyle w:val="FootnoteReference"/>
        </w:rPr>
        <w:footnoteRef/>
      </w:r>
      <w:r>
        <w:t xml:space="preserve"> </w:t>
      </w:r>
      <w:r>
        <w:t xml:space="preserve">Kovalzon 2006, PMID 16539679.</w:t>
      </w:r>
    </w:p>
  </w:footnote>
  <w:footnote w:id="1758">
    <w:p>
      <w:pPr>
        <w:pStyle w:val="FootnoteText"/>
      </w:pPr>
      <w:r>
        <w:rPr>
          <w:rStyle w:val="FootnoteReference"/>
        </w:rPr>
        <w:footnoteRef/>
      </w:r>
      <w:r>
        <w:t xml:space="preserve"> </w:t>
      </w:r>
      <w:r>
        <w:t xml:space="preserve">Voĭtenkov 2009, PMID 20405733.</w:t>
      </w:r>
    </w:p>
  </w:footnote>
  <w:footnote w:id="1760">
    <w:p>
      <w:pPr>
        <w:pStyle w:val="FootnoteText"/>
      </w:pPr>
      <w:r>
        <w:rPr>
          <w:rStyle w:val="FootnoteReference"/>
        </w:rPr>
        <w:footnoteRef/>
      </w:r>
      <w:r>
        <w:t xml:space="preserve"> </w:t>
      </w:r>
      <w:r>
        <w:t xml:space="preserve">Dick 1984, PMID 6548969.</w:t>
      </w:r>
    </w:p>
  </w:footnote>
  <w:footnote w:id="1761">
    <w:p>
      <w:pPr>
        <w:pStyle w:val="FootnoteText"/>
      </w:pPr>
      <w:r>
        <w:rPr>
          <w:rStyle w:val="FootnoteReference"/>
        </w:rPr>
        <w:footnoteRef/>
      </w:r>
      <w:r>
        <w:t xml:space="preserve"> </w:t>
      </w:r>
      <w:r>
        <w:t xml:space="preserve">Pomfrett 2009, PMID 19142086.</w:t>
      </w:r>
    </w:p>
  </w:footnote>
  <w:footnote w:id="1768">
    <w:p>
      <w:pPr>
        <w:pStyle w:val="FootnoteText"/>
      </w:pPr>
      <w:r>
        <w:rPr>
          <w:rStyle w:val="FootnoteReference"/>
        </w:rPr>
        <w:footnoteRef/>
      </w:r>
      <w:r>
        <w:t xml:space="preserve"> </w:t>
      </w:r>
      <w:r>
        <w:t xml:space="preserve">Khavinson 2003, PMID 12937682.</w:t>
      </w:r>
    </w:p>
  </w:footnote>
  <w:footnote w:id="1769">
    <w:p>
      <w:pPr>
        <w:pStyle w:val="FootnoteText"/>
      </w:pPr>
      <w:r>
        <w:rPr>
          <w:rStyle w:val="FootnoteReference"/>
        </w:rPr>
        <w:footnoteRef/>
      </w:r>
      <w:r>
        <w:t xml:space="preserve"> </w:t>
      </w:r>
      <w:r>
        <w:t xml:space="preserve">Khavinson 2003, PMID 14647006.</w:t>
      </w:r>
    </w:p>
  </w:footnote>
  <w:footnote w:id="1770">
    <w:p>
      <w:pPr>
        <w:pStyle w:val="FootnoteText"/>
      </w:pPr>
      <w:r>
        <w:rPr>
          <w:rStyle w:val="FootnoteReference"/>
        </w:rPr>
        <w:footnoteRef/>
      </w:r>
      <w:r>
        <w:t xml:space="preserve"> </w:t>
      </w:r>
      <w:r>
        <w:t xml:space="preserve">Araj 2025, PMID 40141333.</w:t>
      </w:r>
    </w:p>
  </w:footnote>
  <w:footnote w:id="1772">
    <w:p>
      <w:pPr>
        <w:pStyle w:val="FootnoteText"/>
      </w:pPr>
      <w:r>
        <w:rPr>
          <w:rStyle w:val="FootnoteReference"/>
        </w:rPr>
        <w:footnoteRef/>
      </w:r>
      <w:r>
        <w:t xml:space="preserve"> </w:t>
      </w:r>
      <w:r>
        <w:t xml:space="preserve">Jain 2026, PMID 42884164.</w:t>
      </w:r>
    </w:p>
  </w:footnote>
  <w:footnote w:id="1773">
    <w:p>
      <w:pPr>
        <w:pStyle w:val="FootnoteText"/>
      </w:pPr>
      <w:r>
        <w:rPr>
          <w:rStyle w:val="FootnoteReference"/>
        </w:rPr>
        <w:footnoteRef/>
      </w:r>
      <w:r>
        <w:t xml:space="preserve"> </w:t>
      </w:r>
      <w:r>
        <w:t xml:space="preserve">Khavinson 2002, PMID 12195242.</w:t>
      </w:r>
    </w:p>
  </w:footnote>
  <w:footnote w:id="1775">
    <w:p>
      <w:pPr>
        <w:pStyle w:val="FootnoteText"/>
      </w:pPr>
      <w:r>
        <w:rPr>
          <w:rStyle w:val="FootnoteReference"/>
        </w:rPr>
        <w:footnoteRef/>
      </w:r>
      <w:r>
        <w:t xml:space="preserve"> </w:t>
      </w:r>
      <w:r>
        <w:t xml:space="preserve">Khavinson 2003, PMID 14523363.</w:t>
      </w:r>
    </w:p>
  </w:footnote>
  <w:footnote w:id="1777">
    <w:p>
      <w:pPr>
        <w:pStyle w:val="FootnoteText"/>
      </w:pPr>
      <w:r>
        <w:rPr>
          <w:rStyle w:val="FootnoteReference"/>
        </w:rPr>
        <w:footnoteRef/>
      </w:r>
      <w:r>
        <w:t xml:space="preserve"> </w:t>
      </w:r>
      <w:r>
        <w:t xml:space="preserve">Khavinson 2003, PMID 12937682.</w:t>
      </w:r>
    </w:p>
  </w:footnote>
  <w:footnote w:id="1778">
    <w:p>
      <w:pPr>
        <w:pStyle w:val="FootnoteText"/>
      </w:pPr>
      <w:r>
        <w:rPr>
          <w:rStyle w:val="FootnoteReference"/>
        </w:rPr>
        <w:footnoteRef/>
      </w:r>
      <w:r>
        <w:t xml:space="preserve"> </w:t>
      </w:r>
      <w:r>
        <w:t xml:space="preserve">Khavinson 2004, PMID 15455129.</w:t>
      </w:r>
    </w:p>
  </w:footnote>
  <w:footnote w:id="1779">
    <w:p>
      <w:pPr>
        <w:pStyle w:val="FootnoteText"/>
      </w:pPr>
      <w:r>
        <w:rPr>
          <w:rStyle w:val="FootnoteReference"/>
        </w:rPr>
        <w:footnoteRef/>
      </w:r>
      <w:r>
        <w:t xml:space="preserve"> </w:t>
      </w:r>
      <w:r>
        <w:t xml:space="preserve">Al-Dulaimi 2025, PMID 40908429.</w:t>
      </w:r>
    </w:p>
  </w:footnote>
  <w:footnote w:id="1780">
    <w:p>
      <w:pPr>
        <w:pStyle w:val="FootnoteText"/>
      </w:pPr>
      <w:r>
        <w:rPr>
          <w:rStyle w:val="FootnoteReference"/>
        </w:rPr>
        <w:footnoteRef/>
      </w:r>
      <w:r>
        <w:t xml:space="preserve"> </w:t>
      </w:r>
      <w:r>
        <w:t xml:space="preserve">Khavinson 2019, PMID 31761987.</w:t>
      </w:r>
    </w:p>
  </w:footnote>
  <w:footnote w:id="1783">
    <w:p>
      <w:pPr>
        <w:pStyle w:val="FootnoteText"/>
      </w:pPr>
      <w:r>
        <w:rPr>
          <w:rStyle w:val="FootnoteReference"/>
        </w:rPr>
        <w:footnoteRef/>
      </w:r>
      <w:r>
        <w:t xml:space="preserve"> </w:t>
      </w:r>
      <w:r>
        <w:t xml:space="preserve">Anisimov 2003, PMID 14501183.</w:t>
      </w:r>
    </w:p>
  </w:footnote>
  <w:footnote w:id="1784">
    <w:p>
      <w:pPr>
        <w:pStyle w:val="FootnoteText"/>
      </w:pPr>
      <w:r>
        <w:rPr>
          <w:rStyle w:val="FootnoteReference"/>
        </w:rPr>
        <w:footnoteRef/>
      </w:r>
      <w:r>
        <w:t xml:space="preserve"> </w:t>
      </w:r>
      <w:r>
        <w:t xml:space="preserve">Khavinson 2000, PMID 11087911.</w:t>
      </w:r>
    </w:p>
  </w:footnote>
  <w:footnote w:id="1785">
    <w:p>
      <w:pPr>
        <w:pStyle w:val="FootnoteText"/>
      </w:pPr>
      <w:r>
        <w:rPr>
          <w:rStyle w:val="FootnoteReference"/>
        </w:rPr>
        <w:footnoteRef/>
      </w:r>
      <w:r>
        <w:t xml:space="preserve"> </w:t>
      </w:r>
      <w:r>
        <w:t xml:space="preserve">Khavinson 2003, PMID 12910293.</w:t>
      </w:r>
    </w:p>
  </w:footnote>
  <w:footnote w:id="1786">
    <w:p>
      <w:pPr>
        <w:pStyle w:val="FootnoteText"/>
      </w:pPr>
      <w:r>
        <w:rPr>
          <w:rStyle w:val="FootnoteReference"/>
        </w:rPr>
        <w:footnoteRef/>
      </w:r>
      <w:r>
        <w:t xml:space="preserve"> </w:t>
      </w:r>
      <w:r>
        <w:t xml:space="preserve">Yue 2022, PMID 35413689.</w:t>
      </w:r>
    </w:p>
  </w:footnote>
  <w:footnote w:id="1788">
    <w:p>
      <w:pPr>
        <w:pStyle w:val="FootnoteText"/>
      </w:pPr>
      <w:r>
        <w:rPr>
          <w:rStyle w:val="FootnoteReference"/>
        </w:rPr>
        <w:footnoteRef/>
      </w:r>
      <w:r>
        <w:t xml:space="preserve"> </w:t>
      </w:r>
      <w:r>
        <w:t xml:space="preserve">Al-Dulaimi 2025, PMID 40908429.</w:t>
      </w:r>
    </w:p>
  </w:footnote>
  <w:footnote w:id="1789">
    <w:p>
      <w:pPr>
        <w:pStyle w:val="FootnoteText"/>
      </w:pPr>
      <w:r>
        <w:rPr>
          <w:rStyle w:val="FootnoteReference"/>
        </w:rPr>
        <w:footnoteRef/>
      </w:r>
      <w:r>
        <w:t xml:space="preserve"> </w:t>
      </w:r>
      <w:r>
        <w:t xml:space="preserve">Anisimov 2003, PMID 14501183.</w:t>
      </w:r>
    </w:p>
  </w:footnote>
  <w:footnote w:id="1790">
    <w:p>
      <w:pPr>
        <w:pStyle w:val="FootnoteText"/>
      </w:pPr>
      <w:r>
        <w:rPr>
          <w:rStyle w:val="FootnoteReference"/>
        </w:rPr>
        <w:footnoteRef/>
      </w:r>
      <w:r>
        <w:t xml:space="preserve"> </w:t>
      </w:r>
      <w:r>
        <w:t xml:space="preserve">Jain 2026, PMID 42884164.</w:t>
      </w:r>
    </w:p>
  </w:footnote>
  <w:footnote w:id="1793">
    <w:p>
      <w:pPr>
        <w:pStyle w:val="FootnoteText"/>
      </w:pPr>
      <w:r>
        <w:rPr>
          <w:rStyle w:val="FootnoteReference"/>
        </w:rPr>
        <w:footnoteRef/>
      </w:r>
      <w:r>
        <w:t xml:space="preserve"> </w:t>
      </w:r>
      <w:r>
        <w:t xml:space="preserve">NCT07888595.</w:t>
      </w:r>
    </w:p>
  </w:footnote>
  <w:footnote w:id="1798">
    <w:p>
      <w:pPr>
        <w:pStyle w:val="FootnoteText"/>
      </w:pPr>
      <w:r>
        <w:rPr>
          <w:rStyle w:val="FootnoteReference"/>
        </w:rPr>
        <w:footnoteRef/>
      </w:r>
      <w:r>
        <w:t xml:space="preserve"> </w:t>
      </w:r>
      <w:r>
        <w:t xml:space="preserve">Fedoreyeva 2011, PMID 22117547.</w:t>
      </w:r>
    </w:p>
  </w:footnote>
  <w:footnote w:id="1799">
    <w:p>
      <w:pPr>
        <w:pStyle w:val="FootnoteText"/>
      </w:pPr>
      <w:r>
        <w:rPr>
          <w:rStyle w:val="FootnoteReference"/>
        </w:rPr>
        <w:footnoteRef/>
      </w:r>
      <w:r>
        <w:t xml:space="preserve"> </w:t>
      </w:r>
      <w:r>
        <w:t xml:space="preserve">Khavinson 2011, PMID 21978084.</w:t>
      </w:r>
    </w:p>
  </w:footnote>
  <w:footnote w:id="1800">
    <w:p>
      <w:pPr>
        <w:pStyle w:val="FootnoteText"/>
      </w:pPr>
      <w:r>
        <w:rPr>
          <w:rStyle w:val="FootnoteReference"/>
        </w:rPr>
        <w:footnoteRef/>
      </w:r>
      <w:r>
        <w:t xml:space="preserve"> </w:t>
      </w:r>
      <w:r>
        <w:t xml:space="preserve">Khavinson 2020, PMID 33396470.</w:t>
      </w:r>
    </w:p>
  </w:footnote>
  <w:footnote w:id="1802">
    <w:p>
      <w:pPr>
        <w:pStyle w:val="FootnoteText"/>
      </w:pPr>
      <w:r>
        <w:rPr>
          <w:rStyle w:val="FootnoteReference"/>
        </w:rPr>
        <w:footnoteRef/>
      </w:r>
      <w:r>
        <w:t xml:space="preserve"> </w:t>
      </w:r>
      <w:r>
        <w:t xml:space="preserve">Meshchaninov 2015, PMID 26390612.</w:t>
      </w:r>
    </w:p>
  </w:footnote>
  <w:footnote w:id="1804">
    <w:p>
      <w:pPr>
        <w:pStyle w:val="FootnoteText"/>
      </w:pPr>
      <w:r>
        <w:rPr>
          <w:rStyle w:val="FootnoteReference"/>
        </w:rPr>
        <w:footnoteRef/>
      </w:r>
      <w:r>
        <w:t xml:space="preserve"> </w:t>
      </w:r>
      <w:r>
        <w:t xml:space="preserve">Arutjunyan 2012, PMID 22567179.</w:t>
      </w:r>
    </w:p>
  </w:footnote>
  <w:footnote w:id="1805">
    <w:p>
      <w:pPr>
        <w:pStyle w:val="FootnoteText"/>
      </w:pPr>
      <w:r>
        <w:rPr>
          <w:rStyle w:val="FootnoteReference"/>
        </w:rPr>
        <w:footnoteRef/>
      </w:r>
      <w:r>
        <w:t xml:space="preserve"> </w:t>
      </w:r>
      <w:r>
        <w:t xml:space="preserve">Mendzheritsky 2015, PMID 28509493.</w:t>
      </w:r>
    </w:p>
  </w:footnote>
  <w:footnote w:id="1806">
    <w:p>
      <w:pPr>
        <w:pStyle w:val="FootnoteText"/>
      </w:pPr>
      <w:r>
        <w:rPr>
          <w:rStyle w:val="FootnoteReference"/>
        </w:rPr>
        <w:footnoteRef/>
      </w:r>
      <w:r>
        <w:t xml:space="preserve"> </w:t>
      </w:r>
      <w:r>
        <w:t xml:space="preserve">Khavinson 2011, PMID 21978084.</w:t>
      </w:r>
    </w:p>
  </w:footnote>
  <w:footnote w:id="1808">
    <w:p>
      <w:pPr>
        <w:pStyle w:val="FootnoteText"/>
      </w:pPr>
      <w:r>
        <w:rPr>
          <w:rStyle w:val="FootnoteReference"/>
        </w:rPr>
        <w:footnoteRef/>
      </w:r>
      <w:r>
        <w:t xml:space="preserve"> </w:t>
      </w:r>
      <w:r>
        <w:t xml:space="preserve">Meshchaninov 2015, PMID 26390612.</w:t>
      </w:r>
    </w:p>
  </w:footnote>
  <w:footnote w:id="1815">
    <w:p>
      <w:pPr>
        <w:pStyle w:val="FootnoteText"/>
      </w:pPr>
      <w:r>
        <w:rPr>
          <w:rStyle w:val="FootnoteReference"/>
        </w:rPr>
        <w:footnoteRef/>
      </w:r>
      <w:r>
        <w:t xml:space="preserve"> </w:t>
      </w:r>
      <w:r>
        <w:t xml:space="preserve">Lee 2015, PMID 25738459.</w:t>
      </w:r>
    </w:p>
  </w:footnote>
  <w:footnote w:id="1816">
    <w:p>
      <w:pPr>
        <w:pStyle w:val="FootnoteText"/>
      </w:pPr>
      <w:r>
        <w:rPr>
          <w:rStyle w:val="FootnoteReference"/>
        </w:rPr>
        <w:footnoteRef/>
      </w:r>
      <w:r>
        <w:t xml:space="preserve"> </w:t>
      </w:r>
      <w:r>
        <w:t xml:space="preserve">Kim 2018, PMID 29983246.</w:t>
      </w:r>
    </w:p>
  </w:footnote>
  <w:footnote w:id="1817">
    <w:p>
      <w:pPr>
        <w:pStyle w:val="FootnoteText"/>
      </w:pPr>
      <w:r>
        <w:rPr>
          <w:rStyle w:val="FootnoteReference"/>
        </w:rPr>
        <w:footnoteRef/>
      </w:r>
      <w:r>
        <w:t xml:space="preserve"> </w:t>
      </w:r>
      <w:r>
        <w:t xml:space="preserve">Reynolds 2021, PMID 33473109.</w:t>
      </w:r>
    </w:p>
  </w:footnote>
  <w:footnote w:id="1819">
    <w:p>
      <w:pPr>
        <w:pStyle w:val="FootnoteText"/>
      </w:pPr>
      <w:r>
        <w:rPr>
          <w:rStyle w:val="FootnoteReference"/>
        </w:rPr>
        <w:footnoteRef/>
      </w:r>
      <w:r>
        <w:t xml:space="preserve"> </w:t>
      </w:r>
      <w:r>
        <w:t xml:space="preserve">NCT03998514.</w:t>
      </w:r>
    </w:p>
  </w:footnote>
  <w:footnote w:id="1820">
    <w:p>
      <w:pPr>
        <w:pStyle w:val="FootnoteText"/>
      </w:pPr>
      <w:r>
        <w:rPr>
          <w:rStyle w:val="FootnoteReference"/>
        </w:rPr>
        <w:footnoteRef/>
      </w:r>
      <w:r>
        <w:t xml:space="preserve"> </w:t>
      </w:r>
      <w:r>
        <w:t xml:space="preserve">Du 2018, PMID 29691953; Kirik 2023, PMID 37750635; Qin 2018, PMID 29242099.</w:t>
      </w:r>
    </w:p>
  </w:footnote>
  <w:footnote w:id="1821">
    <w:p>
      <w:pPr>
        <w:pStyle w:val="FootnoteText"/>
      </w:pPr>
      <w:r>
        <w:rPr>
          <w:rStyle w:val="FootnoteReference"/>
        </w:rPr>
        <w:footnoteRef/>
      </w:r>
      <w:r>
        <w:t xml:space="preserve"> </w:t>
      </w:r>
      <w:r>
        <w:t xml:space="preserve">Du 2018, PMID 29691953.</w:t>
      </w:r>
    </w:p>
  </w:footnote>
  <w:footnote w:id="1822">
    <w:p>
      <w:pPr>
        <w:pStyle w:val="FootnoteText"/>
      </w:pPr>
      <w:r>
        <w:rPr>
          <w:rStyle w:val="FootnoteReference"/>
        </w:rPr>
        <w:footnoteRef/>
      </w:r>
      <w:r>
        <w:t xml:space="preserve"> </w:t>
      </w:r>
      <w:r>
        <w:t xml:space="preserve">Ikonomidis 2020, PMID 32052315.</w:t>
      </w:r>
    </w:p>
  </w:footnote>
  <w:footnote w:id="1823">
    <w:p>
      <w:pPr>
        <w:pStyle w:val="FootnoteText"/>
      </w:pPr>
      <w:r>
        <w:rPr>
          <w:rStyle w:val="FootnoteReference"/>
        </w:rPr>
        <w:footnoteRef/>
      </w:r>
      <w:r>
        <w:t xml:space="preserve"> </w:t>
      </w:r>
      <w:r>
        <w:t xml:space="preserve">Cuyàs 2022, PMID 36490309.</w:t>
      </w:r>
    </w:p>
  </w:footnote>
  <w:footnote w:id="1824">
    <w:p>
      <w:pPr>
        <w:pStyle w:val="FootnoteText"/>
      </w:pPr>
      <w:r>
        <w:rPr>
          <w:rStyle w:val="FootnoteReference"/>
        </w:rPr>
        <w:footnoteRef/>
      </w:r>
      <w:r>
        <w:t xml:space="preserve"> </w:t>
      </w:r>
      <w:r>
        <w:t xml:space="preserve">Zempo 2021, PMID 33468709.</w:t>
      </w:r>
    </w:p>
  </w:footnote>
  <w:footnote w:id="1826">
    <w:p>
      <w:pPr>
        <w:pStyle w:val="FootnoteText"/>
      </w:pPr>
      <w:r>
        <w:rPr>
          <w:rStyle w:val="FootnoteReference"/>
        </w:rPr>
        <w:footnoteRef/>
      </w:r>
      <w:r>
        <w:t xml:space="preserve"> </w:t>
      </w:r>
      <w:r>
        <w:t xml:space="preserve">NCT03998514.</w:t>
      </w:r>
    </w:p>
  </w:footnote>
  <w:footnote w:id="1829">
    <w:p>
      <w:pPr>
        <w:pStyle w:val="FootnoteText"/>
      </w:pPr>
      <w:r>
        <w:rPr>
          <w:rStyle w:val="FootnoteReference"/>
        </w:rPr>
        <w:footnoteRef/>
      </w:r>
      <w:r>
        <w:t xml:space="preserve"> </w:t>
      </w:r>
      <w:r>
        <w:t xml:space="preserve">Lee 2015, PMID 25738459.</w:t>
      </w:r>
    </w:p>
  </w:footnote>
  <w:footnote w:id="1830">
    <w:p>
      <w:pPr>
        <w:pStyle w:val="FootnoteText"/>
      </w:pPr>
      <w:r>
        <w:rPr>
          <w:rStyle w:val="FootnoteReference"/>
        </w:rPr>
        <w:footnoteRef/>
      </w:r>
      <w:r>
        <w:t xml:space="preserve"> </w:t>
      </w:r>
      <w:r>
        <w:t xml:space="preserve">Kumagai 2021, PMID 33554779.</w:t>
      </w:r>
    </w:p>
  </w:footnote>
  <w:footnote w:id="1831">
    <w:p>
      <w:pPr>
        <w:pStyle w:val="FootnoteText"/>
      </w:pPr>
      <w:r>
        <w:rPr>
          <w:rStyle w:val="FootnoteReference"/>
        </w:rPr>
        <w:footnoteRef/>
      </w:r>
      <w:r>
        <w:t xml:space="preserve"> </w:t>
      </w:r>
      <w:r>
        <w:t xml:space="preserve">Reynolds 2021, PMID 33473109.</w:t>
      </w:r>
    </w:p>
  </w:footnote>
  <w:footnote w:id="1832">
    <w:p>
      <w:pPr>
        <w:pStyle w:val="FootnoteText"/>
      </w:pPr>
      <w:r>
        <w:rPr>
          <w:rStyle w:val="FootnoteReference"/>
        </w:rPr>
        <w:footnoteRef/>
      </w:r>
      <w:r>
        <w:t xml:space="preserve"> </w:t>
      </w:r>
      <w:r>
        <w:t xml:space="preserve">Kong 2025, PMID 40855115.</w:t>
      </w:r>
    </w:p>
  </w:footnote>
  <w:footnote w:id="1834">
    <w:p>
      <w:pPr>
        <w:pStyle w:val="FootnoteText"/>
      </w:pPr>
      <w:r>
        <w:rPr>
          <w:rStyle w:val="FootnoteReference"/>
        </w:rPr>
        <w:footnoteRef/>
      </w:r>
      <w:r>
        <w:t xml:space="preserve"> </w:t>
      </w:r>
      <w:r>
        <w:t xml:space="preserve">Yin 2024, PMID 39321430.</w:t>
      </w:r>
    </w:p>
  </w:footnote>
  <w:footnote w:id="1835">
    <w:p>
      <w:pPr>
        <w:pStyle w:val="FootnoteText"/>
      </w:pPr>
      <w:r>
        <w:rPr>
          <w:rStyle w:val="FootnoteReference"/>
        </w:rPr>
        <w:footnoteRef/>
      </w:r>
      <w:r>
        <w:t xml:space="preserve"> </w:t>
      </w:r>
      <w:r>
        <w:t xml:space="preserve">Shen 2025, PMID 39581216.</w:t>
      </w:r>
    </w:p>
  </w:footnote>
  <w:footnote w:id="1838">
    <w:p>
      <w:pPr>
        <w:pStyle w:val="FootnoteText"/>
      </w:pPr>
      <w:r>
        <w:rPr>
          <w:rStyle w:val="FootnoteReference"/>
        </w:rPr>
        <w:footnoteRef/>
      </w:r>
      <w:r>
        <w:t xml:space="preserve"> </w:t>
      </w:r>
      <w:r>
        <w:t xml:space="preserve">NCT07678073.</w:t>
      </w:r>
    </w:p>
  </w:footnote>
  <w:footnote w:id="1839">
    <w:p>
      <w:pPr>
        <w:pStyle w:val="FootnoteText"/>
      </w:pPr>
      <w:r>
        <w:rPr>
          <w:rStyle w:val="FootnoteReference"/>
        </w:rPr>
        <w:footnoteRef/>
      </w:r>
      <w:r>
        <w:t xml:space="preserve"> </w:t>
      </w:r>
      <w:r>
        <w:t xml:space="preserve">NCT03878706.</w:t>
      </w:r>
    </w:p>
  </w:footnote>
  <w:footnote w:id="1844">
    <w:p>
      <w:pPr>
        <w:pStyle w:val="FootnoteText"/>
      </w:pPr>
      <w:r>
        <w:rPr>
          <w:rStyle w:val="FootnoteReference"/>
        </w:rPr>
        <w:footnoteRef/>
      </w:r>
      <w:r>
        <w:t xml:space="preserve"> </w:t>
      </w:r>
      <w:r>
        <w:t xml:space="preserve">Hashimoto 2001, PMID 11717357.</w:t>
      </w:r>
    </w:p>
  </w:footnote>
  <w:footnote w:id="1845">
    <w:p>
      <w:pPr>
        <w:pStyle w:val="FootnoteText"/>
      </w:pPr>
      <w:r>
        <w:rPr>
          <w:rStyle w:val="FootnoteReference"/>
        </w:rPr>
        <w:footnoteRef/>
      </w:r>
      <w:r>
        <w:t xml:space="preserve"> </w:t>
      </w:r>
      <w:r>
        <w:t xml:space="preserve">Hashimoto 2009, PMID 19386761.</w:t>
      </w:r>
    </w:p>
  </w:footnote>
  <w:footnote w:id="1846">
    <w:p>
      <w:pPr>
        <w:pStyle w:val="FootnoteText"/>
      </w:pPr>
      <w:r>
        <w:rPr>
          <w:rStyle w:val="FootnoteReference"/>
        </w:rPr>
        <w:footnoteRef/>
      </w:r>
      <w:r>
        <w:t xml:space="preserve"> </w:t>
      </w:r>
      <w:r>
        <w:t xml:space="preserve">Miller 2022, PMID 35499074.</w:t>
      </w:r>
    </w:p>
  </w:footnote>
  <w:footnote w:id="1848">
    <w:p>
      <w:pPr>
        <w:pStyle w:val="FootnoteText"/>
      </w:pPr>
      <w:r>
        <w:rPr>
          <w:rStyle w:val="FootnoteReference"/>
        </w:rPr>
        <w:footnoteRef/>
      </w:r>
      <w:r>
        <w:t xml:space="preserve"> </w:t>
      </w:r>
      <w:r>
        <w:t xml:space="preserve">Lee 2014, PMID 25040290.</w:t>
      </w:r>
    </w:p>
  </w:footnote>
  <w:footnote w:id="1852">
    <w:p>
      <w:pPr>
        <w:pStyle w:val="FootnoteText"/>
      </w:pPr>
      <w:r>
        <w:rPr>
          <w:rStyle w:val="FootnoteReference"/>
        </w:rPr>
        <w:footnoteRef/>
      </w:r>
      <w:r>
        <w:t xml:space="preserve"> </w:t>
      </w:r>
      <w:r>
        <w:t xml:space="preserve">Yen 2020, PMID 32575074.</w:t>
      </w:r>
    </w:p>
  </w:footnote>
  <w:footnote w:id="1853">
    <w:p>
      <w:pPr>
        <w:pStyle w:val="FootnoteText"/>
      </w:pPr>
      <w:r>
        <w:rPr>
          <w:rStyle w:val="FootnoteReference"/>
        </w:rPr>
        <w:footnoteRef/>
      </w:r>
      <w:r>
        <w:t xml:space="preserve"> </w:t>
      </w:r>
      <w:r>
        <w:t xml:space="preserve">Muzumdar 2010, PMID 20651283.</w:t>
      </w:r>
    </w:p>
  </w:footnote>
  <w:footnote w:id="1854">
    <w:p>
      <w:pPr>
        <w:pStyle w:val="FootnoteText"/>
      </w:pPr>
      <w:r>
        <w:rPr>
          <w:rStyle w:val="FootnoteReference"/>
        </w:rPr>
        <w:footnoteRef/>
      </w:r>
      <w:r>
        <w:t xml:space="preserve"> </w:t>
      </w:r>
      <w:r>
        <w:t xml:space="preserve">Qin 2018, PMID 30004252.</w:t>
      </w:r>
    </w:p>
  </w:footnote>
  <w:footnote w:id="1855">
    <w:p>
      <w:pPr>
        <w:pStyle w:val="FootnoteText"/>
      </w:pPr>
      <w:r>
        <w:rPr>
          <w:rStyle w:val="FootnoteReference"/>
        </w:rPr>
        <w:footnoteRef/>
      </w:r>
      <w:r>
        <w:t xml:space="preserve"> </w:t>
      </w:r>
      <w:r>
        <w:t xml:space="preserve">Miller 2024, PMID 38520065.</w:t>
      </w:r>
    </w:p>
  </w:footnote>
  <w:footnote w:id="1856">
    <w:p>
      <w:pPr>
        <w:pStyle w:val="FootnoteText"/>
      </w:pPr>
      <w:r>
        <w:rPr>
          <w:rStyle w:val="FootnoteReference"/>
        </w:rPr>
        <w:footnoteRef/>
      </w:r>
      <w:r>
        <w:t xml:space="preserve"> </w:t>
      </w:r>
      <w:r>
        <w:t xml:space="preserve">Nashine 2017, PMID 28726777.</w:t>
      </w:r>
    </w:p>
  </w:footnote>
  <w:footnote w:id="1858">
    <w:p>
      <w:pPr>
        <w:pStyle w:val="FootnoteText"/>
      </w:pPr>
      <w:r>
        <w:rPr>
          <w:rStyle w:val="FootnoteReference"/>
        </w:rPr>
        <w:footnoteRef/>
      </w:r>
      <w:r>
        <w:t xml:space="preserve"> </w:t>
      </w:r>
      <w:r>
        <w:t xml:space="preserve">Moreno Ayala 2020, PMID 32444831.</w:t>
      </w:r>
    </w:p>
  </w:footnote>
  <w:footnote w:id="1859">
    <w:p>
      <w:pPr>
        <w:pStyle w:val="FootnoteText"/>
      </w:pPr>
      <w:r>
        <w:rPr>
          <w:rStyle w:val="FootnoteReference"/>
        </w:rPr>
        <w:footnoteRef/>
      </w:r>
      <w:r>
        <w:t xml:space="preserve"> </w:t>
      </w:r>
      <w:r>
        <w:t xml:space="preserve">Mendelsohn 2018, PMID 30058454.</w:t>
      </w:r>
    </w:p>
  </w:footnote>
  <w:footnote w:id="1862">
    <w:p>
      <w:pPr>
        <w:pStyle w:val="FootnoteText"/>
      </w:pPr>
      <w:r>
        <w:rPr>
          <w:rStyle w:val="FootnoteReference"/>
        </w:rPr>
        <w:footnoteRef/>
      </w:r>
      <w:r>
        <w:t xml:space="preserve"> </w:t>
      </w:r>
      <w:r>
        <w:t xml:space="preserve">NCT07678073.</w:t>
      </w:r>
    </w:p>
  </w:footnote>
  <w:footnote w:id="1867">
    <w:p>
      <w:pPr>
        <w:pStyle w:val="FootnoteText"/>
      </w:pPr>
      <w:r>
        <w:rPr>
          <w:rStyle w:val="FootnoteReference"/>
        </w:rPr>
        <w:footnoteRef/>
      </w:r>
      <w:r>
        <w:t xml:space="preserve"> </w:t>
      </w:r>
      <w:r>
        <w:t xml:space="preserve">Szeto 2014, PMID 24117165.</w:t>
      </w:r>
    </w:p>
  </w:footnote>
  <w:footnote w:id="1869">
    <w:p>
      <w:pPr>
        <w:pStyle w:val="FootnoteText"/>
      </w:pPr>
      <w:r>
        <w:rPr>
          <w:rStyle w:val="FootnoteReference"/>
        </w:rPr>
        <w:footnoteRef/>
      </w:r>
      <w:r>
        <w:t xml:space="preserve"> </w:t>
      </w:r>
      <w:r>
        <w:t xml:space="preserve">NCT03098797.</w:t>
      </w:r>
    </w:p>
  </w:footnote>
  <w:footnote w:id="1870">
    <w:p>
      <w:pPr>
        <w:pStyle w:val="FootnoteText"/>
      </w:pPr>
      <w:r>
        <w:rPr>
          <w:rStyle w:val="FootnoteReference"/>
        </w:rPr>
        <w:footnoteRef/>
      </w:r>
      <w:r>
        <w:t xml:space="preserve"> </w:t>
      </w:r>
      <w:r>
        <w:t xml:space="preserve">Reid Thompson 2021, PMID 33077895.</w:t>
      </w:r>
    </w:p>
  </w:footnote>
  <w:footnote w:id="1871">
    <w:p>
      <w:pPr>
        <w:pStyle w:val="FootnoteText"/>
      </w:pPr>
      <w:r>
        <w:rPr>
          <w:rStyle w:val="FootnoteReference"/>
        </w:rPr>
        <w:footnoteRef/>
      </w:r>
      <w:r>
        <w:t xml:space="preserve"> </w:t>
      </w:r>
      <w:r>
        <w:t xml:space="preserve">Reid Thompson 2021, PMID 33077895.</w:t>
      </w:r>
    </w:p>
  </w:footnote>
  <w:footnote w:id="1872">
    <w:p>
      <w:pPr>
        <w:pStyle w:val="FootnoteText"/>
      </w:pPr>
      <w:r>
        <w:rPr>
          <w:rStyle w:val="FootnoteReference"/>
        </w:rPr>
        <w:footnoteRef/>
      </w:r>
      <w:r>
        <w:t xml:space="preserve"> </w:t>
      </w:r>
      <w:r>
        <w:t xml:space="preserve">Thompson 2024, PMID 38602181.</w:t>
      </w:r>
    </w:p>
  </w:footnote>
  <w:footnote w:id="1873">
    <w:p>
      <w:pPr>
        <w:pStyle w:val="FootnoteText"/>
      </w:pPr>
      <w:r>
        <w:rPr>
          <w:rStyle w:val="FootnoteReference"/>
        </w:rPr>
        <w:footnoteRef/>
      </w:r>
      <w:r>
        <w:t xml:space="preserve"> </w:t>
      </w:r>
      <w:r>
        <w:t xml:space="preserve">Hornby 2022, PMID 36056411.</w:t>
      </w:r>
    </w:p>
  </w:footnote>
  <w:footnote w:id="1874">
    <w:p>
      <w:pPr>
        <w:pStyle w:val="FootnoteText"/>
      </w:pPr>
      <w:r>
        <w:rPr>
          <w:rStyle w:val="FootnoteReference"/>
        </w:rPr>
        <w:footnoteRef/>
      </w:r>
      <w:r>
        <w:t xml:space="preserve"> </w:t>
      </w:r>
      <w:r>
        <w:t xml:space="preserve">Shirley 2026, PMID 41335372.</w:t>
      </w:r>
    </w:p>
  </w:footnote>
  <w:footnote w:id="1875">
    <w:p>
      <w:pPr>
        <w:pStyle w:val="FootnoteText"/>
      </w:pPr>
      <w:r>
        <w:rPr>
          <w:rStyle w:val="FootnoteReference"/>
        </w:rPr>
        <w:footnoteRef/>
      </w:r>
      <w:r>
        <w:t xml:space="preserve"> </w:t>
      </w:r>
      <w:r>
        <w:t xml:space="preserve">NCT07531251.</w:t>
      </w:r>
    </w:p>
  </w:footnote>
  <w:footnote w:id="1877">
    <w:p>
      <w:pPr>
        <w:pStyle w:val="FootnoteText"/>
      </w:pPr>
      <w:r>
        <w:rPr>
          <w:rStyle w:val="FootnoteReference"/>
        </w:rPr>
        <w:footnoteRef/>
      </w:r>
      <w:r>
        <w:t xml:space="preserve"> </w:t>
      </w:r>
      <w:r>
        <w:t xml:space="preserve">NCT03323749.</w:t>
      </w:r>
    </w:p>
  </w:footnote>
  <w:footnote w:id="1878">
    <w:p>
      <w:pPr>
        <w:pStyle w:val="FootnoteText"/>
      </w:pPr>
      <w:r>
        <w:rPr>
          <w:rStyle w:val="FootnoteReference"/>
        </w:rPr>
        <w:footnoteRef/>
      </w:r>
      <w:r>
        <w:t xml:space="preserve"> </w:t>
      </w:r>
      <w:r>
        <w:t xml:space="preserve">Karaa 2023, PMID 37268435.</w:t>
      </w:r>
    </w:p>
  </w:footnote>
  <w:footnote w:id="1879">
    <w:p>
      <w:pPr>
        <w:pStyle w:val="FootnoteText"/>
      </w:pPr>
      <w:r>
        <w:rPr>
          <w:rStyle w:val="FootnoteReference"/>
        </w:rPr>
        <w:footnoteRef/>
      </w:r>
      <w:r>
        <w:t xml:space="preserve"> </w:t>
      </w:r>
      <w:r>
        <w:t xml:space="preserve">Karaa 2024, PMID 39574155.</w:t>
      </w:r>
    </w:p>
  </w:footnote>
  <w:footnote w:id="1880">
    <w:p>
      <w:pPr>
        <w:pStyle w:val="FootnoteText"/>
      </w:pPr>
      <w:r>
        <w:rPr>
          <w:rStyle w:val="FootnoteReference"/>
        </w:rPr>
        <w:footnoteRef/>
      </w:r>
      <w:r>
        <w:t xml:space="preserve"> </w:t>
      </w:r>
      <w:r>
        <w:t xml:space="preserve">NCT05162768.</w:t>
      </w:r>
    </w:p>
  </w:footnote>
  <w:footnote w:id="1882">
    <w:p>
      <w:pPr>
        <w:pStyle w:val="FootnoteText"/>
      </w:pPr>
      <w:r>
        <w:rPr>
          <w:rStyle w:val="FootnoteReference"/>
        </w:rPr>
        <w:footnoteRef/>
      </w:r>
      <w:r>
        <w:t xml:space="preserve"> </w:t>
      </w:r>
      <w:r>
        <w:t xml:space="preserve">Gibson 2016, PMID 26586786; Butler 2020, PMID 32068002.</w:t>
      </w:r>
    </w:p>
  </w:footnote>
  <w:footnote w:id="1883">
    <w:p>
      <w:pPr>
        <w:pStyle w:val="FootnoteText"/>
      </w:pPr>
      <w:r>
        <w:rPr>
          <w:rStyle w:val="FootnoteReference"/>
        </w:rPr>
        <w:footnoteRef/>
      </w:r>
      <w:r>
        <w:t xml:space="preserve"> </w:t>
      </w:r>
      <w:r>
        <w:t xml:space="preserve">Ehlers 2025, PMID 39605874.</w:t>
      </w:r>
    </w:p>
  </w:footnote>
  <w:footnote w:id="1884">
    <w:p>
      <w:pPr>
        <w:pStyle w:val="FootnoteText"/>
      </w:pPr>
      <w:r>
        <w:rPr>
          <w:rStyle w:val="FootnoteReference"/>
        </w:rPr>
        <w:footnoteRef/>
      </w:r>
      <w:r>
        <w:t xml:space="preserve"> </w:t>
      </w:r>
      <w:r>
        <w:t xml:space="preserve">NCT06373731.</w:t>
      </w:r>
    </w:p>
  </w:footnote>
  <w:footnote w:id="1885">
    <w:p>
      <w:pPr>
        <w:pStyle w:val="FootnoteText"/>
      </w:pPr>
      <w:r>
        <w:rPr>
          <w:rStyle w:val="FootnoteReference"/>
        </w:rPr>
        <w:footnoteRef/>
      </w:r>
      <w:r>
        <w:t xml:space="preserve"> </w:t>
      </w:r>
      <w:r>
        <w:t xml:space="preserve">Roshanravan 2021, PMID 34264994.</w:t>
      </w:r>
    </w:p>
  </w:footnote>
  <w:footnote w:id="1888">
    <w:p>
      <w:pPr>
        <w:pStyle w:val="FootnoteText"/>
      </w:pPr>
      <w:r>
        <w:rPr>
          <w:rStyle w:val="FootnoteReference"/>
        </w:rPr>
        <w:footnoteRef/>
      </w:r>
      <w:r>
        <w:t xml:space="preserve"> </w:t>
      </w:r>
      <w:r>
        <w:t xml:space="preserve">Szeto 2014, PMID 24117165.</w:t>
      </w:r>
    </w:p>
  </w:footnote>
  <w:footnote w:id="1889">
    <w:p>
      <w:pPr>
        <w:pStyle w:val="FootnoteText"/>
      </w:pPr>
      <w:r>
        <w:rPr>
          <w:rStyle w:val="FootnoteReference"/>
        </w:rPr>
        <w:footnoteRef/>
      </w:r>
      <w:r>
        <w:t xml:space="preserve"> </w:t>
      </w:r>
      <w:r>
        <w:t xml:space="preserve">Sabbah 2016, PMID 26839394.</w:t>
      </w:r>
    </w:p>
  </w:footnote>
  <w:footnote w:id="1890">
    <w:p>
      <w:pPr>
        <w:pStyle w:val="FootnoteText"/>
      </w:pPr>
      <w:r>
        <w:rPr>
          <w:rStyle w:val="FootnoteReference"/>
        </w:rPr>
        <w:footnoteRef/>
      </w:r>
      <w:r>
        <w:t xml:space="preserve"> </w:t>
      </w:r>
      <w:r>
        <w:t xml:space="preserve">Schauer 2026, PMID 41596703.</w:t>
      </w:r>
    </w:p>
  </w:footnote>
  <w:footnote w:id="1892">
    <w:p>
      <w:pPr>
        <w:pStyle w:val="FootnoteText"/>
      </w:pPr>
      <w:r>
        <w:rPr>
          <w:rStyle w:val="FootnoteReference"/>
        </w:rPr>
        <w:footnoteRef/>
      </w:r>
      <w:r>
        <w:t xml:space="preserve"> </w:t>
      </w:r>
      <w:r>
        <w:t xml:space="preserve">Karaa 2020, PMID 32096613.</w:t>
      </w:r>
    </w:p>
  </w:footnote>
  <w:footnote w:id="1893">
    <w:p>
      <w:pPr>
        <w:pStyle w:val="FootnoteText"/>
      </w:pPr>
      <w:r>
        <w:rPr>
          <w:rStyle w:val="FootnoteReference"/>
        </w:rPr>
        <w:footnoteRef/>
      </w:r>
      <w:r>
        <w:t xml:space="preserve"> </w:t>
      </w:r>
      <w:r>
        <w:t xml:space="preserve">Ehlers 2025, PMID 39605874.</w:t>
      </w:r>
    </w:p>
  </w:footnote>
  <w:footnote w:id="1894">
    <w:p>
      <w:pPr>
        <w:pStyle w:val="FootnoteText"/>
      </w:pPr>
      <w:r>
        <w:rPr>
          <w:rStyle w:val="FootnoteReference"/>
        </w:rPr>
        <w:footnoteRef/>
      </w:r>
      <w:r>
        <w:t xml:space="preserve"> </w:t>
      </w:r>
      <w:r>
        <w:t xml:space="preserve">Karaa 2023, PMID 37268435.</w:t>
      </w:r>
    </w:p>
  </w:footnote>
  <w:footnote w:id="1895">
    <w:p>
      <w:pPr>
        <w:pStyle w:val="FootnoteText"/>
      </w:pPr>
      <w:r>
        <w:rPr>
          <w:rStyle w:val="FootnoteReference"/>
        </w:rPr>
        <w:footnoteRef/>
      </w:r>
      <w:r>
        <w:t xml:space="preserve"> </w:t>
      </w:r>
      <w:r>
        <w:t xml:space="preserve">Thompson 2024, PMID 38602181.</w:t>
      </w:r>
    </w:p>
  </w:footnote>
  <w:footnote w:id="1897">
    <w:p>
      <w:pPr>
        <w:pStyle w:val="FootnoteText"/>
      </w:pPr>
      <w:r>
        <w:rPr>
          <w:rStyle w:val="FootnoteReference"/>
        </w:rPr>
        <w:footnoteRef/>
      </w:r>
      <w:r>
        <w:t xml:space="preserve"> </w:t>
      </w:r>
      <w:r>
        <w:t xml:space="preserve">NCT04689360.</w:t>
      </w:r>
    </w:p>
  </w:footnote>
  <w:footnote w:id="1899">
    <w:p>
      <w:pPr>
        <w:pStyle w:val="FootnoteText"/>
      </w:pPr>
      <w:r>
        <w:rPr>
          <w:rStyle w:val="FootnoteReference"/>
        </w:rPr>
        <w:footnoteRef/>
      </w:r>
      <w:r>
        <w:t xml:space="preserve"> </w:t>
      </w:r>
      <w:r>
        <w:t xml:space="preserve">NCT06373731.</w:t>
      </w:r>
    </w:p>
  </w:footnote>
  <w:footnote w:id="1900">
    <w:p>
      <w:pPr>
        <w:pStyle w:val="FootnoteText"/>
      </w:pPr>
      <w:r>
        <w:rPr>
          <w:rStyle w:val="FootnoteReference"/>
        </w:rPr>
        <w:footnoteRef/>
      </w:r>
      <w:r>
        <w:t xml:space="preserve"> </w:t>
      </w:r>
      <w:r>
        <w:t xml:space="preserve">NCT07531251.</w:t>
      </w:r>
    </w:p>
  </w:footnote>
  <w:footnote w:id="1901">
    <w:p>
      <w:pPr>
        <w:pStyle w:val="FootnoteText"/>
      </w:pPr>
      <w:r>
        <w:rPr>
          <w:rStyle w:val="FootnoteReference"/>
        </w:rPr>
        <w:footnoteRef/>
      </w:r>
      <w:r>
        <w:t xml:space="preserve"> </w:t>
      </w:r>
      <w:r>
        <w:t xml:space="preserve">NCT05162768.</w:t>
      </w:r>
    </w:p>
  </w:footnote>
  <w:footnote w:id="1902">
    <w:p>
      <w:pPr>
        <w:pStyle w:val="FootnoteText"/>
      </w:pPr>
      <w:r>
        <w:rPr>
          <w:rStyle w:val="FootnoteReference"/>
        </w:rPr>
        <w:footnoteRef/>
      </w:r>
      <w:r>
        <w:t xml:space="preserve"> </w:t>
      </w:r>
      <w:r>
        <w:t xml:space="preserve">NCT07275424.</w:t>
      </w:r>
    </w:p>
  </w:footnote>
  <w:footnote w:id="1907">
    <w:p>
      <w:pPr>
        <w:pStyle w:val="FootnoteText"/>
      </w:pPr>
      <w:r>
        <w:rPr>
          <w:rStyle w:val="FootnoteReference"/>
        </w:rPr>
        <w:footnoteRef/>
      </w:r>
      <w:r>
        <w:t xml:space="preserve"> </w:t>
      </w:r>
      <w:r>
        <w:t xml:space="preserve">Baar 2017, PMID 28340339.</w:t>
      </w:r>
    </w:p>
  </w:footnote>
  <w:footnote w:id="1908">
    <w:p>
      <w:pPr>
        <w:pStyle w:val="FootnoteText"/>
      </w:pPr>
      <w:r>
        <w:rPr>
          <w:rStyle w:val="FootnoteReference"/>
        </w:rPr>
        <w:footnoteRef/>
      </w:r>
      <w:r>
        <w:t xml:space="preserve"> </w:t>
      </w:r>
      <w:r>
        <w:t xml:space="preserve">Bourgeois 2025, PMID 40593617.</w:t>
      </w:r>
    </w:p>
  </w:footnote>
  <w:footnote w:id="1909">
    <w:p>
      <w:pPr>
        <w:pStyle w:val="FootnoteText"/>
      </w:pPr>
      <w:r>
        <w:rPr>
          <w:rStyle w:val="FootnoteReference"/>
        </w:rPr>
        <w:footnoteRef/>
      </w:r>
      <w:r>
        <w:t xml:space="preserve"> </w:t>
      </w:r>
      <w:r>
        <w:t xml:space="preserve">Justice 2019, PMID 30616998.</w:t>
      </w:r>
    </w:p>
  </w:footnote>
  <w:footnote w:id="1910">
    <w:p>
      <w:pPr>
        <w:pStyle w:val="FootnoteText"/>
      </w:pPr>
      <w:r>
        <w:rPr>
          <w:rStyle w:val="FootnoteReference"/>
        </w:rPr>
        <w:footnoteRef/>
      </w:r>
      <w:r>
        <w:t xml:space="preserve"> </w:t>
      </w:r>
      <w:r>
        <w:t xml:space="preserve">Farr 2024, PMID 38956196.</w:t>
      </w:r>
    </w:p>
  </w:footnote>
  <w:footnote w:id="1913">
    <w:p>
      <w:pPr>
        <w:pStyle w:val="FootnoteText"/>
      </w:pPr>
      <w:r>
        <w:rPr>
          <w:rStyle w:val="FootnoteReference"/>
        </w:rPr>
        <w:footnoteRef/>
      </w:r>
      <w:r>
        <w:t xml:space="preserve"> </w:t>
      </w:r>
      <w:r>
        <w:t xml:space="preserve">Huang 2021, PMID 33996787.</w:t>
      </w:r>
    </w:p>
  </w:footnote>
  <w:footnote w:id="1915">
    <w:p>
      <w:pPr>
        <w:pStyle w:val="FootnoteText"/>
      </w:pPr>
      <w:r>
        <w:rPr>
          <w:rStyle w:val="FootnoteReference"/>
        </w:rPr>
        <w:footnoteRef/>
      </w:r>
      <w:r>
        <w:t xml:space="preserve"> </w:t>
      </w:r>
      <w:r>
        <w:t xml:space="preserve">Baar 2017, PMID 28340339.</w:t>
      </w:r>
    </w:p>
  </w:footnote>
  <w:footnote w:id="1916">
    <w:p>
      <w:pPr>
        <w:pStyle w:val="FootnoteText"/>
      </w:pPr>
      <w:r>
        <w:rPr>
          <w:rStyle w:val="FootnoteReference"/>
        </w:rPr>
        <w:footnoteRef/>
      </w:r>
      <w:r>
        <w:t xml:space="preserve"> </w:t>
      </w:r>
      <w:r>
        <w:t xml:space="preserve">Born 2023, PMID 36515093.</w:t>
      </w:r>
    </w:p>
  </w:footnote>
  <w:footnote w:id="1918">
    <w:p>
      <w:pPr>
        <w:pStyle w:val="FootnoteText"/>
      </w:pPr>
      <w:r>
        <w:rPr>
          <w:rStyle w:val="FootnoteReference"/>
        </w:rPr>
        <w:footnoteRef/>
      </w:r>
      <w:r>
        <w:t xml:space="preserve"> </w:t>
      </w:r>
      <w:r>
        <w:t xml:space="preserve">Born 2023, PMID 36515093.</w:t>
      </w:r>
    </w:p>
  </w:footnote>
  <w:footnote w:id="1919">
    <w:p>
      <w:pPr>
        <w:pStyle w:val="FootnoteText"/>
      </w:pPr>
      <w:r>
        <w:rPr>
          <w:rStyle w:val="FootnoteReference"/>
        </w:rPr>
        <w:footnoteRef/>
      </w:r>
      <w:r>
        <w:t xml:space="preserve"> </w:t>
      </w:r>
      <w:r>
        <w:t xml:space="preserve">Bourgeois 2025, PMID 40593617.</w:t>
      </w:r>
    </w:p>
  </w:footnote>
  <w:footnote w:id="1927">
    <w:p>
      <w:pPr>
        <w:pStyle w:val="FootnoteText"/>
      </w:pPr>
      <w:r>
        <w:rPr>
          <w:rStyle w:val="FootnoteReference"/>
        </w:rPr>
        <w:footnoteRef/>
      </w:r>
      <w:r>
        <w:t xml:space="preserve"> </w:t>
      </w:r>
      <w:r>
        <w:t xml:space="preserve">Allen 2011, PMID 21875351.</w:t>
      </w:r>
    </w:p>
  </w:footnote>
  <w:footnote w:id="1928">
    <w:p>
      <w:pPr>
        <w:pStyle w:val="FootnoteText"/>
      </w:pPr>
      <w:r>
        <w:rPr>
          <w:rStyle w:val="FootnoteReference"/>
        </w:rPr>
        <w:footnoteRef/>
      </w:r>
      <w:r>
        <w:t xml:space="preserve"> </w:t>
      </w:r>
      <w:r>
        <w:t xml:space="preserve">Richie 2015, PMID 24791752.</w:t>
      </w:r>
    </w:p>
  </w:footnote>
  <w:footnote w:id="1929">
    <w:p>
      <w:pPr>
        <w:pStyle w:val="FootnoteText"/>
      </w:pPr>
      <w:r>
        <w:rPr>
          <w:rStyle w:val="FootnoteReference"/>
        </w:rPr>
        <w:footnoteRef/>
      </w:r>
      <w:r>
        <w:t xml:space="preserve"> </w:t>
      </w:r>
      <w:r>
        <w:t xml:space="preserve">Sinha 2018, PMID 28853742.</w:t>
      </w:r>
    </w:p>
  </w:footnote>
  <w:footnote w:id="1931">
    <w:p>
      <w:pPr>
        <w:pStyle w:val="FootnoteText"/>
      </w:pPr>
      <w:r>
        <w:rPr>
          <w:rStyle w:val="FootnoteReference"/>
        </w:rPr>
        <w:footnoteRef/>
      </w:r>
      <w:r>
        <w:t xml:space="preserve"> </w:t>
      </w:r>
      <w:r>
        <w:t xml:space="preserve">Leal 2014, PMID 24619793.</w:t>
      </w:r>
    </w:p>
  </w:footnote>
  <w:footnote w:id="1932">
    <w:p>
      <w:pPr>
        <w:pStyle w:val="FootnoteText"/>
      </w:pPr>
      <w:r>
        <w:rPr>
          <w:rStyle w:val="FootnoteReference"/>
        </w:rPr>
        <w:footnoteRef/>
      </w:r>
      <w:r>
        <w:t xml:space="preserve"> </w:t>
      </w:r>
      <w:r>
        <w:t xml:space="preserve">Hauser 2009, PMID 19230029.</w:t>
      </w:r>
    </w:p>
  </w:footnote>
  <w:footnote w:id="1933">
    <w:p>
      <w:pPr>
        <w:pStyle w:val="FootnoteText"/>
      </w:pPr>
      <w:r>
        <w:rPr>
          <w:rStyle w:val="FootnoteReference"/>
        </w:rPr>
        <w:footnoteRef/>
      </w:r>
      <w:r>
        <w:t xml:space="preserve"> </w:t>
      </w:r>
      <w:r>
        <w:t xml:space="preserve">Mischley 2017, PMID 28436395.</w:t>
      </w:r>
    </w:p>
  </w:footnote>
  <w:footnote w:id="1934">
    <w:p>
      <w:pPr>
        <w:pStyle w:val="FootnoteText"/>
      </w:pPr>
      <w:r>
        <w:rPr>
          <w:rStyle w:val="FootnoteReference"/>
        </w:rPr>
        <w:footnoteRef/>
      </w:r>
      <w:r>
        <w:t xml:space="preserve"> </w:t>
      </w:r>
      <w:r>
        <w:t xml:space="preserve">Bozic 2020, PMID 32960827.</w:t>
      </w:r>
    </w:p>
  </w:footnote>
  <w:footnote w:id="1935">
    <w:p>
      <w:pPr>
        <w:pStyle w:val="FootnoteText"/>
      </w:pPr>
      <w:r>
        <w:rPr>
          <w:rStyle w:val="FootnoteReference"/>
        </w:rPr>
        <w:footnoteRef/>
      </w:r>
      <w:r>
        <w:t xml:space="preserve"> </w:t>
      </w:r>
      <w:r>
        <w:t xml:space="preserve">Søndergård 2021, PMID 33740389.</w:t>
      </w:r>
    </w:p>
  </w:footnote>
  <w:footnote w:id="1936">
    <w:p>
      <w:pPr>
        <w:pStyle w:val="FootnoteText"/>
      </w:pPr>
      <w:r>
        <w:rPr>
          <w:rStyle w:val="FootnoteReference"/>
        </w:rPr>
        <w:footnoteRef/>
      </w:r>
      <w:r>
        <w:t xml:space="preserve"> </w:t>
      </w:r>
      <w:r>
        <w:t xml:space="preserve">Honda 2017, PMID 28789631.</w:t>
      </w:r>
    </w:p>
  </w:footnote>
  <w:footnote w:id="1937">
    <w:p>
      <w:pPr>
        <w:pStyle w:val="FootnoteText"/>
      </w:pPr>
      <w:r>
        <w:rPr>
          <w:rStyle w:val="FootnoteReference"/>
        </w:rPr>
        <w:footnoteRef/>
      </w:r>
      <w:r>
        <w:t xml:space="preserve"> </w:t>
      </w:r>
      <w:r>
        <w:t xml:space="preserve">Arrivi 2023, PMID 36083043.</w:t>
      </w:r>
    </w:p>
  </w:footnote>
  <w:footnote w:id="1939">
    <w:p>
      <w:pPr>
        <w:pStyle w:val="FootnoteText"/>
      </w:pPr>
      <w:r>
        <w:rPr>
          <w:rStyle w:val="FootnoteReference"/>
        </w:rPr>
        <w:footnoteRef/>
      </w:r>
      <w:r>
        <w:t xml:space="preserve"> </w:t>
      </w:r>
      <w:r>
        <w:t xml:space="preserve">Arjinpathana 2012, PMID 20524875.</w:t>
      </w:r>
    </w:p>
  </w:footnote>
  <w:footnote w:id="1940">
    <w:p>
      <w:pPr>
        <w:pStyle w:val="FootnoteText"/>
      </w:pPr>
      <w:r>
        <w:rPr>
          <w:rStyle w:val="FootnoteReference"/>
        </w:rPr>
        <w:footnoteRef/>
      </w:r>
      <w:r>
        <w:t xml:space="preserve"> </w:t>
      </w:r>
      <w:r>
        <w:t xml:space="preserve">Dilokthornsakul 2019, PMID 30895708.</w:t>
      </w:r>
    </w:p>
  </w:footnote>
  <w:footnote w:id="1941">
    <w:p>
      <w:pPr>
        <w:pStyle w:val="FootnoteText"/>
      </w:pPr>
      <w:r>
        <w:rPr>
          <w:rStyle w:val="FootnoteReference"/>
        </w:rPr>
        <w:footnoteRef/>
      </w:r>
      <w:r>
        <w:t xml:space="preserve"> </w:t>
      </w:r>
      <w:r>
        <w:t xml:space="preserve">Sarkar 2025, PMID 39444151.</w:t>
      </w:r>
    </w:p>
  </w:footnote>
  <w:footnote w:id="1942">
    <w:p>
      <w:pPr>
        <w:pStyle w:val="FootnoteText"/>
      </w:pPr>
      <w:r>
        <w:rPr>
          <w:rStyle w:val="FootnoteReference"/>
        </w:rPr>
        <w:footnoteRef/>
      </w:r>
      <w:r>
        <w:t xml:space="preserve"> </w:t>
      </w:r>
      <w:r>
        <w:t xml:space="preserve">Sarkar 2025, PMID 39444151.</w:t>
      </w:r>
    </w:p>
  </w:footnote>
  <w:footnote w:id="1943">
    <w:p>
      <w:pPr>
        <w:pStyle w:val="FootnoteText"/>
      </w:pPr>
      <w:r>
        <w:rPr>
          <w:rStyle w:val="FootnoteReference"/>
        </w:rPr>
        <w:footnoteRef/>
      </w:r>
      <w:r>
        <w:t xml:space="preserve"> </w:t>
      </w:r>
      <w:r>
        <w:t xml:space="preserve">Davids 2016, PMID 27499402.</w:t>
      </w:r>
    </w:p>
  </w:footnote>
  <w:footnote w:id="1944">
    <w:p>
      <w:pPr>
        <w:pStyle w:val="FootnoteText"/>
      </w:pPr>
      <w:r>
        <w:rPr>
          <w:rStyle w:val="FootnoteReference"/>
        </w:rPr>
        <w:footnoteRef/>
      </w:r>
      <w:r>
        <w:t xml:space="preserve"> </w:t>
      </w:r>
      <w:r>
        <w:t xml:space="preserve">Dadzie 2016, PMID 27581922.</w:t>
      </w:r>
    </w:p>
  </w:footnote>
  <w:footnote w:id="1948">
    <w:p>
      <w:pPr>
        <w:pStyle w:val="FootnoteText"/>
      </w:pPr>
      <w:r>
        <w:rPr>
          <w:rStyle w:val="FootnoteReference"/>
        </w:rPr>
        <w:footnoteRef/>
      </w:r>
      <w:r>
        <w:t xml:space="preserve"> </w:t>
      </w:r>
      <w:r>
        <w:t xml:space="preserve">Mischley 2017, PMID 28436395.</w:t>
      </w:r>
    </w:p>
  </w:footnote>
  <w:footnote w:id="1949">
    <w:p>
      <w:pPr>
        <w:pStyle w:val="FootnoteText"/>
      </w:pPr>
      <w:r>
        <w:rPr>
          <w:rStyle w:val="FootnoteReference"/>
        </w:rPr>
        <w:footnoteRef/>
      </w:r>
      <w:r>
        <w:t xml:space="preserve"> </w:t>
      </w:r>
      <w:r>
        <w:t xml:space="preserve">Davids 2016, PMID 27499402.</w:t>
      </w:r>
    </w:p>
  </w:footnote>
  <w:footnote w:id="1950">
    <w:p>
      <w:pPr>
        <w:pStyle w:val="FootnoteText"/>
      </w:pPr>
      <w:r>
        <w:rPr>
          <w:rStyle w:val="FootnoteReference"/>
        </w:rPr>
        <w:footnoteRef/>
      </w:r>
      <w:r>
        <w:t xml:space="preserve"> </w:t>
      </w:r>
      <w:r>
        <w:t xml:space="preserve">Leal 2014, PMID 24619793.</w:t>
      </w:r>
    </w:p>
  </w:footnote>
  <w:footnote w:id="1953">
    <w:p>
      <w:pPr>
        <w:pStyle w:val="FootnoteText"/>
      </w:pPr>
      <w:r>
        <w:rPr>
          <w:rStyle w:val="FootnoteReference"/>
        </w:rPr>
        <w:footnoteRef/>
      </w:r>
      <w:r>
        <w:t xml:space="preserve"> </w:t>
      </w:r>
      <w:r>
        <w:t xml:space="preserve">NCT07448415.</w:t>
      </w:r>
    </w:p>
  </w:footnote>
  <w:footnote w:id="1958">
    <w:p>
      <w:pPr>
        <w:pStyle w:val="FootnoteText"/>
      </w:pPr>
      <w:r>
        <w:rPr>
          <w:rStyle w:val="FootnoteReference"/>
        </w:rPr>
        <w:footnoteRef/>
      </w:r>
      <w:r>
        <w:t xml:space="preserve"> </w:t>
      </w:r>
      <w:r>
        <w:t xml:space="preserve">Hadley 2006, PMID 16412534.</w:t>
      </w:r>
    </w:p>
  </w:footnote>
  <w:footnote w:id="1959">
    <w:p>
      <w:pPr>
        <w:pStyle w:val="FootnoteText"/>
      </w:pPr>
      <w:r>
        <w:rPr>
          <w:rStyle w:val="FootnoteReference"/>
        </w:rPr>
        <w:footnoteRef/>
      </w:r>
      <w:r>
        <w:t xml:space="preserve"> </w:t>
      </w:r>
      <w:r>
        <w:t xml:space="preserve">Hadley 2005, PMID 15996790.</w:t>
      </w:r>
    </w:p>
  </w:footnote>
  <w:footnote w:id="1964">
    <w:p>
      <w:pPr>
        <w:pStyle w:val="FootnoteText"/>
      </w:pPr>
      <w:r>
        <w:rPr>
          <w:rStyle w:val="FootnoteReference"/>
        </w:rPr>
        <w:footnoteRef/>
      </w:r>
      <w:r>
        <w:t xml:space="preserve"> </w:t>
      </w:r>
      <w:r>
        <w:t xml:space="preserve">Hadley 2006, PMID 16412534.</w:t>
      </w:r>
    </w:p>
  </w:footnote>
  <w:footnote w:id="1965">
    <w:p>
      <w:pPr>
        <w:pStyle w:val="FootnoteText"/>
      </w:pPr>
      <w:r>
        <w:rPr>
          <w:rStyle w:val="FootnoteReference"/>
        </w:rPr>
        <w:footnoteRef/>
      </w:r>
      <w:r>
        <w:t xml:space="preserve"> </w:t>
      </w:r>
      <w:r>
        <w:t xml:space="preserve">Dhillon 2019, PMID 31429064.</w:t>
      </w:r>
    </w:p>
  </w:footnote>
  <w:footnote w:id="1967">
    <w:p>
      <w:pPr>
        <w:pStyle w:val="FootnoteText"/>
      </w:pPr>
      <w:r>
        <w:rPr>
          <w:rStyle w:val="FootnoteReference"/>
        </w:rPr>
        <w:footnoteRef/>
      </w:r>
      <w:r>
        <w:t xml:space="preserve"> </w:t>
      </w:r>
      <w:r>
        <w:t xml:space="preserve">Hadley 2005, PMID 15996790.</w:t>
      </w:r>
    </w:p>
  </w:footnote>
  <w:footnote w:id="1968">
    <w:p>
      <w:pPr>
        <w:pStyle w:val="FootnoteText"/>
      </w:pPr>
      <w:r>
        <w:rPr>
          <w:rStyle w:val="FootnoteReference"/>
        </w:rPr>
        <w:footnoteRef/>
      </w:r>
      <w:r>
        <w:t xml:space="preserve"> </w:t>
      </w:r>
      <w:r>
        <w:t xml:space="preserve">Pfaus 2022, PMID 33455598.</w:t>
      </w:r>
    </w:p>
  </w:footnote>
  <w:footnote w:id="1969">
    <w:p>
      <w:pPr>
        <w:pStyle w:val="FootnoteText"/>
      </w:pPr>
      <w:r>
        <w:rPr>
          <w:rStyle w:val="FootnoteReference"/>
        </w:rPr>
        <w:footnoteRef/>
      </w:r>
      <w:r>
        <w:t xml:space="preserve"> </w:t>
      </w:r>
      <w:r>
        <w:t xml:space="preserve">Pfaus 2022, PMID 33455598.</w:t>
      </w:r>
    </w:p>
  </w:footnote>
  <w:footnote w:id="1970">
    <w:p>
      <w:pPr>
        <w:pStyle w:val="FootnoteText"/>
      </w:pPr>
      <w:r>
        <w:rPr>
          <w:rStyle w:val="FootnoteReference"/>
        </w:rPr>
        <w:footnoteRef/>
      </w:r>
      <w:r>
        <w:t xml:space="preserve"> </w:t>
      </w:r>
      <w:r>
        <w:t xml:space="preserve">Thurston 2022, PMID 36189794.</w:t>
      </w:r>
    </w:p>
  </w:footnote>
  <w:footnote w:id="1972">
    <w:p>
      <w:pPr>
        <w:pStyle w:val="FootnoteText"/>
      </w:pPr>
      <w:r>
        <w:rPr>
          <w:rStyle w:val="FootnoteReference"/>
        </w:rPr>
        <w:footnoteRef/>
      </w:r>
      <w:r>
        <w:t xml:space="preserve"> </w:t>
      </w:r>
      <w:r>
        <w:t xml:space="preserve">Diamond 2004, PMID 14963471.</w:t>
      </w:r>
    </w:p>
  </w:footnote>
  <w:footnote w:id="1973">
    <w:p>
      <w:pPr>
        <w:pStyle w:val="FootnoteText"/>
      </w:pPr>
      <w:r>
        <w:rPr>
          <w:rStyle w:val="FootnoteReference"/>
        </w:rPr>
        <w:footnoteRef/>
      </w:r>
      <w:r>
        <w:t xml:space="preserve"> </w:t>
      </w:r>
      <w:r>
        <w:t xml:space="preserve">Rosen 2004, PMID 14999221.</w:t>
      </w:r>
    </w:p>
  </w:footnote>
  <w:footnote w:id="1974">
    <w:p>
      <w:pPr>
        <w:pStyle w:val="FootnoteText"/>
      </w:pPr>
      <w:r>
        <w:rPr>
          <w:rStyle w:val="FootnoteReference"/>
        </w:rPr>
        <w:footnoteRef/>
      </w:r>
      <w:r>
        <w:t xml:space="preserve"> </w:t>
      </w:r>
      <w:r>
        <w:t xml:space="preserve">Diamond 2005, PMID 15833522.</w:t>
      </w:r>
    </w:p>
  </w:footnote>
  <w:footnote w:id="1975">
    <w:p>
      <w:pPr>
        <w:pStyle w:val="FootnoteText"/>
      </w:pPr>
      <w:r>
        <w:rPr>
          <w:rStyle w:val="FootnoteReference"/>
        </w:rPr>
        <w:footnoteRef/>
      </w:r>
      <w:r>
        <w:t xml:space="preserve"> </w:t>
      </w:r>
      <w:r>
        <w:t xml:space="preserve">Safarinejad 2008, PMID 18206919.</w:t>
      </w:r>
    </w:p>
  </w:footnote>
  <w:footnote w:id="1976">
    <w:p>
      <w:pPr>
        <w:pStyle w:val="FootnoteText"/>
      </w:pPr>
      <w:r>
        <w:rPr>
          <w:rStyle w:val="FootnoteReference"/>
        </w:rPr>
        <w:footnoteRef/>
      </w:r>
      <w:r>
        <w:t xml:space="preserve"> </w:t>
      </w:r>
      <w:r>
        <w:t xml:space="preserve">Safarinejad 2008, PMID 18179455.</w:t>
      </w:r>
    </w:p>
  </w:footnote>
  <w:footnote w:id="1978">
    <w:p>
      <w:pPr>
        <w:pStyle w:val="FootnoteText"/>
      </w:pPr>
      <w:r>
        <w:rPr>
          <w:rStyle w:val="FootnoteReference"/>
        </w:rPr>
        <w:footnoteRef/>
      </w:r>
      <w:r>
        <w:t xml:space="preserve"> </w:t>
      </w:r>
      <w:r>
        <w:t xml:space="preserve">Diamond 2006, PMID 16839319.</w:t>
      </w:r>
    </w:p>
  </w:footnote>
  <w:footnote w:id="1979">
    <w:p>
      <w:pPr>
        <w:pStyle w:val="FootnoteText"/>
      </w:pPr>
      <w:r>
        <w:rPr>
          <w:rStyle w:val="FootnoteReference"/>
        </w:rPr>
        <w:footnoteRef/>
      </w:r>
      <w:r>
        <w:t xml:space="preserve"> </w:t>
      </w:r>
      <w:r>
        <w:t xml:space="preserve">Clayton 2016, PMID 27181790; NCT01382719.</w:t>
      </w:r>
    </w:p>
  </w:footnote>
  <w:footnote w:id="1980">
    <w:p>
      <w:pPr>
        <w:pStyle w:val="FootnoteText"/>
      </w:pPr>
      <w:r>
        <w:rPr>
          <w:rStyle w:val="FootnoteReference"/>
        </w:rPr>
        <w:footnoteRef/>
      </w:r>
      <w:r>
        <w:t xml:space="preserve"> </w:t>
      </w:r>
      <w:r>
        <w:t xml:space="preserve">Althof 2019, PMID 31277966.</w:t>
      </w:r>
    </w:p>
  </w:footnote>
  <w:footnote w:id="1982">
    <w:p>
      <w:pPr>
        <w:pStyle w:val="FootnoteText"/>
      </w:pPr>
      <w:r>
        <w:rPr>
          <w:rStyle w:val="FootnoteReference"/>
        </w:rPr>
        <w:footnoteRef/>
      </w:r>
      <w:r>
        <w:t xml:space="preserve"> </w:t>
      </w:r>
      <w:r>
        <w:t xml:space="preserve">NCT02333071, NCT02338960.</w:t>
      </w:r>
    </w:p>
  </w:footnote>
  <w:footnote w:id="1983">
    <w:p>
      <w:pPr>
        <w:pStyle w:val="FootnoteText"/>
      </w:pPr>
      <w:r>
        <w:rPr>
          <w:rStyle w:val="FootnoteReference"/>
        </w:rPr>
        <w:footnoteRef/>
      </w:r>
      <w:r>
        <w:t xml:space="preserve"> </w:t>
      </w:r>
      <w:r>
        <w:t xml:space="preserve">Kingsberg 2019, PMID 31599840.</w:t>
      </w:r>
    </w:p>
  </w:footnote>
  <w:footnote w:id="1984">
    <w:p>
      <w:pPr>
        <w:pStyle w:val="FootnoteText"/>
      </w:pPr>
      <w:r>
        <w:rPr>
          <w:rStyle w:val="FootnoteReference"/>
        </w:rPr>
        <w:footnoteRef/>
      </w:r>
      <w:r>
        <w:t xml:space="preserve"> </w:t>
      </w:r>
      <w:r>
        <w:t xml:space="preserve">Koochaki 2021, PMID 33538638.</w:t>
      </w:r>
    </w:p>
  </w:footnote>
  <w:footnote w:id="1986">
    <w:p>
      <w:pPr>
        <w:pStyle w:val="FootnoteText"/>
      </w:pPr>
      <w:r>
        <w:rPr>
          <w:rStyle w:val="FootnoteReference"/>
        </w:rPr>
        <w:footnoteRef/>
      </w:r>
      <w:r>
        <w:t xml:space="preserve"> </w:t>
      </w:r>
      <w:r>
        <w:t xml:space="preserve">Spielmans 2021, PMID 33678061.</w:t>
      </w:r>
    </w:p>
  </w:footnote>
  <w:footnote w:id="1987">
    <w:p>
      <w:pPr>
        <w:pStyle w:val="FootnoteText"/>
      </w:pPr>
      <w:r>
        <w:rPr>
          <w:rStyle w:val="FootnoteReference"/>
        </w:rPr>
        <w:footnoteRef/>
      </w:r>
      <w:r>
        <w:t xml:space="preserve"> </w:t>
      </w:r>
      <w:r>
        <w:t xml:space="preserve">Clayton 2022, PMID 35147466.</w:t>
      </w:r>
    </w:p>
  </w:footnote>
  <w:footnote w:id="1989">
    <w:p>
      <w:pPr>
        <w:pStyle w:val="FootnoteText"/>
      </w:pPr>
      <w:r>
        <w:rPr>
          <w:rStyle w:val="FootnoteReference"/>
        </w:rPr>
        <w:footnoteRef/>
      </w:r>
      <w:r>
        <w:t xml:space="preserve"> </w:t>
      </w:r>
      <w:r>
        <w:t xml:space="preserve">Weinberger 2018, PMID 29995725.</w:t>
      </w:r>
    </w:p>
  </w:footnote>
  <w:footnote w:id="1990">
    <w:p>
      <w:pPr>
        <w:pStyle w:val="FootnoteText"/>
      </w:pPr>
      <w:r>
        <w:rPr>
          <w:rStyle w:val="FootnoteReference"/>
        </w:rPr>
        <w:footnoteRef/>
      </w:r>
      <w:r>
        <w:t xml:space="preserve"> </w:t>
      </w:r>
      <w:r>
        <w:t xml:space="preserve">Toledo 2026, PMID 40543759.</w:t>
      </w:r>
    </w:p>
  </w:footnote>
  <w:footnote w:id="1991">
    <w:p>
      <w:pPr>
        <w:pStyle w:val="FootnoteText"/>
      </w:pPr>
      <w:r>
        <w:rPr>
          <w:rStyle w:val="FootnoteReference"/>
        </w:rPr>
        <w:footnoteRef/>
      </w:r>
      <w:r>
        <w:t xml:space="preserve"> </w:t>
      </w:r>
      <w:r>
        <w:t xml:space="preserve">Ashour 2026, PMID 42254382.</w:t>
      </w:r>
    </w:p>
  </w:footnote>
  <w:footnote w:id="1993">
    <w:p>
      <w:pPr>
        <w:pStyle w:val="FootnoteText"/>
      </w:pPr>
      <w:r>
        <w:rPr>
          <w:rStyle w:val="FootnoteReference"/>
        </w:rPr>
        <w:footnoteRef/>
      </w:r>
      <w:r>
        <w:t xml:space="preserve"> </w:t>
      </w:r>
      <w:r>
        <w:t xml:space="preserve">Clayton 2017, PMID 28189361.</w:t>
      </w:r>
    </w:p>
  </w:footnote>
  <w:footnote w:id="1994">
    <w:p>
      <w:pPr>
        <w:pStyle w:val="FootnoteText"/>
      </w:pPr>
      <w:r>
        <w:rPr>
          <w:rStyle w:val="FootnoteReference"/>
        </w:rPr>
        <w:footnoteRef/>
      </w:r>
      <w:r>
        <w:t xml:space="preserve"> </w:t>
      </w:r>
      <w:r>
        <w:t xml:space="preserve">Spana 2022, PMID 35170192.</w:t>
      </w:r>
    </w:p>
  </w:footnote>
  <w:footnote w:id="1995">
    <w:p>
      <w:pPr>
        <w:pStyle w:val="FootnoteText"/>
      </w:pPr>
      <w:r>
        <w:rPr>
          <w:rStyle w:val="FootnoteReference"/>
        </w:rPr>
        <w:footnoteRef/>
      </w:r>
      <w:r>
        <w:t xml:space="preserve"> </w:t>
      </w:r>
      <w:r>
        <w:t xml:space="preserve">Thurston 2022, PMID 36189794; NCT04179734.</w:t>
      </w:r>
    </w:p>
  </w:footnote>
  <w:footnote w:id="1998">
    <w:p>
      <w:pPr>
        <w:pStyle w:val="FootnoteText"/>
      </w:pPr>
      <w:r>
        <w:rPr>
          <w:rStyle w:val="FootnoteReference"/>
        </w:rPr>
        <w:footnoteRef/>
      </w:r>
      <w:r>
        <w:t xml:space="preserve"> </w:t>
      </w:r>
      <w:r>
        <w:t xml:space="preserve">Pfaus 2022, PMID 33455598.</w:t>
      </w:r>
    </w:p>
  </w:footnote>
  <w:footnote w:id="1999">
    <w:p>
      <w:pPr>
        <w:pStyle w:val="FootnoteText"/>
      </w:pPr>
      <w:r>
        <w:rPr>
          <w:rStyle w:val="FootnoteReference"/>
        </w:rPr>
        <w:footnoteRef/>
      </w:r>
      <w:r>
        <w:t xml:space="preserve"> </w:t>
      </w:r>
      <w:r>
        <w:t xml:space="preserve">Borland 2025, PMID 39793696.</w:t>
      </w:r>
    </w:p>
  </w:footnote>
  <w:footnote w:id="2000">
    <w:p>
      <w:pPr>
        <w:pStyle w:val="FootnoteText"/>
      </w:pPr>
      <w:r>
        <w:rPr>
          <w:rStyle w:val="FootnoteReference"/>
        </w:rPr>
        <w:footnoteRef/>
      </w:r>
      <w:r>
        <w:t xml:space="preserve"> </w:t>
      </w:r>
      <w:r>
        <w:t xml:space="preserve">Suzuki 2024, PMID 39197897.</w:t>
      </w:r>
    </w:p>
  </w:footnote>
  <w:footnote w:id="2002">
    <w:p>
      <w:pPr>
        <w:pStyle w:val="FootnoteText"/>
      </w:pPr>
      <w:r>
        <w:rPr>
          <w:rStyle w:val="FootnoteReference"/>
        </w:rPr>
        <w:footnoteRef/>
      </w:r>
      <w:r>
        <w:t xml:space="preserve"> </w:t>
      </w:r>
      <w:r>
        <w:t xml:space="preserve">Clayton 2022, PMID 35147466.</w:t>
      </w:r>
    </w:p>
  </w:footnote>
  <w:footnote w:id="2003">
    <w:p>
      <w:pPr>
        <w:pStyle w:val="FootnoteText"/>
      </w:pPr>
      <w:r>
        <w:rPr>
          <w:rStyle w:val="FootnoteReference"/>
        </w:rPr>
        <w:footnoteRef/>
      </w:r>
      <w:r>
        <w:t xml:space="preserve"> </w:t>
      </w:r>
      <w:r>
        <w:t xml:space="preserve">NCT03973047.</w:t>
      </w:r>
    </w:p>
  </w:footnote>
  <w:footnote w:id="2004">
    <w:p>
      <w:pPr>
        <w:pStyle w:val="FootnoteText"/>
      </w:pPr>
      <w:r>
        <w:rPr>
          <w:rStyle w:val="FootnoteReference"/>
        </w:rPr>
        <w:footnoteRef/>
      </w:r>
      <w:r>
        <w:t xml:space="preserve"> </w:t>
      </w:r>
      <w:r>
        <w:t xml:space="preserve">White 2017, PMID 27977473.</w:t>
      </w:r>
    </w:p>
  </w:footnote>
  <w:footnote w:id="2005">
    <w:p>
      <w:pPr>
        <w:pStyle w:val="FootnoteText"/>
      </w:pPr>
      <w:r>
        <w:rPr>
          <w:rStyle w:val="FootnoteReference"/>
        </w:rPr>
        <w:footnoteRef/>
      </w:r>
      <w:r>
        <w:t xml:space="preserve"> </w:t>
      </w:r>
      <w:r>
        <w:t xml:space="preserve">Clayton 2022, PMID 35147466.</w:t>
      </w:r>
    </w:p>
  </w:footnote>
  <w:footnote w:id="2006">
    <w:p>
      <w:pPr>
        <w:pStyle w:val="FootnoteText"/>
      </w:pPr>
      <w:r>
        <w:rPr>
          <w:rStyle w:val="FootnoteReference"/>
        </w:rPr>
        <w:footnoteRef/>
      </w:r>
      <w:r>
        <w:t xml:space="preserve"> </w:t>
      </w:r>
      <w:r>
        <w:t xml:space="preserve">Clayton 2022, PMID 35147466.</w:t>
      </w:r>
    </w:p>
  </w:footnote>
  <w:footnote w:id="2008">
    <w:p>
      <w:pPr>
        <w:pStyle w:val="FootnoteText"/>
      </w:pPr>
      <w:r>
        <w:rPr>
          <w:rStyle w:val="FootnoteReference"/>
        </w:rPr>
        <w:footnoteRef/>
      </w:r>
      <w:r>
        <w:t xml:space="preserve"> </w:t>
      </w:r>
      <w:r>
        <w:t xml:space="preserve">NCT06867835.</w:t>
      </w:r>
    </w:p>
  </w:footnote>
  <w:footnote w:id="2010">
    <w:p>
      <w:pPr>
        <w:pStyle w:val="FootnoteText"/>
      </w:pPr>
      <w:r>
        <w:rPr>
          <w:rStyle w:val="FootnoteReference"/>
        </w:rPr>
        <w:footnoteRef/>
      </w:r>
      <w:r>
        <w:t xml:space="preserve"> </w:t>
      </w:r>
      <w:r>
        <w:t xml:space="preserve">Mestria 2021, PMID 33245851.</w:t>
      </w:r>
    </w:p>
  </w:footnote>
  <w:footnote w:id="2013">
    <w:p>
      <w:pPr>
        <w:pStyle w:val="FootnoteText"/>
      </w:pPr>
      <w:r>
        <w:rPr>
          <w:rStyle w:val="FootnoteReference"/>
        </w:rPr>
        <w:footnoteRef/>
      </w:r>
      <w:r>
        <w:t xml:space="preserve"> </w:t>
      </w:r>
      <w:r>
        <w:t xml:space="preserve">NCT04943068.</w:t>
      </w:r>
    </w:p>
  </w:footnote>
  <w:footnote w:id="2015">
    <w:p>
      <w:pPr>
        <w:pStyle w:val="FootnoteText"/>
      </w:pPr>
      <w:r>
        <w:rPr>
          <w:rStyle w:val="FootnoteReference"/>
        </w:rPr>
        <w:footnoteRef/>
      </w:r>
      <w:r>
        <w:t xml:space="preserve"> </w:t>
      </w:r>
      <w:r>
        <w:t xml:space="preserve">NCT06565611.</w:t>
      </w:r>
    </w:p>
  </w:footnote>
  <w:footnote w:id="2016">
    <w:p>
      <w:pPr>
        <w:pStyle w:val="FootnoteText"/>
      </w:pPr>
      <w:r>
        <w:rPr>
          <w:rStyle w:val="FootnoteReference"/>
        </w:rPr>
        <w:footnoteRef/>
      </w:r>
      <w:r>
        <w:t xml:space="preserve"> </w:t>
      </w:r>
      <w:r>
        <w:t xml:space="preserve">NCT05709444.</w:t>
      </w:r>
    </w:p>
  </w:footnote>
  <w:footnote w:id="2017">
    <w:p>
      <w:pPr>
        <w:pStyle w:val="FootnoteText"/>
      </w:pPr>
      <w:r>
        <w:rPr>
          <w:rStyle w:val="FootnoteReference"/>
        </w:rPr>
        <w:footnoteRef/>
      </w:r>
      <w:r>
        <w:t xml:space="preserve"> </w:t>
      </w:r>
      <w:r>
        <w:t xml:space="preserve">NCT06867835.</w:t>
      </w:r>
    </w:p>
  </w:footnote>
  <w:footnote w:id="2021">
    <w:p>
      <w:pPr>
        <w:pStyle w:val="FootnoteText"/>
      </w:pPr>
      <w:r>
        <w:rPr>
          <w:rStyle w:val="FootnoteReference"/>
        </w:rPr>
        <w:footnoteRef/>
      </w:r>
      <w:r>
        <w:t xml:space="preserve"> </w:t>
      </w:r>
      <w:r>
        <w:t xml:space="preserve">Dorr 1996, PMID 8637402.</w:t>
      </w:r>
    </w:p>
  </w:footnote>
  <w:footnote w:id="2022">
    <w:p>
      <w:pPr>
        <w:pStyle w:val="FootnoteText"/>
      </w:pPr>
      <w:r>
        <w:rPr>
          <w:rStyle w:val="FootnoteReference"/>
        </w:rPr>
        <w:footnoteRef/>
      </w:r>
      <w:r>
        <w:t xml:space="preserve"> </w:t>
      </w:r>
      <w:r>
        <w:t xml:space="preserve">Hadley 2006, PMID 16412534.</w:t>
      </w:r>
    </w:p>
  </w:footnote>
  <w:footnote w:id="2024">
    <w:p>
      <w:pPr>
        <w:pStyle w:val="FootnoteText"/>
      </w:pPr>
      <w:r>
        <w:rPr>
          <w:rStyle w:val="FootnoteReference"/>
        </w:rPr>
        <w:footnoteRef/>
      </w:r>
      <w:r>
        <w:t xml:space="preserve"> </w:t>
      </w:r>
      <w:r>
        <w:t xml:space="preserve">Langan 2011, PMID 21547334.</w:t>
      </w:r>
    </w:p>
  </w:footnote>
  <w:footnote w:id="2026">
    <w:p>
      <w:pPr>
        <w:pStyle w:val="FootnoteText"/>
      </w:pPr>
      <w:r>
        <w:rPr>
          <w:rStyle w:val="FootnoteReference"/>
        </w:rPr>
        <w:footnoteRef/>
      </w:r>
      <w:r>
        <w:t xml:space="preserve"> </w:t>
      </w:r>
      <w:r>
        <w:t xml:space="preserve">Dorr 1996, PMID 8637402.</w:t>
      </w:r>
    </w:p>
  </w:footnote>
  <w:footnote w:id="2027">
    <w:p>
      <w:pPr>
        <w:pStyle w:val="FootnoteText"/>
      </w:pPr>
      <w:r>
        <w:rPr>
          <w:rStyle w:val="FootnoteReference"/>
        </w:rPr>
        <w:footnoteRef/>
      </w:r>
      <w:r>
        <w:t xml:space="preserve"> </w:t>
      </w:r>
      <w:r>
        <w:t xml:space="preserve">Wessells 1998, PMID 9679884; Wessells 2000, PMID 11018622.</w:t>
      </w:r>
    </w:p>
  </w:footnote>
  <w:footnote w:id="2028">
    <w:p>
      <w:pPr>
        <w:pStyle w:val="FootnoteText"/>
      </w:pPr>
      <w:r>
        <w:rPr>
          <w:rStyle w:val="FootnoteReference"/>
        </w:rPr>
        <w:footnoteRef/>
      </w:r>
      <w:r>
        <w:t xml:space="preserve"> </w:t>
      </w:r>
      <w:r>
        <w:t xml:space="preserve">Wessells 2000, PMID 11035391.</w:t>
      </w:r>
    </w:p>
  </w:footnote>
  <w:footnote w:id="2030">
    <w:p>
      <w:pPr>
        <w:pStyle w:val="FootnoteText"/>
      </w:pPr>
      <w:r>
        <w:rPr>
          <w:rStyle w:val="FootnoteReference"/>
        </w:rPr>
        <w:footnoteRef/>
      </w:r>
      <w:r>
        <w:t xml:space="preserve"> </w:t>
      </w:r>
      <w:r>
        <w:t xml:space="preserve">Dorr 2000, PMID 11045725.</w:t>
      </w:r>
    </w:p>
  </w:footnote>
  <w:footnote w:id="2031">
    <w:p>
      <w:pPr>
        <w:pStyle w:val="FootnoteText"/>
      </w:pPr>
      <w:r>
        <w:rPr>
          <w:rStyle w:val="FootnoteReference"/>
        </w:rPr>
        <w:footnoteRef/>
      </w:r>
      <w:r>
        <w:t xml:space="preserve"> </w:t>
      </w:r>
      <w:r>
        <w:t xml:space="preserve">Dorr 2004, PMID 15262693.</w:t>
      </w:r>
    </w:p>
  </w:footnote>
  <w:footnote w:id="2033">
    <w:p>
      <w:pPr>
        <w:pStyle w:val="FootnoteText"/>
      </w:pPr>
      <w:r>
        <w:rPr>
          <w:rStyle w:val="FootnoteReference"/>
        </w:rPr>
        <w:footnoteRef/>
      </w:r>
      <w:r>
        <w:t xml:space="preserve"> </w:t>
      </w:r>
      <w:r>
        <w:t xml:space="preserve">Evans-Brown 2009, PMID 19224885.</w:t>
      </w:r>
    </w:p>
  </w:footnote>
  <w:footnote w:id="2034">
    <w:p>
      <w:pPr>
        <w:pStyle w:val="FootnoteText"/>
      </w:pPr>
      <w:r>
        <w:rPr>
          <w:rStyle w:val="FootnoteReference"/>
        </w:rPr>
        <w:footnoteRef/>
      </w:r>
      <w:r>
        <w:t xml:space="preserve"> </w:t>
      </w:r>
      <w:r>
        <w:t xml:space="preserve">Brennan 2017, PMID 26806443.</w:t>
      </w:r>
    </w:p>
  </w:footnote>
  <w:footnote w:id="2035">
    <w:p>
      <w:pPr>
        <w:pStyle w:val="FootnoteText"/>
      </w:pPr>
      <w:r>
        <w:rPr>
          <w:rStyle w:val="FootnoteReference"/>
        </w:rPr>
        <w:footnoteRef/>
      </w:r>
      <w:r>
        <w:t xml:space="preserve"> </w:t>
      </w:r>
      <w:r>
        <w:t xml:space="preserve">Gilhooley 2021, PMID 34464955.</w:t>
      </w:r>
    </w:p>
  </w:footnote>
  <w:footnote w:id="2036">
    <w:p>
      <w:pPr>
        <w:pStyle w:val="FootnoteText"/>
      </w:pPr>
      <w:r>
        <w:rPr>
          <w:rStyle w:val="FootnoteReference"/>
        </w:rPr>
        <w:footnoteRef/>
      </w:r>
      <w:r>
        <w:t xml:space="preserve"> </w:t>
      </w:r>
      <w:r>
        <w:t xml:space="preserve">Callaghan 2018, PMID 30142729.</w:t>
      </w:r>
    </w:p>
  </w:footnote>
  <w:footnote w:id="2037">
    <w:p>
      <w:pPr>
        <w:pStyle w:val="FootnoteText"/>
      </w:pPr>
      <w:r>
        <w:rPr>
          <w:rStyle w:val="FootnoteReference"/>
        </w:rPr>
        <w:footnoteRef/>
      </w:r>
      <w:r>
        <w:t xml:space="preserve"> </w:t>
      </w:r>
      <w:r>
        <w:t xml:space="preserve">Orr 2025, PMID 38808957; Herlihy 2025, PMID 39148422; Sidhu 2026, PMID 41559011.</w:t>
      </w:r>
    </w:p>
  </w:footnote>
  <w:footnote w:id="2040">
    <w:p>
      <w:pPr>
        <w:pStyle w:val="FootnoteText"/>
      </w:pPr>
      <w:r>
        <w:rPr>
          <w:rStyle w:val="FootnoteReference"/>
        </w:rPr>
        <w:footnoteRef/>
      </w:r>
      <w:r>
        <w:t xml:space="preserve"> </w:t>
      </w:r>
      <w:r>
        <w:t xml:space="preserve">Strader 2007, PMID 17567964.</w:t>
      </w:r>
    </w:p>
  </w:footnote>
  <w:footnote w:id="2041">
    <w:p>
      <w:pPr>
        <w:pStyle w:val="FootnoteText"/>
      </w:pPr>
      <w:r>
        <w:rPr>
          <w:rStyle w:val="FootnoteReference"/>
        </w:rPr>
        <w:footnoteRef/>
      </w:r>
      <w:r>
        <w:t xml:space="preserve"> </w:t>
      </w:r>
      <w:r>
        <w:t xml:space="preserve">Jain 2018, PMID 29812984.</w:t>
      </w:r>
    </w:p>
  </w:footnote>
  <w:footnote w:id="2042">
    <w:p>
      <w:pPr>
        <w:pStyle w:val="FootnoteText"/>
      </w:pPr>
      <w:r>
        <w:rPr>
          <w:rStyle w:val="FootnoteReference"/>
        </w:rPr>
        <w:footnoteRef/>
      </w:r>
      <w:r>
        <w:t xml:space="preserve"> </w:t>
      </w:r>
      <w:r>
        <w:t xml:space="preserve">Minakova 2019, PMID 30629642.</w:t>
      </w:r>
    </w:p>
  </w:footnote>
  <w:footnote w:id="2044">
    <w:p>
      <w:pPr>
        <w:pStyle w:val="FootnoteText"/>
      </w:pPr>
      <w:r>
        <w:rPr>
          <w:rStyle w:val="FootnoteReference"/>
        </w:rPr>
        <w:footnoteRef/>
      </w:r>
      <w:r>
        <w:t xml:space="preserve"> </w:t>
      </w:r>
      <w:r>
        <w:t xml:space="preserve">Dorr 1996, PMID 8637402; Wessells 2000, PMID 11035391.</w:t>
      </w:r>
    </w:p>
  </w:footnote>
  <w:footnote w:id="2045">
    <w:p>
      <w:pPr>
        <w:pStyle w:val="FootnoteText"/>
      </w:pPr>
      <w:r>
        <w:rPr>
          <w:rStyle w:val="FootnoteReference"/>
        </w:rPr>
        <w:footnoteRef/>
      </w:r>
      <w:r>
        <w:t xml:space="preserve"> </w:t>
      </w:r>
      <w:r>
        <w:t xml:space="preserve">Paurobally 2013, PMID 22182016.</w:t>
      </w:r>
    </w:p>
  </w:footnote>
  <w:footnote w:id="2046">
    <w:p>
      <w:pPr>
        <w:pStyle w:val="FootnoteText"/>
      </w:pPr>
      <w:r>
        <w:rPr>
          <w:rStyle w:val="FootnoteReference"/>
        </w:rPr>
        <w:footnoteRef/>
      </w:r>
      <w:r>
        <w:t xml:space="preserve"> </w:t>
      </w:r>
      <w:r>
        <w:t xml:space="preserve">Bonchev 2026, PMID 41752902.</w:t>
      </w:r>
    </w:p>
  </w:footnote>
  <w:footnote w:id="2047">
    <w:p>
      <w:pPr>
        <w:pStyle w:val="FootnoteText"/>
      </w:pPr>
      <w:r>
        <w:rPr>
          <w:rStyle w:val="FootnoteReference"/>
        </w:rPr>
        <w:footnoteRef/>
      </w:r>
      <w:r>
        <w:t xml:space="preserve"> </w:t>
      </w:r>
      <w:r>
        <w:t xml:space="preserve">Ume 2026, PMID 42212476.</w:t>
      </w:r>
    </w:p>
  </w:footnote>
  <w:footnote w:id="2049">
    <w:p>
      <w:pPr>
        <w:pStyle w:val="FootnoteText"/>
      </w:pPr>
      <w:r>
        <w:rPr>
          <w:rStyle w:val="FootnoteReference"/>
        </w:rPr>
        <w:footnoteRef/>
      </w:r>
      <w:r>
        <w:t xml:space="preserve"> </w:t>
      </w:r>
      <w:r>
        <w:t xml:space="preserve">Cousen 2009, PMID 19575725; Thestrup-Pedersen 2011, PMID 21453640.</w:t>
      </w:r>
    </w:p>
  </w:footnote>
  <w:footnote w:id="2050">
    <w:p>
      <w:pPr>
        <w:pStyle w:val="FootnoteText"/>
      </w:pPr>
      <w:r>
        <w:rPr>
          <w:rStyle w:val="FootnoteReference"/>
        </w:rPr>
        <w:footnoteRef/>
      </w:r>
      <w:r>
        <w:t xml:space="preserve"> </w:t>
      </w:r>
      <w:r>
        <w:t xml:space="preserve">Reid 2013, PMID 23914578.</w:t>
      </w:r>
    </w:p>
  </w:footnote>
  <w:footnote w:id="2051">
    <w:p>
      <w:pPr>
        <w:pStyle w:val="FootnoteText"/>
      </w:pPr>
      <w:r>
        <w:rPr>
          <w:rStyle w:val="FootnoteReference"/>
        </w:rPr>
        <w:footnoteRef/>
      </w:r>
      <w:r>
        <w:t xml:space="preserve"> </w:t>
      </w:r>
      <w:r>
        <w:t xml:space="preserve">Paurobally 2011, PMID 21564053; Ong 2012, PMID 22724573.</w:t>
      </w:r>
    </w:p>
  </w:footnote>
  <w:footnote w:id="2052">
    <w:p>
      <w:pPr>
        <w:pStyle w:val="FootnoteText"/>
      </w:pPr>
      <w:r>
        <w:rPr>
          <w:rStyle w:val="FootnoteReference"/>
        </w:rPr>
        <w:footnoteRef/>
      </w:r>
      <w:r>
        <w:t xml:space="preserve"> </w:t>
      </w:r>
      <w:r>
        <w:t xml:space="preserve">Hjuler 2014, PMID 24355990.</w:t>
      </w:r>
    </w:p>
  </w:footnote>
  <w:footnote w:id="2053">
    <w:p>
      <w:pPr>
        <w:pStyle w:val="FootnoteText"/>
      </w:pPr>
      <w:r>
        <w:rPr>
          <w:rStyle w:val="FootnoteReference"/>
        </w:rPr>
        <w:footnoteRef/>
      </w:r>
      <w:r>
        <w:t xml:space="preserve"> </w:t>
      </w:r>
      <w:r>
        <w:t xml:space="preserve">Yassin Alsabbagh 2025, PMID 40210573.</w:t>
      </w:r>
    </w:p>
  </w:footnote>
  <w:footnote w:id="2054">
    <w:p>
      <w:pPr>
        <w:pStyle w:val="FootnoteText"/>
      </w:pPr>
      <w:r>
        <w:rPr>
          <w:rStyle w:val="FootnoteReference"/>
        </w:rPr>
        <w:footnoteRef/>
      </w:r>
      <w:r>
        <w:t xml:space="preserve"> </w:t>
      </w:r>
      <w:r>
        <w:t xml:space="preserve">Burian 2019, PMID 31119650.</w:t>
      </w:r>
    </w:p>
  </w:footnote>
  <w:footnote w:id="2055">
    <w:p>
      <w:pPr>
        <w:pStyle w:val="FootnoteText"/>
      </w:pPr>
      <w:r>
        <w:rPr>
          <w:rStyle w:val="FootnoteReference"/>
        </w:rPr>
        <w:footnoteRef/>
      </w:r>
      <w:r>
        <w:t xml:space="preserve"> </w:t>
      </w:r>
      <w:r>
        <w:t xml:space="preserve">Habbema 2017, PMID 28266027.</w:t>
      </w:r>
    </w:p>
  </w:footnote>
  <w:footnote w:id="2057">
    <w:p>
      <w:pPr>
        <w:pStyle w:val="FootnoteText"/>
      </w:pPr>
      <w:r>
        <w:rPr>
          <w:rStyle w:val="FootnoteReference"/>
        </w:rPr>
        <w:footnoteRef/>
      </w:r>
      <w:r>
        <w:t xml:space="preserve"> </w:t>
      </w:r>
      <w:r>
        <w:t xml:space="preserve">Devlin 2013, PMID 23537392; Dreyer 2019, PMID 30796078.</w:t>
      </w:r>
    </w:p>
  </w:footnote>
  <w:footnote w:id="2058">
    <w:p>
      <w:pPr>
        <w:pStyle w:val="FootnoteText"/>
      </w:pPr>
      <w:r>
        <w:rPr>
          <w:rStyle w:val="FootnoteReference"/>
        </w:rPr>
        <w:footnoteRef/>
      </w:r>
      <w:r>
        <w:t xml:space="preserve"> </w:t>
      </w:r>
      <w:r>
        <w:t xml:space="preserve">Mallory 2021, PMID 33460908.</w:t>
      </w:r>
    </w:p>
  </w:footnote>
  <w:footnote w:id="2059">
    <w:p>
      <w:pPr>
        <w:pStyle w:val="FootnoteText"/>
      </w:pPr>
      <w:r>
        <w:rPr>
          <w:rStyle w:val="FootnoteReference"/>
        </w:rPr>
        <w:footnoteRef/>
      </w:r>
      <w:r>
        <w:t xml:space="preserve"> </w:t>
      </w:r>
      <w:r>
        <w:t xml:space="preserve">Dreyer 2019, PMID 30796078.</w:t>
      </w:r>
    </w:p>
  </w:footnote>
  <w:footnote w:id="2060">
    <w:p>
      <w:pPr>
        <w:pStyle w:val="FootnoteText"/>
      </w:pPr>
      <w:r>
        <w:rPr>
          <w:rStyle w:val="FootnoteReference"/>
        </w:rPr>
        <w:footnoteRef/>
      </w:r>
      <w:r>
        <w:t xml:space="preserve"> </w:t>
      </w:r>
      <w:r>
        <w:t xml:space="preserve">Nelson 2012, PMID 23121206.</w:t>
      </w:r>
    </w:p>
  </w:footnote>
  <w:footnote w:id="2061">
    <w:p>
      <w:pPr>
        <w:pStyle w:val="FootnoteText"/>
      </w:pPr>
      <w:r>
        <w:rPr>
          <w:rStyle w:val="FootnoteReference"/>
        </w:rPr>
        <w:footnoteRef/>
      </w:r>
      <w:r>
        <w:t xml:space="preserve"> </w:t>
      </w:r>
      <w:r>
        <w:t xml:space="preserve">Peters 2020, PMID 31953620.</w:t>
      </w:r>
    </w:p>
  </w:footnote>
  <w:footnote w:id="2062">
    <w:p>
      <w:pPr>
        <w:pStyle w:val="FootnoteText"/>
      </w:pPr>
      <w:r>
        <w:rPr>
          <w:rStyle w:val="FootnoteReference"/>
        </w:rPr>
        <w:footnoteRef/>
      </w:r>
      <w:r>
        <w:t xml:space="preserve"> </w:t>
      </w:r>
      <w:r>
        <w:t xml:space="preserve">Kaski 2013, PMID 23648958.</w:t>
      </w:r>
    </w:p>
  </w:footnote>
  <w:footnote w:id="2063">
    <w:p>
      <w:pPr>
        <w:pStyle w:val="FootnoteText"/>
      </w:pPr>
      <w:r>
        <w:rPr>
          <w:rStyle w:val="FootnoteReference"/>
        </w:rPr>
        <w:footnoteRef/>
      </w:r>
      <w:r>
        <w:t xml:space="preserve"> </w:t>
      </w:r>
      <w:r>
        <w:t xml:space="preserve">Dickson 2025, PMID 41487785.</w:t>
      </w:r>
    </w:p>
  </w:footnote>
  <w:footnote w:id="2065">
    <w:p>
      <w:pPr>
        <w:pStyle w:val="FootnoteText"/>
      </w:pPr>
      <w:r>
        <w:rPr>
          <w:rStyle w:val="FootnoteReference"/>
        </w:rPr>
        <w:footnoteRef/>
      </w:r>
      <w:r>
        <w:t xml:space="preserve"> </w:t>
      </w:r>
      <w:r>
        <w:t xml:space="preserve">Breindahl 2015, PMID 24771717.</w:t>
      </w:r>
    </w:p>
  </w:footnote>
  <w:footnote w:id="2066">
    <w:p>
      <w:pPr>
        <w:pStyle w:val="FootnoteText"/>
      </w:pPr>
      <w:r>
        <w:rPr>
          <w:rStyle w:val="FootnoteReference"/>
        </w:rPr>
        <w:footnoteRef/>
      </w:r>
      <w:r>
        <w:t xml:space="preserve"> </w:t>
      </w:r>
      <w:r>
        <w:t xml:space="preserve">Deville 2024, PMID 39302005.</w:t>
      </w:r>
    </w:p>
  </w:footnote>
  <w:footnote w:id="2067">
    <w:p>
      <w:pPr>
        <w:pStyle w:val="FootnoteText"/>
      </w:pPr>
      <w:r>
        <w:rPr>
          <w:rStyle w:val="FootnoteReference"/>
        </w:rPr>
        <w:footnoteRef/>
      </w:r>
      <w:r>
        <w:t xml:space="preserve"> </w:t>
      </w:r>
      <w:r>
        <w:t xml:space="preserve">Gilhooley 2021, PMID 34464955.</w:t>
      </w:r>
    </w:p>
  </w:footnote>
  <w:footnote w:id="2070">
    <w:p>
      <w:pPr>
        <w:pStyle w:val="FootnoteText"/>
      </w:pPr>
      <w:r>
        <w:rPr>
          <w:rStyle w:val="FootnoteReference"/>
        </w:rPr>
        <w:footnoteRef/>
      </w:r>
      <w:r>
        <w:t xml:space="preserve"> </w:t>
      </w:r>
      <w:r>
        <w:t xml:space="preserve">Habbema 2017, PMID 28266027.</w:t>
      </w:r>
    </w:p>
  </w:footnote>
  <w:footnote w:id="2071">
    <w:p>
      <w:pPr>
        <w:pStyle w:val="FootnoteText"/>
      </w:pPr>
      <w:r>
        <w:rPr>
          <w:rStyle w:val="FootnoteReference"/>
        </w:rPr>
        <w:footnoteRef/>
      </w:r>
      <w:r>
        <w:t xml:space="preserve"> </w:t>
      </w:r>
      <w:r>
        <w:t xml:space="preserve">Yassin Alsabbagh 2025, PMID 40210573.</w:t>
      </w:r>
    </w:p>
  </w:footnote>
  <w:footnote w:id="2076">
    <w:p>
      <w:pPr>
        <w:pStyle w:val="FootnoteText"/>
      </w:pPr>
      <w:r>
        <w:rPr>
          <w:rStyle w:val="FootnoteReference"/>
        </w:rPr>
        <w:footnoteRef/>
      </w:r>
      <w:r>
        <w:t xml:space="preserve"> </w:t>
      </w:r>
      <w:r>
        <w:t xml:space="preserve">Hadley 2006, PMID 16412534.</w:t>
      </w:r>
    </w:p>
  </w:footnote>
  <w:footnote w:id="2077">
    <w:p>
      <w:pPr>
        <w:pStyle w:val="FootnoteText"/>
      </w:pPr>
      <w:r>
        <w:rPr>
          <w:rStyle w:val="FootnoteReference"/>
        </w:rPr>
        <w:footnoteRef/>
      </w:r>
      <w:r>
        <w:t xml:space="preserve"> </w:t>
      </w:r>
      <w:r>
        <w:t xml:space="preserve">Homey 2025, PMID 40082741.</w:t>
      </w:r>
    </w:p>
  </w:footnote>
  <w:footnote w:id="2079">
    <w:p>
      <w:pPr>
        <w:pStyle w:val="FootnoteText"/>
      </w:pPr>
      <w:r>
        <w:rPr>
          <w:rStyle w:val="FootnoteReference"/>
        </w:rPr>
        <w:footnoteRef/>
      </w:r>
      <w:r>
        <w:t xml:space="preserve"> </w:t>
      </w:r>
      <w:r>
        <w:t xml:space="preserve">Homey 2025, PMID 40082741.</w:t>
      </w:r>
    </w:p>
  </w:footnote>
  <w:footnote w:id="2080">
    <w:p>
      <w:pPr>
        <w:pStyle w:val="FootnoteText"/>
      </w:pPr>
      <w:r>
        <w:rPr>
          <w:rStyle w:val="FootnoteReference"/>
        </w:rPr>
        <w:footnoteRef/>
      </w:r>
      <w:r>
        <w:t xml:space="preserve"> </w:t>
      </w:r>
      <w:r>
        <w:t xml:space="preserve">Minder 2023, PMID 37109595.</w:t>
      </w:r>
    </w:p>
  </w:footnote>
  <w:footnote w:id="2082">
    <w:p>
      <w:pPr>
        <w:pStyle w:val="FootnoteText"/>
      </w:pPr>
      <w:r>
        <w:rPr>
          <w:rStyle w:val="FootnoteReference"/>
        </w:rPr>
        <w:footnoteRef/>
      </w:r>
      <w:r>
        <w:t xml:space="preserve"> </w:t>
      </w:r>
      <w:r>
        <w:t xml:space="preserve">Dorr 2000, PMID 11045725.</w:t>
      </w:r>
    </w:p>
  </w:footnote>
  <w:footnote w:id="2083">
    <w:p>
      <w:pPr>
        <w:pStyle w:val="FootnoteText"/>
      </w:pPr>
      <w:r>
        <w:rPr>
          <w:rStyle w:val="FootnoteReference"/>
        </w:rPr>
        <w:footnoteRef/>
      </w:r>
      <w:r>
        <w:t xml:space="preserve"> </w:t>
      </w:r>
      <w:r>
        <w:t xml:space="preserve">Dorr 2004, PMID 15262693.</w:t>
      </w:r>
    </w:p>
  </w:footnote>
  <w:footnote w:id="2084">
    <w:p>
      <w:pPr>
        <w:pStyle w:val="FootnoteText"/>
      </w:pPr>
      <w:r>
        <w:rPr>
          <w:rStyle w:val="FootnoteReference"/>
        </w:rPr>
        <w:footnoteRef/>
      </w:r>
      <w:r>
        <w:t xml:space="preserve"> </w:t>
      </w:r>
      <w:r>
        <w:t xml:space="preserve">Fitzgerald 2006, PMID 16293341.</w:t>
      </w:r>
    </w:p>
  </w:footnote>
  <w:footnote w:id="2086">
    <w:p>
      <w:pPr>
        <w:pStyle w:val="FootnoteText"/>
      </w:pPr>
      <w:r>
        <w:rPr>
          <w:rStyle w:val="FootnoteReference"/>
        </w:rPr>
        <w:footnoteRef/>
      </w:r>
      <w:r>
        <w:t xml:space="preserve"> </w:t>
      </w:r>
      <w:r>
        <w:t xml:space="preserve">Harms 2009, PMID 19656325.</w:t>
      </w:r>
    </w:p>
  </w:footnote>
  <w:footnote w:id="2087">
    <w:p>
      <w:pPr>
        <w:pStyle w:val="FootnoteText"/>
      </w:pPr>
      <w:r>
        <w:rPr>
          <w:rStyle w:val="FootnoteReference"/>
        </w:rPr>
        <w:footnoteRef/>
      </w:r>
      <w:r>
        <w:t xml:space="preserve"> </w:t>
      </w:r>
      <w:r>
        <w:t xml:space="preserve">Langendonk 2015, PMID 26132941; NCT00979745, NCT01605136.</w:t>
      </w:r>
    </w:p>
  </w:footnote>
  <w:footnote w:id="2088">
    <w:p>
      <w:pPr>
        <w:pStyle w:val="FootnoteText"/>
      </w:pPr>
      <w:r>
        <w:rPr>
          <w:rStyle w:val="FootnoteReference"/>
        </w:rPr>
        <w:footnoteRef/>
      </w:r>
      <w:r>
        <w:t xml:space="preserve"> </w:t>
      </w:r>
      <w:r>
        <w:t xml:space="preserve">Heerfordt 2023, PMID 36525819.</w:t>
      </w:r>
    </w:p>
  </w:footnote>
  <w:footnote w:id="2090">
    <w:p>
      <w:pPr>
        <w:pStyle w:val="FootnoteText"/>
      </w:pPr>
      <w:r>
        <w:rPr>
          <w:rStyle w:val="FootnoteReference"/>
        </w:rPr>
        <w:footnoteRef/>
      </w:r>
      <w:r>
        <w:t xml:space="preserve"> </w:t>
      </w:r>
      <w:r>
        <w:t xml:space="preserve">Biolcati 2015, PMID 25494545.</w:t>
      </w:r>
    </w:p>
  </w:footnote>
  <w:footnote w:id="2091">
    <w:p>
      <w:pPr>
        <w:pStyle w:val="FootnoteText"/>
      </w:pPr>
      <w:r>
        <w:rPr>
          <w:rStyle w:val="FootnoteReference"/>
        </w:rPr>
        <w:footnoteRef/>
      </w:r>
      <w:r>
        <w:t xml:space="preserve"> </w:t>
      </w:r>
      <w:r>
        <w:t xml:space="preserve">Wensink 2020, PMID 32186677.</w:t>
      </w:r>
    </w:p>
  </w:footnote>
  <w:footnote w:id="2092">
    <w:p>
      <w:pPr>
        <w:pStyle w:val="FootnoteText"/>
      </w:pPr>
      <w:r>
        <w:rPr>
          <w:rStyle w:val="FootnoteReference"/>
        </w:rPr>
        <w:footnoteRef/>
      </w:r>
      <w:r>
        <w:t xml:space="preserve"> </w:t>
      </w:r>
      <w:r>
        <w:t xml:space="preserve">Seidl-Philipp 2026, PMID 41793078.</w:t>
      </w:r>
    </w:p>
  </w:footnote>
  <w:footnote w:id="2094">
    <w:p>
      <w:pPr>
        <w:pStyle w:val="FootnoteText"/>
      </w:pPr>
      <w:r>
        <w:rPr>
          <w:rStyle w:val="FootnoteReference"/>
        </w:rPr>
        <w:footnoteRef/>
      </w:r>
      <w:r>
        <w:t xml:space="preserve"> </w:t>
      </w:r>
      <w:r>
        <w:t xml:space="preserve">Minder 2023, PMID 37109595.</w:t>
      </w:r>
    </w:p>
  </w:footnote>
  <w:footnote w:id="2095">
    <w:p>
      <w:pPr>
        <w:pStyle w:val="FootnoteText"/>
      </w:pPr>
      <w:r>
        <w:rPr>
          <w:rStyle w:val="FootnoteReference"/>
        </w:rPr>
        <w:footnoteRef/>
      </w:r>
      <w:r>
        <w:t xml:space="preserve"> </w:t>
      </w:r>
      <w:r>
        <w:t xml:space="preserve">Kluijver 2024, PMID 38634774.</w:t>
      </w:r>
    </w:p>
  </w:footnote>
  <w:footnote w:id="2096">
    <w:p>
      <w:pPr>
        <w:pStyle w:val="FootnoteText"/>
      </w:pPr>
      <w:r>
        <w:rPr>
          <w:rStyle w:val="FootnoteReference"/>
        </w:rPr>
        <w:footnoteRef/>
      </w:r>
      <w:r>
        <w:t xml:space="preserve"> </w:t>
      </w:r>
      <w:r>
        <w:t xml:space="preserve">Lengweiler 2015, PMID 25402764.</w:t>
      </w:r>
    </w:p>
  </w:footnote>
  <w:footnote w:id="2098">
    <w:p>
      <w:pPr>
        <w:pStyle w:val="FootnoteText"/>
      </w:pPr>
      <w:r>
        <w:rPr>
          <w:rStyle w:val="FootnoteReference"/>
        </w:rPr>
        <w:footnoteRef/>
      </w:r>
      <w:r>
        <w:t xml:space="preserve"> </w:t>
      </w:r>
      <w:r>
        <w:t xml:space="preserve">Grimes 2013, PMID 23407924.</w:t>
      </w:r>
    </w:p>
  </w:footnote>
  <w:footnote w:id="2099">
    <w:p>
      <w:pPr>
        <w:pStyle w:val="FootnoteText"/>
      </w:pPr>
      <w:r>
        <w:rPr>
          <w:rStyle w:val="FootnoteReference"/>
        </w:rPr>
        <w:footnoteRef/>
      </w:r>
      <w:r>
        <w:t xml:space="preserve"> </w:t>
      </w:r>
      <w:r>
        <w:t xml:space="preserve">Lim 2015, PMID 25230094; NCT01430195.</w:t>
      </w:r>
    </w:p>
  </w:footnote>
  <w:footnote w:id="2100">
    <w:p>
      <w:pPr>
        <w:pStyle w:val="FootnoteText"/>
      </w:pPr>
      <w:r>
        <w:rPr>
          <w:rStyle w:val="FootnoteReference"/>
        </w:rPr>
        <w:footnoteRef/>
      </w:r>
      <w:r>
        <w:t xml:space="preserve"> </w:t>
      </w:r>
      <w:r>
        <w:t xml:space="preserve">Passeron 2015, PMID 25607635.</w:t>
      </w:r>
    </w:p>
  </w:footnote>
  <w:footnote w:id="2101">
    <w:p>
      <w:pPr>
        <w:pStyle w:val="FootnoteText"/>
      </w:pPr>
      <w:r>
        <w:rPr>
          <w:rStyle w:val="FootnoteReference"/>
        </w:rPr>
        <w:footnoteRef/>
      </w:r>
      <w:r>
        <w:t xml:space="preserve"> </w:t>
      </w:r>
      <w:r>
        <w:t xml:space="preserve">Toh 2020, PMID 31987791.</w:t>
      </w:r>
    </w:p>
  </w:footnote>
  <w:footnote w:id="2103">
    <w:p>
      <w:pPr>
        <w:pStyle w:val="FootnoteText"/>
      </w:pPr>
      <w:r>
        <w:rPr>
          <w:rStyle w:val="FootnoteReference"/>
        </w:rPr>
        <w:footnoteRef/>
      </w:r>
      <w:r>
        <w:t xml:space="preserve"> </w:t>
      </w:r>
      <w:r>
        <w:t xml:space="preserve">Haylett 2011, PMID 20969564.</w:t>
      </w:r>
    </w:p>
  </w:footnote>
  <w:footnote w:id="2104">
    <w:p>
      <w:pPr>
        <w:pStyle w:val="FootnoteText"/>
      </w:pPr>
      <w:r>
        <w:rPr>
          <w:rStyle w:val="FootnoteReference"/>
        </w:rPr>
        <w:footnoteRef/>
      </w:r>
      <w:r>
        <w:t xml:space="preserve"> </w:t>
      </w:r>
      <w:r>
        <w:t xml:space="preserve">Böhm 2014, PMID 22845050.</w:t>
      </w:r>
    </w:p>
  </w:footnote>
  <w:footnote w:id="2105">
    <w:p>
      <w:pPr>
        <w:pStyle w:val="FootnoteText"/>
      </w:pPr>
      <w:r>
        <w:rPr>
          <w:rStyle w:val="FootnoteReference"/>
        </w:rPr>
        <w:footnoteRef/>
      </w:r>
      <w:r>
        <w:t xml:space="preserve"> </w:t>
      </w:r>
      <w:r>
        <w:t xml:space="preserve">Biolcati 2014, PMID 24256215.</w:t>
      </w:r>
    </w:p>
  </w:footnote>
  <w:footnote w:id="2106">
    <w:p>
      <w:pPr>
        <w:pStyle w:val="FootnoteText"/>
      </w:pPr>
      <w:r>
        <w:rPr>
          <w:rStyle w:val="FootnoteReference"/>
        </w:rPr>
        <w:footnoteRef/>
      </w:r>
      <w:r>
        <w:t xml:space="preserve"> </w:t>
      </w:r>
      <w:r>
        <w:t xml:space="preserve">Stanislaus 2023, PMID 37496004.</w:t>
      </w:r>
    </w:p>
  </w:footnote>
  <w:footnote w:id="2107">
    <w:p>
      <w:pPr>
        <w:pStyle w:val="FootnoteText"/>
      </w:pPr>
      <w:r>
        <w:rPr>
          <w:rStyle w:val="FootnoteReference"/>
        </w:rPr>
        <w:footnoteRef/>
      </w:r>
      <w:r>
        <w:t xml:space="preserve"> </w:t>
      </w:r>
      <w:r>
        <w:t xml:space="preserve">Griffin 2026, PMID 42678656.</w:t>
      </w:r>
    </w:p>
  </w:footnote>
  <w:footnote w:id="2110">
    <w:p>
      <w:pPr>
        <w:pStyle w:val="FootnoteText"/>
      </w:pPr>
      <w:r>
        <w:rPr>
          <w:rStyle w:val="FootnoteReference"/>
        </w:rPr>
        <w:footnoteRef/>
      </w:r>
      <w:r>
        <w:t xml:space="preserve"> </w:t>
      </w:r>
      <w:r>
        <w:t xml:space="preserve">Biolcati 2014, PMID 24256215.</w:t>
      </w:r>
    </w:p>
  </w:footnote>
  <w:footnote w:id="2111">
    <w:p>
      <w:pPr>
        <w:pStyle w:val="FootnoteText"/>
      </w:pPr>
      <w:r>
        <w:rPr>
          <w:rStyle w:val="FootnoteReference"/>
        </w:rPr>
        <w:footnoteRef/>
      </w:r>
      <w:r>
        <w:t xml:space="preserve"> </w:t>
      </w:r>
      <w:r>
        <w:t xml:space="preserve">Chawathe 2026, PMID 41547183.</w:t>
      </w:r>
    </w:p>
  </w:footnote>
  <w:footnote w:id="2113">
    <w:p>
      <w:pPr>
        <w:pStyle w:val="FootnoteText"/>
      </w:pPr>
      <w:r>
        <w:rPr>
          <w:rStyle w:val="FootnoteReference"/>
        </w:rPr>
        <w:footnoteRef/>
      </w:r>
      <w:r>
        <w:t xml:space="preserve"> </w:t>
      </w:r>
      <w:r>
        <w:t xml:space="preserve">Langendonk 2015, PMID 26132941; Wensink 2020, PMID 32186677; Biolcati 2015, PMID 25494545.</w:t>
      </w:r>
    </w:p>
  </w:footnote>
  <w:footnote w:id="2114">
    <w:p>
      <w:pPr>
        <w:pStyle w:val="FootnoteText"/>
      </w:pPr>
      <w:r>
        <w:rPr>
          <w:rStyle w:val="FootnoteReference"/>
        </w:rPr>
        <w:footnoteRef/>
      </w:r>
      <w:r>
        <w:t xml:space="preserve"> </w:t>
      </w:r>
      <w:r>
        <w:t xml:space="preserve">Arisi 2021, PMID 33721252.</w:t>
      </w:r>
    </w:p>
  </w:footnote>
  <w:footnote w:id="2115">
    <w:p>
      <w:pPr>
        <w:pStyle w:val="FootnoteText"/>
      </w:pPr>
      <w:r>
        <w:rPr>
          <w:rStyle w:val="FootnoteReference"/>
        </w:rPr>
        <w:footnoteRef/>
      </w:r>
      <w:r>
        <w:t xml:space="preserve"> </w:t>
      </w:r>
      <w:r>
        <w:t xml:space="preserve">von Bartenwerffer 2011, PMID 21597671.</w:t>
      </w:r>
    </w:p>
  </w:footnote>
  <w:footnote w:id="2116">
    <w:p>
      <w:pPr>
        <w:pStyle w:val="FootnoteText"/>
      </w:pPr>
      <w:r>
        <w:rPr>
          <w:rStyle w:val="FootnoteReference"/>
        </w:rPr>
        <w:footnoteRef/>
      </w:r>
      <w:r>
        <w:t xml:space="preserve"> </w:t>
      </w:r>
      <w:r>
        <w:t xml:space="preserve">Kluijver 2024, PMID 38634774.</w:t>
      </w:r>
    </w:p>
  </w:footnote>
  <w:footnote w:id="2118">
    <w:p>
      <w:pPr>
        <w:pStyle w:val="FootnoteText"/>
      </w:pPr>
      <w:r>
        <w:rPr>
          <w:rStyle w:val="FootnoteReference"/>
        </w:rPr>
        <w:footnoteRef/>
      </w:r>
      <w:r>
        <w:t xml:space="preserve"> </w:t>
      </w:r>
      <w:r>
        <w:t xml:space="preserve">Barman-Aksözen 2026, PMID 41885813.</w:t>
      </w:r>
    </w:p>
  </w:footnote>
  <w:footnote w:id="2119">
    <w:p>
      <w:pPr>
        <w:pStyle w:val="FootnoteText"/>
      </w:pPr>
      <w:r>
        <w:rPr>
          <w:rStyle w:val="FootnoteReference"/>
        </w:rPr>
        <w:footnoteRef/>
      </w:r>
      <w:r>
        <w:t xml:space="preserve"> </w:t>
      </w:r>
      <w:r>
        <w:t xml:space="preserve">Minder 2026, PMID 41542313.</w:t>
      </w:r>
    </w:p>
  </w:footnote>
  <w:footnote w:id="2121">
    <w:p>
      <w:pPr>
        <w:pStyle w:val="FootnoteText"/>
      </w:pPr>
      <w:r>
        <w:rPr>
          <w:rStyle w:val="FootnoteReference"/>
        </w:rPr>
        <w:footnoteRef/>
      </w:r>
      <w:r>
        <w:t xml:space="preserve"> </w:t>
      </w:r>
      <w:r>
        <w:t xml:space="preserve">Habbema 2017, PMID 28266027.</w:t>
      </w:r>
    </w:p>
  </w:footnote>
  <w:footnote w:id="2124">
    <w:p>
      <w:pPr>
        <w:pStyle w:val="FootnoteText"/>
      </w:pPr>
      <w:r>
        <w:rPr>
          <w:rStyle w:val="FootnoteReference"/>
        </w:rPr>
        <w:footnoteRef/>
      </w:r>
      <w:r>
        <w:t xml:space="preserve"> </w:t>
      </w:r>
      <w:r>
        <w:t xml:space="preserve">Homey 2025, PMID 40082741.</w:t>
      </w:r>
    </w:p>
  </w:footnote>
  <w:footnote w:id="2125">
    <w:p>
      <w:pPr>
        <w:pStyle w:val="FootnoteText"/>
      </w:pPr>
      <w:r>
        <w:rPr>
          <w:rStyle w:val="FootnoteReference"/>
        </w:rPr>
        <w:footnoteRef/>
      </w:r>
      <w:r>
        <w:t xml:space="preserve"> </w:t>
      </w:r>
      <w:r>
        <w:t xml:space="preserve">Homey 2025, PMID 40082741; Seidl-Philipp 2026, PMID 41793078.</w:t>
      </w:r>
    </w:p>
  </w:footnote>
  <w:footnote w:id="2126">
    <w:p>
      <w:pPr>
        <w:pStyle w:val="FootnoteText"/>
      </w:pPr>
      <w:r>
        <w:rPr>
          <w:rStyle w:val="FootnoteReference"/>
        </w:rPr>
        <w:footnoteRef/>
      </w:r>
      <w:r>
        <w:t xml:space="preserve"> </w:t>
      </w:r>
      <w:r>
        <w:t xml:space="preserve">Barman-Aksözen 2024, PMID 38791830.</w:t>
      </w:r>
    </w:p>
  </w:footnote>
  <w:footnote w:id="2128">
    <w:p>
      <w:pPr>
        <w:pStyle w:val="FootnoteText"/>
      </w:pPr>
      <w:r>
        <w:rPr>
          <w:rStyle w:val="FootnoteReference"/>
        </w:rPr>
        <w:footnoteRef/>
      </w:r>
      <w:r>
        <w:t xml:space="preserve"> </w:t>
      </w:r>
      <w:r>
        <w:t xml:space="preserve">NCT06109649.</w:t>
      </w:r>
    </w:p>
  </w:footnote>
  <w:footnote w:id="2129">
    <w:p>
      <w:pPr>
        <w:pStyle w:val="FootnoteText"/>
      </w:pPr>
      <w:r>
        <w:rPr>
          <w:rStyle w:val="FootnoteReference"/>
        </w:rPr>
        <w:footnoteRef/>
      </w:r>
      <w:r>
        <w:t xml:space="preserve"> </w:t>
      </w:r>
      <w:r>
        <w:t xml:space="preserve">NCT05210582.</w:t>
      </w:r>
    </w:p>
  </w:footnote>
  <w:footnote w:id="2130">
    <w:p>
      <w:pPr>
        <w:pStyle w:val="FootnoteText"/>
      </w:pPr>
      <w:r>
        <w:rPr>
          <w:rStyle w:val="FootnoteReference"/>
        </w:rPr>
        <w:footnoteRef/>
      </w:r>
      <w:r>
        <w:t xml:space="preserve"> </w:t>
      </w:r>
      <w:r>
        <w:t xml:space="preserve">NCT05370235, NCT05159752.</w:t>
      </w:r>
    </w:p>
  </w:footnote>
  <w:footnote w:id="2131">
    <w:p>
      <w:pPr>
        <w:pStyle w:val="FootnoteText"/>
      </w:pPr>
      <w:r>
        <w:rPr>
          <w:rStyle w:val="FootnoteReference"/>
        </w:rPr>
        <w:footnoteRef/>
      </w:r>
      <w:r>
        <w:t xml:space="preserve"> </w:t>
      </w:r>
      <w:r>
        <w:t xml:space="preserve">NCT06388642.</w:t>
      </w:r>
    </w:p>
  </w:footnote>
  <w:footnote w:id="2132">
    <w:p>
      <w:pPr>
        <w:pStyle w:val="FootnoteText"/>
      </w:pPr>
      <w:r>
        <w:rPr>
          <w:rStyle w:val="FootnoteReference"/>
        </w:rPr>
        <w:footnoteRef/>
      </w:r>
      <w:r>
        <w:t xml:space="preserve"> </w:t>
      </w:r>
      <w:r>
        <w:t xml:space="preserve">Barman-Aksözen 2026, PMID 41885813.</w:t>
      </w:r>
    </w:p>
  </w:footnote>
  <w:footnote w:id="2136">
    <w:p>
      <w:pPr>
        <w:pStyle w:val="FootnoteText"/>
      </w:pPr>
      <w:r>
        <w:rPr>
          <w:rStyle w:val="FootnoteReference"/>
        </w:rPr>
        <w:footnoteRef/>
      </w:r>
      <w:r>
        <w:t xml:space="preserve"> </w:t>
      </w:r>
      <w:r>
        <w:t xml:space="preserve">Lee 1996, PMID 8944003.</w:t>
      </w:r>
    </w:p>
  </w:footnote>
  <w:footnote w:id="2137">
    <w:p>
      <w:pPr>
        <w:pStyle w:val="FootnoteText"/>
      </w:pPr>
      <w:r>
        <w:rPr>
          <w:rStyle w:val="FootnoteReference"/>
        </w:rPr>
        <w:footnoteRef/>
      </w:r>
      <w:r>
        <w:t xml:space="preserve"> </w:t>
      </w:r>
      <w:r>
        <w:t xml:space="preserve">Ohtaki 2001, PMID 11385580.</w:t>
      </w:r>
    </w:p>
  </w:footnote>
  <w:footnote w:id="2139">
    <w:p>
      <w:pPr>
        <w:pStyle w:val="FootnoteText"/>
      </w:pPr>
      <w:r>
        <w:rPr>
          <w:rStyle w:val="FootnoteReference"/>
        </w:rPr>
        <w:footnoteRef/>
      </w:r>
      <w:r>
        <w:t xml:space="preserve"> </w:t>
      </w:r>
      <w:r>
        <w:t xml:space="preserve">de Roux 2003, PMID 12944565; Seminara 2003, PMID 14573733.</w:t>
      </w:r>
    </w:p>
  </w:footnote>
  <w:footnote w:id="2141">
    <w:p>
      <w:pPr>
        <w:pStyle w:val="FootnoteText"/>
      </w:pPr>
      <w:r>
        <w:rPr>
          <w:rStyle w:val="FootnoteReference"/>
        </w:rPr>
        <w:footnoteRef/>
      </w:r>
      <w:r>
        <w:t xml:space="preserve"> </w:t>
      </w:r>
      <w:r>
        <w:t xml:space="preserve">Dhillo 2005, PMID 16174713.</w:t>
      </w:r>
    </w:p>
  </w:footnote>
  <w:footnote w:id="2142">
    <w:p>
      <w:pPr>
        <w:pStyle w:val="FootnoteText"/>
      </w:pPr>
      <w:r>
        <w:rPr>
          <w:rStyle w:val="FootnoteReference"/>
        </w:rPr>
        <w:footnoteRef/>
      </w:r>
      <w:r>
        <w:t xml:space="preserve"> </w:t>
      </w:r>
      <w:r>
        <w:t xml:space="preserve">Dhillo 2007, PMID 17635940.</w:t>
      </w:r>
    </w:p>
  </w:footnote>
  <w:footnote w:id="2143">
    <w:p>
      <w:pPr>
        <w:pStyle w:val="FootnoteText"/>
      </w:pPr>
      <w:r>
        <w:rPr>
          <w:rStyle w:val="FootnoteReference"/>
        </w:rPr>
        <w:footnoteRef/>
      </w:r>
      <w:r>
        <w:t xml:space="preserve"> </w:t>
      </w:r>
      <w:r>
        <w:t xml:space="preserve">George 2011, PMID 21632807.</w:t>
      </w:r>
    </w:p>
  </w:footnote>
  <w:footnote w:id="2144">
    <w:p>
      <w:pPr>
        <w:pStyle w:val="FootnoteText"/>
      </w:pPr>
      <w:r>
        <w:rPr>
          <w:rStyle w:val="FootnoteReference"/>
        </w:rPr>
        <w:footnoteRef/>
      </w:r>
      <w:r>
        <w:t xml:space="preserve"> </w:t>
      </w:r>
      <w:r>
        <w:t xml:space="preserve">Chan 2018, PMID 29669934.</w:t>
      </w:r>
    </w:p>
  </w:footnote>
  <w:footnote w:id="2146">
    <w:p>
      <w:pPr>
        <w:pStyle w:val="FootnoteText"/>
      </w:pPr>
      <w:r>
        <w:rPr>
          <w:rStyle w:val="FootnoteReference"/>
        </w:rPr>
        <w:footnoteRef/>
      </w:r>
      <w:r>
        <w:t xml:space="preserve"> </w:t>
      </w:r>
      <w:r>
        <w:t xml:space="preserve">Jayasena 2014, PMID 25036713; NCT01667406.</w:t>
      </w:r>
    </w:p>
  </w:footnote>
  <w:footnote w:id="2147">
    <w:p>
      <w:pPr>
        <w:pStyle w:val="FootnoteText"/>
      </w:pPr>
      <w:r>
        <w:rPr>
          <w:rStyle w:val="FootnoteReference"/>
        </w:rPr>
        <w:footnoteRef/>
      </w:r>
      <w:r>
        <w:t xml:space="preserve"> </w:t>
      </w:r>
      <w:r>
        <w:t xml:space="preserve">Abbara 2015, PMID 26192876.</w:t>
      </w:r>
    </w:p>
  </w:footnote>
  <w:footnote w:id="2148">
    <w:p>
      <w:pPr>
        <w:pStyle w:val="FootnoteText"/>
      </w:pPr>
      <w:r>
        <w:rPr>
          <w:rStyle w:val="FootnoteReference"/>
        </w:rPr>
        <w:footnoteRef/>
      </w:r>
      <w:r>
        <w:t xml:space="preserve"> </w:t>
      </w:r>
      <w:r>
        <w:t xml:space="preserve">Abbara 2017, PMID 28854728.</w:t>
      </w:r>
    </w:p>
  </w:footnote>
  <w:footnote w:id="2149">
    <w:p>
      <w:pPr>
        <w:pStyle w:val="FootnoteText"/>
      </w:pPr>
      <w:r>
        <w:rPr>
          <w:rStyle w:val="FootnoteReference"/>
        </w:rPr>
        <w:footnoteRef/>
      </w:r>
      <w:r>
        <w:t xml:space="preserve"> </w:t>
      </w:r>
      <w:r>
        <w:t xml:space="preserve">Abbara 2017, PMID 28854728.</w:t>
      </w:r>
    </w:p>
  </w:footnote>
  <w:footnote w:id="2150">
    <w:p>
      <w:pPr>
        <w:pStyle w:val="FootnoteText"/>
      </w:pPr>
      <w:r>
        <w:rPr>
          <w:rStyle w:val="FootnoteReference"/>
        </w:rPr>
        <w:footnoteRef/>
      </w:r>
      <w:r>
        <w:t xml:space="preserve"> </w:t>
      </w:r>
      <w:r>
        <w:t xml:space="preserve">Abbara 2020, PMID 33196464.</w:t>
      </w:r>
    </w:p>
  </w:footnote>
  <w:footnote w:id="2151">
    <w:p>
      <w:pPr>
        <w:pStyle w:val="FootnoteText"/>
      </w:pPr>
      <w:r>
        <w:rPr>
          <w:rStyle w:val="FootnoteReference"/>
        </w:rPr>
        <w:footnoteRef/>
      </w:r>
      <w:r>
        <w:t xml:space="preserve"> </w:t>
      </w:r>
      <w:r>
        <w:t xml:space="preserve">Abbara 2024, PMID 37925096.</w:t>
      </w:r>
    </w:p>
  </w:footnote>
  <w:footnote w:id="2153">
    <w:p>
      <w:pPr>
        <w:pStyle w:val="FootnoteText"/>
      </w:pPr>
      <w:r>
        <w:rPr>
          <w:rStyle w:val="FootnoteReference"/>
        </w:rPr>
        <w:footnoteRef/>
      </w:r>
      <w:r>
        <w:t xml:space="preserve"> </w:t>
      </w:r>
      <w:r>
        <w:t xml:space="preserve">Jayasena 2009, PMID 19820030.</w:t>
      </w:r>
    </w:p>
  </w:footnote>
  <w:footnote w:id="2154">
    <w:p>
      <w:pPr>
        <w:pStyle w:val="FootnoteText"/>
      </w:pPr>
      <w:r>
        <w:rPr>
          <w:rStyle w:val="FootnoteReference"/>
        </w:rPr>
        <w:footnoteRef/>
      </w:r>
      <w:r>
        <w:t xml:space="preserve"> </w:t>
      </w:r>
      <w:r>
        <w:t xml:space="preserve">Jayasena 2010, PMID 20980998.</w:t>
      </w:r>
    </w:p>
  </w:footnote>
  <w:footnote w:id="2155">
    <w:p>
      <w:pPr>
        <w:pStyle w:val="FootnoteText"/>
      </w:pPr>
      <w:r>
        <w:rPr>
          <w:rStyle w:val="FootnoteReference"/>
        </w:rPr>
        <w:footnoteRef/>
      </w:r>
      <w:r>
        <w:t xml:space="preserve"> </w:t>
      </w:r>
      <w:r>
        <w:t xml:space="preserve">Jayasena 2014, PMID 24517142.</w:t>
      </w:r>
    </w:p>
  </w:footnote>
  <w:footnote w:id="2156">
    <w:p>
      <w:pPr>
        <w:pStyle w:val="FootnoteText"/>
      </w:pPr>
      <w:r>
        <w:rPr>
          <w:rStyle w:val="FootnoteReference"/>
        </w:rPr>
        <w:footnoteRef/>
      </w:r>
      <w:r>
        <w:t xml:space="preserve"> </w:t>
      </w:r>
      <w:r>
        <w:t xml:space="preserve">Young 2013, PMID 22377698.</w:t>
      </w:r>
    </w:p>
  </w:footnote>
  <w:footnote w:id="2157">
    <w:p>
      <w:pPr>
        <w:pStyle w:val="FootnoteText"/>
      </w:pPr>
      <w:r>
        <w:rPr>
          <w:rStyle w:val="FootnoteReference"/>
        </w:rPr>
        <w:footnoteRef/>
      </w:r>
      <w:r>
        <w:t xml:space="preserve"> </w:t>
      </w:r>
      <w:r>
        <w:t xml:space="preserve">Romero-Ruiz 2019, PMID 31820802.</w:t>
      </w:r>
    </w:p>
  </w:footnote>
  <w:footnote w:id="2159">
    <w:p>
      <w:pPr>
        <w:pStyle w:val="FootnoteText"/>
      </w:pPr>
      <w:r>
        <w:rPr>
          <w:rStyle w:val="FootnoteReference"/>
        </w:rPr>
        <w:footnoteRef/>
      </w:r>
      <w:r>
        <w:t xml:space="preserve"> </w:t>
      </w:r>
      <w:r>
        <w:t xml:space="preserve">George 2013, PMID 23153270.</w:t>
      </w:r>
    </w:p>
  </w:footnote>
  <w:footnote w:id="2160">
    <w:p>
      <w:pPr>
        <w:pStyle w:val="FootnoteText"/>
      </w:pPr>
      <w:r>
        <w:rPr>
          <w:rStyle w:val="FootnoteReference"/>
        </w:rPr>
        <w:footnoteRef/>
      </w:r>
      <w:r>
        <w:t xml:space="preserve"> </w:t>
      </w:r>
      <w:r>
        <w:t xml:space="preserve">Yeung 2026, PMID 42549827.</w:t>
      </w:r>
    </w:p>
  </w:footnote>
  <w:footnote w:id="2162">
    <w:p>
      <w:pPr>
        <w:pStyle w:val="FootnoteText"/>
      </w:pPr>
      <w:r>
        <w:rPr>
          <w:rStyle w:val="FootnoteReference"/>
        </w:rPr>
        <w:footnoteRef/>
      </w:r>
      <w:r>
        <w:t xml:space="preserve"> </w:t>
      </w:r>
      <w:r>
        <w:t xml:space="preserve">Mills 2023, PMID 36735255.</w:t>
      </w:r>
    </w:p>
  </w:footnote>
  <w:footnote w:id="2163">
    <w:p>
      <w:pPr>
        <w:pStyle w:val="FootnoteText"/>
      </w:pPr>
      <w:r>
        <w:rPr>
          <w:rStyle w:val="FootnoteReference"/>
        </w:rPr>
        <w:footnoteRef/>
      </w:r>
      <w:r>
        <w:t xml:space="preserve"> </w:t>
      </w:r>
      <w:r>
        <w:t xml:space="preserve">Thurston 2022, PMID 36287566.</w:t>
      </w:r>
    </w:p>
  </w:footnote>
  <w:footnote w:id="2164">
    <w:p>
      <w:pPr>
        <w:pStyle w:val="FootnoteText"/>
      </w:pPr>
      <w:r>
        <w:rPr>
          <w:rStyle w:val="FootnoteReference"/>
        </w:rPr>
        <w:footnoteRef/>
      </w:r>
      <w:r>
        <w:t xml:space="preserve"> </w:t>
      </w:r>
      <w:r>
        <w:t xml:space="preserve">Mills 2025, PMID 40036336.</w:t>
      </w:r>
    </w:p>
  </w:footnote>
  <w:footnote w:id="2166">
    <w:p>
      <w:pPr>
        <w:pStyle w:val="FootnoteText"/>
      </w:pPr>
      <w:r>
        <w:rPr>
          <w:rStyle w:val="FootnoteReference"/>
        </w:rPr>
        <w:footnoteRef/>
      </w:r>
      <w:r>
        <w:t xml:space="preserve"> </w:t>
      </w:r>
      <w:r>
        <w:t xml:space="preserve">Mills 2025, PMID 40215751.</w:t>
      </w:r>
    </w:p>
  </w:footnote>
  <w:footnote w:id="2168">
    <w:p>
      <w:pPr>
        <w:pStyle w:val="FootnoteText"/>
      </w:pPr>
      <w:r>
        <w:rPr>
          <w:rStyle w:val="FootnoteReference"/>
        </w:rPr>
        <w:footnoteRef/>
      </w:r>
      <w:r>
        <w:t xml:space="preserve"> </w:t>
      </w:r>
      <w:r>
        <w:t xml:space="preserve">Comninos 2022, PMID 35244717.</w:t>
      </w:r>
    </w:p>
  </w:footnote>
  <w:footnote w:id="2169">
    <w:p>
      <w:pPr>
        <w:pStyle w:val="FootnoteText"/>
      </w:pPr>
      <w:r>
        <w:rPr>
          <w:rStyle w:val="FootnoteReference"/>
        </w:rPr>
        <w:footnoteRef/>
      </w:r>
      <w:r>
        <w:t xml:space="preserve"> </w:t>
      </w:r>
      <w:r>
        <w:t xml:space="preserve">Izzi-Engbeaya 2018, PMID 29974637.</w:t>
      </w:r>
    </w:p>
  </w:footnote>
  <w:footnote w:id="2170">
    <w:p>
      <w:pPr>
        <w:pStyle w:val="FootnoteText"/>
      </w:pPr>
      <w:r>
        <w:rPr>
          <w:rStyle w:val="FootnoteReference"/>
        </w:rPr>
        <w:footnoteRef/>
      </w:r>
      <w:r>
        <w:t xml:space="preserve"> </w:t>
      </w:r>
      <w:r>
        <w:t xml:space="preserve">Galbiati 2025, PMID 39965102.</w:t>
      </w:r>
    </w:p>
  </w:footnote>
  <w:footnote w:id="2172">
    <w:p>
      <w:pPr>
        <w:pStyle w:val="FootnoteText"/>
      </w:pPr>
      <w:r>
        <w:rPr>
          <w:rStyle w:val="FootnoteReference"/>
        </w:rPr>
        <w:footnoteRef/>
      </w:r>
      <w:r>
        <w:t xml:space="preserve"> </w:t>
      </w:r>
      <w:r>
        <w:t xml:space="preserve">MacLean 2014, PMID 24762108.</w:t>
      </w:r>
    </w:p>
  </w:footnote>
  <w:footnote w:id="2173">
    <w:p>
      <w:pPr>
        <w:pStyle w:val="FootnoteText"/>
      </w:pPr>
      <w:r>
        <w:rPr>
          <w:rStyle w:val="FootnoteReference"/>
        </w:rPr>
        <w:footnoteRef/>
      </w:r>
      <w:r>
        <w:t xml:space="preserve"> </w:t>
      </w:r>
      <w:r>
        <w:t xml:space="preserve">NCT02369796, NCT02381288.</w:t>
      </w:r>
    </w:p>
  </w:footnote>
  <w:footnote w:id="2176">
    <w:p>
      <w:pPr>
        <w:pStyle w:val="FootnoteText"/>
      </w:pPr>
      <w:r>
        <w:rPr>
          <w:rStyle w:val="FootnoteReference"/>
        </w:rPr>
        <w:footnoteRef/>
      </w:r>
      <w:r>
        <w:t xml:space="preserve"> </w:t>
      </w:r>
      <w:r>
        <w:t xml:space="preserve">Seminara 2003, PMID 14573733.</w:t>
      </w:r>
    </w:p>
  </w:footnote>
  <w:footnote w:id="2177">
    <w:p>
      <w:pPr>
        <w:pStyle w:val="FootnoteText"/>
      </w:pPr>
      <w:r>
        <w:rPr>
          <w:rStyle w:val="FootnoteReference"/>
        </w:rPr>
        <w:footnoteRef/>
      </w:r>
      <w:r>
        <w:t xml:space="preserve"> </w:t>
      </w:r>
      <w:r>
        <w:t xml:space="preserve">Lee 1996, PMID 8944003; Ohtaki 2001, PMID 11385580.</w:t>
      </w:r>
    </w:p>
  </w:footnote>
  <w:footnote w:id="2178">
    <w:p>
      <w:pPr>
        <w:pStyle w:val="FootnoteText"/>
      </w:pPr>
      <w:r>
        <w:rPr>
          <w:rStyle w:val="FootnoteReference"/>
        </w:rPr>
        <w:footnoteRef/>
      </w:r>
      <w:r>
        <w:t xml:space="preserve"> </w:t>
      </w:r>
      <w:r>
        <w:t xml:space="preserve">Romero-Ruiz 2019, PMID 31820802.</w:t>
      </w:r>
    </w:p>
  </w:footnote>
  <w:footnote w:id="2179">
    <w:p>
      <w:pPr>
        <w:pStyle w:val="FootnoteText"/>
      </w:pPr>
      <w:r>
        <w:rPr>
          <w:rStyle w:val="FootnoteReference"/>
        </w:rPr>
        <w:footnoteRef/>
      </w:r>
      <w:r>
        <w:t xml:space="preserve"> </w:t>
      </w:r>
      <w:r>
        <w:t xml:space="preserve">Koysombat 2025, PMID 39813600.</w:t>
      </w:r>
    </w:p>
  </w:footnote>
  <w:footnote w:id="2181">
    <w:p>
      <w:pPr>
        <w:pStyle w:val="FootnoteText"/>
      </w:pPr>
      <w:r>
        <w:rPr>
          <w:rStyle w:val="FootnoteReference"/>
        </w:rPr>
        <w:footnoteRef/>
      </w:r>
      <w:r>
        <w:t xml:space="preserve"> </w:t>
      </w:r>
      <w:r>
        <w:t xml:space="preserve">Jayasena 2010, PMID 20980998; Thurston 2022, PMID 36287566; Mills 2025, PMID 40215751.</w:t>
      </w:r>
    </w:p>
  </w:footnote>
  <w:footnote w:id="2182">
    <w:p>
      <w:pPr>
        <w:pStyle w:val="FootnoteText"/>
      </w:pPr>
      <w:r>
        <w:rPr>
          <w:rStyle w:val="FootnoteReference"/>
        </w:rPr>
        <w:footnoteRef/>
      </w:r>
      <w:r>
        <w:t xml:space="preserve"> </w:t>
      </w:r>
      <w:r>
        <w:t xml:space="preserve">Jayasena 2014, PMID 24863252.</w:t>
      </w:r>
    </w:p>
  </w:footnote>
  <w:footnote w:id="2183">
    <w:p>
      <w:pPr>
        <w:pStyle w:val="FootnoteText"/>
      </w:pPr>
      <w:r>
        <w:rPr>
          <w:rStyle w:val="FootnoteReference"/>
        </w:rPr>
        <w:footnoteRef/>
      </w:r>
      <w:r>
        <w:t xml:space="preserve"> </w:t>
      </w:r>
      <w:r>
        <w:t xml:space="preserve">Mills 2025, PMID 40036336.</w:t>
      </w:r>
    </w:p>
  </w:footnote>
  <w:footnote w:id="2184">
    <w:p>
      <w:pPr>
        <w:pStyle w:val="FootnoteText"/>
      </w:pPr>
      <w:r>
        <w:rPr>
          <w:rStyle w:val="FootnoteReference"/>
        </w:rPr>
        <w:footnoteRef/>
      </w:r>
      <w:r>
        <w:t xml:space="preserve"> </w:t>
      </w:r>
      <w:r>
        <w:t xml:space="preserve">MacLean 2014, PMID 24762108.</w:t>
      </w:r>
    </w:p>
  </w:footnote>
  <w:footnote w:id="2190">
    <w:p>
      <w:pPr>
        <w:pStyle w:val="FootnoteText"/>
      </w:pPr>
      <w:r>
        <w:rPr>
          <w:rStyle w:val="FootnoteReference"/>
        </w:rPr>
        <w:footnoteRef/>
      </w:r>
      <w:r>
        <w:t xml:space="preserve"> </w:t>
      </w:r>
      <w:r>
        <w:t xml:space="preserve">NCT07224490.</w:t>
      </w:r>
    </w:p>
  </w:footnote>
  <w:footnote w:id="2191">
    <w:p>
      <w:pPr>
        <w:pStyle w:val="FootnoteText"/>
      </w:pPr>
      <w:r>
        <w:rPr>
          <w:rStyle w:val="FootnoteReference"/>
        </w:rPr>
        <w:footnoteRef/>
      </w:r>
      <w:r>
        <w:t xml:space="preserve"> </w:t>
      </w:r>
      <w:r>
        <w:t xml:space="preserve">NCT04648969.</w:t>
      </w:r>
    </w:p>
  </w:footnote>
  <w:footnote w:id="2197">
    <w:p>
      <w:pPr>
        <w:pStyle w:val="FootnoteText"/>
      </w:pPr>
      <w:r>
        <w:rPr>
          <w:rStyle w:val="FootnoteReference"/>
        </w:rPr>
        <w:footnoteRef/>
      </w:r>
      <w:r>
        <w:t xml:space="preserve"> </w:t>
      </w:r>
      <w:r>
        <w:t xml:space="preserve">Leng 2016, PMID 26049207.</w:t>
      </w:r>
    </w:p>
  </w:footnote>
  <w:footnote w:id="2198">
    <w:p>
      <w:pPr>
        <w:pStyle w:val="FootnoteText"/>
      </w:pPr>
      <w:r>
        <w:rPr>
          <w:rStyle w:val="FootnoteReference"/>
        </w:rPr>
        <w:footnoteRef/>
      </w:r>
      <w:r>
        <w:t xml:space="preserve"> </w:t>
      </w:r>
      <w:r>
        <w:t xml:space="preserve">Lee 2018, PMID 28289281.</w:t>
      </w:r>
    </w:p>
  </w:footnote>
  <w:footnote w:id="2199">
    <w:p>
      <w:pPr>
        <w:pStyle w:val="FootnoteText"/>
      </w:pPr>
      <w:r>
        <w:rPr>
          <w:rStyle w:val="FootnoteReference"/>
        </w:rPr>
        <w:footnoteRef/>
      </w:r>
      <w:r>
        <w:t xml:space="preserve"> </w:t>
      </w:r>
      <w:r>
        <w:t xml:space="preserve">Lee 2020, PMID 32494001.</w:t>
      </w:r>
    </w:p>
  </w:footnote>
  <w:footnote w:id="2200">
    <w:p>
      <w:pPr>
        <w:pStyle w:val="FootnoteText"/>
      </w:pPr>
      <w:r>
        <w:rPr>
          <w:rStyle w:val="FootnoteReference"/>
        </w:rPr>
        <w:footnoteRef/>
      </w:r>
      <w:r>
        <w:t xml:space="preserve"> </w:t>
      </w:r>
      <w:r>
        <w:t xml:space="preserve">Martins 2020, PMID 32127545.</w:t>
      </w:r>
    </w:p>
  </w:footnote>
  <w:footnote w:id="2201">
    <w:p>
      <w:pPr>
        <w:pStyle w:val="FootnoteText"/>
      </w:pPr>
      <w:r>
        <w:rPr>
          <w:rStyle w:val="FootnoteReference"/>
        </w:rPr>
        <w:footnoteRef/>
      </w:r>
      <w:r>
        <w:t xml:space="preserve"> </w:t>
      </w:r>
      <w:r>
        <w:t xml:space="preserve">Valstad 2017, PMID 28442403.</w:t>
      </w:r>
    </w:p>
  </w:footnote>
  <w:footnote w:id="2202">
    <w:p>
      <w:pPr>
        <w:pStyle w:val="FootnoteText"/>
      </w:pPr>
      <w:r>
        <w:rPr>
          <w:rStyle w:val="FootnoteReference"/>
        </w:rPr>
        <w:footnoteRef/>
      </w:r>
      <w:r>
        <w:t xml:space="preserve"> </w:t>
      </w:r>
      <w:r>
        <w:t xml:space="preserve">Leng 2016, PMID 26049207.</w:t>
      </w:r>
    </w:p>
  </w:footnote>
  <w:footnote w:id="2203">
    <w:p>
      <w:pPr>
        <w:pStyle w:val="FootnoteText"/>
      </w:pPr>
      <w:r>
        <w:rPr>
          <w:rStyle w:val="FootnoteReference"/>
        </w:rPr>
        <w:footnoteRef/>
      </w:r>
      <w:r>
        <w:t xml:space="preserve"> </w:t>
      </w:r>
      <w:r>
        <w:t xml:space="preserve">Quintana 2021, PMID 32807845.</w:t>
      </w:r>
    </w:p>
  </w:footnote>
  <w:footnote w:id="2205">
    <w:p>
      <w:pPr>
        <w:pStyle w:val="FootnoteText"/>
      </w:pPr>
      <w:r>
        <w:rPr>
          <w:rStyle w:val="FootnoteReference"/>
        </w:rPr>
        <w:footnoteRef/>
      </w:r>
      <w:r>
        <w:t xml:space="preserve"> </w:t>
      </w:r>
      <w:r>
        <w:t xml:space="preserve">Salati 2019, PMID 31032882.</w:t>
      </w:r>
    </w:p>
  </w:footnote>
  <w:footnote w:id="2208">
    <w:p>
      <w:pPr>
        <w:pStyle w:val="FootnoteText"/>
      </w:pPr>
      <w:r>
        <w:rPr>
          <w:rStyle w:val="FootnoteReference"/>
        </w:rPr>
        <w:footnoteRef/>
      </w:r>
      <w:r>
        <w:t xml:space="preserve"> </w:t>
      </w:r>
      <w:r>
        <w:t xml:space="preserve">Kosfeld 2005, PMID 15931222.</w:t>
      </w:r>
    </w:p>
  </w:footnote>
  <w:footnote w:id="2209">
    <w:p>
      <w:pPr>
        <w:pStyle w:val="FootnoteText"/>
      </w:pPr>
      <w:r>
        <w:rPr>
          <w:rStyle w:val="FootnoteReference"/>
        </w:rPr>
        <w:footnoteRef/>
      </w:r>
      <w:r>
        <w:t xml:space="preserve"> </w:t>
      </w:r>
      <w:r>
        <w:t xml:space="preserve">Heinrichs 2003, PMID 14675803.</w:t>
      </w:r>
    </w:p>
  </w:footnote>
  <w:footnote w:id="2210">
    <w:p>
      <w:pPr>
        <w:pStyle w:val="FootnoteText"/>
      </w:pPr>
      <w:r>
        <w:rPr>
          <w:rStyle w:val="FootnoteReference"/>
        </w:rPr>
        <w:footnoteRef/>
      </w:r>
      <w:r>
        <w:t xml:space="preserve"> </w:t>
      </w:r>
      <w:r>
        <w:t xml:space="preserve">Leppanen 2017, PMID 28467893.</w:t>
      </w:r>
    </w:p>
  </w:footnote>
  <w:footnote w:id="2212">
    <w:p>
      <w:pPr>
        <w:pStyle w:val="FootnoteText"/>
      </w:pPr>
      <w:r>
        <w:rPr>
          <w:rStyle w:val="FootnoteReference"/>
        </w:rPr>
        <w:footnoteRef/>
      </w:r>
      <w:r>
        <w:t xml:space="preserve"> </w:t>
      </w:r>
      <w:r>
        <w:t xml:space="preserve">Nave 2015, PMID 26581735.</w:t>
      </w:r>
    </w:p>
  </w:footnote>
  <w:footnote w:id="2213">
    <w:p>
      <w:pPr>
        <w:pStyle w:val="FootnoteText"/>
      </w:pPr>
      <w:r>
        <w:rPr>
          <w:rStyle w:val="FootnoteReference"/>
        </w:rPr>
        <w:footnoteRef/>
      </w:r>
      <w:r>
        <w:t xml:space="preserve"> </w:t>
      </w:r>
      <w:r>
        <w:t xml:space="preserve">Walum 2016, PMID 26210057.</w:t>
      </w:r>
    </w:p>
  </w:footnote>
  <w:footnote w:id="2214">
    <w:p>
      <w:pPr>
        <w:pStyle w:val="FootnoteText"/>
      </w:pPr>
      <w:r>
        <w:rPr>
          <w:rStyle w:val="FootnoteReference"/>
        </w:rPr>
        <w:footnoteRef/>
      </w:r>
      <w:r>
        <w:t xml:space="preserve"> </w:t>
      </w:r>
      <w:r>
        <w:t xml:space="preserve">Declerck 2020, PMID 32514040.</w:t>
      </w:r>
    </w:p>
  </w:footnote>
  <w:footnote w:id="2215">
    <w:p>
      <w:pPr>
        <w:pStyle w:val="FootnoteText"/>
      </w:pPr>
      <w:r>
        <w:rPr>
          <w:rStyle w:val="FootnoteReference"/>
        </w:rPr>
        <w:footnoteRef/>
      </w:r>
      <w:r>
        <w:t xml:space="preserve"> </w:t>
      </w:r>
      <w:r>
        <w:t xml:space="preserve">Vogt 2026, PMID 42561025.</w:t>
      </w:r>
    </w:p>
  </w:footnote>
  <w:footnote w:id="2216">
    <w:p>
      <w:pPr>
        <w:pStyle w:val="FootnoteText"/>
      </w:pPr>
      <w:r>
        <w:rPr>
          <w:rStyle w:val="FootnoteReference"/>
        </w:rPr>
        <w:footnoteRef/>
      </w:r>
      <w:r>
        <w:t xml:space="preserve"> </w:t>
      </w:r>
      <w:r>
        <w:t xml:space="preserve">Iversen 2026, PMID 41389446.</w:t>
      </w:r>
    </w:p>
  </w:footnote>
  <w:footnote w:id="2218">
    <w:p>
      <w:pPr>
        <w:pStyle w:val="FootnoteText"/>
      </w:pPr>
      <w:r>
        <w:rPr>
          <w:rStyle w:val="FootnoteReference"/>
        </w:rPr>
        <w:footnoteRef/>
      </w:r>
      <w:r>
        <w:t xml:space="preserve"> </w:t>
      </w:r>
      <w:r>
        <w:t xml:space="preserve">Sikich 2021, PMID 34644471.</w:t>
      </w:r>
    </w:p>
  </w:footnote>
  <w:footnote w:id="2219">
    <w:p>
      <w:pPr>
        <w:pStyle w:val="FootnoteText"/>
      </w:pPr>
      <w:r>
        <w:rPr>
          <w:rStyle w:val="FootnoteReference"/>
        </w:rPr>
        <w:footnoteRef/>
      </w:r>
      <w:r>
        <w:t xml:space="preserve"> </w:t>
      </w:r>
      <w:r>
        <w:t xml:space="preserve">Preti 2014, PMID 24679173.</w:t>
      </w:r>
    </w:p>
  </w:footnote>
  <w:footnote w:id="2220">
    <w:p>
      <w:pPr>
        <w:pStyle w:val="FootnoteText"/>
      </w:pPr>
      <w:r>
        <w:rPr>
          <w:rStyle w:val="FootnoteReference"/>
        </w:rPr>
        <w:footnoteRef/>
      </w:r>
      <w:r>
        <w:t xml:space="preserve"> </w:t>
      </w:r>
      <w:r>
        <w:t xml:space="preserve">Sikich 2021, PMID 34644471; NCT01944046.</w:t>
      </w:r>
    </w:p>
  </w:footnote>
  <w:footnote w:id="2221">
    <w:p>
      <w:pPr>
        <w:pStyle w:val="FootnoteText"/>
      </w:pPr>
      <w:r>
        <w:rPr>
          <w:rStyle w:val="FootnoteReference"/>
        </w:rPr>
        <w:footnoteRef/>
      </w:r>
      <w:r>
        <w:t xml:space="preserve"> </w:t>
      </w:r>
      <w:r>
        <w:t xml:space="preserve">Yatawara 2016, PMID 26503762.</w:t>
      </w:r>
    </w:p>
  </w:footnote>
  <w:footnote w:id="2222">
    <w:p>
      <w:pPr>
        <w:pStyle w:val="FootnoteText"/>
      </w:pPr>
      <w:r>
        <w:rPr>
          <w:rStyle w:val="FootnoteReference"/>
        </w:rPr>
        <w:footnoteRef/>
      </w:r>
      <w:r>
        <w:t xml:space="preserve"> </w:t>
      </w:r>
      <w:r>
        <w:t xml:space="preserve">Guastella 2023, PMID 36302965.</w:t>
      </w:r>
    </w:p>
  </w:footnote>
  <w:footnote w:id="2223">
    <w:p>
      <w:pPr>
        <w:pStyle w:val="FootnoteText"/>
      </w:pPr>
      <w:r>
        <w:rPr>
          <w:rStyle w:val="FootnoteReference"/>
        </w:rPr>
        <w:footnoteRef/>
      </w:r>
      <w:r>
        <w:t xml:space="preserve"> </w:t>
      </w:r>
      <w:r>
        <w:t xml:space="preserve">Guastella 2015, PMID 25087908.</w:t>
      </w:r>
    </w:p>
  </w:footnote>
  <w:footnote w:id="2224">
    <w:p>
      <w:pPr>
        <w:pStyle w:val="FootnoteText"/>
      </w:pPr>
      <w:r>
        <w:rPr>
          <w:rStyle w:val="FootnoteReference"/>
        </w:rPr>
        <w:footnoteRef/>
      </w:r>
      <w:r>
        <w:t xml:space="preserve"> </w:t>
      </w:r>
      <w:r>
        <w:t xml:space="preserve">Moerkerke 2024, PMID 38167302.</w:t>
      </w:r>
    </w:p>
  </w:footnote>
  <w:footnote w:id="2225">
    <w:p>
      <w:pPr>
        <w:pStyle w:val="FootnoteText"/>
      </w:pPr>
      <w:r>
        <w:rPr>
          <w:rStyle w:val="FootnoteReference"/>
        </w:rPr>
        <w:footnoteRef/>
      </w:r>
      <w:r>
        <w:t xml:space="preserve"> </w:t>
      </w:r>
      <w:r>
        <w:t xml:space="preserve">Moerkerke 2024, PMID 39709442.</w:t>
      </w:r>
    </w:p>
  </w:footnote>
  <w:footnote w:id="2226">
    <w:p>
      <w:pPr>
        <w:pStyle w:val="FootnoteText"/>
      </w:pPr>
      <w:r>
        <w:rPr>
          <w:rStyle w:val="FootnoteReference"/>
        </w:rPr>
        <w:footnoteRef/>
      </w:r>
      <w:r>
        <w:t xml:space="preserve"> </w:t>
      </w:r>
      <w:r>
        <w:t xml:space="preserve">Keech 2018, PMID 29032324.</w:t>
      </w:r>
    </w:p>
  </w:footnote>
  <w:footnote w:id="2227">
    <w:p>
      <w:pPr>
        <w:pStyle w:val="FootnoteText"/>
      </w:pPr>
      <w:r>
        <w:rPr>
          <w:rStyle w:val="FootnoteReference"/>
        </w:rPr>
        <w:footnoteRef/>
      </w:r>
      <w:r>
        <w:t xml:space="preserve"> </w:t>
      </w:r>
      <w:r>
        <w:t xml:space="preserve">Huang 2021, PMID 33400920.</w:t>
      </w:r>
    </w:p>
  </w:footnote>
  <w:footnote w:id="2228">
    <w:p>
      <w:pPr>
        <w:pStyle w:val="FootnoteText"/>
      </w:pPr>
      <w:r>
        <w:rPr>
          <w:rStyle w:val="FootnoteReference"/>
        </w:rPr>
        <w:footnoteRef/>
      </w:r>
      <w:r>
        <w:t xml:space="preserve"> </w:t>
      </w:r>
      <w:r>
        <w:t xml:space="preserve">Bonnieux 2026, PMID 42134427.</w:t>
      </w:r>
    </w:p>
  </w:footnote>
  <w:footnote w:id="2229">
    <w:p>
      <w:pPr>
        <w:pStyle w:val="FootnoteText"/>
      </w:pPr>
      <w:r>
        <w:rPr>
          <w:rStyle w:val="FootnoteReference"/>
        </w:rPr>
        <w:footnoteRef/>
      </w:r>
      <w:r>
        <w:t xml:space="preserve"> </w:t>
      </w:r>
      <w:r>
        <w:t xml:space="preserve">Boulton 2026, PMID 42144048.</w:t>
      </w:r>
    </w:p>
  </w:footnote>
  <w:footnote w:id="2231">
    <w:p>
      <w:pPr>
        <w:pStyle w:val="FootnoteText"/>
      </w:pPr>
      <w:r>
        <w:rPr>
          <w:rStyle w:val="FootnoteReference"/>
        </w:rPr>
        <w:footnoteRef/>
      </w:r>
      <w:r>
        <w:t xml:space="preserve"> </w:t>
      </w:r>
      <w:r>
        <w:t xml:space="preserve">Jarskog 2017, PMID 28094169.</w:t>
      </w:r>
    </w:p>
  </w:footnote>
  <w:footnote w:id="2232">
    <w:p>
      <w:pPr>
        <w:pStyle w:val="FootnoteText"/>
      </w:pPr>
      <w:r>
        <w:rPr>
          <w:rStyle w:val="FootnoteReference"/>
        </w:rPr>
        <w:footnoteRef/>
      </w:r>
      <w:r>
        <w:t xml:space="preserve"> </w:t>
      </w:r>
      <w:r>
        <w:t xml:space="preserve">Sabe 2021, PMID 33890987.</w:t>
      </w:r>
    </w:p>
  </w:footnote>
  <w:footnote w:id="2233">
    <w:p>
      <w:pPr>
        <w:pStyle w:val="FootnoteText"/>
      </w:pPr>
      <w:r>
        <w:rPr>
          <w:rStyle w:val="FootnoteReference"/>
        </w:rPr>
        <w:footnoteRef/>
      </w:r>
      <w:r>
        <w:t xml:space="preserve"> </w:t>
      </w:r>
      <w:r>
        <w:t xml:space="preserve">Bonnieux 2026, PMID 42134427.</w:t>
      </w:r>
    </w:p>
  </w:footnote>
  <w:footnote w:id="2234">
    <w:p>
      <w:pPr>
        <w:pStyle w:val="FootnoteText"/>
      </w:pPr>
      <w:r>
        <w:rPr>
          <w:rStyle w:val="FootnoteReference"/>
        </w:rPr>
        <w:footnoteRef/>
      </w:r>
      <w:r>
        <w:t xml:space="preserve"> </w:t>
      </w:r>
      <w:r>
        <w:t xml:space="preserve">Melby 2019, PMID 30784955.</w:t>
      </w:r>
    </w:p>
  </w:footnote>
  <w:footnote w:id="2235">
    <w:p>
      <w:pPr>
        <w:pStyle w:val="FootnoteText"/>
      </w:pPr>
      <w:r>
        <w:rPr>
          <w:rStyle w:val="FootnoteReference"/>
        </w:rPr>
        <w:footnoteRef/>
      </w:r>
      <w:r>
        <w:t xml:space="preserve"> </w:t>
      </w:r>
      <w:r>
        <w:t xml:space="preserve">Santos 2026, PMID 42335670.</w:t>
      </w:r>
    </w:p>
  </w:footnote>
  <w:footnote w:id="2236">
    <w:p>
      <w:pPr>
        <w:pStyle w:val="FootnoteText"/>
      </w:pPr>
      <w:r>
        <w:rPr>
          <w:rStyle w:val="FootnoteReference"/>
        </w:rPr>
        <w:footnoteRef/>
      </w:r>
      <w:r>
        <w:t xml:space="preserve"> </w:t>
      </w:r>
      <w:r>
        <w:t xml:space="preserve">Pérez-Arqueros 2025, PMID 39366103.</w:t>
      </w:r>
    </w:p>
  </w:footnote>
  <w:footnote w:id="2237">
    <w:p>
      <w:pPr>
        <w:pStyle w:val="FootnoteText"/>
      </w:pPr>
      <w:r>
        <w:rPr>
          <w:rStyle w:val="FootnoteReference"/>
        </w:rPr>
        <w:footnoteRef/>
      </w:r>
      <w:r>
        <w:t xml:space="preserve"> </w:t>
      </w:r>
      <w:r>
        <w:t xml:space="preserve">Riem 2025, PMID 40614394.</w:t>
      </w:r>
    </w:p>
  </w:footnote>
  <w:footnote w:id="2239">
    <w:p>
      <w:pPr>
        <w:pStyle w:val="FootnoteText"/>
      </w:pPr>
      <w:r>
        <w:rPr>
          <w:rStyle w:val="FootnoteReference"/>
        </w:rPr>
        <w:footnoteRef/>
      </w:r>
      <w:r>
        <w:t xml:space="preserve"> </w:t>
      </w:r>
      <w:r>
        <w:t xml:space="preserve">Chen 2021, PMID 34600216.</w:t>
      </w:r>
    </w:p>
  </w:footnote>
  <w:footnote w:id="2240">
    <w:p>
      <w:pPr>
        <w:pStyle w:val="FootnoteText"/>
      </w:pPr>
      <w:r>
        <w:rPr>
          <w:rStyle w:val="FootnoteReference"/>
        </w:rPr>
        <w:footnoteRef/>
      </w:r>
      <w:r>
        <w:t xml:space="preserve"> </w:t>
      </w:r>
      <w:r>
        <w:t xml:space="preserve">Plessow 2024, PMID 38815173.</w:t>
      </w:r>
    </w:p>
  </w:footnote>
  <w:footnote w:id="2241">
    <w:p>
      <w:pPr>
        <w:pStyle w:val="FootnoteText"/>
      </w:pPr>
      <w:r>
        <w:rPr>
          <w:rStyle w:val="FootnoteReference"/>
        </w:rPr>
        <w:footnoteRef/>
      </w:r>
      <w:r>
        <w:t xml:space="preserve"> </w:t>
      </w:r>
      <w:r>
        <w:t xml:space="preserve">Espinoza 2021, PMID 34029521.</w:t>
      </w:r>
    </w:p>
  </w:footnote>
  <w:footnote w:id="2242">
    <w:p>
      <w:pPr>
        <w:pStyle w:val="FootnoteText"/>
      </w:pPr>
      <w:r>
        <w:rPr>
          <w:rStyle w:val="FootnoteReference"/>
        </w:rPr>
        <w:footnoteRef/>
      </w:r>
      <w:r>
        <w:t xml:space="preserve"> </w:t>
      </w:r>
      <w:r>
        <w:t xml:space="preserve">Shalma 2023, PMID 36774885.</w:t>
      </w:r>
    </w:p>
  </w:footnote>
  <w:footnote w:id="2243">
    <w:p>
      <w:pPr>
        <w:pStyle w:val="FootnoteText"/>
      </w:pPr>
      <w:r>
        <w:rPr>
          <w:rStyle w:val="FootnoteReference"/>
        </w:rPr>
        <w:footnoteRef/>
      </w:r>
      <w:r>
        <w:t xml:space="preserve"> </w:t>
      </w:r>
      <w:r>
        <w:t xml:space="preserve">Hollander 2021, PMID 33190843.</w:t>
      </w:r>
    </w:p>
  </w:footnote>
  <w:footnote w:id="2244">
    <w:p>
      <w:pPr>
        <w:pStyle w:val="FootnoteText"/>
      </w:pPr>
      <w:r>
        <w:rPr>
          <w:rStyle w:val="FootnoteReference"/>
        </w:rPr>
        <w:footnoteRef/>
      </w:r>
      <w:r>
        <w:t xml:space="preserve"> </w:t>
      </w:r>
      <w:r>
        <w:t xml:space="preserve">Lopes 2023, PMID 36463692.</w:t>
      </w:r>
    </w:p>
  </w:footnote>
  <w:footnote w:id="2246">
    <w:p>
      <w:pPr>
        <w:pStyle w:val="FootnoteText"/>
      </w:pPr>
      <w:r>
        <w:rPr>
          <w:rStyle w:val="FootnoteReference"/>
        </w:rPr>
        <w:footnoteRef/>
      </w:r>
      <w:r>
        <w:t xml:space="preserve"> </w:t>
      </w:r>
      <w:r>
        <w:t xml:space="preserve">Burri 2008, PMID 18375074.</w:t>
      </w:r>
    </w:p>
  </w:footnote>
  <w:footnote w:id="2247">
    <w:p>
      <w:pPr>
        <w:pStyle w:val="FootnoteText"/>
      </w:pPr>
      <w:r>
        <w:rPr>
          <w:rStyle w:val="FootnoteReference"/>
        </w:rPr>
        <w:footnoteRef/>
      </w:r>
      <w:r>
        <w:t xml:space="preserve"> </w:t>
      </w:r>
      <w:r>
        <w:t xml:space="preserve">Weinberger 2018, PMID 29995725.</w:t>
      </w:r>
    </w:p>
  </w:footnote>
  <w:footnote w:id="2249">
    <w:p>
      <w:pPr>
        <w:pStyle w:val="FootnoteText"/>
      </w:pPr>
      <w:r>
        <w:rPr>
          <w:rStyle w:val="FootnoteReference"/>
        </w:rPr>
        <w:footnoteRef/>
      </w:r>
      <w:r>
        <w:t xml:space="preserve"> </w:t>
      </w:r>
      <w:r>
        <w:t xml:space="preserve">Atila 2023, PMID 37192642.</w:t>
      </w:r>
    </w:p>
  </w:footnote>
  <w:footnote w:id="2250">
    <w:p>
      <w:pPr>
        <w:pStyle w:val="FootnoteText"/>
      </w:pPr>
      <w:r>
        <w:rPr>
          <w:rStyle w:val="FootnoteReference"/>
        </w:rPr>
        <w:footnoteRef/>
      </w:r>
      <w:r>
        <w:t xml:space="preserve"> </w:t>
      </w:r>
      <w:r>
        <w:t xml:space="preserve">NCT06036004.</w:t>
      </w:r>
    </w:p>
  </w:footnote>
  <w:footnote w:id="2253">
    <w:p>
      <w:pPr>
        <w:pStyle w:val="FootnoteText"/>
      </w:pPr>
      <w:r>
        <w:rPr>
          <w:rStyle w:val="FootnoteReference"/>
        </w:rPr>
        <w:footnoteRef/>
      </w:r>
      <w:r>
        <w:t xml:space="preserve"> </w:t>
      </w:r>
      <w:r>
        <w:t xml:space="preserve">Minakova 2019, PMID 30629642.</w:t>
      </w:r>
    </w:p>
  </w:footnote>
  <w:footnote w:id="2254">
    <w:p>
      <w:pPr>
        <w:pStyle w:val="FootnoteText"/>
      </w:pPr>
      <w:r>
        <w:rPr>
          <w:rStyle w:val="FootnoteReference"/>
        </w:rPr>
        <w:footnoteRef/>
      </w:r>
      <w:r>
        <w:t xml:space="preserve"> </w:t>
      </w:r>
      <w:r>
        <w:t xml:space="preserve">Lee 2020, PMID 32494001.</w:t>
      </w:r>
    </w:p>
  </w:footnote>
  <w:footnote w:id="2256">
    <w:p>
      <w:pPr>
        <w:pStyle w:val="FootnoteText"/>
      </w:pPr>
      <w:r>
        <w:rPr>
          <w:rStyle w:val="FootnoteReference"/>
        </w:rPr>
        <w:footnoteRef/>
      </w:r>
      <w:r>
        <w:t xml:space="preserve"> </w:t>
      </w:r>
      <w:r>
        <w:t xml:space="preserve">MacDonald 2011, PMID 21429671.</w:t>
      </w:r>
    </w:p>
  </w:footnote>
  <w:footnote w:id="2257">
    <w:p>
      <w:pPr>
        <w:pStyle w:val="FootnoteText"/>
      </w:pPr>
      <w:r>
        <w:rPr>
          <w:rStyle w:val="FootnoteReference"/>
        </w:rPr>
        <w:footnoteRef/>
      </w:r>
      <w:r>
        <w:t xml:space="preserve"> </w:t>
      </w:r>
      <w:r>
        <w:t xml:space="preserve">Sikich 2021, PMID 34644471.</w:t>
      </w:r>
    </w:p>
  </w:footnote>
  <w:footnote w:id="2258">
    <w:p>
      <w:pPr>
        <w:pStyle w:val="FootnoteText"/>
      </w:pPr>
      <w:r>
        <w:rPr>
          <w:rStyle w:val="FootnoteReference"/>
        </w:rPr>
        <w:footnoteRef/>
      </w:r>
      <w:r>
        <w:t xml:space="preserve"> </w:t>
      </w:r>
      <w:r>
        <w:t xml:space="preserve">Rung 2021, PMID 33982141.</w:t>
      </w:r>
    </w:p>
  </w:footnote>
  <w:footnote w:id="2259">
    <w:p>
      <w:pPr>
        <w:pStyle w:val="FootnoteText"/>
      </w:pPr>
      <w:r>
        <w:rPr>
          <w:rStyle w:val="FootnoteReference"/>
        </w:rPr>
        <w:footnoteRef/>
      </w:r>
      <w:r>
        <w:t xml:space="preserve"> </w:t>
      </w:r>
      <w:r>
        <w:t xml:space="preserve">Yatawara 2016, PMID 26503762.</w:t>
      </w:r>
    </w:p>
  </w:footnote>
  <w:footnote w:id="2261">
    <w:p>
      <w:pPr>
        <w:pStyle w:val="FootnoteText"/>
      </w:pPr>
      <w:r>
        <w:rPr>
          <w:rStyle w:val="FootnoteReference"/>
        </w:rPr>
        <w:footnoteRef/>
      </w:r>
      <w:r>
        <w:t xml:space="preserve"> </w:t>
      </w:r>
      <w:r>
        <w:t xml:space="preserve">Mayer-Hubner 1996, PMID 8596357.</w:t>
      </w:r>
    </w:p>
  </w:footnote>
  <w:footnote w:id="2262">
    <w:p>
      <w:pPr>
        <w:pStyle w:val="FootnoteText"/>
      </w:pPr>
      <w:r>
        <w:rPr>
          <w:rStyle w:val="FootnoteReference"/>
        </w:rPr>
        <w:footnoteRef/>
      </w:r>
      <w:r>
        <w:t xml:space="preserve"> </w:t>
      </w:r>
      <w:r>
        <w:t xml:space="preserve">Meusel 2021, PMID 33296278.</w:t>
      </w:r>
    </w:p>
  </w:footnote>
  <w:footnote w:id="2267">
    <w:p>
      <w:pPr>
        <w:pStyle w:val="FootnoteText"/>
      </w:pPr>
      <w:r>
        <w:rPr>
          <w:rStyle w:val="FootnoteReference"/>
        </w:rPr>
        <w:footnoteRef/>
      </w:r>
      <w:r>
        <w:t xml:space="preserve"> </w:t>
      </w:r>
      <w:r>
        <w:t xml:space="preserve">NCT04903002.</w:t>
      </w:r>
    </w:p>
  </w:footnote>
  <w:footnote w:id="2268">
    <w:p>
      <w:pPr>
        <w:pStyle w:val="FootnoteText"/>
      </w:pPr>
      <w:r>
        <w:rPr>
          <w:rStyle w:val="FootnoteReference"/>
        </w:rPr>
        <w:footnoteRef/>
      </w:r>
      <w:r>
        <w:t xml:space="preserve"> </w:t>
      </w:r>
      <w:r>
        <w:t xml:space="preserve">NCT06036004.</w:t>
      </w:r>
    </w:p>
  </w:footnote>
  <w:footnote w:id="2269">
    <w:p>
      <w:pPr>
        <w:pStyle w:val="FootnoteText"/>
      </w:pPr>
      <w:r>
        <w:rPr>
          <w:rStyle w:val="FootnoteReference"/>
        </w:rPr>
        <w:footnoteRef/>
      </w:r>
      <w:r>
        <w:t xml:space="preserve"> </w:t>
      </w:r>
      <w:r>
        <w:t xml:space="preserve">NCT05754073.</w:t>
      </w:r>
    </w:p>
  </w:footnote>
  <w:footnote w:id="2270">
    <w:p>
      <w:pPr>
        <w:pStyle w:val="FootnoteText"/>
      </w:pPr>
      <w:r>
        <w:rPr>
          <w:rStyle w:val="FootnoteReference"/>
        </w:rPr>
        <w:footnoteRef/>
      </w:r>
      <w:r>
        <w:t xml:space="preserve"> </w:t>
      </w:r>
      <w:r>
        <w:t xml:space="preserve">NCT05664516.</w:t>
      </w:r>
    </w:p>
  </w:footnote>
  <w:footnote w:id="2271">
    <w:p>
      <w:pPr>
        <w:pStyle w:val="FootnoteText"/>
      </w:pPr>
      <w:r>
        <w:rPr>
          <w:rStyle w:val="FootnoteReference"/>
        </w:rPr>
        <w:footnoteRef/>
      </w:r>
      <w:r>
        <w:t xml:space="preserve"> </w:t>
      </w:r>
      <w:r>
        <w:t xml:space="preserve">NCT07730294.</w:t>
      </w:r>
    </w:p>
  </w:footnote>
  <w:footnote w:id="2277">
    <w:p>
      <w:pPr>
        <w:pStyle w:val="FootnoteText"/>
      </w:pPr>
      <w:r>
        <w:rPr>
          <w:rStyle w:val="FootnoteReference"/>
        </w:rPr>
        <w:footnoteRef/>
      </w:r>
      <w:r>
        <w:t xml:space="preserve"> </w:t>
      </w:r>
      <w:r>
        <w:t xml:space="preserve">Steg 1985, PMID 2934695.</w:t>
      </w:r>
    </w:p>
  </w:footnote>
  <w:footnote w:id="2278">
    <w:p>
      <w:pPr>
        <w:pStyle w:val="FootnoteText"/>
      </w:pPr>
      <w:r>
        <w:rPr>
          <w:rStyle w:val="FootnoteReference"/>
        </w:rPr>
        <w:footnoteRef/>
      </w:r>
      <w:r>
        <w:t xml:space="preserve"> </w:t>
      </w:r>
      <w:r>
        <w:t xml:space="preserve">Segarra 1996, PMID 8773342; Falkenbach 1997, PMID 9189734.</w:t>
      </w:r>
    </w:p>
  </w:footnote>
  <w:footnote w:id="2279">
    <w:p>
      <w:pPr>
        <w:pStyle w:val="FootnoteText"/>
      </w:pPr>
      <w:r>
        <w:rPr>
          <w:rStyle w:val="FootnoteReference"/>
        </w:rPr>
        <w:footnoteRef/>
      </w:r>
      <w:r>
        <w:t xml:space="preserve"> </w:t>
      </w:r>
      <w:r>
        <w:t xml:space="preserve">Kandemir 2011, PMID 21448328.</w:t>
      </w:r>
    </w:p>
  </w:footnote>
  <w:footnote w:id="2280">
    <w:p>
      <w:pPr>
        <w:pStyle w:val="FootnoteText"/>
      </w:pPr>
      <w:r>
        <w:rPr>
          <w:rStyle w:val="FootnoteReference"/>
        </w:rPr>
        <w:footnoteRef/>
      </w:r>
      <w:r>
        <w:t xml:space="preserve"> </w:t>
      </w:r>
      <w:r>
        <w:t xml:space="preserve">Ab Rahim 2020, PMID 32871650.</w:t>
      </w:r>
    </w:p>
  </w:footnote>
  <w:footnote w:id="2281">
    <w:p>
      <w:pPr>
        <w:pStyle w:val="FootnoteText"/>
      </w:pPr>
      <w:r>
        <w:rPr>
          <w:rStyle w:val="FootnoteReference"/>
        </w:rPr>
        <w:footnoteRef/>
      </w:r>
      <w:r>
        <w:t xml:space="preserve"> </w:t>
      </w:r>
      <w:r>
        <w:t xml:space="preserve">Chioma 2025, PMID 41384863.</w:t>
      </w:r>
    </w:p>
  </w:footnote>
  <w:footnote w:id="2283">
    <w:p>
      <w:pPr>
        <w:pStyle w:val="FootnoteText"/>
      </w:pPr>
      <w:r>
        <w:rPr>
          <w:rStyle w:val="FootnoteReference"/>
        </w:rPr>
        <w:footnoteRef/>
      </w:r>
      <w:r>
        <w:t xml:space="preserve"> </w:t>
      </w:r>
      <w:r>
        <w:t xml:space="preserve">Quaas 2022, PMID 36378460.</w:t>
      </w:r>
    </w:p>
  </w:footnote>
  <w:footnote w:id="2284">
    <w:p>
      <w:pPr>
        <w:pStyle w:val="FootnoteText"/>
      </w:pPr>
      <w:r>
        <w:rPr>
          <w:rStyle w:val="FootnoteReference"/>
        </w:rPr>
        <w:footnoteRef/>
      </w:r>
      <w:r>
        <w:t xml:space="preserve"> </w:t>
      </w:r>
      <w:r>
        <w:t xml:space="preserve">Filicori 1994, PMID 7962297.</w:t>
      </w:r>
    </w:p>
  </w:footnote>
  <w:footnote w:id="2285">
    <w:p>
      <w:pPr>
        <w:pStyle w:val="FootnoteText"/>
      </w:pPr>
      <w:r>
        <w:rPr>
          <w:rStyle w:val="FootnoteReference"/>
        </w:rPr>
        <w:footnoteRef/>
      </w:r>
      <w:r>
        <w:t xml:space="preserve"> </w:t>
      </w:r>
      <w:r>
        <w:t xml:space="preserve">Santoro 1990, PMID 2122733.</w:t>
      </w:r>
    </w:p>
  </w:footnote>
  <w:footnote w:id="2286">
    <w:p>
      <w:pPr>
        <w:pStyle w:val="FootnoteText"/>
      </w:pPr>
      <w:r>
        <w:rPr>
          <w:rStyle w:val="FootnoteReference"/>
        </w:rPr>
        <w:footnoteRef/>
      </w:r>
      <w:r>
        <w:t xml:space="preserve"> </w:t>
      </w:r>
      <w:r>
        <w:t xml:space="preserve">Christin-Maitre 2007, PMID 17293247.</w:t>
      </w:r>
    </w:p>
  </w:footnote>
  <w:footnote w:id="2287">
    <w:p>
      <w:pPr>
        <w:pStyle w:val="FootnoteText"/>
      </w:pPr>
      <w:r>
        <w:rPr>
          <w:rStyle w:val="FootnoteReference"/>
        </w:rPr>
        <w:footnoteRef/>
      </w:r>
      <w:r>
        <w:t xml:space="preserve"> </w:t>
      </w:r>
      <w:r>
        <w:t xml:space="preserve">Quaas 2022, PMID 36378460.</w:t>
      </w:r>
    </w:p>
  </w:footnote>
  <w:footnote w:id="2289">
    <w:p>
      <w:pPr>
        <w:pStyle w:val="FootnoteText"/>
      </w:pPr>
      <w:r>
        <w:rPr>
          <w:rStyle w:val="FootnoteReference"/>
        </w:rPr>
        <w:footnoteRef/>
      </w:r>
      <w:r>
        <w:t xml:space="preserve"> </w:t>
      </w:r>
      <w:r>
        <w:t xml:space="preserve">Kliesch 1994, PMID 7921222.</w:t>
      </w:r>
    </w:p>
  </w:footnote>
  <w:footnote w:id="2290">
    <w:p>
      <w:pPr>
        <w:pStyle w:val="FootnoteText"/>
      </w:pPr>
      <w:r>
        <w:rPr>
          <w:rStyle w:val="FootnoteReference"/>
        </w:rPr>
        <w:footnoteRef/>
      </w:r>
      <w:r>
        <w:t xml:space="preserve"> </w:t>
      </w:r>
      <w:r>
        <w:t xml:space="preserve">Gong 2015, PMID 25978110.</w:t>
      </w:r>
    </w:p>
  </w:footnote>
  <w:footnote w:id="2291">
    <w:p>
      <w:pPr>
        <w:pStyle w:val="FootnoteText"/>
      </w:pPr>
      <w:r>
        <w:rPr>
          <w:rStyle w:val="FootnoteReference"/>
        </w:rPr>
        <w:footnoteRef/>
      </w:r>
      <w:r>
        <w:t xml:space="preserve"> </w:t>
      </w:r>
      <w:r>
        <w:t xml:space="preserve">Dwyer 2013, PMID 24037890.</w:t>
      </w:r>
    </w:p>
  </w:footnote>
  <w:footnote w:id="2293">
    <w:p>
      <w:pPr>
        <w:pStyle w:val="FootnoteText"/>
      </w:pPr>
      <w:r>
        <w:rPr>
          <w:rStyle w:val="FootnoteReference"/>
        </w:rPr>
        <w:footnoteRef/>
      </w:r>
      <w:r>
        <w:t xml:space="preserve"> </w:t>
      </w:r>
      <w:r>
        <w:t xml:space="preserve">Spinelli 2014, PMID 25106891.</w:t>
      </w:r>
    </w:p>
  </w:footnote>
  <w:footnote w:id="2294">
    <w:p>
      <w:pPr>
        <w:pStyle w:val="FootnoteText"/>
      </w:pPr>
      <w:r>
        <w:rPr>
          <w:rStyle w:val="FootnoteReference"/>
        </w:rPr>
        <w:footnoteRef/>
      </w:r>
      <w:r>
        <w:t xml:space="preserve"> </w:t>
      </w:r>
      <w:r>
        <w:t xml:space="preserve">Fiala 2022, PMID 35691791.</w:t>
      </w:r>
    </w:p>
  </w:footnote>
  <w:footnote w:id="2298">
    <w:p>
      <w:pPr>
        <w:pStyle w:val="FootnoteText"/>
      </w:pPr>
      <w:r>
        <w:rPr>
          <w:rStyle w:val="FootnoteReference"/>
        </w:rPr>
        <w:footnoteRef/>
      </w:r>
      <w:r>
        <w:t xml:space="preserve"> </w:t>
      </w:r>
      <w:r>
        <w:t xml:space="preserve">Santoro 1990, PMID 2122733; Christin-Maitre 2007, PMID 17293247.</w:t>
      </w:r>
    </w:p>
  </w:footnote>
  <w:footnote w:id="2302">
    <w:p>
      <w:pPr>
        <w:pStyle w:val="FootnoteText"/>
      </w:pPr>
      <w:r>
        <w:rPr>
          <w:rStyle w:val="FootnoteReference"/>
        </w:rPr>
        <w:footnoteRef/>
      </w:r>
      <w:r>
        <w:t xml:space="preserve"> </w:t>
      </w:r>
      <w:r>
        <w:t xml:space="preserve">Smit 2026, PMID 42644333.</w:t>
      </w:r>
    </w:p>
  </w:footnote>
  <w:footnote w:id="2303">
    <w:p>
      <w:pPr>
        <w:pStyle w:val="FootnoteText"/>
      </w:pPr>
      <w:r>
        <w:rPr>
          <w:rStyle w:val="FootnoteReference"/>
        </w:rPr>
        <w:footnoteRef/>
      </w:r>
      <w:r>
        <w:t xml:space="preserve"> </w:t>
      </w:r>
      <w:r>
        <w:t xml:space="preserve">Smit 2021, PMID 33550376.</w:t>
      </w:r>
    </w:p>
  </w:footnote>
  <w:footnote w:id="2304">
    <w:p>
      <w:pPr>
        <w:pStyle w:val="FootnoteText"/>
      </w:pPr>
      <w:r>
        <w:rPr>
          <w:rStyle w:val="FootnoteReference"/>
        </w:rPr>
        <w:footnoteRef/>
      </w:r>
      <w:r>
        <w:t xml:space="preserve"> </w:t>
      </w:r>
      <w:r>
        <w:t xml:space="preserve">Torrini 2023, PMID 36858006.</w:t>
      </w:r>
    </w:p>
  </w:footnote>
  <w:footnote w:id="2307">
    <w:p>
      <w:pPr>
        <w:pStyle w:val="FootnoteText"/>
      </w:pPr>
      <w:r>
        <w:rPr>
          <w:rStyle w:val="FootnoteReference"/>
        </w:rPr>
        <w:footnoteRef/>
      </w:r>
      <w:r>
        <w:t xml:space="preserve"> </w:t>
      </w:r>
      <w:r>
        <w:t xml:space="preserve">NCT07152730.</w:t>
      </w:r>
    </w:p>
  </w:footnote>
  <w:footnote w:id="2308">
    <w:p>
      <w:pPr>
        <w:pStyle w:val="FootnoteText"/>
      </w:pPr>
      <w:r>
        <w:rPr>
          <w:rStyle w:val="FootnoteReference"/>
        </w:rPr>
        <w:footnoteRef/>
      </w:r>
      <w:r>
        <w:t xml:space="preserve"> </w:t>
      </w:r>
      <w:r>
        <w:t xml:space="preserve">NCT02310074.</w:t>
      </w:r>
    </w:p>
  </w:footnote>
  <w:footnote w:id="2309">
    <w:p>
      <w:pPr>
        <w:pStyle w:val="FootnoteText"/>
      </w:pPr>
      <w:r>
        <w:rPr>
          <w:rStyle w:val="FootnoteReference"/>
        </w:rPr>
        <w:footnoteRef/>
      </w:r>
      <w:r>
        <w:t xml:space="preserve"> </w:t>
      </w:r>
      <w:r>
        <w:t xml:space="preserve">NCT03989024.</w:t>
      </w:r>
    </w:p>
  </w:footnote>
  <w:footnote w:id="2314">
    <w:p>
      <w:pPr>
        <w:pStyle w:val="FootnoteText"/>
      </w:pPr>
      <w:r>
        <w:rPr>
          <w:rStyle w:val="FootnoteReference"/>
        </w:rPr>
        <w:footnoteRef/>
      </w:r>
      <w:r>
        <w:t xml:space="preserve"> </w:t>
      </w:r>
      <w:r>
        <w:t xml:space="preserve">Myung 2025, PMID 40324552.</w:t>
      </w:r>
    </w:p>
  </w:footnote>
  <w:footnote w:id="2320">
    <w:p>
      <w:pPr>
        <w:pStyle w:val="FootnoteText"/>
      </w:pPr>
      <w:r>
        <w:rPr>
          <w:rStyle w:val="FootnoteReference"/>
        </w:rPr>
        <w:footnoteRef/>
      </w:r>
      <w:r>
        <w:t xml:space="preserve"> </w:t>
      </w:r>
      <w:r>
        <w:t xml:space="preserve">Iwai 2005, PMID 16076145.</w:t>
      </w:r>
    </w:p>
  </w:footnote>
  <w:footnote w:id="2321">
    <w:p>
      <w:pPr>
        <w:pStyle w:val="FootnoteText"/>
      </w:pPr>
      <w:r>
        <w:rPr>
          <w:rStyle w:val="FootnoteReference"/>
        </w:rPr>
        <w:footnoteRef/>
      </w:r>
      <w:r>
        <w:t xml:space="preserve"> </w:t>
      </w:r>
      <w:r>
        <w:t xml:space="preserve">Yamamoto 2016, PMID 26934933.</w:t>
      </w:r>
    </w:p>
  </w:footnote>
  <w:footnote w:id="2322">
    <w:p>
      <w:pPr>
        <w:pStyle w:val="FootnoteText"/>
      </w:pPr>
      <w:r>
        <w:rPr>
          <w:rStyle w:val="FootnoteReference"/>
        </w:rPr>
        <w:footnoteRef/>
      </w:r>
      <w:r>
        <w:t xml:space="preserve"> </w:t>
      </w:r>
      <w:r>
        <w:t xml:space="preserve">Shaw 2017, PMID 27852613.</w:t>
      </w:r>
    </w:p>
  </w:footnote>
  <w:footnote w:id="2323">
    <w:p>
      <w:pPr>
        <w:pStyle w:val="FootnoteText"/>
      </w:pPr>
      <w:r>
        <w:rPr>
          <w:rStyle w:val="FootnoteReference"/>
        </w:rPr>
        <w:footnoteRef/>
      </w:r>
      <w:r>
        <w:t xml:space="preserve"> </w:t>
      </w:r>
      <w:r>
        <w:t xml:space="preserve">Stenbæk 2016, PMID 26655163.</w:t>
      </w:r>
    </w:p>
  </w:footnote>
  <w:footnote w:id="2325">
    <w:p>
      <w:pPr>
        <w:pStyle w:val="FootnoteText"/>
      </w:pPr>
      <w:r>
        <w:rPr>
          <w:rStyle w:val="FootnoteReference"/>
        </w:rPr>
        <w:footnoteRef/>
      </w:r>
      <w:r>
        <w:t xml:space="preserve"> </w:t>
      </w:r>
      <w:r>
        <w:t xml:space="preserve">Hexsel 2017, PMID 28786550.</w:t>
      </w:r>
    </w:p>
  </w:footnote>
  <w:footnote w:id="2326">
    <w:p>
      <w:pPr>
        <w:pStyle w:val="FootnoteText"/>
      </w:pPr>
      <w:r>
        <w:rPr>
          <w:rStyle w:val="FootnoteReference"/>
        </w:rPr>
        <w:footnoteRef/>
      </w:r>
      <w:r>
        <w:t xml:space="preserve"> </w:t>
      </w:r>
      <w:r>
        <w:t xml:space="preserve">Sugihara 2018, PMID 30061579.</w:t>
      </w:r>
    </w:p>
  </w:footnote>
  <w:footnote w:id="2328">
    <w:p>
      <w:pPr>
        <w:pStyle w:val="FootnoteText"/>
      </w:pPr>
      <w:r>
        <w:rPr>
          <w:rStyle w:val="FootnoteReference"/>
        </w:rPr>
        <w:footnoteRef/>
      </w:r>
      <w:r>
        <w:t xml:space="preserve"> </w:t>
      </w:r>
      <w:r>
        <w:t xml:space="preserve">de Miranda 2021, PMID 33742704.</w:t>
      </w:r>
    </w:p>
  </w:footnote>
  <w:footnote w:id="2329">
    <w:p>
      <w:pPr>
        <w:pStyle w:val="FootnoteText"/>
      </w:pPr>
      <w:r>
        <w:rPr>
          <w:rStyle w:val="FootnoteReference"/>
        </w:rPr>
        <w:footnoteRef/>
      </w:r>
      <w:r>
        <w:t xml:space="preserve"> </w:t>
      </w:r>
      <w:r>
        <w:t xml:space="preserve">Pu 2023, PMID 37432180.</w:t>
      </w:r>
    </w:p>
  </w:footnote>
  <w:footnote w:id="2330">
    <w:p>
      <w:pPr>
        <w:pStyle w:val="FootnoteText"/>
      </w:pPr>
      <w:r>
        <w:rPr>
          <w:rStyle w:val="FootnoteReference"/>
        </w:rPr>
        <w:footnoteRef/>
      </w:r>
      <w:r>
        <w:t xml:space="preserve"> </w:t>
      </w:r>
      <w:r>
        <w:t xml:space="preserve">Danessa 2025, PMID 40826844.</w:t>
      </w:r>
    </w:p>
  </w:footnote>
  <w:footnote w:id="2331">
    <w:p>
      <w:pPr>
        <w:pStyle w:val="FootnoteText"/>
      </w:pPr>
      <w:r>
        <w:rPr>
          <w:rStyle w:val="FootnoteReference"/>
        </w:rPr>
        <w:footnoteRef/>
      </w:r>
      <w:r>
        <w:t xml:space="preserve"> </w:t>
      </w:r>
      <w:r>
        <w:t xml:space="preserve">Myung 2025, PMID 40324552.</w:t>
      </w:r>
    </w:p>
  </w:footnote>
  <w:footnote w:id="2333">
    <w:p>
      <w:pPr>
        <w:pStyle w:val="FootnoteText"/>
      </w:pPr>
      <w:r>
        <w:rPr>
          <w:rStyle w:val="FootnoteReference"/>
        </w:rPr>
        <w:footnoteRef/>
      </w:r>
      <w:r>
        <w:t xml:space="preserve"> </w:t>
      </w:r>
      <w:r>
        <w:t xml:space="preserve">García-Coronado 2019, PMID 30368550.</w:t>
      </w:r>
    </w:p>
  </w:footnote>
  <w:footnote w:id="2334">
    <w:p>
      <w:pPr>
        <w:pStyle w:val="FootnoteText"/>
      </w:pPr>
      <w:r>
        <w:rPr>
          <w:rStyle w:val="FootnoteReference"/>
        </w:rPr>
        <w:footnoteRef/>
      </w:r>
      <w:r>
        <w:t xml:space="preserve"> </w:t>
      </w:r>
      <w:r>
        <w:t xml:space="preserve">Liang 2024, PMID 38218227.</w:t>
      </w:r>
    </w:p>
  </w:footnote>
  <w:footnote w:id="2335">
    <w:p>
      <w:pPr>
        <w:pStyle w:val="FootnoteText"/>
      </w:pPr>
      <w:r>
        <w:rPr>
          <w:rStyle w:val="FootnoteReference"/>
        </w:rPr>
        <w:footnoteRef/>
      </w:r>
      <w:r>
        <w:t xml:space="preserve"> </w:t>
      </w:r>
      <w:r>
        <w:t xml:space="preserve">Lin 2023, PMID 37717022.</w:t>
      </w:r>
    </w:p>
  </w:footnote>
  <w:footnote w:id="2336">
    <w:p>
      <w:pPr>
        <w:pStyle w:val="FootnoteText"/>
      </w:pPr>
      <w:r>
        <w:rPr>
          <w:rStyle w:val="FootnoteReference"/>
        </w:rPr>
        <w:footnoteRef/>
      </w:r>
      <w:r>
        <w:t xml:space="preserve"> </w:t>
      </w:r>
      <w:r>
        <w:t xml:space="preserve">Simental-Mendía 2025, PMID 39212129.</w:t>
      </w:r>
    </w:p>
  </w:footnote>
  <w:footnote w:id="2337">
    <w:p>
      <w:pPr>
        <w:pStyle w:val="FootnoteText"/>
      </w:pPr>
      <w:r>
        <w:rPr>
          <w:rStyle w:val="FootnoteReference"/>
        </w:rPr>
        <w:footnoteRef/>
      </w:r>
      <w:r>
        <w:t xml:space="preserve"> </w:t>
      </w:r>
      <w:r>
        <w:t xml:space="preserve">Liu 2018, PMID 29018060.</w:t>
      </w:r>
    </w:p>
  </w:footnote>
  <w:footnote w:id="2339">
    <w:p>
      <w:pPr>
        <w:pStyle w:val="FootnoteText"/>
      </w:pPr>
      <w:r>
        <w:rPr>
          <w:rStyle w:val="FootnoteReference"/>
        </w:rPr>
        <w:footnoteRef/>
      </w:r>
      <w:r>
        <w:t xml:space="preserve"> </w:t>
      </w:r>
      <w:r>
        <w:t xml:space="preserve">Trentham 1993, PMID 8378772.</w:t>
      </w:r>
    </w:p>
  </w:footnote>
  <w:footnote w:id="2340">
    <w:p>
      <w:pPr>
        <w:pStyle w:val="FootnoteText"/>
      </w:pPr>
      <w:r>
        <w:rPr>
          <w:rStyle w:val="FootnoteReference"/>
        </w:rPr>
        <w:footnoteRef/>
      </w:r>
      <w:r>
        <w:t xml:space="preserve"> </w:t>
      </w:r>
      <w:r>
        <w:t xml:space="preserve">Barnett 1998, PMID 9485087.</w:t>
      </w:r>
    </w:p>
  </w:footnote>
  <w:footnote w:id="2343">
    <w:p>
      <w:pPr>
        <w:pStyle w:val="FootnoteText"/>
      </w:pPr>
      <w:r>
        <w:rPr>
          <w:rStyle w:val="FootnoteReference"/>
        </w:rPr>
        <w:footnoteRef/>
      </w:r>
      <w:r>
        <w:t xml:space="preserve"> </w:t>
      </w:r>
      <w:r>
        <w:t xml:space="preserve">Zdzieblik 2015, PMID 26353786.</w:t>
      </w:r>
    </w:p>
  </w:footnote>
  <w:footnote w:id="2344">
    <w:p>
      <w:pPr>
        <w:pStyle w:val="FootnoteText"/>
      </w:pPr>
      <w:r>
        <w:rPr>
          <w:rStyle w:val="FootnoteReference"/>
        </w:rPr>
        <w:footnoteRef/>
      </w:r>
      <w:r>
        <w:t xml:space="preserve"> </w:t>
      </w:r>
      <w:r>
        <w:t xml:space="preserve">Oikawa 2020, PMID 31919527.</w:t>
      </w:r>
    </w:p>
  </w:footnote>
  <w:footnote w:id="2345">
    <w:p>
      <w:pPr>
        <w:pStyle w:val="FootnoteText"/>
      </w:pPr>
      <w:r>
        <w:rPr>
          <w:rStyle w:val="FootnoteReference"/>
        </w:rPr>
        <w:footnoteRef/>
      </w:r>
      <w:r>
        <w:t xml:space="preserve"> </w:t>
      </w:r>
      <w:r>
        <w:t xml:space="preserve">Jacinto 2022, PMID 35042187.</w:t>
      </w:r>
    </w:p>
  </w:footnote>
  <w:footnote w:id="2346">
    <w:p>
      <w:pPr>
        <w:pStyle w:val="FootnoteText"/>
      </w:pPr>
      <w:r>
        <w:rPr>
          <w:rStyle w:val="FootnoteReference"/>
        </w:rPr>
        <w:footnoteRef/>
      </w:r>
      <w:r>
        <w:t xml:space="preserve"> </w:t>
      </w:r>
      <w:r>
        <w:t xml:space="preserve">Kirmse 2024, PMID 39086044.</w:t>
      </w:r>
    </w:p>
  </w:footnote>
  <w:footnote w:id="2347">
    <w:p>
      <w:pPr>
        <w:pStyle w:val="FootnoteText"/>
      </w:pPr>
      <w:r>
        <w:rPr>
          <w:rStyle w:val="FootnoteReference"/>
        </w:rPr>
        <w:footnoteRef/>
      </w:r>
      <w:r>
        <w:t xml:space="preserve"> </w:t>
      </w:r>
      <w:r>
        <w:t xml:space="preserve">Bischof 2024, PMID 39060741.</w:t>
      </w:r>
    </w:p>
  </w:footnote>
  <w:footnote w:id="2348">
    <w:p>
      <w:pPr>
        <w:pStyle w:val="FootnoteText"/>
      </w:pPr>
      <w:r>
        <w:rPr>
          <w:rStyle w:val="FootnoteReference"/>
        </w:rPr>
        <w:footnoteRef/>
      </w:r>
      <w:r>
        <w:t xml:space="preserve"> </w:t>
      </w:r>
      <w:r>
        <w:t xml:space="preserve">Khatri 2021, PMID 34491424.</w:t>
      </w:r>
    </w:p>
  </w:footnote>
  <w:footnote w:id="2350">
    <w:p>
      <w:pPr>
        <w:pStyle w:val="FootnoteText"/>
      </w:pPr>
      <w:r>
        <w:rPr>
          <w:rStyle w:val="FootnoteReference"/>
        </w:rPr>
        <w:footnoteRef/>
      </w:r>
      <w:r>
        <w:t xml:space="preserve"> </w:t>
      </w:r>
      <w:r>
        <w:t xml:space="preserve">Jalili 2023, PMID 35658958.</w:t>
      </w:r>
    </w:p>
  </w:footnote>
  <w:footnote w:id="2353">
    <w:p>
      <w:pPr>
        <w:pStyle w:val="FootnoteText"/>
      </w:pPr>
      <w:r>
        <w:rPr>
          <w:rStyle w:val="FootnoteReference"/>
        </w:rPr>
        <w:footnoteRef/>
      </w:r>
      <w:r>
        <w:t xml:space="preserve"> </w:t>
      </w:r>
      <w:r>
        <w:t xml:space="preserve">Asserin 2015, PMID 26362110.</w:t>
      </w:r>
    </w:p>
  </w:footnote>
  <w:footnote w:id="2354">
    <w:p>
      <w:pPr>
        <w:pStyle w:val="FootnoteText"/>
      </w:pPr>
      <w:r>
        <w:rPr>
          <w:rStyle w:val="FootnoteReference"/>
        </w:rPr>
        <w:footnoteRef/>
      </w:r>
      <w:r>
        <w:t xml:space="preserve"> </w:t>
      </w:r>
      <w:r>
        <w:t xml:space="preserve">Inacio 2024, PMID 38892477.</w:t>
      </w:r>
    </w:p>
  </w:footnote>
  <w:footnote w:id="2355">
    <w:p>
      <w:pPr>
        <w:pStyle w:val="FootnoteText"/>
      </w:pPr>
      <w:r>
        <w:rPr>
          <w:rStyle w:val="FootnoteReference"/>
        </w:rPr>
        <w:footnoteRef/>
      </w:r>
      <w:r>
        <w:t xml:space="preserve"> </w:t>
      </w:r>
      <w:r>
        <w:t xml:space="preserve">Bischof 2026, PMID 41168365.</w:t>
      </w:r>
    </w:p>
  </w:footnote>
  <w:footnote w:id="2357">
    <w:p>
      <w:pPr>
        <w:pStyle w:val="FootnoteText"/>
      </w:pPr>
      <w:r>
        <w:rPr>
          <w:rStyle w:val="FootnoteReference"/>
        </w:rPr>
        <w:footnoteRef/>
      </w:r>
      <w:r>
        <w:t xml:space="preserve"> </w:t>
      </w:r>
      <w:r>
        <w:t xml:space="preserve">Liang 2024, PMID 38218227.</w:t>
      </w:r>
    </w:p>
  </w:footnote>
  <w:footnote w:id="2358">
    <w:p>
      <w:pPr>
        <w:pStyle w:val="FootnoteText"/>
      </w:pPr>
      <w:r>
        <w:rPr>
          <w:rStyle w:val="FootnoteReference"/>
        </w:rPr>
        <w:footnoteRef/>
      </w:r>
      <w:r>
        <w:t xml:space="preserve"> </w:t>
      </w:r>
      <w:r>
        <w:t xml:space="preserve">Knight 2006, PMID 17021603.</w:t>
      </w:r>
    </w:p>
  </w:footnote>
  <w:footnote w:id="2361">
    <w:p>
      <w:pPr>
        <w:pStyle w:val="FootnoteText"/>
      </w:pPr>
      <w:r>
        <w:rPr>
          <w:rStyle w:val="FootnoteReference"/>
        </w:rPr>
        <w:footnoteRef/>
      </w:r>
      <w:r>
        <w:t xml:space="preserve"> </w:t>
      </w:r>
      <w:r>
        <w:t xml:space="preserve">NCT04998188.</w:t>
      </w:r>
    </w:p>
  </w:footnote>
  <w:footnote w:id="2362">
    <w:p>
      <w:pPr>
        <w:pStyle w:val="FootnoteText"/>
      </w:pPr>
      <w:r>
        <w:rPr>
          <w:rStyle w:val="FootnoteReference"/>
        </w:rPr>
        <w:footnoteRef/>
      </w:r>
      <w:r>
        <w:t xml:space="preserve"> </w:t>
      </w:r>
      <w:r>
        <w:t xml:space="preserve">NCT07800780.</w:t>
      </w:r>
    </w:p>
  </w:footnote>
  <w:footnote w:id="2363">
    <w:p>
      <w:pPr>
        <w:pStyle w:val="FootnoteText"/>
      </w:pPr>
      <w:r>
        <w:rPr>
          <w:rStyle w:val="FootnoteReference"/>
        </w:rPr>
        <w:footnoteRef/>
      </w:r>
      <w:r>
        <w:t xml:space="preserve"> </w:t>
      </w:r>
      <w:r>
        <w:t xml:space="preserve">NCT05823727.</w:t>
      </w:r>
    </w:p>
  </w:footnote>
  <w:footnote w:id="2364">
    <w:p>
      <w:pPr>
        <w:pStyle w:val="FootnoteText"/>
      </w:pPr>
      <w:r>
        <w:rPr>
          <w:rStyle w:val="FootnoteReference"/>
        </w:rPr>
        <w:footnoteRef/>
      </w:r>
      <w:r>
        <w:t xml:space="preserve"> </w:t>
      </w:r>
      <w:r>
        <w:t xml:space="preserve">NCT07473037.</w:t>
      </w:r>
    </w:p>
  </w:footnote>
  <w:footnote w:id="2365">
    <w:p>
      <w:pPr>
        <w:pStyle w:val="FootnoteText"/>
      </w:pPr>
      <w:r>
        <w:rPr>
          <w:rStyle w:val="FootnoteReference"/>
        </w:rPr>
        <w:footnoteRef/>
      </w:r>
      <w:r>
        <w:t xml:space="preserve"> </w:t>
      </w:r>
      <w:r>
        <w:t xml:space="preserve">NCT07456449.</w:t>
      </w:r>
    </w:p>
  </w:footnote>
  <w:footnote w:id="2366">
    <w:p>
      <w:pPr>
        <w:pStyle w:val="FootnoteText"/>
      </w:pPr>
      <w:r>
        <w:rPr>
          <w:rStyle w:val="FootnoteReference"/>
        </w:rPr>
        <w:footnoteRef/>
      </w:r>
      <w:r>
        <w:t xml:space="preserve"> </w:t>
      </w:r>
      <w:r>
        <w:t xml:space="preserve">NCT07229014.</w:t>
      </w:r>
    </w:p>
  </w:footnote>
  <w:footnote w:id="2367">
    <w:p>
      <w:pPr>
        <w:pStyle w:val="FootnoteText"/>
      </w:pPr>
      <w:r>
        <w:rPr>
          <w:rStyle w:val="FootnoteReference"/>
        </w:rPr>
        <w:footnoteRef/>
      </w:r>
      <w:r>
        <w:t xml:space="preserve"> </w:t>
      </w:r>
      <w:r>
        <w:t xml:space="preserve">Myung 2025, PMID 40324552.</w:t>
      </w:r>
    </w:p>
  </w:footnote>
  <w:footnote w:id="2372">
    <w:p>
      <w:pPr>
        <w:pStyle w:val="FootnoteText"/>
      </w:pPr>
      <w:r>
        <w:rPr>
          <w:rStyle w:val="FootnoteReference"/>
        </w:rPr>
        <w:footnoteRef/>
      </w:r>
      <w:r>
        <w:t xml:space="preserve"> </w:t>
      </w:r>
      <w:r>
        <w:t xml:space="preserve">Nakamura 1995, PMID 7673515.</w:t>
      </w:r>
    </w:p>
  </w:footnote>
  <w:footnote w:id="2373">
    <w:p>
      <w:pPr>
        <w:pStyle w:val="FootnoteText"/>
      </w:pPr>
      <w:r>
        <w:rPr>
          <w:rStyle w:val="FootnoteReference"/>
        </w:rPr>
        <w:footnoteRef/>
      </w:r>
      <w:r>
        <w:t xml:space="preserve"> </w:t>
      </w:r>
      <w:r>
        <w:t xml:space="preserve">Foltz 2007, PMID 17374660.</w:t>
      </w:r>
    </w:p>
  </w:footnote>
  <w:footnote w:id="2374">
    <w:p>
      <w:pPr>
        <w:pStyle w:val="FootnoteText"/>
      </w:pPr>
      <w:r>
        <w:rPr>
          <w:rStyle w:val="FootnoteReference"/>
        </w:rPr>
        <w:footnoteRef/>
      </w:r>
      <w:r>
        <w:t xml:space="preserve"> </w:t>
      </w:r>
      <w:r>
        <w:t xml:space="preserve">Wuerzner 2009, PMID 19506528.</w:t>
      </w:r>
    </w:p>
  </w:footnote>
  <w:footnote w:id="2377">
    <w:p>
      <w:pPr>
        <w:pStyle w:val="FootnoteText"/>
      </w:pPr>
      <w:r>
        <w:rPr>
          <w:rStyle w:val="FootnoteReference"/>
        </w:rPr>
        <w:footnoteRef/>
      </w:r>
      <w:r>
        <w:t xml:space="preserve"> </w:t>
      </w:r>
      <w:r>
        <w:t xml:space="preserve">Geleijnse 2010, PMID 19884823.</w:t>
      </w:r>
    </w:p>
  </w:footnote>
  <w:footnote w:id="2379">
    <w:p>
      <w:pPr>
        <w:pStyle w:val="FootnoteText"/>
      </w:pPr>
      <w:r>
        <w:rPr>
          <w:rStyle w:val="FootnoteReference"/>
        </w:rPr>
        <w:footnoteRef/>
      </w:r>
      <w:r>
        <w:t xml:space="preserve"> </w:t>
      </w:r>
      <w:r>
        <w:t xml:space="preserve">Jauhiainen 2012, PMID 22617279.</w:t>
      </w:r>
    </w:p>
  </w:footnote>
  <w:footnote w:id="2380">
    <w:p>
      <w:pPr>
        <w:pStyle w:val="FootnoteText"/>
      </w:pPr>
      <w:r>
        <w:rPr>
          <w:rStyle w:val="FootnoteReference"/>
        </w:rPr>
        <w:footnoteRef/>
      </w:r>
      <w:r>
        <w:t xml:space="preserve"> </w:t>
      </w:r>
      <w:r>
        <w:t xml:space="preserve">Turpeinen 2012, PMID 22398753.</w:t>
      </w:r>
    </w:p>
  </w:footnote>
  <w:footnote w:id="2381">
    <w:p>
      <w:pPr>
        <w:pStyle w:val="FootnoteText"/>
      </w:pPr>
      <w:r>
        <w:rPr>
          <w:rStyle w:val="FootnoteReference"/>
        </w:rPr>
        <w:footnoteRef/>
      </w:r>
      <w:r>
        <w:t xml:space="preserve"> </w:t>
      </w:r>
      <w:r>
        <w:t xml:space="preserve">Cicero 2011, PMID 21753776; Cicero 2016, PMID 26683986.</w:t>
      </w:r>
    </w:p>
  </w:footnote>
  <w:footnote w:id="2382">
    <w:p>
      <w:pPr>
        <w:pStyle w:val="FootnoteText"/>
      </w:pPr>
      <w:r>
        <w:rPr>
          <w:rStyle w:val="FootnoteReference"/>
        </w:rPr>
        <w:footnoteRef/>
      </w:r>
      <w:r>
        <w:t xml:space="preserve"> </w:t>
      </w:r>
      <w:r>
        <w:t xml:space="preserve">Germino 2010, PMID 20433527.</w:t>
      </w:r>
    </w:p>
  </w:footnote>
  <w:footnote w:id="2384">
    <w:p>
      <w:pPr>
        <w:pStyle w:val="FootnoteText"/>
      </w:pPr>
      <w:r>
        <w:rPr>
          <w:rStyle w:val="FootnoteReference"/>
        </w:rPr>
        <w:footnoteRef/>
      </w:r>
      <w:r>
        <w:t xml:space="preserve"> </w:t>
      </w:r>
      <w:r>
        <w:t xml:space="preserve">Fekete 2015, PMID 25608938.</w:t>
      </w:r>
    </w:p>
  </w:footnote>
  <w:footnote w:id="2387">
    <w:p>
      <w:pPr>
        <w:pStyle w:val="FootnoteText"/>
      </w:pPr>
      <w:r>
        <w:rPr>
          <w:rStyle w:val="FootnoteReference"/>
        </w:rPr>
        <w:footnoteRef/>
      </w:r>
      <w:r>
        <w:t xml:space="preserve"> </w:t>
      </w:r>
      <w:r>
        <w:t xml:space="preserve">Nakamura 1995, PMID 7673515.</w:t>
      </w:r>
    </w:p>
  </w:footnote>
  <w:footnote w:id="2388">
    <w:p>
      <w:pPr>
        <w:pStyle w:val="FootnoteText"/>
      </w:pPr>
      <w:r>
        <w:rPr>
          <w:rStyle w:val="FootnoteReference"/>
        </w:rPr>
        <w:footnoteRef/>
      </w:r>
      <w:r>
        <w:t xml:space="preserve"> </w:t>
      </w:r>
      <w:r>
        <w:t xml:space="preserve">Hirota 2011, PMID 21221598.</w:t>
      </w:r>
    </w:p>
  </w:footnote>
  <w:footnote w:id="2389">
    <w:p>
      <w:pPr>
        <w:pStyle w:val="FootnoteText"/>
      </w:pPr>
      <w:r>
        <w:rPr>
          <w:rStyle w:val="FootnoteReference"/>
        </w:rPr>
        <w:footnoteRef/>
      </w:r>
      <w:r>
        <w:t xml:space="preserve"> </w:t>
      </w:r>
      <w:r>
        <w:t xml:space="preserve">Foltz 2007, PMID 17374660.</w:t>
      </w:r>
    </w:p>
  </w:footnote>
  <w:footnote w:id="2390">
    <w:p>
      <w:pPr>
        <w:pStyle w:val="FootnoteText"/>
      </w:pPr>
      <w:r>
        <w:rPr>
          <w:rStyle w:val="FootnoteReference"/>
        </w:rPr>
        <w:footnoteRef/>
      </w:r>
      <w:r>
        <w:t xml:space="preserve"> </w:t>
      </w:r>
      <w:r>
        <w:t xml:space="preserve">Gregory 2024, PMID 37904282.</w:t>
      </w:r>
    </w:p>
  </w:footnote>
  <w:footnote w:id="2391">
    <w:p>
      <w:pPr>
        <w:pStyle w:val="FootnoteText"/>
      </w:pPr>
      <w:r>
        <w:rPr>
          <w:rStyle w:val="FootnoteReference"/>
        </w:rPr>
        <w:footnoteRef/>
      </w:r>
      <w:r>
        <w:t xml:space="preserve"> </w:t>
      </w:r>
      <w:r>
        <w:t xml:space="preserve">Dent 2007, PMID 17383063.</w:t>
      </w:r>
    </w:p>
  </w:footnote>
  <w:footnote w:id="2392">
    <w:p>
      <w:pPr>
        <w:pStyle w:val="FootnoteText"/>
      </w:pPr>
      <w:r>
        <w:rPr>
          <w:rStyle w:val="FootnoteReference"/>
        </w:rPr>
        <w:footnoteRef/>
      </w:r>
      <w:r>
        <w:t xml:space="preserve"> </w:t>
      </w:r>
      <w:r>
        <w:t xml:space="preserve">Ponstein-Simarro Doorten 2009, PMID 18955104.</w:t>
      </w:r>
    </w:p>
  </w:footnote>
  <w:footnote w:id="2396">
    <w:p>
      <w:pPr>
        <w:pStyle w:val="FootnoteText"/>
      </w:pPr>
      <w:r>
        <w:rPr>
          <w:rStyle w:val="FootnoteReference"/>
        </w:rPr>
        <w:footnoteRef/>
      </w:r>
      <w:r>
        <w:t xml:space="preserve"> </w:t>
      </w:r>
      <w:r>
        <w:t xml:space="preserve">NCT00924157.</w:t>
      </w:r>
    </w:p>
  </w:footnote>
  <w:footnote w:id="2401">
    <w:p>
      <w:pPr>
        <w:pStyle w:val="FootnoteText"/>
      </w:pPr>
      <w:r>
        <w:rPr>
          <w:rStyle w:val="FootnoteReference"/>
        </w:rPr>
        <w:footnoteRef/>
      </w:r>
      <w:r>
        <w:t xml:space="preserve"> </w:t>
      </w:r>
      <w:r>
        <w:t xml:space="preserve">Baguet 2010, PMID 20671038.</w:t>
      </w:r>
    </w:p>
  </w:footnote>
  <w:footnote w:id="2402">
    <w:p>
      <w:pPr>
        <w:pStyle w:val="FootnoteText"/>
      </w:pPr>
      <w:r>
        <w:rPr>
          <w:rStyle w:val="FootnoteReference"/>
        </w:rPr>
        <w:footnoteRef/>
      </w:r>
      <w:r>
        <w:t xml:space="preserve"> </w:t>
      </w:r>
      <w:r>
        <w:t xml:space="preserve">Gardner 1991, PMID 1910085.</w:t>
      </w:r>
    </w:p>
  </w:footnote>
  <w:footnote w:id="2403">
    <w:p>
      <w:pPr>
        <w:pStyle w:val="FootnoteText"/>
      </w:pPr>
      <w:r>
        <w:rPr>
          <w:rStyle w:val="FootnoteReference"/>
        </w:rPr>
        <w:footnoteRef/>
      </w:r>
      <w:r>
        <w:t xml:space="preserve"> </w:t>
      </w:r>
      <w:r>
        <w:t xml:space="preserve">Baba 2024, PMID 39215872.</w:t>
      </w:r>
    </w:p>
  </w:footnote>
  <w:footnote w:id="2405">
    <w:p>
      <w:pPr>
        <w:pStyle w:val="FootnoteText"/>
      </w:pPr>
      <w:r>
        <w:rPr>
          <w:rStyle w:val="FootnoteReference"/>
        </w:rPr>
        <w:footnoteRef/>
      </w:r>
      <w:r>
        <w:t xml:space="preserve"> </w:t>
      </w:r>
      <w:r>
        <w:t xml:space="preserve">Harris 2006, PMID 16554972.</w:t>
      </w:r>
    </w:p>
  </w:footnote>
  <w:footnote w:id="2406">
    <w:p>
      <w:pPr>
        <w:pStyle w:val="FootnoteText"/>
      </w:pPr>
      <w:r>
        <w:rPr>
          <w:rStyle w:val="FootnoteReference"/>
        </w:rPr>
        <w:footnoteRef/>
      </w:r>
      <w:r>
        <w:t xml:space="preserve"> </w:t>
      </w:r>
      <w:r>
        <w:t xml:space="preserve">Yamaguchi 2021, PMID 33148972.</w:t>
      </w:r>
    </w:p>
  </w:footnote>
  <w:footnote w:id="2407">
    <w:p>
      <w:pPr>
        <w:pStyle w:val="FootnoteText"/>
      </w:pPr>
      <w:r>
        <w:rPr>
          <w:rStyle w:val="FootnoteReference"/>
        </w:rPr>
        <w:footnoteRef/>
      </w:r>
      <w:r>
        <w:t xml:space="preserve"> </w:t>
      </w:r>
      <w:r>
        <w:t xml:space="preserve">Rezende 2020, PMID 32922303.</w:t>
      </w:r>
    </w:p>
  </w:footnote>
  <w:footnote w:id="2410">
    <w:p>
      <w:pPr>
        <w:pStyle w:val="FootnoteText"/>
      </w:pPr>
      <w:r>
        <w:rPr>
          <w:rStyle w:val="FootnoteReference"/>
        </w:rPr>
        <w:footnoteRef/>
      </w:r>
      <w:r>
        <w:t xml:space="preserve"> </w:t>
      </w:r>
      <w:r>
        <w:t xml:space="preserve">Saunders 2017, PMID 27797728.</w:t>
      </w:r>
    </w:p>
  </w:footnote>
  <w:footnote w:id="2411">
    <w:p>
      <w:pPr>
        <w:pStyle w:val="FootnoteText"/>
      </w:pPr>
      <w:r>
        <w:rPr>
          <w:rStyle w:val="FootnoteReference"/>
        </w:rPr>
        <w:footnoteRef/>
      </w:r>
      <w:r>
        <w:t xml:space="preserve"> </w:t>
      </w:r>
      <w:r>
        <w:t xml:space="preserve">Derave 2007, PMID 17690198.</w:t>
      </w:r>
    </w:p>
  </w:footnote>
  <w:footnote w:id="2412">
    <w:p>
      <w:pPr>
        <w:pStyle w:val="FootnoteText"/>
      </w:pPr>
      <w:r>
        <w:rPr>
          <w:rStyle w:val="FootnoteReference"/>
        </w:rPr>
        <w:footnoteRef/>
      </w:r>
      <w:r>
        <w:t xml:space="preserve"> </w:t>
      </w:r>
      <w:r>
        <w:t xml:space="preserve">Chung 2014, PMID 24457999.</w:t>
      </w:r>
    </w:p>
  </w:footnote>
  <w:footnote w:id="2413">
    <w:p>
      <w:pPr>
        <w:pStyle w:val="FootnoteText"/>
      </w:pPr>
      <w:r>
        <w:rPr>
          <w:rStyle w:val="FootnoteReference"/>
        </w:rPr>
        <w:footnoteRef/>
      </w:r>
      <w:r>
        <w:t xml:space="preserve"> </w:t>
      </w:r>
      <w:r>
        <w:t xml:space="preserve">O’Toole 2026, PMID 42308284.</w:t>
      </w:r>
    </w:p>
  </w:footnote>
  <w:footnote w:id="2415">
    <w:p>
      <w:pPr>
        <w:pStyle w:val="FootnoteText"/>
      </w:pPr>
      <w:r>
        <w:rPr>
          <w:rStyle w:val="FootnoteReference"/>
        </w:rPr>
        <w:footnoteRef/>
      </w:r>
      <w:r>
        <w:t xml:space="preserve"> </w:t>
      </w:r>
      <w:r>
        <w:t xml:space="preserve">Peng 2020, PMID 31987255.</w:t>
      </w:r>
    </w:p>
  </w:footnote>
  <w:footnote w:id="2416">
    <w:p>
      <w:pPr>
        <w:pStyle w:val="FootnoteText"/>
      </w:pPr>
      <w:r>
        <w:rPr>
          <w:rStyle w:val="FootnoteReference"/>
        </w:rPr>
        <w:footnoteRef/>
      </w:r>
      <w:r>
        <w:t xml:space="preserve"> </w:t>
      </w:r>
      <w:r>
        <w:t xml:space="preserve">Matthews 2021, PMID 34333586.</w:t>
      </w:r>
    </w:p>
  </w:footnote>
  <w:footnote w:id="2417">
    <w:p>
      <w:pPr>
        <w:pStyle w:val="FootnoteText"/>
      </w:pPr>
      <w:r>
        <w:rPr>
          <w:rStyle w:val="FootnoteReference"/>
        </w:rPr>
        <w:footnoteRef/>
      </w:r>
      <w:r>
        <w:t xml:space="preserve"> </w:t>
      </w:r>
      <w:r>
        <w:t xml:space="preserve">Li 2025, PMID 40999397.</w:t>
      </w:r>
    </w:p>
  </w:footnote>
  <w:footnote w:id="2419">
    <w:p>
      <w:pPr>
        <w:pStyle w:val="FootnoteText"/>
      </w:pPr>
      <w:r>
        <w:rPr>
          <w:rStyle w:val="FootnoteReference"/>
        </w:rPr>
        <w:footnoteRef/>
      </w:r>
      <w:r>
        <w:t xml:space="preserve"> </w:t>
      </w:r>
      <w:r>
        <w:t xml:space="preserve">Saadati 2024, PMID 38086332.</w:t>
      </w:r>
    </w:p>
  </w:footnote>
  <w:footnote w:id="2421">
    <w:p>
      <w:pPr>
        <w:pStyle w:val="FootnoteText"/>
      </w:pPr>
      <w:r>
        <w:rPr>
          <w:rStyle w:val="FootnoteReference"/>
        </w:rPr>
        <w:footnoteRef/>
      </w:r>
      <w:r>
        <w:t xml:space="preserve"> </w:t>
      </w:r>
      <w:r>
        <w:t xml:space="preserve">Hisatsune 2016, PMID 26682691.</w:t>
      </w:r>
    </w:p>
  </w:footnote>
  <w:footnote w:id="2422">
    <w:p>
      <w:pPr>
        <w:pStyle w:val="FootnoteText"/>
      </w:pPr>
      <w:r>
        <w:rPr>
          <w:rStyle w:val="FootnoteReference"/>
        </w:rPr>
        <w:footnoteRef/>
      </w:r>
      <w:r>
        <w:t xml:space="preserve"> </w:t>
      </w:r>
      <w:r>
        <w:t xml:space="preserve">Masuoka 2019, PMID 31319510.</w:t>
      </w:r>
    </w:p>
  </w:footnote>
  <w:footnote w:id="2423">
    <w:p>
      <w:pPr>
        <w:pStyle w:val="FootnoteText"/>
      </w:pPr>
      <w:r>
        <w:rPr>
          <w:rStyle w:val="FootnoteReference"/>
        </w:rPr>
        <w:footnoteRef/>
      </w:r>
      <w:r>
        <w:t xml:space="preserve"> </w:t>
      </w:r>
      <w:r>
        <w:t xml:space="preserve">O’Toole 2025, PMID 39919936.</w:t>
      </w:r>
    </w:p>
  </w:footnote>
  <w:footnote w:id="2424">
    <w:p>
      <w:pPr>
        <w:pStyle w:val="FootnoteText"/>
      </w:pPr>
      <w:r>
        <w:rPr>
          <w:rStyle w:val="FootnoteReference"/>
        </w:rPr>
        <w:footnoteRef/>
      </w:r>
      <w:r>
        <w:t xml:space="preserve"> </w:t>
      </w:r>
      <w:r>
        <w:t xml:space="preserve">Hsiao 2026, PMID 42123986.</w:t>
      </w:r>
    </w:p>
  </w:footnote>
  <w:footnote w:id="2425">
    <w:p>
      <w:pPr>
        <w:pStyle w:val="FootnoteText"/>
      </w:pPr>
      <w:r>
        <w:rPr>
          <w:rStyle w:val="FootnoteReference"/>
        </w:rPr>
        <w:footnoteRef/>
      </w:r>
      <w:r>
        <w:t xml:space="preserve"> </w:t>
      </w:r>
      <w:r>
        <w:t xml:space="preserve">Kabthymer 2025, PMID 38545720.</w:t>
      </w:r>
    </w:p>
  </w:footnote>
  <w:footnote w:id="2426">
    <w:p>
      <w:pPr>
        <w:pStyle w:val="FootnoteText"/>
      </w:pPr>
      <w:r>
        <w:rPr>
          <w:rStyle w:val="FootnoteReference"/>
        </w:rPr>
        <w:footnoteRef/>
      </w:r>
      <w:r>
        <w:t xml:space="preserve"> </w:t>
      </w:r>
      <w:r>
        <w:t xml:space="preserve">Chez 2002, PMID 12585724.</w:t>
      </w:r>
    </w:p>
  </w:footnote>
  <w:footnote w:id="2427">
    <w:p>
      <w:pPr>
        <w:pStyle w:val="FootnoteText"/>
      </w:pPr>
      <w:r>
        <w:rPr>
          <w:rStyle w:val="FootnoteReference"/>
        </w:rPr>
        <w:footnoteRef/>
      </w:r>
      <w:r>
        <w:t xml:space="preserve"> </w:t>
      </w:r>
      <w:r>
        <w:t xml:space="preserve">Abraham 2020, PMID 33170378.</w:t>
      </w:r>
    </w:p>
  </w:footnote>
  <w:footnote w:id="2429">
    <w:p>
      <w:pPr>
        <w:pStyle w:val="FootnoteText"/>
      </w:pPr>
      <w:r>
        <w:rPr>
          <w:rStyle w:val="FootnoteReference"/>
        </w:rPr>
        <w:footnoteRef/>
      </w:r>
      <w:r>
        <w:t xml:space="preserve"> </w:t>
      </w:r>
      <w:r>
        <w:t xml:space="preserve">Yehia 2019, PMID 30592963.</w:t>
      </w:r>
    </w:p>
  </w:footnote>
  <w:footnote w:id="2430">
    <w:p>
      <w:pPr>
        <w:pStyle w:val="FootnoteText"/>
      </w:pPr>
      <w:r>
        <w:rPr>
          <w:rStyle w:val="FootnoteReference"/>
        </w:rPr>
        <w:footnoteRef/>
      </w:r>
      <w:r>
        <w:t xml:space="preserve"> </w:t>
      </w:r>
      <w:r>
        <w:t xml:space="preserve">Lombardi 2015, PMID 25287762.</w:t>
      </w:r>
    </w:p>
  </w:footnote>
  <w:footnote w:id="2431">
    <w:p>
      <w:pPr>
        <w:pStyle w:val="FootnoteText"/>
      </w:pPr>
      <w:r>
        <w:rPr>
          <w:rStyle w:val="FootnoteReference"/>
        </w:rPr>
        <w:footnoteRef/>
      </w:r>
      <w:r>
        <w:t xml:space="preserve"> </w:t>
      </w:r>
      <w:r>
        <w:t xml:space="preserve">Baraniuk 2013, PMID 23618477.</w:t>
      </w:r>
    </w:p>
  </w:footnote>
  <w:footnote w:id="2432">
    <w:p>
      <w:pPr>
        <w:pStyle w:val="FootnoteText"/>
      </w:pPr>
      <w:r>
        <w:rPr>
          <w:rStyle w:val="FootnoteReference"/>
        </w:rPr>
        <w:footnoteRef/>
      </w:r>
      <w:r>
        <w:t xml:space="preserve"> </w:t>
      </w:r>
      <w:r>
        <w:t xml:space="preserve">Babizhayev 2012, PMID 21756141.</w:t>
      </w:r>
    </w:p>
  </w:footnote>
  <w:footnote w:id="2434">
    <w:p>
      <w:pPr>
        <w:pStyle w:val="FootnoteText"/>
      </w:pPr>
      <w:r>
        <w:rPr>
          <w:rStyle w:val="FootnoteReference"/>
        </w:rPr>
        <w:footnoteRef/>
      </w:r>
      <w:r>
        <w:t xml:space="preserve"> </w:t>
      </w:r>
      <w:r>
        <w:t xml:space="preserve">Shen 2022, PMID 35999163.</w:t>
      </w:r>
    </w:p>
  </w:footnote>
  <w:footnote w:id="2435">
    <w:p>
      <w:pPr>
        <w:pStyle w:val="FootnoteText"/>
      </w:pPr>
      <w:r>
        <w:rPr>
          <w:rStyle w:val="FootnoteReference"/>
        </w:rPr>
        <w:footnoteRef/>
      </w:r>
      <w:r>
        <w:t xml:space="preserve"> </w:t>
      </w:r>
      <w:r>
        <w:t xml:space="preserve">Dubois 2017, PMID 28245346.</w:t>
      </w:r>
    </w:p>
  </w:footnote>
  <w:footnote w:id="2438">
    <w:p>
      <w:pPr>
        <w:pStyle w:val="FootnoteText"/>
      </w:pPr>
      <w:r>
        <w:rPr>
          <w:rStyle w:val="FootnoteReference"/>
        </w:rPr>
        <w:footnoteRef/>
      </w:r>
      <w:r>
        <w:t xml:space="preserve"> </w:t>
      </w:r>
      <w:r>
        <w:t xml:space="preserve">Matthews 2021, PMID 34333586.</w:t>
      </w:r>
    </w:p>
  </w:footnote>
  <w:footnote w:id="2439">
    <w:p>
      <w:pPr>
        <w:pStyle w:val="FootnoteText"/>
      </w:pPr>
      <w:r>
        <w:rPr>
          <w:rStyle w:val="FootnoteReference"/>
        </w:rPr>
        <w:footnoteRef/>
      </w:r>
      <w:r>
        <w:t xml:space="preserve"> </w:t>
      </w:r>
      <w:r>
        <w:t xml:space="preserve">Qiu 2020, PMID 32803273.</w:t>
      </w:r>
    </w:p>
  </w:footnote>
  <w:footnote w:id="2441">
    <w:p>
      <w:pPr>
        <w:pStyle w:val="FootnoteText"/>
      </w:pPr>
      <w:r>
        <w:rPr>
          <w:rStyle w:val="FootnoteReference"/>
        </w:rPr>
        <w:footnoteRef/>
      </w:r>
      <w:r>
        <w:t xml:space="preserve"> </w:t>
      </w:r>
      <w:r>
        <w:t xml:space="preserve">Baba 2024, PMID 39215872.</w:t>
      </w:r>
    </w:p>
  </w:footnote>
  <w:footnote w:id="2442">
    <w:p>
      <w:pPr>
        <w:pStyle w:val="FootnoteText"/>
      </w:pPr>
      <w:r>
        <w:rPr>
          <w:rStyle w:val="FootnoteReference"/>
        </w:rPr>
        <w:footnoteRef/>
      </w:r>
      <w:r>
        <w:t xml:space="preserve"> </w:t>
      </w:r>
      <w:r>
        <w:t xml:space="preserve">Dolan 2019, PMID 30980076.</w:t>
      </w:r>
    </w:p>
  </w:footnote>
  <w:footnote w:id="2445">
    <w:p>
      <w:pPr>
        <w:pStyle w:val="FootnoteText"/>
      </w:pPr>
      <w:r>
        <w:rPr>
          <w:rStyle w:val="FootnoteReference"/>
        </w:rPr>
        <w:footnoteRef/>
      </w:r>
      <w:r>
        <w:t xml:space="preserve"> </w:t>
      </w:r>
      <w:r>
        <w:t xml:space="preserve">NCT06480760.</w:t>
      </w:r>
    </w:p>
  </w:footnote>
  <w:footnote w:id="2446">
    <w:p>
      <w:pPr>
        <w:pStyle w:val="FootnoteText"/>
      </w:pPr>
      <w:r>
        <w:rPr>
          <w:rStyle w:val="FootnoteReference"/>
        </w:rPr>
        <w:footnoteRef/>
      </w:r>
      <w:r>
        <w:t xml:space="preserve"> </w:t>
      </w:r>
      <w:r>
        <w:t xml:space="preserve">NCT07475546.</w:t>
      </w:r>
    </w:p>
  </w:footnote>
  <w:footnote w:id="2447">
    <w:p>
      <w:pPr>
        <w:pStyle w:val="FootnoteText"/>
      </w:pPr>
      <w:r>
        <w:rPr>
          <w:rStyle w:val="FootnoteReference"/>
        </w:rPr>
        <w:footnoteRef/>
      </w:r>
      <w:r>
        <w:t xml:space="preserve"> </w:t>
      </w:r>
      <w:r>
        <w:t xml:space="preserve">NCT03314987.</w:t>
      </w:r>
    </w:p>
  </w:footnote>
  <w:footnote w:id="2451">
    <w:p>
      <w:pPr>
        <w:pStyle w:val="FootnoteText"/>
      </w:pPr>
      <w:r>
        <w:rPr>
          <w:rStyle w:val="FootnoteReference"/>
        </w:rPr>
        <w:footnoteRef/>
      </w:r>
      <w:r>
        <w:t xml:space="preserve"> </w:t>
      </w:r>
      <w:r>
        <w:t xml:space="preserve">Pickart 1973, PMID 4349963.</w:t>
      </w:r>
    </w:p>
  </w:footnote>
  <w:footnote w:id="2453">
    <w:p>
      <w:pPr>
        <w:pStyle w:val="FootnoteText"/>
      </w:pPr>
      <w:r>
        <w:rPr>
          <w:rStyle w:val="FootnoteReference"/>
        </w:rPr>
        <w:footnoteRef/>
      </w:r>
      <w:r>
        <w:t xml:space="preserve"> </w:t>
      </w:r>
      <w:r>
        <w:t xml:space="preserve">Pickart 1980, PMID 7453802.</w:t>
      </w:r>
    </w:p>
  </w:footnote>
  <w:footnote w:id="2454">
    <w:p>
      <w:pPr>
        <w:pStyle w:val="FootnoteText"/>
      </w:pPr>
      <w:r>
        <w:rPr>
          <w:rStyle w:val="FootnoteReference"/>
        </w:rPr>
        <w:footnoteRef/>
      </w:r>
      <w:r>
        <w:t xml:space="preserve"> </w:t>
      </w:r>
      <w:r>
        <w:t xml:space="preserve">Maquart 1988, PMID 3169264.</w:t>
      </w:r>
    </w:p>
  </w:footnote>
  <w:footnote w:id="2455">
    <w:p>
      <w:pPr>
        <w:pStyle w:val="FootnoteText"/>
      </w:pPr>
      <w:r>
        <w:rPr>
          <w:rStyle w:val="FootnoteReference"/>
        </w:rPr>
        <w:footnoteRef/>
      </w:r>
      <w:r>
        <w:t xml:space="preserve"> </w:t>
      </w:r>
      <w:r>
        <w:t xml:space="preserve">Pickart 2015, PMID 26236730; Pickart 2018, PMID 29986520.</w:t>
      </w:r>
    </w:p>
  </w:footnote>
  <w:footnote w:id="2456">
    <w:p>
      <w:pPr>
        <w:pStyle w:val="FootnoteText"/>
      </w:pPr>
      <w:r>
        <w:rPr>
          <w:rStyle w:val="FootnoteReference"/>
        </w:rPr>
        <w:footnoteRef/>
      </w:r>
      <w:r>
        <w:t xml:space="preserve"> </w:t>
      </w:r>
      <w:r>
        <w:t xml:space="preserve">Mortazavi 2025, PMID 39963574.</w:t>
      </w:r>
    </w:p>
  </w:footnote>
  <w:footnote w:id="2457">
    <w:p>
      <w:pPr>
        <w:pStyle w:val="FootnoteText"/>
      </w:pPr>
      <w:r>
        <w:rPr>
          <w:rStyle w:val="FootnoteReference"/>
        </w:rPr>
        <w:footnoteRef/>
      </w:r>
      <w:r>
        <w:t xml:space="preserve"> </w:t>
      </w:r>
      <w:r>
        <w:t xml:space="preserve">Trzaska 2026, PMID 42790608.</w:t>
      </w:r>
    </w:p>
  </w:footnote>
  <w:footnote w:id="2460">
    <w:p>
      <w:pPr>
        <w:pStyle w:val="FootnoteText"/>
      </w:pPr>
      <w:r>
        <w:rPr>
          <w:rStyle w:val="FootnoteReference"/>
        </w:rPr>
        <w:footnoteRef/>
      </w:r>
      <w:r>
        <w:t xml:space="preserve"> </w:t>
      </w:r>
      <w:r>
        <w:t xml:space="preserve">Nukaly 2026, PMID 41924746.</w:t>
      </w:r>
    </w:p>
  </w:footnote>
  <w:footnote w:id="2461">
    <w:p>
      <w:pPr>
        <w:pStyle w:val="FootnoteText"/>
      </w:pPr>
      <w:r>
        <w:rPr>
          <w:rStyle w:val="FootnoteReference"/>
        </w:rPr>
        <w:footnoteRef/>
      </w:r>
      <w:r>
        <w:t xml:space="preserve"> </w:t>
      </w:r>
      <w:r>
        <w:t xml:space="preserve">Mayfield 2026, PMID 41476424.</w:t>
      </w:r>
    </w:p>
  </w:footnote>
  <w:footnote w:id="2462">
    <w:p>
      <w:pPr>
        <w:pStyle w:val="FootnoteText"/>
      </w:pPr>
      <w:r>
        <w:rPr>
          <w:rStyle w:val="FootnoteReference"/>
        </w:rPr>
        <w:footnoteRef/>
      </w:r>
      <w:r>
        <w:t xml:space="preserve"> </w:t>
      </w:r>
      <w:r>
        <w:t xml:space="preserve">Mendias 2026, PMID 41966639.</w:t>
      </w:r>
    </w:p>
  </w:footnote>
  <w:footnote w:id="2464">
    <w:p>
      <w:pPr>
        <w:pStyle w:val="FootnoteText"/>
      </w:pPr>
      <w:r>
        <w:rPr>
          <w:rStyle w:val="FootnoteReference"/>
        </w:rPr>
        <w:footnoteRef/>
      </w:r>
      <w:r>
        <w:t xml:space="preserve"> </w:t>
      </w:r>
      <w:r>
        <w:t xml:space="preserve">Maquart 1988, PMID 3169264.</w:t>
      </w:r>
    </w:p>
  </w:footnote>
  <w:footnote w:id="2465">
    <w:p>
      <w:pPr>
        <w:pStyle w:val="FootnoteText"/>
      </w:pPr>
      <w:r>
        <w:rPr>
          <w:rStyle w:val="FootnoteReference"/>
        </w:rPr>
        <w:footnoteRef/>
      </w:r>
      <w:r>
        <w:t xml:space="preserve"> </w:t>
      </w:r>
      <w:r>
        <w:t xml:space="preserve">Canapp 2003, PMID 14648529.</w:t>
      </w:r>
    </w:p>
  </w:footnote>
  <w:footnote w:id="2466">
    <w:p>
      <w:pPr>
        <w:pStyle w:val="FootnoteText"/>
      </w:pPr>
      <w:r>
        <w:rPr>
          <w:rStyle w:val="FootnoteReference"/>
        </w:rPr>
        <w:footnoteRef/>
      </w:r>
      <w:r>
        <w:t xml:space="preserve"> </w:t>
      </w:r>
      <w:r>
        <w:t xml:space="preserve">Wang 2017, PMID 28370978.</w:t>
      </w:r>
    </w:p>
  </w:footnote>
  <w:footnote w:id="2467">
    <w:p>
      <w:pPr>
        <w:pStyle w:val="FootnoteText"/>
      </w:pPr>
      <w:r>
        <w:rPr>
          <w:rStyle w:val="FootnoteReference"/>
        </w:rPr>
        <w:footnoteRef/>
      </w:r>
      <w:r>
        <w:t xml:space="preserve"> </w:t>
      </w:r>
      <w:r>
        <w:t xml:space="preserve">Ma 2020, PMID 31809714.</w:t>
      </w:r>
    </w:p>
  </w:footnote>
  <w:footnote w:id="2468">
    <w:p>
      <w:pPr>
        <w:pStyle w:val="FootnoteText"/>
      </w:pPr>
      <w:r>
        <w:rPr>
          <w:rStyle w:val="FootnoteReference"/>
        </w:rPr>
        <w:footnoteRef/>
      </w:r>
      <w:r>
        <w:t xml:space="preserve"> </w:t>
      </w:r>
      <w:r>
        <w:t xml:space="preserve">Fu 2015, PMID 25731775.</w:t>
      </w:r>
    </w:p>
  </w:footnote>
  <w:footnote w:id="2469">
    <w:p>
      <w:pPr>
        <w:pStyle w:val="FootnoteText"/>
      </w:pPr>
      <w:r>
        <w:rPr>
          <w:rStyle w:val="FootnoteReference"/>
        </w:rPr>
        <w:footnoteRef/>
      </w:r>
      <w:r>
        <w:t xml:space="preserve"> </w:t>
      </w:r>
      <w:r>
        <w:t xml:space="preserve">Mazzola 2026, PMID 42245779.</w:t>
      </w:r>
    </w:p>
  </w:footnote>
  <w:footnote w:id="2471">
    <w:p>
      <w:pPr>
        <w:pStyle w:val="FootnoteText"/>
      </w:pPr>
      <w:r>
        <w:rPr>
          <w:rStyle w:val="FootnoteReference"/>
        </w:rPr>
        <w:footnoteRef/>
      </w:r>
      <w:r>
        <w:t xml:space="preserve"> </w:t>
      </w:r>
      <w:r>
        <w:t xml:space="preserve">Pickart 1980, PMID 7453802.</w:t>
      </w:r>
    </w:p>
  </w:footnote>
  <w:footnote w:id="2472">
    <w:p>
      <w:pPr>
        <w:pStyle w:val="FootnoteText"/>
      </w:pPr>
      <w:r>
        <w:rPr>
          <w:rStyle w:val="FootnoteReference"/>
        </w:rPr>
        <w:footnoteRef/>
      </w:r>
      <w:r>
        <w:t xml:space="preserve"> </w:t>
      </w:r>
      <w:r>
        <w:t xml:space="preserve">Moiz 2026, PMID 42757290.</w:t>
      </w:r>
    </w:p>
  </w:footnote>
  <w:footnote w:id="2475">
    <w:p>
      <w:pPr>
        <w:pStyle w:val="FootnoteText"/>
      </w:pPr>
      <w:r>
        <w:rPr>
          <w:rStyle w:val="FootnoteReference"/>
        </w:rPr>
        <w:footnoteRef/>
      </w:r>
      <w:r>
        <w:t xml:space="preserve"> </w:t>
      </w:r>
      <w:r>
        <w:t xml:space="preserve">NCT07706361.</w:t>
      </w:r>
    </w:p>
  </w:footnote>
  <w:footnote w:id="2480">
    <w:p>
      <w:pPr>
        <w:pStyle w:val="FootnoteText"/>
      </w:pPr>
      <w:r>
        <w:rPr>
          <w:rStyle w:val="FootnoteReference"/>
        </w:rPr>
        <w:footnoteRef/>
      </w:r>
      <w:r>
        <w:t xml:space="preserve"> </w:t>
      </w:r>
      <w:r>
        <w:t xml:space="preserve">Katayama 1993, PMID 8486721.</w:t>
      </w:r>
    </w:p>
  </w:footnote>
  <w:footnote w:id="2481">
    <w:p>
      <w:pPr>
        <w:pStyle w:val="FootnoteText"/>
      </w:pPr>
      <w:r>
        <w:rPr>
          <w:rStyle w:val="FootnoteReference"/>
        </w:rPr>
        <w:footnoteRef/>
      </w:r>
      <w:r>
        <w:t xml:space="preserve"> </w:t>
      </w:r>
      <w:r>
        <w:t xml:space="preserve">Jones 2013, PMID 23320752.</w:t>
      </w:r>
    </w:p>
  </w:footnote>
  <w:footnote w:id="2482">
    <w:p>
      <w:pPr>
        <w:pStyle w:val="FootnoteText"/>
      </w:pPr>
      <w:r>
        <w:rPr>
          <w:rStyle w:val="FootnoteReference"/>
        </w:rPr>
        <w:footnoteRef/>
      </w:r>
      <w:r>
        <w:t xml:space="preserve"> </w:t>
      </w:r>
      <w:r>
        <w:t xml:space="preserve">Trzaska 2026, PMID 42790608.</w:t>
      </w:r>
    </w:p>
  </w:footnote>
  <w:footnote w:id="2484">
    <w:p>
      <w:pPr>
        <w:pStyle w:val="FootnoteText"/>
      </w:pPr>
      <w:r>
        <w:rPr>
          <w:rStyle w:val="FootnoteReference"/>
        </w:rPr>
        <w:footnoteRef/>
      </w:r>
      <w:r>
        <w:t xml:space="preserve"> </w:t>
      </w:r>
      <w:r>
        <w:t xml:space="preserve">Kaczvinsky 2009, PMID 19735523.</w:t>
      </w:r>
    </w:p>
  </w:footnote>
  <w:footnote w:id="2485">
    <w:p>
      <w:pPr>
        <w:pStyle w:val="FootnoteText"/>
      </w:pPr>
      <w:r>
        <w:rPr>
          <w:rStyle w:val="FootnoteReference"/>
        </w:rPr>
        <w:footnoteRef/>
      </w:r>
      <w:r>
        <w:t xml:space="preserve"> </w:t>
      </w:r>
      <w:r>
        <w:t xml:space="preserve">Nukaly 2026, PMID 41924746.</w:t>
      </w:r>
    </w:p>
  </w:footnote>
  <w:footnote w:id="2487">
    <w:p>
      <w:pPr>
        <w:pStyle w:val="FootnoteText"/>
      </w:pPr>
      <w:r>
        <w:rPr>
          <w:rStyle w:val="FootnoteReference"/>
        </w:rPr>
        <w:footnoteRef/>
      </w:r>
      <w:r>
        <w:t xml:space="preserve"> </w:t>
      </w:r>
      <w:r>
        <w:t xml:space="preserve">Katayama 1993, PMID 8486721; Jones 2013, PMID 23320752.</w:t>
      </w:r>
    </w:p>
  </w:footnote>
  <w:footnote w:id="2488">
    <w:p>
      <w:pPr>
        <w:pStyle w:val="FootnoteText"/>
      </w:pPr>
      <w:r>
        <w:rPr>
          <w:rStyle w:val="FootnoteReference"/>
        </w:rPr>
        <w:footnoteRef/>
      </w:r>
      <w:r>
        <w:t xml:space="preserve"> </w:t>
      </w:r>
      <w:r>
        <w:t xml:space="preserve">Park 2017, PMID 30603464.</w:t>
      </w:r>
    </w:p>
  </w:footnote>
  <w:footnote w:id="2489">
    <w:p>
      <w:pPr>
        <w:pStyle w:val="FootnoteText"/>
      </w:pPr>
      <w:r>
        <w:rPr>
          <w:rStyle w:val="FootnoteReference"/>
        </w:rPr>
        <w:footnoteRef/>
      </w:r>
      <w:r>
        <w:t xml:space="preserve"> </w:t>
      </w:r>
      <w:r>
        <w:t xml:space="preserve">Kachooeian 2022, PMID 35874243.</w:t>
      </w:r>
    </w:p>
  </w:footnote>
  <w:footnote w:id="2491">
    <w:p>
      <w:pPr>
        <w:pStyle w:val="FootnoteText"/>
      </w:pPr>
      <w:r>
        <w:rPr>
          <w:rStyle w:val="FootnoteReference"/>
        </w:rPr>
        <w:footnoteRef/>
      </w:r>
      <w:r>
        <w:t xml:space="preserve"> </w:t>
      </w:r>
      <w:r>
        <w:t xml:space="preserve">Röper 2004, PMID 15127162.</w:t>
      </w:r>
    </w:p>
  </w:footnote>
  <w:footnote w:id="2492">
    <w:p>
      <w:pPr>
        <w:pStyle w:val="FootnoteText"/>
      </w:pPr>
      <w:r>
        <w:rPr>
          <w:rStyle w:val="FootnoteReference"/>
        </w:rPr>
        <w:footnoteRef/>
      </w:r>
      <w:r>
        <w:t xml:space="preserve"> </w:t>
      </w:r>
      <w:r>
        <w:t xml:space="preserve">Bjerke 2026, PMID 41953401.</w:t>
      </w:r>
    </w:p>
  </w:footnote>
  <w:footnote w:id="2499">
    <w:p>
      <w:pPr>
        <w:pStyle w:val="FootnoteText"/>
      </w:pPr>
      <w:r>
        <w:rPr>
          <w:rStyle w:val="FootnoteReference"/>
        </w:rPr>
        <w:footnoteRef/>
      </w:r>
      <w:r>
        <w:t xml:space="preserve"> </w:t>
      </w:r>
      <w:r>
        <w:t xml:space="preserve">Blanes-Mira 2002, PMID 18498523.</w:t>
      </w:r>
    </w:p>
  </w:footnote>
  <w:footnote w:id="2500">
    <w:p>
      <w:pPr>
        <w:pStyle w:val="FootnoteText"/>
      </w:pPr>
      <w:r>
        <w:rPr>
          <w:rStyle w:val="FootnoteReference"/>
        </w:rPr>
        <w:footnoteRef/>
      </w:r>
      <w:r>
        <w:t xml:space="preserve"> </w:t>
      </w:r>
      <w:r>
        <w:t xml:space="preserve">Kraeling 2015, PMID 24754410.</w:t>
      </w:r>
    </w:p>
  </w:footnote>
  <w:footnote w:id="2501">
    <w:p>
      <w:pPr>
        <w:pStyle w:val="FootnoteText"/>
      </w:pPr>
      <w:r>
        <w:rPr>
          <w:rStyle w:val="FootnoteReference"/>
        </w:rPr>
        <w:footnoteRef/>
      </w:r>
      <w:r>
        <w:t xml:space="preserve"> </w:t>
      </w:r>
      <w:r>
        <w:t xml:space="preserve">Zdrada-Nowak 2025, PMID 40565185.</w:t>
      </w:r>
    </w:p>
  </w:footnote>
  <w:footnote w:id="2503">
    <w:p>
      <w:pPr>
        <w:pStyle w:val="FootnoteText"/>
      </w:pPr>
      <w:r>
        <w:rPr>
          <w:rStyle w:val="FootnoteReference"/>
        </w:rPr>
        <w:footnoteRef/>
      </w:r>
      <w:r>
        <w:t xml:space="preserve"> </w:t>
      </w:r>
      <w:r>
        <w:t xml:space="preserve">Wang 2013, PMID 23607739.</w:t>
      </w:r>
    </w:p>
  </w:footnote>
  <w:footnote w:id="2504">
    <w:p>
      <w:pPr>
        <w:pStyle w:val="FootnoteText"/>
      </w:pPr>
      <w:r>
        <w:rPr>
          <w:rStyle w:val="FootnoteReference"/>
        </w:rPr>
        <w:footnoteRef/>
      </w:r>
      <w:r>
        <w:t xml:space="preserve"> </w:t>
      </w:r>
      <w:r>
        <w:t xml:space="preserve">NCT01750346.</w:t>
      </w:r>
    </w:p>
  </w:footnote>
  <w:footnote w:id="2505">
    <w:p>
      <w:pPr>
        <w:pStyle w:val="FootnoteText"/>
      </w:pPr>
      <w:r>
        <w:rPr>
          <w:rStyle w:val="FootnoteReference"/>
        </w:rPr>
        <w:footnoteRef/>
      </w:r>
      <w:r>
        <w:t xml:space="preserve"> </w:t>
      </w:r>
      <w:r>
        <w:t xml:space="preserve">An 2019, PMID 33911590.</w:t>
      </w:r>
    </w:p>
  </w:footnote>
  <w:footnote w:id="2506">
    <w:p>
      <w:pPr>
        <w:pStyle w:val="FootnoteText"/>
      </w:pPr>
      <w:r>
        <w:rPr>
          <w:rStyle w:val="FootnoteReference"/>
        </w:rPr>
        <w:footnoteRef/>
      </w:r>
      <w:r>
        <w:t xml:space="preserve"> </w:t>
      </w:r>
      <w:r>
        <w:t xml:space="preserve">NCT02597777.</w:t>
      </w:r>
    </w:p>
  </w:footnote>
  <w:footnote w:id="2507">
    <w:p>
      <w:pPr>
        <w:pStyle w:val="FootnoteText"/>
      </w:pPr>
      <w:r>
        <w:rPr>
          <w:rStyle w:val="FootnoteReference"/>
        </w:rPr>
        <w:footnoteRef/>
      </w:r>
      <w:r>
        <w:t xml:space="preserve"> </w:t>
      </w:r>
      <w:r>
        <w:t xml:space="preserve">NCT01381484.</w:t>
      </w:r>
    </w:p>
  </w:footnote>
  <w:footnote w:id="2510">
    <w:p>
      <w:pPr>
        <w:pStyle w:val="FootnoteText"/>
      </w:pPr>
      <w:r>
        <w:rPr>
          <w:rStyle w:val="FootnoteReference"/>
        </w:rPr>
        <w:footnoteRef/>
      </w:r>
      <w:r>
        <w:t xml:space="preserve"> </w:t>
      </w:r>
      <w:r>
        <w:t xml:space="preserve">Blanes-Mira 2002, PMID 18498523.</w:t>
      </w:r>
    </w:p>
  </w:footnote>
  <w:footnote w:id="2511">
    <w:p>
      <w:pPr>
        <w:pStyle w:val="FootnoteText"/>
      </w:pPr>
      <w:r>
        <w:rPr>
          <w:rStyle w:val="FootnoteReference"/>
        </w:rPr>
        <w:footnoteRef/>
      </w:r>
      <w:r>
        <w:t xml:space="preserve"> </w:t>
      </w:r>
      <w:r>
        <w:t xml:space="preserve">Grosicki 2014, PMID 24644551.</w:t>
      </w:r>
    </w:p>
  </w:footnote>
  <w:footnote w:id="2512">
    <w:p>
      <w:pPr>
        <w:pStyle w:val="FootnoteText"/>
      </w:pPr>
      <w:r>
        <w:rPr>
          <w:rStyle w:val="FootnoteReference"/>
        </w:rPr>
        <w:footnoteRef/>
      </w:r>
      <w:r>
        <w:t xml:space="preserve"> </w:t>
      </w:r>
      <w:r>
        <w:t xml:space="preserve">Wang 2013, PMID 23464592.</w:t>
      </w:r>
    </w:p>
  </w:footnote>
  <w:footnote w:id="2513">
    <w:p>
      <w:pPr>
        <w:pStyle w:val="FootnoteText"/>
      </w:pPr>
      <w:r>
        <w:rPr>
          <w:rStyle w:val="FootnoteReference"/>
        </w:rPr>
        <w:footnoteRef/>
      </w:r>
      <w:r>
        <w:t xml:space="preserve"> </w:t>
      </w:r>
      <w:r>
        <w:t xml:space="preserve">Kraeling 2015, PMID 24754410.</w:t>
      </w:r>
    </w:p>
  </w:footnote>
  <w:footnote w:id="2515">
    <w:p>
      <w:pPr>
        <w:pStyle w:val="FootnoteText"/>
      </w:pPr>
      <w:r>
        <w:rPr>
          <w:rStyle w:val="FootnoteReference"/>
        </w:rPr>
        <w:footnoteRef/>
      </w:r>
      <w:r>
        <w:t xml:space="preserve"> </w:t>
      </w:r>
      <w:r>
        <w:t xml:space="preserve">Johnson 2025, PMID 40673537.</w:t>
      </w:r>
    </w:p>
  </w:footnote>
  <w:footnote w:id="2516">
    <w:p>
      <w:pPr>
        <w:pStyle w:val="FootnoteText"/>
      </w:pPr>
      <w:r>
        <w:rPr>
          <w:rStyle w:val="FootnoteReference"/>
        </w:rPr>
        <w:footnoteRef/>
      </w:r>
      <w:r>
        <w:t xml:space="preserve"> </w:t>
      </w:r>
      <w:r>
        <w:t xml:space="preserve">Chen 2021, PMID 33748252.</w:t>
      </w:r>
    </w:p>
  </w:footnote>
  <w:footnote w:id="2537">
    <w:p>
      <w:pPr>
        <w:pStyle w:val="FootnoteText"/>
      </w:pPr>
      <w:r>
        <w:rPr>
          <w:rStyle w:val="FootnoteReference"/>
        </w:rPr>
        <w:footnoteRef/>
      </w:r>
      <w:r>
        <w:t xml:space="preserve"> </w:t>
      </w:r>
      <w:r>
        <w:t xml:space="preserve">Gao 2026, PMID 42251595.</w:t>
      </w:r>
    </w:p>
  </w:footnote>
  <w:footnote w:id="2538">
    <w:p>
      <w:pPr>
        <w:pStyle w:val="FootnoteText"/>
      </w:pPr>
      <w:r>
        <w:rPr>
          <w:rStyle w:val="FootnoteReference"/>
        </w:rPr>
        <w:footnoteRef/>
      </w:r>
      <w:r>
        <w:t xml:space="preserve"> </w:t>
      </w:r>
      <w:r>
        <w:t xml:space="preserve">NCT06662383.</w:t>
      </w:r>
    </w:p>
  </w:footnote>
  <w:footnote w:id="2540">
    <w:p>
      <w:pPr>
        <w:pStyle w:val="FootnoteText"/>
      </w:pPr>
      <w:r>
        <w:rPr>
          <w:rStyle w:val="FootnoteReference"/>
        </w:rPr>
        <w:footnoteRef/>
      </w:r>
      <w:r>
        <w:t xml:space="preserve"> </w:t>
      </w:r>
      <w:r>
        <w:t xml:space="preserve">Rubino 2021, PMID 33755728.</w:t>
      </w:r>
    </w:p>
  </w:footnote>
  <w:footnote w:id="2541">
    <w:p>
      <w:pPr>
        <w:pStyle w:val="FootnoteText"/>
      </w:pPr>
      <w:r>
        <w:rPr>
          <w:rStyle w:val="FootnoteReference"/>
        </w:rPr>
        <w:footnoteRef/>
      </w:r>
      <w:r>
        <w:t xml:space="preserve"> </w:t>
      </w:r>
      <w:r>
        <w:t xml:space="preserve">Aronne 2024, PMID 38078870.</w:t>
      </w:r>
    </w:p>
  </w:footnote>
  <w:footnote w:id="2544">
    <w:p>
      <w:pPr>
        <w:pStyle w:val="FootnoteText"/>
      </w:pPr>
      <w:r>
        <w:rPr>
          <w:rStyle w:val="FootnoteReference"/>
        </w:rPr>
        <w:footnoteRef/>
      </w:r>
      <w:r>
        <w:t xml:space="preserve"> </w:t>
      </w:r>
      <w:r>
        <w:t xml:space="preserve">Edelman 2006, PMID 17003291.</w:t>
      </w:r>
    </w:p>
  </w:footnote>
  <w:footnote w:id="2546">
    <w:p>
      <w:pPr>
        <w:pStyle w:val="FootnoteText"/>
      </w:pPr>
      <w:r>
        <w:rPr>
          <w:rStyle w:val="FootnoteReference"/>
        </w:rPr>
        <w:footnoteRef/>
      </w:r>
      <w:r>
        <w:t xml:space="preserve"> </w:t>
      </w:r>
      <w:r>
        <w:t xml:space="preserve">Kristensen 2019, PMID 31422062.</w:t>
      </w:r>
    </w:p>
  </w:footnote>
  <w:footnote w:id="2547">
    <w:p>
      <w:pPr>
        <w:pStyle w:val="FootnoteText"/>
      </w:pPr>
      <w:r>
        <w:rPr>
          <w:rStyle w:val="FootnoteReference"/>
        </w:rPr>
        <w:footnoteRef/>
      </w:r>
      <w:r>
        <w:t xml:space="preserve"> </w:t>
      </w:r>
      <w:r>
        <w:t xml:space="preserve">Kosiborod 2023, PMID 37622681.</w:t>
      </w:r>
    </w:p>
  </w:footnote>
  <w:footnote w:id="2548">
    <w:p>
      <w:pPr>
        <w:pStyle w:val="FootnoteText"/>
      </w:pPr>
      <w:r>
        <w:rPr>
          <w:rStyle w:val="FootnoteReference"/>
        </w:rPr>
        <w:footnoteRef/>
      </w:r>
      <w:r>
        <w:t xml:space="preserve"> </w:t>
      </w:r>
      <w:r>
        <w:t xml:space="preserve">NCT05556512.</w:t>
      </w:r>
    </w:p>
  </w:footnote>
  <w:footnote w:id="2549">
    <w:p>
      <w:pPr>
        <w:pStyle w:val="FootnoteText"/>
      </w:pPr>
      <w:r>
        <w:rPr>
          <w:rStyle w:val="FootnoteReference"/>
        </w:rPr>
        <w:footnoteRef/>
      </w:r>
      <w:r>
        <w:t xml:space="preserve"> </w:t>
      </w:r>
      <w:r>
        <w:t xml:space="preserve">NCT06383390.</w:t>
      </w:r>
    </w:p>
  </w:footnote>
  <w:footnote w:id="2550">
    <w:p>
      <w:pPr>
        <w:pStyle w:val="FootnoteText"/>
      </w:pPr>
      <w:r>
        <w:rPr>
          <w:rStyle w:val="FootnoteReference"/>
        </w:rPr>
        <w:footnoteRef/>
      </w:r>
      <w:r>
        <w:t xml:space="preserve"> </w:t>
      </w:r>
      <w:r>
        <w:t xml:space="preserve">NCT05669755.</w:t>
      </w:r>
    </w:p>
  </w:footnote>
  <w:footnote w:id="2551">
    <w:p>
      <w:pPr>
        <w:pStyle w:val="FootnoteText"/>
      </w:pPr>
      <w:r>
        <w:rPr>
          <w:rStyle w:val="FootnoteReference"/>
        </w:rPr>
        <w:footnoteRef/>
      </w:r>
      <w:r>
        <w:t xml:space="preserve"> </w:t>
      </w:r>
      <w:r>
        <w:t xml:space="preserve">NCT07037433.</w:t>
      </w:r>
    </w:p>
  </w:footnote>
  <w:footnote w:id="2552">
    <w:p>
      <w:pPr>
        <w:pStyle w:val="FootnoteText"/>
      </w:pPr>
      <w:r>
        <w:rPr>
          <w:rStyle w:val="FootnoteReference"/>
        </w:rPr>
        <w:footnoteRef/>
      </w:r>
      <w:r>
        <w:t xml:space="preserve"> </w:t>
      </w:r>
      <w:r>
        <w:t xml:space="preserve">NCT07241390.</w:t>
      </w:r>
    </w:p>
  </w:footnote>
  <w:footnote w:id="2554">
    <w:p>
      <w:pPr>
        <w:pStyle w:val="FootnoteText"/>
      </w:pPr>
      <w:r>
        <w:rPr>
          <w:rStyle w:val="FootnoteReference"/>
        </w:rPr>
        <w:footnoteRef/>
      </w:r>
      <w:r>
        <w:t xml:space="preserve"> </w:t>
      </w:r>
      <w:r>
        <w:t xml:space="preserve">Perkovic 2024, PMID 38785209.</w:t>
      </w:r>
    </w:p>
  </w:footnote>
  <w:footnote w:id="2555">
    <w:p>
      <w:pPr>
        <w:pStyle w:val="FootnoteText"/>
      </w:pPr>
      <w:r>
        <w:rPr>
          <w:rStyle w:val="FootnoteReference"/>
        </w:rPr>
        <w:footnoteRef/>
      </w:r>
      <w:r>
        <w:t xml:space="preserve"> </w:t>
      </w:r>
      <w:r>
        <w:t xml:space="preserve">Mann 2017, PMID 28854085.</w:t>
      </w:r>
    </w:p>
  </w:footnote>
  <w:footnote w:id="2556">
    <w:p>
      <w:pPr>
        <w:pStyle w:val="FootnoteText"/>
      </w:pPr>
      <w:r>
        <w:rPr>
          <w:rStyle w:val="FootnoteReference"/>
        </w:rPr>
        <w:footnoteRef/>
      </w:r>
      <w:r>
        <w:t xml:space="preserve"> </w:t>
      </w:r>
      <w:r>
        <w:t xml:space="preserve">Gerstein 2019, PMID 31189509.</w:t>
      </w:r>
    </w:p>
  </w:footnote>
  <w:footnote w:id="2557">
    <w:p>
      <w:pPr>
        <w:pStyle w:val="FootnoteText"/>
      </w:pPr>
      <w:r>
        <w:rPr>
          <w:rStyle w:val="FootnoteReference"/>
        </w:rPr>
        <w:footnoteRef/>
      </w:r>
      <w:r>
        <w:t xml:space="preserve"> </w:t>
      </w:r>
      <w:r>
        <w:t xml:space="preserve">Kristensen 2019, PMID 31422062.</w:t>
      </w:r>
    </w:p>
  </w:footnote>
  <w:footnote w:id="2558">
    <w:p>
      <w:pPr>
        <w:pStyle w:val="FootnoteText"/>
      </w:pPr>
      <w:r>
        <w:rPr>
          <w:rStyle w:val="FootnoteReference"/>
        </w:rPr>
        <w:footnoteRef/>
      </w:r>
      <w:r>
        <w:t xml:space="preserve"> </w:t>
      </w:r>
      <w:r>
        <w:t xml:space="preserve">McGuire 2025, PMID 40162642.</w:t>
      </w:r>
    </w:p>
  </w:footnote>
  <w:footnote w:id="2559">
    <w:p>
      <w:pPr>
        <w:pStyle w:val="FootnoteText"/>
      </w:pPr>
      <w:r>
        <w:rPr>
          <w:rStyle w:val="FootnoteReference"/>
        </w:rPr>
        <w:footnoteRef/>
      </w:r>
      <w:r>
        <w:t xml:space="preserve"> </w:t>
      </w:r>
      <w:r>
        <w:t xml:space="preserve">NCT06632444.</w:t>
      </w:r>
    </w:p>
  </w:footnote>
  <w:footnote w:id="2560">
    <w:p>
      <w:pPr>
        <w:pStyle w:val="FootnoteText"/>
      </w:pPr>
      <w:r>
        <w:rPr>
          <w:rStyle w:val="FootnoteReference"/>
        </w:rPr>
        <w:footnoteRef/>
      </w:r>
      <w:r>
        <w:t xml:space="preserve"> </w:t>
      </w:r>
      <w:r>
        <w:t xml:space="preserve">NCT06632457.</w:t>
      </w:r>
    </w:p>
  </w:footnote>
  <w:footnote w:id="2562">
    <w:p>
      <w:pPr>
        <w:pStyle w:val="FootnoteText"/>
      </w:pPr>
      <w:r>
        <w:rPr>
          <w:rStyle w:val="FootnoteReference"/>
        </w:rPr>
        <w:footnoteRef/>
      </w:r>
      <w:r>
        <w:t xml:space="preserve"> </w:t>
      </w:r>
      <w:r>
        <w:t xml:space="preserve">Buse 2013, PMID 23141817.</w:t>
      </w:r>
    </w:p>
  </w:footnote>
  <w:footnote w:id="2563">
    <w:p>
      <w:pPr>
        <w:pStyle w:val="FootnoteText"/>
      </w:pPr>
      <w:r>
        <w:rPr>
          <w:rStyle w:val="FootnoteReference"/>
        </w:rPr>
        <w:footnoteRef/>
      </w:r>
      <w:r>
        <w:t xml:space="preserve"> </w:t>
      </w:r>
      <w:r>
        <w:t xml:space="preserve">Rubino 2022, PMID 35015037.</w:t>
      </w:r>
    </w:p>
  </w:footnote>
  <w:footnote w:id="2564">
    <w:p>
      <w:pPr>
        <w:pStyle w:val="FootnoteText"/>
      </w:pPr>
      <w:r>
        <w:rPr>
          <w:rStyle w:val="FootnoteReference"/>
        </w:rPr>
        <w:footnoteRef/>
      </w:r>
      <w:r>
        <w:t xml:space="preserve"> </w:t>
      </w:r>
      <w:r>
        <w:t xml:space="preserve">Frías 2021, PMID 34170647.</w:t>
      </w:r>
    </w:p>
  </w:footnote>
  <w:footnote w:id="2565">
    <w:p>
      <w:pPr>
        <w:pStyle w:val="FootnoteText"/>
      </w:pPr>
      <w:r>
        <w:rPr>
          <w:rStyle w:val="FootnoteReference"/>
        </w:rPr>
        <w:footnoteRef/>
      </w:r>
      <w:r>
        <w:t xml:space="preserve"> </w:t>
      </w:r>
      <w:r>
        <w:t xml:space="preserve">Yamauchi 2026, PMID 42009015.</w:t>
      </w:r>
    </w:p>
  </w:footnote>
  <w:footnote w:id="2566">
    <w:p>
      <w:pPr>
        <w:pStyle w:val="FootnoteText"/>
      </w:pPr>
      <w:r>
        <w:rPr>
          <w:rStyle w:val="FootnoteReference"/>
        </w:rPr>
        <w:footnoteRef/>
      </w:r>
      <w:r>
        <w:t xml:space="preserve"> </w:t>
      </w:r>
      <w:r>
        <w:t xml:space="preserve">Hsia 2026, PMID 42628555.</w:t>
      </w:r>
    </w:p>
  </w:footnote>
  <w:footnote w:id="2567">
    <w:p>
      <w:pPr>
        <w:pStyle w:val="FootnoteText"/>
      </w:pPr>
      <w:r>
        <w:rPr>
          <w:rStyle w:val="FootnoteReference"/>
        </w:rPr>
        <w:footnoteRef/>
      </w:r>
      <w:r>
        <w:t xml:space="preserve"> </w:t>
      </w:r>
      <w:r>
        <w:t xml:space="preserve">Kristensen 2019, PMID 31422062.</w:t>
      </w:r>
    </w:p>
  </w:footnote>
  <w:footnote w:id="2568">
    <w:p>
      <w:pPr>
        <w:pStyle w:val="FootnoteText"/>
      </w:pPr>
      <w:r>
        <w:rPr>
          <w:rStyle w:val="FootnoteReference"/>
        </w:rPr>
        <w:footnoteRef/>
      </w:r>
      <w:r>
        <w:t xml:space="preserve"> </w:t>
      </w:r>
      <w:r>
        <w:t xml:space="preserve">Sodhi 2023, PMID 37796527.</w:t>
      </w:r>
    </w:p>
  </w:footnote>
  <w:footnote w:id="2569">
    <w:p>
      <w:pPr>
        <w:pStyle w:val="FootnoteText"/>
      </w:pPr>
      <w:r>
        <w:rPr>
          <w:rStyle w:val="FootnoteReference"/>
        </w:rPr>
        <w:footnoteRef/>
      </w:r>
      <w:r>
        <w:t xml:space="preserve"> </w:t>
      </w:r>
      <w:r>
        <w:t xml:space="preserve">Silverii 2025, PMID 40437949.</w:t>
      </w:r>
    </w:p>
  </w:footnote>
  <w:footnote w:id="2570">
    <w:p>
      <w:pPr>
        <w:pStyle w:val="FootnoteText"/>
      </w:pPr>
      <w:r>
        <w:rPr>
          <w:rStyle w:val="FootnoteReference"/>
        </w:rPr>
        <w:footnoteRef/>
      </w:r>
      <w:r>
        <w:t xml:space="preserve"> </w:t>
      </w:r>
      <w:r>
        <w:t xml:space="preserve">Simonsen 2025, PMID 40098249.</w:t>
      </w:r>
    </w:p>
  </w:footnote>
  <w:footnote w:id="2571">
    <w:p>
      <w:pPr>
        <w:pStyle w:val="FootnoteText"/>
      </w:pPr>
      <w:r>
        <w:rPr>
          <w:rStyle w:val="FootnoteReference"/>
        </w:rPr>
        <w:footnoteRef/>
      </w:r>
      <w:r>
        <w:t xml:space="preserve"> </w:t>
      </w:r>
      <w:r>
        <w:t xml:space="preserve">Look 2025, PMID 39996356.</w:t>
      </w:r>
    </w:p>
  </w:footnote>
  <w:footnote w:id="2573">
    <w:p>
      <w:pPr>
        <w:pStyle w:val="FootnoteText"/>
      </w:pPr>
      <w:r>
        <w:rPr>
          <w:rStyle w:val="FootnoteReference"/>
        </w:rPr>
        <w:footnoteRef/>
      </w:r>
      <w:r>
        <w:t xml:space="preserve"> </w:t>
      </w:r>
      <w:r>
        <w:t xml:space="preserve">NCT06662383.</w:t>
      </w:r>
    </w:p>
  </w:footnote>
  <w:footnote w:id="2574">
    <w:p>
      <w:pPr>
        <w:pStyle w:val="FootnoteText"/>
      </w:pPr>
      <w:r>
        <w:rPr>
          <w:rStyle w:val="FootnoteReference"/>
        </w:rPr>
        <w:footnoteRef/>
      </w:r>
      <w:r>
        <w:t xml:space="preserve"> </w:t>
      </w:r>
      <w:r>
        <w:t xml:space="preserve">NCT06184568, NCT06884293.</w:t>
      </w:r>
    </w:p>
  </w:footnote>
  <w:footnote w:id="2579">
    <w:p>
      <w:pPr>
        <w:pStyle w:val="FootnoteText"/>
      </w:pPr>
      <w:r>
        <w:rPr>
          <w:rStyle w:val="FootnoteReference"/>
        </w:rPr>
        <w:footnoteRef/>
      </w:r>
      <w:r>
        <w:t xml:space="preserve"> </w:t>
      </w:r>
      <w:r>
        <w:t xml:space="preserve">Porsteinsson 2025, PMID 41393340.</w:t>
      </w:r>
    </w:p>
  </w:footnote>
  <w:footnote w:id="2581">
    <w:p>
      <w:pPr>
        <w:pStyle w:val="FootnoteText"/>
      </w:pPr>
      <w:r>
        <w:rPr>
          <w:rStyle w:val="FootnoteReference"/>
        </w:rPr>
        <w:footnoteRef/>
      </w:r>
      <w:r>
        <w:t xml:space="preserve"> </w:t>
      </w:r>
      <w:r>
        <w:t xml:space="preserve">Nass 2008, PMID 18981485.</w:t>
      </w:r>
    </w:p>
  </w:footnote>
  <w:footnote w:id="2583">
    <w:p>
      <w:pPr>
        <w:pStyle w:val="FootnoteText"/>
      </w:pPr>
      <w:r>
        <w:rPr>
          <w:rStyle w:val="FootnoteReference"/>
        </w:rPr>
        <w:footnoteRef/>
      </w:r>
      <w:r>
        <w:t xml:space="preserve"> </w:t>
      </w:r>
      <w:r>
        <w:t xml:space="preserve">Gajda 2019, PMID 30136411.</w:t>
      </w:r>
    </w:p>
  </w:footnote>
  <w:footnote w:id="2585">
    <w:p>
      <w:pPr>
        <w:pStyle w:val="FootnoteText"/>
      </w:pPr>
      <w:r>
        <w:rPr>
          <w:rStyle w:val="FootnoteReference"/>
        </w:rPr>
        <w:footnoteRef/>
      </w:r>
      <w:r>
        <w:t xml:space="preserve"> </w:t>
      </w:r>
      <w:r>
        <w:t xml:space="preserve">Beck 2014, PMID 25331030.</w:t>
      </w:r>
    </w:p>
  </w:footnote>
  <w:footnote w:id="2586">
    <w:p>
      <w:pPr>
        <w:pStyle w:val="FootnoteText"/>
      </w:pPr>
      <w:r>
        <w:rPr>
          <w:rStyle w:val="FootnoteReference"/>
        </w:rPr>
        <w:footnoteRef/>
      </w:r>
      <w:r>
        <w:t xml:space="preserve"> </w:t>
      </w:r>
      <w:r>
        <w:t xml:space="preserve">Leal 2014, PMID 24619793.</w:t>
      </w:r>
    </w:p>
  </w:footnote>
  <w:footnote w:id="2587">
    <w:p>
      <w:pPr>
        <w:pStyle w:val="FootnoteText"/>
      </w:pPr>
      <w:r>
        <w:rPr>
          <w:rStyle w:val="FootnoteReference"/>
        </w:rPr>
        <w:footnoteRef/>
      </w:r>
      <w:r>
        <w:t xml:space="preserve"> </w:t>
      </w:r>
      <w:r>
        <w:t xml:space="preserve">Myung 2025, PMID 40324552.</w:t>
      </w:r>
    </w:p>
  </w:footnote>
  <w:footnote w:id="2590">
    <w:p>
      <w:pPr>
        <w:pStyle w:val="FootnoteText"/>
      </w:pPr>
      <w:r>
        <w:rPr>
          <w:rStyle w:val="FootnoteReference"/>
        </w:rPr>
        <w:footnoteRef/>
      </w:r>
      <w:r>
        <w:t xml:space="preserve"> </w:t>
      </w:r>
      <w:r>
        <w:t xml:space="preserve">Breindahl 2015, PMID 24771717.</w:t>
      </w:r>
    </w:p>
  </w:footnote>
  <w:footnote w:id="2602">
    <w:p>
      <w:pPr>
        <w:pStyle w:val="FootnoteText"/>
      </w:pPr>
      <w:r>
        <w:rPr>
          <w:rStyle w:val="FootnoteReference"/>
        </w:rPr>
        <w:footnoteRef/>
      </w:r>
      <w:r>
        <w:t xml:space="preserve"> </w:t>
      </w:r>
      <w:r>
        <w:t xml:space="preserve">Simonsen 2025, PMID 40098249.</w:t>
      </w:r>
    </w:p>
  </w:footnote>
  <w:footnote w:id="2603">
    <w:p>
      <w:pPr>
        <w:pStyle w:val="FootnoteText"/>
      </w:pPr>
      <w:r>
        <w:rPr>
          <w:rStyle w:val="FootnoteReference"/>
        </w:rPr>
        <w:footnoteRef/>
      </w:r>
      <w:r>
        <w:t xml:space="preserve"> </w:t>
      </w:r>
      <w:r>
        <w:t xml:space="preserve">Yang 2026, PMID 41915388.</w:t>
      </w:r>
    </w:p>
  </w:footnote>
  <w:footnote w:id="2604">
    <w:p>
      <w:pPr>
        <w:pStyle w:val="FootnoteText"/>
      </w:pPr>
      <w:r>
        <w:rPr>
          <w:rStyle w:val="FootnoteReference"/>
        </w:rPr>
        <w:footnoteRef/>
      </w:r>
      <w:r>
        <w:t xml:space="preserve"> </w:t>
      </w:r>
      <w:r>
        <w:t xml:space="preserve">Ismaiel 2025, PMID 40804463.</w:t>
      </w:r>
    </w:p>
  </w:footnote>
  <w:footnote w:id="2605">
    <w:p>
      <w:pPr>
        <w:pStyle w:val="FootnoteText"/>
      </w:pPr>
      <w:r>
        <w:rPr>
          <w:rStyle w:val="FootnoteReference"/>
        </w:rPr>
        <w:footnoteRef/>
      </w:r>
      <w:r>
        <w:t xml:space="preserve"> </w:t>
      </w:r>
      <w:r>
        <w:t xml:space="preserve">Sanyal 2024, PMID 38847460.</w:t>
      </w:r>
    </w:p>
  </w:footnote>
  <w:footnote w:id="2606">
    <w:p>
      <w:pPr>
        <w:pStyle w:val="FootnoteText"/>
      </w:pPr>
      <w:r>
        <w:rPr>
          <w:rStyle w:val="FootnoteReference"/>
        </w:rPr>
        <w:footnoteRef/>
      </w:r>
      <w:r>
        <w:t xml:space="preserve"> </w:t>
      </w:r>
      <w:r>
        <w:t xml:space="preserve">Clayton 2022, PMID 35147466.</w:t>
      </w:r>
    </w:p>
  </w:footnote>
  <w:footnote w:id="2607">
    <w:p>
      <w:pPr>
        <w:pStyle w:val="FootnoteText"/>
      </w:pPr>
      <w:r>
        <w:rPr>
          <w:rStyle w:val="FootnoteReference"/>
        </w:rPr>
        <w:footnoteRef/>
      </w:r>
      <w:r>
        <w:t xml:space="preserve"> </w:t>
      </w:r>
      <w:r>
        <w:t xml:space="preserve">Edelman 2006, PMID 17003291.</w:t>
      </w:r>
    </w:p>
  </w:footnote>
  <w:footnote w:id="2608">
    <w:p>
      <w:pPr>
        <w:pStyle w:val="FootnoteText"/>
      </w:pPr>
      <w:r>
        <w:rPr>
          <w:rStyle w:val="FootnoteReference"/>
        </w:rPr>
        <w:footnoteRef/>
      </w:r>
      <w:r>
        <w:t xml:space="preserve"> </w:t>
      </w:r>
      <w:r>
        <w:t xml:space="preserve">Sridharan 2026, PMID 39924461.</w:t>
      </w:r>
    </w:p>
  </w:footnote>
  <w:footnote w:id="2609">
    <w:p>
      <w:pPr>
        <w:pStyle w:val="FootnoteText"/>
      </w:pPr>
      <w:r>
        <w:rPr>
          <w:rStyle w:val="FootnoteReference"/>
        </w:rPr>
        <w:footnoteRef/>
      </w:r>
      <w:r>
        <w:t xml:space="preserve"> </w:t>
      </w:r>
      <w:r>
        <w:t xml:space="preserve">Sodhi 2023, PMID 37796527.</w:t>
      </w:r>
    </w:p>
  </w:footnote>
  <w:footnote w:id="2610">
    <w:p>
      <w:pPr>
        <w:pStyle w:val="FootnoteText"/>
      </w:pPr>
      <w:r>
        <w:rPr>
          <w:rStyle w:val="FootnoteReference"/>
        </w:rPr>
        <w:footnoteRef/>
      </w:r>
      <w:r>
        <w:t xml:space="preserve"> </w:t>
      </w:r>
      <w:r>
        <w:t xml:space="preserve">Chiang 2025, PMID 40499738.</w:t>
      </w:r>
    </w:p>
  </w:footnote>
  <w:footnote w:id="2611">
    <w:p>
      <w:pPr>
        <w:pStyle w:val="FootnoteText"/>
      </w:pPr>
      <w:r>
        <w:rPr>
          <w:rStyle w:val="FootnoteReference"/>
        </w:rPr>
        <w:footnoteRef/>
      </w:r>
      <w:r>
        <w:t xml:space="preserve"> </w:t>
      </w:r>
      <w:r>
        <w:t xml:space="preserve">Crisafulli 2026, PMID 41183330.</w:t>
      </w:r>
    </w:p>
  </w:footnote>
  <w:footnote w:id="2613">
    <w:p>
      <w:pPr>
        <w:pStyle w:val="FootnoteText"/>
      </w:pPr>
      <w:r>
        <w:rPr>
          <w:rStyle w:val="FootnoteReference"/>
        </w:rPr>
        <w:footnoteRef/>
      </w:r>
      <w:r>
        <w:t xml:space="preserve"> </w:t>
      </w:r>
      <w:r>
        <w:t xml:space="preserve">He 2022, PMID 35344001.</w:t>
      </w:r>
    </w:p>
  </w:footnote>
  <w:footnote w:id="2614">
    <w:p>
      <w:pPr>
        <w:pStyle w:val="FootnoteText"/>
      </w:pPr>
      <w:r>
        <w:rPr>
          <w:rStyle w:val="FootnoteReference"/>
        </w:rPr>
        <w:footnoteRef/>
      </w:r>
      <w:r>
        <w:t xml:space="preserve"> </w:t>
      </w:r>
      <w:r>
        <w:t xml:space="preserve">Weghuber 2022, PMID 36322838.</w:t>
      </w:r>
    </w:p>
  </w:footnote>
  <w:footnote w:id="2615">
    <w:p>
      <w:pPr>
        <w:pStyle w:val="FootnoteText"/>
      </w:pPr>
      <w:r>
        <w:rPr>
          <w:rStyle w:val="FootnoteReference"/>
        </w:rPr>
        <w:footnoteRef/>
      </w:r>
      <w:r>
        <w:t xml:space="preserve"> </w:t>
      </w:r>
      <w:r>
        <w:t xml:space="preserve">Wen 2025, PMID 40988099.</w:t>
      </w:r>
    </w:p>
  </w:footnote>
  <w:footnote w:id="2617">
    <w:p>
      <w:pPr>
        <w:pStyle w:val="FootnoteText"/>
      </w:pPr>
      <w:r>
        <w:rPr>
          <w:rStyle w:val="FootnoteReference"/>
        </w:rPr>
        <w:footnoteRef/>
      </w:r>
      <w:r>
        <w:t xml:space="preserve"> </w:t>
      </w:r>
      <w:r>
        <w:t xml:space="preserve">Hegedüs 2018, PMID 29279300.</w:t>
      </w:r>
    </w:p>
  </w:footnote>
  <w:footnote w:id="2619">
    <w:p>
      <w:pPr>
        <w:pStyle w:val="FootnoteText"/>
      </w:pPr>
      <w:r>
        <w:rPr>
          <w:rStyle w:val="FootnoteReference"/>
        </w:rPr>
        <w:footnoteRef/>
      </w:r>
      <w:r>
        <w:t xml:space="preserve"> </w:t>
      </w:r>
      <w:r>
        <w:t xml:space="preserve">Marso 2016, PMID 27633186.</w:t>
      </w:r>
    </w:p>
  </w:footnote>
  <w:footnote w:id="2620">
    <w:p>
      <w:pPr>
        <w:pStyle w:val="FootnoteText"/>
      </w:pPr>
      <w:r>
        <w:rPr>
          <w:rStyle w:val="FootnoteReference"/>
        </w:rPr>
        <w:footnoteRef/>
      </w:r>
      <w:r>
        <w:t xml:space="preserve"> </w:t>
      </w:r>
      <w:r>
        <w:t xml:space="preserve">Natividade 2025, PMID 40810985.</w:t>
      </w:r>
    </w:p>
  </w:footnote>
  <w:footnote w:id="2621">
    <w:p>
      <w:pPr>
        <w:pStyle w:val="FootnoteText"/>
      </w:pPr>
      <w:r>
        <w:rPr>
          <w:rStyle w:val="FootnoteReference"/>
        </w:rPr>
        <w:footnoteRef/>
      </w:r>
      <w:r>
        <w:t xml:space="preserve"> </w:t>
      </w:r>
      <w:r>
        <w:t xml:space="preserve">Hathaway 2024, PMID 38958939.</w:t>
      </w:r>
    </w:p>
  </w:footnote>
  <w:footnote w:id="2622">
    <w:p>
      <w:pPr>
        <w:pStyle w:val="FootnoteText"/>
      </w:pPr>
      <w:r>
        <w:rPr>
          <w:rStyle w:val="FootnoteReference"/>
        </w:rPr>
        <w:footnoteRef/>
      </w:r>
      <w:r>
        <w:t xml:space="preserve"> </w:t>
      </w:r>
      <w:r>
        <w:t xml:space="preserve">Simonsen 2025, PMID 40098249.</w:t>
      </w:r>
    </w:p>
  </w:footnote>
  <w:footnote w:id="2623">
    <w:p>
      <w:pPr>
        <w:pStyle w:val="FootnoteText"/>
      </w:pPr>
      <w:r>
        <w:rPr>
          <w:rStyle w:val="FootnoteReference"/>
        </w:rPr>
        <w:footnoteRef/>
      </w:r>
      <w:r>
        <w:t xml:space="preserve"> </w:t>
      </w:r>
      <w:r>
        <w:t xml:space="preserve">Wang 2025, PMID 40788646.</w:t>
      </w:r>
    </w:p>
  </w:footnote>
  <w:footnote w:id="2624">
    <w:p>
      <w:pPr>
        <w:pStyle w:val="FootnoteText"/>
      </w:pPr>
      <w:r>
        <w:rPr>
          <w:rStyle w:val="FootnoteReference"/>
        </w:rPr>
        <w:footnoteRef/>
      </w:r>
      <w:r>
        <w:t xml:space="preserve"> </w:t>
      </w:r>
      <w:r>
        <w:t xml:space="preserve">Chou 2025, PMID 39491755.</w:t>
      </w:r>
    </w:p>
  </w:footnote>
  <w:footnote w:id="2625">
    <w:p>
      <w:pPr>
        <w:pStyle w:val="FootnoteText"/>
      </w:pPr>
      <w:r>
        <w:rPr>
          <w:rStyle w:val="FootnoteReference"/>
        </w:rPr>
        <w:footnoteRef/>
      </w:r>
      <w:r>
        <w:t xml:space="preserve"> </w:t>
      </w:r>
      <w:r>
        <w:t xml:space="preserve">Liu 2026, PMID 41475544.</w:t>
      </w:r>
    </w:p>
  </w:footnote>
  <w:footnote w:id="2627">
    <w:p>
      <w:pPr>
        <w:pStyle w:val="FootnoteText"/>
      </w:pPr>
      <w:r>
        <w:rPr>
          <w:rStyle w:val="FootnoteReference"/>
        </w:rPr>
        <w:footnoteRef/>
      </w:r>
      <w:r>
        <w:t xml:space="preserve"> </w:t>
      </w:r>
      <w:r>
        <w:t xml:space="preserve">Marso 2016, PMID 27633186.</w:t>
      </w:r>
    </w:p>
  </w:footnote>
  <w:footnote w:id="2628">
    <w:p>
      <w:pPr>
        <w:pStyle w:val="FootnoteText"/>
      </w:pPr>
      <w:r>
        <w:rPr>
          <w:rStyle w:val="FootnoteReference"/>
        </w:rPr>
        <w:footnoteRef/>
      </w:r>
      <w:r>
        <w:t xml:space="preserve"> </w:t>
      </w:r>
      <w:r>
        <w:t xml:space="preserve">Bellido 2026, PMID 42810372.</w:t>
      </w:r>
    </w:p>
  </w:footnote>
  <w:footnote w:id="2629">
    <w:p>
      <w:pPr>
        <w:pStyle w:val="FootnoteText"/>
      </w:pPr>
      <w:r>
        <w:rPr>
          <w:rStyle w:val="FootnoteReference"/>
        </w:rPr>
        <w:footnoteRef/>
      </w:r>
      <w:r>
        <w:t xml:space="preserve"> </w:t>
      </w:r>
      <w:r>
        <w:t xml:space="preserve">Liu 2007, PMID 17227934.</w:t>
      </w:r>
    </w:p>
  </w:footnote>
  <w:footnote w:id="2630">
    <w:p>
      <w:pPr>
        <w:pStyle w:val="FootnoteText"/>
      </w:pPr>
      <w:r>
        <w:rPr>
          <w:rStyle w:val="FootnoteReference"/>
        </w:rPr>
        <w:footnoteRef/>
      </w:r>
      <w:r>
        <w:t xml:space="preserve"> </w:t>
      </w:r>
      <w:r>
        <w:t xml:space="preserve">Adunsky 2011, PMID 21067829.</w:t>
      </w:r>
    </w:p>
  </w:footnote>
  <w:footnote w:id="2631">
    <w:p>
      <w:pPr>
        <w:pStyle w:val="FootnoteText"/>
      </w:pPr>
      <w:r>
        <w:rPr>
          <w:rStyle w:val="FootnoteReference"/>
        </w:rPr>
        <w:footnoteRef/>
      </w:r>
      <w:r>
        <w:t xml:space="preserve"> </w:t>
      </w:r>
      <w:r>
        <w:t xml:space="preserve">White 2017, PMID 27977473.</w:t>
      </w:r>
    </w:p>
  </w:footnote>
  <w:footnote w:id="2632">
    <w:p>
      <w:pPr>
        <w:pStyle w:val="FootnoteText"/>
      </w:pPr>
      <w:r>
        <w:rPr>
          <w:rStyle w:val="FootnoteReference"/>
        </w:rPr>
        <w:footnoteRef/>
      </w:r>
      <w:r>
        <w:t xml:space="preserve"> </w:t>
      </w:r>
      <w:r>
        <w:t xml:space="preserve">Lissy 2021, PMID 32961034.</w:t>
      </w:r>
    </w:p>
  </w:footnote>
  <w:footnote w:id="2633">
    <w:p>
      <w:pPr>
        <w:pStyle w:val="FootnoteText"/>
      </w:pPr>
      <w:r>
        <w:rPr>
          <w:rStyle w:val="FootnoteReference"/>
        </w:rPr>
        <w:footnoteRef/>
      </w:r>
      <w:r>
        <w:t xml:space="preserve"> </w:t>
      </w:r>
      <w:r>
        <w:t xml:space="preserve">Mayer-Hubner 1996, PMID 8596357.</w:t>
      </w:r>
    </w:p>
  </w:footnote>
  <w:footnote w:id="2634">
    <w:p>
      <w:pPr>
        <w:pStyle w:val="FootnoteText"/>
      </w:pPr>
      <w:r>
        <w:rPr>
          <w:rStyle w:val="FootnoteReference"/>
        </w:rPr>
        <w:footnoteRef/>
      </w:r>
      <w:r>
        <w:t xml:space="preserve"> </w:t>
      </w:r>
      <w:r>
        <w:t xml:space="preserve">Nelson 2012, PMID 23121206.</w:t>
      </w:r>
    </w:p>
  </w:footnote>
  <w:footnote w:id="2636">
    <w:p>
      <w:pPr>
        <w:pStyle w:val="FootnoteText"/>
      </w:pPr>
      <w:r>
        <w:rPr>
          <w:rStyle w:val="FootnoteReference"/>
        </w:rPr>
        <w:footnoteRef/>
      </w:r>
      <w:r>
        <w:t xml:space="preserve"> </w:t>
      </w:r>
      <w:r>
        <w:t xml:space="preserve">Han 2026, PMID 41852258.</w:t>
      </w:r>
    </w:p>
  </w:footnote>
  <w:footnote w:id="2637">
    <w:p>
      <w:pPr>
        <w:pStyle w:val="FootnoteText"/>
      </w:pPr>
      <w:r>
        <w:rPr>
          <w:rStyle w:val="FootnoteReference"/>
        </w:rPr>
        <w:footnoteRef/>
      </w:r>
      <w:r>
        <w:t xml:space="preserve"> </w:t>
      </w:r>
      <w:r>
        <w:t xml:space="preserve">Ueda 2024, PMID 39226030.</w:t>
      </w:r>
    </w:p>
  </w:footnote>
  <w:footnote w:id="2638">
    <w:p>
      <w:pPr>
        <w:pStyle w:val="FootnoteText"/>
      </w:pPr>
      <w:r>
        <w:rPr>
          <w:rStyle w:val="FootnoteReference"/>
        </w:rPr>
        <w:footnoteRef/>
      </w:r>
      <w:r>
        <w:t xml:space="preserve"> </w:t>
      </w:r>
      <w:r>
        <w:t xml:space="preserve">Wadden 2026, PMID 41537305.</w:t>
      </w:r>
    </w:p>
  </w:footnote>
  <w:footnote w:id="2639">
    <w:p>
      <w:pPr>
        <w:pStyle w:val="FootnoteText"/>
      </w:pPr>
      <w:r>
        <w:rPr>
          <w:rStyle w:val="FootnoteReference"/>
        </w:rPr>
        <w:footnoteRef/>
      </w:r>
      <w:r>
        <w:t xml:space="preserve"> </w:t>
      </w:r>
      <w:r>
        <w:t xml:space="preserve">Silva 2026, PMID 42115753.</w:t>
      </w:r>
    </w:p>
  </w:footnote>
  <w:footnote w:id="2641">
    <w:p>
      <w:pPr>
        <w:pStyle w:val="FootnoteText"/>
      </w:pPr>
      <w:r>
        <w:rPr>
          <w:rStyle w:val="FootnoteReference"/>
        </w:rPr>
        <w:footnoteRef/>
      </w:r>
      <w:r>
        <w:t xml:space="preserve"> </w:t>
      </w:r>
      <w:r>
        <w:t xml:space="preserve">Sridharan 2026, PMID 39924461.</w:t>
      </w:r>
    </w:p>
  </w:footnote>
  <w:footnote w:id="2642">
    <w:p>
      <w:pPr>
        <w:pStyle w:val="FootnoteText"/>
      </w:pPr>
      <w:r>
        <w:rPr>
          <w:rStyle w:val="FootnoteReference"/>
        </w:rPr>
        <w:footnoteRef/>
      </w:r>
      <w:r>
        <w:t xml:space="preserve"> </w:t>
      </w:r>
      <w:r>
        <w:t xml:space="preserve">Kanti 2021, PMID 34058738.</w:t>
      </w:r>
    </w:p>
  </w:footnote>
  <w:footnote w:id="2643">
    <w:p>
      <w:pPr>
        <w:pStyle w:val="FootnoteText"/>
      </w:pPr>
      <w:r>
        <w:rPr>
          <w:rStyle w:val="FootnoteReference"/>
        </w:rPr>
        <w:footnoteRef/>
      </w:r>
      <w:r>
        <w:t xml:space="preserve"> </w:t>
      </w:r>
      <w:r>
        <w:t xml:space="preserve">Clayton 2022, PMID 35147466.</w:t>
      </w:r>
    </w:p>
  </w:footnote>
  <w:footnote w:id="2644">
    <w:p>
      <w:pPr>
        <w:pStyle w:val="FootnoteText"/>
      </w:pPr>
      <w:r>
        <w:rPr>
          <w:rStyle w:val="FootnoteReference"/>
        </w:rPr>
        <w:footnoteRef/>
      </w:r>
      <w:r>
        <w:t xml:space="preserve"> </w:t>
      </w:r>
      <w:r>
        <w:t xml:space="preserve">Burian 2019, PMID 31119650.</w:t>
      </w:r>
    </w:p>
  </w:footnote>
  <w:footnote w:id="2645">
    <w:p>
      <w:pPr>
        <w:pStyle w:val="FootnoteText"/>
      </w:pPr>
      <w:r>
        <w:rPr>
          <w:rStyle w:val="FootnoteReference"/>
        </w:rPr>
        <w:footnoteRef/>
      </w:r>
      <w:r>
        <w:t xml:space="preserve"> </w:t>
      </w:r>
      <w:r>
        <w:t xml:space="preserve">Gupta 2026, PMID 42930571.</w:t>
      </w:r>
    </w:p>
  </w:footnote>
  <w:footnote w:id="2646">
    <w:p>
      <w:pPr>
        <w:pStyle w:val="FootnoteText"/>
      </w:pPr>
      <w:r>
        <w:rPr>
          <w:rStyle w:val="FootnoteReference"/>
        </w:rPr>
        <w:footnoteRef/>
      </w:r>
      <w:r>
        <w:t xml:space="preserve"> </w:t>
      </w:r>
      <w:r>
        <w:t xml:space="preserve">Bellido 2026, PMID 42810372.</w:t>
      </w:r>
    </w:p>
  </w:footnote>
  <w:footnote w:id="2647">
    <w:p>
      <w:pPr>
        <w:pStyle w:val="FootnoteText"/>
      </w:pPr>
      <w:r>
        <w:rPr>
          <w:rStyle w:val="FootnoteReference"/>
        </w:rPr>
        <w:footnoteRef/>
      </w:r>
      <w:r>
        <w:t xml:space="preserve"> </w:t>
      </w:r>
      <w:r>
        <w:t xml:space="preserve">Dolkar 2018, PMID 29665030.</w:t>
      </w:r>
    </w:p>
  </w:footnote>
  <w:footnote w:id="2649">
    <w:p>
      <w:pPr>
        <w:pStyle w:val="FootnoteText"/>
      </w:pPr>
      <w:r>
        <w:rPr>
          <w:rStyle w:val="FootnoteReference"/>
        </w:rPr>
        <w:footnoteRef/>
      </w:r>
      <w:r>
        <w:t xml:space="preserve"> </w:t>
      </w:r>
      <w:r>
        <w:t xml:space="preserve">Arimura 2016, PMID 27020037.</w:t>
      </w:r>
    </w:p>
  </w:footnote>
  <w:footnote w:id="2650">
    <w:p>
      <w:pPr>
        <w:pStyle w:val="FootnoteText"/>
      </w:pPr>
      <w:r>
        <w:rPr>
          <w:rStyle w:val="FootnoteReference"/>
        </w:rPr>
        <w:footnoteRef/>
      </w:r>
      <w:r>
        <w:t xml:space="preserve"> </w:t>
      </w:r>
      <w:r>
        <w:t xml:space="preserve">MacLean 2014, PMID 24762108.</w:t>
      </w:r>
    </w:p>
  </w:footnote>
  <w:footnote w:id="2651">
    <w:p>
      <w:pPr>
        <w:pStyle w:val="FootnoteText"/>
      </w:pPr>
      <w:r>
        <w:rPr>
          <w:rStyle w:val="FootnoteReference"/>
        </w:rPr>
        <w:footnoteRef/>
      </w:r>
      <w:r>
        <w:t xml:space="preserve"> </w:t>
      </w:r>
      <w:r>
        <w:t xml:space="preserve">Liu 2007, PMID 17227934.</w:t>
      </w:r>
    </w:p>
  </w:footnote>
  <w:footnote w:id="2653">
    <w:p>
      <w:pPr>
        <w:pStyle w:val="FootnoteText"/>
      </w:pPr>
      <w:r>
        <w:rPr>
          <w:rStyle w:val="FootnoteReference"/>
        </w:rPr>
        <w:footnoteRef/>
      </w:r>
      <w:r>
        <w:t xml:space="preserve"> </w:t>
      </w:r>
      <w:r>
        <w:t xml:space="preserve">Chernausek 2007, PMID 17192294.</w:t>
      </w:r>
    </w:p>
  </w:footnote>
  <w:footnote w:id="2654">
    <w:p>
      <w:pPr>
        <w:pStyle w:val="FootnoteText"/>
      </w:pPr>
      <w:r>
        <w:rPr>
          <w:rStyle w:val="FootnoteReference"/>
        </w:rPr>
        <w:footnoteRef/>
      </w:r>
      <w:r>
        <w:t xml:space="preserve"> </w:t>
      </w:r>
      <w:r>
        <w:t xml:space="preserve">Edelman 2006, PMID 17003291.</w:t>
      </w:r>
    </w:p>
  </w:footnote>
  <w:footnote w:id="2655">
    <w:p>
      <w:pPr>
        <w:pStyle w:val="FootnoteText"/>
      </w:pPr>
      <w:r>
        <w:rPr>
          <w:rStyle w:val="FootnoteReference"/>
        </w:rPr>
        <w:footnoteRef/>
      </w:r>
      <w:r>
        <w:t xml:space="preserve"> </w:t>
      </w:r>
      <w:r>
        <w:t xml:space="preserve">Kendall 2005, PMID 15855571.</w:t>
      </w:r>
    </w:p>
  </w:footnote>
  <w:footnote w:id="2656">
    <w:p>
      <w:pPr>
        <w:pStyle w:val="FootnoteText"/>
      </w:pPr>
      <w:r>
        <w:rPr>
          <w:rStyle w:val="FootnoteReference"/>
        </w:rPr>
        <w:footnoteRef/>
      </w:r>
      <w:r>
        <w:t xml:space="preserve"> </w:t>
      </w:r>
      <w:r>
        <w:t xml:space="preserve">Nass 2008, PMID 18981485.</w:t>
      </w:r>
    </w:p>
  </w:footnote>
  <w:footnote w:id="2657">
    <w:p>
      <w:pPr>
        <w:pStyle w:val="FootnoteText"/>
      </w:pPr>
      <w:r>
        <w:rPr>
          <w:rStyle w:val="FootnoteReference"/>
        </w:rPr>
        <w:footnoteRef/>
      </w:r>
      <w:r>
        <w:t xml:space="preserve"> </w:t>
      </w:r>
      <w:r>
        <w:t xml:space="preserve">Liu 2007, PMID 17227934.</w:t>
      </w:r>
    </w:p>
  </w:footnote>
  <w:footnote w:id="2661">
    <w:p>
      <w:pPr>
        <w:pStyle w:val="FootnoteText"/>
      </w:pPr>
      <w:r>
        <w:rPr>
          <w:rStyle w:val="FootnoteReference"/>
        </w:rPr>
        <w:footnoteRef/>
      </w:r>
      <w:r>
        <w:t xml:space="preserve"> </w:t>
      </w:r>
      <w:r>
        <w:t xml:space="preserve">Silverii 2025, PMID 40437949.</w:t>
      </w:r>
    </w:p>
  </w:footnote>
  <w:footnote w:id="2663">
    <w:p>
      <w:pPr>
        <w:pStyle w:val="FootnoteText"/>
      </w:pPr>
      <w:r>
        <w:rPr>
          <w:rStyle w:val="FootnoteReference"/>
        </w:rPr>
        <w:footnoteRef/>
      </w:r>
      <w:r>
        <w:t xml:space="preserve"> </w:t>
      </w:r>
      <w:r>
        <w:t xml:space="preserve">Renehan 2004, PMID 15110491.</w:t>
      </w:r>
    </w:p>
  </w:footnote>
  <w:footnote w:id="2664">
    <w:p>
      <w:pPr>
        <w:pStyle w:val="FootnoteText"/>
      </w:pPr>
      <w:r>
        <w:rPr>
          <w:rStyle w:val="FootnoteReference"/>
        </w:rPr>
        <w:footnoteRef/>
      </w:r>
      <w:r>
        <w:t xml:space="preserve"> </w:t>
      </w:r>
      <w:r>
        <w:t xml:space="preserve">Murphy 2020, PMID 32169310.</w:t>
      </w:r>
    </w:p>
  </w:footnote>
  <w:footnote w:id="2665">
    <w:p>
      <w:pPr>
        <w:pStyle w:val="FootnoteText"/>
      </w:pPr>
      <w:r>
        <w:rPr>
          <w:rStyle w:val="FootnoteReference"/>
        </w:rPr>
        <w:footnoteRef/>
      </w:r>
      <w:r>
        <w:t xml:space="preserve"> </w:t>
      </w:r>
      <w:r>
        <w:t xml:space="preserve">Murphy 2020, PMID 31884074.</w:t>
      </w:r>
    </w:p>
  </w:footnote>
  <w:footnote w:id="2666">
    <w:p>
      <w:pPr>
        <w:pStyle w:val="FootnoteText"/>
      </w:pPr>
      <w:r>
        <w:rPr>
          <w:rStyle w:val="FootnoteReference"/>
        </w:rPr>
        <w:footnoteRef/>
      </w:r>
      <w:r>
        <w:t xml:space="preserve"> </w:t>
      </w:r>
      <w:r>
        <w:t xml:space="preserve">Murphy 2020, PMID 32169310.</w:t>
      </w:r>
    </w:p>
  </w:footnote>
  <w:footnote w:id="2667">
    <w:p>
      <w:pPr>
        <w:pStyle w:val="FootnoteText"/>
      </w:pPr>
      <w:r>
        <w:rPr>
          <w:rStyle w:val="FootnoteReference"/>
        </w:rPr>
        <w:footnoteRef/>
      </w:r>
      <w:r>
        <w:t xml:space="preserve"> </w:t>
      </w:r>
      <w:r>
        <w:t xml:space="preserve">Dal 2018, PMID 29590449.</w:t>
      </w:r>
    </w:p>
  </w:footnote>
  <w:footnote w:id="2668">
    <w:p>
      <w:pPr>
        <w:pStyle w:val="FootnoteText"/>
      </w:pPr>
      <w:r>
        <w:rPr>
          <w:rStyle w:val="FootnoteReference"/>
        </w:rPr>
        <w:footnoteRef/>
      </w:r>
      <w:r>
        <w:t xml:space="preserve"> </w:t>
      </w:r>
      <w:r>
        <w:t xml:space="preserve">Guevara-Aguirre 2011, PMID 21325617.</w:t>
      </w:r>
    </w:p>
  </w:footnote>
  <w:footnote w:id="2669">
    <w:p>
      <w:pPr>
        <w:pStyle w:val="FootnoteText"/>
      </w:pPr>
      <w:r>
        <w:rPr>
          <w:rStyle w:val="FootnoteReference"/>
        </w:rPr>
        <w:footnoteRef/>
      </w:r>
      <w:r>
        <w:t xml:space="preserve"> </w:t>
      </w:r>
      <w:r>
        <w:t xml:space="preserve">Swerdlow 2017, PMID 28187225.</w:t>
      </w:r>
    </w:p>
  </w:footnote>
  <w:footnote w:id="2670">
    <w:p>
      <w:pPr>
        <w:pStyle w:val="FootnoteText"/>
      </w:pPr>
      <w:r>
        <w:rPr>
          <w:rStyle w:val="FootnoteReference"/>
        </w:rPr>
        <w:footnoteRef/>
      </w:r>
      <w:r>
        <w:t xml:space="preserve"> </w:t>
      </w:r>
      <w:r>
        <w:t xml:space="preserve">Child 2015, PMID 25810462.</w:t>
      </w:r>
    </w:p>
  </w:footnote>
  <w:footnote w:id="2671">
    <w:p>
      <w:pPr>
        <w:pStyle w:val="FootnoteText"/>
      </w:pPr>
      <w:r>
        <w:rPr>
          <w:rStyle w:val="FootnoteReference"/>
        </w:rPr>
        <w:footnoteRef/>
      </w:r>
      <w:r>
        <w:t xml:space="preserve"> </w:t>
      </w:r>
      <w:r>
        <w:t xml:space="preserve">Nass 2008, PMID 18981485.</w:t>
      </w:r>
    </w:p>
  </w:footnote>
  <w:footnote w:id="2673">
    <w:p>
      <w:pPr>
        <w:pStyle w:val="FootnoteText"/>
      </w:pPr>
      <w:r>
        <w:rPr>
          <w:rStyle w:val="FootnoteReference"/>
        </w:rPr>
        <w:footnoteRef/>
      </w:r>
      <w:r>
        <w:t xml:space="preserve"> </w:t>
      </w:r>
      <w:r>
        <w:t xml:space="preserve">Hsieh 2017, PMID 27847966.</w:t>
      </w:r>
    </w:p>
  </w:footnote>
  <w:footnote w:id="2674">
    <w:p>
      <w:pPr>
        <w:pStyle w:val="FootnoteText"/>
      </w:pPr>
      <w:r>
        <w:rPr>
          <w:rStyle w:val="FootnoteReference"/>
        </w:rPr>
        <w:footnoteRef/>
      </w:r>
      <w:r>
        <w:t xml:space="preserve"> </w:t>
      </w:r>
      <w:r>
        <w:t xml:space="preserve">Sikiric 2025, PMID 40573323.</w:t>
      </w:r>
    </w:p>
  </w:footnote>
  <w:footnote w:id="2675">
    <w:p>
      <w:pPr>
        <w:pStyle w:val="FootnoteText"/>
      </w:pPr>
      <w:r>
        <w:rPr>
          <w:rStyle w:val="FootnoteReference"/>
        </w:rPr>
        <w:footnoteRef/>
      </w:r>
      <w:r>
        <w:t xml:space="preserve"> </w:t>
      </w:r>
      <w:r>
        <w:t xml:space="preserve">Wang 2016, PMID 27596300.</w:t>
      </w:r>
    </w:p>
  </w:footnote>
  <w:footnote w:id="2676">
    <w:p>
      <w:pPr>
        <w:pStyle w:val="FootnoteText"/>
      </w:pPr>
      <w:r>
        <w:rPr>
          <w:rStyle w:val="FootnoteReference"/>
        </w:rPr>
        <w:footnoteRef/>
      </w:r>
      <w:r>
        <w:t xml:space="preserve"> </w:t>
      </w:r>
      <w:r>
        <w:t xml:space="preserve">Larsson 2007, PMID 17495241.</w:t>
      </w:r>
    </w:p>
  </w:footnote>
  <w:footnote w:id="2677">
    <w:p>
      <w:pPr>
        <w:pStyle w:val="FootnoteText"/>
      </w:pPr>
      <w:r>
        <w:rPr>
          <w:rStyle w:val="FootnoteReference"/>
        </w:rPr>
        <w:footnoteRef/>
      </w:r>
      <w:r>
        <w:t xml:space="preserve"> </w:t>
      </w:r>
      <w:r>
        <w:t xml:space="preserve">Moreno Ayala 2020, PMID 32444831.</w:t>
      </w:r>
    </w:p>
  </w:footnote>
  <w:footnote w:id="2678">
    <w:p>
      <w:pPr>
        <w:pStyle w:val="FootnoteText"/>
      </w:pPr>
      <w:r>
        <w:rPr>
          <w:rStyle w:val="FootnoteReference"/>
        </w:rPr>
        <w:footnoteRef/>
      </w:r>
      <w:r>
        <w:t xml:space="preserve"> </w:t>
      </w:r>
      <w:r>
        <w:t xml:space="preserve">Al-Dulaimi 2025, PMID 40908429.</w:t>
      </w:r>
    </w:p>
  </w:footnote>
  <w:footnote w:id="2679">
    <w:p>
      <w:pPr>
        <w:pStyle w:val="FootnoteText"/>
      </w:pPr>
      <w:r>
        <w:rPr>
          <w:rStyle w:val="FootnoteReference"/>
        </w:rPr>
        <w:footnoteRef/>
      </w:r>
      <w:r>
        <w:t xml:space="preserve"> </w:t>
      </w:r>
      <w:r>
        <w:t xml:space="preserve">Anisimov 2003, PMID 14501183.</w:t>
      </w:r>
    </w:p>
  </w:footnote>
  <w:footnote w:id="2680">
    <w:p>
      <w:pPr>
        <w:pStyle w:val="FootnoteText"/>
      </w:pPr>
      <w:r>
        <w:rPr>
          <w:rStyle w:val="FootnoteReference"/>
        </w:rPr>
        <w:footnoteRef/>
      </w:r>
      <w:r>
        <w:t xml:space="preserve"> </w:t>
      </w:r>
      <w:r>
        <w:t xml:space="preserve">Chen 2018, PMID 29843147.</w:t>
      </w:r>
    </w:p>
  </w:footnote>
  <w:footnote w:id="2681">
    <w:p>
      <w:pPr>
        <w:pStyle w:val="FootnoteText"/>
      </w:pPr>
      <w:r>
        <w:rPr>
          <w:rStyle w:val="FootnoteReference"/>
        </w:rPr>
        <w:footnoteRef/>
      </w:r>
      <w:r>
        <w:t xml:space="preserve"> </w:t>
      </w:r>
      <w:r>
        <w:t xml:space="preserve">Wright 2015, PMID 25649658.</w:t>
      </w:r>
    </w:p>
  </w:footnote>
  <w:footnote w:id="2683">
    <w:p>
      <w:pPr>
        <w:pStyle w:val="FootnoteText"/>
      </w:pPr>
      <w:r>
        <w:rPr>
          <w:rStyle w:val="FootnoteReference"/>
        </w:rPr>
        <w:footnoteRef/>
      </w:r>
      <w:r>
        <w:t xml:space="preserve"> </w:t>
      </w:r>
      <w:r>
        <w:t xml:space="preserve">Habbema 2017, PMID 28266027.</w:t>
      </w:r>
    </w:p>
  </w:footnote>
  <w:footnote w:id="2684">
    <w:p>
      <w:pPr>
        <w:pStyle w:val="FootnoteText"/>
      </w:pPr>
      <w:r>
        <w:rPr>
          <w:rStyle w:val="FootnoteReference"/>
        </w:rPr>
        <w:footnoteRef/>
      </w:r>
      <w:r>
        <w:t xml:space="preserve"> </w:t>
      </w:r>
      <w:r>
        <w:t xml:space="preserve">Burian 2019, PMID 31119650.</w:t>
      </w:r>
    </w:p>
  </w:footnote>
  <w:footnote w:id="2685">
    <w:p>
      <w:pPr>
        <w:pStyle w:val="FootnoteText"/>
      </w:pPr>
      <w:r>
        <w:rPr>
          <w:rStyle w:val="FootnoteReference"/>
        </w:rPr>
        <w:footnoteRef/>
      </w:r>
      <w:r>
        <w:t xml:space="preserve"> </w:t>
      </w:r>
      <w:r>
        <w:t xml:space="preserve">Arisi 2021, PMID 33721252.</w:t>
      </w:r>
    </w:p>
  </w:footnote>
  <w:footnote w:id="2686">
    <w:p>
      <w:pPr>
        <w:pStyle w:val="FootnoteText"/>
      </w:pPr>
      <w:r>
        <w:rPr>
          <w:rStyle w:val="FootnoteReference"/>
        </w:rPr>
        <w:footnoteRef/>
      </w:r>
      <w:r>
        <w:t xml:space="preserve"> </w:t>
      </w:r>
      <w:r>
        <w:t xml:space="preserve">Kanti 2021, PMID 34058738.</w:t>
      </w:r>
    </w:p>
  </w:footnote>
  <w:footnote w:id="2688">
    <w:p>
      <w:pPr>
        <w:pStyle w:val="FootnoteText"/>
      </w:pPr>
      <w:r>
        <w:rPr>
          <w:rStyle w:val="FootnoteReference"/>
        </w:rPr>
        <w:footnoteRef/>
      </w:r>
      <w:r>
        <w:t xml:space="preserve"> </w:t>
      </w:r>
      <w:r>
        <w:t xml:space="preserve">Bjerre Knudsen 2010, PMID 20203154.</w:t>
      </w:r>
    </w:p>
  </w:footnote>
  <w:footnote w:id="2689">
    <w:p>
      <w:pPr>
        <w:pStyle w:val="FootnoteText"/>
      </w:pPr>
      <w:r>
        <w:rPr>
          <w:rStyle w:val="FootnoteReference"/>
        </w:rPr>
        <w:footnoteRef/>
      </w:r>
      <w:r>
        <w:t xml:space="preserve"> </w:t>
      </w:r>
      <w:r>
        <w:t xml:space="preserve">Gier 2012, PMID 22031513.</w:t>
      </w:r>
    </w:p>
  </w:footnote>
  <w:footnote w:id="2690">
    <w:p>
      <w:pPr>
        <w:pStyle w:val="FootnoteText"/>
      </w:pPr>
      <w:r>
        <w:rPr>
          <w:rStyle w:val="FootnoteReference"/>
        </w:rPr>
        <w:footnoteRef/>
      </w:r>
      <w:r>
        <w:t xml:space="preserve"> </w:t>
      </w:r>
      <w:r>
        <w:t xml:space="preserve">Hegedüs 2018, PMID 29279300.</w:t>
      </w:r>
    </w:p>
  </w:footnote>
  <w:footnote w:id="2691">
    <w:p>
      <w:pPr>
        <w:pStyle w:val="FootnoteText"/>
      </w:pPr>
      <w:r>
        <w:rPr>
          <w:rStyle w:val="FootnoteReference"/>
        </w:rPr>
        <w:footnoteRef/>
      </w:r>
      <w:r>
        <w:t xml:space="preserve"> </w:t>
      </w:r>
      <w:r>
        <w:t xml:space="preserve">Bezin 2023, PMID 36356111.</w:t>
      </w:r>
    </w:p>
  </w:footnote>
  <w:footnote w:id="2692">
    <w:p>
      <w:pPr>
        <w:pStyle w:val="FootnoteText"/>
      </w:pPr>
      <w:r>
        <w:rPr>
          <w:rStyle w:val="FootnoteReference"/>
        </w:rPr>
        <w:footnoteRef/>
      </w:r>
      <w:r>
        <w:t xml:space="preserve"> </w:t>
      </w:r>
      <w:r>
        <w:t xml:space="preserve">Pasternak 2024, PMID 38683947.</w:t>
      </w:r>
    </w:p>
  </w:footnote>
  <w:footnote w:id="2693">
    <w:p>
      <w:pPr>
        <w:pStyle w:val="FootnoteText"/>
      </w:pPr>
      <w:r>
        <w:rPr>
          <w:rStyle w:val="FootnoteReference"/>
        </w:rPr>
        <w:footnoteRef/>
      </w:r>
      <w:r>
        <w:t xml:space="preserve"> </w:t>
      </w:r>
      <w:r>
        <w:t xml:space="preserve">Silverii 2025, PMID 40437949.</w:t>
      </w:r>
    </w:p>
  </w:footnote>
  <w:footnote w:id="2695">
    <w:p>
      <w:pPr>
        <w:pStyle w:val="FootnoteText"/>
      </w:pPr>
      <w:r>
        <w:rPr>
          <w:rStyle w:val="FootnoteReference"/>
        </w:rPr>
        <w:footnoteRef/>
      </w:r>
      <w:r>
        <w:t xml:space="preserve"> </w:t>
      </w:r>
      <w:r>
        <w:t xml:space="preserve">Wen 2025, PMID 40988099.</w:t>
      </w:r>
    </w:p>
  </w:footnote>
  <w:footnote w:id="2696">
    <w:p>
      <w:pPr>
        <w:pStyle w:val="FootnoteText"/>
      </w:pPr>
      <w:r>
        <w:rPr>
          <w:rStyle w:val="FootnoteReference"/>
        </w:rPr>
        <w:footnoteRef/>
      </w:r>
      <w:r>
        <w:t xml:space="preserve"> </w:t>
      </w:r>
      <w:r>
        <w:t xml:space="preserve">Wang 2024, PMID 38967919.</w:t>
      </w:r>
    </w:p>
  </w:footnote>
  <w:footnote w:id="2697">
    <w:p>
      <w:pPr>
        <w:pStyle w:val="FootnoteText"/>
      </w:pPr>
      <w:r>
        <w:rPr>
          <w:rStyle w:val="FootnoteReference"/>
        </w:rPr>
        <w:footnoteRef/>
      </w:r>
      <w:r>
        <w:t xml:space="preserve"> </w:t>
      </w:r>
      <w:r>
        <w:t xml:space="preserve">Rajan 2026, PMID 42541759.</w:t>
      </w:r>
    </w:p>
  </w:footnote>
  <w:footnote w:id="2702">
    <w:p>
      <w:pPr>
        <w:pStyle w:val="FootnoteText"/>
      </w:pPr>
      <w:r>
        <w:rPr>
          <w:rStyle w:val="FootnoteReference"/>
        </w:rPr>
        <w:footnoteRef/>
      </w:r>
      <w:r>
        <w:t xml:space="preserve"> </w:t>
      </w:r>
      <w:r>
        <w:t xml:space="preserve">Shankar 2014, PMID 24764037.</w:t>
      </w:r>
    </w:p>
  </w:footnote>
  <w:footnote w:id="2704">
    <w:p>
      <w:pPr>
        <w:pStyle w:val="FootnoteText"/>
      </w:pPr>
      <w:r>
        <w:rPr>
          <w:rStyle w:val="FootnoteReference"/>
        </w:rPr>
        <w:footnoteRef/>
      </w:r>
      <w:r>
        <w:t xml:space="preserve"> </w:t>
      </w:r>
      <w:r>
        <w:t xml:space="preserve">Buse 2011, PMID 21450987.</w:t>
      </w:r>
    </w:p>
  </w:footnote>
  <w:footnote w:id="2705">
    <w:p>
      <w:pPr>
        <w:pStyle w:val="FootnoteText"/>
      </w:pPr>
      <w:r>
        <w:rPr>
          <w:rStyle w:val="FootnoteReference"/>
        </w:rPr>
        <w:footnoteRef/>
      </w:r>
      <w:r>
        <w:t xml:space="preserve"> </w:t>
      </w:r>
      <w:r>
        <w:t xml:space="preserve">Mullins 2024, PMID 37700637.</w:t>
      </w:r>
    </w:p>
  </w:footnote>
  <w:footnote w:id="2707">
    <w:p>
      <w:pPr>
        <w:pStyle w:val="FootnoteText"/>
      </w:pPr>
      <w:r>
        <w:rPr>
          <w:rStyle w:val="FootnoteReference"/>
        </w:rPr>
        <w:footnoteRef/>
      </w:r>
      <w:r>
        <w:t xml:space="preserve"> </w:t>
      </w:r>
      <w:r>
        <w:t xml:space="preserve">Taj 2026, PMID 41395692.</w:t>
      </w:r>
    </w:p>
  </w:footnote>
  <w:footnote w:id="2708">
    <w:p>
      <w:pPr>
        <w:pStyle w:val="FootnoteText"/>
      </w:pPr>
      <w:r>
        <w:rPr>
          <w:rStyle w:val="FootnoteReference"/>
        </w:rPr>
        <w:footnoteRef/>
      </w:r>
      <w:r>
        <w:t xml:space="preserve"> </w:t>
      </w:r>
      <w:r>
        <w:t xml:space="preserve">Wysham 2015, PMID 25744115.</w:t>
      </w:r>
    </w:p>
  </w:footnote>
  <w:footnote w:id="2709">
    <w:p>
      <w:pPr>
        <w:pStyle w:val="FootnoteText"/>
      </w:pPr>
      <w:r>
        <w:rPr>
          <w:rStyle w:val="FootnoteReference"/>
        </w:rPr>
        <w:footnoteRef/>
      </w:r>
      <w:r>
        <w:t xml:space="preserve"> </w:t>
      </w:r>
      <w:r>
        <w:t xml:space="preserve">Chen 2021, PMID 33748252.</w:t>
      </w:r>
    </w:p>
  </w:footnote>
  <w:footnote w:id="2711">
    <w:p>
      <w:pPr>
        <w:pStyle w:val="FootnoteText"/>
      </w:pPr>
      <w:r>
        <w:rPr>
          <w:rStyle w:val="FootnoteReference"/>
        </w:rPr>
        <w:footnoteRef/>
      </w:r>
      <w:r>
        <w:t xml:space="preserve"> </w:t>
      </w:r>
      <w:r>
        <w:t xml:space="preserve">Anthony 2024, PMID 38363873.</w:t>
      </w:r>
    </w:p>
  </w:footnote>
  <w:footnote w:id="2712">
    <w:p>
      <w:pPr>
        <w:pStyle w:val="FootnoteText"/>
      </w:pPr>
      <w:r>
        <w:rPr>
          <w:rStyle w:val="FootnoteReference"/>
        </w:rPr>
        <w:footnoteRef/>
      </w:r>
      <w:r>
        <w:t xml:space="preserve"> </w:t>
      </w:r>
      <w:r>
        <w:t xml:space="preserve">Pradhan 2022, PMID 35136902.</w:t>
      </w:r>
    </w:p>
  </w:footnote>
  <w:footnote w:id="2713">
    <w:p>
      <w:pPr>
        <w:pStyle w:val="FootnoteText"/>
      </w:pPr>
      <w:r>
        <w:rPr>
          <w:rStyle w:val="FootnoteReference"/>
        </w:rPr>
        <w:footnoteRef/>
      </w:r>
      <w:r>
        <w:t xml:space="preserve"> </w:t>
      </w:r>
      <w:r>
        <w:t xml:space="preserve">Ornelas 2018, PMID 30350785.</w:t>
      </w:r>
    </w:p>
  </w:footnote>
  <w:footnote w:id="2714">
    <w:p>
      <w:pPr>
        <w:pStyle w:val="FootnoteText"/>
      </w:pPr>
      <w:r>
        <w:rPr>
          <w:rStyle w:val="FootnoteReference"/>
        </w:rPr>
        <w:footnoteRef/>
      </w:r>
      <w:r>
        <w:t xml:space="preserve"> </w:t>
      </w:r>
      <w:r>
        <w:t xml:space="preserve">Shamriz 2019, PMID 31296642.</w:t>
      </w:r>
    </w:p>
  </w:footnote>
  <w:footnote w:id="2715">
    <w:p>
      <w:pPr>
        <w:pStyle w:val="FootnoteText"/>
      </w:pPr>
      <w:r>
        <w:rPr>
          <w:rStyle w:val="FootnoteReference"/>
        </w:rPr>
        <w:footnoteRef/>
      </w:r>
      <w:r>
        <w:t xml:space="preserve"> </w:t>
      </w:r>
      <w:r>
        <w:t xml:space="preserve">He 2023, PMID 38186543.</w:t>
      </w:r>
    </w:p>
  </w:footnote>
  <w:footnote w:id="2716">
    <w:p>
      <w:pPr>
        <w:pStyle w:val="FootnoteText"/>
      </w:pPr>
      <w:r>
        <w:rPr>
          <w:rStyle w:val="FootnoteReference"/>
        </w:rPr>
        <w:footnoteRef/>
      </w:r>
      <w:r>
        <w:t xml:space="preserve"> </w:t>
      </w:r>
      <w:r>
        <w:t xml:space="preserve">Kraft 2026, PMID 42194666.</w:t>
      </w:r>
    </w:p>
  </w:footnote>
  <w:footnote w:id="2717">
    <w:p>
      <w:pPr>
        <w:pStyle w:val="FootnoteText"/>
      </w:pPr>
      <w:r>
        <w:rPr>
          <w:rStyle w:val="FootnoteReference"/>
        </w:rPr>
        <w:footnoteRef/>
      </w:r>
      <w:r>
        <w:t xml:space="preserve"> </w:t>
      </w:r>
      <w:r>
        <w:t xml:space="preserve">Trimmel 2024, PMID 39055722.</w:t>
      </w:r>
    </w:p>
  </w:footnote>
  <w:footnote w:id="2718">
    <w:p>
      <w:pPr>
        <w:pStyle w:val="FootnoteText"/>
      </w:pPr>
      <w:r>
        <w:rPr>
          <w:rStyle w:val="FootnoteReference"/>
        </w:rPr>
        <w:footnoteRef/>
      </w:r>
      <w:r>
        <w:t xml:space="preserve"> </w:t>
      </w:r>
      <w:r>
        <w:t xml:space="preserve">Röper 2004, PMID 15127162.</w:t>
      </w:r>
    </w:p>
  </w:footnote>
  <w:footnote w:id="2720">
    <w:p>
      <w:pPr>
        <w:pStyle w:val="FootnoteText"/>
      </w:pPr>
      <w:r>
        <w:rPr>
          <w:rStyle w:val="FootnoteReference"/>
        </w:rPr>
        <w:footnoteRef/>
      </w:r>
      <w:r>
        <w:t xml:space="preserve"> </w:t>
      </w:r>
      <w:r>
        <w:t xml:space="preserve">Lande 2007, PMID 17873860.</w:t>
      </w:r>
    </w:p>
  </w:footnote>
  <w:footnote w:id="2721">
    <w:p>
      <w:pPr>
        <w:pStyle w:val="FootnoteText"/>
      </w:pPr>
      <w:r>
        <w:rPr>
          <w:rStyle w:val="FootnoteReference"/>
        </w:rPr>
        <w:footnoteRef/>
      </w:r>
      <w:r>
        <w:t xml:space="preserve"> </w:t>
      </w:r>
      <w:r>
        <w:t xml:space="preserve">Lande 2014, PMID 25470744.</w:t>
      </w:r>
    </w:p>
  </w:footnote>
  <w:footnote w:id="2722">
    <w:p>
      <w:pPr>
        <w:pStyle w:val="FootnoteText"/>
      </w:pPr>
      <w:r>
        <w:rPr>
          <w:rStyle w:val="FootnoteReference"/>
        </w:rPr>
        <w:footnoteRef/>
      </w:r>
      <w:r>
        <w:t xml:space="preserve"> </w:t>
      </w:r>
      <w:r>
        <w:t xml:space="preserve">Dolkar 2018, PMID 29665030.</w:t>
      </w:r>
    </w:p>
  </w:footnote>
  <w:footnote w:id="2723">
    <w:p>
      <w:pPr>
        <w:pStyle w:val="FootnoteText"/>
      </w:pPr>
      <w:r>
        <w:rPr>
          <w:rStyle w:val="FootnoteReference"/>
        </w:rPr>
        <w:footnoteRef/>
      </w:r>
      <w:r>
        <w:t xml:space="preserve"> </w:t>
      </w:r>
      <w:r>
        <w:t xml:space="preserve">Gupta 2026, PMID 42930571.</w:t>
      </w:r>
    </w:p>
  </w:footnote>
  <w:footnote w:id="2725">
    <w:p>
      <w:pPr>
        <w:pStyle w:val="FootnoteText"/>
      </w:pPr>
      <w:r>
        <w:rPr>
          <w:rStyle w:val="FootnoteReference"/>
        </w:rPr>
        <w:footnoteRef/>
      </w:r>
      <w:r>
        <w:t xml:space="preserve"> </w:t>
      </w:r>
      <w:r>
        <w:t xml:space="preserve">De Groot 2023, PMID 37467878.</w:t>
      </w:r>
    </w:p>
  </w:footnote>
  <w:footnote w:id="2726">
    <w:p>
      <w:pPr>
        <w:pStyle w:val="FootnoteText"/>
      </w:pPr>
      <w:r>
        <w:rPr>
          <w:rStyle w:val="FootnoteReference"/>
        </w:rPr>
        <w:footnoteRef/>
      </w:r>
      <w:r>
        <w:t xml:space="preserve"> </w:t>
      </w:r>
      <w:r>
        <w:t xml:space="preserve">Mattei 2025, PMID 41445733.</w:t>
      </w:r>
    </w:p>
  </w:footnote>
  <w:footnote w:id="2727">
    <w:p>
      <w:pPr>
        <w:pStyle w:val="FootnoteText"/>
      </w:pPr>
      <w:r>
        <w:rPr>
          <w:rStyle w:val="FootnoteReference"/>
        </w:rPr>
        <w:footnoteRef/>
      </w:r>
      <w:r>
        <w:t xml:space="preserve"> </w:t>
      </w:r>
      <w:r>
        <w:t xml:space="preserve">Hach 2024, PMID 39379664.</w:t>
      </w:r>
    </w:p>
  </w:footnote>
  <w:footnote w:id="2728">
    <w:p>
      <w:pPr>
        <w:pStyle w:val="FootnoteText"/>
      </w:pPr>
      <w:r>
        <w:rPr>
          <w:rStyle w:val="FootnoteReference"/>
        </w:rPr>
        <w:footnoteRef/>
      </w:r>
      <w:r>
        <w:t xml:space="preserve"> </w:t>
      </w:r>
      <w:r>
        <w:t xml:space="preserve">Tang 2025, PMID 40398094.</w:t>
      </w:r>
    </w:p>
  </w:footnote>
  <w:footnote w:id="2729">
    <w:p>
      <w:pPr>
        <w:pStyle w:val="FootnoteText"/>
      </w:pPr>
      <w:r>
        <w:rPr>
          <w:rStyle w:val="FootnoteReference"/>
        </w:rPr>
        <w:footnoteRef/>
      </w:r>
      <w:r>
        <w:t xml:space="preserve"> </w:t>
      </w:r>
      <w:r>
        <w:t xml:space="preserve">Janvier 2018, PMID 28941153.</w:t>
      </w:r>
    </w:p>
  </w:footnote>
  <w:footnote w:id="2733">
    <w:p>
      <w:pPr>
        <w:pStyle w:val="FootnoteText"/>
      </w:pPr>
      <w:r>
        <w:rPr>
          <w:rStyle w:val="FootnoteReference"/>
        </w:rPr>
        <w:footnoteRef/>
      </w:r>
      <w:r>
        <w:t xml:space="preserve"> </w:t>
      </w:r>
      <w:r>
        <w:t xml:space="preserve">Vanhee 2015, PMID 26003685.</w:t>
      </w:r>
    </w:p>
  </w:footnote>
  <w:footnote w:id="2735">
    <w:p>
      <w:pPr>
        <w:pStyle w:val="FootnoteText"/>
      </w:pPr>
      <w:r>
        <w:rPr>
          <w:rStyle w:val="FootnoteReference"/>
        </w:rPr>
        <w:footnoteRef/>
      </w:r>
      <w:r>
        <w:t xml:space="preserve"> </w:t>
      </w:r>
      <w:r>
        <w:t xml:space="preserve">Høj 2021, PMID 33686802.</w:t>
      </w:r>
    </w:p>
  </w:footnote>
  <w:footnote w:id="2736">
    <w:p>
      <w:pPr>
        <w:pStyle w:val="FootnoteText"/>
      </w:pPr>
      <w:r>
        <w:rPr>
          <w:rStyle w:val="FootnoteReference"/>
        </w:rPr>
        <w:footnoteRef/>
      </w:r>
      <w:r>
        <w:t xml:space="preserve"> </w:t>
      </w:r>
      <w:r>
        <w:t xml:space="preserve">Venhuis 2016, PMID 26456392.</w:t>
      </w:r>
    </w:p>
  </w:footnote>
  <w:footnote w:id="2737">
    <w:p>
      <w:pPr>
        <w:pStyle w:val="FootnoteText"/>
      </w:pPr>
      <w:r>
        <w:rPr>
          <w:rStyle w:val="FootnoteReference"/>
        </w:rPr>
        <w:footnoteRef/>
      </w:r>
      <w:r>
        <w:t xml:space="preserve"> </w:t>
      </w:r>
      <w:r>
        <w:t xml:space="preserve">Vanhee 2017, PMID 27390261.</w:t>
      </w:r>
    </w:p>
  </w:footnote>
  <w:footnote w:id="2738">
    <w:p>
      <w:pPr>
        <w:pStyle w:val="FootnoteText"/>
      </w:pPr>
      <w:r>
        <w:rPr>
          <w:rStyle w:val="FootnoteReference"/>
        </w:rPr>
        <w:footnoteRef/>
      </w:r>
      <w:r>
        <w:t xml:space="preserve"> </w:t>
      </w:r>
      <w:r>
        <w:t xml:space="preserve">Delcourt 2023, PMID 36482504.</w:t>
      </w:r>
    </w:p>
  </w:footnote>
  <w:footnote w:id="2739">
    <w:p>
      <w:pPr>
        <w:pStyle w:val="FootnoteText"/>
      </w:pPr>
      <w:r>
        <w:rPr>
          <w:rStyle w:val="FootnoteReference"/>
        </w:rPr>
        <w:footnoteRef/>
      </w:r>
      <w:r>
        <w:t xml:space="preserve"> </w:t>
      </w:r>
      <w:r>
        <w:t xml:space="preserve">Van Wagoner 2017, PMID 29183075.</w:t>
      </w:r>
    </w:p>
  </w:footnote>
  <w:footnote w:id="2741">
    <w:p>
      <w:pPr>
        <w:pStyle w:val="FootnoteText"/>
      </w:pPr>
      <w:r>
        <w:rPr>
          <w:rStyle w:val="FootnoteReference"/>
        </w:rPr>
        <w:footnoteRef/>
      </w:r>
      <w:r>
        <w:t xml:space="preserve"> </w:t>
      </w:r>
      <w:r>
        <w:t xml:space="preserve">Van Wagoner 2017, PMID 29183075.</w:t>
      </w:r>
    </w:p>
  </w:footnote>
  <w:footnote w:id="2742">
    <w:p>
      <w:pPr>
        <w:pStyle w:val="FootnoteText"/>
      </w:pPr>
      <w:r>
        <w:rPr>
          <w:rStyle w:val="FootnoteReference"/>
        </w:rPr>
        <w:footnoteRef/>
      </w:r>
      <w:r>
        <w:t xml:space="preserve"> </w:t>
      </w:r>
      <w:r>
        <w:t xml:space="preserve">Fabresse 2021, PMID 33838562.</w:t>
      </w:r>
    </w:p>
  </w:footnote>
  <w:footnote w:id="2743">
    <w:p>
      <w:pPr>
        <w:pStyle w:val="FootnoteText"/>
      </w:pPr>
      <w:r>
        <w:rPr>
          <w:rStyle w:val="FootnoteReference"/>
        </w:rPr>
        <w:footnoteRef/>
      </w:r>
      <w:r>
        <w:t xml:space="preserve"> </w:t>
      </w:r>
      <w:r>
        <w:t xml:space="preserve">Barrios 2025, PMID 40551438.</w:t>
      </w:r>
    </w:p>
  </w:footnote>
  <w:footnote w:id="2745">
    <w:p>
      <w:pPr>
        <w:pStyle w:val="FootnoteText"/>
      </w:pPr>
      <w:r>
        <w:rPr>
          <w:rStyle w:val="FootnoteReference"/>
        </w:rPr>
        <w:footnoteRef/>
      </w:r>
      <w:r>
        <w:t xml:space="preserve"> </w:t>
      </w:r>
      <w:r>
        <w:t xml:space="preserve">Janvier 2018, PMID 30029448.</w:t>
      </w:r>
    </w:p>
  </w:footnote>
  <w:footnote w:id="2746">
    <w:p>
      <w:pPr>
        <w:pStyle w:val="FootnoteText"/>
      </w:pPr>
      <w:r>
        <w:rPr>
          <w:rStyle w:val="FootnoteReference"/>
        </w:rPr>
        <w:footnoteRef/>
      </w:r>
      <w:r>
        <w:t xml:space="preserve"> </w:t>
      </w:r>
      <w:r>
        <w:t xml:space="preserve">Mongongu 2021, PMID 33587816.</w:t>
      </w:r>
    </w:p>
  </w:footnote>
  <w:footnote w:id="2747">
    <w:p>
      <w:pPr>
        <w:pStyle w:val="FootnoteText"/>
      </w:pPr>
      <w:r>
        <w:rPr>
          <w:rStyle w:val="FootnoteReference"/>
        </w:rPr>
        <w:footnoteRef/>
      </w:r>
      <w:r>
        <w:t xml:space="preserve"> </w:t>
      </w:r>
      <w:r>
        <w:t xml:space="preserve">Deville 2024, PMID 39302005.</w:t>
      </w:r>
    </w:p>
  </w:footnote>
  <w:footnote w:id="2748">
    <w:p>
      <w:pPr>
        <w:pStyle w:val="FootnoteText"/>
      </w:pPr>
      <w:r>
        <w:rPr>
          <w:rStyle w:val="FootnoteReference"/>
        </w:rPr>
        <w:footnoteRef/>
      </w:r>
      <w:r>
        <w:t xml:space="preserve"> </w:t>
      </w:r>
      <w:r>
        <w:t xml:space="preserve">Gajda 2019, PMID 30136411.</w:t>
      </w:r>
    </w:p>
  </w:footnote>
  <w:footnote w:id="2750">
    <w:p>
      <w:pPr>
        <w:pStyle w:val="FootnoteText"/>
      </w:pPr>
      <w:r>
        <w:rPr>
          <w:rStyle w:val="FootnoteReference"/>
        </w:rPr>
        <w:footnoteRef/>
      </w:r>
      <w:r>
        <w:t xml:space="preserve"> </w:t>
      </w:r>
      <w:r>
        <w:t xml:space="preserve">Janvier 2018, PMID 30029448.</w:t>
      </w:r>
    </w:p>
  </w:footnote>
  <w:footnote w:id="2751">
    <w:p>
      <w:pPr>
        <w:pStyle w:val="FootnoteText"/>
      </w:pPr>
      <w:r>
        <w:rPr>
          <w:rStyle w:val="FootnoteReference"/>
        </w:rPr>
        <w:footnoteRef/>
      </w:r>
      <w:r>
        <w:t xml:space="preserve"> </w:t>
      </w:r>
      <w:r>
        <w:t xml:space="preserve">Janvier 2018, PMID 28941153.</w:t>
      </w:r>
    </w:p>
  </w:footnote>
  <w:footnote w:id="2752">
    <w:p>
      <w:pPr>
        <w:pStyle w:val="FootnoteText"/>
      </w:pPr>
      <w:r>
        <w:rPr>
          <w:rStyle w:val="FootnoteReference"/>
        </w:rPr>
        <w:footnoteRef/>
      </w:r>
      <w:r>
        <w:t xml:space="preserve"> </w:t>
      </w:r>
      <w:r>
        <w:t xml:space="preserve">Ashraf 2024, PMID 39509151.</w:t>
      </w:r>
    </w:p>
  </w:footnote>
  <w:footnote w:id="2755">
    <w:p>
      <w:pPr>
        <w:pStyle w:val="FootnoteText"/>
      </w:pPr>
      <w:r>
        <w:rPr>
          <w:rStyle w:val="FootnoteReference"/>
        </w:rPr>
        <w:footnoteRef/>
      </w:r>
      <w:r>
        <w:t xml:space="preserve"> </w:t>
      </w:r>
      <w:r>
        <w:t xml:space="preserve">Deconinck 2021, PMID 33453144.</w:t>
      </w:r>
    </w:p>
  </w:footnote>
  <w:footnote w:id="2756">
    <w:p>
      <w:pPr>
        <w:pStyle w:val="FootnoteText"/>
      </w:pPr>
      <w:r>
        <w:rPr>
          <w:rStyle w:val="FootnoteReference"/>
        </w:rPr>
        <w:footnoteRef/>
      </w:r>
      <w:r>
        <w:t xml:space="preserve"> </w:t>
      </w:r>
      <w:r>
        <w:t xml:space="preserve">Vanhee 2015, PMID 25535022.</w:t>
      </w:r>
    </w:p>
  </w:footnote>
  <w:footnote w:id="2757">
    <w:p>
      <w:pPr>
        <w:pStyle w:val="FootnoteText"/>
      </w:pPr>
      <w:r>
        <w:rPr>
          <w:rStyle w:val="FootnoteReference"/>
        </w:rPr>
        <w:footnoteRef/>
      </w:r>
      <w:r>
        <w:t xml:space="preserve"> </w:t>
      </w:r>
      <w:r>
        <w:t xml:space="preserve">Vanhee 2020, PMID 31667971.</w:t>
      </w:r>
    </w:p>
  </w:footnote>
  <w:footnote w:id="2758">
    <w:p>
      <w:pPr>
        <w:pStyle w:val="FootnoteText"/>
      </w:pPr>
      <w:r>
        <w:rPr>
          <w:rStyle w:val="FootnoteReference"/>
        </w:rPr>
        <w:footnoteRef/>
      </w:r>
      <w:r>
        <w:t xml:space="preserve"> </w:t>
      </w:r>
      <w:r>
        <w:t xml:space="preserve">White 2026, PMID 41480958.</w:t>
      </w:r>
    </w:p>
  </w:footnote>
  <w:footnote w:id="2759">
    <w:p>
      <w:pPr>
        <w:pStyle w:val="FootnoteText"/>
      </w:pPr>
      <w:r>
        <w:rPr>
          <w:rStyle w:val="FootnoteReference"/>
        </w:rPr>
        <w:footnoteRef/>
      </w:r>
      <w:r>
        <w:t xml:space="preserve"> </w:t>
      </w:r>
      <w:r>
        <w:t xml:space="preserve">Barrios 2025, PMID 40551438.</w:t>
      </w:r>
    </w:p>
  </w:footnote>
  <w:footnote w:id="2762">
    <w:p>
      <w:pPr>
        <w:pStyle w:val="FootnoteText"/>
      </w:pPr>
      <w:r>
        <w:rPr>
          <w:rStyle w:val="FootnoteReference"/>
        </w:rPr>
        <w:footnoteRef/>
      </w:r>
      <w:r>
        <w:t xml:space="preserve"> </w:t>
      </w:r>
      <w:r>
        <w:t xml:space="preserve">Gaw 2024, PMID 38421490.</w:t>
      </w:r>
    </w:p>
  </w:footnote>
  <w:footnote w:id="2763">
    <w:p>
      <w:pPr>
        <w:pStyle w:val="FootnoteText"/>
      </w:pPr>
      <w:r>
        <w:rPr>
          <w:rStyle w:val="FootnoteReference"/>
        </w:rPr>
        <w:footnoteRef/>
      </w:r>
      <w:r>
        <w:t xml:space="preserve"> </w:t>
      </w:r>
      <w:r>
        <w:t xml:space="preserve">Senthilkumar 2026, PMID 41784916.</w:t>
      </w:r>
    </w:p>
  </w:footnote>
  <w:footnote w:id="2764">
    <w:p>
      <w:pPr>
        <w:pStyle w:val="FootnoteText"/>
      </w:pPr>
      <w:r>
        <w:rPr>
          <w:rStyle w:val="FootnoteReference"/>
        </w:rPr>
        <w:footnoteRef/>
      </w:r>
      <w:r>
        <w:t xml:space="preserve"> </w:t>
      </w:r>
      <w:r>
        <w:t xml:space="preserve">Gaw 2024, PMID 38421490; Ho 2025, PMID 40371098.</w:t>
      </w:r>
    </w:p>
  </w:footnote>
  <w:footnote w:id="2765">
    <w:p>
      <w:pPr>
        <w:pStyle w:val="FootnoteText"/>
      </w:pPr>
      <w:r>
        <w:rPr>
          <w:rStyle w:val="FootnoteReference"/>
        </w:rPr>
        <w:footnoteRef/>
      </w:r>
      <w:r>
        <w:t xml:space="preserve"> </w:t>
      </w:r>
      <w:r>
        <w:t xml:space="preserve">Marshall 2024, PMID 38861153.</w:t>
      </w:r>
    </w:p>
  </w:footnote>
  <w:footnote w:id="2766">
    <w:p>
      <w:pPr>
        <w:pStyle w:val="FootnoteText"/>
      </w:pPr>
      <w:r>
        <w:rPr>
          <w:rStyle w:val="FootnoteReference"/>
        </w:rPr>
        <w:footnoteRef/>
      </w:r>
      <w:r>
        <w:t xml:space="preserve"> </w:t>
      </w:r>
      <w:r>
        <w:t xml:space="preserve">Ho 2025, PMID 40371098.</w:t>
      </w:r>
    </w:p>
  </w:footnote>
  <w:footnote w:id="2767">
    <w:p>
      <w:pPr>
        <w:pStyle w:val="FootnoteText"/>
      </w:pPr>
      <w:r>
        <w:rPr>
          <w:rStyle w:val="FootnoteReference"/>
        </w:rPr>
        <w:footnoteRef/>
      </w:r>
      <w:r>
        <w:t xml:space="preserve"> </w:t>
      </w:r>
      <w:r>
        <w:t xml:space="preserve">Gaw 2024, PMID 38421490; Senthilkumar 2026, PMID 41784916.</w:t>
      </w:r>
    </w:p>
  </w:footnote>
  <w:footnote w:id="2768">
    <w:p>
      <w:pPr>
        <w:pStyle w:val="FootnoteText"/>
      </w:pPr>
      <w:r>
        <w:rPr>
          <w:rStyle w:val="FootnoteReference"/>
        </w:rPr>
        <w:footnoteRef/>
      </w:r>
      <w:r>
        <w:t xml:space="preserve"> </w:t>
      </w:r>
      <w:r>
        <w:t xml:space="preserve">Muschler 2025, PMID 39803696.</w:t>
      </w:r>
    </w:p>
  </w:footnote>
  <w:footnote w:id="2769">
    <w:p>
      <w:pPr>
        <w:pStyle w:val="FootnoteText"/>
      </w:pPr>
      <w:r>
        <w:rPr>
          <w:rStyle w:val="FootnoteReference"/>
        </w:rPr>
        <w:footnoteRef/>
      </w:r>
      <w:r>
        <w:t xml:space="preserve"> </w:t>
      </w:r>
      <w:r>
        <w:t xml:space="preserve">Ho 2025, PMID 40371098.</w:t>
      </w:r>
    </w:p>
  </w:footnote>
  <w:footnote w:id="2770">
    <w:p>
      <w:pPr>
        <w:pStyle w:val="FootnoteText"/>
      </w:pPr>
      <w:r>
        <w:rPr>
          <w:rStyle w:val="FootnoteReference"/>
        </w:rPr>
        <w:footnoteRef/>
      </w:r>
      <w:r>
        <w:t xml:space="preserve"> </w:t>
      </w:r>
      <w:r>
        <w:t xml:space="preserve">Marshall 2024, PMID 38861153.</w:t>
      </w:r>
    </w:p>
  </w:footnote>
  <w:footnote w:id="2771">
    <w:p>
      <w:pPr>
        <w:pStyle w:val="FootnoteText"/>
      </w:pPr>
      <w:r>
        <w:rPr>
          <w:rStyle w:val="FootnoteReference"/>
        </w:rPr>
        <w:footnoteRef/>
      </w:r>
      <w:r>
        <w:t xml:space="preserve"> </w:t>
      </w:r>
      <w:r>
        <w:t xml:space="preserve">Kraft 2026, PMID 42194666.</w:t>
      </w:r>
    </w:p>
  </w:footnote>
  <w:footnote w:id="2772">
    <w:p>
      <w:pPr>
        <w:pStyle w:val="FootnoteText"/>
      </w:pPr>
      <w:r>
        <w:rPr>
          <w:rStyle w:val="FootnoteReference"/>
        </w:rPr>
        <w:footnoteRef/>
      </w:r>
      <w:r>
        <w:t xml:space="preserve"> </w:t>
      </w:r>
      <w:r>
        <w:t xml:space="preserve">Senthilkumar 2026, PMID 41784916.</w:t>
      </w:r>
    </w:p>
  </w:footnote>
  <w:footnote w:id="2777">
    <w:p>
      <w:pPr>
        <w:pStyle w:val="FootnoteText"/>
      </w:pPr>
      <w:r>
        <w:rPr>
          <w:rStyle w:val="FootnoteReference"/>
        </w:rPr>
        <w:footnoteRef/>
      </w:r>
      <w:r>
        <w:t xml:space="preserve"> </w:t>
      </w:r>
      <w:r>
        <w:t xml:space="preserve">Cesta 2024, PMID 38079178.</w:t>
      </w:r>
    </w:p>
  </w:footnote>
  <w:footnote w:id="2778">
    <w:p>
      <w:pPr>
        <w:pStyle w:val="FootnoteText"/>
      </w:pPr>
      <w:r>
        <w:rPr>
          <w:rStyle w:val="FootnoteReference"/>
        </w:rPr>
        <w:footnoteRef/>
      </w:r>
      <w:r>
        <w:t xml:space="preserve"> </w:t>
      </w:r>
      <w:r>
        <w:t xml:space="preserve">Dao 2024, PMID 38663923.</w:t>
      </w:r>
    </w:p>
  </w:footnote>
  <w:footnote w:id="2779">
    <w:p>
      <w:pPr>
        <w:pStyle w:val="FootnoteText"/>
      </w:pPr>
      <w:r>
        <w:rPr>
          <w:rStyle w:val="FootnoteReference"/>
        </w:rPr>
        <w:footnoteRef/>
      </w:r>
      <w:r>
        <w:t xml:space="preserve"> </w:t>
      </w:r>
      <w:r>
        <w:t xml:space="preserve">Brown 2026, PMID 42258827.</w:t>
      </w:r>
    </w:p>
  </w:footnote>
  <w:footnote w:id="2780">
    <w:p>
      <w:pPr>
        <w:pStyle w:val="FootnoteText"/>
      </w:pPr>
      <w:r>
        <w:rPr>
          <w:rStyle w:val="FootnoteReference"/>
        </w:rPr>
        <w:footnoteRef/>
      </w:r>
      <w:r>
        <w:t xml:space="preserve"> </w:t>
      </w:r>
      <w:r>
        <w:t xml:space="preserve">Uysal 2026, PMID 42420519.</w:t>
      </w:r>
    </w:p>
  </w:footnote>
  <w:footnote w:id="2781">
    <w:p>
      <w:pPr>
        <w:pStyle w:val="FootnoteText"/>
      </w:pPr>
      <w:r>
        <w:rPr>
          <w:rStyle w:val="FootnoteReference"/>
        </w:rPr>
        <w:footnoteRef/>
      </w:r>
      <w:r>
        <w:t xml:space="preserve"> </w:t>
      </w:r>
      <w:r>
        <w:t xml:space="preserve">NCT06867835.</w:t>
      </w:r>
    </w:p>
  </w:footnote>
  <w:footnote w:id="2783">
    <w:p>
      <w:pPr>
        <w:pStyle w:val="FootnoteText"/>
      </w:pPr>
      <w:r>
        <w:rPr>
          <w:rStyle w:val="FootnoteReference"/>
        </w:rPr>
        <w:footnoteRef/>
      </w:r>
      <w:r>
        <w:t xml:space="preserve"> </w:t>
      </w:r>
      <w:r>
        <w:t xml:space="preserve">Kapitza 2015, PMID 25475122.</w:t>
      </w:r>
    </w:p>
  </w:footnote>
  <w:footnote w:id="2784">
    <w:p>
      <w:pPr>
        <w:pStyle w:val="FootnoteText"/>
      </w:pPr>
      <w:r>
        <w:rPr>
          <w:rStyle w:val="FootnoteReference"/>
        </w:rPr>
        <w:footnoteRef/>
      </w:r>
      <w:r>
        <w:t xml:space="preserve"> </w:t>
      </w:r>
      <w:r>
        <w:t xml:space="preserve">Skelley 2024, PMID 37940101.</w:t>
      </w:r>
    </w:p>
  </w:footnote>
  <w:footnote w:id="2785">
    <w:p>
      <w:pPr>
        <w:pStyle w:val="FootnoteText"/>
      </w:pPr>
      <w:r>
        <w:rPr>
          <w:rStyle w:val="FootnoteReference"/>
        </w:rPr>
        <w:footnoteRef/>
      </w:r>
      <w:r>
        <w:t xml:space="preserve"> </w:t>
      </w:r>
      <w:r>
        <w:t xml:space="preserve">Clayton 2022, PMID 35147466.</w:t>
      </w:r>
    </w:p>
  </w:footnote>
  <w:footnote w:id="2786">
    <w:p>
      <w:pPr>
        <w:pStyle w:val="FootnoteText"/>
      </w:pPr>
      <w:r>
        <w:rPr>
          <w:rStyle w:val="FootnoteReference"/>
        </w:rPr>
        <w:footnoteRef/>
      </w:r>
      <w:r>
        <w:t xml:space="preserve"> </w:t>
      </w:r>
      <w:r>
        <w:t xml:space="preserve">Lissy 2021, PMID 32961034.</w:t>
      </w:r>
    </w:p>
  </w:footnote>
  <w:footnote w:id="2788">
    <w:p>
      <w:pPr>
        <w:pStyle w:val="FootnoteText"/>
      </w:pPr>
      <w:r>
        <w:rPr>
          <w:rStyle w:val="FootnoteReference"/>
        </w:rPr>
        <w:footnoteRef/>
      </w:r>
      <w:r>
        <w:t xml:space="preserve"> </w:t>
      </w:r>
      <w:r>
        <w:t xml:space="preserve">Baig 2025, PMID 39694296.</w:t>
      </w:r>
    </w:p>
  </w:footnote>
  <w:footnote w:id="2789">
    <w:p>
      <w:pPr>
        <w:pStyle w:val="FootnoteText"/>
      </w:pPr>
      <w:r>
        <w:rPr>
          <w:rStyle w:val="FootnoteReference"/>
        </w:rPr>
        <w:footnoteRef/>
      </w:r>
      <w:r>
        <w:t xml:space="preserve"> </w:t>
      </w:r>
      <w:r>
        <w:t xml:space="preserve">Vlaeminck 2026, PMID 41631344.</w:t>
      </w:r>
    </w:p>
  </w:footnote>
  <w:footnote w:id="2790">
    <w:p>
      <w:pPr>
        <w:pStyle w:val="FootnoteText"/>
      </w:pPr>
      <w:r>
        <w:rPr>
          <w:rStyle w:val="FootnoteReference"/>
        </w:rPr>
        <w:footnoteRef/>
      </w:r>
      <w:r>
        <w:t xml:space="preserve"> </w:t>
      </w:r>
      <w:r>
        <w:t xml:space="preserve">Wu 2026, PMID 40940281.</w:t>
      </w:r>
    </w:p>
  </w:footnote>
  <w:footnote w:id="2791">
    <w:p>
      <w:pPr>
        <w:pStyle w:val="FootnoteText"/>
      </w:pPr>
      <w:r>
        <w:rPr>
          <w:rStyle w:val="FootnoteReference"/>
        </w:rPr>
        <w:footnoteRef/>
      </w:r>
      <w:r>
        <w:t xml:space="preserve"> </w:t>
      </w:r>
      <w:r>
        <w:t xml:space="preserve">NCT07276763.</w:t>
      </w:r>
    </w:p>
  </w:footnote>
  <w:footnote w:id="2793">
    <w:p>
      <w:pPr>
        <w:pStyle w:val="FootnoteText"/>
      </w:pPr>
      <w:r>
        <w:rPr>
          <w:rStyle w:val="FootnoteReference"/>
        </w:rPr>
        <w:footnoteRef/>
      </w:r>
      <w:r>
        <w:t xml:space="preserve"> </w:t>
      </w:r>
      <w:r>
        <w:t xml:space="preserve">Kendall 2005, PMID 15855571.</w:t>
      </w:r>
    </w:p>
  </w:footnote>
  <w:footnote w:id="2794">
    <w:p>
      <w:pPr>
        <w:pStyle w:val="FootnoteText"/>
      </w:pPr>
      <w:r>
        <w:rPr>
          <w:rStyle w:val="FootnoteReference"/>
        </w:rPr>
        <w:footnoteRef/>
      </w:r>
      <w:r>
        <w:t xml:space="preserve"> </w:t>
      </w:r>
      <w:r>
        <w:t xml:space="preserve">Edelman 2006, PMID 17003291.</w:t>
      </w:r>
    </w:p>
  </w:footnote>
  <w:footnote w:id="2796">
    <w:p>
      <w:pPr>
        <w:pStyle w:val="FootnoteText"/>
      </w:pPr>
      <w:r>
        <w:rPr>
          <w:rStyle w:val="FootnoteReference"/>
        </w:rPr>
        <w:footnoteRef/>
      </w:r>
      <w:r>
        <w:t xml:space="preserve"> </w:t>
      </w:r>
      <w:r>
        <w:t xml:space="preserve">Kelly 2020, PMID 32233338.</w:t>
      </w:r>
    </w:p>
  </w:footnote>
  <w:footnote w:id="2797">
    <w:p>
      <w:pPr>
        <w:pStyle w:val="FootnoteText"/>
      </w:pPr>
      <w:r>
        <w:rPr>
          <w:rStyle w:val="FootnoteReference"/>
        </w:rPr>
        <w:footnoteRef/>
      </w:r>
      <w:r>
        <w:t xml:space="preserve"> </w:t>
      </w:r>
      <w:r>
        <w:t xml:space="preserve">Silva 2026, PMID 42115753.</w:t>
      </w:r>
    </w:p>
  </w:footnote>
  <w:footnote w:id="2798">
    <w:p>
      <w:pPr>
        <w:pStyle w:val="FootnoteText"/>
      </w:pPr>
      <w:r>
        <w:rPr>
          <w:rStyle w:val="FootnoteReference"/>
        </w:rPr>
        <w:footnoteRef/>
      </w:r>
      <w:r>
        <w:t xml:space="preserve"> </w:t>
      </w:r>
      <w:r>
        <w:t xml:space="preserve">Senthilkumar 2026, PMID 41784916.</w:t>
      </w:r>
    </w:p>
  </w:footnote>
  <w:footnote w:id="2799">
    <w:p>
      <w:pPr>
        <w:pStyle w:val="FootnoteText"/>
      </w:pPr>
      <w:r>
        <w:rPr>
          <w:rStyle w:val="FootnoteReference"/>
        </w:rPr>
        <w:footnoteRef/>
      </w:r>
      <w:r>
        <w:t xml:space="preserve"> </w:t>
      </w:r>
      <w:r>
        <w:t xml:space="preserve">Coutinho 2026, PMID 41880199.</w:t>
      </w:r>
    </w:p>
  </w:footnote>
  <w:footnote w:id="2801">
    <w:p>
      <w:pPr>
        <w:pStyle w:val="FootnoteText"/>
      </w:pPr>
      <w:r>
        <w:rPr>
          <w:rStyle w:val="FootnoteReference"/>
        </w:rPr>
        <w:footnoteRef/>
      </w:r>
      <w:r>
        <w:t xml:space="preserve"> </w:t>
      </w:r>
      <w:r>
        <w:t xml:space="preserve">Liu 2007, PMID 17227934.</w:t>
      </w:r>
    </w:p>
  </w:footnote>
  <w:footnote w:id="2802">
    <w:p>
      <w:pPr>
        <w:pStyle w:val="FootnoteText"/>
      </w:pPr>
      <w:r>
        <w:rPr>
          <w:rStyle w:val="FootnoteReference"/>
        </w:rPr>
        <w:footnoteRef/>
      </w:r>
      <w:r>
        <w:t xml:space="preserve"> </w:t>
      </w:r>
      <w:r>
        <w:t xml:space="preserve">Adunsky 2011, PMID 21067829.</w:t>
      </w:r>
    </w:p>
  </w:footnote>
  <w:footnote w:id="2804">
    <w:p>
      <w:pPr>
        <w:pStyle w:val="FootnoteText"/>
      </w:pPr>
      <w:r>
        <w:rPr>
          <w:rStyle w:val="FootnoteReference"/>
        </w:rPr>
        <w:footnoteRef/>
      </w:r>
      <w:r>
        <w:t xml:space="preserve"> </w:t>
      </w:r>
      <w:r>
        <w:t xml:space="preserve">Look 2025, PMID 39996356.</w:t>
      </w:r>
    </w:p>
  </w:footnote>
  <w:footnote w:id="2805">
    <w:p>
      <w:pPr>
        <w:pStyle w:val="FootnoteText"/>
      </w:pPr>
      <w:r>
        <w:rPr>
          <w:rStyle w:val="FootnoteReference"/>
        </w:rPr>
        <w:footnoteRef/>
      </w:r>
      <w:r>
        <w:t xml:space="preserve"> </w:t>
      </w:r>
      <w:r>
        <w:t xml:space="preserve">Karakasis 2025, PMID 39719170.</w:t>
      </w:r>
    </w:p>
  </w:footnote>
  <w:footnote w:id="2806">
    <w:p>
      <w:pPr>
        <w:pStyle w:val="FootnoteText"/>
      </w:pPr>
      <w:r>
        <w:rPr>
          <w:rStyle w:val="FootnoteReference"/>
        </w:rPr>
        <w:footnoteRef/>
      </w:r>
      <w:r>
        <w:t xml:space="preserve"> </w:t>
      </w:r>
      <w:r>
        <w:t xml:space="preserve">Batsis 2026, PMID 41996180.</w:t>
      </w:r>
    </w:p>
  </w:footnote>
  <w:footnote w:id="2807">
    <w:p>
      <w:pPr>
        <w:pStyle w:val="FootnoteText"/>
      </w:pPr>
      <w:r>
        <w:rPr>
          <w:rStyle w:val="FootnoteReference"/>
        </w:rPr>
        <w:footnoteRef/>
      </w:r>
      <w:r>
        <w:t xml:space="preserve"> </w:t>
      </w:r>
      <w:r>
        <w:t xml:space="preserve">Laverde 2026, PMID 42321502.</w:t>
      </w:r>
    </w:p>
  </w:footnote>
  <w:footnote w:id="2809">
    <w:p>
      <w:pPr>
        <w:pStyle w:val="FootnoteText"/>
      </w:pPr>
      <w:r>
        <w:rPr>
          <w:rStyle w:val="FootnoteReference"/>
        </w:rPr>
        <w:footnoteRef/>
      </w:r>
      <w:r>
        <w:t xml:space="preserve"> </w:t>
      </w:r>
      <w:r>
        <w:t xml:space="preserve">Guerdjikova 2024, PMID 38329147.</w:t>
      </w:r>
    </w:p>
  </w:footnote>
  <w:footnote w:id="2810">
    <w:p>
      <w:pPr>
        <w:pStyle w:val="FootnoteText"/>
      </w:pPr>
      <w:r>
        <w:rPr>
          <w:rStyle w:val="FootnoteReference"/>
        </w:rPr>
        <w:footnoteRef/>
      </w:r>
      <w:r>
        <w:t xml:space="preserve"> </w:t>
      </w:r>
      <w:r>
        <w:t xml:space="preserve">Peiper 2026, PMID 42340738.</w:t>
      </w:r>
    </w:p>
  </w:footnote>
  <w:footnote w:id="2811">
    <w:p>
      <w:pPr>
        <w:pStyle w:val="FootnoteText"/>
      </w:pPr>
      <w:r>
        <w:rPr>
          <w:rStyle w:val="FootnoteReference"/>
        </w:rPr>
        <w:footnoteRef/>
      </w:r>
      <w:r>
        <w:t xml:space="preserve"> </w:t>
      </w:r>
      <w:r>
        <w:t xml:space="preserve">Keshen 2026, PMID 42742590.</w:t>
      </w:r>
    </w:p>
  </w:footnote>
  <w:footnote w:id="2812">
    <w:p>
      <w:pPr>
        <w:pStyle w:val="FootnoteText"/>
      </w:pPr>
      <w:r>
        <w:rPr>
          <w:rStyle w:val="FootnoteReference"/>
        </w:rPr>
        <w:footnoteRef/>
      </w:r>
      <w:r>
        <w:t xml:space="preserve"> </w:t>
      </w:r>
      <w:r>
        <w:t xml:space="preserve">Keshen 2026, PMID 42742590.</w:t>
      </w:r>
    </w:p>
  </w:footnote>
  <w:footnote w:id="2814">
    <w:p>
      <w:pPr>
        <w:pStyle w:val="FootnoteText"/>
      </w:pPr>
      <w:r>
        <w:rPr>
          <w:rStyle w:val="FootnoteReference"/>
        </w:rPr>
        <w:footnoteRef/>
      </w:r>
      <w:r>
        <w:t xml:space="preserve"> </w:t>
      </w:r>
      <w:r>
        <w:t xml:space="preserve">Borschel 2026, PMID 42874322.</w:t>
      </w:r>
    </w:p>
  </w:footnote>
  <w:footnote w:id="2815">
    <w:p>
      <w:pPr>
        <w:pStyle w:val="FootnoteText"/>
      </w:pPr>
      <w:r>
        <w:rPr>
          <w:rStyle w:val="FootnoteReference"/>
        </w:rPr>
        <w:footnoteRef/>
      </w:r>
      <w:r>
        <w:t xml:space="preserve"> </w:t>
      </w:r>
      <w:r>
        <w:t xml:space="preserve">Barrios 2025, PMID 40551438.</w:t>
      </w:r>
    </w:p>
  </w:footnote>
  <w:footnote w:id="2816">
    <w:p>
      <w:pPr>
        <w:pStyle w:val="FootnoteText"/>
      </w:pPr>
      <w:r>
        <w:rPr>
          <w:rStyle w:val="FootnoteReference"/>
        </w:rPr>
        <w:footnoteRef/>
      </w:r>
      <w:r>
        <w:t xml:space="preserve"> </w:t>
      </w:r>
      <w:r>
        <w:t xml:space="preserve">Gajda 2019, PMID 30136411.</w:t>
      </w:r>
    </w:p>
  </w:footnote>
  <w:footnote w:id="2817">
    <w:p>
      <w:pPr>
        <w:pStyle w:val="FootnoteText"/>
      </w:pPr>
      <w:r>
        <w:rPr>
          <w:rStyle w:val="FootnoteReference"/>
        </w:rPr>
        <w:footnoteRef/>
      </w:r>
      <w:r>
        <w:t xml:space="preserve"> </w:t>
      </w:r>
      <w:r>
        <w:t xml:space="preserve">La Vignera 2026, PMID 42511463.</w:t>
      </w:r>
    </w:p>
  </w:footnote>
  <w:footnote w:id="2818">
    <w:p>
      <w:pPr>
        <w:pStyle w:val="FootnoteText"/>
      </w:pPr>
      <w:r>
        <w:rPr>
          <w:rStyle w:val="FootnoteReference"/>
        </w:rPr>
        <w:footnoteRef/>
      </w:r>
      <w:r>
        <w:t xml:space="preserve"> </w:t>
      </w:r>
      <w:r>
        <w:t xml:space="preserve">Villegas Meza 2026, PMID 42160466.</w:t>
      </w:r>
    </w:p>
  </w:footnote>
  <w:footnote w:id="2823">
    <w:p>
      <w:pPr>
        <w:pStyle w:val="FootnoteText"/>
      </w:pPr>
      <w:r>
        <w:rPr>
          <w:rStyle w:val="FootnoteReference"/>
        </w:rPr>
        <w:footnoteRef/>
      </w:r>
      <w:r>
        <w:t xml:space="preserve"> </w:t>
      </w:r>
      <w:r>
        <w:t xml:space="preserve">NCT07543458.</w:t>
      </w:r>
    </w:p>
  </w:footnote>
  <w:footnote w:id="2824">
    <w:p>
      <w:pPr>
        <w:pStyle w:val="FootnoteText"/>
      </w:pPr>
      <w:r>
        <w:rPr>
          <w:rStyle w:val="FootnoteReference"/>
        </w:rPr>
        <w:footnoteRef/>
      </w:r>
      <w:r>
        <w:t xml:space="preserve"> </w:t>
      </w:r>
      <w:r>
        <w:t xml:space="preserve">NCT04020055, NCT06904261.</w:t>
      </w:r>
    </w:p>
  </w:footnote>
  <w:footnote w:id="2826">
    <w:p>
      <w:pPr>
        <w:pStyle w:val="FootnoteText"/>
      </w:pPr>
      <w:r>
        <w:rPr>
          <w:rStyle w:val="FootnoteReference"/>
        </w:rPr>
        <w:footnoteRef/>
      </w:r>
      <w:r>
        <w:t xml:space="preserve"> </w:t>
      </w:r>
      <w:r>
        <w:t xml:space="preserve">NCT05086614.</w:t>
      </w:r>
    </w:p>
  </w:footnote>
  <w:footnote w:id="2827">
    <w:p>
      <w:pPr>
        <w:pStyle w:val="FootnoteText"/>
      </w:pPr>
      <w:r>
        <w:rPr>
          <w:rStyle w:val="FootnoteReference"/>
        </w:rPr>
        <w:footnoteRef/>
      </w:r>
      <w:r>
        <w:t xml:space="preserve"> </w:t>
      </w:r>
      <w:r>
        <w:t xml:space="preserve">NCT05555589.</w:t>
      </w:r>
    </w:p>
  </w:footnote>
  <w:footnote w:id="2828">
    <w:p>
      <w:pPr>
        <w:pStyle w:val="FootnoteText"/>
      </w:pPr>
      <w:r>
        <w:rPr>
          <w:rStyle w:val="FootnoteReference"/>
        </w:rPr>
        <w:footnoteRef/>
      </w:r>
      <w:r>
        <w:t xml:space="preserve"> </w:t>
      </w:r>
      <w:r>
        <w:t xml:space="preserve">NCT06373731.</w:t>
      </w:r>
    </w:p>
  </w:footnote>
  <w:footnote w:id="2829">
    <w:p>
      <w:pPr>
        <w:pStyle w:val="FootnoteText"/>
      </w:pPr>
      <w:r>
        <w:rPr>
          <w:rStyle w:val="FootnoteReference"/>
        </w:rPr>
        <w:footnoteRef/>
      </w:r>
      <w:r>
        <w:t xml:space="preserve"> </w:t>
      </w:r>
      <w:r>
        <w:t xml:space="preserve">NCT06109649.</w:t>
      </w:r>
    </w:p>
  </w:footnote>
  <w:footnote w:id="2830">
    <w:p>
      <w:pPr>
        <w:pStyle w:val="FootnoteText"/>
      </w:pPr>
      <w:r>
        <w:rPr>
          <w:rStyle w:val="FootnoteReference"/>
        </w:rPr>
        <w:footnoteRef/>
      </w:r>
      <w:r>
        <w:t xml:space="preserve"> </w:t>
      </w:r>
      <w:r>
        <w:t xml:space="preserve">NCT06948214.</w:t>
      </w:r>
    </w:p>
  </w:footnote>
  <w:footnote w:id="2831">
    <w:p>
      <w:pPr>
        <w:pStyle w:val="FootnoteText"/>
      </w:pPr>
      <w:r>
        <w:rPr>
          <w:rStyle w:val="FootnoteReference"/>
        </w:rPr>
        <w:footnoteRef/>
      </w:r>
      <w:r>
        <w:t xml:space="preserve"> </w:t>
      </w:r>
      <w:r>
        <w:t xml:space="preserve">NCT04903002.</w:t>
      </w:r>
    </w:p>
  </w:footnote>
  <w:footnote w:id="2832">
    <w:p>
      <w:pPr>
        <w:pStyle w:val="FootnoteText"/>
      </w:pPr>
      <w:r>
        <w:rPr>
          <w:rStyle w:val="FootnoteReference"/>
        </w:rPr>
        <w:footnoteRef/>
      </w:r>
      <w:r>
        <w:t xml:space="preserve"> </w:t>
      </w:r>
      <w:r>
        <w:t xml:space="preserve">NCT07675980.</w:t>
      </w:r>
    </w:p>
  </w:footnote>
  <w:footnote w:id="2835">
    <w:p>
      <w:pPr>
        <w:pStyle w:val="FootnoteText"/>
      </w:pPr>
      <w:r>
        <w:rPr>
          <w:rStyle w:val="FootnoteReference"/>
        </w:rPr>
        <w:footnoteRef/>
      </w:r>
      <w:r>
        <w:t xml:space="preserve"> </w:t>
      </w:r>
      <w:r>
        <w:t xml:space="preserve">NCT06662383.</w:t>
      </w:r>
    </w:p>
  </w:footnote>
  <w:footnote w:id="2836">
    <w:p>
      <w:pPr>
        <w:pStyle w:val="FootnoteText"/>
      </w:pPr>
      <w:r>
        <w:rPr>
          <w:rStyle w:val="FootnoteReference"/>
        </w:rPr>
        <w:footnoteRef/>
      </w:r>
      <w:r>
        <w:t xml:space="preserve"> </w:t>
      </w:r>
      <w:r>
        <w:t xml:space="preserve">NCT07889648.</w:t>
      </w:r>
    </w:p>
  </w:footnote>
  <w:footnote w:id="2837">
    <w:p>
      <w:pPr>
        <w:pStyle w:val="FootnoteText"/>
      </w:pPr>
      <w:r>
        <w:rPr>
          <w:rStyle w:val="FootnoteReference"/>
        </w:rPr>
        <w:footnoteRef/>
      </w:r>
      <w:r>
        <w:t xml:space="preserve"> </w:t>
      </w:r>
      <w:r>
        <w:t xml:space="preserve">NCT06780449.</w:t>
      </w:r>
    </w:p>
  </w:footnote>
  <w:footnote w:id="2838">
    <w:p>
      <w:pPr>
        <w:pStyle w:val="FootnoteText"/>
      </w:pPr>
      <w:r>
        <w:rPr>
          <w:rStyle w:val="FootnoteReference"/>
        </w:rPr>
        <w:footnoteRef/>
      </w:r>
      <w:r>
        <w:t xml:space="preserve"> </w:t>
      </w:r>
      <w:r>
        <w:t xml:space="preserve">NCT07575399.</w:t>
      </w:r>
    </w:p>
  </w:footnote>
  <w:footnote w:id="2839">
    <w:p>
      <w:pPr>
        <w:pStyle w:val="FootnoteText"/>
      </w:pPr>
      <w:r>
        <w:rPr>
          <w:rStyle w:val="FootnoteReference"/>
        </w:rPr>
        <w:footnoteRef/>
      </w:r>
      <w:r>
        <w:t xml:space="preserve"> </w:t>
      </w:r>
      <w:r>
        <w:t xml:space="preserve">NCT07845500.</w:t>
      </w:r>
    </w:p>
  </w:footnote>
  <w:footnote w:id="2840">
    <w:p>
      <w:pPr>
        <w:pStyle w:val="FootnoteText"/>
      </w:pPr>
      <w:r>
        <w:rPr>
          <w:rStyle w:val="FootnoteReference"/>
        </w:rPr>
        <w:footnoteRef/>
      </w:r>
      <w:r>
        <w:t xml:space="preserve"> </w:t>
      </w:r>
      <w:r>
        <w:t xml:space="preserve">Aronne 2024, PMID 38078870.</w:t>
      </w:r>
    </w:p>
  </w:footnote>
  <w:footnote w:id="2841">
    <w:p>
      <w:pPr>
        <w:pStyle w:val="FootnoteText"/>
      </w:pPr>
      <w:r>
        <w:rPr>
          <w:rStyle w:val="FootnoteReference"/>
        </w:rPr>
        <w:footnoteRef/>
      </w:r>
      <w:r>
        <w:t xml:space="preserve"> </w:t>
      </w:r>
      <w:r>
        <w:t xml:space="preserve">NCT06257966.</w:t>
      </w:r>
    </w:p>
  </w:footnote>
  <w:footnote w:id="2842">
    <w:p>
      <w:pPr>
        <w:pStyle w:val="FootnoteText"/>
      </w:pPr>
      <w:r>
        <w:rPr>
          <w:rStyle w:val="FootnoteReference"/>
        </w:rPr>
        <w:footnoteRef/>
      </w:r>
      <w:r>
        <w:t xml:space="preserve"> </w:t>
      </w:r>
      <w:r>
        <w:t xml:space="preserve">NCT06439277, NCT07817875.</w:t>
      </w:r>
    </w:p>
  </w:footnote>
  <w:footnote w:id="2843">
    <w:p>
      <w:pPr>
        <w:pStyle w:val="FootnoteText"/>
      </w:pPr>
      <w:r>
        <w:rPr>
          <w:rStyle w:val="FootnoteReference"/>
        </w:rPr>
        <w:footnoteRef/>
      </w:r>
      <w:r>
        <w:t xml:space="preserve"> </w:t>
      </w:r>
      <w:r>
        <w:t xml:space="preserve">NCT06672939.</w:t>
      </w:r>
    </w:p>
  </w:footnote>
  <w:footnote w:id="2845">
    <w:p>
      <w:pPr>
        <w:pStyle w:val="FootnoteText"/>
      </w:pPr>
      <w:r>
        <w:rPr>
          <w:rStyle w:val="FootnoteReference"/>
        </w:rPr>
        <w:footnoteRef/>
      </w:r>
      <w:r>
        <w:t xml:space="preserve"> </w:t>
      </w:r>
      <w:r>
        <w:t xml:space="preserve">Jastreboff 2023, PMID 37366315.</w:t>
      </w:r>
    </w:p>
  </w:footnote>
  <w:footnote w:id="2846">
    <w:p>
      <w:pPr>
        <w:pStyle w:val="FootnoteText"/>
      </w:pPr>
      <w:r>
        <w:rPr>
          <w:rStyle w:val="FootnoteReference"/>
        </w:rPr>
        <w:footnoteRef/>
      </w:r>
      <w:r>
        <w:t xml:space="preserve"> </w:t>
      </w:r>
      <w:r>
        <w:t xml:space="preserve">Jastreboff 2026, PMID 42814954.</w:t>
      </w:r>
    </w:p>
  </w:footnote>
  <w:footnote w:id="2847">
    <w:p>
      <w:pPr>
        <w:pStyle w:val="FootnoteText"/>
      </w:pPr>
      <w:r>
        <w:rPr>
          <w:rStyle w:val="FootnoteReference"/>
        </w:rPr>
        <w:footnoteRef/>
      </w:r>
      <w:r>
        <w:t xml:space="preserve"> </w:t>
      </w:r>
      <w:r>
        <w:t xml:space="preserve">NCT06383390.</w:t>
      </w:r>
    </w:p>
  </w:footnote>
  <w:footnote w:id="2849">
    <w:p>
      <w:pPr>
        <w:pStyle w:val="FootnoteText"/>
      </w:pPr>
      <w:r>
        <w:rPr>
          <w:rStyle w:val="FootnoteReference"/>
        </w:rPr>
        <w:footnoteRef/>
      </w:r>
      <w:r>
        <w:t xml:space="preserve"> </w:t>
      </w:r>
      <w:r>
        <w:t xml:space="preserve">Garvey 2025, PMID 40544433.</w:t>
      </w:r>
    </w:p>
  </w:footnote>
  <w:footnote w:id="2850">
    <w:p>
      <w:pPr>
        <w:pStyle w:val="FootnoteText"/>
      </w:pPr>
      <w:r>
        <w:rPr>
          <w:rStyle w:val="FootnoteReference"/>
        </w:rPr>
        <w:footnoteRef/>
      </w:r>
      <w:r>
        <w:t xml:space="preserve"> </w:t>
      </w:r>
      <w:r>
        <w:t xml:space="preserve">Dahl 2025, PMID 40550231.</w:t>
      </w:r>
    </w:p>
  </w:footnote>
  <w:footnote w:id="2851">
    <w:p>
      <w:pPr>
        <w:pStyle w:val="FootnoteText"/>
      </w:pPr>
      <w:r>
        <w:rPr>
          <w:rStyle w:val="FootnoteReference"/>
        </w:rPr>
        <w:footnoteRef/>
      </w:r>
      <w:r>
        <w:t xml:space="preserve"> </w:t>
      </w:r>
      <w:r>
        <w:t xml:space="preserve">Billings 2025, PMID 41207310.</w:t>
      </w:r>
    </w:p>
  </w:footnote>
  <w:footnote w:id="2852">
    <w:p>
      <w:pPr>
        <w:pStyle w:val="FootnoteText"/>
      </w:pPr>
      <w:r>
        <w:rPr>
          <w:rStyle w:val="FootnoteReference"/>
        </w:rPr>
        <w:footnoteRef/>
      </w:r>
      <w:r>
        <w:t xml:space="preserve"> </w:t>
      </w:r>
      <w:r>
        <w:t xml:space="preserve">Garvey 2026, PMID 42810355.</w:t>
      </w:r>
    </w:p>
  </w:footnote>
  <w:footnote w:id="2854">
    <w:p>
      <w:pPr>
        <w:pStyle w:val="FootnoteText"/>
      </w:pPr>
      <w:r>
        <w:rPr>
          <w:rStyle w:val="FootnoteReference"/>
        </w:rPr>
        <w:footnoteRef/>
      </w:r>
      <w:r>
        <w:t xml:space="preserve"> </w:t>
      </w:r>
      <w:r>
        <w:t xml:space="preserve">Yie 2026, PMID 42592044.</w:t>
      </w:r>
    </w:p>
  </w:footnote>
  <w:footnote w:id="2855">
    <w:p>
      <w:pPr>
        <w:pStyle w:val="FootnoteText"/>
      </w:pPr>
      <w:r>
        <w:rPr>
          <w:rStyle w:val="FootnoteReference"/>
        </w:rPr>
        <w:footnoteRef/>
      </w:r>
      <w:r>
        <w:t xml:space="preserve"> </w:t>
      </w:r>
      <w:r>
        <w:t xml:space="preserve">Jastreboff 2025, PMID 40549887.</w:t>
      </w:r>
    </w:p>
  </w:footnote>
  <w:footnote w:id="2857">
    <w:p>
      <w:pPr>
        <w:pStyle w:val="FootnoteText"/>
      </w:pPr>
      <w:r>
        <w:rPr>
          <w:rStyle w:val="FootnoteReference"/>
        </w:rPr>
        <w:footnoteRef/>
      </w:r>
      <w:r>
        <w:t xml:space="preserve"> </w:t>
      </w:r>
      <w:r>
        <w:t xml:space="preserve">Heymsfield 2021, PMID 33439265.</w:t>
      </w:r>
    </w:p>
  </w:footnote>
  <w:footnote w:id="2858">
    <w:p>
      <w:pPr>
        <w:pStyle w:val="FootnoteText"/>
      </w:pPr>
      <w:r>
        <w:rPr>
          <w:rStyle w:val="FootnoteReference"/>
        </w:rPr>
        <w:footnoteRef/>
      </w:r>
      <w:r>
        <w:t xml:space="preserve"> </w:t>
      </w:r>
      <w:r>
        <w:t xml:space="preserve">Heymsfield 2026, PMID 41772149.</w:t>
      </w:r>
    </w:p>
  </w:footnote>
  <w:footnote w:id="2859">
    <w:p>
      <w:pPr>
        <w:pStyle w:val="FootnoteText"/>
      </w:pPr>
      <w:r>
        <w:rPr>
          <w:rStyle w:val="FootnoteReference"/>
        </w:rPr>
        <w:footnoteRef/>
      </w:r>
      <w:r>
        <w:t xml:space="preserve"> </w:t>
      </w:r>
      <w:r>
        <w:t xml:space="preserve">NCT05933499.</w:t>
      </w:r>
    </w:p>
  </w:footnote>
  <w:footnote w:id="2865">
    <w:p>
      <w:pPr>
        <w:pStyle w:val="FootnoteText"/>
      </w:pPr>
      <w:r>
        <w:rPr>
          <w:rStyle w:val="FootnoteReference"/>
        </w:rPr>
        <w:footnoteRef/>
      </w:r>
      <w:r>
        <w:t xml:space="preserve"> </w:t>
      </w:r>
      <w:r>
        <w:t xml:space="preserve">Drucker 2020, PMID 31848464.</w:t>
      </w:r>
    </w:p>
  </w:footnote>
  <w:footnote w:id="2866">
    <w:p>
      <w:pPr>
        <w:pStyle w:val="FootnoteText"/>
      </w:pPr>
      <w:r>
        <w:rPr>
          <w:rStyle w:val="FootnoteReference"/>
        </w:rPr>
        <w:footnoteRef/>
      </w:r>
      <w:r>
        <w:t xml:space="preserve"> </w:t>
      </w:r>
      <w:r>
        <w:t xml:space="preserve">Vahora 2026, PMID 42687069.</w:t>
      </w:r>
    </w:p>
  </w:footnote>
  <w:footnote w:id="2868">
    <w:p>
      <w:pPr>
        <w:pStyle w:val="FootnoteText"/>
      </w:pPr>
      <w:r>
        <w:rPr>
          <w:rStyle w:val="FootnoteReference"/>
        </w:rPr>
        <w:footnoteRef/>
      </w:r>
      <w:r>
        <w:t xml:space="preserve"> </w:t>
      </w:r>
      <w:r>
        <w:t xml:space="preserve">Levi 2026, PMID 42437874.</w:t>
      </w:r>
    </w:p>
  </w:footnote>
  <w:footnote w:id="2870">
    <w:p>
      <w:pPr>
        <w:pStyle w:val="FootnoteText"/>
      </w:pPr>
      <w:r>
        <w:rPr>
          <w:rStyle w:val="FootnoteReference"/>
        </w:rPr>
        <w:footnoteRef/>
      </w:r>
      <w:r>
        <w:t xml:space="preserve"> </w:t>
      </w:r>
      <w:r>
        <w:t xml:space="preserve">McGuire 2025, PMID 40162642.</w:t>
      </w:r>
    </w:p>
  </w:footnote>
  <w:footnote w:id="2872">
    <w:p>
      <w:pPr>
        <w:pStyle w:val="FootnoteText"/>
      </w:pPr>
      <w:r>
        <w:rPr>
          <w:rStyle w:val="FootnoteReference"/>
        </w:rPr>
        <w:footnoteRef/>
      </w:r>
      <w:r>
        <w:t xml:space="preserve"> </w:t>
      </w:r>
      <w:r>
        <w:t xml:space="preserve">Mora 2026, PMID 42532079.</w:t>
      </w:r>
    </w:p>
  </w:footnote>
  <w:footnote w:id="2873">
    <w:p>
      <w:pPr>
        <w:pStyle w:val="FootnoteText"/>
      </w:pPr>
      <w:r>
        <w:rPr>
          <w:rStyle w:val="FootnoteReference"/>
        </w:rPr>
        <w:footnoteRef/>
      </w:r>
      <w:r>
        <w:t xml:space="preserve"> </w:t>
      </w:r>
      <w:r>
        <w:t xml:space="preserve">NCT07815067.</w:t>
      </w:r>
    </w:p>
  </w:footnote>
  <w:footnote w:id="2875">
    <w:p>
      <w:pPr>
        <w:pStyle w:val="FootnoteText"/>
      </w:pPr>
      <w:r>
        <w:rPr>
          <w:rStyle w:val="FootnoteReference"/>
        </w:rPr>
        <w:footnoteRef/>
      </w:r>
      <w:r>
        <w:t xml:space="preserve"> </w:t>
      </w:r>
      <w:r>
        <w:t xml:space="preserve">Johns 2023, PMID 37125593.</w:t>
      </w:r>
    </w:p>
  </w:footnote>
  <w:footnote w:id="2876">
    <w:p>
      <w:pPr>
        <w:pStyle w:val="FootnoteText"/>
      </w:pPr>
      <w:r>
        <w:rPr>
          <w:rStyle w:val="FootnoteReference"/>
        </w:rPr>
        <w:footnoteRef/>
      </w:r>
      <w:r>
        <w:t xml:space="preserve"> </w:t>
      </w:r>
      <w:r>
        <w:t xml:space="preserve">Navar 2026, PMID 41879224.</w:t>
      </w:r>
    </w:p>
  </w:footnote>
  <w:footnote w:id="2877">
    <w:p>
      <w:pPr>
        <w:pStyle w:val="FootnoteText"/>
      </w:pPr>
      <w:r>
        <w:rPr>
          <w:rStyle w:val="FootnoteReference"/>
        </w:rPr>
        <w:footnoteRef/>
      </w:r>
      <w:r>
        <w:t xml:space="preserve"> </w:t>
      </w:r>
      <w:r>
        <w:t xml:space="preserve">Bissonnette 2025, PMID 41191940.</w:t>
      </w:r>
    </w:p>
  </w:footnote>
  <w:footnote w:id="2878">
    <w:p>
      <w:pPr>
        <w:pStyle w:val="FootnoteText"/>
      </w:pPr>
      <w:r>
        <w:rPr>
          <w:rStyle w:val="FootnoteReference"/>
        </w:rPr>
        <w:footnoteRef/>
      </w:r>
      <w:r>
        <w:t xml:space="preserve"> </w:t>
      </w:r>
      <w:r>
        <w:t xml:space="preserve">Knight 2025, PMID 40629250.</w:t>
      </w:r>
    </w:p>
  </w:footnote>
  <w:footnote w:id="2881">
    <w:p>
      <w:pPr>
        <w:pStyle w:val="FootnoteText"/>
      </w:pPr>
      <w:r>
        <w:rPr>
          <w:rStyle w:val="FootnoteReference"/>
        </w:rPr>
        <w:footnoteRef/>
      </w:r>
      <w:r>
        <w:t xml:space="preserve"> </w:t>
      </w:r>
      <w:r>
        <w:t xml:space="preserve">Rosenstock 2026, PMID 41765029.</w:t>
      </w:r>
    </w:p>
  </w:footnote>
  <w:footnote w:id="2882">
    <w:p>
      <w:pPr>
        <w:pStyle w:val="FootnoteText"/>
      </w:pPr>
      <w:r>
        <w:rPr>
          <w:rStyle w:val="FootnoteReference"/>
        </w:rPr>
        <w:footnoteRef/>
      </w:r>
      <w:r>
        <w:t xml:space="preserve"> </w:t>
      </w:r>
      <w:r>
        <w:t xml:space="preserve">Wharton 2025, PMID 40960239.</w:t>
      </w:r>
    </w:p>
  </w:footnote>
  <w:footnote w:id="2883">
    <w:p>
      <w:pPr>
        <w:pStyle w:val="FootnoteText"/>
      </w:pPr>
      <w:r>
        <w:rPr>
          <w:rStyle w:val="FootnoteReference"/>
        </w:rPr>
        <w:footnoteRef/>
      </w:r>
      <w:r>
        <w:t xml:space="preserve"> </w:t>
      </w:r>
      <w:r>
        <w:t xml:space="preserve">Rosenstock 2026, PMID 41765029.</w:t>
      </w:r>
    </w:p>
  </w:footnote>
  <w:footnote w:id="2884">
    <w:p>
      <w:pPr>
        <w:pStyle w:val="FootnoteText"/>
      </w:pPr>
      <w:r>
        <w:rPr>
          <w:rStyle w:val="FootnoteReference"/>
        </w:rPr>
        <w:footnoteRef/>
      </w:r>
      <w:r>
        <w:t xml:space="preserve"> </w:t>
      </w:r>
      <w:r>
        <w:t xml:space="preserve">Aronne 2026, PMID 42120723.</w:t>
      </w:r>
    </w:p>
  </w:footnote>
  <w:footnote w:id="2885">
    <w:p>
      <w:pPr>
        <w:pStyle w:val="FootnoteText"/>
      </w:pPr>
      <w:r>
        <w:rPr>
          <w:rStyle w:val="FootnoteReference"/>
        </w:rPr>
        <w:footnoteRef/>
      </w:r>
      <w:r>
        <w:t xml:space="preserve"> </w:t>
      </w:r>
      <w:r>
        <w:t xml:space="preserve">Wharton 2026, PMID 42338042.</w:t>
      </w:r>
    </w:p>
  </w:footnote>
  <w:footnote w:id="2887">
    <w:p>
      <w:pPr>
        <w:pStyle w:val="FootnoteText"/>
      </w:pPr>
      <w:r>
        <w:rPr>
          <w:rStyle w:val="FootnoteReference"/>
        </w:rPr>
        <w:footnoteRef/>
      </w:r>
      <w:r>
        <w:t xml:space="preserve"> </w:t>
      </w:r>
      <w:r>
        <w:t xml:space="preserve">Buckeridge 2025, PMID 40539310.</w:t>
      </w:r>
    </w:p>
  </w:footnote>
  <w:footnote w:id="2890">
    <w:p>
      <w:pPr>
        <w:pStyle w:val="FootnoteText"/>
      </w:pPr>
      <w:r>
        <w:rPr>
          <w:rStyle w:val="FootnoteReference"/>
        </w:rPr>
        <w:footnoteRef/>
      </w:r>
      <w:r>
        <w:t xml:space="preserve"> </w:t>
      </w:r>
      <w:r>
        <w:t xml:space="preserve">Michalak 2026, PMID 42225305.</w:t>
      </w:r>
    </w:p>
  </w:footnote>
  <w:footnote w:id="2892">
    <w:p>
      <w:pPr>
        <w:pStyle w:val="FootnoteText"/>
      </w:pPr>
      <w:r>
        <w:rPr>
          <w:rStyle w:val="FootnoteReference"/>
        </w:rPr>
        <w:footnoteRef/>
      </w:r>
      <w:r>
        <w:t xml:space="preserve"> </w:t>
      </w:r>
      <w:r>
        <w:t xml:space="preserve">Vahora 2026, PMID 42687069.</w:t>
      </w:r>
    </w:p>
  </w:footnote>
  <w:footnote w:id="2893">
    <w:p>
      <w:pPr>
        <w:pStyle w:val="FootnoteText"/>
      </w:pPr>
      <w:r>
        <w:rPr>
          <w:rStyle w:val="FootnoteReference"/>
        </w:rPr>
        <w:footnoteRef/>
      </w:r>
      <w:r>
        <w:t xml:space="preserve"> </w:t>
      </w:r>
      <w:r>
        <w:t xml:space="preserve">NCT07241390.</w:t>
      </w:r>
    </w:p>
  </w:footnote>
  <w:footnote w:id="2894">
    <w:p>
      <w:pPr>
        <w:pStyle w:val="FootnoteText"/>
      </w:pPr>
      <w:r>
        <w:rPr>
          <w:rStyle w:val="FootnoteReference"/>
        </w:rPr>
        <w:footnoteRef/>
      </w:r>
      <w:r>
        <w:t xml:space="preserve"> </w:t>
      </w:r>
      <w:r>
        <w:t xml:space="preserve">Levi 2026, PMID 42437874.</w:t>
      </w:r>
    </w:p>
  </w:footnote>
  <w:footnote w:id="2895">
    <w:p>
      <w:pPr>
        <w:pStyle w:val="FootnoteText"/>
      </w:pPr>
      <w:r>
        <w:rPr>
          <w:rStyle w:val="FootnoteReference"/>
        </w:rPr>
        <w:footnoteRef/>
      </w:r>
      <w:r>
        <w:t xml:space="preserve"> </w:t>
      </w:r>
      <w:r>
        <w:t xml:space="preserve">Belcourt 2026, PMID 41689811.</w:t>
      </w:r>
    </w:p>
  </w:footnote>
  <w:footnote w:id="2896">
    <w:p>
      <w:pPr>
        <w:pStyle w:val="FootnoteText"/>
      </w:pPr>
      <w:r>
        <w:rPr>
          <w:rStyle w:val="FootnoteReference"/>
        </w:rPr>
        <w:footnoteRef/>
      </w:r>
      <w:r>
        <w:t xml:space="preserve"> </w:t>
      </w:r>
      <w:r>
        <w:t xml:space="preserve">Hach 2024, PMID 39379664.</w:t>
      </w:r>
    </w:p>
  </w:footnote>
  <w:footnote w:id="2901">
    <w:p>
      <w:pPr>
        <w:pStyle w:val="FootnoteText"/>
      </w:pPr>
      <w:r>
        <w:rPr>
          <w:rStyle w:val="FootnoteReference"/>
        </w:rPr>
        <w:footnoteRef/>
      </w:r>
      <w:r>
        <w:t xml:space="preserve"> </w:t>
      </w:r>
      <w:r>
        <w:t xml:space="preserve">Hach 2024, PMID 39379664.</w:t>
      </w:r>
    </w:p>
  </w:footnote>
  <w:footnote w:id="2903">
    <w:p>
      <w:pPr>
        <w:pStyle w:val="FootnoteText"/>
      </w:pPr>
      <w:r>
        <w:rPr>
          <w:rStyle w:val="FootnoteReference"/>
        </w:rPr>
        <w:footnoteRef/>
      </w:r>
      <w:r>
        <w:t xml:space="preserve"> </w:t>
      </w:r>
      <w:r>
        <w:t xml:space="preserve">Rubino 2022, PMID 35015037.</w:t>
      </w:r>
    </w:p>
  </w:footnote>
  <w:footnote w:id="2905">
    <w:p>
      <w:pPr>
        <w:pStyle w:val="FootnoteText"/>
      </w:pPr>
      <w:r>
        <w:rPr>
          <w:rStyle w:val="FootnoteReference"/>
        </w:rPr>
        <w:footnoteRef/>
      </w:r>
      <w:r>
        <w:t xml:space="preserve"> </w:t>
      </w:r>
      <w:r>
        <w:t xml:space="preserve">Levi 2026, PMID 42437874.</w:t>
      </w:r>
    </w:p>
  </w:footnote>
  <w:footnote w:id="2906">
    <w:p>
      <w:pPr>
        <w:pStyle w:val="FootnoteText"/>
      </w:pPr>
      <w:r>
        <w:rPr>
          <w:rStyle w:val="FootnoteReference"/>
        </w:rPr>
        <w:footnoteRef/>
      </w:r>
      <w:r>
        <w:t xml:space="preserve"> </w:t>
      </w:r>
      <w:r>
        <w:t xml:space="preserve">Mohan 2026, PMID 42747945.</w:t>
      </w:r>
    </w:p>
  </w:footnote>
  <w:footnote w:id="2907">
    <w:p>
      <w:pPr>
        <w:pStyle w:val="FootnoteText"/>
      </w:pPr>
      <w:r>
        <w:rPr>
          <w:rStyle w:val="FootnoteReference"/>
        </w:rPr>
        <w:footnoteRef/>
      </w:r>
      <w:r>
        <w:t xml:space="preserve"> </w:t>
      </w:r>
      <w:r>
        <w:t xml:space="preserve">Mani 2025, PMID 41358329.</w:t>
      </w:r>
    </w:p>
  </w:footnote>
  <w:footnote w:id="2908">
    <w:p>
      <w:pPr>
        <w:pStyle w:val="FootnoteText"/>
      </w:pPr>
      <w:r>
        <w:rPr>
          <w:rStyle w:val="FootnoteReference"/>
        </w:rPr>
        <w:footnoteRef/>
      </w:r>
      <w:r>
        <w:t xml:space="preserve"> </w:t>
      </w:r>
      <w:r>
        <w:t xml:space="preserve">Celletti 2026, PMID 41324410.</w:t>
      </w:r>
    </w:p>
  </w:footnote>
  <w:footnote w:id="2911">
    <w:p>
      <w:pPr>
        <w:pStyle w:val="FootnoteText"/>
      </w:pPr>
      <w:r>
        <w:rPr>
          <w:rStyle w:val="FootnoteReference"/>
        </w:rPr>
        <w:footnoteRef/>
      </w:r>
      <w:r>
        <w:t xml:space="preserve"> </w:t>
      </w:r>
      <w:r>
        <w:t xml:space="preserve">DiStefano 2025, PMID 39776466.</w:t>
      </w:r>
    </w:p>
  </w:footnote>
  <w:footnote w:id="2912">
    <w:p>
      <w:pPr>
        <w:pStyle w:val="FootnoteText"/>
      </w:pPr>
      <w:r>
        <w:rPr>
          <w:rStyle w:val="FootnoteReference"/>
        </w:rPr>
        <w:footnoteRef/>
      </w:r>
      <w:r>
        <w:t xml:space="preserve"> </w:t>
      </w:r>
      <w:r>
        <w:t xml:space="preserve">Belcourt 2026, PMID 41689811.</w:t>
      </w:r>
    </w:p>
  </w:footnote>
  <w:footnote w:id="2913">
    <w:p>
      <w:pPr>
        <w:pStyle w:val="FootnoteText"/>
      </w:pPr>
      <w:r>
        <w:rPr>
          <w:rStyle w:val="FootnoteReference"/>
        </w:rPr>
        <w:footnoteRef/>
      </w:r>
      <w:r>
        <w:t xml:space="preserve"> </w:t>
      </w:r>
      <w:r>
        <w:t xml:space="preserve">Jordan 2026, PMID 42010938.</w:t>
      </w:r>
    </w:p>
  </w:footnote>
  <w:footnote w:id="2915">
    <w:p>
      <w:pPr>
        <w:pStyle w:val="FootnoteText"/>
      </w:pPr>
      <w:r>
        <w:rPr>
          <w:rStyle w:val="FootnoteReference"/>
        </w:rPr>
        <w:footnoteRef/>
      </w:r>
      <w:r>
        <w:t xml:space="preserve"> </w:t>
      </w:r>
      <w:r>
        <w:t xml:space="preserve">Mailhac 2024, PMID 38685990.</w:t>
      </w:r>
    </w:p>
  </w:footnote>
  <w:footnote w:id="2916">
    <w:p>
      <w:pPr>
        <w:pStyle w:val="FootnoteText"/>
      </w:pPr>
      <w:r>
        <w:rPr>
          <w:rStyle w:val="FootnoteReference"/>
        </w:rPr>
        <w:footnoteRef/>
      </w:r>
      <w:r>
        <w:t xml:space="preserve"> </w:t>
      </w:r>
      <w:r>
        <w:t xml:space="preserve">Gasoyan 2025, PMID 41039650.</w:t>
      </w:r>
    </w:p>
  </w:footnote>
  <w:footnote w:id="2918">
    <w:p>
      <w:pPr>
        <w:pStyle w:val="FootnoteText"/>
      </w:pPr>
      <w:r>
        <w:rPr>
          <w:rStyle w:val="FootnoteReference"/>
        </w:rPr>
        <w:footnoteRef/>
      </w:r>
      <w:r>
        <w:t xml:space="preserve"> </w:t>
      </w:r>
      <w:r>
        <w:t xml:space="preserve">Hwang 2025, PMID 40085108.</w:t>
      </w:r>
    </w:p>
  </w:footnote>
  <w:footnote w:id="2919">
    <w:p>
      <w:pPr>
        <w:pStyle w:val="FootnoteText"/>
      </w:pPr>
      <w:r>
        <w:rPr>
          <w:rStyle w:val="FootnoteReference"/>
        </w:rPr>
        <w:footnoteRef/>
      </w:r>
      <w:r>
        <w:t xml:space="preserve"> </w:t>
      </w:r>
      <w:r>
        <w:t xml:space="preserve">Dhippayom 2026, PMID 41365841.</w:t>
      </w:r>
    </w:p>
  </w:footnote>
  <w:footnote w:id="2920">
    <w:p>
      <w:pPr>
        <w:pStyle w:val="FootnoteText"/>
      </w:pPr>
      <w:r>
        <w:rPr>
          <w:rStyle w:val="FootnoteReference"/>
        </w:rPr>
        <w:footnoteRef/>
      </w:r>
      <w:r>
        <w:t xml:space="preserve"> </w:t>
      </w:r>
      <w:r>
        <w:t xml:space="preserve">Hennessy 2026, PMID 41637062.</w:t>
      </w:r>
    </w:p>
  </w:footnote>
  <w:footnote w:id="2921">
    <w:p>
      <w:pPr>
        <w:pStyle w:val="FootnoteText"/>
      </w:pPr>
      <w:r>
        <w:rPr>
          <w:rStyle w:val="FootnoteReference"/>
        </w:rPr>
        <w:footnoteRef/>
      </w:r>
      <w:r>
        <w:t xml:space="preserve"> </w:t>
      </w:r>
      <w:r>
        <w:t xml:space="preserve">Scannell 2026, PMID 42640207.</w:t>
      </w:r>
    </w:p>
  </w:footnote>
  <w:footnote w:id="2924">
    <w:p>
      <w:pPr>
        <w:pStyle w:val="FootnoteText"/>
      </w:pPr>
      <w:r>
        <w:rPr>
          <w:rStyle w:val="FootnoteReference"/>
        </w:rPr>
        <w:footnoteRef/>
      </w:r>
      <w:r>
        <w:t xml:space="preserve"> </w:t>
      </w:r>
      <w:r>
        <w:t xml:space="preserve">Wilding 2022, PMID 35441470.</w:t>
      </w:r>
    </w:p>
  </w:footnote>
  <w:footnote w:id="2928">
    <w:p>
      <w:pPr>
        <w:pStyle w:val="FootnoteText"/>
      </w:pPr>
      <w:r>
        <w:rPr>
          <w:rStyle w:val="FootnoteReference"/>
        </w:rPr>
        <w:footnoteRef/>
      </w:r>
      <w:r>
        <w:t xml:space="preserve"> </w:t>
      </w:r>
      <w:r>
        <w:t xml:space="preserve">Cummings 2026, PMID 41865758.</w:t>
      </w:r>
    </w:p>
  </w:footnote>
  <w:footnote w:id="2929">
    <w:p>
      <w:pPr>
        <w:pStyle w:val="FootnoteText"/>
      </w:pPr>
      <w:r>
        <w:rPr>
          <w:rStyle w:val="FootnoteReference"/>
        </w:rPr>
        <w:footnoteRef/>
      </w:r>
      <w:r>
        <w:t xml:space="preserve"> </w:t>
      </w:r>
      <w:r>
        <w:t xml:space="preserve">Vijiaratnam 2025, PMID 39919773.</w:t>
      </w:r>
    </w:p>
  </w:footnote>
  <w:footnote w:id="2930">
    <w:p>
      <w:pPr>
        <w:pStyle w:val="FootnoteText"/>
      </w:pPr>
      <w:r>
        <w:rPr>
          <w:rStyle w:val="FootnoteReference"/>
        </w:rPr>
        <w:footnoteRef/>
      </w:r>
      <w:r>
        <w:t xml:space="preserve"> </w:t>
      </w:r>
      <w:r>
        <w:t xml:space="preserve">NCT05556512.</w:t>
      </w:r>
    </w:p>
  </w:footnote>
  <w:footnote w:id="2931">
    <w:p>
      <w:pPr>
        <w:pStyle w:val="FootnoteText"/>
      </w:pPr>
      <w:r>
        <w:rPr>
          <w:rStyle w:val="FootnoteReference"/>
        </w:rPr>
        <w:footnoteRef/>
      </w:r>
      <w:r>
        <w:t xml:space="preserve"> </w:t>
      </w:r>
      <w:r>
        <w:t xml:space="preserve">NCT05669755.</w:t>
      </w:r>
    </w:p>
  </w:footnote>
  <w:footnote w:id="2932">
    <w:p>
      <w:pPr>
        <w:pStyle w:val="FootnoteText"/>
      </w:pPr>
      <w:r>
        <w:rPr>
          <w:rStyle w:val="FootnoteReference"/>
        </w:rPr>
        <w:footnoteRef/>
      </w:r>
      <w:r>
        <w:t xml:space="preserve"> </w:t>
      </w:r>
      <w:r>
        <w:t xml:space="preserve">NCT06383390.</w:t>
      </w:r>
    </w:p>
  </w:footnote>
  <w:footnote w:id="2933">
    <w:p>
      <w:pPr>
        <w:pStyle w:val="FootnoteText"/>
      </w:pPr>
      <w:r>
        <w:rPr>
          <w:rStyle w:val="FootnoteReference"/>
        </w:rPr>
        <w:footnoteRef/>
      </w:r>
      <w:r>
        <w:t xml:space="preserve"> </w:t>
      </w:r>
      <w:r>
        <w:t xml:space="preserve">NCT06632457.</w:t>
      </w:r>
    </w:p>
  </w:footnote>
  <w:footnote w:id="2934">
    <w:p>
      <w:pPr>
        <w:pStyle w:val="FootnoteText"/>
      </w:pPr>
      <w:r>
        <w:rPr>
          <w:rStyle w:val="FootnoteReference"/>
        </w:rPr>
        <w:footnoteRef/>
      </w:r>
      <w:r>
        <w:t xml:space="preserve"> </w:t>
      </w:r>
      <w:r>
        <w:t xml:space="preserve">NCT07037433, NCT07037459.</w:t>
      </w:r>
    </w:p>
  </w:footnote>
  <w:footnote w:id="2935">
    <w:p>
      <w:pPr>
        <w:pStyle w:val="FootnoteText"/>
      </w:pPr>
      <w:r>
        <w:rPr>
          <w:rStyle w:val="FootnoteReference"/>
        </w:rPr>
        <w:footnoteRef/>
      </w:r>
      <w:r>
        <w:t xml:space="preserve"> </w:t>
      </w:r>
      <w:r>
        <w:t xml:space="preserve">NCT07861100.</w:t>
      </w:r>
    </w:p>
  </w:footnote>
  <w:footnote w:id="2936">
    <w:p>
      <w:pPr>
        <w:pStyle w:val="FootnoteText"/>
      </w:pPr>
      <w:r>
        <w:rPr>
          <w:rStyle w:val="FootnoteReference"/>
        </w:rPr>
        <w:footnoteRef/>
      </w:r>
      <w:r>
        <w:t xml:space="preserve"> </w:t>
      </w:r>
      <w:r>
        <w:t xml:space="preserve">NCT07241390.</w:t>
      </w:r>
    </w:p>
  </w:footnote>
  <w:footnote w:id="2937">
    <w:p>
      <w:pPr>
        <w:pStyle w:val="FootnoteText"/>
      </w:pPr>
      <w:r>
        <w:rPr>
          <w:rStyle w:val="FootnoteReference"/>
        </w:rPr>
        <w:footnoteRef/>
      </w:r>
      <w:r>
        <w:t xml:space="preserve"> </w:t>
      </w:r>
      <w:r>
        <w:t xml:space="preserve">NCT07165028.</w:t>
      </w:r>
    </w:p>
  </w:footnote>
  <w:footnote w:id="2938">
    <w:p>
      <w:pPr>
        <w:pStyle w:val="FootnoteText"/>
      </w:pPr>
      <w:r>
        <w:rPr>
          <w:rStyle w:val="FootnoteReference"/>
        </w:rPr>
        <w:footnoteRef/>
      </w:r>
      <w:r>
        <w:t xml:space="preserve"> </w:t>
      </w:r>
      <w:r>
        <w:t xml:space="preserve">Levi 2026, PMID 42437874.</w:t>
      </w:r>
    </w:p>
  </w:footnote>
  <w:footnote w:id="2940">
    <w:p>
      <w:pPr>
        <w:pStyle w:val="FootnoteText"/>
      </w:pPr>
      <w:r>
        <w:rPr>
          <w:rStyle w:val="FootnoteReference"/>
        </w:rPr>
        <w:footnoteRef/>
      </w:r>
      <w:r>
        <w:t xml:space="preserve"> </w:t>
      </w:r>
      <w:r>
        <w:t xml:space="preserve">NCT05086614.</w:t>
      </w:r>
    </w:p>
  </w:footnote>
  <w:footnote w:id="2941">
    <w:p>
      <w:pPr>
        <w:pStyle w:val="FootnoteText"/>
      </w:pPr>
      <w:r>
        <w:rPr>
          <w:rStyle w:val="FootnoteReference"/>
        </w:rPr>
        <w:footnoteRef/>
      </w:r>
      <w:r>
        <w:t xml:space="preserve"> </w:t>
      </w:r>
      <w:r>
        <w:t xml:space="preserve">NCT05555589.</w:t>
      </w:r>
    </w:p>
  </w:footnote>
  <w:footnote w:id="2943">
    <w:p>
      <w:pPr>
        <w:pStyle w:val="FootnoteText"/>
      </w:pPr>
      <w:r>
        <w:rPr>
          <w:rStyle w:val="FootnoteReference"/>
        </w:rPr>
        <w:footnoteRef/>
      </w:r>
      <w:r>
        <w:t xml:space="preserve"> </w:t>
      </w:r>
      <w:r>
        <w:t xml:space="preserve">NCT00903110.</w:t>
      </w:r>
    </w:p>
  </w:footnote>
  <w:footnote w:id="2945">
    <w:p>
      <w:pPr>
        <w:pStyle w:val="FootnoteText"/>
      </w:pPr>
      <w:r>
        <w:rPr>
          <w:rStyle w:val="FootnoteReference"/>
        </w:rPr>
        <w:footnoteRef/>
      </w:r>
      <w:r>
        <w:t xml:space="preserve"> </w:t>
      </w:r>
      <w:r>
        <w:t xml:space="preserve">NCT06373731.</w:t>
      </w:r>
    </w:p>
  </w:footnote>
  <w:footnote w:id="2946">
    <w:p>
      <w:pPr>
        <w:pStyle w:val="FootnoteText"/>
      </w:pPr>
      <w:r>
        <w:rPr>
          <w:rStyle w:val="FootnoteReference"/>
        </w:rPr>
        <w:footnoteRef/>
      </w:r>
      <w:r>
        <w:t xml:space="preserve"> </w:t>
      </w:r>
      <w:r>
        <w:t xml:space="preserve">NCT05755997.</w:t>
      </w:r>
    </w:p>
  </w:footnote>
  <w:footnote w:id="2947">
    <w:p>
      <w:pPr>
        <w:pStyle w:val="FootnoteText"/>
      </w:pPr>
      <w:r>
        <w:rPr>
          <w:rStyle w:val="FootnoteReference"/>
        </w:rPr>
        <w:footnoteRef/>
      </w:r>
      <w:r>
        <w:t xml:space="preserve"> </w:t>
      </w:r>
      <w:r>
        <w:t xml:space="preserve">NCT07888595.</w:t>
      </w:r>
    </w:p>
  </w:footnote>
  <w:footnote w:id="2949">
    <w:p>
      <w:pPr>
        <w:pStyle w:val="FootnoteText"/>
      </w:pPr>
      <w:r>
        <w:rPr>
          <w:rStyle w:val="FootnoteReference"/>
        </w:rPr>
        <w:footnoteRef/>
      </w:r>
      <w:r>
        <w:t xml:space="preserve"> </w:t>
      </w:r>
      <w:r>
        <w:t xml:space="preserve">NCT06109649.</w:t>
      </w:r>
    </w:p>
  </w:footnote>
  <w:footnote w:id="2952">
    <w:p>
      <w:pPr>
        <w:pStyle w:val="FootnoteText"/>
      </w:pPr>
      <w:r>
        <w:rPr>
          <w:rStyle w:val="FootnoteReference"/>
        </w:rPr>
        <w:footnoteRef/>
      </w:r>
      <w:r>
        <w:t xml:space="preserve"> </w:t>
      </w:r>
      <w:r>
        <w:t xml:space="preserve">Celletti 2026, PMID 41324410.</w:t>
      </w:r>
    </w:p>
  </w:footnote>
  <w:footnote w:id="2954">
    <w:p>
      <w:pPr>
        <w:pStyle w:val="FootnoteText"/>
      </w:pPr>
      <w:r>
        <w:rPr>
          <w:rStyle w:val="FootnoteReference"/>
        </w:rPr>
        <w:footnoteRef/>
      </w:r>
      <w:r>
        <w:t xml:space="preserve"> </w:t>
      </w:r>
      <w:r>
        <w:t xml:space="preserve">Wilding 2022, PMID 35441470.</w:t>
      </w:r>
    </w:p>
  </w:footnote>
  <w:footnote w:id="2955">
    <w:p>
      <w:pPr>
        <w:pStyle w:val="FootnoteText"/>
      </w:pPr>
      <w:r>
        <w:rPr>
          <w:rStyle w:val="FootnoteReference"/>
        </w:rPr>
        <w:footnoteRef/>
      </w:r>
      <w:r>
        <w:t xml:space="preserve"> </w:t>
      </w:r>
      <w:r>
        <w:t xml:space="preserve">Aronne 2024, PMID 38078870.</w:t>
      </w:r>
    </w:p>
  </w:footnote>
  <w:footnote w:id="2956">
    <w:p>
      <w:pPr>
        <w:pStyle w:val="FootnoteText"/>
      </w:pPr>
      <w:r>
        <w:rPr>
          <w:rStyle w:val="FootnoteReference"/>
        </w:rPr>
        <w:footnoteRef/>
      </w:r>
      <w:r>
        <w:t xml:space="preserve"> </w:t>
      </w:r>
      <w:r>
        <w:t xml:space="preserve">Aronne 2026, PMID 42120723.</w:t>
      </w:r>
    </w:p>
  </w:footnote>
  <w:footnote w:id="2957">
    <w:p>
      <w:pPr>
        <w:pStyle w:val="FootnoteText"/>
      </w:pPr>
      <w:r>
        <w:rPr>
          <w:rStyle w:val="FootnoteReference"/>
        </w:rPr>
        <w:footnoteRef/>
      </w:r>
      <w:r>
        <w:t xml:space="preserve"> </w:t>
      </w:r>
      <w:r>
        <w:t xml:space="preserve">Cengiz 2025, PMID 39950222.</w:t>
      </w:r>
    </w:p>
  </w:footnote>
  <w:footnote w:id="2959">
    <w:p>
      <w:pPr>
        <w:pStyle w:val="FootnoteText"/>
      </w:pPr>
      <w:r>
        <w:rPr>
          <w:rStyle w:val="FootnoteReference"/>
        </w:rPr>
        <w:footnoteRef/>
      </w:r>
      <w:r>
        <w:t xml:space="preserve"> </w:t>
      </w:r>
      <w:r>
        <w:t xml:space="preserve">Celletti 2026, PMID 41324410.</w:t>
      </w:r>
    </w:p>
  </w:footnote>
  <w:footnote w:id="2961">
    <w:p>
      <w:pPr>
        <w:pStyle w:val="FootnoteText"/>
      </w:pPr>
      <w:r>
        <w:rPr>
          <w:rStyle w:val="FootnoteReference"/>
        </w:rPr>
        <w:footnoteRef/>
      </w:r>
      <w:r>
        <w:t xml:space="preserve"> </w:t>
      </w:r>
      <w:r>
        <w:t xml:space="preserve">Rubin 2026, PMID 42853576.</w:t>
      </w:r>
    </w:p>
  </w:footnote>
  <w:footnote w:id="2962">
    <w:p>
      <w:pPr>
        <w:pStyle w:val="FootnoteText"/>
      </w:pPr>
      <w:r>
        <w:rPr>
          <w:rStyle w:val="FootnoteReference"/>
        </w:rPr>
        <w:footnoteRef/>
      </w:r>
      <w:r>
        <w:t xml:space="preserve"> </w:t>
      </w:r>
      <w:r>
        <w:t xml:space="preserve">Belcourt 2026, PMID 41689811.</w:t>
      </w:r>
    </w:p>
  </w:footnote>
  <w:footnote w:id="2963">
    <w:p>
      <w:pPr>
        <w:pStyle w:val="FootnoteText"/>
      </w:pPr>
      <w:r>
        <w:rPr>
          <w:rStyle w:val="FootnoteReference"/>
        </w:rPr>
        <w:footnoteRef/>
      </w:r>
      <w:r>
        <w:t xml:space="preserve"> </w:t>
      </w:r>
      <w:r>
        <w:t xml:space="preserve">Willis 2026, PMID 42752426.</w:t>
      </w:r>
    </w:p>
  </w:footnote>
  <w:footnote w:id="2965">
    <w:p>
      <w:pPr>
        <w:pStyle w:val="FootnoteText"/>
      </w:pPr>
      <w:r>
        <w:rPr>
          <w:rStyle w:val="FootnoteReference"/>
        </w:rPr>
        <w:footnoteRef/>
      </w:r>
      <w:r>
        <w:t xml:space="preserve"> </w:t>
      </w:r>
      <w:r>
        <w:t xml:space="preserve">Wei 2025, PMID 40787887.</w:t>
      </w:r>
    </w:p>
  </w:footnote>
  <w:footnote w:id="2966">
    <w:p>
      <w:pPr>
        <w:pStyle w:val="FootnoteText"/>
      </w:pPr>
      <w:r>
        <w:rPr>
          <w:rStyle w:val="FootnoteReference"/>
        </w:rPr>
        <w:footnoteRef/>
      </w:r>
      <w:r>
        <w:t xml:space="preserve"> </w:t>
      </w:r>
      <w:r>
        <w:t xml:space="preserve">Rettie 2025, PMID 40542165.</w:t>
      </w:r>
    </w:p>
  </w:footnote>
  <w:footnote w:id="2967">
    <w:p>
      <w:pPr>
        <w:pStyle w:val="FootnoteText"/>
      </w:pPr>
      <w:r>
        <w:rPr>
          <w:rStyle w:val="FootnoteReference"/>
        </w:rPr>
        <w:footnoteRef/>
      </w:r>
      <w:r>
        <w:t xml:space="preserve"> </w:t>
      </w:r>
      <w:r>
        <w:t xml:space="preserve">Wang 2025, PMID 39825096.</w:t>
      </w:r>
    </w:p>
  </w:footnote>
  <w:footnote w:id="2968">
    <w:p>
      <w:pPr>
        <w:pStyle w:val="FootnoteText"/>
      </w:pPr>
      <w:r>
        <w:rPr>
          <w:rStyle w:val="FootnoteReference"/>
        </w:rPr>
        <w:footnoteRef/>
      </w:r>
      <w:r>
        <w:t xml:space="preserve"> </w:t>
      </w:r>
      <w:r>
        <w:t xml:space="preserve">Johns 2023, PMID 37125593; NCT06008756.</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58 peptídeos, da semaglutida ao BPC-157: o que os estudos em humanos realmente mostram, quais riscos são conhecidos, qual é a situação legal e para onde caminha a pesquisa.</dc:description>
  <dc:language>pt-BR</dc:language>
  <dc:subject/>
  <cp:keywords/>
  <dcterms:created xsi:type="dcterms:W3CDTF">2026-10-29T19:07:28Z</dcterms:created>
  <dcterms:modified xsi:type="dcterms:W3CDTF">2026-10-29T19:07:28Z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
  </property>
  <property fmtid="{D5CDD505-2E9C-101B-9397-08002B2CF9AE}" pid="3" name="date">
    <vt:lpwstr>2026-11</vt:lpwstr>
  </property>
  <property fmtid="{D5CDD505-2E9C-101B-9397-08002B2CF9AE}" pid="4" name="rights">
    <vt:lpwstr>© 2026 Josef Gallab. Todos os direitos reservados.</vt:lpwstr>
  </property>
  <property fmtid="{D5CDD505-2E9C-101B-9397-08002B2CF9AE}" pid="5" name="toc-title">
    <vt:lpwstr>Sumário</vt:lpwstr>
  </property>
</Properties>
</file>