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№11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Зиязетдинов Алмаз, 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схему подсоединения локальной сети к Интернету.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модельные сети провайдера и сети Интернет (рис. 11.2).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схемы сетей L1, L2, L3.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именовании(см. раздел 2.5).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Схема подключения L1 (рис. 1).</w:t>
      </w:r>
    </w:p>
    <w:bookmarkStart w:id="25" w:name="fig:001"/>
    <w:p>
      <w:pPr>
        <w:pStyle w:val="CaptionedFigure"/>
      </w:pPr>
      <w:r>
        <w:drawing>
          <wp:inline>
            <wp:extent cx="4267200" cy="3457256"/>
            <wp:effectExtent b="0" l="0" r="0" t="0"/>
            <wp:docPr descr="Рис. 1: Схема подключения L1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5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подключения L1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Схема Vlan сети L2 (рис. 2).</w:t>
      </w:r>
    </w:p>
    <w:bookmarkStart w:id="29" w:name="fig:002"/>
    <w:p>
      <w:pPr>
        <w:pStyle w:val="CaptionedFigure"/>
      </w:pPr>
      <w:r>
        <w:drawing>
          <wp:inline>
            <wp:extent cx="4267200" cy="3454748"/>
            <wp:effectExtent b="0" l="0" r="0" t="0"/>
            <wp:docPr descr="Рис. 2: Схема L2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5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L2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Схема маршрутизации сети L3 (рис. 3).</w:t>
      </w:r>
    </w:p>
    <w:bookmarkStart w:id="33" w:name="fig:003"/>
    <w:p>
      <w:pPr>
        <w:pStyle w:val="CaptionedFigure"/>
      </w:pPr>
      <w:r>
        <w:drawing>
          <wp:inline>
            <wp:extent cx="4267200" cy="4253434"/>
            <wp:effectExtent b="0" l="0" r="0" t="0"/>
            <wp:docPr descr="Рис. 3: Схема маршрутизации сети L3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5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маршрутизации сети L3</w:t>
      </w:r>
    </w:p>
    <w:bookmarkEnd w:id="33"/>
    <w:p>
      <w:pPr>
        <w:pStyle w:val="BodyText"/>
      </w:pPr>
      <w:r>
        <w:t xml:space="preserve">Задание 1. Планирование сети с адресом 10.128.0.0/16 (рис. 4) (рис. 5) (рис. 6).</w:t>
      </w:r>
    </w:p>
    <w:bookmarkStart w:id="37" w:name="fig:004"/>
    <w:p>
      <w:pPr>
        <w:pStyle w:val="CaptionedFigure"/>
      </w:pPr>
      <w:r>
        <w:drawing>
          <wp:inline>
            <wp:extent cx="2849077" cy="1568917"/>
            <wp:effectExtent b="0" l="0" r="0" t="0"/>
            <wp:docPr descr="Рис. 4: Таблица VLA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156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Таблица VLAN</w:t>
      </w:r>
    </w:p>
    <w:bookmarkEnd w:id="37"/>
    <w:bookmarkStart w:id="41" w:name="fig:005"/>
    <w:p>
      <w:pPr>
        <w:pStyle w:val="CaptionedFigure"/>
      </w:pPr>
      <w:r>
        <w:drawing>
          <wp:inline>
            <wp:extent cx="3493970" cy="6612555"/>
            <wp:effectExtent b="0" l="0" r="0" t="0"/>
            <wp:docPr descr="Рис. 5: Таблица IP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661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Таблица IP</w:t>
      </w:r>
    </w:p>
    <w:bookmarkEnd w:id="41"/>
    <w:bookmarkStart w:id="45" w:name="fig:006"/>
    <w:p>
      <w:pPr>
        <w:pStyle w:val="CaptionedFigure"/>
      </w:pPr>
      <w:r>
        <w:drawing>
          <wp:inline>
            <wp:extent cx="4267200" cy="4178607"/>
            <wp:effectExtent b="0" l="0" r="0" t="0"/>
            <wp:docPr descr="Рис. 6: Таблица портов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7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Таблица портов</w:t>
      </w:r>
    </w:p>
    <w:bookmarkEnd w:id="45"/>
    <w:p>
      <w:pPr>
        <w:pStyle w:val="BodyText"/>
      </w:pPr>
      <w:r>
        <w:t xml:space="preserve">Построим сеть (рис. 7).</w:t>
      </w:r>
    </w:p>
    <w:bookmarkStart w:id="49" w:name="fig:007"/>
    <w:p>
      <w:pPr>
        <w:pStyle w:val="CaptionedFigure"/>
      </w:pPr>
      <w:r>
        <w:drawing>
          <wp:inline>
            <wp:extent cx="4267200" cy="3160530"/>
            <wp:effectExtent b="0" l="0" r="0" t="0"/>
            <wp:docPr descr="Рис. 7: Строим сеть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6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Строим сеть</w:t>
      </w:r>
    </w:p>
    <w:bookmarkEnd w:id="49"/>
    <w:p>
      <w:pPr>
        <w:pStyle w:val="BodyText"/>
      </w:pPr>
      <w:r>
        <w:t xml:space="preserve">Физическое размещение (рис. 8).</w:t>
      </w:r>
    </w:p>
    <w:bookmarkStart w:id="53" w:name="fig:008"/>
    <w:p>
      <w:pPr>
        <w:pStyle w:val="CaptionedFigure"/>
      </w:pPr>
      <w:r>
        <w:drawing>
          <wp:inline>
            <wp:extent cx="4267200" cy="3785492"/>
            <wp:effectExtent b="0" l="0" r="0" t="0"/>
            <wp:docPr descr="Рис. 8: Физическое размещение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8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Физическое размещение</w:t>
      </w:r>
    </w:p>
    <w:bookmarkEnd w:id="53"/>
    <w:p>
      <w:pPr>
        <w:pStyle w:val="BodyText"/>
      </w:pPr>
      <w:r>
        <w:t xml:space="preserve">Настройка DNS (рис. 9).</w:t>
      </w:r>
    </w:p>
    <w:bookmarkStart w:id="57" w:name="fig:009"/>
    <w:p>
      <w:pPr>
        <w:pStyle w:val="CaptionedFigure"/>
      </w:pPr>
      <w:r>
        <w:drawing>
          <wp:inline>
            <wp:extent cx="4267200" cy="3875386"/>
            <wp:effectExtent b="0" l="0" r="0" t="0"/>
            <wp:docPr descr="Рис. 9: Настройка DNS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7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DNS</w:t>
      </w:r>
    </w:p>
    <w:bookmarkEnd w:id="57"/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 Что такое Network Address Translation (NAT)?</w:t>
      </w:r>
      <w:r>
        <w:t xml:space="preserve"> </w:t>
      </w:r>
      <w:r>
        <w:t xml:space="preserve">это механизм в сетях TCP/IP, позволяющий преобразовывать IP-адреса транзитных пакетов</w:t>
      </w:r>
    </w:p>
    <w:p>
      <w:pPr>
        <w:pStyle w:val="BodyText"/>
      </w:pPr>
      <w:r>
        <w:t xml:space="preserve">2 Как определить, находится ли узел сети за NAT?</w:t>
      </w:r>
      <w:r>
        <w:t xml:space="preserve"> </w:t>
      </w:r>
      <w:r>
        <w:t xml:space="preserve">С компьютера обратиться к сайту определения IP-адреса, например яндекс.интернометр, SPEEDTEST, 2ip. Если адрес, показанный сервисом, отличается от адреса интерфейса компьютера, то используется NAT.</w:t>
      </w:r>
    </w:p>
    <w:p>
      <w:pPr>
        <w:pStyle w:val="BodyText"/>
      </w:pPr>
      <w:r>
        <w:t xml:space="preserve">3 Какое оборудование отвечает за преобразование адреса методом NAT?</w:t>
      </w:r>
      <w:r>
        <w:t xml:space="preserve"> </w:t>
      </w:r>
      <w:r>
        <w:t xml:space="preserve">Маршрутизатор</w:t>
      </w:r>
    </w:p>
    <w:p>
      <w:pPr>
        <w:pStyle w:val="BodyText"/>
      </w:pPr>
      <w:r>
        <w:t xml:space="preserve">4 В чём отличие статического, динамического и перегруженного NAT?</w:t>
      </w:r>
      <w:r>
        <w:t xml:space="preserve"> </w:t>
      </w:r>
      <w:r>
        <w:t xml:space="preserve">Статический NAT — Отображение незарегистрированного IP-адреса на зарегистрированный IP-адрес на основании один к одному. Особенно полезно, когда устройство должно быть доступным снаружи сети.</w:t>
      </w:r>
      <w:r>
        <w:t xml:space="preserve"> </w:t>
      </w:r>
      <w:r>
        <w:t xml:space="preserve">Динамический NAT — Отображает незарегистрированный IP-адрес на зарегистрированный адрес из группы зарегистрированных IP-адресов. Динамический NAT также устанавливает непосредственное отображение между незарегистрированными и зарегистрированными адресами, но отображение может меняться в зависимости от зарегистрированного адреса, доступного в пуле адресов, во время коммуникации.</w:t>
      </w:r>
      <w:r>
        <w:t xml:space="preserve"> </w:t>
      </w:r>
      <w:r>
        <w:t xml:space="preserve">Перегруженный NAT (NAPT, NAT Overload, PAT, маскарадинг) — форма динамического NAT, который отображает несколько незарегистрированных адресов в единственный зарегистрированный IP-адрес, используя различные порты. Известен также как PAT (Port Address Translation). При перегрузке каждый компьютер в частной сети транслируется в тот же самый адрес, но с различным номером порта.</w:t>
      </w:r>
    </w:p>
    <w:p>
      <w:pPr>
        <w:pStyle w:val="BodyText"/>
      </w:pPr>
      <w:r>
        <w:t xml:space="preserve">5 Охарактеризуйте типы NAT.</w:t>
      </w:r>
      <w:r>
        <w:t xml:space="preserve"> </w:t>
      </w:r>
      <w:r>
        <w:t xml:space="preserve">Симметричный NAT (Symmetric NAT) — трансляция, при которой каждое соединение, инициируемое парой «внутренний адрес: внутренний порт» преобразуется в свободную уникальную случайно выбранную пару «публичный адрес: публичный порт». При этом инициация соединения из публичной сети невозможна. Cone NAT, Full Cone NAT — Однозначная (взаимная) трансляция между парами «внутренний адрес: внутренний порт» и «публичный адрес: публичный порт». Любой внешний хост может инициировать соединение с внутренним хостом (если это разрешено в правилах межсетевого экрана).</w:t>
      </w:r>
      <w:r>
        <w:t xml:space="preserve"> </w:t>
      </w:r>
      <w:r>
        <w:t xml:space="preserve">Address-Restricted cone NAT, Restricted cone NAT — Постоянная трансляция между парой «внутренний адрес: внутренний порт» и «публичный адрес: публичный порт». Любое соединение, инициированное с внутреннего адреса, позволяет в дальнейшем получать ему пакеты с любого порта того публичного хоста, к которому он отправлял пакет(ы) ранее.</w:t>
      </w:r>
      <w:r>
        <w:t xml:space="preserve"> </w:t>
      </w:r>
      <w:r>
        <w:t xml:space="preserve">Port-Restricted cone NAT — Трансляция между парой «внутренний адрес: внутренний порт» и «публичный адрес: публичный порт», при которой входящие пакеты проходят на внутренний хост только с одного порта публичного хоста — того, на который внутренний хост уже посылал пакет.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выполнению данной лабораторной работы, мы провели подготовительные мероприятия по подключению локальной сети организации к Интернету.</w:t>
      </w:r>
    </w:p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Зиязетдинов Алмаз, НПИбд-01-22</dc:creator>
  <dc:language>ru-RU</dc:language>
  <cp:keywords/>
  <dcterms:created xsi:type="dcterms:W3CDTF">2025-06-18T22:22:56Z</dcterms:created>
  <dcterms:modified xsi:type="dcterms:W3CDTF">2025-06-18T22:22:56Z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