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CBA" w:rsidRDefault="00776CBA">
      <w:pPr>
        <w:rPr>
          <w:b/>
        </w:rPr>
      </w:pPr>
      <w:r>
        <w:rPr>
          <w:b/>
        </w:rPr>
        <w:t>Introduction</w:t>
      </w:r>
    </w:p>
    <w:p w:rsidR="00776CBA" w:rsidRDefault="00776CBA"/>
    <w:p w:rsidR="00776CBA" w:rsidRDefault="00D822C3">
      <w:proofErr w:type="spellStart"/>
      <w:r>
        <w:rPr>
          <w:i/>
        </w:rPr>
        <w:t>Parnassius</w:t>
      </w:r>
      <w:proofErr w:type="spellEnd"/>
      <w:r>
        <w:rPr>
          <w:i/>
        </w:rPr>
        <w:t xml:space="preserve"> </w:t>
      </w:r>
      <w:proofErr w:type="spellStart"/>
      <w:r>
        <w:rPr>
          <w:i/>
        </w:rPr>
        <w:t>clodius</w:t>
      </w:r>
      <w:proofErr w:type="spellEnd"/>
      <w:r>
        <w:t xml:space="preserve"> is a high-altitude butterfly species found in the western United States and Canada.  </w:t>
      </w:r>
      <w:r w:rsidR="00FB1F84">
        <w:t>Grand Teton National Park</w:t>
      </w:r>
      <w:r w:rsidR="00FB1F84">
        <w:t xml:space="preserve"> (GTNP)</w:t>
      </w:r>
      <w:r w:rsidR="00FB1F84">
        <w:t xml:space="preserve"> is a roughly rectangular area in northwestern Wyoming measuring 70km in length and 15km in width, with </w:t>
      </w:r>
      <w:r w:rsidR="00FC1479">
        <w:t>elevations</w:t>
      </w:r>
      <w:r w:rsidR="00FB1F84">
        <w:t xml:space="preserve"> ranging from 2,073m at the Visitor’s Center to 4,198m at the summit of Grand Teton </w:t>
      </w:r>
      <w:proofErr w:type="gramStart"/>
      <w:r w:rsidR="00FB1F84">
        <w:t>mountain</w:t>
      </w:r>
      <w:proofErr w:type="gramEnd"/>
      <w:r w:rsidR="00FB1F84">
        <w:t xml:space="preserve">.  </w:t>
      </w:r>
      <w:r w:rsidR="00FB1F84">
        <w:t>GTNP</w:t>
      </w:r>
      <w:r>
        <w:t xml:space="preserve"> supports a population of </w:t>
      </w:r>
      <w:r>
        <w:rPr>
          <w:i/>
        </w:rPr>
        <w:t xml:space="preserve">P. </w:t>
      </w:r>
      <w:proofErr w:type="spellStart"/>
      <w:r>
        <w:rPr>
          <w:i/>
        </w:rPr>
        <w:t>clodius</w:t>
      </w:r>
      <w:proofErr w:type="spellEnd"/>
      <w:r>
        <w:t xml:space="preserve"> butterflies in approximately 40 meadow sites, however none of these sites </w:t>
      </w:r>
      <w:r w:rsidR="00FB1F84">
        <w:t>have large population sizes</w:t>
      </w:r>
      <w:r w:rsidR="00CC2D2B">
        <w:t>: surveys in 2013 found 11 sites with ~25 butterflies observed per survey, and 21 sites with ~3 butterflies observed per survey</w:t>
      </w:r>
      <w:r>
        <w:t xml:space="preserve"> </w:t>
      </w:r>
      <w:r w:rsidR="00CC2D2B">
        <w:t>(unpublished data).  Meadow habitat in the park tends to be surrounded and isolated by forested areas, lakes, and anthropogenic development</w:t>
      </w:r>
      <w:r w:rsidR="00FC1479">
        <w:t>, and meadow elevations differ by as much as 500m, affecting phenology</w:t>
      </w:r>
      <w:r w:rsidR="00CC2D2B">
        <w:t xml:space="preserve">.  Because habitat areas can be isolated, and because some sub-populations seem to be small, loss of genetic diversity in smaller subpopulations is a concern for this </w:t>
      </w:r>
      <w:r w:rsidR="008048A9">
        <w:t>species</w:t>
      </w:r>
      <w:r w:rsidR="00CC2D2B">
        <w:t>.</w:t>
      </w:r>
      <w:r w:rsidR="00FB1F84">
        <w:t xml:space="preserve">  As a result, information about genetic </w:t>
      </w:r>
      <w:r w:rsidR="007876C3">
        <w:t xml:space="preserve">relatedness </w:t>
      </w:r>
      <w:r w:rsidR="00FB1F84">
        <w:t>among sub-populations is of interest to conservation biologists.</w:t>
      </w:r>
    </w:p>
    <w:p w:rsidR="00FB1F84" w:rsidRDefault="00FB1F84"/>
    <w:p w:rsidR="00712411" w:rsidRDefault="00FB1F84">
      <w:r>
        <w:t xml:space="preserve">This project </w:t>
      </w:r>
      <w:r w:rsidR="007876C3">
        <w:t xml:space="preserve">uses molecular phylogenetic techniques to investigate the relatedness of 23 sub-populations of </w:t>
      </w:r>
      <w:r w:rsidR="007876C3">
        <w:rPr>
          <w:i/>
        </w:rPr>
        <w:t xml:space="preserve">P. </w:t>
      </w:r>
      <w:proofErr w:type="spellStart"/>
      <w:r w:rsidR="007876C3">
        <w:rPr>
          <w:i/>
        </w:rPr>
        <w:t>clodius</w:t>
      </w:r>
      <w:proofErr w:type="spellEnd"/>
      <w:r w:rsidR="007876C3">
        <w:rPr>
          <w:i/>
        </w:rPr>
        <w:t xml:space="preserve"> </w:t>
      </w:r>
      <w:r w:rsidR="007876C3">
        <w:t xml:space="preserve">in GTNP </w:t>
      </w:r>
      <w:r>
        <w:t>(</w:t>
      </w:r>
      <w:r w:rsidRPr="00FB1F84">
        <w:rPr>
          <w:highlight w:val="yellow"/>
        </w:rPr>
        <w:t>map figure</w:t>
      </w:r>
      <w:r>
        <w:t>)</w:t>
      </w:r>
      <w:r w:rsidR="00FC1479">
        <w:t xml:space="preserve">.  Because </w:t>
      </w:r>
      <w:r w:rsidR="007876C3">
        <w:t>habitat areas are contained within</w:t>
      </w:r>
      <w:r w:rsidR="00FC1479">
        <w:t xml:space="preserve"> a national park, </w:t>
      </w:r>
      <w:r w:rsidR="000A0791">
        <w:t xml:space="preserve">they </w:t>
      </w:r>
      <w:r w:rsidR="00FC1479">
        <w:t xml:space="preserve">are highly managed and not subject to </w:t>
      </w:r>
      <w:r w:rsidR="007876C3">
        <w:t xml:space="preserve">the </w:t>
      </w:r>
      <w:r w:rsidR="00FC1479">
        <w:t>rapid environmental change experienced by many other</w:t>
      </w:r>
      <w:r w:rsidR="007876C3">
        <w:t xml:space="preserve"> areas in the United States over the past century.  It seems reasonable to assume, therefore, that genetic change in this population is due primarily to neutral forces such as mutation and drift.  </w:t>
      </w:r>
      <w:r w:rsidR="0087436D">
        <w:t xml:space="preserve">The most well-established distance measure for populations was developed by </w:t>
      </w:r>
      <w:proofErr w:type="spellStart"/>
      <w:r w:rsidR="0087436D">
        <w:t>Nei</w:t>
      </w:r>
      <w:proofErr w:type="spellEnd"/>
      <w:r w:rsidR="0087436D">
        <w:t xml:space="preserve"> (1972), and accounts </w:t>
      </w:r>
      <w:r w:rsidR="00712411">
        <w:t>for both mutation and drift:</w:t>
      </w:r>
    </w:p>
    <w:p w:rsidR="00712411" w:rsidRDefault="00712411" w:rsidP="00712411">
      <w:pPr>
        <w:jc w:val="center"/>
      </w:pPr>
      <w:r>
        <w:rPr>
          <w:noProof/>
        </w:rPr>
        <w:drawing>
          <wp:inline distT="0" distB="0" distL="0" distR="0">
            <wp:extent cx="2459736"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sDistFormula_sm.png"/>
                    <pic:cNvPicPr/>
                  </pic:nvPicPr>
                  <pic:blipFill>
                    <a:blip r:embed="rId6">
                      <a:extLst>
                        <a:ext uri="{28A0092B-C50C-407E-A947-70E740481C1C}">
                          <a14:useLocalDpi xmlns:a14="http://schemas.microsoft.com/office/drawing/2010/main" val="0"/>
                        </a:ext>
                      </a:extLst>
                    </a:blip>
                    <a:stretch>
                      <a:fillRect/>
                    </a:stretch>
                  </pic:blipFill>
                  <pic:spPr>
                    <a:xfrm>
                      <a:off x="0" y="0"/>
                      <a:ext cx="2459736" cy="365760"/>
                    </a:xfrm>
                    <a:prstGeom prst="rect">
                      <a:avLst/>
                    </a:prstGeom>
                  </pic:spPr>
                </pic:pic>
              </a:graphicData>
            </a:graphic>
          </wp:inline>
        </w:drawing>
      </w:r>
    </w:p>
    <w:p w:rsidR="00712411" w:rsidRDefault="00712411"/>
    <w:p w:rsidR="00712411" w:rsidRDefault="00712411">
      <w:proofErr w:type="gramStart"/>
      <w:r>
        <w:t>where</w:t>
      </w:r>
      <w:proofErr w:type="gramEnd"/>
      <w:r>
        <w:t xml:space="preserve"> </w:t>
      </w:r>
      <w:r w:rsidRPr="00712411">
        <w:rPr>
          <w:i/>
        </w:rPr>
        <w:t>X</w:t>
      </w:r>
      <w:r w:rsidRPr="00712411">
        <w:rPr>
          <w:i/>
          <w:vertAlign w:val="subscript"/>
        </w:rPr>
        <w:t>u</w:t>
      </w:r>
      <w:r>
        <w:t xml:space="preserve"> and </w:t>
      </w:r>
      <w:r w:rsidRPr="00712411">
        <w:rPr>
          <w:i/>
        </w:rPr>
        <w:t>Y</w:t>
      </w:r>
      <w:r w:rsidRPr="00712411">
        <w:rPr>
          <w:i/>
          <w:vertAlign w:val="subscript"/>
        </w:rPr>
        <w:t>u</w:t>
      </w:r>
      <w:r>
        <w:t xml:space="preserve"> represent the </w:t>
      </w:r>
      <w:proofErr w:type="spellStart"/>
      <w:r w:rsidRPr="00712411">
        <w:rPr>
          <w:i/>
        </w:rPr>
        <w:t>u</w:t>
      </w:r>
      <w:r w:rsidRPr="00712411">
        <w:rPr>
          <w:i/>
          <w:vertAlign w:val="superscript"/>
        </w:rPr>
        <w:t>th</w:t>
      </w:r>
      <w:proofErr w:type="spellEnd"/>
      <w:r>
        <w:t xml:space="preserve"> allele frequency at the </w:t>
      </w:r>
      <w:r w:rsidRPr="00712411">
        <w:rPr>
          <w:i/>
        </w:rPr>
        <w:t>l</w:t>
      </w:r>
      <w:r w:rsidRPr="00712411">
        <w:rPr>
          <w:i/>
          <w:vertAlign w:val="superscript"/>
        </w:rPr>
        <w:t>th</w:t>
      </w:r>
      <w:r>
        <w:t xml:space="preserve"> locus in sub-populations </w:t>
      </w:r>
      <w:r w:rsidRPr="00712411">
        <w:rPr>
          <w:i/>
        </w:rPr>
        <w:t>X</w:t>
      </w:r>
      <w:r>
        <w:t xml:space="preserve"> and </w:t>
      </w:r>
      <w:r>
        <w:rPr>
          <w:i/>
        </w:rPr>
        <w:t>Y</w:t>
      </w:r>
      <w:r>
        <w:t xml:space="preserve"> respectively.  An alternative model for genetic change was developed by Reynolds (19</w:t>
      </w:r>
      <w:r w:rsidR="00055398">
        <w:t xml:space="preserve">83) based on the </w:t>
      </w:r>
      <w:proofErr w:type="spellStart"/>
      <w:r>
        <w:t>coancestry</w:t>
      </w:r>
      <w:proofErr w:type="spellEnd"/>
      <w:r>
        <w:t xml:space="preserve"> coefficient</w:t>
      </w:r>
      <w:r w:rsidR="00055398">
        <w:t xml:space="preserve"> </w:t>
      </w:r>
      <w:r w:rsidR="00055398" w:rsidRPr="00055398">
        <w:rPr>
          <w:i/>
        </w:rPr>
        <w:t>θ</w:t>
      </w:r>
      <w:r w:rsidR="00055398">
        <w:t xml:space="preserve">: the probability that a random pair of genes at the same locus within a randomly chosen population are identical by descent.  Reynolds’ distance measure based on </w:t>
      </w:r>
      <w:r w:rsidR="00055398" w:rsidRPr="00055398">
        <w:rPr>
          <w:i/>
        </w:rPr>
        <w:t>θ</w:t>
      </w:r>
      <w:r w:rsidR="00055398">
        <w:t xml:space="preserve"> </w:t>
      </w:r>
      <w:r>
        <w:t>accounts for drift but not mutation:</w:t>
      </w:r>
    </w:p>
    <w:p w:rsidR="00712411" w:rsidRDefault="00712411"/>
    <w:p w:rsidR="00712411" w:rsidRDefault="00712411" w:rsidP="00712411">
      <w:pPr>
        <w:jc w:val="center"/>
      </w:pPr>
      <w:r>
        <w:rPr>
          <w:noProof/>
        </w:rPr>
        <w:drawing>
          <wp:inline distT="0" distB="0" distL="0" distR="0">
            <wp:extent cx="2505456" cy="4297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ynoldsDistFormula.png"/>
                    <pic:cNvPicPr/>
                  </pic:nvPicPr>
                  <pic:blipFill>
                    <a:blip r:embed="rId7">
                      <a:extLst>
                        <a:ext uri="{28A0092B-C50C-407E-A947-70E740481C1C}">
                          <a14:useLocalDpi xmlns:a14="http://schemas.microsoft.com/office/drawing/2010/main" val="0"/>
                        </a:ext>
                      </a:extLst>
                    </a:blip>
                    <a:stretch>
                      <a:fillRect/>
                    </a:stretch>
                  </pic:blipFill>
                  <pic:spPr>
                    <a:xfrm>
                      <a:off x="0" y="0"/>
                      <a:ext cx="2505456" cy="429768"/>
                    </a:xfrm>
                    <a:prstGeom prst="rect">
                      <a:avLst/>
                    </a:prstGeom>
                  </pic:spPr>
                </pic:pic>
              </a:graphicData>
            </a:graphic>
          </wp:inline>
        </w:drawing>
      </w:r>
    </w:p>
    <w:p w:rsidR="00712411" w:rsidRPr="00712411" w:rsidRDefault="00712411"/>
    <w:p w:rsidR="00055398" w:rsidRPr="00DC48B7" w:rsidRDefault="00124F38">
      <w:r>
        <w:t>Algorithms for building phylogenetic trees, such as the neighbor-joining and UPGMA algorithms, are essentially dependent on the distance matrices from which they are built; getting the distance matrix right is therefore critical to phylogenetic analysis.  The two distance measures described above represent two different models for genetic change in populations</w:t>
      </w:r>
      <w:r w:rsidR="00DC48B7">
        <w:t xml:space="preserve">—this project will compare trees built from these two distance matrices.  Several hypotheses regarding the relatedness of the 23 </w:t>
      </w:r>
      <w:r w:rsidR="00DC48B7">
        <w:rPr>
          <w:i/>
        </w:rPr>
        <w:t xml:space="preserve">P. </w:t>
      </w:r>
      <w:proofErr w:type="spellStart"/>
      <w:r w:rsidR="00DC48B7">
        <w:rPr>
          <w:i/>
        </w:rPr>
        <w:t>clodius</w:t>
      </w:r>
      <w:proofErr w:type="spellEnd"/>
      <w:r w:rsidR="00DC48B7">
        <w:t xml:space="preserve"> populations present themselves: 1) </w:t>
      </w:r>
      <w:proofErr w:type="spellStart"/>
      <w:r w:rsidR="00DC48B7">
        <w:t>Panmixia</w:t>
      </w:r>
      <w:proofErr w:type="spellEnd"/>
      <w:r w:rsidR="00DC48B7">
        <w:t xml:space="preserve">, in which all sub-populations randomly mate with all other sub-populations and all sub-populations are equally related to all others.  2) An island-mainland model, in which one large population serves as a source for smaller sink </w:t>
      </w:r>
      <w:r w:rsidR="00DC48B7">
        <w:lastRenderedPageBreak/>
        <w:t>populations.  This model is plausible, as there is one population in GTNP—the Pilgrim Creek population—that seems much larger than the others.  The Pilgrim Creek population may therefore serve as a mainland source to the rest of the smaller island sink populations.  3) A stepping stone model, in which populations that are closer together in space are more closely related genetically.  And, 4) an isolated-population model</w:t>
      </w:r>
      <w:r w:rsidR="00527C3D">
        <w:t>,</w:t>
      </w:r>
      <w:r w:rsidR="00DC48B7">
        <w:t xml:space="preserve"> in which most sub-populations interbreed, but a small number of sub-populations are isolated by landscape features or phenology and are therefore more distant genetically to the larger group of interbreeding populations.</w:t>
      </w:r>
    </w:p>
    <w:p w:rsidR="00FB1F84" w:rsidRDefault="00FB1F84"/>
    <w:p w:rsidR="00D96FDE" w:rsidRPr="00A03C23" w:rsidRDefault="00D96FDE">
      <w:pPr>
        <w:rPr>
          <w:b/>
        </w:rPr>
      </w:pPr>
      <w:r w:rsidRPr="00A03C23">
        <w:rPr>
          <w:b/>
        </w:rPr>
        <w:t>Methods</w:t>
      </w:r>
    </w:p>
    <w:p w:rsidR="00655730" w:rsidRDefault="00655730"/>
    <w:p w:rsidR="00655730" w:rsidRPr="00655730" w:rsidRDefault="00655730">
      <w:pPr>
        <w:rPr>
          <w:i/>
        </w:rPr>
      </w:pPr>
      <w:r>
        <w:rPr>
          <w:i/>
        </w:rPr>
        <w:t xml:space="preserve">Sample collection, </w:t>
      </w:r>
      <w:r w:rsidRPr="00655730">
        <w:rPr>
          <w:i/>
        </w:rPr>
        <w:t>DNA preparation</w:t>
      </w:r>
      <w:r>
        <w:rPr>
          <w:i/>
        </w:rPr>
        <w:t>,</w:t>
      </w:r>
      <w:r w:rsidRPr="00655730">
        <w:rPr>
          <w:i/>
        </w:rPr>
        <w:t xml:space="preserve"> and genotyping-by-sequencing</w:t>
      </w:r>
    </w:p>
    <w:p w:rsidR="00655730" w:rsidRDefault="00C14AA5" w:rsidP="00655730">
      <w:r>
        <w:t xml:space="preserve">In </w:t>
      </w:r>
      <w:r w:rsidR="00E80CEF">
        <w:t xml:space="preserve">June and July of </w:t>
      </w:r>
      <w:r>
        <w:t xml:space="preserve">2016, 220 samples were collected from 39 unique </w:t>
      </w:r>
      <w:r w:rsidR="00E80CEF">
        <w:t xml:space="preserve">meadow </w:t>
      </w:r>
      <w:r>
        <w:t>sites using aerial nets and leg removal (</w:t>
      </w:r>
      <w:r w:rsidR="00B505F7">
        <w:t xml:space="preserve">NPS </w:t>
      </w:r>
      <w:r>
        <w:t xml:space="preserve">permit GTRE-2016-SCI-0020).  </w:t>
      </w:r>
      <w:r w:rsidR="00655730">
        <w:t xml:space="preserve">DNA was isolated with the </w:t>
      </w:r>
      <w:proofErr w:type="spellStart"/>
      <w:r w:rsidR="00655730">
        <w:t>Qiagen</w:t>
      </w:r>
      <w:proofErr w:type="spellEnd"/>
      <w:r w:rsidR="00655730">
        <w:t xml:space="preserve"> </w:t>
      </w:r>
      <w:proofErr w:type="spellStart"/>
      <w:r w:rsidR="00655730">
        <w:t>DNeasy</w:t>
      </w:r>
      <w:proofErr w:type="spellEnd"/>
      <w:r w:rsidR="00655730">
        <w:t xml:space="preserve"> Blood &amp; T</w:t>
      </w:r>
      <w:r w:rsidR="00655730">
        <w:t>issue Kit (</w:t>
      </w:r>
      <w:proofErr w:type="spellStart"/>
      <w:r w:rsidR="00655730">
        <w:t>Qiagen</w:t>
      </w:r>
      <w:proofErr w:type="spellEnd"/>
      <w:r w:rsidR="00655730">
        <w:t xml:space="preserve">, Valencia CA).  </w:t>
      </w:r>
      <w:r w:rsidR="00655730">
        <w:t xml:space="preserve">At least 50ng genomic DNA for each sample was used for library preparation. DNA was digested with the restriction enzyme </w:t>
      </w:r>
      <w:proofErr w:type="spellStart"/>
      <w:r w:rsidR="00655730">
        <w:t>ApeKI</w:t>
      </w:r>
      <w:proofErr w:type="spellEnd"/>
      <w:r w:rsidR="00655730">
        <w:t xml:space="preserve">, Illumina adapters and unique barcode adapters were ligated to the digested fragments, and fragments were pooled across individuals and amplified with the Illumina </w:t>
      </w:r>
      <w:proofErr w:type="spellStart"/>
      <w:r w:rsidR="00655730">
        <w:t>Solexa</w:t>
      </w:r>
      <w:proofErr w:type="spellEnd"/>
      <w:r w:rsidR="00655730">
        <w:t xml:space="preserve"> PCR protocol. Samples were divided among three 96-well plates and sequenced as 100 </w:t>
      </w:r>
      <w:proofErr w:type="spellStart"/>
      <w:r w:rsidR="00655730">
        <w:t>bp</w:t>
      </w:r>
      <w:proofErr w:type="spellEnd"/>
      <w:r w:rsidR="00655730">
        <w:t xml:space="preserve"> </w:t>
      </w:r>
      <w:proofErr w:type="gramStart"/>
      <w:r w:rsidR="00655730">
        <w:t>single-end</w:t>
      </w:r>
      <w:proofErr w:type="gramEnd"/>
      <w:r w:rsidR="00655730">
        <w:t xml:space="preserve"> reads, each in one lane of an Illumina </w:t>
      </w:r>
      <w:proofErr w:type="spellStart"/>
      <w:r w:rsidR="00655730">
        <w:t>HiSeq</w:t>
      </w:r>
      <w:proofErr w:type="spellEnd"/>
      <w:r w:rsidR="00655730">
        <w:t xml:space="preserve"> 2000 (Illumina, San Diego, CA) sequencing system at the University of Wisconsin-Madison Biotechnology Center.</w:t>
      </w:r>
    </w:p>
    <w:p w:rsidR="00655730" w:rsidRDefault="00655730" w:rsidP="00655730"/>
    <w:p w:rsidR="00655730" w:rsidRPr="00655730" w:rsidRDefault="00655730" w:rsidP="00655730">
      <w:pPr>
        <w:rPr>
          <w:i/>
        </w:rPr>
      </w:pPr>
      <w:r w:rsidRPr="00655730">
        <w:rPr>
          <w:i/>
        </w:rPr>
        <w:t>SNP identification</w:t>
      </w:r>
    </w:p>
    <w:p w:rsidR="00D96FDE" w:rsidRDefault="00655730" w:rsidP="00655730">
      <w:r>
        <w:t xml:space="preserve">Single-end reads were </w:t>
      </w:r>
      <w:proofErr w:type="spellStart"/>
      <w:r>
        <w:t>demultiplexed</w:t>
      </w:r>
      <w:proofErr w:type="spellEnd"/>
      <w:r>
        <w:t xml:space="preserve"> according to each unique barcode adapter using the </w:t>
      </w:r>
      <w:proofErr w:type="spellStart"/>
      <w:r>
        <w:t>process_radtags</w:t>
      </w:r>
      <w:proofErr w:type="spellEnd"/>
      <w:r>
        <w:t xml:space="preserve"> script from STACKS v1.44 (</w:t>
      </w:r>
      <w:proofErr w:type="spellStart"/>
      <w:r>
        <w:t>Catchen</w:t>
      </w:r>
      <w:proofErr w:type="spellEnd"/>
      <w:r>
        <w:t xml:space="preserve"> et al. 2013).</w:t>
      </w:r>
      <w:r>
        <w:t xml:space="preserve"> </w:t>
      </w:r>
      <w:r>
        <w:t xml:space="preserve">Single nucleotide polymorphisms (SNPs) were filtered in STACKS based on three criteria: 1) loci needed to have at least 8x sequencing depth, 2) loci had to be represented in 70% of all populations, and 3) loci were represented in 30% or more individuals per population. </w:t>
      </w:r>
      <w:r>
        <w:t>S</w:t>
      </w:r>
      <w:r>
        <w:t xml:space="preserve">NP genotypes were output to a VCF file prior to running </w:t>
      </w:r>
      <w:proofErr w:type="spellStart"/>
      <w:r>
        <w:t>rxstacks</w:t>
      </w:r>
      <w:proofErr w:type="spellEnd"/>
      <w:r>
        <w:t xml:space="preserve"> data filtering, resulting in 42,215 SNPs in all 217 individuals. These data were processed in </w:t>
      </w:r>
      <w:proofErr w:type="spellStart"/>
      <w:r>
        <w:t>LinkImputeR</w:t>
      </w:r>
      <w:proofErr w:type="spellEnd"/>
      <w:r>
        <w:t xml:space="preserve"> (Money et al. 2015), which imputed missing genotype data after filtering for minor allele frequency (&gt;0.05), percent missing data at loci (no greater than 70%), and Hardy-Weinberg deviations (p=0.01), producing a complete dataset with &gt;95% accuracy in genotype calls. The complete dataset includes 1,0</w:t>
      </w:r>
      <w:r>
        <w:t>01 SNP loci in 146 individuals.</w:t>
      </w:r>
    </w:p>
    <w:p w:rsidR="00C14AA5" w:rsidRDefault="00C14AA5"/>
    <w:p w:rsidR="00D96FDE" w:rsidRPr="00105F21" w:rsidRDefault="00D96FDE">
      <w:pPr>
        <w:rPr>
          <w:i/>
        </w:rPr>
      </w:pPr>
      <w:r w:rsidRPr="00105F21">
        <w:rPr>
          <w:i/>
        </w:rPr>
        <w:t>Phylogenetic analysis</w:t>
      </w:r>
    </w:p>
    <w:p w:rsidR="00105F21" w:rsidRDefault="00D96FDE">
      <w:r>
        <w:t xml:space="preserve">All analyses were conducted in R version 4.0.2.  </w:t>
      </w:r>
      <w:r w:rsidR="00BA7A57">
        <w:t>Final pipeline files in .</w:t>
      </w:r>
      <w:proofErr w:type="spellStart"/>
      <w:r w:rsidR="00BA7A57">
        <w:t>vcf</w:t>
      </w:r>
      <w:proofErr w:type="spellEnd"/>
      <w:r w:rsidR="00BA7A57">
        <w:t xml:space="preserve"> format were imported into R and converted first to a </w:t>
      </w:r>
      <w:proofErr w:type="spellStart"/>
      <w:r w:rsidR="00BA7A57" w:rsidRPr="00BA7A57">
        <w:rPr>
          <w:rFonts w:ascii="Consolas" w:hAnsi="Consolas"/>
          <w:sz w:val="20"/>
          <w:szCs w:val="20"/>
        </w:rPr>
        <w:t>genind</w:t>
      </w:r>
      <w:proofErr w:type="spellEnd"/>
      <w:r w:rsidR="00BA7A57">
        <w:t xml:space="preserve"> object, then to a </w:t>
      </w:r>
      <w:proofErr w:type="spellStart"/>
      <w:r w:rsidR="00BA7A57" w:rsidRPr="00BA7A57">
        <w:rPr>
          <w:rFonts w:ascii="Consolas" w:hAnsi="Consolas"/>
          <w:sz w:val="20"/>
          <w:szCs w:val="20"/>
        </w:rPr>
        <w:t>genpop</w:t>
      </w:r>
      <w:proofErr w:type="spellEnd"/>
      <w:r w:rsidR="00BA7A57">
        <w:t xml:space="preserve"> object with population annotations using the package </w:t>
      </w:r>
      <w:proofErr w:type="spellStart"/>
      <w:r w:rsidR="00BA7A57" w:rsidRPr="00BA7A57">
        <w:rPr>
          <w:b/>
        </w:rPr>
        <w:t>adegenet</w:t>
      </w:r>
      <w:proofErr w:type="spellEnd"/>
      <w:r w:rsidR="00BA7A57" w:rsidRPr="00BA7A57">
        <w:t xml:space="preserve"> (</w:t>
      </w:r>
      <w:r w:rsidR="00BA7A57" w:rsidRPr="00BA7A57">
        <w:rPr>
          <w:highlight w:val="yellow"/>
        </w:rPr>
        <w:t>citation</w:t>
      </w:r>
      <w:r w:rsidR="00BA7A57" w:rsidRPr="00BA7A57">
        <w:t>)</w:t>
      </w:r>
      <w:r w:rsidR="00BA7A57">
        <w:t xml:space="preserve">.  </w:t>
      </w:r>
      <w:r>
        <w:t xml:space="preserve">Distance measures were calculated using the </w:t>
      </w:r>
      <w:proofErr w:type="spellStart"/>
      <w:r w:rsidR="00BA7A57">
        <w:rPr>
          <w:rFonts w:ascii="Consolas" w:hAnsi="Consolas"/>
          <w:sz w:val="20"/>
          <w:szCs w:val="20"/>
        </w:rPr>
        <w:t>dist.gen</w:t>
      </w:r>
      <w:r w:rsidR="00BA7A57" w:rsidRPr="00BA7A57">
        <w:rPr>
          <w:rFonts w:ascii="Consolas" w:hAnsi="Consolas"/>
          <w:sz w:val="20"/>
          <w:szCs w:val="20"/>
        </w:rPr>
        <w:t>pop</w:t>
      </w:r>
      <w:proofErr w:type="spellEnd"/>
      <w:r w:rsidR="00BA7A57">
        <w:t xml:space="preserve"> function in the package </w:t>
      </w:r>
      <w:proofErr w:type="spellStart"/>
      <w:r w:rsidR="00BA7A57" w:rsidRPr="00BA7A57">
        <w:rPr>
          <w:b/>
        </w:rPr>
        <w:t>adegenet</w:t>
      </w:r>
      <w:proofErr w:type="spellEnd"/>
      <w:r w:rsidR="00105F21" w:rsidRPr="00105F21">
        <w:t xml:space="preserve"> with </w:t>
      </w:r>
      <w:r w:rsidR="00105F21">
        <w:t xml:space="preserve">options as appropriate for </w:t>
      </w:r>
      <w:proofErr w:type="spellStart"/>
      <w:r w:rsidR="00105F21">
        <w:t>Nei’s</w:t>
      </w:r>
      <w:proofErr w:type="spellEnd"/>
      <w:r w:rsidR="00105F21">
        <w:t xml:space="preserve"> and Reynolds’ distance measures.  To test if different distances measures ranked pairwise</w:t>
      </w:r>
      <w:r w:rsidR="00090A50">
        <w:t xml:space="preserve"> site</w:t>
      </w:r>
      <w:r w:rsidR="00105F21">
        <w:t xml:space="preserve"> distances similarly, I conducted a Kendall concordance test using the </w:t>
      </w:r>
      <w:proofErr w:type="spellStart"/>
      <w:r w:rsidR="00105F21" w:rsidRPr="00105F21">
        <w:rPr>
          <w:rFonts w:ascii="Consolas" w:hAnsi="Consolas"/>
          <w:sz w:val="20"/>
          <w:szCs w:val="20"/>
        </w:rPr>
        <w:t>kendall.global</w:t>
      </w:r>
      <w:proofErr w:type="spellEnd"/>
      <w:r w:rsidR="00105F21">
        <w:t xml:space="preserve"> function in </w:t>
      </w:r>
      <w:r w:rsidR="00105F21" w:rsidRPr="00105F21">
        <w:rPr>
          <w:b/>
        </w:rPr>
        <w:t>vegan</w:t>
      </w:r>
      <w:r w:rsidR="00105F21">
        <w:t xml:space="preserve"> (</w:t>
      </w:r>
      <w:r w:rsidR="00105F21" w:rsidRPr="00105F21">
        <w:rPr>
          <w:highlight w:val="yellow"/>
        </w:rPr>
        <w:t>citation</w:t>
      </w:r>
      <w:r w:rsidR="00105F21">
        <w:t xml:space="preserve">), where the two distance measures were the </w:t>
      </w:r>
      <w:r w:rsidR="009A0B6A">
        <w:t xml:space="preserve">judges </w:t>
      </w:r>
      <w:r w:rsidR="00105F21">
        <w:t>ranking average pairwise distances for each site.  The null hypothesis for a Kendall’s concordance test is that the ranking of sites by the two judges is no more concordant than would be expected by random chance (</w:t>
      </w:r>
      <w:r w:rsidR="00105F21" w:rsidRPr="00105F21">
        <w:rPr>
          <w:highlight w:val="yellow"/>
        </w:rPr>
        <w:t>citation</w:t>
      </w:r>
      <w:r w:rsidR="00105F21">
        <w:t xml:space="preserve">).  </w:t>
      </w:r>
    </w:p>
    <w:p w:rsidR="00105F21" w:rsidRDefault="00105F21"/>
    <w:p w:rsidR="00105F21" w:rsidRDefault="00105F21" w:rsidP="00105F21">
      <w:r>
        <w:t>Geographic distances between sites were calculated based on latitude and longitude recorded using a Trimble</w:t>
      </w:r>
      <w:r w:rsidR="00E80CEF">
        <w:t xml:space="preserve">© </w:t>
      </w:r>
      <w:r>
        <w:t xml:space="preserve">Geo 7x handheld GPS unit during field work.  Geodesic distances were calculated using the </w:t>
      </w:r>
      <w:proofErr w:type="spellStart"/>
      <w:r w:rsidRPr="002B798A">
        <w:rPr>
          <w:rFonts w:ascii="Consolas" w:hAnsi="Consolas"/>
          <w:sz w:val="20"/>
          <w:szCs w:val="20"/>
        </w:rPr>
        <w:t>geodist</w:t>
      </w:r>
      <w:proofErr w:type="spellEnd"/>
      <w:r>
        <w:t xml:space="preserve"> function in the package </w:t>
      </w:r>
      <w:proofErr w:type="spellStart"/>
      <w:r w:rsidRPr="002B798A">
        <w:rPr>
          <w:b/>
        </w:rPr>
        <w:t>geodist</w:t>
      </w:r>
      <w:proofErr w:type="spellEnd"/>
      <w:r>
        <w:t xml:space="preserve"> (</w:t>
      </w:r>
      <w:r w:rsidRPr="002B798A">
        <w:rPr>
          <w:highlight w:val="yellow"/>
        </w:rPr>
        <w:t>citation</w:t>
      </w:r>
      <w:r>
        <w:t xml:space="preserve">).  To test if the distance matrices were correlated with each other, I used a Mantel test from the R package </w:t>
      </w:r>
      <w:r w:rsidRPr="002B798A">
        <w:rPr>
          <w:b/>
        </w:rPr>
        <w:t>vegan</w:t>
      </w:r>
      <w:r>
        <w:t xml:space="preserve"> (</w:t>
      </w:r>
      <w:r w:rsidRPr="002B798A">
        <w:rPr>
          <w:highlight w:val="yellow"/>
        </w:rPr>
        <w:t>citation</w:t>
      </w:r>
      <w:r>
        <w:t>).  Several papers in recent years have argued that the Mantel test is not appropriate for assessing correlation between two distance matrices (</w:t>
      </w:r>
      <w:r w:rsidRPr="002B798A">
        <w:rPr>
          <w:highlight w:val="yellow"/>
        </w:rPr>
        <w:t>citations</w:t>
      </w:r>
      <w:r>
        <w:t>), however this is still standard practice and therefore I use it here.  The null hypothesis for a Mantel test is that the correlation between two matrices is zero (</w:t>
      </w:r>
      <w:r w:rsidRPr="00105F21">
        <w:rPr>
          <w:highlight w:val="yellow"/>
        </w:rPr>
        <w:t>citation</w:t>
      </w:r>
      <w:r>
        <w:t>).</w:t>
      </w:r>
    </w:p>
    <w:p w:rsidR="00105F21" w:rsidRDefault="00105F21" w:rsidP="00105F21"/>
    <w:p w:rsidR="00D96FDE" w:rsidRDefault="00105F21">
      <w:r>
        <w:t>T</w:t>
      </w:r>
      <w:r w:rsidR="00BA7A57">
        <w:t xml:space="preserve">rees were built using the </w:t>
      </w:r>
      <w:proofErr w:type="spellStart"/>
      <w:proofErr w:type="gramStart"/>
      <w:r w:rsidR="00BA7A57" w:rsidRPr="00BA7A57">
        <w:rPr>
          <w:rFonts w:ascii="Consolas" w:hAnsi="Consolas"/>
          <w:sz w:val="20"/>
          <w:szCs w:val="20"/>
        </w:rPr>
        <w:t>nj</w:t>
      </w:r>
      <w:proofErr w:type="spellEnd"/>
      <w:proofErr w:type="gramEnd"/>
      <w:r w:rsidR="00BA7A57" w:rsidRPr="00BA7A57">
        <w:rPr>
          <w:rFonts w:ascii="Consolas" w:hAnsi="Consolas"/>
          <w:sz w:val="20"/>
          <w:szCs w:val="20"/>
        </w:rPr>
        <w:t xml:space="preserve"> </w:t>
      </w:r>
      <w:r w:rsidR="00BA7A57">
        <w:t xml:space="preserve">function in the </w:t>
      </w:r>
      <w:r w:rsidR="00BA7A57" w:rsidRPr="00BA7A57">
        <w:rPr>
          <w:b/>
        </w:rPr>
        <w:t>ape</w:t>
      </w:r>
      <w:r w:rsidR="00BA7A57">
        <w:t xml:space="preserve"> package for </w:t>
      </w:r>
      <w:r w:rsidR="002B798A">
        <w:t xml:space="preserve">unrooted </w:t>
      </w:r>
      <w:r w:rsidR="00BA7A57">
        <w:t xml:space="preserve">neighbor-joining trees, and </w:t>
      </w:r>
      <w:proofErr w:type="spellStart"/>
      <w:r w:rsidR="00BA7A57" w:rsidRPr="00BA7A57">
        <w:rPr>
          <w:rFonts w:ascii="Consolas" w:hAnsi="Consolas"/>
          <w:sz w:val="20"/>
          <w:szCs w:val="20"/>
        </w:rPr>
        <w:t>hclust</w:t>
      </w:r>
      <w:proofErr w:type="spellEnd"/>
      <w:r w:rsidR="00BA7A57">
        <w:t xml:space="preserve"> from </w:t>
      </w:r>
      <w:r w:rsidR="00BA7A57" w:rsidRPr="00BA7A57">
        <w:rPr>
          <w:b/>
        </w:rPr>
        <w:t>stats</w:t>
      </w:r>
      <w:r w:rsidR="00BA7A57">
        <w:t xml:space="preserve"> and </w:t>
      </w:r>
      <w:proofErr w:type="spellStart"/>
      <w:r w:rsidR="00BA7A57" w:rsidRPr="00BA7A57">
        <w:rPr>
          <w:rFonts w:ascii="Consolas" w:hAnsi="Consolas"/>
          <w:sz w:val="20"/>
          <w:szCs w:val="20"/>
        </w:rPr>
        <w:t>as.phylo</w:t>
      </w:r>
      <w:proofErr w:type="spellEnd"/>
      <w:r w:rsidR="00BA7A57">
        <w:t xml:space="preserve"> from </w:t>
      </w:r>
      <w:r w:rsidR="00BA7A57" w:rsidRPr="00BA7A57">
        <w:rPr>
          <w:b/>
        </w:rPr>
        <w:t>ape</w:t>
      </w:r>
      <w:r w:rsidR="00BA7A57">
        <w:t xml:space="preserve"> for UPGMA trees (</w:t>
      </w:r>
      <w:r w:rsidR="00BA7A57" w:rsidRPr="00BA7A57">
        <w:rPr>
          <w:highlight w:val="yellow"/>
        </w:rPr>
        <w:t>citations</w:t>
      </w:r>
      <w:r w:rsidR="00BA7A57">
        <w:t xml:space="preserve">).  </w:t>
      </w:r>
      <w:proofErr w:type="spellStart"/>
      <w:r w:rsidR="00BA7A57">
        <w:t>Cophenetic</w:t>
      </w:r>
      <w:proofErr w:type="spellEnd"/>
      <w:r w:rsidR="00BA7A57">
        <w:t xml:space="preserve"> distances were calculated using </w:t>
      </w:r>
      <w:proofErr w:type="spellStart"/>
      <w:r w:rsidR="00BA7A57" w:rsidRPr="00BA7A57">
        <w:rPr>
          <w:rFonts w:ascii="Consolas" w:hAnsi="Consolas"/>
          <w:sz w:val="20"/>
          <w:szCs w:val="20"/>
        </w:rPr>
        <w:t>cophenetic</w:t>
      </w:r>
      <w:proofErr w:type="spellEnd"/>
      <w:r w:rsidR="00BA7A57">
        <w:t xml:space="preserve"> from </w:t>
      </w:r>
      <w:r w:rsidR="00BA7A57" w:rsidRPr="00BA7A57">
        <w:rPr>
          <w:b/>
        </w:rPr>
        <w:t>stats</w:t>
      </w:r>
      <w:r w:rsidR="00BA7A57">
        <w:t>.</w:t>
      </w:r>
      <w:r w:rsidR="002B798A">
        <w:t xml:space="preserve">  Finally, bootstrap analyses were conducted with 1,000 replicates on unrooted trees using </w:t>
      </w:r>
      <w:proofErr w:type="spellStart"/>
      <w:r w:rsidR="002B798A" w:rsidRPr="002B798A">
        <w:rPr>
          <w:rFonts w:ascii="Consolas" w:hAnsi="Consolas"/>
          <w:sz w:val="20"/>
          <w:szCs w:val="20"/>
        </w:rPr>
        <w:t>boot.phylo</w:t>
      </w:r>
      <w:proofErr w:type="spellEnd"/>
      <w:r w:rsidR="002B798A">
        <w:t xml:space="preserve"> in the </w:t>
      </w:r>
      <w:r w:rsidR="002B798A" w:rsidRPr="002B798A">
        <w:rPr>
          <w:b/>
        </w:rPr>
        <w:t>ape</w:t>
      </w:r>
      <w:r w:rsidR="002B798A">
        <w:t xml:space="preserve"> package.</w:t>
      </w:r>
    </w:p>
    <w:p w:rsidR="00D96FDE" w:rsidRDefault="00D96FDE"/>
    <w:p w:rsidR="00B323BD" w:rsidRPr="00A03C23" w:rsidRDefault="00FB0EE1">
      <w:pPr>
        <w:rPr>
          <w:b/>
        </w:rPr>
      </w:pPr>
      <w:r w:rsidRPr="00A03C23">
        <w:rPr>
          <w:b/>
        </w:rPr>
        <w:t>Results</w:t>
      </w:r>
    </w:p>
    <w:p w:rsidR="00FB0EE1" w:rsidRDefault="00FB0EE1"/>
    <w:p w:rsidR="00337343" w:rsidRPr="00337343" w:rsidRDefault="00337343">
      <w:pPr>
        <w:rPr>
          <w:i/>
        </w:rPr>
      </w:pPr>
      <w:r w:rsidRPr="00337343">
        <w:rPr>
          <w:i/>
        </w:rPr>
        <w:t>Distance measures</w:t>
      </w:r>
    </w:p>
    <w:p w:rsidR="00FB0EE1" w:rsidRDefault="00FB0EE1">
      <w:r>
        <w:t xml:space="preserve">A comparison of pairwise distances between populations using </w:t>
      </w:r>
      <w:proofErr w:type="spellStart"/>
      <w:r>
        <w:t>Nei’s</w:t>
      </w:r>
      <w:proofErr w:type="spellEnd"/>
      <w:r>
        <w:t xml:space="preserve"> distance and Reynolds’s distance formulas suggest several similarities and some differences.  Both distance measures indicate that the populations with the largest pairwise distances are </w:t>
      </w:r>
      <w:proofErr w:type="spellStart"/>
      <w:r>
        <w:t>Bearpaw</w:t>
      </w:r>
      <w:proofErr w:type="spellEnd"/>
      <w:r>
        <w:t xml:space="preserve"> Lake Intersection, Lozier Road, and Buffalo Fork</w:t>
      </w:r>
      <w:r w:rsidR="00337343">
        <w:t xml:space="preserve"> (</w:t>
      </w:r>
      <w:r w:rsidR="00337343" w:rsidRPr="00337343">
        <w:rPr>
          <w:highlight w:val="yellow"/>
        </w:rPr>
        <w:t xml:space="preserve">Figure </w:t>
      </w:r>
      <w:proofErr w:type="spellStart"/>
      <w:r w:rsidR="00337343" w:rsidRPr="00337343">
        <w:rPr>
          <w:highlight w:val="yellow"/>
        </w:rPr>
        <w:t>heatmap</w:t>
      </w:r>
      <w:proofErr w:type="spellEnd"/>
      <w:r w:rsidR="00337343">
        <w:t>)</w:t>
      </w:r>
      <w:r>
        <w:t xml:space="preserve">.  </w:t>
      </w:r>
      <w:r w:rsidR="00337343">
        <w:t xml:space="preserve">Kendall’s coefficient of concordance indicates that the ranking of sites based on average pairwise distances is more concordant than would be expected by random chance (W stat = 0.092, p-value = 0.0001 on 9,999 permutations).  While the two distance measures rank the sites similarly, the difference between the largest distances and the smallest distances is larger for the </w:t>
      </w:r>
      <w:proofErr w:type="spellStart"/>
      <w:r w:rsidR="00337343">
        <w:t>Nei’s</w:t>
      </w:r>
      <w:proofErr w:type="spellEnd"/>
      <w:r w:rsidR="00337343">
        <w:t xml:space="preserve"> distance calculations than for the Reynolds’.  We expect trees based on the </w:t>
      </w:r>
      <w:proofErr w:type="spellStart"/>
      <w:r w:rsidR="00337343">
        <w:t>Nei’s</w:t>
      </w:r>
      <w:proofErr w:type="spellEnd"/>
      <w:r w:rsidR="00337343">
        <w:t xml:space="preserve"> distance matrix, therefore, to differentiate between sites more clearly.</w:t>
      </w:r>
    </w:p>
    <w:p w:rsidR="00147940" w:rsidRDefault="00147940"/>
    <w:p w:rsidR="00147940" w:rsidRDefault="00147940">
      <w:r>
        <w:t xml:space="preserve">Neither </w:t>
      </w:r>
      <w:proofErr w:type="spellStart"/>
      <w:r>
        <w:t>Nei’s</w:t>
      </w:r>
      <w:proofErr w:type="spellEnd"/>
      <w:r>
        <w:t xml:space="preserve"> distance nor Reynolds’ distance were </w:t>
      </w:r>
      <w:r w:rsidR="00BF0747">
        <w:t>associated</w:t>
      </w:r>
      <w:r>
        <w:t xml:space="preserve"> with geodesic distance between sites</w:t>
      </w:r>
      <w:r w:rsidR="00BF0747">
        <w:t xml:space="preserve">, however both measures of genetic distance were closely associated </w:t>
      </w:r>
      <w:r>
        <w:t>(</w:t>
      </w:r>
      <w:r w:rsidRPr="00147940">
        <w:rPr>
          <w:highlight w:val="yellow"/>
        </w:rPr>
        <w:t>Figure distance comparisons</w:t>
      </w:r>
      <w:r w:rsidR="00BF0747">
        <w:t>).  Mantel test results comparing 3 distance matrices as follows:</w:t>
      </w:r>
    </w:p>
    <w:p w:rsidR="00BF0747" w:rsidRDefault="00BF0747" w:rsidP="00BF0747">
      <w:pPr>
        <w:pStyle w:val="ListParagraph"/>
        <w:numPr>
          <w:ilvl w:val="0"/>
          <w:numId w:val="1"/>
        </w:numPr>
      </w:pPr>
      <w:proofErr w:type="spellStart"/>
      <w:r>
        <w:t>Nei</w:t>
      </w:r>
      <w:proofErr w:type="spellEnd"/>
      <w:r>
        <w:t xml:space="preserve"> to Reynolds: z-statistic = 4.53, p-value = 0.0001</w:t>
      </w:r>
    </w:p>
    <w:p w:rsidR="00BF0747" w:rsidRDefault="00BF0747" w:rsidP="00BF0747">
      <w:pPr>
        <w:pStyle w:val="ListParagraph"/>
        <w:numPr>
          <w:ilvl w:val="0"/>
          <w:numId w:val="1"/>
        </w:numPr>
      </w:pPr>
      <w:proofErr w:type="spellStart"/>
      <w:r>
        <w:t>Nei</w:t>
      </w:r>
      <w:proofErr w:type="spellEnd"/>
      <w:r>
        <w:t xml:space="preserve"> to geodesic: z-statistic = 201936, p-value 0.445</w:t>
      </w:r>
    </w:p>
    <w:p w:rsidR="00BF0747" w:rsidRDefault="00BF0747" w:rsidP="00BF0747">
      <w:pPr>
        <w:pStyle w:val="ListParagraph"/>
        <w:numPr>
          <w:ilvl w:val="0"/>
          <w:numId w:val="1"/>
        </w:numPr>
      </w:pPr>
      <w:r>
        <w:t>Reynolds to geodesic: z-statistic = 2430009, p-value = 0.808</w:t>
      </w:r>
    </w:p>
    <w:p w:rsidR="00337343" w:rsidRDefault="00337343"/>
    <w:p w:rsidR="00337343" w:rsidRPr="00337343" w:rsidRDefault="00337343">
      <w:pPr>
        <w:rPr>
          <w:i/>
        </w:rPr>
      </w:pPr>
      <w:r w:rsidRPr="00337343">
        <w:rPr>
          <w:i/>
        </w:rPr>
        <w:t>Tree algorithms</w:t>
      </w:r>
    </w:p>
    <w:p w:rsidR="00337343" w:rsidRDefault="00337343">
      <w:proofErr w:type="spellStart"/>
      <w:r>
        <w:t>Cophenetic</w:t>
      </w:r>
      <w:proofErr w:type="spellEnd"/>
      <w:r>
        <w:t xml:space="preserve"> plots depict the population distance as calculated in the distance matrix against the tree distance produced by the final </w:t>
      </w:r>
      <w:proofErr w:type="spellStart"/>
      <w:r>
        <w:t>dendrogram</w:t>
      </w:r>
      <w:proofErr w:type="spellEnd"/>
      <w:r>
        <w:t xml:space="preserve">.  </w:t>
      </w:r>
      <w:proofErr w:type="spellStart"/>
      <w:r>
        <w:t>Cophenetic</w:t>
      </w:r>
      <w:proofErr w:type="spellEnd"/>
      <w:r>
        <w:t xml:space="preserve"> </w:t>
      </w:r>
      <w:r w:rsidR="0023069F">
        <w:t>plots for the neighbor-joining tree</w:t>
      </w:r>
      <w:r>
        <w:t xml:space="preserve"> and </w:t>
      </w:r>
      <w:r w:rsidR="0023069F">
        <w:t>the UPGMA tree</w:t>
      </w:r>
      <w:r>
        <w:t xml:space="preserve"> for both </w:t>
      </w:r>
      <w:proofErr w:type="spellStart"/>
      <w:r>
        <w:t>Nei’s</w:t>
      </w:r>
      <w:proofErr w:type="spellEnd"/>
      <w:r>
        <w:t xml:space="preserve"> distance and Reynolds</w:t>
      </w:r>
      <w:r w:rsidR="0023069F">
        <w:t>’</w:t>
      </w:r>
      <w:r>
        <w:t xml:space="preserve"> distance indicate that the neighbor-joining trees better capture the distances </w:t>
      </w:r>
      <w:r w:rsidR="0023069F">
        <w:t>in the population distance matrices (</w:t>
      </w:r>
      <w:r w:rsidR="0023069F" w:rsidRPr="0023069F">
        <w:rPr>
          <w:highlight w:val="yellow"/>
        </w:rPr>
        <w:t xml:space="preserve">Figure </w:t>
      </w:r>
      <w:proofErr w:type="spellStart"/>
      <w:r w:rsidR="0023069F" w:rsidRPr="0023069F">
        <w:rPr>
          <w:highlight w:val="yellow"/>
        </w:rPr>
        <w:t>cophenetics</w:t>
      </w:r>
      <w:proofErr w:type="spellEnd"/>
      <w:r w:rsidR="0023069F">
        <w:t xml:space="preserve">).  The variability in the spread of the plots is slightly larger in the </w:t>
      </w:r>
      <w:proofErr w:type="spellStart"/>
      <w:r w:rsidR="0023069F">
        <w:t>Nei’s</w:t>
      </w:r>
      <w:proofErr w:type="spellEnd"/>
      <w:r w:rsidR="0023069F">
        <w:t xml:space="preserve"> NJ tree versus the Reynolds’ NJ tree, but both UPGMA trees assign similar tree </w:t>
      </w:r>
      <w:r w:rsidR="0023069F">
        <w:lastRenderedPageBreak/>
        <w:t>distances to very different population distances.  The inability of the UPGMA trees to capture population distances increases as the population distances increase.</w:t>
      </w:r>
    </w:p>
    <w:p w:rsidR="0023069F" w:rsidRDefault="0023069F"/>
    <w:p w:rsidR="0023069F" w:rsidRDefault="0023069F">
      <w:r>
        <w:t xml:space="preserve">This result is not surprising, for two reasons.  The UPGMA tree is a rooted tree, and the algorithm is therefore more constrained than the neighbor-joining algorithm that doesn’t assume a particular root.  The UPGMA procedure also produces a tree in which every leaf is equidistant from the root.  Because the NJ tree is not constrained in these ways, the resulting tree </w:t>
      </w:r>
      <w:r w:rsidR="00B505F7">
        <w:t>has more flexibility</w:t>
      </w:r>
      <w:r>
        <w:t xml:space="preserve"> to capture the distances in the original distance matrix.</w:t>
      </w:r>
    </w:p>
    <w:p w:rsidR="00147940" w:rsidRDefault="00147940"/>
    <w:p w:rsidR="00BF0747" w:rsidRPr="00BF0747" w:rsidRDefault="00BF0747">
      <w:pPr>
        <w:rPr>
          <w:i/>
        </w:rPr>
      </w:pPr>
      <w:r w:rsidRPr="00BF0747">
        <w:rPr>
          <w:i/>
        </w:rPr>
        <w:t>Phylogenetic trees</w:t>
      </w:r>
    </w:p>
    <w:p w:rsidR="00BF0747" w:rsidRDefault="00BF0747">
      <w:r>
        <w:t>Because the UPGMA trees were not able to capture the population distances very well, I report only the results of the neighbor-joining trees.  Bootstrap support for most nodes on both tree</w:t>
      </w:r>
      <w:r w:rsidR="00930FB1">
        <w:t xml:space="preserve">s was very weak.  For the tree constructed using </w:t>
      </w:r>
      <w:proofErr w:type="spellStart"/>
      <w:r w:rsidR="00930FB1">
        <w:t>Nei’s</w:t>
      </w:r>
      <w:proofErr w:type="spellEnd"/>
      <w:r w:rsidR="00930FB1">
        <w:t xml:space="preserve"> distance measure, of the 27 nodes in the </w:t>
      </w:r>
      <w:proofErr w:type="spellStart"/>
      <w:r w:rsidR="00930FB1">
        <w:t>dendrogram</w:t>
      </w:r>
      <w:proofErr w:type="spellEnd"/>
      <w:r w:rsidR="00930FB1">
        <w:t xml:space="preserve"> fully 17 had zero bootstrap support.  On 1000 permutations, support for other nodes ranged from 5 to 38.  For the tree constructed using Reynolds’ distance measure, 13 nodes</w:t>
      </w:r>
      <w:r w:rsidR="00D96FDE">
        <w:t xml:space="preserve"> (of 27)</w:t>
      </w:r>
      <w:r w:rsidR="00930FB1">
        <w:t xml:space="preserve"> had bootstrap supp</w:t>
      </w:r>
      <w:r w:rsidR="00D96FDE">
        <w:t>ort of zero while</w:t>
      </w:r>
      <w:r w:rsidR="00930FB1">
        <w:t xml:space="preserve"> support for other nodes ranged from 1 to 38.</w:t>
      </w:r>
    </w:p>
    <w:p w:rsidR="00147940" w:rsidRDefault="00147940"/>
    <w:p w:rsidR="00930FB1" w:rsidRDefault="008B50D9">
      <w:r>
        <w:t xml:space="preserve">Keeping in mind that the bootstrap support was very weak for all clades in both trees, for those clades with non-zero bootstrap support five were identified in both trees (eleven total populations), one was identified in the Reynolds’s tree but not the </w:t>
      </w:r>
      <w:proofErr w:type="spellStart"/>
      <w:r>
        <w:t>Nei’s</w:t>
      </w:r>
      <w:proofErr w:type="spellEnd"/>
      <w:r>
        <w:t xml:space="preserve"> tree (2 populations), and six populations were involved in clades that differed </w:t>
      </w:r>
      <w:r w:rsidR="00D96FDE">
        <w:t xml:space="preserve">topographically </w:t>
      </w:r>
      <w:r>
        <w:t xml:space="preserve">between the </w:t>
      </w:r>
      <w:r w:rsidR="00D96FDE">
        <w:t>trees (</w:t>
      </w:r>
      <w:r w:rsidR="00D96FDE" w:rsidRPr="00D96FDE">
        <w:rPr>
          <w:highlight w:val="yellow"/>
        </w:rPr>
        <w:t>Figure both trees</w:t>
      </w:r>
      <w:r w:rsidR="00D96FDE">
        <w:t>).</w:t>
      </w:r>
    </w:p>
    <w:p w:rsidR="00D96FDE" w:rsidRDefault="00D96FDE"/>
    <w:p w:rsidR="00D96FDE" w:rsidRPr="002742BE" w:rsidRDefault="00D96FDE">
      <w:pPr>
        <w:rPr>
          <w:b/>
        </w:rPr>
      </w:pPr>
      <w:r w:rsidRPr="002742BE">
        <w:rPr>
          <w:b/>
        </w:rPr>
        <w:t>Discussion</w:t>
      </w:r>
    </w:p>
    <w:p w:rsidR="00D96FDE" w:rsidRDefault="00D96FDE"/>
    <w:p w:rsidR="00D96FDE" w:rsidRDefault="00B505F7">
      <w:r>
        <w:t xml:space="preserve">The question of interest in this study involves the relatedness of the sub-populations of </w:t>
      </w:r>
      <w:r>
        <w:rPr>
          <w:i/>
        </w:rPr>
        <w:t xml:space="preserve">P. </w:t>
      </w:r>
      <w:proofErr w:type="spellStart"/>
      <w:r>
        <w:rPr>
          <w:i/>
        </w:rPr>
        <w:t>clodius</w:t>
      </w:r>
      <w:proofErr w:type="spellEnd"/>
      <w:r>
        <w:t xml:space="preserve"> in Grand Teton National Park.  Of primary concern to NPS managers is the </w:t>
      </w:r>
      <w:r w:rsidR="00F378D7">
        <w:t xml:space="preserve">possible </w:t>
      </w:r>
      <w:r>
        <w:t xml:space="preserve">loss of genetic diversity that might result from small populations becoming genetically </w:t>
      </w:r>
      <w:proofErr w:type="gramStart"/>
      <w:r>
        <w:t>isolated.</w:t>
      </w:r>
      <w:proofErr w:type="gramEnd"/>
      <w:r>
        <w:t xml:space="preserve">  Several hypotheses </w:t>
      </w:r>
      <w:r w:rsidR="00F378D7">
        <w:t xml:space="preserve">capture different possible scenarios for genetic mixing in the park: 1) </w:t>
      </w:r>
      <w:proofErr w:type="spellStart"/>
      <w:r w:rsidR="00F378D7">
        <w:t>panmixia</w:t>
      </w:r>
      <w:proofErr w:type="spellEnd"/>
      <w:r w:rsidR="00F378D7">
        <w:t>, 2) island-mainland, 3) stepping stone, and 4) one or a few large interbreeding population(s) with a few small isolated populations.  Because the primary question of interest concerns relatedness but not ancestry, unrooted trees are presented in this analysis, avoiding the need to make a possibly incorrect choice of root for the trees.</w:t>
      </w:r>
    </w:p>
    <w:p w:rsidR="00F378D7" w:rsidRDefault="00F378D7"/>
    <w:p w:rsidR="008048A9" w:rsidRDefault="00F378D7">
      <w:r>
        <w:t xml:space="preserve">The phylogenetic analysis in this study supports the first hypothesis, with perhaps some small support for the fourth.  The very weak bootstrap support for all clades suggests that the sub-populations in GTNP are approximately equally related.  </w:t>
      </w:r>
      <w:r w:rsidR="008048A9">
        <w:t xml:space="preserve">Both distance matrices identified three populations as being </w:t>
      </w:r>
      <w:r w:rsidR="00615D8C">
        <w:t>genetically more distant</w:t>
      </w:r>
      <w:r w:rsidR="008048A9">
        <w:t xml:space="preserve"> from the others: </w:t>
      </w:r>
      <w:proofErr w:type="spellStart"/>
      <w:r w:rsidR="008048A9">
        <w:t>Bearpaw</w:t>
      </w:r>
      <w:proofErr w:type="spellEnd"/>
      <w:r w:rsidR="008048A9">
        <w:t xml:space="preserve"> Lake Intersection, Buffalo Fork, and Lozier Road.  That the first two sub-populations are identified as more distant seems reasonable—both of these populations are spatially isolated from the main park area, although there are other populations more isolated (e.g., Death Canyon, Sound of Music, and Shadow Mountain).  Lozier Hill, however, is centrally located among the meadow habitats, and the larger genetic distance attributed to this population is more surprising.  It is possible that the populations at </w:t>
      </w:r>
      <w:proofErr w:type="spellStart"/>
      <w:r w:rsidR="008048A9">
        <w:t>Bearp</w:t>
      </w:r>
      <w:r w:rsidR="008048A9">
        <w:t>aw</w:t>
      </w:r>
      <w:proofErr w:type="spellEnd"/>
      <w:r w:rsidR="008048A9">
        <w:t xml:space="preserve"> Lake Intersection and</w:t>
      </w:r>
      <w:r w:rsidR="008048A9">
        <w:t xml:space="preserve"> Buffalo Fork</w:t>
      </w:r>
      <w:r w:rsidR="008048A9">
        <w:t xml:space="preserve"> are diverging from the main population group, but I would </w:t>
      </w:r>
      <w:r w:rsidR="008048A9">
        <w:lastRenderedPageBreak/>
        <w:t>need stronger evidence to support a conclusion that the Lozier Hill population is similarly diverging.</w:t>
      </w:r>
    </w:p>
    <w:p w:rsidR="00D96FDE" w:rsidRDefault="00D96FDE"/>
    <w:p w:rsidR="00EB2717" w:rsidRDefault="007D0D4A">
      <w:r>
        <w:t xml:space="preserve">Both models of genetic change—mutation and drift captured by </w:t>
      </w:r>
      <w:proofErr w:type="spellStart"/>
      <w:r>
        <w:t>Nei’s</w:t>
      </w:r>
      <w:proofErr w:type="spellEnd"/>
      <w:r>
        <w:t xml:space="preserve"> distance measure, and drift only captured by Reynold’s measure—closely agree in the clades they identify.  Based on my familiarity with the landscape of GTNP and the meadows that provide habitat for adult </w:t>
      </w:r>
      <w:r>
        <w:rPr>
          <w:i/>
        </w:rPr>
        <w:t xml:space="preserve">P. </w:t>
      </w:r>
      <w:proofErr w:type="spellStart"/>
      <w:r>
        <w:rPr>
          <w:i/>
        </w:rPr>
        <w:t>clodius</w:t>
      </w:r>
      <w:proofErr w:type="spellEnd"/>
      <w:r>
        <w:t xml:space="preserve"> butterflies, some of the identified clades make sense and some do not.  </w:t>
      </w:r>
      <w:r w:rsidR="00615D8C">
        <w:t>For example, t</w:t>
      </w:r>
      <w:bookmarkStart w:id="0" w:name="_GoBack"/>
      <w:bookmarkEnd w:id="0"/>
      <w:r>
        <w:t>he String Lake parking lot is located at the mouth of the canyon up which the Paintbrush Canyo</w:t>
      </w:r>
      <w:r w:rsidR="00EB2717">
        <w:t>n Trail travels.  C</w:t>
      </w:r>
      <w:r>
        <w:t>anyon</w:t>
      </w:r>
      <w:r w:rsidR="00EB2717">
        <w:t xml:space="preserve"> sides are</w:t>
      </w:r>
      <w:r>
        <w:t xml:space="preserve"> steep and</w:t>
      </w:r>
      <w:r w:rsidR="00EB2717">
        <w:t xml:space="preserve"> likely funnel</w:t>
      </w:r>
      <w:r>
        <w:t xml:space="preserve"> butterflies from the valley up to higher elevations.  Climbers Ranch and Lozier Hill, however, are located at the southwest and northeast areas of the park, respectively, and are separated not only by distance but by landscape features such as lakes and forested areas.  </w:t>
      </w:r>
      <w:r w:rsidR="00EB2717">
        <w:t>Analysis results that place these two populations together in a clade are surprising, and warrant further investigation.</w:t>
      </w:r>
    </w:p>
    <w:p w:rsidR="00EB2717" w:rsidRDefault="00EB2717"/>
    <w:p w:rsidR="008048A9" w:rsidRPr="000A48DD" w:rsidRDefault="000A48DD">
      <w:r>
        <w:t xml:space="preserve">In conclusion, this study supports the hypothesis that the population of </w:t>
      </w:r>
      <w:r>
        <w:rPr>
          <w:i/>
        </w:rPr>
        <w:t xml:space="preserve">P. </w:t>
      </w:r>
      <w:proofErr w:type="spellStart"/>
      <w:r>
        <w:rPr>
          <w:i/>
        </w:rPr>
        <w:t>clodius</w:t>
      </w:r>
      <w:proofErr w:type="spellEnd"/>
      <w:r>
        <w:t xml:space="preserve"> butterflies in Grand Teton National Park is not subdivided into smaller sub-populations with limited mating among the subpopulations.  Rather, random mixing occurs among </w:t>
      </w:r>
      <w:r w:rsidR="00F422F2">
        <w:t xml:space="preserve">adult </w:t>
      </w:r>
      <w:r>
        <w:t xml:space="preserve">butterflies that </w:t>
      </w:r>
      <w:r w:rsidR="00F422F2">
        <w:t>feed</w:t>
      </w:r>
      <w:r>
        <w:t xml:space="preserve"> and mate in different meadows, and these different meadow populations are approximately equally related to each other.</w:t>
      </w:r>
    </w:p>
    <w:sectPr w:rsidR="008048A9" w:rsidRPr="000A4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E0F4B"/>
    <w:multiLevelType w:val="hybridMultilevel"/>
    <w:tmpl w:val="B826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E5B"/>
    <w:rsid w:val="00055398"/>
    <w:rsid w:val="00090A50"/>
    <w:rsid w:val="000A0791"/>
    <w:rsid w:val="000A48DD"/>
    <w:rsid w:val="000D7E5B"/>
    <w:rsid w:val="00105F21"/>
    <w:rsid w:val="00124F38"/>
    <w:rsid w:val="00147940"/>
    <w:rsid w:val="0023069F"/>
    <w:rsid w:val="002742BE"/>
    <w:rsid w:val="002B798A"/>
    <w:rsid w:val="00337343"/>
    <w:rsid w:val="00527C3D"/>
    <w:rsid w:val="00615D8C"/>
    <w:rsid w:val="00655730"/>
    <w:rsid w:val="006778DC"/>
    <w:rsid w:val="00712411"/>
    <w:rsid w:val="00776CBA"/>
    <w:rsid w:val="007876C3"/>
    <w:rsid w:val="007D0D4A"/>
    <w:rsid w:val="008048A9"/>
    <w:rsid w:val="0087436D"/>
    <w:rsid w:val="008B50D9"/>
    <w:rsid w:val="00930FB1"/>
    <w:rsid w:val="009A0B6A"/>
    <w:rsid w:val="00A03C23"/>
    <w:rsid w:val="00B323BD"/>
    <w:rsid w:val="00B505F7"/>
    <w:rsid w:val="00BA7A57"/>
    <w:rsid w:val="00BF0747"/>
    <w:rsid w:val="00C14AA5"/>
    <w:rsid w:val="00CC2D2B"/>
    <w:rsid w:val="00D822C3"/>
    <w:rsid w:val="00D96FDE"/>
    <w:rsid w:val="00DC48B7"/>
    <w:rsid w:val="00E80CEF"/>
    <w:rsid w:val="00EB2717"/>
    <w:rsid w:val="00F378D7"/>
    <w:rsid w:val="00F422F2"/>
    <w:rsid w:val="00FB0EE1"/>
    <w:rsid w:val="00FB1F84"/>
    <w:rsid w:val="00FC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DC"/>
    <w:pPr>
      <w:ind w:left="720"/>
      <w:contextualSpacing/>
    </w:pPr>
  </w:style>
  <w:style w:type="paragraph" w:styleId="BalloonText">
    <w:name w:val="Balloon Text"/>
    <w:basedOn w:val="Normal"/>
    <w:link w:val="BalloonTextChar"/>
    <w:uiPriority w:val="99"/>
    <w:semiHidden/>
    <w:unhideWhenUsed/>
    <w:rsid w:val="00712411"/>
    <w:rPr>
      <w:rFonts w:ascii="Tahoma" w:hAnsi="Tahoma" w:cs="Tahoma"/>
      <w:sz w:val="16"/>
      <w:szCs w:val="16"/>
    </w:rPr>
  </w:style>
  <w:style w:type="character" w:customStyle="1" w:styleId="BalloonTextChar">
    <w:name w:val="Balloon Text Char"/>
    <w:basedOn w:val="DefaultParagraphFont"/>
    <w:link w:val="BalloonText"/>
    <w:uiPriority w:val="99"/>
    <w:semiHidden/>
    <w:rsid w:val="007124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DC"/>
    <w:pPr>
      <w:ind w:left="720"/>
      <w:contextualSpacing/>
    </w:pPr>
  </w:style>
  <w:style w:type="paragraph" w:styleId="BalloonText">
    <w:name w:val="Balloon Text"/>
    <w:basedOn w:val="Normal"/>
    <w:link w:val="BalloonTextChar"/>
    <w:uiPriority w:val="99"/>
    <w:semiHidden/>
    <w:unhideWhenUsed/>
    <w:rsid w:val="00712411"/>
    <w:rPr>
      <w:rFonts w:ascii="Tahoma" w:hAnsi="Tahoma" w:cs="Tahoma"/>
      <w:sz w:val="16"/>
      <w:szCs w:val="16"/>
    </w:rPr>
  </w:style>
  <w:style w:type="character" w:customStyle="1" w:styleId="BalloonTextChar">
    <w:name w:val="Balloon Text Char"/>
    <w:basedOn w:val="DefaultParagraphFont"/>
    <w:link w:val="BalloonText"/>
    <w:uiPriority w:val="99"/>
    <w:semiHidden/>
    <w:rsid w:val="007124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5</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McCombs</dc:creator>
  <cp:lastModifiedBy>Audrey McCombs</cp:lastModifiedBy>
  <cp:revision>16</cp:revision>
  <dcterms:created xsi:type="dcterms:W3CDTF">2021-04-10T23:17:00Z</dcterms:created>
  <dcterms:modified xsi:type="dcterms:W3CDTF">2021-04-16T01:36:00Z</dcterms:modified>
</cp:coreProperties>
</file>