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drawing>
          <wp:inline distT="0" distB="0" distL="0" distR="0">
            <wp:extent cx="2000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137" w:color="auto" w:val="clear"/>
            <w:tcMar>
              <w:left w:type="dxa" w:w="480"/>
              <w:right w:type="dxa" w:w="4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color w:val="DA6D24"/>
                <w:spacing w:val="60"/>
                <w:sz w:val="26"/>
                <w:szCs w:val="26"/>
              </w:rPr>
              <w:t xml:space="preserve">MANUAL DO FORMANDO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F4F1E6"/>
                <w:sz w:val="56"/>
                <w:szCs w:val="56"/>
              </w:rPr>
              <w:t xml:space="preserve">Informática na Ótica do Utilizador</w:t>
            </w:r>
          </w:p>
          <w:p>
            <w:pPr>
              <w:jc w:val="center"/>
            </w:pPr>
            <w:r>
              <w:rPr>
                <w:color w:val="F4F1E6"/>
                <w:sz w:val="24"/>
                <w:szCs w:val="24"/>
              </w:rPr>
              <w:t xml:space="preserve">Utilização do computador, Windows 11, Internet e segurança básica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6D24" w:color="auto" w:val="clear"/>
            <w:tcMar>
              <w:left w:type="dxa" w:w="480"/>
              <w:right w:type="dxa" w:w="480"/>
            </w:tcMar>
            <w:vAlign w:val="center"/>
          </w:tcPr>
          <w:p/>
        </w:tc>
      </w:tr>
    </w:tbl>
    <w:p>
      <w:pPr>
        <w:spacing w:after="60" w:before="600"/>
        <w:jc w:val="center"/>
      </w:pPr>
      <w:r>
        <w:rPr>
          <w:color w:val="5B6573"/>
        </w:rPr>
        <w:t xml:space="preserve">Versão 1.0 (demo)  ·  outubro de 2026</w:t>
      </w:r>
    </w:p>
    <w:p>
      <w:pPr>
        <w:jc w:val="center"/>
      </w:pPr>
      <w:r>
        <w:rPr>
          <w:color w:val="5B6573"/>
        </w:rPr>
        <w:t xml:space="preserve">Duração sugerida em sala: 15 horas  ·  Vídeo-aulas: 2 h</w:t>
      </w:r>
    </w:p>
    <w:p>
      <w:pPr>
        <w:spacing w:before="1400"/>
        <w:jc w:val="center"/>
      </w:pPr>
      <w:r>
        <w:rPr>
          <w:b/>
          <w:bCs/>
          <w:color w:val="0B2137"/>
          <w:sz w:val="24"/>
          <w:szCs w:val="24"/>
        </w:rPr>
        <w:t xml:space="preserve">ATC – Angbu Training Centre</w:t>
      </w:r>
    </w:p>
    <w:p>
      <w:pPr>
        <w:jc w:val="center"/>
      </w:pPr>
      <w:r>
        <w:rPr>
          <w:color w:val="5B6573"/>
          <w:sz w:val="20"/>
          <w:szCs w:val="20"/>
        </w:rPr>
        <w:t xml:space="preserve">Grupo Angbu  ·  Angola  ·  grupoangbu.com</w:t>
      </w:r>
    </w:p>
    <w:p>
      <w:r>
        <w:br w:type="page"/>
      </w:r>
    </w:p>
    <w:p>
      <w:pPr>
        <w:spacing w:before="6000"/>
      </w:pPr>
      <w:r>
        <w:rPr>
          <w:b/>
          <w:bCs/>
          <w:color w:val="0B2137"/>
        </w:rPr>
        <w:t xml:space="preserve">Ficha técnica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Título: </w:t>
      </w:r>
      <w:r>
        <w:rPr>
          <w:color w:val="5B6573"/>
          <w:sz w:val="20"/>
          <w:szCs w:val="20"/>
        </w:rPr>
        <w:t xml:space="preserve">Informática na Ótica do Utilizador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Edição: </w:t>
      </w:r>
      <w:r>
        <w:rPr>
          <w:color w:val="5B6573"/>
          <w:sz w:val="20"/>
          <w:szCs w:val="20"/>
        </w:rPr>
        <w:t xml:space="preserve">ATC – Angbu Training Centre, Grupo Angbu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Produção de conteúdos: </w:t>
      </w:r>
      <w:r>
        <w:rPr>
          <w:color w:val="5B6573"/>
          <w:sz w:val="20"/>
          <w:szCs w:val="20"/>
        </w:rPr>
        <w:t xml:space="preserve">Almeida José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Revisão técnica: </w:t>
      </w:r>
      <w:r>
        <w:rPr>
          <w:color w:val="5B6573"/>
          <w:sz w:val="20"/>
          <w:szCs w:val="20"/>
        </w:rPr>
        <w:t xml:space="preserve">[Formador ATC]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Versão: </w:t>
      </w:r>
      <w:r>
        <w:rPr>
          <w:color w:val="5B6573"/>
          <w:sz w:val="20"/>
          <w:szCs w:val="20"/>
        </w:rPr>
        <w:t xml:space="preserve">1.0 (demo) – outubro de 2026</w:t>
      </w:r>
    </w:p>
    <w:p>
      <w:pPr>
        <w:spacing w:before="200"/>
      </w:pPr>
      <w:r>
        <w:rPr>
          <w:color w:val="5B6573"/>
          <w:sz w:val="18"/>
          <w:szCs w:val="18"/>
        </w:rPr>
        <w:t xml:space="preserve">© 2026 ATC – Angbu Training Centre. Todos os direitos reservados. Este manual destina-se aos formandos da ATC e não pode ser reproduzido sem autorização.</w:t>
      </w:r>
    </w:p>
    <w:p>
      <w:r>
        <w:br w:type="page"/>
      </w:r>
    </w:p>
    <w:p>
      <w:pPr>
        <w:spacing w:after="200"/>
      </w:pPr>
      <w:r>
        <w:rPr>
          <w:b/>
          <w:bCs/>
          <w:color w:val="0B2137"/>
          <w:sz w:val="40"/>
          <w:szCs w:val="4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Como utilizar este manual</w:t>
      </w:r>
    </w:p>
    <w:p>
      <w:pPr>
        <w:spacing w:after="140"/>
      </w:pPr>
      <w:r>
        <w:t xml:space="preserve">Este manual acompanha as vídeo-aulas e as sessões presenciais do curso Informática na Ótica do Utilizador. Cada módulo corresponde a um capítulo e termina com um exercício prático e um questionário.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A6D24" w:sz="36"/>
              <w:bottom w:val="none" w:color="FFFFFF" w:sz="0"/>
              <w:right w:val="none" w:color="FFFFFF" w:sz="0"/>
            </w:tcBorders>
            <w:shd w:fill="FBF3EC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A6D24"/>
                <w:sz w:val="20"/>
                <w:szCs w:val="20"/>
              </w:rPr>
              <w:t xml:space="preserve">DICA</w:t>
            </w:r>
          </w:p>
          <w:p>
            <w:r>
              <w:t xml:space="preserve">Atalhos e formas mais rápidas de fazer uma tarefa.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231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ATENÇÃO</w:t>
            </w:r>
          </w:p>
          <w:p>
            <w:r>
              <w:t xml:space="preserve">Erros frequentes ou passos que podem causar perda de dados.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2137" w:sz="36"/>
              <w:bottom w:val="none" w:color="FFFFFF" w:sz="0"/>
              <w:right w:val="none" w:color="FFFFFF" w:sz="0"/>
            </w:tcBorders>
            <w:shd w:fill="E8ED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2137"/>
                <w:sz w:val="20"/>
                <w:szCs w:val="20"/>
              </w:rPr>
              <w:t xml:space="preserve">NOTA</w:t>
            </w:r>
          </w:p>
          <w:p>
            <w:r>
              <w:t xml:space="preserve">Informação complementar.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7A4D" w:sz="36"/>
              <w:bottom w:val="none" w:color="FFFFFF" w:sz="0"/>
              <w:right w:val="none" w:color="FFFFFF" w:sz="0"/>
            </w:tcBorders>
            <w:shd w:fill="E9F5EE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VÍDEO-AULA</w:t>
            </w:r>
          </w:p>
          <w:p>
            <w:r>
              <w:t xml:space="preserve">A vídeo-aula da plataforma de e-learning que acompanha a secção.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Módulo 1 – O computador e o Windows 11</w:t>
      </w:r>
    </w:p>
    <w:p>
      <w:pPr>
        <w:spacing w:after="140"/>
      </w:pPr>
      <w:r>
        <w:t xml:space="preserve">Neste módulo vai conhecer as partes do computador e dar os primeiros passos no Windows 11. No final, será capaz de ligar o computador, orientar-se no ambiente de trabalho, trabalhar com janelas e encerrar o computador em segurança.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2137" w:sz="36"/>
              <w:bottom w:val="none" w:color="FFFFFF" w:sz="0"/>
              <w:right w:val="none" w:color="FFFFFF" w:sz="0"/>
            </w:tcBorders>
            <w:shd w:fill="E8ED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2137"/>
                <w:sz w:val="20"/>
                <w:szCs w:val="20"/>
              </w:rPr>
              <w:t xml:space="preserve">OBJETIVOS DE APRENDIZAGEM</w:t>
            </w:r>
          </w:p>
          <w:p>
            <w:pPr>
              <w:spacing w:after="40"/>
            </w:pPr>
            <w:r>
              <w:t xml:space="preserve">No final deste módulo, o formando será capaz de: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Distinguir hardware de software e dar exemplos de cada 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Ligar o computador e iniciar sessão no Windows 11.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Identificar os ícones, a barra de tarefas, o botão Iniciar e a área de notificação.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Abrir, minimizar, maximizar e fechar uma janela.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Encerrar o computador corretamente.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7A4D" w:sz="36"/>
              <w:bottom w:val="none" w:color="FFFFFF" w:sz="0"/>
              <w:right w:val="none" w:color="FFFFFF" w:sz="0"/>
            </w:tcBorders>
            <w:shd w:fill="E9F5EE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VÍDEO-AULA</w:t>
            </w:r>
          </w:p>
          <w:p>
            <w:r>
              <w:t xml:space="preserve">Aula 1.1 · Conhecer o computador e o Windows 11 (2 min)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Hardware e software</w:t>
      </w:r>
    </w:p>
    <w:p>
      <w:pPr>
        <w:spacing w:after="140"/>
      </w:pPr>
      <w:r>
        <w:t xml:space="preserve">Um computador tem duas partes que trabalham sempre em conjunto: o hardware e o software.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tblHeader/>
        </w:trPr>
        <w:tc>
          <w:tcPr>
            <w:tcW w:type="dxa" w:w="19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é</w:t>
            </w:r>
          </w:p>
        </w:tc>
        <w:tc>
          <w:tcPr>
            <w:tcW w:type="dxa" w:w="44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Exemplos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Hardware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parte física do computador: tudo o que pode tocar.</w:t>
            </w:r>
          </w:p>
        </w:tc>
        <w:tc>
          <w:tcPr>
            <w:tcW w:type="dxa" w:w="44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Monitor, teclado, rato, unidade central, impressora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Software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 programas que dão instruções ao hardware.</w:t>
            </w:r>
          </w:p>
        </w:tc>
        <w:tc>
          <w:tcPr>
            <w:tcW w:type="dxa" w:w="44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11, Word, Excel, navegador de Internet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O software mais importante é o </w:t>
      </w:r>
      <w:r>
        <w:rPr>
          <w:b/>
          <w:bCs/>
        </w:rPr>
        <w:t xml:space="preserve">sistema operativo</w:t>
      </w:r>
      <w:r>
        <w:t xml:space="preserve">. É ele que gere o hardware, os ficheiros e os outros programas. Neste curso usamos o </w:t>
      </w:r>
      <w:r>
        <w:rPr>
          <w:b/>
          <w:bCs/>
        </w:rPr>
        <w:t xml:space="preserve">Windows 11</w:t>
      </w:r>
      <w: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B2137"/>
          <w:sz w:val="18"/>
          <w:szCs w:val="18"/>
        </w:rPr>
        <w:t xml:space="preserve">Figura 1.1 – </w:t>
      </w:r>
      <w:r>
        <w:rPr>
          <w:i/>
          <w:iCs/>
          <w:color w:val="5B6573"/>
          <w:sz w:val="18"/>
          <w:szCs w:val="18"/>
        </w:rPr>
        <w:t xml:space="preserve">Hardware e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2137" w:sz="36"/>
              <w:bottom w:val="none" w:color="FFFFFF" w:sz="0"/>
              <w:right w:val="none" w:color="FFFFFF" w:sz="0"/>
            </w:tcBorders>
            <w:shd w:fill="E8ED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2137"/>
                <w:sz w:val="20"/>
                <w:szCs w:val="20"/>
              </w:rPr>
              <w:t xml:space="preserve">NOTA</w:t>
            </w:r>
          </w:p>
          <w:p>
            <w:r>
              <w:t xml:space="preserve">Um telemóvel também é um computador: o ecrã tátil e a bateria são hardware; o Android ou o iOS são o sistema operativo.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Ligar o computador e iniciar sessão</w:t>
      </w:r>
    </w:p>
    <w:p>
      <w:pPr>
        <w:spacing w:after="140"/>
      </w:pPr>
      <w:r>
        <w:t xml:space="preserve">Quando liga o computador, o Windows mostra primeiro o </w:t>
      </w:r>
      <w:r>
        <w:rPr>
          <w:b/>
          <w:bCs/>
        </w:rPr>
        <w:t xml:space="preserve">ecrã de bloqueio</w:t>
      </w:r>
      <w:r>
        <w:t xml:space="preserve">, com a hora e a data. Para entrar, siga estes passos:</w:t>
      </w:r>
    </w:p>
    <w:p>
      <w:pPr>
        <w:spacing w:after="60" w:before="60"/>
      </w:pPr>
      <w:r>
        <w:rPr>
          <w:b/>
          <w:bCs/>
          <w:color w:val="DA6D24"/>
        </w:rPr>
        <w:t xml:space="preserve">Passo a passo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Prima o botão de ligar da unidade central (ou do portátil).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Aguarde até aparecer o ecrã de bloqueio.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Clique em qualquer ponto do ecrã ou prima uma tecla.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Escreva o seu </w:t>
      </w:r>
      <w:r>
        <w:rPr>
          <w:b/>
          <w:bCs/>
        </w:rPr>
        <w:t xml:space="preserve">PIN</w:t>
      </w:r>
      <w:r>
        <w:t xml:space="preserve"> ou a sua </w:t>
      </w:r>
      <w:r>
        <w:rPr>
          <w:b/>
          <w:bCs/>
        </w:rPr>
        <w:t xml:space="preserve">palavra-passe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Prima </w:t>
      </w:r>
      <w:r>
        <w:rPr>
          <w:b/>
          <w:bCs/>
        </w:rPr>
        <w:t xml:space="preserve">Enter</w:t>
      </w:r>
      <w:r>
        <w:t xml:space="preserve">.</w:t>
      </w:r>
    </w:p>
    <w:p>
      <w:pPr>
        <w:spacing w:after="10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B2137"/>
          <w:sz w:val="18"/>
          <w:szCs w:val="18"/>
        </w:rPr>
        <w:t xml:space="preserve">Figura 1.2 – </w:t>
      </w:r>
      <w:r>
        <w:rPr>
          <w:i/>
          <w:iCs/>
          <w:color w:val="5B6573"/>
          <w:sz w:val="18"/>
          <w:szCs w:val="18"/>
        </w:rPr>
        <w:t xml:space="preserve">Ecrã de início de sessão do Windows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231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ATENÇÃO</w:t>
            </w:r>
          </w:p>
          <w:p>
            <w:r>
              <w:t xml:space="preserve">Nunca partilhe o seu PIN ou a sua palavra-passe. Se alguém a souber, altere-a em Definições &gt; Contas &gt; Opções de início de sessão.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1.3 O ambiente de trabalho</w:t>
      </w:r>
    </w:p>
    <w:p>
      <w:pPr>
        <w:spacing w:after="140"/>
      </w:pPr>
      <w:r>
        <w:t xml:space="preserve">Depois de iniciar sessão, vê o </w:t>
      </w:r>
      <w:r>
        <w:rPr>
          <w:b/>
          <w:bCs/>
        </w:rPr>
        <w:t xml:space="preserve">ambiente de trabalho</w:t>
      </w:r>
      <w:r>
        <w:t xml:space="preserve">. É o ponto de partida para todo o trabalho no Windows.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B2137"/>
          <w:sz w:val="18"/>
          <w:szCs w:val="18"/>
        </w:rPr>
        <w:t xml:space="preserve">Figura 1.3 – </w:t>
      </w:r>
      <w:r>
        <w:rPr>
          <w:i/>
          <w:iCs/>
          <w:color w:val="5B6573"/>
          <w:sz w:val="18"/>
          <w:szCs w:val="18"/>
        </w:rPr>
        <w:t xml:space="preserve">As quatro partes do ambiente de trabalho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Ícones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Dão acesso rápido a programas, pastas e ficheiros. Faça duplo clique para abrir.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Barra de tarefas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Mostra os programas abertos e os afixados. Fica na parte de baixo do ecrã.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Botão Iniciar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Abre o menu Iniciar. Tem o logótipo do Windows.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Área de notificação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Mostra a hora, a data, o estado da rede e o volume do som.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A6D24" w:sz="36"/>
              <w:bottom w:val="none" w:color="FFFFFF" w:sz="0"/>
              <w:right w:val="none" w:color="FFFFFF" w:sz="0"/>
            </w:tcBorders>
            <w:shd w:fill="FBF3EC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A6D24"/>
                <w:sz w:val="20"/>
                <w:szCs w:val="20"/>
              </w:rPr>
              <w:t xml:space="preserve">DICA</w:t>
            </w:r>
          </w:p>
          <w:p>
            <w:r>
              <w:t xml:space="preserve">Para ver o ambiente de trabalho com todas as janelas abertas, prima Windows + D. Prima de novo para voltar.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1.4 O menu Iniciar</w:t>
      </w:r>
    </w:p>
    <w:p>
      <w:pPr>
        <w:spacing w:after="140"/>
      </w:pPr>
      <w:r>
        <w:t xml:space="preserve">O menu Iniciar reúne as </w:t>
      </w:r>
      <w:r>
        <w:rPr>
          <w:b/>
          <w:bCs/>
        </w:rPr>
        <w:t xml:space="preserve">aplicações afixadas</w:t>
      </w:r>
      <w:r>
        <w:t xml:space="preserve">, os </w:t>
      </w:r>
      <w:r>
        <w:rPr>
          <w:b/>
          <w:bCs/>
        </w:rPr>
        <w:t xml:space="preserve">ficheiros recomendados</w:t>
      </w:r>
      <w:r>
        <w:t xml:space="preserve"> (os que usou recentemente) e o </w:t>
      </w:r>
      <w:r>
        <w:rPr>
          <w:b/>
          <w:bCs/>
        </w:rPr>
        <w:t xml:space="preserve">botão de energia</w:t>
      </w:r>
      <w:r>
        <w:t xml:space="preserve">.</w:t>
      </w:r>
    </w:p>
    <w:p>
      <w:pPr>
        <w:spacing w:after="60" w:before="60"/>
      </w:pPr>
      <w:r>
        <w:rPr>
          <w:b/>
          <w:bCs/>
          <w:color w:val="DA6D24"/>
        </w:rPr>
        <w:t xml:space="preserve">Passo a passo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Clique no botão Iniciar ou prima a tecla </w:t>
      </w:r>
      <w:r>
        <w:rPr>
          <w:b/>
          <w:bCs/>
        </w:rPr>
        <w:t xml:space="preserve">Windows</w:t>
      </w:r>
      <w:r>
        <w:t xml:space="preserve"> do teclado.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Para procurar um programa, comece a escrever o nome, por exemplo </w:t>
      </w:r>
      <w:r>
        <w:rPr>
          <w:b/>
          <w:bCs/>
        </w:rPr>
        <w:t xml:space="preserve">Word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Clique no resultado em </w:t>
      </w:r>
      <w:r>
        <w:rPr>
          <w:b/>
          <w:bCs/>
        </w:rPr>
        <w:t xml:space="preserve">Melhor correspondência</w:t>
      </w:r>
      <w:r>
        <w:t xml:space="preserve"> para o abrir.</w:t>
      </w:r>
    </w:p>
    <w:p>
      <w:pPr>
        <w:spacing w:after="10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B2137"/>
          <w:sz w:val="18"/>
          <w:szCs w:val="18"/>
        </w:rPr>
        <w:t xml:space="preserve">Figura 1.4 – </w:t>
      </w:r>
      <w:r>
        <w:rPr>
          <w:i/>
          <w:iCs/>
          <w:color w:val="5B6573"/>
          <w:sz w:val="18"/>
          <w:szCs w:val="18"/>
        </w:rPr>
        <w:t xml:space="preserve">Pesquisa no menu Iniciar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A6D24" w:sz="36"/>
              <w:bottom w:val="none" w:color="FFFFFF" w:sz="0"/>
              <w:right w:val="none" w:color="FFFFFF" w:sz="0"/>
            </w:tcBorders>
            <w:shd w:fill="FBF3EC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A6D24"/>
                <w:sz w:val="20"/>
                <w:szCs w:val="20"/>
              </w:rPr>
              <w:t xml:space="preserve">DICA</w:t>
            </w:r>
          </w:p>
          <w:p>
            <w:r>
              <w:t xml:space="preserve">Não precisa de clicar na caixa de pesquisa: com o menu Iniciar aberto, basta começar a escrever.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1.5 Trabalhar com janelas</w:t>
      </w:r>
    </w:p>
    <w:p>
      <w:pPr>
        <w:spacing w:after="140"/>
      </w:pPr>
      <w:r>
        <w:t xml:space="preserve">Cada programa abre numa </w:t>
      </w:r>
      <w:r>
        <w:rPr>
          <w:b/>
          <w:bCs/>
        </w:rPr>
        <w:t xml:space="preserve">janela</w:t>
      </w:r>
      <w:r>
        <w:t xml:space="preserve">. No canto superior direito de todas as janelas há três botões: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tblHeader/>
        </w:trPr>
        <w:tc>
          <w:tcPr>
            <w:tcW w:type="dxa" w:w="19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Botão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44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Minimizar</w:t>
            </w:r>
          </w:p>
        </w:tc>
        <w:tc>
          <w:tcPr>
            <w:tcW w:type="dxa" w:w="44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Esconde a janela na barra de tarefas. O programa continua aberto.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☐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Maximizar</w:t>
            </w:r>
          </w:p>
        </w:tc>
        <w:tc>
          <w:tcPr>
            <w:tcW w:type="dxa" w:w="44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janela ocupa o ecrã inteiro. Clique de novo para restaurar o tamanho.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✕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Fechar</w:t>
            </w:r>
          </w:p>
        </w:tc>
        <w:tc>
          <w:tcPr>
            <w:tcW w:type="dxa" w:w="44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a janela e termina o programa.</w:t>
            </w:r>
          </w:p>
        </w:tc>
      </w:tr>
    </w:tbl>
    <w:p>
      <w:pPr>
        <w:spacing w:after="10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B2137"/>
          <w:sz w:val="18"/>
          <w:szCs w:val="18"/>
        </w:rPr>
        <w:t xml:space="preserve">Figura 1.5 – </w:t>
      </w:r>
      <w:r>
        <w:rPr>
          <w:i/>
          <w:iCs/>
          <w:color w:val="5B6573"/>
          <w:sz w:val="18"/>
          <w:szCs w:val="18"/>
        </w:rPr>
        <w:t xml:space="preserve">Botões de uma janela (Bloco de Notas)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A6D24" w:sz="36"/>
              <w:bottom w:val="none" w:color="FFFFFF" w:sz="0"/>
              <w:right w:val="none" w:color="FFFFFF" w:sz="0"/>
            </w:tcBorders>
            <w:shd w:fill="FBF3EC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A6D24"/>
                <w:sz w:val="20"/>
                <w:szCs w:val="20"/>
              </w:rPr>
              <w:t xml:space="preserve">DICA</w:t>
            </w:r>
          </w:p>
          <w:p>
            <w:r>
              <w:t xml:space="preserve">Para passar de uma janela para outra, use Alt + Tab.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1.6 Encerrar o computador</w:t>
      </w:r>
    </w:p>
    <w:p>
      <w:pPr>
        <w:spacing w:after="140"/>
      </w:pPr>
      <w:r>
        <w:t xml:space="preserve">No final do trabalho, encerre sempre o computador pelo Windows. Desligar diretamente da tomada pode danificar ficheiros.</w:t>
      </w:r>
    </w:p>
    <w:p>
      <w:pPr>
        <w:spacing w:after="60" w:before="60"/>
      </w:pPr>
      <w:r>
        <w:rPr>
          <w:b/>
          <w:bCs/>
          <w:color w:val="DA6D24"/>
        </w:rPr>
        <w:t xml:space="preserve">Passo a passo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Guarde e feche os ficheiros abertos.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Abra o menu </w:t>
      </w:r>
      <w:r>
        <w:rPr>
          <w:b/>
          <w:bCs/>
        </w:rPr>
        <w:t xml:space="preserve">Iniciar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Clique no botão de </w:t>
      </w:r>
      <w:r>
        <w:rPr>
          <w:b/>
          <w:bCs/>
        </w:rPr>
        <w:t xml:space="preserve">energia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Escolha </w:t>
      </w:r>
      <w:r>
        <w:rPr>
          <w:b/>
          <w:bCs/>
        </w:rPr>
        <w:t xml:space="preserve">Encerrar</w:t>
      </w:r>
      <w:r>
        <w:t xml:space="preserve">.</w:t>
      </w:r>
    </w:p>
    <w:p>
      <w:pPr>
        <w:spacing w:after="10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B2137"/>
          <w:sz w:val="18"/>
          <w:szCs w:val="18"/>
        </w:rPr>
        <w:t xml:space="preserve">Figura 1.6 – </w:t>
      </w:r>
      <w:r>
        <w:rPr>
          <w:i/>
          <w:iCs/>
          <w:color w:val="5B6573"/>
          <w:sz w:val="18"/>
          <w:szCs w:val="18"/>
        </w:rPr>
        <w:t xml:space="preserve">Encerrar a partir do menu Iniciar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231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ATENÇÃO</w:t>
            </w:r>
          </w:p>
          <w:p>
            <w:r>
              <w:t xml:space="preserve">Guarde sempre os seus ficheiros antes de encerrar. O trabalho que não foi guardado perde-se.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2137" w:sz="36"/>
              <w:bottom w:val="none" w:color="FFFFFF" w:sz="0"/>
              <w:right w:val="none" w:color="FFFFFF" w:sz="0"/>
            </w:tcBorders>
            <w:shd w:fill="E8ED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2137"/>
                <w:sz w:val="20"/>
                <w:szCs w:val="20"/>
              </w:rPr>
              <w:t xml:space="preserve">NOTA</w:t>
            </w:r>
          </w:p>
          <w:p>
            <w:r>
              <w:t xml:space="preserve">Suspender poupa energia e permite retomar o trabalho rapidamente. Reiniciar desliga e volta a ligar, por exemplo depois de uma atualização.</w:t>
            </w:r>
          </w:p>
        </w:tc>
      </w:tr>
    </w:tbl>
    <w:p>
      <w:pPr>
        <w:spacing w:after="100"/>
      </w:pPr>
    </w:p>
    <w:p>
      <w:pPr>
        <w:keepNext/>
        <w:spacing w:before="160" w:after="80"/>
      </w:pPr>
      <w:r>
        <w:rPr>
          <w:b/>
          <w:color w:val="102B43"/>
          <w:sz w:val="26"/>
        </w:rPr>
        <w:t>1.7 Reconhecer os ícones dos programas</w:t>
      </w:r>
    </w:p>
    <w:p>
      <w:pPr>
        <w:keepNext/>
        <w:spacing w:after="100"/>
      </w:pPr>
      <w:r>
        <w:t>Os ícones seguintes ajudam a reconhecer o Windows e as aplicações Office abordadas no curso. A aparência pode variar entre versões; confirme o nome apresentado no computador.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" name="Picture 2" descr="Windows — réplica visual de identificaçã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dows-replic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Windows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" name="Picture 3" descr="Microsoft Word — réplica visual de identificaçã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Microsoft Word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" name="Picture 4" descr="Microsoft Excel — réplica visual de identificaçã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Microsoft Excel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5" name="Picture 5" descr="Microsoft PowerPoint — réplica visual de identificaçã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Microsoft PowerPoint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6" name="Picture 6" descr="Microsoft Outlook — réplica visual de identificaçã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4"/>
              </w:rPr>
              <w:t>Microsoft Outlook</w:t>
            </w:r>
          </w:p>
        </w:tc>
      </w:tr>
    </w:tbl>
    <w:p>
      <w:pPr>
        <w:pStyle w:val="Heading2"/>
      </w:pPr>
      <w:r>
        <w:t xml:space="preserve">Exercício 1.1 – Primeiros passos no Windows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7A4D" w:sz="36"/>
              <w:bottom w:val="none" w:color="FFFFFF" w:sz="0"/>
              <w:right w:val="none" w:color="FFFFFF" w:sz="0"/>
            </w:tcBorders>
            <w:shd w:fill="E9F5EE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7A4D"/>
                <w:sz w:val="20"/>
                <w:szCs w:val="20"/>
              </w:rPr>
              <w:t xml:space="preserve">EXERCÍCIO PRÁTICO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Ficheiro de trabalho: </w:t>
            </w:r>
            <w:r>
              <w:t xml:space="preserve">Nenhum (usa apenas o Windows)</w:t>
            </w:r>
            <w:r>
              <w:rPr>
                <w:b/>
                <w:bCs/>
              </w:rPr>
              <w:t xml:space="preserve">   ·   Duração: </w:t>
            </w:r>
            <w:r>
              <w:t xml:space="preserve">15 min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/>
            </w:pPr>
            <w:r>
              <w:t xml:space="preserve">Ligue o computador e inicie sessão com o seu PIN ou palavra-passe.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/>
            </w:pPr>
            <w:r>
              <w:t xml:space="preserve">Identifique no ambiente de trabalho: um ícone, a barra de tarefas, o botão Iniciar e a área de notificação.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/>
            </w:pPr>
            <w:r>
              <w:t xml:space="preserve">Abra o menu Iniciar, escreva Bloco de Notas e abra a aplicação.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/>
            </w:pPr>
            <w:r>
              <w:t xml:space="preserve">Escreva o seu nome na janela do Bloco de Notas.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/>
            </w:pPr>
            <w:r>
              <w:t xml:space="preserve">Maximize a janela, depois restaure-a e minimize-a. Volte a abri-la a partir da barra de tarefas.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/>
            </w:pPr>
            <w:r>
              <w:t xml:space="preserve">Feche o Bloco de Notas sem guardar (clique em Não guardar).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/>
            </w:pPr>
            <w:r>
              <w:t xml:space="preserve">Encerre o computador a partir do menu Iniciar.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Resumo do módulo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 hardware é a parte física do computador; o software são os programas.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 Windows 11 é o sistema operativo: gere o computador e os outros programas.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 ambiente de trabalho tem ícones, barra de tarefas, botão Iniciar e área de notificação.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Os botões de uma janela permitem minimizar, maximizar e fechar.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Encerre sempre o computador pelo menu Iniciar, depois de guardar o trabalho.</w:t>
      </w:r>
    </w:p>
    <w:p>
      <w:pPr>
        <w:pStyle w:val="Heading2"/>
      </w:pPr>
      <w:r>
        <w:t xml:space="preserve">Questionário do módulo 1</w:t>
      </w:r>
    </w:p>
    <w:p>
      <w:pPr>
        <w:spacing w:after="140"/>
      </w:pPr>
      <w:r>
        <w:t xml:space="preserve">Assinale a opção correta. As soluções estão no final do manual.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1. </w:t>
      </w:r>
      <w:r>
        <w:rPr>
          <w:b/>
          <w:bCs/>
        </w:rPr>
        <w:t xml:space="preserve">Qual dos seguintes é um exemplo de hardware?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O teclado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O Windows 11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O Word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O navegador de Internet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2. </w:t>
      </w:r>
      <w:r>
        <w:rPr>
          <w:b/>
          <w:bCs/>
        </w:rPr>
        <w:t xml:space="preserve">O que é o sistema operativo?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Um jogo instalado no computador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O programa que gere o computador e os outros programas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Uma peça dentro da unidade central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Um tipo de ficheiro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3. </w:t>
      </w:r>
      <w:r>
        <w:rPr>
          <w:b/>
          <w:bCs/>
        </w:rPr>
        <w:t xml:space="preserve">Onde fica a barra de tarefas no Windows 11?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No canto superior direito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No meio do ecrã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Na parte de baixo do ecrã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Dentro do menu Iniciar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4. </w:t>
      </w:r>
      <w:r>
        <w:rPr>
          <w:b/>
          <w:bCs/>
        </w:rPr>
        <w:t xml:space="preserve">Que tecla abre o menu Iniciar?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Enter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Tecla Windows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Shift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Esc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5. </w:t>
      </w:r>
      <w:r>
        <w:rPr>
          <w:b/>
          <w:bCs/>
        </w:rPr>
        <w:t xml:space="preserve">O que acontece quando clica em Minimizar?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O programa fecha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A janela ocupa o ecrã inteiro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A janela fica escondida na barra de tarefas e o programa continua aberto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O computador encerra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6. </w:t>
      </w:r>
      <w:r>
        <w:rPr>
          <w:b/>
          <w:bCs/>
        </w:rPr>
        <w:t xml:space="preserve">Qual é a forma correta de desligar o computador?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Desligar o cabo da tomada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Iniciar &gt; botão de energia &gt; Encerrar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Fechar todas as janelas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Premir Alt + Tab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7. </w:t>
      </w:r>
      <w:r>
        <w:rPr>
          <w:b/>
          <w:bCs/>
        </w:rPr>
        <w:t xml:space="preserve">A área de notificação mostra: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A hora, a rede e o som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Os ficheiros recomendados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Os ícones do ambiente de trabalho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A lista de todas as aplicações</w:t>
      </w:r>
    </w:p>
    <w:p>
      <w:pPr>
        <w:keepNext/>
        <w:spacing w:after="60" w:before="140"/>
      </w:pPr>
      <w:r>
        <w:rPr>
          <w:b/>
          <w:bCs/>
          <w:color w:val="0B2137"/>
        </w:rPr>
        <w:t xml:space="preserve">8. </w:t>
      </w:r>
      <w:r>
        <w:rPr>
          <w:b/>
          <w:bCs/>
        </w:rPr>
        <w:t xml:space="preserve">Antes de encerrar o computador, deve:</w:t>
      </w:r>
    </w:p>
    <w:p>
      <w:pPr>
        <w:keepNext/>
        <w:spacing w:after="20"/>
        <w:ind w:left="400"/>
      </w:pPr>
      <w:r>
        <w:rPr>
          <w:color w:val="0B2137"/>
        </w:rPr>
        <w:t xml:space="preserve">☐  a) </w:t>
      </w:r>
      <w:r>
        <w:t xml:space="preserve">Desligar o monitor</w:t>
      </w:r>
    </w:p>
    <w:p>
      <w:pPr>
        <w:keepNext/>
        <w:spacing w:after="20"/>
        <w:ind w:left="400"/>
      </w:pPr>
      <w:r>
        <w:rPr>
          <w:color w:val="0B2137"/>
        </w:rPr>
        <w:t xml:space="preserve">☐  b) </w:t>
      </w:r>
      <w:r>
        <w:t xml:space="preserve">Guardar os ficheiros abertos</w:t>
      </w:r>
    </w:p>
    <w:p>
      <w:pPr>
        <w:keepNext/>
        <w:spacing w:after="20"/>
        <w:ind w:left="400"/>
      </w:pPr>
      <w:r>
        <w:rPr>
          <w:color w:val="0B2137"/>
        </w:rPr>
        <w:t xml:space="preserve">☐  c) </w:t>
      </w:r>
      <w:r>
        <w:t xml:space="preserve">Abrir o Bloco de Notas</w:t>
      </w:r>
    </w:p>
    <w:p>
      <w:pPr>
        <w:keepNext w:val="false"/>
        <w:spacing w:after="20"/>
        <w:ind w:left="400"/>
      </w:pPr>
      <w:r>
        <w:rPr>
          <w:color w:val="0B2137"/>
        </w:rPr>
        <w:t xml:space="preserve">☐  d) </w:t>
      </w:r>
      <w:r>
        <w:t xml:space="preserve">Maximizar todas as janelas</w:t>
      </w:r>
    </w:p>
    <w:p>
      <w:pPr>
        <w:pStyle w:val="Heading1"/>
        <w:pageBreakBefore/>
      </w:pPr>
      <w:r>
        <w:t xml:space="preserve">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Ambiente de trabalho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Ecrã principal do Windows, com os ícones e a barra de tarefas.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Hardware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físicos do computador.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Janela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Área retangular onde cada programa é apresentado.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PIN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 numérico pessoal para iniciar sessão.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Sistema operativo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que gere o computador; por exemplo, o Windows 11.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Software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6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Programas e aplicações do computador.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Soluções dos questionários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0B21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Respostas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2137"/>
              </w:rPr>
              <w:t xml:space="preserve">1</w:t>
            </w:r>
          </w:p>
        </w:tc>
        <w:tc>
          <w:tcPr>
            <w:tcW w:type="dxa" w:w="683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1-a   2-b   3-c   4-b   5-c   6-b   7-a   8-b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B6573"/>
        <w:sz w:val="16"/>
        <w:szCs w:val="16"/>
      </w:rPr>
      <w:t xml:space="preserve">Grupo Angbu · Angola</w:t>
    </w:r>
    <w:r>
      <w:rPr>
        <w:b/>
        <w:bCs/>
        <w:color w:val="0B2137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6D24" w:sz="6" w:space="4"/>
      </w:pBdr>
      <w:tabs>
        <w:tab w:val="right" w:pos="9638"/>
      </w:tabs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B2137"/>
        <w:sz w:val="18"/>
        <w:szCs w:val="18"/>
      </w:rPr>
      <w:t xml:space="preserve">  ATC – Angbu Training Centre</w:t>
    </w:r>
    <w:r>
      <w:rPr>
        <w:color w:val="5B6573"/>
        <w:sz w:val="18"/>
        <w:szCs w:val="18"/>
      </w:rPr>
      <w:t xml:space="preserve">	Informática na Ótica do Utilizador · Manual do Formando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B213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A6D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A6D2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DA6D2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F7A4D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  <w:rPr>
        <w:b w:val="false"/>
        <w:bCs w:val="false"/>
        <w:color w:val="DA6D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A6D24" w:sz="18" w:space="6"/>
      </w:pBdr>
      <w:spacing w:after="240" w:before="0"/>
      <w:outlineLvl w:val="0"/>
    </w:pPr>
    <w:rPr>
      <w:b/>
      <w:bCs/>
      <w:color w:val="0B2137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0B2137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55130668f5238bf5db190fda689acbc2df0fa4a.png"/><Relationship Id="rId12" Type="http://schemas.openxmlformats.org/officeDocument/2006/relationships/image" Target="media/34cffb34105353d0b180b5f83c0bb0ad8e7555a9.png"/><Relationship Id="rId13" Type="http://schemas.openxmlformats.org/officeDocument/2006/relationships/image" Target="media/cf1cfa35129eee76e90adf9f47f10f2af1cb6800.png"/><Relationship Id="rId14" Type="http://schemas.openxmlformats.org/officeDocument/2006/relationships/image" Target="media/5b0930f99d5dcf69430597670843226337e4ecf8.png"/><Relationship Id="rId15" Type="http://schemas.openxmlformats.org/officeDocument/2006/relationships/image" Target="media/7dea1015d530c5e0368b45b963f58e6d07a7bba2.png"/><Relationship Id="rId16" Type="http://schemas.openxmlformats.org/officeDocument/2006/relationships/image" Target="media/e583e8fb2079c360a1ed43ac2138840a232d8d52.png"/><Relationship Id="rId17" Type="http://schemas.openxmlformats.org/officeDocument/2006/relationships/image" Target="media/a0461cc849cfc46c0598f76e4d9f17f0a2a9441b.png"/><Relationship Id="rId18" Type="http://schemas.openxmlformats.org/officeDocument/2006/relationships/fontTable" Target="fontTable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555130668f5238bf5db190fda689acbc2df0fa4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Informática na Ótica do Utilizador – Manual do Formando</dc:title>
  <dc:creator>ATC – Angbu Training Centre</dc:creator>
  <cp:lastModifiedBy>Un-named</cp:lastModifiedBy>
  <cp:revision>1</cp:revision>
  <dcterms:created xsi:type="dcterms:W3CDTF">2026-10-07T11:16:35.030Z</dcterms:created>
  <dcterms:modified xsi:type="dcterms:W3CDTF">2026-10-07T11:16:35.030Z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