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Informe de clustering no supervisado sobre EuroSAT</w:t>
      </w:r>
    </w:p>
    <w:p>
      <w:pPr>
        <w:jc w:val="center"/>
      </w:pPr>
      <w:r>
        <w:rPr>
          <w:i/>
          <w:sz w:val="20"/>
        </w:rPr>
        <w:t>Situación 3 - Evaluación rápida de cobertura terrestre posterior a evento climático</w:t>
      </w:r>
    </w:p>
    <w:p>
      <w:pPr>
        <w:pStyle w:val="Heading1"/>
      </w:pPr>
      <w:r>
        <w:t>Resumen ejecutivo</w:t>
      </w:r>
    </w:p>
    <w:p>
      <w:r>
        <w:t>Se analizó el conjunto EuroSAT con 27.000 imágenes satelitales RGB de 64x64 píxeles. Cada imagen fue vectorizada, estandarizada y proyectada a un espacio de menor dimensión mediante PCA. Sobre ese espacio reducido se ajustaron K-Means y DBSCAN. Las etiquetas reales se reservaron únicamente para validación externa e interpretación, no para entrenar los modelos.</w:t>
      </w:r>
    </w:p>
    <w:p>
      <w:r>
        <w:t>El modelo principal fue K-Means con k = 2, seleccionado por el coeficiente de silueta. El resultado separa dos macroperfiles: uno natural-hídrico y otro intervenido/productivo. DBSCAN no produjo una segmentación granular, pero sí identificó un porcentaje bajo de imágenes como ruido, útil como señal complementaria de anomalías.</w:t>
      </w:r>
    </w:p>
    <w:p>
      <w:pPr>
        <w:pStyle w:val="Heading1"/>
      </w:pPr>
      <w:r>
        <w:t>Procedimiento</w:t>
      </w:r>
    </w:p>
    <w:p>
      <w:r>
        <w:t>El PCA permitió reducir la dimensionalidad antes del clustering. Según la tabla ejecutada en el notebook, 149 componentes retuvieron aproximadamente el 90% de la varianza acumulada.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center"/>
            </w:pPr>
            <w:r/>
            <w:r>
              <w:rPr>
                <w:b/>
                <w:sz w:val="16"/>
              </w:rPr>
              <w:t>Varianza objetivo</w:t>
            </w:r>
          </w:p>
        </w:tc>
        <w:tc>
          <w:tcPr>
            <w:tcW w:type="dxa" w:w="3408"/>
            <w:vAlign w:val="center"/>
          </w:tcPr>
          <w:p>
            <w:pPr>
              <w:jc w:val="center"/>
            </w:pPr>
            <w:r/>
            <w:r>
              <w:rPr>
                <w:b/>
                <w:sz w:val="16"/>
              </w:rPr>
              <w:t>Componentes necesarios</w:t>
            </w:r>
          </w:p>
        </w:tc>
        <w:tc>
          <w:tcPr>
            <w:tcW w:type="dxa" w:w="3408"/>
            <w:vAlign w:val="center"/>
          </w:tcPr>
          <w:p>
            <w:pPr>
              <w:jc w:val="center"/>
            </w:pPr>
            <w:r/>
            <w:r>
              <w:rPr>
                <w:b/>
                <w:sz w:val="16"/>
              </w:rPr>
              <w:t>Varianza acumulada</w:t>
            </w:r>
          </w:p>
        </w:tc>
      </w:tr>
      <w:tr>
        <w:tc>
          <w:tcPr>
            <w:tcW w:type="dxa" w:w="3408"/>
            <w:vAlign w:val="center"/>
          </w:tcPr>
          <w:p>
            <w:r/>
            <w:r>
              <w:rPr>
                <w:b w:val="0"/>
                <w:sz w:val="16"/>
              </w:rPr>
              <w:t>80%</w:t>
            </w:r>
          </w:p>
        </w:tc>
        <w:tc>
          <w:tcPr>
            <w:tcW w:type="dxa" w:w="3408"/>
            <w:vAlign w:val="center"/>
          </w:tcPr>
          <w:p>
            <w:r/>
            <w:r>
              <w:rPr>
                <w:b w:val="0"/>
                <w:sz w:val="16"/>
              </w:rPr>
              <w:t>23</w:t>
            </w:r>
          </w:p>
        </w:tc>
        <w:tc>
          <w:tcPr>
            <w:tcW w:type="dxa" w:w="3408"/>
            <w:vAlign w:val="center"/>
          </w:tcPr>
          <w:p>
            <w:r/>
            <w:r>
              <w:rPr>
                <w:b w:val="0"/>
                <w:sz w:val="16"/>
              </w:rPr>
              <w:t>0.801680</w:t>
            </w:r>
          </w:p>
        </w:tc>
      </w:tr>
      <w:tr>
        <w:tc>
          <w:tcPr>
            <w:tcW w:type="dxa" w:w="3408"/>
            <w:vAlign w:val="center"/>
          </w:tcPr>
          <w:p>
            <w:r/>
            <w:r>
              <w:rPr>
                <w:b w:val="0"/>
                <w:sz w:val="16"/>
              </w:rPr>
              <w:t>85%</w:t>
            </w:r>
          </w:p>
        </w:tc>
        <w:tc>
          <w:tcPr>
            <w:tcW w:type="dxa" w:w="3408"/>
            <w:vAlign w:val="center"/>
          </w:tcPr>
          <w:p>
            <w:r/>
            <w:r>
              <w:rPr>
                <w:b w:val="0"/>
                <w:sz w:val="16"/>
              </w:rPr>
              <w:t>56</w:t>
            </w:r>
          </w:p>
        </w:tc>
        <w:tc>
          <w:tcPr>
            <w:tcW w:type="dxa" w:w="3408"/>
            <w:vAlign w:val="center"/>
          </w:tcPr>
          <w:p>
            <w:r/>
            <w:r>
              <w:rPr>
                <w:b w:val="0"/>
                <w:sz w:val="16"/>
              </w:rPr>
              <w:t>0.850159</w:t>
            </w:r>
          </w:p>
        </w:tc>
      </w:tr>
      <w:tr>
        <w:tc>
          <w:tcPr>
            <w:tcW w:type="dxa" w:w="3408"/>
            <w:vAlign w:val="center"/>
          </w:tcPr>
          <w:p>
            <w:r/>
            <w:r>
              <w:rPr>
                <w:b w:val="0"/>
                <w:sz w:val="16"/>
              </w:rPr>
              <w:t>90%</w:t>
            </w:r>
          </w:p>
        </w:tc>
        <w:tc>
          <w:tcPr>
            <w:tcW w:type="dxa" w:w="3408"/>
            <w:vAlign w:val="center"/>
          </w:tcPr>
          <w:p>
            <w:r/>
            <w:r>
              <w:rPr>
                <w:b w:val="0"/>
                <w:sz w:val="16"/>
              </w:rPr>
              <w:t>149</w:t>
            </w:r>
          </w:p>
        </w:tc>
        <w:tc>
          <w:tcPr>
            <w:tcW w:type="dxa" w:w="3408"/>
            <w:vAlign w:val="center"/>
          </w:tcPr>
          <w:p>
            <w:r/>
            <w:r>
              <w:rPr>
                <w:b w:val="0"/>
                <w:sz w:val="16"/>
              </w:rPr>
              <w:t>0.900021</w:t>
            </w:r>
          </w:p>
        </w:tc>
      </w:tr>
      <w:tr>
        <w:tc>
          <w:tcPr>
            <w:tcW w:type="dxa" w:w="3408"/>
            <w:vAlign w:val="center"/>
          </w:tcPr>
          <w:p>
            <w:r/>
            <w:r>
              <w:rPr>
                <w:b w:val="0"/>
                <w:sz w:val="16"/>
              </w:rPr>
              <w:t>95%</w:t>
            </w:r>
          </w:p>
        </w:tc>
        <w:tc>
          <w:tcPr>
            <w:tcW w:type="dxa" w:w="3408"/>
            <w:vAlign w:val="center"/>
          </w:tcPr>
          <w:p>
            <w:r/>
            <w:r>
              <w:rPr>
                <w:b w:val="0"/>
                <w:sz w:val="16"/>
              </w:rPr>
              <w:t>451</w:t>
            </w:r>
          </w:p>
        </w:tc>
        <w:tc>
          <w:tcPr>
            <w:tcW w:type="dxa" w:w="3408"/>
            <w:vAlign w:val="center"/>
          </w:tcPr>
          <w:p>
            <w:r/>
            <w:r>
              <w:rPr>
                <w:b w:val="0"/>
                <w:sz w:val="16"/>
              </w:rPr>
              <w:t>0.950072</w:t>
            </w:r>
          </w:p>
        </w:tc>
      </w:tr>
    </w:tbl>
    <w:p>
      <w:pPr>
        <w:jc w:val="center"/>
      </w:pPr>
      <w:r>
        <w:rPr>
          <w:i/>
          <w:color w:val="5A5A5A"/>
          <w:sz w:val="16"/>
        </w:rPr>
        <w:t>Tabla 1. Componentes principales requeridos según varianza acumulada. Fuente: salida del notebook.</w:t>
      </w:r>
    </w:p>
    <w:p>
      <w:r>
        <w:drawing>
          <wp:inline xmlns:a="http://schemas.openxmlformats.org/drawingml/2006/main" xmlns:pic="http://schemas.openxmlformats.org/drawingml/2006/picture">
            <wp:extent cx="5120640" cy="3282001"/>
            <wp:docPr id="1" name="Picture 1"/>
            <wp:cNvGraphicFramePr>
              <a:graphicFrameLocks noChangeAspect="1"/>
            </wp:cNvGraphicFramePr>
            <a:graphic>
              <a:graphicData uri="http://schemas.openxmlformats.org/drawingml/2006/picture">
                <pic:pic>
                  <pic:nvPicPr>
                    <pic:cNvPr id="0" name="cell_10_image_0.png"/>
                    <pic:cNvPicPr/>
                  </pic:nvPicPr>
                  <pic:blipFill>
                    <a:blip r:embed="rId9"/>
                    <a:stretch>
                      <a:fillRect/>
                    </a:stretch>
                  </pic:blipFill>
                  <pic:spPr>
                    <a:xfrm>
                      <a:off x="0" y="0"/>
                      <a:ext cx="5120640" cy="3282001"/>
                    </a:xfrm>
                    <a:prstGeom prst="rect"/>
                  </pic:spPr>
                </pic:pic>
              </a:graphicData>
            </a:graphic>
          </wp:inline>
        </w:drawing>
      </w:r>
    </w:p>
    <w:p>
      <w:pPr>
        <w:jc w:val="center"/>
      </w:pPr>
      <w:r>
        <w:rPr>
          <w:i/>
          <w:color w:val="5A5A5A"/>
          <w:sz w:val="16"/>
        </w:rPr>
        <w:t>Figura 1. Varianza explicada acumulada por PCA. Fuente: salida del notebook.</w:t>
      </w:r>
    </w:p>
    <w:p>
      <w:pPr>
        <w:pStyle w:val="Heading1"/>
      </w:pPr>
      <w:r>
        <w:t>Selección de K-Means</w:t>
      </w:r>
    </w:p>
    <w:p>
      <w:r>
        <w:t>K-Means se evaluó con inercia/SSE y coeficiente de silueta. La silueta máxima fue 0.4038 para k = 2. El método del codo, en cambio, sugiere que podría existir estructura adicional entre k = 3 y k = 4. Para cumplir el criterio cuantitativo principal, se conserva k = 2 como solución final.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jc w:val="center"/>
            </w:pPr>
            <w:r/>
            <w:r>
              <w:rPr>
                <w:b/>
                <w:sz w:val="16"/>
              </w:rPr>
              <w:t>k</w:t>
            </w:r>
          </w:p>
        </w:tc>
        <w:tc>
          <w:tcPr>
            <w:tcW w:type="dxa" w:w="2556"/>
            <w:vAlign w:val="center"/>
          </w:tcPr>
          <w:p>
            <w:pPr>
              <w:jc w:val="center"/>
            </w:pPr>
            <w:r/>
            <w:r>
              <w:rPr>
                <w:b/>
                <w:sz w:val="16"/>
              </w:rPr>
              <w:t>Inercia/SSE</w:t>
            </w:r>
          </w:p>
        </w:tc>
        <w:tc>
          <w:tcPr>
            <w:tcW w:type="dxa" w:w="2556"/>
            <w:vAlign w:val="center"/>
          </w:tcPr>
          <w:p>
            <w:pPr>
              <w:jc w:val="center"/>
            </w:pPr>
            <w:r/>
            <w:r>
              <w:rPr>
                <w:b/>
                <w:sz w:val="16"/>
              </w:rPr>
              <w:t>Silueta</w:t>
            </w:r>
          </w:p>
        </w:tc>
        <w:tc>
          <w:tcPr>
            <w:tcW w:type="dxa" w:w="2556"/>
            <w:vAlign w:val="center"/>
          </w:tcPr>
          <w:p>
            <w:pPr>
              <w:jc w:val="center"/>
            </w:pPr>
            <w:r/>
            <w:r>
              <w:rPr>
                <w:b/>
                <w:sz w:val="16"/>
              </w:rPr>
              <w:t>Reducción de inercia</w:t>
            </w:r>
          </w:p>
        </w:tc>
      </w:tr>
      <w:tr>
        <w:tc>
          <w:tcPr>
            <w:tcW w:type="dxa" w:w="2556"/>
            <w:vAlign w:val="center"/>
          </w:tcPr>
          <w:p>
            <w:r/>
            <w:r>
              <w:rPr>
                <w:b w:val="0"/>
                <w:sz w:val="16"/>
              </w:rPr>
              <w:t>2</w:t>
            </w:r>
          </w:p>
        </w:tc>
        <w:tc>
          <w:tcPr>
            <w:tcW w:type="dxa" w:w="2556"/>
            <w:vAlign w:val="center"/>
          </w:tcPr>
          <w:p>
            <w:r/>
            <w:r>
              <w:rPr>
                <w:b w:val="0"/>
                <w:sz w:val="16"/>
              </w:rPr>
              <w:t>161,502,144</w:t>
            </w:r>
          </w:p>
        </w:tc>
        <w:tc>
          <w:tcPr>
            <w:tcW w:type="dxa" w:w="2556"/>
            <w:vAlign w:val="center"/>
          </w:tcPr>
          <w:p>
            <w:r/>
            <w:r>
              <w:rPr>
                <w:b w:val="0"/>
                <w:sz w:val="16"/>
              </w:rPr>
              <w:t>0.4038</w:t>
            </w:r>
          </w:p>
        </w:tc>
        <w:tc>
          <w:tcPr>
            <w:tcW w:type="dxa" w:w="2556"/>
            <w:vAlign w:val="center"/>
          </w:tcPr>
          <w:p>
            <w:r/>
            <w:r>
              <w:rPr>
                <w:b w:val="0"/>
                <w:sz w:val="16"/>
              </w:rPr>
              <w:t>-</w:t>
            </w:r>
          </w:p>
        </w:tc>
      </w:tr>
      <w:tr>
        <w:tc>
          <w:tcPr>
            <w:tcW w:type="dxa" w:w="2556"/>
            <w:vAlign w:val="center"/>
          </w:tcPr>
          <w:p>
            <w:r/>
            <w:r>
              <w:rPr>
                <w:b w:val="0"/>
                <w:sz w:val="16"/>
              </w:rPr>
              <w:t>3</w:t>
            </w:r>
          </w:p>
        </w:tc>
        <w:tc>
          <w:tcPr>
            <w:tcW w:type="dxa" w:w="2556"/>
            <w:vAlign w:val="center"/>
          </w:tcPr>
          <w:p>
            <w:r/>
            <w:r>
              <w:rPr>
                <w:b w:val="0"/>
                <w:sz w:val="16"/>
              </w:rPr>
              <w:t>125,490,792</w:t>
            </w:r>
          </w:p>
        </w:tc>
        <w:tc>
          <w:tcPr>
            <w:tcW w:type="dxa" w:w="2556"/>
            <w:vAlign w:val="center"/>
          </w:tcPr>
          <w:p>
            <w:r/>
            <w:r>
              <w:rPr>
                <w:b w:val="0"/>
                <w:sz w:val="16"/>
              </w:rPr>
              <w:t>0.3172</w:t>
            </w:r>
          </w:p>
        </w:tc>
        <w:tc>
          <w:tcPr>
            <w:tcW w:type="dxa" w:w="2556"/>
            <w:vAlign w:val="center"/>
          </w:tcPr>
          <w:p>
            <w:r/>
            <w:r>
              <w:rPr>
                <w:b w:val="0"/>
                <w:sz w:val="16"/>
              </w:rPr>
              <w:t>22.30%</w:t>
            </w:r>
          </w:p>
        </w:tc>
      </w:tr>
      <w:tr>
        <w:tc>
          <w:tcPr>
            <w:tcW w:type="dxa" w:w="2556"/>
            <w:vAlign w:val="center"/>
          </w:tcPr>
          <w:p>
            <w:r/>
            <w:r>
              <w:rPr>
                <w:b w:val="0"/>
                <w:sz w:val="16"/>
              </w:rPr>
              <w:t>4</w:t>
            </w:r>
          </w:p>
        </w:tc>
        <w:tc>
          <w:tcPr>
            <w:tcW w:type="dxa" w:w="2556"/>
            <w:vAlign w:val="center"/>
          </w:tcPr>
          <w:p>
            <w:r/>
            <w:r>
              <w:rPr>
                <w:b w:val="0"/>
                <w:sz w:val="16"/>
              </w:rPr>
              <w:t>111,200,176</w:t>
            </w:r>
          </w:p>
        </w:tc>
        <w:tc>
          <w:tcPr>
            <w:tcW w:type="dxa" w:w="2556"/>
            <w:vAlign w:val="center"/>
          </w:tcPr>
          <w:p>
            <w:r/>
            <w:r>
              <w:rPr>
                <w:b w:val="0"/>
                <w:sz w:val="16"/>
              </w:rPr>
              <w:t>0.2448</w:t>
            </w:r>
          </w:p>
        </w:tc>
        <w:tc>
          <w:tcPr>
            <w:tcW w:type="dxa" w:w="2556"/>
            <w:vAlign w:val="center"/>
          </w:tcPr>
          <w:p>
            <w:r/>
            <w:r>
              <w:rPr>
                <w:b w:val="0"/>
                <w:sz w:val="16"/>
              </w:rPr>
              <w:t>11.39%</w:t>
            </w:r>
          </w:p>
        </w:tc>
      </w:tr>
    </w:tbl>
    <w:p>
      <w:pPr>
        <w:jc w:val="center"/>
      </w:pPr>
      <w:r>
        <w:rPr>
          <w:i/>
          <w:color w:val="5A5A5A"/>
          <w:sz w:val="16"/>
        </w:rPr>
        <w:t>Tabla 2. Comparación de K-Means para k = 2, 3 y 4. Fuente: salida del notebook.</w:t>
      </w:r>
    </w:p>
    <w:p>
      <w:r>
        <w:drawing>
          <wp:inline xmlns:a="http://schemas.openxmlformats.org/drawingml/2006/main" xmlns:pic="http://schemas.openxmlformats.org/drawingml/2006/picture">
            <wp:extent cx="4480560" cy="3047559"/>
            <wp:docPr id="2" name="Picture 2"/>
            <wp:cNvGraphicFramePr>
              <a:graphicFrameLocks noChangeAspect="1"/>
            </wp:cNvGraphicFramePr>
            <a:graphic>
              <a:graphicData uri="http://schemas.openxmlformats.org/drawingml/2006/picture">
                <pic:pic>
                  <pic:nvPicPr>
                    <pic:cNvPr id="0" name="cell_16_image_0.png"/>
                    <pic:cNvPicPr/>
                  </pic:nvPicPr>
                  <pic:blipFill>
                    <a:blip r:embed="rId10"/>
                    <a:stretch>
                      <a:fillRect/>
                    </a:stretch>
                  </pic:blipFill>
                  <pic:spPr>
                    <a:xfrm>
                      <a:off x="0" y="0"/>
                      <a:ext cx="4480560" cy="3047559"/>
                    </a:xfrm>
                    <a:prstGeom prst="rect"/>
                  </pic:spPr>
                </pic:pic>
              </a:graphicData>
            </a:graphic>
          </wp:inline>
        </w:drawing>
      </w:r>
    </w:p>
    <w:p>
      <w:pPr>
        <w:jc w:val="center"/>
      </w:pPr>
      <w:r>
        <w:rPr>
          <w:i/>
          <w:color w:val="5A5A5A"/>
          <w:sz w:val="16"/>
        </w:rPr>
        <w:t>Figura 2. Método del codo para K-Means. Fuente: salida del notebook.</w:t>
      </w:r>
    </w:p>
    <w:p>
      <w:r>
        <w:drawing>
          <wp:inline xmlns:a="http://schemas.openxmlformats.org/drawingml/2006/main" xmlns:pic="http://schemas.openxmlformats.org/drawingml/2006/picture">
            <wp:extent cx="4480560" cy="3014777"/>
            <wp:docPr id="3" name="Picture 3"/>
            <wp:cNvGraphicFramePr>
              <a:graphicFrameLocks noChangeAspect="1"/>
            </wp:cNvGraphicFramePr>
            <a:graphic>
              <a:graphicData uri="http://schemas.openxmlformats.org/drawingml/2006/picture">
                <pic:pic>
                  <pic:nvPicPr>
                    <pic:cNvPr id="0" name="cell_16_image_1.png"/>
                    <pic:cNvPicPr/>
                  </pic:nvPicPr>
                  <pic:blipFill>
                    <a:blip r:embed="rId11"/>
                    <a:stretch>
                      <a:fillRect/>
                    </a:stretch>
                  </pic:blipFill>
                  <pic:spPr>
                    <a:xfrm>
                      <a:off x="0" y="0"/>
                      <a:ext cx="4480560" cy="3014777"/>
                    </a:xfrm>
                    <a:prstGeom prst="rect"/>
                  </pic:spPr>
                </pic:pic>
              </a:graphicData>
            </a:graphic>
          </wp:inline>
        </w:drawing>
      </w:r>
    </w:p>
    <w:p>
      <w:pPr>
        <w:jc w:val="center"/>
      </w:pPr>
      <w:r>
        <w:rPr>
          <w:i/>
          <w:color w:val="5A5A5A"/>
          <w:sz w:val="16"/>
        </w:rPr>
        <w:t>Figura 3. Coeficiente de silueta por número de clústeres. Fuente: salida del notebook.</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pPr>
              <w:jc w:val="center"/>
            </w:pPr>
            <w:r/>
            <w:r>
              <w:rPr>
                <w:b/>
                <w:sz w:val="16"/>
              </w:rPr>
              <w:t>Clúster</w:t>
            </w:r>
          </w:p>
        </w:tc>
        <w:tc>
          <w:tcPr>
            <w:tcW w:type="dxa" w:w="1704"/>
            <w:vAlign w:val="center"/>
          </w:tcPr>
          <w:p>
            <w:pPr>
              <w:jc w:val="center"/>
            </w:pPr>
            <w:r/>
            <w:r>
              <w:rPr>
                <w:b/>
                <w:sz w:val="16"/>
              </w:rPr>
              <w:t>n imágenes</w:t>
            </w:r>
          </w:p>
        </w:tc>
        <w:tc>
          <w:tcPr>
            <w:tcW w:type="dxa" w:w="1704"/>
            <w:vAlign w:val="center"/>
          </w:tcPr>
          <w:p>
            <w:pPr>
              <w:jc w:val="center"/>
            </w:pPr>
            <w:r/>
            <w:r>
              <w:rPr>
                <w:b/>
                <w:sz w:val="16"/>
              </w:rPr>
              <w:t>Clase dominante</w:t>
            </w:r>
          </w:p>
        </w:tc>
        <w:tc>
          <w:tcPr>
            <w:tcW w:type="dxa" w:w="1704"/>
            <w:vAlign w:val="center"/>
          </w:tcPr>
          <w:p>
            <w:pPr>
              <w:jc w:val="center"/>
            </w:pPr>
            <w:r/>
            <w:r>
              <w:rPr>
                <w:b/>
                <w:sz w:val="16"/>
              </w:rPr>
              <w:t>Pureza aprox.</w:t>
            </w:r>
          </w:p>
        </w:tc>
        <w:tc>
          <w:tcPr>
            <w:tcW w:type="dxa" w:w="1704"/>
            <w:vAlign w:val="center"/>
          </w:tcPr>
          <w:p>
            <w:pPr>
              <w:jc w:val="center"/>
            </w:pPr>
            <w:r/>
            <w:r>
              <w:rPr>
                <w:b/>
                <w:sz w:val="16"/>
              </w:rPr>
              <w:t>Composición principal</w:t>
            </w:r>
          </w:p>
        </w:tc>
        <w:tc>
          <w:tcPr>
            <w:tcW w:type="dxa" w:w="1704"/>
            <w:vAlign w:val="center"/>
          </w:tcPr>
          <w:p>
            <w:pPr>
              <w:jc w:val="center"/>
            </w:pPr>
            <w:r/>
            <w:r>
              <w:rPr>
                <w:b/>
                <w:sz w:val="16"/>
              </w:rPr>
              <w:t>Interpretación</w:t>
            </w:r>
          </w:p>
        </w:tc>
      </w:tr>
      <w:tr>
        <w:tc>
          <w:tcPr>
            <w:tcW w:type="dxa" w:w="1704"/>
            <w:vAlign w:val="center"/>
          </w:tcPr>
          <w:p>
            <w:r/>
            <w:r>
              <w:rPr>
                <w:b w:val="0"/>
                <w:sz w:val="16"/>
              </w:rPr>
              <w:t>0</w:t>
            </w:r>
          </w:p>
        </w:tc>
        <w:tc>
          <w:tcPr>
            <w:tcW w:type="dxa" w:w="1704"/>
            <w:vAlign w:val="center"/>
          </w:tcPr>
          <w:p>
            <w:r/>
            <w:r>
              <w:rPr>
                <w:b w:val="0"/>
                <w:sz w:val="16"/>
              </w:rPr>
              <w:t>16,315</w:t>
            </w:r>
          </w:p>
        </w:tc>
        <w:tc>
          <w:tcPr>
            <w:tcW w:type="dxa" w:w="1704"/>
            <w:vAlign w:val="center"/>
          </w:tcPr>
          <w:p>
            <w:r/>
            <w:r>
              <w:rPr>
                <w:b w:val="0"/>
                <w:sz w:val="16"/>
              </w:rPr>
              <w:t>Forest</w:t>
            </w:r>
          </w:p>
        </w:tc>
        <w:tc>
          <w:tcPr>
            <w:tcW w:type="dxa" w:w="1704"/>
            <w:vAlign w:val="center"/>
          </w:tcPr>
          <w:p>
            <w:r/>
            <w:r>
              <w:rPr>
                <w:b w:val="0"/>
                <w:sz w:val="16"/>
              </w:rPr>
              <w:t>18.39%</w:t>
            </w:r>
          </w:p>
        </w:tc>
        <w:tc>
          <w:tcPr>
            <w:tcW w:type="dxa" w:w="1704"/>
            <w:vAlign w:val="center"/>
          </w:tcPr>
          <w:p>
            <w:r/>
            <w:r>
              <w:rPr>
                <w:b w:val="0"/>
                <w:sz w:val="16"/>
              </w:rPr>
              <w:t>Forest (18.4%), SeaLake (15.3%), River (13.4%)</w:t>
            </w:r>
          </w:p>
        </w:tc>
        <w:tc>
          <w:tcPr>
            <w:tcW w:type="dxa" w:w="1704"/>
            <w:vAlign w:val="center"/>
          </w:tcPr>
          <w:p>
            <w:r/>
            <w:r>
              <w:rPr>
                <w:b w:val="0"/>
                <w:sz w:val="16"/>
              </w:rPr>
              <w:t>Natural-hídrico</w:t>
            </w:r>
          </w:p>
        </w:tc>
      </w:tr>
      <w:tr>
        <w:tc>
          <w:tcPr>
            <w:tcW w:type="dxa" w:w="1704"/>
            <w:vAlign w:val="center"/>
          </w:tcPr>
          <w:p>
            <w:r/>
            <w:r>
              <w:rPr>
                <w:b w:val="0"/>
                <w:sz w:val="16"/>
              </w:rPr>
              <w:t>1</w:t>
            </w:r>
          </w:p>
        </w:tc>
        <w:tc>
          <w:tcPr>
            <w:tcW w:type="dxa" w:w="1704"/>
            <w:vAlign w:val="center"/>
          </w:tcPr>
          <w:p>
            <w:r/>
            <w:r>
              <w:rPr>
                <w:b w:val="0"/>
                <w:sz w:val="16"/>
              </w:rPr>
              <w:t>10,685</w:t>
            </w:r>
          </w:p>
        </w:tc>
        <w:tc>
          <w:tcPr>
            <w:tcW w:type="dxa" w:w="1704"/>
            <w:vAlign w:val="center"/>
          </w:tcPr>
          <w:p>
            <w:r/>
            <w:r>
              <w:rPr>
                <w:b w:val="0"/>
                <w:sz w:val="16"/>
              </w:rPr>
              <w:t>Industrial</w:t>
            </w:r>
          </w:p>
        </w:tc>
        <w:tc>
          <w:tcPr>
            <w:tcW w:type="dxa" w:w="1704"/>
            <w:vAlign w:val="center"/>
          </w:tcPr>
          <w:p>
            <w:r/>
            <w:r>
              <w:rPr>
                <w:b w:val="0"/>
                <w:sz w:val="16"/>
              </w:rPr>
              <w:t>21.99%</w:t>
            </w:r>
          </w:p>
        </w:tc>
        <w:tc>
          <w:tcPr>
            <w:tcW w:type="dxa" w:w="1704"/>
            <w:vAlign w:val="center"/>
          </w:tcPr>
          <w:p>
            <w:r/>
            <w:r>
              <w:rPr>
                <w:b w:val="0"/>
                <w:sz w:val="16"/>
              </w:rPr>
              <w:t>Industrial (22.0%), AnnualCrop (20.9%), PermanentCrop (15.9%)</w:t>
            </w:r>
          </w:p>
        </w:tc>
        <w:tc>
          <w:tcPr>
            <w:tcW w:type="dxa" w:w="1704"/>
            <w:vAlign w:val="center"/>
          </w:tcPr>
          <w:p>
            <w:r/>
            <w:r>
              <w:rPr>
                <w:b w:val="0"/>
                <w:sz w:val="16"/>
              </w:rPr>
              <w:t>Intervenido/productivo</w:t>
            </w:r>
          </w:p>
        </w:tc>
      </w:tr>
    </w:tbl>
    <w:p>
      <w:pPr>
        <w:jc w:val="center"/>
      </w:pPr>
      <w:r>
        <w:rPr>
          <w:i/>
          <w:color w:val="5A5A5A"/>
          <w:sz w:val="16"/>
        </w:rPr>
        <w:t>Tabla 3. Perfil de los clústeres K-Means con k = 2. Fuente: salida del notebook.</w:t>
      </w:r>
    </w:p>
    <w:p>
      <w:r>
        <w:t>El clúster 0 se interpreta como natural-hídrico, por su mayor presencia relativa de Forest, SeaLake y River. El clúster 1 se interpreta como intervenido/productivo, con mayor presencia de Industrial, AnnualCrop y PermanentCrop. Este segundo grupo es el principal candidato para revisión agroecológica por su mayor componente urbano-industrial.</w:t>
      </w:r>
    </w:p>
    <w:p>
      <w:pPr>
        <w:pStyle w:val="Heading1"/>
      </w:pPr>
      <w:r>
        <w:t>DBSCAN</w:t>
      </w:r>
    </w:p>
    <w:p>
      <w:r>
        <w:t>DBSCAN se ajustó sobre el espacio PCA estandarizado. La selección de eps se apoyó en el gráfico k-distance y en cuantiles altos de la distancia al vecino 10. Los candidatos registrados en el notebook fueron: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jc w:val="center"/>
            </w:pPr>
            <w:r/>
            <w:r>
              <w:rPr>
                <w:b/>
                <w:sz w:val="16"/>
              </w:rPr>
              <w:t>Cuantil</w:t>
            </w:r>
          </w:p>
        </w:tc>
        <w:tc>
          <w:tcPr>
            <w:tcW w:type="dxa" w:w="5112"/>
            <w:vAlign w:val="center"/>
          </w:tcPr>
          <w:p>
            <w:pPr>
              <w:jc w:val="center"/>
            </w:pPr>
            <w:r/>
            <w:r>
              <w:rPr>
                <w:b/>
                <w:sz w:val="16"/>
              </w:rPr>
              <w:t>eps candidato</w:t>
            </w:r>
          </w:p>
        </w:tc>
      </w:tr>
      <w:tr>
        <w:tc>
          <w:tcPr>
            <w:tcW w:type="dxa" w:w="5112"/>
            <w:vAlign w:val="center"/>
          </w:tcPr>
          <w:p>
            <w:r/>
            <w:r>
              <w:rPr>
                <w:b w:val="0"/>
                <w:sz w:val="16"/>
              </w:rPr>
              <w:t>0.85</w:t>
            </w:r>
          </w:p>
        </w:tc>
        <w:tc>
          <w:tcPr>
            <w:tcW w:type="dxa" w:w="5112"/>
            <w:vAlign w:val="center"/>
          </w:tcPr>
          <w:p>
            <w:r/>
            <w:r>
              <w:rPr>
                <w:b w:val="0"/>
                <w:sz w:val="16"/>
              </w:rPr>
              <w:t>16.826</w:t>
            </w:r>
          </w:p>
        </w:tc>
      </w:tr>
      <w:tr>
        <w:tc>
          <w:tcPr>
            <w:tcW w:type="dxa" w:w="5112"/>
            <w:vAlign w:val="center"/>
          </w:tcPr>
          <w:p>
            <w:r/>
            <w:r>
              <w:rPr>
                <w:b w:val="0"/>
                <w:sz w:val="16"/>
              </w:rPr>
              <w:t>0.90</w:t>
            </w:r>
          </w:p>
        </w:tc>
        <w:tc>
          <w:tcPr>
            <w:tcW w:type="dxa" w:w="5112"/>
            <w:vAlign w:val="center"/>
          </w:tcPr>
          <w:p>
            <w:r/>
            <w:r>
              <w:rPr>
                <w:b w:val="0"/>
                <w:sz w:val="16"/>
              </w:rPr>
              <w:t>19.378</w:t>
            </w:r>
          </w:p>
        </w:tc>
      </w:tr>
      <w:tr>
        <w:tc>
          <w:tcPr>
            <w:tcW w:type="dxa" w:w="5112"/>
            <w:vAlign w:val="center"/>
          </w:tcPr>
          <w:p>
            <w:r/>
            <w:r>
              <w:rPr>
                <w:b w:val="0"/>
                <w:sz w:val="16"/>
              </w:rPr>
              <w:t>0.95</w:t>
            </w:r>
          </w:p>
        </w:tc>
        <w:tc>
          <w:tcPr>
            <w:tcW w:type="dxa" w:w="5112"/>
            <w:vAlign w:val="center"/>
          </w:tcPr>
          <w:p>
            <w:r/>
            <w:r>
              <w:rPr>
                <w:b w:val="0"/>
                <w:sz w:val="16"/>
              </w:rPr>
              <w:t>23.913</w:t>
            </w:r>
          </w:p>
        </w:tc>
      </w:tr>
    </w:tbl>
    <w:p>
      <w:pPr>
        <w:jc w:val="center"/>
      </w:pPr>
      <w:r>
        <w:rPr>
          <w:i/>
          <w:color w:val="5A5A5A"/>
          <w:sz w:val="16"/>
        </w:rPr>
        <w:t>Tabla 4. Candidatos de eps para DBSCAN. Fuente: salida del notebook.</w:t>
      </w:r>
    </w:p>
    <w:p>
      <w:r>
        <w:drawing>
          <wp:inline xmlns:a="http://schemas.openxmlformats.org/drawingml/2006/main" xmlns:pic="http://schemas.openxmlformats.org/drawingml/2006/picture">
            <wp:extent cx="5212080" cy="3206384"/>
            <wp:docPr id="4" name="Picture 4"/>
            <wp:cNvGraphicFramePr>
              <a:graphicFrameLocks noChangeAspect="1"/>
            </wp:cNvGraphicFramePr>
            <a:graphic>
              <a:graphicData uri="http://schemas.openxmlformats.org/drawingml/2006/picture">
                <pic:pic>
                  <pic:nvPicPr>
                    <pic:cNvPr id="0" name="cell_25_image_0.png"/>
                    <pic:cNvPicPr/>
                  </pic:nvPicPr>
                  <pic:blipFill>
                    <a:blip r:embed="rId12"/>
                    <a:stretch>
                      <a:fillRect/>
                    </a:stretch>
                  </pic:blipFill>
                  <pic:spPr>
                    <a:xfrm>
                      <a:off x="0" y="0"/>
                      <a:ext cx="5212080" cy="3206384"/>
                    </a:xfrm>
                    <a:prstGeom prst="rect"/>
                  </pic:spPr>
                </pic:pic>
              </a:graphicData>
            </a:graphic>
          </wp:inline>
        </w:drawing>
      </w:r>
    </w:p>
    <w:p>
      <w:pPr>
        <w:jc w:val="center"/>
      </w:pPr>
      <w:r>
        <w:rPr>
          <w:i/>
          <w:color w:val="5A5A5A"/>
          <w:sz w:val="16"/>
        </w:rPr>
        <w:t>Figura 4. Gráfico k-distance para selección preliminar de eps. Fuente: salida del notebook.</w:t>
      </w:r>
    </w:p>
    <w:p>
      <w:r>
        <w:t>Con la configuración final, DBSCAN encontró un único clúster denso y una fracción baja de ruido. Por ello, no se interpreta como segmentador principal de coberturas, sino como complemento para detectar imágenes atípicas.</w:t>
      </w:r>
    </w:p>
    <w:p>
      <w:pPr>
        <w:pStyle w:val="Heading1"/>
      </w:pPr>
      <w:r>
        <w:t>Validación</w:t>
      </w:r>
    </w:p>
    <w:p>
      <w:r>
        <w:t>La validación externa cruzó las etiquetas reales de EuroSAT con los clústeres obtenidos. Los resultados del notebook muestran una correspondencia limitada con las 10 clases reales, lo cual es esperable en un esquema no supervisado basado en similitud visual en el espacio PCA.</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tcPr>
          <w:p>
            <w:pPr>
              <w:jc w:val="center"/>
            </w:pPr>
            <w:r/>
            <w:r>
              <w:rPr>
                <w:b/>
                <w:sz w:val="16"/>
              </w:rPr>
              <w:t>Modelo</w:t>
            </w:r>
          </w:p>
        </w:tc>
        <w:tc>
          <w:tcPr>
            <w:tcW w:type="dxa" w:w="1461"/>
            <w:vAlign w:val="center"/>
          </w:tcPr>
          <w:p>
            <w:pPr>
              <w:jc w:val="center"/>
            </w:pPr>
            <w:r/>
            <w:r>
              <w:rPr>
                <w:b/>
                <w:sz w:val="16"/>
              </w:rPr>
              <w:t>Ruido</w:t>
            </w:r>
          </w:p>
        </w:tc>
        <w:tc>
          <w:tcPr>
            <w:tcW w:type="dxa" w:w="1461"/>
            <w:vAlign w:val="center"/>
          </w:tcPr>
          <w:p>
            <w:pPr>
              <w:jc w:val="center"/>
            </w:pPr>
            <w:r/>
            <w:r>
              <w:rPr>
                <w:b/>
                <w:sz w:val="16"/>
              </w:rPr>
              <w:t>n imágenes</w:t>
            </w:r>
          </w:p>
        </w:tc>
        <w:tc>
          <w:tcPr>
            <w:tcW w:type="dxa" w:w="1461"/>
            <w:vAlign w:val="center"/>
          </w:tcPr>
          <w:p>
            <w:pPr>
              <w:jc w:val="center"/>
            </w:pPr>
            <w:r/>
            <w:r>
              <w:rPr>
                <w:b/>
                <w:sz w:val="16"/>
              </w:rPr>
              <w:t>Clústeres</w:t>
            </w:r>
          </w:p>
        </w:tc>
        <w:tc>
          <w:tcPr>
            <w:tcW w:type="dxa" w:w="1461"/>
            <w:vAlign w:val="center"/>
          </w:tcPr>
          <w:p>
            <w:pPr>
              <w:jc w:val="center"/>
            </w:pPr>
            <w:r/>
            <w:r>
              <w:rPr>
                <w:b/>
                <w:sz w:val="16"/>
              </w:rPr>
              <w:t>% ruido</w:t>
            </w:r>
          </w:p>
        </w:tc>
        <w:tc>
          <w:tcPr>
            <w:tcW w:type="dxa" w:w="1461"/>
            <w:vAlign w:val="center"/>
          </w:tcPr>
          <w:p>
            <w:pPr>
              <w:jc w:val="center"/>
            </w:pPr>
            <w:r/>
            <w:r>
              <w:rPr>
                <w:b/>
                <w:sz w:val="16"/>
              </w:rPr>
              <w:t>ARI</w:t>
            </w:r>
          </w:p>
        </w:tc>
        <w:tc>
          <w:tcPr>
            <w:tcW w:type="dxa" w:w="1461"/>
            <w:vAlign w:val="center"/>
          </w:tcPr>
          <w:p>
            <w:pPr>
              <w:jc w:val="center"/>
            </w:pPr>
            <w:r/>
            <w:r>
              <w:rPr>
                <w:b/>
                <w:sz w:val="16"/>
              </w:rPr>
              <w:t>NMI</w:t>
            </w:r>
          </w:p>
        </w:tc>
      </w:tr>
      <w:tr>
        <w:tc>
          <w:tcPr>
            <w:tcW w:type="dxa" w:w="1461"/>
            <w:vAlign w:val="center"/>
          </w:tcPr>
          <w:p>
            <w:r/>
            <w:r>
              <w:rPr>
                <w:b w:val="0"/>
                <w:sz w:val="16"/>
              </w:rPr>
              <w:t>KMEANS</w:t>
            </w:r>
          </w:p>
        </w:tc>
        <w:tc>
          <w:tcPr>
            <w:tcW w:type="dxa" w:w="1461"/>
            <w:vAlign w:val="center"/>
          </w:tcPr>
          <w:p>
            <w:r/>
            <w:r>
              <w:rPr>
                <w:b w:val="0"/>
                <w:sz w:val="16"/>
              </w:rPr>
              <w:t>No aplica</w:t>
            </w:r>
          </w:p>
        </w:tc>
        <w:tc>
          <w:tcPr>
            <w:tcW w:type="dxa" w:w="1461"/>
            <w:vAlign w:val="center"/>
          </w:tcPr>
          <w:p>
            <w:r/>
            <w:r>
              <w:rPr>
                <w:b w:val="0"/>
                <w:sz w:val="16"/>
              </w:rPr>
              <w:t>27,000</w:t>
            </w:r>
          </w:p>
        </w:tc>
        <w:tc>
          <w:tcPr>
            <w:tcW w:type="dxa" w:w="1461"/>
            <w:vAlign w:val="center"/>
          </w:tcPr>
          <w:p>
            <w:r/>
            <w:r>
              <w:rPr>
                <w:b w:val="0"/>
                <w:sz w:val="16"/>
              </w:rPr>
              <w:t>2</w:t>
            </w:r>
          </w:p>
        </w:tc>
        <w:tc>
          <w:tcPr>
            <w:tcW w:type="dxa" w:w="1461"/>
            <w:vAlign w:val="center"/>
          </w:tcPr>
          <w:p>
            <w:r/>
            <w:r>
              <w:rPr>
                <w:b w:val="0"/>
                <w:sz w:val="16"/>
              </w:rPr>
              <w:t>0.000</w:t>
            </w:r>
          </w:p>
        </w:tc>
        <w:tc>
          <w:tcPr>
            <w:tcW w:type="dxa" w:w="1461"/>
            <w:vAlign w:val="center"/>
          </w:tcPr>
          <w:p>
            <w:r/>
            <w:r>
              <w:rPr>
                <w:b w:val="0"/>
                <w:sz w:val="16"/>
              </w:rPr>
              <w:t>0.065</w:t>
            </w:r>
          </w:p>
        </w:tc>
        <w:tc>
          <w:tcPr>
            <w:tcW w:type="dxa" w:w="1461"/>
            <w:vAlign w:val="center"/>
          </w:tcPr>
          <w:p>
            <w:r/>
            <w:r>
              <w:rPr>
                <w:b w:val="0"/>
                <w:sz w:val="16"/>
              </w:rPr>
              <w:t>0.138</w:t>
            </w:r>
          </w:p>
        </w:tc>
      </w:tr>
      <w:tr>
        <w:tc>
          <w:tcPr>
            <w:tcW w:type="dxa" w:w="1461"/>
            <w:vAlign w:val="center"/>
          </w:tcPr>
          <w:p>
            <w:r/>
            <w:r>
              <w:rPr>
                <w:b w:val="0"/>
                <w:sz w:val="16"/>
              </w:rPr>
              <w:t>DBSCAN</w:t>
            </w:r>
          </w:p>
        </w:tc>
        <w:tc>
          <w:tcPr>
            <w:tcW w:type="dxa" w:w="1461"/>
            <w:vAlign w:val="center"/>
          </w:tcPr>
          <w:p>
            <w:r/>
            <w:r>
              <w:rPr>
                <w:b w:val="0"/>
                <w:sz w:val="16"/>
              </w:rPr>
              <w:t>Incluido</w:t>
            </w:r>
          </w:p>
        </w:tc>
        <w:tc>
          <w:tcPr>
            <w:tcW w:type="dxa" w:w="1461"/>
            <w:vAlign w:val="center"/>
          </w:tcPr>
          <w:p>
            <w:r/>
            <w:r>
              <w:rPr>
                <w:b w:val="0"/>
                <w:sz w:val="16"/>
              </w:rPr>
              <w:t>27,000</w:t>
            </w:r>
          </w:p>
        </w:tc>
        <w:tc>
          <w:tcPr>
            <w:tcW w:type="dxa" w:w="1461"/>
            <w:vAlign w:val="center"/>
          </w:tcPr>
          <w:p>
            <w:r/>
            <w:r>
              <w:rPr>
                <w:b w:val="0"/>
                <w:sz w:val="16"/>
              </w:rPr>
              <w:t>1</w:t>
            </w:r>
          </w:p>
        </w:tc>
        <w:tc>
          <w:tcPr>
            <w:tcW w:type="dxa" w:w="1461"/>
            <w:vAlign w:val="center"/>
          </w:tcPr>
          <w:p>
            <w:r/>
            <w:r>
              <w:rPr>
                <w:b w:val="0"/>
                <w:sz w:val="16"/>
              </w:rPr>
              <w:t>4.411</w:t>
            </w:r>
          </w:p>
        </w:tc>
        <w:tc>
          <w:tcPr>
            <w:tcW w:type="dxa" w:w="1461"/>
            <w:vAlign w:val="center"/>
          </w:tcPr>
          <w:p>
            <w:r/>
            <w:r>
              <w:rPr>
                <w:b w:val="0"/>
                <w:sz w:val="16"/>
              </w:rPr>
              <w:t>0.009</w:t>
            </w:r>
          </w:p>
        </w:tc>
        <w:tc>
          <w:tcPr>
            <w:tcW w:type="dxa" w:w="1461"/>
            <w:vAlign w:val="center"/>
          </w:tcPr>
          <w:p>
            <w:r/>
            <w:r>
              <w:rPr>
                <w:b w:val="0"/>
                <w:sz w:val="16"/>
              </w:rPr>
              <w:t>0.080</w:t>
            </w:r>
          </w:p>
        </w:tc>
      </w:tr>
      <w:tr>
        <w:tc>
          <w:tcPr>
            <w:tcW w:type="dxa" w:w="1461"/>
            <w:vAlign w:val="center"/>
          </w:tcPr>
          <w:p>
            <w:r/>
            <w:r>
              <w:rPr>
                <w:b w:val="0"/>
                <w:sz w:val="16"/>
              </w:rPr>
              <w:t>DBSCAN</w:t>
            </w:r>
          </w:p>
        </w:tc>
        <w:tc>
          <w:tcPr>
            <w:tcW w:type="dxa" w:w="1461"/>
            <w:vAlign w:val="center"/>
          </w:tcPr>
          <w:p>
            <w:r/>
            <w:r>
              <w:rPr>
                <w:b w:val="0"/>
                <w:sz w:val="16"/>
              </w:rPr>
              <w:t>Excluido</w:t>
            </w:r>
          </w:p>
        </w:tc>
        <w:tc>
          <w:tcPr>
            <w:tcW w:type="dxa" w:w="1461"/>
            <w:vAlign w:val="center"/>
          </w:tcPr>
          <w:p>
            <w:r/>
            <w:r>
              <w:rPr>
                <w:b w:val="0"/>
                <w:sz w:val="16"/>
              </w:rPr>
              <w:t>25,809</w:t>
            </w:r>
          </w:p>
        </w:tc>
        <w:tc>
          <w:tcPr>
            <w:tcW w:type="dxa" w:w="1461"/>
            <w:vAlign w:val="center"/>
          </w:tcPr>
          <w:p>
            <w:r/>
            <w:r>
              <w:rPr>
                <w:b w:val="0"/>
                <w:sz w:val="16"/>
              </w:rPr>
              <w:t>1</w:t>
            </w:r>
          </w:p>
        </w:tc>
        <w:tc>
          <w:tcPr>
            <w:tcW w:type="dxa" w:w="1461"/>
            <w:vAlign w:val="center"/>
          </w:tcPr>
          <w:p>
            <w:r/>
            <w:r>
              <w:rPr>
                <w:b w:val="0"/>
                <w:sz w:val="16"/>
              </w:rPr>
              <w:t>0.000</w:t>
            </w:r>
          </w:p>
        </w:tc>
        <w:tc>
          <w:tcPr>
            <w:tcW w:type="dxa" w:w="1461"/>
            <w:vAlign w:val="center"/>
          </w:tcPr>
          <w:p>
            <w:r/>
            <w:r>
              <w:rPr>
                <w:b w:val="0"/>
                <w:sz w:val="16"/>
              </w:rPr>
              <w:t>0.000</w:t>
            </w:r>
          </w:p>
        </w:tc>
        <w:tc>
          <w:tcPr>
            <w:tcW w:type="dxa" w:w="1461"/>
            <w:vAlign w:val="center"/>
          </w:tcPr>
          <w:p>
            <w:r/>
            <w:r>
              <w:rPr>
                <w:b w:val="0"/>
                <w:sz w:val="16"/>
              </w:rPr>
              <w:t>0.000</w:t>
            </w:r>
          </w:p>
        </w:tc>
      </w:tr>
    </w:tbl>
    <w:p>
      <w:pPr>
        <w:jc w:val="center"/>
      </w:pPr>
      <w:r>
        <w:rPr>
          <w:i/>
          <w:color w:val="5A5A5A"/>
          <w:sz w:val="16"/>
        </w:rPr>
        <w:t>Tabla 5. Validación externa con etiquetas reales EuroSAT. Fuente: salida del notebook.</w:t>
      </w:r>
    </w:p>
    <w:p>
      <w:pPr>
        <w:pStyle w:val="Heading1"/>
      </w:pPr>
      <w:r>
        <w:t>Conclusiones</w:t>
      </w:r>
    </w:p>
    <w:p>
      <w:pPr>
        <w:spacing w:after="60"/>
      </w:pPr>
      <w:r>
        <w:rPr>
          <w:b/>
        </w:rPr>
        <w:t xml:space="preserve">• </w:t>
      </w:r>
      <w:r>
        <w:t>La silueta selecciona k = 2, indicando la separación más robusta en dos macrogrupos. Sin embargo, el método del codo sugiere una posible estructura más granular entre k = 3 y k = 4; estas alternativas podrían explorarse si se requiere perfilado agroecológico más detallado.</w:t>
      </w:r>
    </w:p>
    <w:p>
      <w:pPr>
        <w:spacing w:after="60"/>
      </w:pPr>
      <w:r>
        <w:rPr>
          <w:b/>
        </w:rPr>
        <w:t xml:space="preserve">• </w:t>
      </w:r>
      <w:r>
        <w:t>K-Means con k = 2 separa parcialmente un perfil natural-hídrico frente a un perfil intervenido/productivo. La solución es útil para priorización, pero no equivale a una clasificación fina de las 10 clases EuroSAT.</w:t>
      </w:r>
    </w:p>
    <w:p>
      <w:pPr>
        <w:spacing w:after="60"/>
      </w:pPr>
      <w:r>
        <w:rPr>
          <w:b/>
        </w:rPr>
        <w:t xml:space="preserve">• </w:t>
      </w:r>
      <w:r>
        <w:t>DBSCAN no generó múltiples clústeres interpretables, pero complementa el análisis al identificar imágenes atípicas. En conjunto, el procedimiento funciona como una herramienta inicial de tamizaje posterior a eventos climáticos extremos.</w:t>
      </w:r>
    </w:p>
    <w:p>
      <w:pPr>
        <w:jc w:val="left"/>
      </w:pPr>
      <w:r>
        <w:rPr>
          <w:i/>
          <w:color w:val="5A5A5A"/>
          <w:sz w:val="16"/>
        </w:rPr>
        <w:t>Nota: este informe fue reconstruido usando únicamente salidas y textos ya presentes en el notebook ejecutado; no se reejecutaron celdas ni se recalcularon métricas.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