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360"/>
        <w:jc w:val="center"/>
      </w:pPr>
      <w:r>
        <w:rPr>
          <w:rFonts w:ascii="Times New Roman" w:cs="Times New Roman" w:eastAsia="Times New Roman" w:hAnsi="Times New Roman"/>
          <w:b/>
          <w:bCs/>
          <w:sz w:val="28"/>
          <w:szCs w:val="28"/>
        </w:rPr>
        <w:t xml:space="preserve">Kinetics of </w:t>
      </w:r>
      <w:r>
        <w:rPr>
          <w:rFonts w:ascii="Times New Roman" w:cs="Times New Roman" w:eastAsia="Times New Roman" w:hAnsi="Times New Roman"/>
          <w:b/>
          <w:bCs/>
          <w:i/>
          <w:iCs/>
          <w:sz w:val="28"/>
          <w:szCs w:val="28"/>
        </w:rPr>
        <w:t xml:space="preserve">Escherichia coli</w:t>
      </w:r>
      <w:r>
        <w:rPr>
          <w:rFonts w:ascii="Times New Roman" w:cs="Times New Roman" w:eastAsia="Times New Roman" w:hAnsi="Times New Roman"/>
          <w:b/>
          <w:bCs/>
          <w:sz w:val="28"/>
          <w:szCs w:val="28"/>
        </w:rPr>
        <w:t xml:space="preserve"> β-galactosidase with ONPG and its inhibition by IPTG: how initial-rate estimation and model choice shape </w:t>
      </w:r>
      <w:r>
        <w:rPr>
          <w:rFonts w:ascii="Times New Roman" w:cs="Times New Roman" w:eastAsia="Times New Roman" w:hAnsi="Times New Roman"/>
          <w:b/>
          <w:bCs/>
          <w:sz w:val="28"/>
          <w:szCs w:val="28"/>
        </w:rPr>
        <w:t xml:space="preserve">K</w:t>
      </w:r>
      <w:r>
        <w:rPr>
          <w:rFonts w:ascii="Times New Roman" w:cs="Times New Roman" w:eastAsia="Times New Roman" w:hAnsi="Times New Roman"/>
          <w:b/>
          <w:bCs/>
          <w:sz w:val="28"/>
          <w:szCs w:val="28"/>
          <w:vertAlign w:val="subscript"/>
        </w:rPr>
        <w:t xml:space="preserve">m</w:t>
      </w:r>
      <w:r>
        <w:rPr>
          <w:rFonts w:ascii="Times New Roman" w:cs="Times New Roman" w:eastAsia="Times New Roman" w:hAnsi="Times New Roman"/>
          <w:b/>
          <w:bCs/>
          <w:sz w:val="28"/>
          <w:szCs w:val="28"/>
        </w:rPr>
        <w:t xml:space="preserve">, </w:t>
      </w:r>
      <w:r>
        <w:rPr>
          <w:rFonts w:ascii="Times New Roman" w:cs="Times New Roman" w:eastAsia="Times New Roman" w:hAnsi="Times New Roman"/>
          <w:b/>
          <w:bCs/>
          <w:sz w:val="28"/>
          <w:szCs w:val="28"/>
        </w:rPr>
        <w:t xml:space="preserve">V</w:t>
      </w:r>
      <w:r>
        <w:rPr>
          <w:rFonts w:ascii="Times New Roman" w:cs="Times New Roman" w:eastAsia="Times New Roman" w:hAnsi="Times New Roman"/>
          <w:b/>
          <w:bCs/>
          <w:sz w:val="28"/>
          <w:szCs w:val="28"/>
          <w:vertAlign w:val="subscript"/>
        </w:rPr>
        <w:t xml:space="preserve">max</w:t>
      </w:r>
      <w:r>
        <w:rPr>
          <w:rFonts w:ascii="Times New Roman" w:cs="Times New Roman" w:eastAsia="Times New Roman" w:hAnsi="Times New Roman"/>
          <w:b/>
          <w:bCs/>
          <w:sz w:val="28"/>
          <w:szCs w:val="28"/>
        </w:rPr>
        <w:t xml:space="preserve"> and </w:t>
      </w:r>
      <w:r>
        <w:rPr>
          <w:rFonts w:ascii="Times New Roman" w:cs="Times New Roman" w:eastAsia="Times New Roman" w:hAnsi="Times New Roman"/>
          <w:b/>
          <w:bCs/>
          <w:sz w:val="28"/>
          <w:szCs w:val="28"/>
        </w:rPr>
        <w:t xml:space="preserve">K</w:t>
      </w:r>
      <w:r>
        <w:rPr>
          <w:rFonts w:ascii="Times New Roman" w:cs="Times New Roman" w:eastAsia="Times New Roman" w:hAnsi="Times New Roman"/>
          <w:b/>
          <w:bCs/>
          <w:sz w:val="28"/>
          <w:szCs w:val="28"/>
          <w:vertAlign w:val="subscript"/>
        </w:rPr>
        <w:t xml:space="preserve">i</w:t>
      </w:r>
    </w:p>
    <w:p>
      <w:pPr>
        <w:keepNext w:val="false"/>
        <w:keepLines w:val="false"/>
        <w:spacing w:after="100" w:before="0" w:line="360"/>
        <w:jc w:val="both"/>
      </w:pPr>
      <w:r>
        <w:rPr>
          <w:rFonts w:ascii="Times New Roman" w:cs="Times New Roman" w:eastAsia="Times New Roman" w:hAnsi="Times New Roman"/>
          <w:b/>
          <w:bCs/>
          <w:sz w:val="24"/>
          <w:szCs w:val="24"/>
        </w:rPr>
        <w:t xml:space="preserve">Experiment 2: Studying Enzyme Kinetics using Spectrophotometry</w:t>
      </w:r>
    </w:p>
    <w:p>
      <w:pPr>
        <w:keepNext w:val="false"/>
        <w:keepLines w:val="false"/>
        <w:spacing w:after="100" w:before="0" w:line="360"/>
        <w:jc w:val="center"/>
      </w:pPr>
      <w:r>
        <w:rPr>
          <w:rFonts w:ascii="Times New Roman" w:cs="Times New Roman" w:eastAsia="Times New Roman" w:hAnsi="Times New Roman"/>
          <w:sz w:val="24"/>
          <w:szCs w:val="24"/>
        </w:rPr>
        <w:t xml:space="preserve">Methods in Molecular and Cellular Biology, B241</w:t>
      </w:r>
    </w:p>
    <w:p>
      <w:pPr>
        <w:keepNext w:val="false"/>
        <w:keepLines w:val="false"/>
        <w:spacing w:after="100" w:before="0" w:line="360"/>
        <w:jc w:val="center"/>
      </w:pPr>
      <w:r>
        <w:rPr>
          <w:rFonts w:ascii="Times New Roman" w:cs="Times New Roman" w:eastAsia="Times New Roman" w:hAnsi="Times New Roman"/>
          <w:sz w:val="24"/>
          <w:szCs w:val="24"/>
        </w:rPr>
        <w:t xml:space="preserve">Student: Almokhtar Aljarodi</w:t>
      </w:r>
    </w:p>
    <w:p>
      <w:pPr>
        <w:keepNext w:val="false"/>
        <w:keepLines w:val="false"/>
        <w:spacing w:after="100" w:before="0" w:line="360"/>
        <w:jc w:val="center"/>
      </w:pPr>
      <w:r>
        <w:rPr>
          <w:rFonts w:ascii="Times New Roman" w:cs="Times New Roman" w:eastAsia="Times New Roman" w:hAnsi="Times New Roman"/>
          <w:sz w:val="24"/>
          <w:szCs w:val="24"/>
        </w:rPr>
        <w:t xml:space="preserve">Laboratory partner: Abdulrahman Khardali</w:t>
      </w:r>
    </w:p>
    <w:p>
      <w:pPr>
        <w:keepNext w:val="false"/>
        <w:keepLines w:val="false"/>
        <w:spacing w:after="100" w:before="0" w:line="360"/>
        <w:jc w:val="center"/>
      </w:pPr>
      <w:r>
        <w:rPr>
          <w:rFonts w:ascii="Times New Roman" w:cs="Times New Roman" w:eastAsia="Times New Roman" w:hAnsi="Times New Roman"/>
          <w:sz w:val="24"/>
          <w:szCs w:val="24"/>
        </w:rPr>
        <w:t xml:space="preserve">Laboratory sessions: 7 September 2026 (Part II) and 11 September 2026 (Part III); report compiled 11 October 2026</w:t>
      </w:r>
    </w:p>
    <w:p>
      <w:pPr>
        <w:pStyle w:val="Heading1"/>
        <w:keepNext/>
        <w:spacing w:after="120" w:before="240" w:line="360"/>
        <w:jc w:val="left"/>
      </w:pPr>
      <w:r>
        <w:rPr>
          <w:rFonts w:ascii="Times New Roman" w:cs="Times New Roman" w:eastAsia="Times New Roman" w:hAnsi="Times New Roman"/>
          <w:b/>
          <w:bCs/>
          <w:sz w:val="24"/>
          <w:szCs w:val="24"/>
        </w:rPr>
        <w:t xml:space="preserve">Summary</w:t>
      </w:r>
    </w:p>
    <w:p>
      <w:pPr>
        <w:keepNext w:val="false"/>
        <w:keepLines w:val="false"/>
        <w:spacing w:after="100" w:before="0" w:line="360"/>
        <w:jc w:val="both"/>
      </w:pPr>
      <w:r>
        <w:rPr>
          <w:rFonts w:ascii="Times New Roman" w:cs="Times New Roman" w:eastAsia="Times New Roman" w:hAnsi="Times New Roman"/>
          <w:sz w:val="24"/>
          <w:szCs w:val="24"/>
        </w:rPr>
        <w:t xml:space="preserve">Enzyme kinetics condenses an enzyme's response to substrate, inhibitor and its own amount into two constants,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but the numbers obtained depend on how initial velocities are extracted from the measurements. </w:t>
      </w:r>
      <w:r>
        <w:rPr>
          <w:rFonts w:ascii="Times New Roman" w:cs="Times New Roman" w:eastAsia="Times New Roman" w:hAnsi="Times New Roman"/>
          <w:i/>
          <w:iCs/>
          <w:sz w:val="24"/>
          <w:szCs w:val="24"/>
        </w:rPr>
        <w:t xml:space="preserve">Escherichia coli</w:t>
      </w:r>
      <w:r>
        <w:rPr>
          <w:rFonts w:ascii="Times New Roman" w:cs="Times New Roman" w:eastAsia="Times New Roman" w:hAnsi="Times New Roman"/>
          <w:sz w:val="24"/>
          <w:szCs w:val="24"/>
        </w:rPr>
        <w:t xml:space="preserve"> β-galactosidase acting on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-nitrophenyl-β-D-galactopyranoside (ONPG) was followed by stopping timed aliquots with Na</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CO</w:t>
      </w:r>
      <w:r>
        <w:rPr>
          <w:rFonts w:ascii="Times New Roman" w:cs="Times New Roman" w:eastAsia="Times New Roman" w:hAnsi="Times New Roman"/>
          <w:sz w:val="24"/>
          <w:szCs w:val="24"/>
          <w:vertAlign w:val="subscript"/>
        </w:rPr>
        <w:t xml:space="preserve">3</w:t>
      </w:r>
      <w:r>
        <w:rPr>
          <w:rFonts w:ascii="Times New Roman" w:cs="Times New Roman" w:eastAsia="Times New Roman" w:hAnsi="Times New Roman"/>
          <w:sz w:val="24"/>
          <w:szCs w:val="24"/>
        </w:rPr>
        <w:t xml:space="preserve"> and reading the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-nitrophenol formed at 415 nm (ε = 5.22 mM</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cm</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linear to 0.43 mM). A course-provided reference dataset was analysed for the Results; our own measurements were analysed by the same rules and compared in the Discussion. Initial velocity rose approximately in proportion to enzyme (R</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0.97). Over 0.069 to 2.20 mM ONPG the velocity approached saturation: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 0.31 mM and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 0.48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by Lineweaver–Burk, 0.36 mM and 0.49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by nonlinear fitting. With 0.458 mM IPTG the apparent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rose 5.6-fold, inhibition grew as substrate fell, and a competitive model fitted both series better than a noncompetitive one;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was 0.10 mM by the course method and 0.10 to 0.50 mM across estimators, because five of six uninhibited velocities rest on an assumed zero-time absorbance. The observations are consistent with competitive inhibition by IPTG; the constants are model-dependent estimates, not measured quantities.</w:t>
      </w:r>
    </w:p>
    <w:p>
      <w:pPr>
        <w:pStyle w:val="Heading1"/>
        <w:keepNext/>
        <w:pageBreakBefore/>
        <w:spacing w:after="120" w:before="240" w:line="360"/>
        <w:jc w:val="left"/>
      </w:pPr>
      <w:r>
        <w:rPr>
          <w:rFonts w:ascii="Times New Roman" w:cs="Times New Roman" w:eastAsia="Times New Roman" w:hAnsi="Times New Roman"/>
          <w:b/>
          <w:bCs/>
          <w:sz w:val="24"/>
          <w:szCs w:val="24"/>
        </w:rPr>
        <w:t xml:space="preserve">Objectives</w:t>
      </w:r>
    </w:p>
    <w:p>
      <w:pPr>
        <w:keepNext w:val="false"/>
        <w:keepLines w:val="false"/>
        <w:spacing w:after="100" w:before="0" w:line="360"/>
        <w:jc w:val="both"/>
      </w:pPr>
      <w:r>
        <w:rPr>
          <w:rFonts w:ascii="Times New Roman" w:cs="Times New Roman" w:eastAsia="Times New Roman" w:hAnsi="Times New Roman"/>
          <w:sz w:val="24"/>
          <w:szCs w:val="24"/>
        </w:rPr>
        <w:t xml:space="preserve">To test whether the initial velocity of β-galactosidase is proportional to enzyme concentration, to determine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for ONPG hydrolysis, and to establish whether IPTG inhibits the enzyme competitively from its effect on the apparent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and the derived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while examining how the choice of initial-rate window and of fitting method changes each of these estimates.</w:t>
      </w:r>
    </w:p>
    <w:p>
      <w:pPr>
        <w:pStyle w:val="Heading1"/>
        <w:keepNext/>
        <w:spacing w:after="120" w:before="240" w:line="360"/>
        <w:jc w:val="left"/>
      </w:pPr>
      <w:r>
        <w:rPr>
          <w:rFonts w:ascii="Times New Roman" w:cs="Times New Roman" w:eastAsia="Times New Roman" w:hAnsi="Times New Roman"/>
          <w:b/>
          <w:bCs/>
          <w:sz w:val="24"/>
          <w:szCs w:val="24"/>
        </w:rPr>
        <w:t xml:space="preserve">Introduction</w:t>
      </w:r>
    </w:p>
    <w:p>
      <w:pPr>
        <w:keepNext w:val="false"/>
        <w:keepLines w:val="false"/>
        <w:spacing w:after="100" w:before="0" w:line="360"/>
        <w:jc w:val="both"/>
      </w:pPr>
      <w:r>
        <w:rPr>
          <w:rFonts w:ascii="Times New Roman" w:cs="Times New Roman" w:eastAsia="Times New Roman" w:hAnsi="Times New Roman"/>
          <w:sz w:val="24"/>
          <w:szCs w:val="24"/>
        </w:rPr>
        <w:t xml:space="preserve">Enzymes accelerate reactions by binding substrates at active sites, and the dependence of reaction velocity on substrate concentration is the most direct window on how they do it. Michaelis and Menten described this dependence by postulating a reversible enzyme–substrate complex that breaks down to product, which gives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[S]/(</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 [S]) (1, 2).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cat</w:t>
      </w:r>
      <w:r>
        <w:rPr>
          <w:rFonts w:ascii="Times New Roman" w:cs="Times New Roman" w:eastAsia="Times New Roman" w:hAnsi="Times New Roman"/>
          <w:sz w:val="24"/>
          <w:szCs w:val="24"/>
        </w:rPr>
        <w:t xml:space="preserve">[E]</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is the limiting velocity when every active site is occupied and is therefore proportional to the amount of enzyme;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is the substrate concentration at half-maximal velocity and sets how much substrate the enzyme needs to approach it. Lineweaver and Burk rearranged the equation into a straight line, 1/V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)(1/[S]) + 1/</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whose intercepts give the two constants (3). The transformation is the course's required method and the classical teaching representation, but it stretches the low-substrate points, so small errors in the smallest velocities dominate the fitted line (4); a direct fit of the untransformed velocities weights every point equally. This is one of two questions I wanted to examine: how far the constants depend on the mathematics applied to the same measurements. The other is more basic: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is defined at t = 0 but must be estimated from a few stopped samples, and which samples are used, whether a line or a first-interval average is taken, and whether the unmeasured starting absorbance is assumed to be zero are decisions that each change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w:t>
      </w:r>
    </w:p>
    <w:p>
      <w:pPr>
        <w:keepNext w:val="false"/>
        <w:keepLines w:val="false"/>
        <w:spacing w:after="100" w:before="0" w:line="360"/>
        <w:jc w:val="both"/>
      </w:pPr>
      <w:r>
        <w:rPr>
          <w:rFonts w:ascii="Times New Roman" w:cs="Times New Roman" w:eastAsia="Times New Roman" w:hAnsi="Times New Roman"/>
          <w:sz w:val="24"/>
          <w:szCs w:val="24"/>
        </w:rPr>
        <w:t xml:space="preserve">β-Galactosidase (EC 3.2.1.23), the </w:t>
      </w:r>
      <w:r>
        <w:rPr>
          <w:rFonts w:ascii="Times New Roman" w:cs="Times New Roman" w:eastAsia="Times New Roman" w:hAnsi="Times New Roman"/>
          <w:i/>
          <w:iCs/>
          <w:sz w:val="24"/>
          <w:szCs w:val="24"/>
        </w:rPr>
        <w:t xml:space="preserve">lacZ</w:t>
      </w:r>
      <w:r>
        <w:rPr>
          <w:rFonts w:ascii="Times New Roman" w:cs="Times New Roman" w:eastAsia="Times New Roman" w:hAnsi="Times New Roman"/>
          <w:sz w:val="24"/>
          <w:szCs w:val="24"/>
        </w:rPr>
        <w:t xml:space="preserve"> product of </w:t>
      </w:r>
      <w:r>
        <w:rPr>
          <w:rFonts w:ascii="Times New Roman" w:cs="Times New Roman" w:eastAsia="Times New Roman" w:hAnsi="Times New Roman"/>
          <w:i/>
          <w:iCs/>
          <w:sz w:val="24"/>
          <w:szCs w:val="24"/>
        </w:rPr>
        <w:t xml:space="preserve">Escherichia coli</w:t>
      </w:r>
      <w:r>
        <w:rPr>
          <w:rFonts w:ascii="Times New Roman" w:cs="Times New Roman" w:eastAsia="Times New Roman" w:hAnsi="Times New Roman"/>
          <w:sz w:val="24"/>
          <w:szCs w:val="24"/>
        </w:rPr>
        <w:t xml:space="preserve">, is a homotetramer of 1023-residue subunits that hydrolyses the β-1,4 glycosidic bond of lactose and of synthetic β-galactosides (5, 6). The chromogenic substrate ONPG is cleaved to galactose and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-nitrophenol. At alkaline pH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-nitrophenol exists as the yellow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-nitrophenolate anion, whose absorbance near 415 to 420 nm follows the Beer–Lambert law, A = εcl. Adding 1 M Na</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CO</w:t>
      </w:r>
      <w:r>
        <w:rPr>
          <w:rFonts w:ascii="Times New Roman" w:cs="Times New Roman" w:eastAsia="Times New Roman" w:hAnsi="Times New Roman"/>
          <w:sz w:val="24"/>
          <w:szCs w:val="24"/>
          <w:vertAlign w:val="subscript"/>
        </w:rPr>
        <w:t xml:space="preserve">3</w:t>
      </w:r>
      <w:r>
        <w:rPr>
          <w:rFonts w:ascii="Times New Roman" w:cs="Times New Roman" w:eastAsia="Times New Roman" w:hAnsi="Times New Roman"/>
          <w:sz w:val="24"/>
          <w:szCs w:val="24"/>
        </w:rPr>
        <w:t xml:space="preserve"> to a timed aliquot both stops the reaction, by raising the pH far above the enzyme's working range, and develops the colour, so one reading gives the product formed up to that moment (7). A series of stopped samples builds a progress curve whose initial slope is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the velocity before substrate depletion, product accumulation or enzyme instability slow the reaction. The stopped method needs only a fixed-wavelength spectrophotometer; its coarse 2-min time resolution is the origin of the analytical choices examined here.</w:t>
      </w:r>
    </w:p>
    <w:p>
      <w:pPr>
        <w:keepNext w:val="false"/>
        <w:keepLines w:val="false"/>
        <w:spacing w:after="100" w:before="0" w:line="360"/>
        <w:jc w:val="both"/>
      </w:pPr>
      <w:r>
        <w:rPr>
          <w:rFonts w:ascii="Times New Roman" w:cs="Times New Roman" w:eastAsia="Times New Roman" w:hAnsi="Times New Roman"/>
          <w:sz w:val="24"/>
          <w:szCs w:val="24"/>
        </w:rPr>
        <w:t xml:space="preserve">Inhibitors reveal themselves by how they change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A competitive inhibitor binds free enzyme at the active site and is displaced by substrate: it leaves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unchanged but raises the apparent Michaelis constant to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m,app</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(1 + [I]/</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where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inhibitor's dissociation constant. A noncompetitive inhibitor inactivates a fraction of the enzyme whatever the substrate concentration, lowering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and leaving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unchanged (2). Isopropyl-β-D-thiogalactopyranoside (IPTG) is the thiogalactoside used as a gratuitous inducer of the </w:t>
      </w:r>
      <w:r>
        <w:rPr>
          <w:rFonts w:ascii="Times New Roman" w:cs="Times New Roman" w:eastAsia="Times New Roman" w:hAnsi="Times New Roman"/>
          <w:i/>
          <w:iCs/>
          <w:sz w:val="24"/>
          <w:szCs w:val="24"/>
        </w:rPr>
        <w:t xml:space="preserve">lac</w:t>
      </w:r>
      <w:r>
        <w:rPr>
          <w:rFonts w:ascii="Times New Roman" w:cs="Times New Roman" w:eastAsia="Times New Roman" w:hAnsi="Times New Roman"/>
          <w:sz w:val="24"/>
          <w:szCs w:val="24"/>
        </w:rPr>
        <w:t xml:space="preserve"> operon because it induces the enzyme without being hydrolysed by it (8, 9). The same stability makes it a dead-end ligand of β-galactosidase: it occupies the galactose subsite of the active site, but its thioglycosidic bond is not cleaved, so it is expected to behave as a competitive inhibitor with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of the order of 0.1 mM (6, 10). The inducer of </w:t>
      </w:r>
      <w:r>
        <w:rPr>
          <w:rFonts w:ascii="Times New Roman" w:cs="Times New Roman" w:eastAsia="Times New Roman" w:hAnsi="Times New Roman"/>
          <w:i/>
          <w:iCs/>
          <w:sz w:val="24"/>
          <w:szCs w:val="24"/>
        </w:rPr>
        <w:t xml:space="preserve">lacZ</w:t>
      </w:r>
      <w:r>
        <w:rPr>
          <w:rFonts w:ascii="Times New Roman" w:cs="Times New Roman" w:eastAsia="Times New Roman" w:hAnsi="Times New Roman"/>
          <w:sz w:val="24"/>
          <w:szCs w:val="24"/>
        </w:rPr>
        <w:t xml:space="preserve"> thus competes with the substrates of the enzyme it induces, the logic that underlies competitive drugs such as statins and many antivirals. Distinguishing the two mechanisms from data is less simple than textbook figures suggest: they differ only near saturation, and a competitive model fitted with a shared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cannot itself show that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was unchanged.</w:t>
      </w:r>
    </w:p>
    <w:p>
      <w:pPr>
        <w:keepNext w:val="false"/>
        <w:keepLines w:val="false"/>
        <w:spacing w:after="100" w:before="0" w:line="360"/>
        <w:jc w:val="both"/>
      </w:pPr>
      <w:r>
        <w:rPr>
          <w:rFonts w:ascii="Times New Roman" w:cs="Times New Roman" w:eastAsia="Times New Roman" w:hAnsi="Times New Roman"/>
          <w:sz w:val="24"/>
          <w:szCs w:val="24"/>
        </w:rPr>
        <w:t xml:space="preserve">Here the ONP spectrum and standard curve were established,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was measured against enzyme concentration at saturating ONPG and over a 32-fold range of ONPG with and without IPTG, and the analysis asks whether the velocities scale with enzyme, saturate with substrate and respond to IPTG as competition predicts, and how much each constant moves when the initial-rate rule or the fitting method changes.</w:t>
      </w:r>
    </w:p>
    <w:p>
      <w:pPr>
        <w:pStyle w:val="Heading1"/>
        <w:keepNext/>
        <w:spacing w:after="120" w:before="240" w:line="360"/>
        <w:jc w:val="left"/>
      </w:pPr>
      <w:r>
        <w:rPr>
          <w:rFonts w:ascii="Times New Roman" w:cs="Times New Roman" w:eastAsia="Times New Roman" w:hAnsi="Times New Roman"/>
          <w:b/>
          <w:bCs/>
          <w:sz w:val="24"/>
          <w:szCs w:val="24"/>
        </w:rPr>
        <w:t xml:space="preserve">Experimental Procedure</w:t>
      </w:r>
    </w:p>
    <w:p>
      <w:pPr>
        <w:keepNext w:val="false"/>
        <w:keepLines w:val="false"/>
        <w:spacing w:after="100" w:before="0" w:line="360"/>
        <w:jc w:val="both"/>
      </w:pPr>
      <w:r>
        <w:rPr>
          <w:rFonts w:ascii="Times New Roman" w:cs="Times New Roman" w:eastAsia="Times New Roman" w:hAnsi="Times New Roman"/>
          <w:sz w:val="24"/>
          <w:szCs w:val="24"/>
        </w:rPr>
        <w:t xml:space="preserve">All procedures followed the Experiment 2 laboratory manual (11) except for the modifications listed below. Z buffer (0.06 M Na</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HPO</w:t>
      </w:r>
      <w:r>
        <w:rPr>
          <w:rFonts w:ascii="Times New Roman" w:cs="Times New Roman" w:eastAsia="Times New Roman" w:hAnsi="Times New Roman"/>
          <w:sz w:val="24"/>
          <w:szCs w:val="24"/>
          <w:vertAlign w:val="subscript"/>
        </w:rPr>
        <w:t xml:space="preserve">4</w:t>
      </w:r>
      <w:r>
        <w:rPr>
          <w:rFonts w:ascii="Times New Roman" w:cs="Times New Roman" w:eastAsia="Times New Roman" w:hAnsi="Times New Roman"/>
          <w:sz w:val="24"/>
          <w:szCs w:val="24"/>
        </w:rPr>
        <w:t xml:space="preserve">, 0.04 M NaH</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PO</w:t>
      </w:r>
      <w:r>
        <w:rPr>
          <w:rFonts w:ascii="Times New Roman" w:cs="Times New Roman" w:eastAsia="Times New Roman" w:hAnsi="Times New Roman"/>
          <w:sz w:val="24"/>
          <w:szCs w:val="24"/>
          <w:vertAlign w:val="subscript"/>
        </w:rPr>
        <w:t xml:space="preserve">4</w:t>
      </w:r>
      <w:r>
        <w:rPr>
          <w:rFonts w:ascii="Times New Roman" w:cs="Times New Roman" w:eastAsia="Times New Roman" w:hAnsi="Times New Roman"/>
          <w:sz w:val="24"/>
          <w:szCs w:val="24"/>
        </w:rPr>
        <w:t xml:space="preserve">, 0.01 M KCl, 0.001 M MgSO</w:t>
      </w:r>
      <w:r>
        <w:rPr>
          <w:rFonts w:ascii="Times New Roman" w:cs="Times New Roman" w:eastAsia="Times New Roman" w:hAnsi="Times New Roman"/>
          <w:sz w:val="24"/>
          <w:szCs w:val="24"/>
          <w:vertAlign w:val="subscript"/>
        </w:rPr>
        <w:t xml:space="preserve">4</w:t>
      </w:r>
      <w:r>
        <w:rPr>
          <w:rFonts w:ascii="Times New Roman" w:cs="Times New Roman" w:eastAsia="Times New Roman" w:hAnsi="Times New Roman"/>
          <w:sz w:val="24"/>
          <w:szCs w:val="24"/>
        </w:rPr>
        <w:t xml:space="preserve">, 0.05 M β-mercaptoethanol, pH 7.0), ONPG (1.0 mg mL</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3.3 mM), IPTG (1.31 mg mL</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5.5 mM), 1 mM ONP and 1 M Na</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CO</w:t>
      </w:r>
      <w:r>
        <w:rPr>
          <w:rFonts w:ascii="Times New Roman" w:cs="Times New Roman" w:eastAsia="Times New Roman" w:hAnsi="Times New Roman"/>
          <w:sz w:val="24"/>
          <w:szCs w:val="24"/>
          <w:vertAlign w:val="subscript"/>
        </w:rPr>
        <w:t xml:space="preserve">3</w:t>
      </w:r>
      <w:r>
        <w:rPr>
          <w:rFonts w:ascii="Times New Roman" w:cs="Times New Roman" w:eastAsia="Times New Roman" w:hAnsi="Times New Roman"/>
          <w:sz w:val="24"/>
          <w:szCs w:val="24"/>
        </w:rPr>
        <w:t xml:space="preserve"> were provided, together with β-galactosidase standardised by the teaching staff to give A</w:t>
      </w:r>
      <w:r>
        <w:rPr>
          <w:rFonts w:ascii="Times New Roman" w:cs="Times New Roman" w:eastAsia="Times New Roman" w:hAnsi="Times New Roman"/>
          <w:sz w:val="24"/>
          <w:szCs w:val="24"/>
          <w:vertAlign w:val="subscript"/>
        </w:rPr>
        <w:t xml:space="preserve">415</w:t>
      </w:r>
      <w:r>
        <w:rPr>
          <w:rFonts w:ascii="Times New Roman" w:cs="Times New Roman" w:eastAsia="Times New Roman" w:hAnsi="Times New Roman"/>
          <w:sz w:val="24"/>
          <w:szCs w:val="24"/>
        </w:rPr>
        <w:t xml:space="preserve"> = 1.20 to 1.30 after 10 min in the standard reaction. Reactions (12.0 mL, room temperature) were assembled as in the manual's tables with enzyme added last; 2.0 mL aliquots were stopped with 1.0 mL Na</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CO</w:t>
      </w:r>
      <w:r>
        <w:rPr>
          <w:rFonts w:ascii="Times New Roman" w:cs="Times New Roman" w:eastAsia="Times New Roman" w:hAnsi="Times New Roman"/>
          <w:sz w:val="24"/>
          <w:szCs w:val="24"/>
          <w:vertAlign w:val="subscript"/>
        </w:rPr>
        <w:t xml:space="preserve">3</w:t>
      </w:r>
      <w:r>
        <w:rPr>
          <w:rFonts w:ascii="Times New Roman" w:cs="Times New Roman" w:eastAsia="Times New Roman" w:hAnsi="Times New Roman"/>
          <w:sz w:val="24"/>
          <w:szCs w:val="24"/>
        </w:rPr>
        <w:t xml:space="preserve"> at 2, 4, 6, 8 and 10 min and read at 415 nm against a Z-buffer blank in a GENESYS 10S UV-Vis spectrophotometer (1 cm path). Part I standards and the Part I blank contained Na</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CO</w:t>
      </w:r>
      <w:r>
        <w:rPr>
          <w:rFonts w:ascii="Times New Roman" w:cs="Times New Roman" w:eastAsia="Times New Roman" w:hAnsi="Times New Roman"/>
          <w:sz w:val="24"/>
          <w:szCs w:val="24"/>
          <w:vertAlign w:val="subscript"/>
        </w:rPr>
        <w:t xml:space="preserve">3</w:t>
      </w:r>
      <w:r>
        <w:rPr>
          <w:rFonts w:ascii="Times New Roman" w:cs="Times New Roman" w:eastAsia="Times New Roman" w:hAnsi="Times New Roman"/>
          <w:sz w:val="24"/>
          <w:szCs w:val="24"/>
        </w:rPr>
        <w:t xml:space="preserve"> as specified in the manual.</w:t>
      </w:r>
    </w:p>
    <w:p>
      <w:pPr>
        <w:keepNext w:val="false"/>
        <w:keepLines w:val="false"/>
        <w:spacing w:after="100" w:before="0" w:line="360"/>
        <w:jc w:val="both"/>
      </w:pPr>
      <w:r>
        <w:rPr>
          <w:rFonts w:ascii="Times New Roman" w:cs="Times New Roman" w:eastAsia="Times New Roman" w:hAnsi="Times New Roman"/>
          <w:b/>
          <w:bCs/>
          <w:sz w:val="24"/>
          <w:szCs w:val="24"/>
        </w:rPr>
        <w:t xml:space="preserve">Datasets and modifications.</w:t>
      </w:r>
      <w:r>
        <w:rPr>
          <w:rFonts w:ascii="Times New Roman" w:cs="Times New Roman" w:eastAsia="Times New Roman" w:hAnsi="Times New Roman"/>
          <w:sz w:val="24"/>
          <w:szCs w:val="24"/>
        </w:rPr>
        <w:t xml:space="preserve"> Two datasets were analysed: a course-provided reference dataset supplied by the laboratory instructor (Professor Samah Gadhoum; e-mail of 13 September 2026) and an experimental dataset collected by our laboratory group. The reference measurements (Part I spectrum, ONP standard curve and enzyme-dilution series; Part III substrate series with and without IPTG, tubes A to F) were used for the primary kinetic analysis in the Results, as instructed. Our experimental measurements (Part II tubes A to E on 7 September; Part III tubes A to E without IPTG and A to D with IPTG on 11 September) were analysed with the identical procedure and are examined in the Discussion; they are not combined with the reference measurements in any curve. Deviations from the manual in our own sessions: Part I was performed by the teaching staff; in Part III, tube F was not performed and the IPTG tube E was discarded before measurement, so our inhibited series has four tubes. Our 70 readings (14 printouts) were transcribed and verified against the photographs (Table R1); every digit is kept, including the 10-min reading of inhibited tube B (1.106), which was excluded from that tube's regression; the whole tube was excluded from our inhibited fits (Discussion). The reference standard-curve table lists seven readings where the manual describes a blank and seven standards; the instructor confirmed that the first reading is the zero-concentration point (mapping in the Results).</w:t>
      </w:r>
    </w:p>
    <w:p>
      <w:pPr>
        <w:keepNext w:val="false"/>
        <w:keepLines w:val="false"/>
        <w:spacing w:after="100" w:before="0" w:line="360"/>
        <w:jc w:val="both"/>
      </w:pPr>
      <w:r>
        <w:rPr>
          <w:rFonts w:ascii="Times New Roman" w:cs="Times New Roman" w:eastAsia="Times New Roman" w:hAnsi="Times New Roman"/>
          <w:b/>
          <w:bCs/>
          <w:sz w:val="24"/>
          <w:szCs w:val="24"/>
        </w:rPr>
        <w:t xml:space="preserve">Data analysis.</w:t>
      </w:r>
      <w:r>
        <w:rPr>
          <w:rFonts w:ascii="Times New Roman" w:cs="Times New Roman" w:eastAsia="Times New Roman" w:hAnsi="Times New Roman"/>
          <w:sz w:val="24"/>
          <w:szCs w:val="24"/>
        </w:rPr>
        <w:t xml:space="preserve"> Concentrations were calculated from the stated stock concentrations and the manual's volumes ([ONPG] = 3.3 mM × V/12.0 mL; [IPTG] = 5.5 mM × 1.0/12.0 = 0.458 mM; ONP standards 1 mM × V/3.0 mL). The manual asks for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from the initial linear portion of each progress curve, with the points used identified. One rule was applied to all 31 curves: the least-squares line A</w:t>
      </w:r>
      <w:r>
        <w:rPr>
          <w:rFonts w:ascii="Times New Roman" w:cs="Times New Roman" w:eastAsia="Times New Roman" w:hAnsi="Times New Roman"/>
          <w:sz w:val="24"/>
          <w:szCs w:val="24"/>
          <w:vertAlign w:val="subscript"/>
        </w:rPr>
        <w:t xml:space="preserve">415</w:t>
      </w:r>
      <w:r>
        <w:rPr>
          <w:rFonts w:ascii="Times New Roman" w:cs="Times New Roman" w:eastAsia="Times New Roman" w:hAnsi="Times New Roman"/>
          <w:sz w:val="24"/>
          <w:szCs w:val="24"/>
        </w:rPr>
        <w:t xml:space="preserve"> = a + bt was fitted to the 2, 4 and 6 min points and extended one point at a time while the next increment lay within 20% (or 0.010 A, whichever larger) of the increment predicted by the current line;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b. When the second and third increments both fell below the first by more than this tolerance, no linear window could be fitted and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was taken as the average rate over the first interval, A</w:t>
      </w:r>
      <w:r>
        <w:rPr>
          <w:rFonts w:ascii="Times New Roman" w:cs="Times New Roman" w:eastAsia="Times New Roman" w:hAnsi="Times New Roman"/>
          <w:sz w:val="24"/>
          <w:szCs w:val="24"/>
          <w:vertAlign w:val="subscript"/>
        </w:rPr>
        <w:t xml:space="preserve">415</w:t>
      </w:r>
      <w:r>
        <w:rPr>
          <w:rFonts w:ascii="Times New Roman" w:cs="Times New Roman" w:eastAsia="Times New Roman" w:hAnsi="Times New Roman"/>
          <w:sz w:val="24"/>
          <w:szCs w:val="24"/>
        </w:rPr>
        <w:t xml:space="preserve">(2 min)/2 min, which assumes A</w:t>
      </w:r>
      <w:r>
        <w:rPr>
          <w:rFonts w:ascii="Times New Roman" w:cs="Times New Roman" w:eastAsia="Times New Roman" w:hAnsi="Times New Roman"/>
          <w:sz w:val="24"/>
          <w:szCs w:val="24"/>
          <w:vertAlign w:val="subscript"/>
        </w:rPr>
        <w:t xml:space="preserve">415</w:t>
      </w:r>
      <w:r>
        <w:rPr>
          <w:rFonts w:ascii="Times New Roman" w:cs="Times New Roman" w:eastAsia="Times New Roman" w:hAnsi="Times New Roman"/>
          <w:sz w:val="24"/>
          <w:szCs w:val="24"/>
        </w:rPr>
        <w:t xml:space="preserve"> = 0 at t = 0 because no reading exists there (flagged † throughout). This origin-assumed estimate is an average rate over 0 to 2 min, not a measured instantaneous initial velocity, and may lie below or above the true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Four alternative estimators (regression only; the 0 to 2 min average rate for every curve; all five points; a baseline-offset scenario with the t = 0 absorbance set to the median intercept of the linear curves, an assumption rather than a measurement) test its sensitivity. The extinction coefficient was the slope of A</w:t>
      </w:r>
      <w:r>
        <w:rPr>
          <w:rFonts w:ascii="Times New Roman" w:cs="Times New Roman" w:eastAsia="Times New Roman" w:hAnsi="Times New Roman"/>
          <w:sz w:val="24"/>
          <w:szCs w:val="24"/>
          <w:vertAlign w:val="subscript"/>
        </w:rPr>
        <w:t xml:space="preserve">415</w:t>
      </w:r>
      <w:r>
        <w:rPr>
          <w:rFonts w:ascii="Times New Roman" w:cs="Times New Roman" w:eastAsia="Times New Roman" w:hAnsi="Times New Roman"/>
          <w:sz w:val="24"/>
          <w:szCs w:val="24"/>
        </w:rPr>
        <w:t xml:space="preserve"> against [ONP] over the linear region chosen by the same increment rule.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in ΔA</w:t>
      </w:r>
      <w:r>
        <w:rPr>
          <w:rFonts w:ascii="Times New Roman" w:cs="Times New Roman" w:eastAsia="Times New Roman" w:hAnsi="Times New Roman"/>
          <w:sz w:val="24"/>
          <w:szCs w:val="24"/>
          <w:vertAlign w:val="subscript"/>
        </w:rPr>
        <w:t xml:space="preserve">415</w:t>
      </w:r>
      <w:r>
        <w:rPr>
          <w:rFonts w:ascii="Times New Roman" w:cs="Times New Roman" w:eastAsia="Times New Roman" w:hAnsi="Times New Roman"/>
          <w:sz w:val="24"/>
          <w:szCs w:val="24"/>
        </w:rPr>
        <w:t xml:space="preserve">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was converted to µmol ONP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per assay as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/ε × 1.5 (the 2 mL aliquot was diluted with 1 mL stop reagent) × 12.0 mL (reaction volume); the manual's division by ε gives the cuvette rate in mM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and the two factors convert it to an amount per minute.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were obtained from the Lineweaver–Burk regression as required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 1/intercept,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 slope ×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and checked by unweighted nonlinear least squares on the velocity scale;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was calculated from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m,app</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(1 + [I]/</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Competitive, pure noncompetitive and mixed models were also fitted to both series simultaneously. All calculations were performed in R 4.3.3 with tidyverse (12); scripts, data and outputs are public (Data and Code Availability). Each condition was measured once, so the uncertainties quoted are regression standard errors, not replicate variability, and the alternative estimators are different answers to the same data, not a confidence interval.</w:t>
      </w:r>
    </w:p>
    <w:p>
      <w:pPr>
        <w:pStyle w:val="Heading1"/>
        <w:keepNext/>
        <w:pageBreakBefore/>
        <w:spacing w:after="120" w:before="240" w:line="360"/>
        <w:jc w:val="left"/>
      </w:pPr>
      <w:r>
        <w:rPr>
          <w:rFonts w:ascii="Times New Roman" w:cs="Times New Roman" w:eastAsia="Times New Roman" w:hAnsi="Times New Roman"/>
          <w:b/>
          <w:bCs/>
          <w:sz w:val="24"/>
          <w:szCs w:val="24"/>
        </w:rPr>
        <w:t xml:space="preserve">Results</w:t>
      </w:r>
    </w:p>
    <w:p>
      <w:pPr>
        <w:keepNext w:val="false"/>
        <w:keepLines w:val="false"/>
        <w:spacing w:after="100" w:before="0" w:line="360"/>
        <w:jc w:val="both"/>
      </w:pPr>
      <w:r>
        <w:rPr>
          <w:rFonts w:ascii="Times New Roman" w:cs="Times New Roman" w:eastAsia="Times New Roman" w:hAnsi="Times New Roman"/>
          <w:sz w:val="24"/>
          <w:szCs w:val="24"/>
        </w:rPr>
        <w:t xml:space="preserve">All values in this section are from the reference dataset: Part I to III measurements provided by the course (Prof. Samah Gadhoum, e-mail of 13 September 2026) for use in the Results. Our own measurements (experimental dataset, Table R1) are analysed in the Discussion.</w:t>
      </w:r>
    </w:p>
    <w:p>
      <w:pPr>
        <w:keepNext w:val="false"/>
        <w:keepLines w:val="false"/>
        <w:spacing w:after="100" w:before="0" w:line="360"/>
        <w:jc w:val="both"/>
      </w:pPr>
      <w:r>
        <w:rPr>
          <w:rFonts w:ascii="Times New Roman" w:cs="Times New Roman" w:eastAsia="Times New Roman" w:hAnsi="Times New Roman"/>
          <w:b/>
          <w:bCs/>
          <w:sz w:val="24"/>
          <w:szCs w:val="24"/>
        </w:rPr>
        <w:t xml:space="preserve">1. Absorbance spectrum of o-nitrophenol.</w:t>
      </w:r>
      <w:r>
        <w:rPr>
          <w:rFonts w:ascii="Times New Roman" w:cs="Times New Roman" w:eastAsia="Times New Roman" w:hAnsi="Times New Roman"/>
          <w:sz w:val="24"/>
          <w:szCs w:val="24"/>
        </w:rPr>
        <w:t xml:space="preserve"> The spectrum of 0.333 mM ONP (manual tube 4: [ONP] = 1 mM × 1.0 mL/3.0 mL) peaked at 415 nm (A = 1.723; Table 1, Figure 1A); 410 to 420 nm lay within 2% of the maximum, so 415 nm was used for all kinetic measurements.</w:t>
      </w:r>
    </w:p>
    <w:p>
      <w:pPr>
        <w:keepNext/>
        <w:keepLines/>
        <w:spacing w:after="60" w:before="0" w:line="276"/>
        <w:jc w:val="left"/>
      </w:pPr>
      <w:r>
        <w:rPr>
          <w:rFonts w:ascii="Times New Roman" w:cs="Times New Roman" w:eastAsia="Times New Roman" w:hAnsi="Times New Roman"/>
          <w:b/>
          <w:bCs/>
          <w:sz w:val="20"/>
          <w:szCs w:val="20"/>
        </w:rPr>
        <w:t xml:space="preserve">Table 1. Absorbance spectrum of 0.333 mM ONP in Z buffer/1 M Na</w:t>
      </w:r>
      <w:r>
        <w:rPr>
          <w:rFonts w:ascii="Times New Roman" w:cs="Times New Roman" w:eastAsia="Times New Roman" w:hAnsi="Times New Roman"/>
          <w:b/>
          <w:bCs/>
          <w:sz w:val="20"/>
          <w:szCs w:val="20"/>
          <w:vertAlign w:val="subscript"/>
        </w:rPr>
        <w:t xml:space="preserve">2</w:t>
      </w:r>
      <w:r>
        <w:rPr>
          <w:rFonts w:ascii="Times New Roman" w:cs="Times New Roman" w:eastAsia="Times New Roman" w:hAnsi="Times New Roman"/>
          <w:b/>
          <w:bCs/>
          <w:sz w:val="20"/>
          <w:szCs w:val="20"/>
        </w:rPr>
        <w:t xml:space="preserve">CO</w:t>
      </w:r>
      <w:r>
        <w:rPr>
          <w:rFonts w:ascii="Times New Roman" w:cs="Times New Roman" w:eastAsia="Times New Roman" w:hAnsi="Times New Roman"/>
          <w:b/>
          <w:bCs/>
          <w:sz w:val="20"/>
          <w:szCs w:val="20"/>
          <w:vertAlign w:val="subscript"/>
        </w:rPr>
        <w:t xml:space="preserve">3</w:t>
      </w:r>
      <w:r>
        <w:rPr>
          <w:rFonts w:ascii="Times New Roman" w:cs="Times New Roman" w:eastAsia="Times New Roman" w:hAnsi="Times New Roman"/>
          <w:b/>
          <w:bCs/>
          <w:sz w:val="20"/>
          <w:szCs w:val="20"/>
        </w:rPr>
        <w:t xml:space="preserve"> (2:1), read against the Z buffer/Na</w:t>
      </w:r>
      <w:r>
        <w:rPr>
          <w:rFonts w:ascii="Times New Roman" w:cs="Times New Roman" w:eastAsia="Times New Roman" w:hAnsi="Times New Roman"/>
          <w:b/>
          <w:bCs/>
          <w:sz w:val="20"/>
          <w:szCs w:val="20"/>
          <w:vertAlign w:val="subscript"/>
        </w:rPr>
        <w:t xml:space="preserve">2</w:t>
      </w:r>
      <w:r>
        <w:rPr>
          <w:rFonts w:ascii="Times New Roman" w:cs="Times New Roman" w:eastAsia="Times New Roman" w:hAnsi="Times New Roman"/>
          <w:b/>
          <w:bCs/>
          <w:sz w:val="20"/>
          <w:szCs w:val="20"/>
        </w:rPr>
        <w:t xml:space="preserve">CO</w:t>
      </w:r>
      <w:r>
        <w:rPr>
          <w:rFonts w:ascii="Times New Roman" w:cs="Times New Roman" w:eastAsia="Times New Roman" w:hAnsi="Times New Roman"/>
          <w:b/>
          <w:bCs/>
          <w:sz w:val="20"/>
          <w:szCs w:val="20"/>
          <w:vertAlign w:val="subscript"/>
        </w:rPr>
        <w:t xml:space="preserve">3</w:t>
      </w:r>
      <w:r>
        <w:rPr>
          <w:rFonts w:ascii="Times New Roman" w:cs="Times New Roman" w:eastAsia="Times New Roman" w:hAnsi="Times New Roman"/>
          <w:b/>
          <w:bCs/>
          <w:sz w:val="20"/>
          <w:szCs w:val="20"/>
        </w:rPr>
        <w:t xml:space="preserve"> blank (reference Part 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8"/>
        <w:gridCol w:w="489"/>
        <w:gridCol w:w="489"/>
        <w:gridCol w:w="489"/>
        <w:gridCol w:w="489"/>
        <w:gridCol w:w="489"/>
        <w:gridCol w:w="489"/>
        <w:gridCol w:w="489"/>
        <w:gridCol w:w="489"/>
        <w:gridCol w:w="489"/>
        <w:gridCol w:w="489"/>
        <w:gridCol w:w="489"/>
        <w:gridCol w:w="489"/>
        <w:gridCol w:w="489"/>
        <w:gridCol w:w="489"/>
        <w:gridCol w:w="489"/>
        <w:gridCol w:w="489"/>
        <w:gridCol w:w="488"/>
      </w:tblGrid>
      <w:tr>
        <w:trPr>
          <w:cantSplit/>
        </w:trPr>
        <w:tc>
          <w:tcPr>
            <w:tcW w:type="dxa" w:w="1048"/>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Wavelength (nm)</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385</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390</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395</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400</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405</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410</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415</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420</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425</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430</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435</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440</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445</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450</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455</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460</w:t>
            </w:r>
          </w:p>
        </w:tc>
        <w:tc>
          <w:tcPr>
            <w:tcW w:type="dxa" w:w="488"/>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465</w:t>
            </w:r>
          </w:p>
        </w:tc>
      </w:tr>
      <w:tr>
        <w:trPr>
          <w:cantSplit/>
        </w:trPr>
        <w:tc>
          <w:tcPr>
            <w:tcW w:type="dxa" w:w="1048"/>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Absorbance</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1.212</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1.344</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1.463</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1.562</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1.643</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1.697</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1.723</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1.720</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1.686</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1.625</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1.540</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1.432</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1.310</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1.178</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1.042</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0.905</w:t>
            </w:r>
          </w:p>
        </w:tc>
        <w:tc>
          <w:tcPr>
            <w:tcW w:type="dxa" w:w="488"/>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0.778</w:t>
            </w:r>
          </w:p>
        </w:tc>
      </w:tr>
    </w:tbl>
    <w:p>
      <w:pPr>
        <w:spacing w:after="80" w:before="0" w:line="40" w:lineRule="exact"/>
      </w:pPr>
      <w:r>
        <w:rPr>
          <w:sz w:val="4"/>
          <w:szCs w:val="4"/>
        </w:rPr>
        <w:t xml:space="preserve"/>
      </w:r>
    </w:p>
    <w:p>
      <w:pPr>
        <w:keepNext w:val="false"/>
        <w:keepLines w:val="false"/>
        <w:spacing w:after="100" w:before="0" w:line="360"/>
        <w:jc w:val="both"/>
      </w:pPr>
      <w:r>
        <w:rPr>
          <w:rFonts w:ascii="Times New Roman" w:cs="Times New Roman" w:eastAsia="Times New Roman" w:hAnsi="Times New Roman"/>
          <w:b/>
          <w:bCs/>
          <w:sz w:val="24"/>
          <w:szCs w:val="24"/>
        </w:rPr>
        <w:t xml:space="preserve">2. Standard curve of o-nitrophenol.</w:t>
      </w:r>
      <w:r>
        <w:rPr>
          <w:rFonts w:ascii="Times New Roman" w:cs="Times New Roman" w:eastAsia="Times New Roman" w:hAnsi="Times New Roman"/>
          <w:sz w:val="24"/>
          <w:szCs w:val="24"/>
        </w:rPr>
        <w:t xml:space="preserve"> The reference table reported seven readings (Table 2): the first (0) is the zero-concentration preparation (2.0 mL Z buffer + 1.0 mL Na</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CO</w:t>
      </w:r>
      <w:r>
        <w:rPr>
          <w:rFonts w:ascii="Times New Roman" w:cs="Times New Roman" w:eastAsia="Times New Roman" w:hAnsi="Times New Roman"/>
          <w:sz w:val="24"/>
          <w:szCs w:val="24"/>
          <w:vertAlign w:val="subscript"/>
        </w:rPr>
        <w:t xml:space="preserve">3</w:t>
      </w:r>
      <w:r>
        <w:rPr>
          <w:rFonts w:ascii="Times New Roman" w:cs="Times New Roman" w:eastAsia="Times New Roman" w:hAnsi="Times New Roman"/>
          <w:sz w:val="24"/>
          <w:szCs w:val="24"/>
        </w:rPr>
        <w:t xml:space="preserve">), as the instructor confirmed, and the other six are manual standards 1 to 6 in order, anchored by the spectrum tube (standard 4, 1.723 at 415 nm, identical to the fifth reading). Standard 7 (0.667 mM) has no reported reading; whether it was unprepared or unreported is unknown, and no value was assumed. Absorbance was linear for the five standards from 0.083 to 0.433 mM, A</w:t>
      </w:r>
      <w:r>
        <w:rPr>
          <w:rFonts w:ascii="Times New Roman" w:cs="Times New Roman" w:eastAsia="Times New Roman" w:hAnsi="Times New Roman"/>
          <w:sz w:val="24"/>
          <w:szCs w:val="24"/>
          <w:vertAlign w:val="subscript"/>
        </w:rPr>
        <w:t xml:space="preserve">415</w:t>
      </w:r>
      <w:r>
        <w:rPr>
          <w:rFonts w:ascii="Times New Roman" w:cs="Times New Roman" w:eastAsia="Times New Roman" w:hAnsi="Times New Roman"/>
          <w:sz w:val="24"/>
          <w:szCs w:val="24"/>
        </w:rPr>
        <w:t xml:space="preserve"> = 5.222[ONP] − 0.022 (R</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0.9988; Figure 1B), giving ε = 5.22 ± 0.10 A mM</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cm</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(5.15 through the origin). The 0.533 mM standard (A = 3.24) lay 17% above the line and was excluded; including it would give ε = 6.01 and lower every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by 13%, leaving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unchanged.</w:t>
      </w:r>
    </w:p>
    <w:p>
      <w:pPr>
        <w:keepNext/>
        <w:spacing w:after="60" w:line="240" w:lineRule="auto"/>
        <w:jc w:val="center"/>
      </w:pPr>
      <w:r>
        <w:drawing>
          <wp:inline distT="0" distB="0" distL="0" distR="0">
            <wp:extent cx="59436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695450"/>
                    </a:xfrm>
                    <a:prstGeom prst="rect">
                      <a:avLst/>
                    </a:prstGeom>
                  </pic:spPr>
                </pic:pic>
              </a:graphicData>
            </a:graphic>
          </wp:inline>
        </w:drawing>
      </w:r>
    </w:p>
    <w:p>
      <w:pPr>
        <w:keepNext w:val="false"/>
        <w:keepLines/>
        <w:spacing w:after="60" w:before="0" w:line="276"/>
        <w:jc w:val="left"/>
      </w:pPr>
      <w:r>
        <w:rPr>
          <w:rFonts w:ascii="Times New Roman" w:cs="Times New Roman" w:eastAsia="Times New Roman" w:hAnsi="Times New Roman"/>
          <w:b/>
          <w:bCs/>
          <w:sz w:val="20"/>
          <w:szCs w:val="20"/>
        </w:rPr>
        <w:t xml:space="preserve">Figure 1. ONP absorbs maximally at 415 nm and obeys the Beer–Lambert law to 0.43 mM.</w:t>
      </w:r>
      <w:r>
        <w:rPr>
          <w:rFonts w:ascii="Times New Roman" w:cs="Times New Roman" w:eastAsia="Times New Roman" w:hAnsi="Times New Roman"/>
          <w:sz w:val="20"/>
          <w:szCs w:val="20"/>
        </w:rPr>
        <w:t xml:space="preserve"> (A) Spectrum of 0.333 mM ONP; points, readings; line, spline; dashed line, maximum; shaded, within 2% of it. (B) Standard curve; filled points and line, calibration over the shaded range (equation in the text); ×, zero-concentration point (not fitted); open point, the excluded 0.533 mM standard, 17% above the line. Reference Part I data.</w:t>
      </w:r>
    </w:p>
    <w:p>
      <w:pPr>
        <w:keepNext/>
        <w:keepLines/>
        <w:spacing w:after="60" w:before="0" w:line="276"/>
        <w:jc w:val="left"/>
      </w:pPr>
      <w:r>
        <w:rPr>
          <w:rFonts w:ascii="Times New Roman" w:cs="Times New Roman" w:eastAsia="Times New Roman" w:hAnsi="Times New Roman"/>
          <w:b/>
          <w:bCs/>
          <w:sz w:val="20"/>
          <w:szCs w:val="20"/>
        </w:rPr>
        <w:t xml:space="preserve">Table 2. ONP standard curve at 415 nm (reference Part I): reported readings, their assignment to the manual's preparations, [ONP] in the 3.0 mL cuvette (1 mM × V/3.0 mL) and use in the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76"/>
        <w:gridCol w:w="1789"/>
        <w:gridCol w:w="964"/>
        <w:gridCol w:w="1239"/>
        <w:gridCol w:w="964"/>
        <w:gridCol w:w="964"/>
        <w:gridCol w:w="2064"/>
      </w:tblGrid>
      <w:tr>
        <w:trPr>
          <w:cantSplit/>
          <w:tblHeader/>
        </w:trPr>
        <w:tc>
          <w:tcPr>
            <w:tcW w:type="dxa" w:w="1376"/>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Reported tube</w:t>
            </w:r>
          </w:p>
        </w:tc>
        <w:tc>
          <w:tcPr>
            <w:tcW w:type="dxa" w:w="1789"/>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Manual preparation</w:t>
            </w:r>
          </w:p>
        </w:tc>
        <w:tc>
          <w:tcPr>
            <w:tcW w:type="dxa" w:w="964"/>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ONP 1 mM (mL)</w:t>
            </w:r>
          </w:p>
        </w:tc>
        <w:tc>
          <w:tcPr>
            <w:tcW w:type="dxa" w:w="1239"/>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[ONP] in cuvette (mM)</w:t>
            </w:r>
          </w:p>
        </w:tc>
        <w:tc>
          <w:tcPr>
            <w:tcW w:type="dxa" w:w="964"/>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A415</w:t>
            </w:r>
          </w:p>
        </w:tc>
        <w:tc>
          <w:tcPr>
            <w:tcW w:type="dxa" w:w="964"/>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A415 / [ONP] (per mM)</w:t>
            </w:r>
          </w:p>
        </w:tc>
        <w:tc>
          <w:tcPr>
            <w:tcW w:type="dxa" w:w="2064"/>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Fitted</w:t>
            </w:r>
          </w:p>
        </w:tc>
      </w:tr>
      <w:tr>
        <w:trPr>
          <w:cantSplit/>
        </w:trPr>
        <w:tc>
          <w:tcPr>
            <w:tcW w:type="dxa" w:w="1376"/>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1</w:t>
            </w:r>
          </w:p>
        </w:tc>
        <w:tc>
          <w:tcPr>
            <w:tcW w:type="dxa" w:w="17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Blank</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w:t>
            </w:r>
          </w:p>
        </w:tc>
        <w:tc>
          <w:tcPr>
            <w:tcW w:type="dxa" w:w="123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w:t>
            </w:r>
          </w:p>
        </w:tc>
        <w:tc>
          <w:tcPr>
            <w:tcW w:type="dxa" w:w="20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no (zero point)</w:t>
            </w:r>
          </w:p>
        </w:tc>
      </w:tr>
      <w:tr>
        <w:trPr>
          <w:cantSplit/>
        </w:trPr>
        <w:tc>
          <w:tcPr>
            <w:tcW w:type="dxa" w:w="1376"/>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2</w:t>
            </w:r>
          </w:p>
        </w:tc>
        <w:tc>
          <w:tcPr>
            <w:tcW w:type="dxa" w:w="17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Standard 1</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0.25</w:t>
            </w:r>
          </w:p>
        </w:tc>
        <w:tc>
          <w:tcPr>
            <w:tcW w:type="dxa" w:w="123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0.0833</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0.428</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5.14</w:t>
            </w:r>
          </w:p>
        </w:tc>
        <w:tc>
          <w:tcPr>
            <w:tcW w:type="dxa" w:w="20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yes</w:t>
            </w:r>
          </w:p>
        </w:tc>
      </w:tr>
      <w:tr>
        <w:trPr>
          <w:cantSplit/>
        </w:trPr>
        <w:tc>
          <w:tcPr>
            <w:tcW w:type="dxa" w:w="1376"/>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3</w:t>
            </w:r>
          </w:p>
        </w:tc>
        <w:tc>
          <w:tcPr>
            <w:tcW w:type="dxa" w:w="17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Standard 2</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0.5</w:t>
            </w:r>
          </w:p>
        </w:tc>
        <w:tc>
          <w:tcPr>
            <w:tcW w:type="dxa" w:w="123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0.1667</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0.856</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5.14</w:t>
            </w:r>
          </w:p>
        </w:tc>
        <w:tc>
          <w:tcPr>
            <w:tcW w:type="dxa" w:w="20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yes</w:t>
            </w:r>
          </w:p>
        </w:tc>
      </w:tr>
      <w:tr>
        <w:trPr>
          <w:cantSplit/>
        </w:trPr>
        <w:tc>
          <w:tcPr>
            <w:tcW w:type="dxa" w:w="1376"/>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4</w:t>
            </w:r>
          </w:p>
        </w:tc>
        <w:tc>
          <w:tcPr>
            <w:tcW w:type="dxa" w:w="17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Standard 3</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0.75</w:t>
            </w:r>
          </w:p>
        </w:tc>
        <w:tc>
          <w:tcPr>
            <w:tcW w:type="dxa" w:w="123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0.25</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1.24</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4.96</w:t>
            </w:r>
          </w:p>
        </w:tc>
        <w:tc>
          <w:tcPr>
            <w:tcW w:type="dxa" w:w="20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yes</w:t>
            </w:r>
          </w:p>
        </w:tc>
      </w:tr>
      <w:tr>
        <w:trPr>
          <w:cantSplit/>
        </w:trPr>
        <w:tc>
          <w:tcPr>
            <w:tcW w:type="dxa" w:w="1376"/>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5</w:t>
            </w:r>
          </w:p>
        </w:tc>
        <w:tc>
          <w:tcPr>
            <w:tcW w:type="dxa" w:w="17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Standard 4</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1</w:t>
            </w:r>
          </w:p>
        </w:tc>
        <w:tc>
          <w:tcPr>
            <w:tcW w:type="dxa" w:w="123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0.3333</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1.723</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5.17</w:t>
            </w:r>
          </w:p>
        </w:tc>
        <w:tc>
          <w:tcPr>
            <w:tcW w:type="dxa" w:w="20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yes</w:t>
            </w:r>
          </w:p>
        </w:tc>
      </w:tr>
      <w:tr>
        <w:trPr>
          <w:cantSplit/>
        </w:trPr>
        <w:tc>
          <w:tcPr>
            <w:tcW w:type="dxa" w:w="1376"/>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6</w:t>
            </w:r>
          </w:p>
        </w:tc>
        <w:tc>
          <w:tcPr>
            <w:tcW w:type="dxa" w:w="17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Standard 5</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1.3</w:t>
            </w:r>
          </w:p>
        </w:tc>
        <w:tc>
          <w:tcPr>
            <w:tcW w:type="dxa" w:w="123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0.4333</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2.256</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5.21</w:t>
            </w:r>
          </w:p>
        </w:tc>
        <w:tc>
          <w:tcPr>
            <w:tcW w:type="dxa" w:w="20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yes</w:t>
            </w:r>
          </w:p>
        </w:tc>
      </w:tr>
      <w:tr>
        <w:trPr>
          <w:cantSplit/>
        </w:trPr>
        <w:tc>
          <w:tcPr>
            <w:tcW w:type="dxa" w:w="137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7</w:t>
            </w:r>
          </w:p>
        </w:tc>
        <w:tc>
          <w:tcPr>
            <w:tcW w:type="dxa" w:w="17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Standard 6</w:t>
            </w:r>
          </w:p>
        </w:tc>
        <w:tc>
          <w:tcPr>
            <w:tcW w:type="dxa" w:w="96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1.6</w:t>
            </w:r>
          </w:p>
        </w:tc>
        <w:tc>
          <w:tcPr>
            <w:tcW w:type="dxa" w:w="123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0.5333</w:t>
            </w:r>
          </w:p>
        </w:tc>
        <w:tc>
          <w:tcPr>
            <w:tcW w:type="dxa" w:w="96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3.236</w:t>
            </w:r>
          </w:p>
        </w:tc>
        <w:tc>
          <w:tcPr>
            <w:tcW w:type="dxa" w:w="96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6.07</w:t>
            </w:r>
          </w:p>
        </w:tc>
        <w:tc>
          <w:tcPr>
            <w:tcW w:type="dxa" w:w="206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no (+17%)</w:t>
            </w:r>
          </w:p>
        </w:tc>
      </w:tr>
    </w:tbl>
    <w:p>
      <w:pPr>
        <w:spacing w:after="80" w:before="0" w:line="40" w:lineRule="exact"/>
      </w:pPr>
      <w:r>
        <w:rPr>
          <w:sz w:val="4"/>
          <w:szCs w:val="4"/>
        </w:rPr>
        <w:t xml:space="preserve"/>
      </w:r>
    </w:p>
    <w:p>
      <w:pPr>
        <w:keepNext w:val="false"/>
        <w:keepLines w:val="false"/>
        <w:spacing w:after="100" w:before="0" w:line="360"/>
        <w:jc w:val="both"/>
      </w:pPr>
      <w:r>
        <w:rPr>
          <w:rFonts w:ascii="Times New Roman" w:cs="Times New Roman" w:eastAsia="Times New Roman" w:hAnsi="Times New Roman"/>
          <w:b/>
          <w:bCs/>
          <w:sz w:val="24"/>
          <w:szCs w:val="24"/>
        </w:rPr>
        <w:t xml:space="preserve">3. Enzyme dilution.</w:t>
      </w:r>
      <w:r>
        <w:rPr>
          <w:rFonts w:ascii="Times New Roman" w:cs="Times New Roman" w:eastAsia="Times New Roman" w:hAnsi="Times New Roman"/>
          <w:sz w:val="24"/>
          <w:szCs w:val="24"/>
        </w:rPr>
        <w:t xml:space="preserve"> At 2.20 mM ONPG, product formation was linear over an initial window in every tube (Figure 2A; Table 3).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fell from 0.136 ΔA</w:t>
      </w:r>
      <w:r>
        <w:rPr>
          <w:rFonts w:ascii="Times New Roman" w:cs="Times New Roman" w:eastAsia="Times New Roman" w:hAnsi="Times New Roman"/>
          <w:sz w:val="24"/>
          <w:szCs w:val="24"/>
          <w:vertAlign w:val="subscript"/>
        </w:rPr>
        <w:t xml:space="preserve">415</w:t>
      </w:r>
      <w:r>
        <w:rPr>
          <w:rFonts w:ascii="Times New Roman" w:cs="Times New Roman" w:eastAsia="Times New Roman" w:hAnsi="Times New Roman"/>
          <w:sz w:val="24"/>
          <w:szCs w:val="24"/>
        </w:rPr>
        <w:t xml:space="preserve">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with undiluted enzyme to 0.0229 at 0.15 of that amount (5.9-fold for a 6.7-fold dilution). Sample calculation, tube A: 0.136/5.22 = 0.0260 mM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in the cuvette, × 1.5 = 0.0391 mM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in the reaction, × 12.0 mL = 0.469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relative rate of tube B = 0.1041/0.136 = 0.77. The relative rates (Table 3) were approximately proportional to enzyme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0.481 × E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through the origin, R</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0.972; free intercept -0.0006, p = 0.98; Figure 2B), although the rate per unit enzyme ranged from 0.71 (tube D) to 1.21 (tube C), and tubes D and E gave nearly equal rates despite 1.7-fold more enzyme in D.</w:t>
      </w:r>
    </w:p>
    <w:p>
      <w:pPr>
        <w:keepNext/>
        <w:spacing w:after="60" w:line="240" w:lineRule="auto"/>
        <w:jc w:val="center"/>
      </w:pPr>
      <w:r>
        <w:drawing>
          <wp:inline distT="0" distB="0" distL="0" distR="0">
            <wp:extent cx="59436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695450"/>
                    </a:xfrm>
                    <a:prstGeom prst="rect">
                      <a:avLst/>
                    </a:prstGeom>
                  </pic:spPr>
                </pic:pic>
              </a:graphicData>
            </a:graphic>
          </wp:inline>
        </w:drawing>
      </w:r>
    </w:p>
    <w:p>
      <w:pPr>
        <w:keepNext w:val="false"/>
        <w:keepLines/>
        <w:spacing w:after="60" w:before="0" w:line="276"/>
        <w:jc w:val="left"/>
      </w:pPr>
      <w:r>
        <w:rPr>
          <w:rFonts w:ascii="Times New Roman" w:cs="Times New Roman" w:eastAsia="Times New Roman" w:hAnsi="Times New Roman"/>
          <w:b/>
          <w:bCs/>
          <w:sz w:val="20"/>
          <w:szCs w:val="20"/>
        </w:rPr>
        <w:t xml:space="preserve">Figure 2. Initial velocity rose approximately in proportion to the amount of β-galactosidase.</w:t>
      </w:r>
      <w:r>
        <w:rPr>
          <w:rFonts w:ascii="Times New Roman" w:cs="Times New Roman" w:eastAsia="Times New Roman" w:hAnsi="Times New Roman"/>
          <w:sz w:val="20"/>
          <w:szCs w:val="20"/>
        </w:rPr>
        <w:t xml:space="preserve"> (A) Progress curves (A</w:t>
      </w:r>
      <w:r>
        <w:rPr>
          <w:rFonts w:ascii="Times New Roman" w:cs="Times New Roman" w:eastAsia="Times New Roman" w:hAnsi="Times New Roman"/>
          <w:sz w:val="20"/>
          <w:szCs w:val="20"/>
          <w:vertAlign w:val="subscript"/>
        </w:rPr>
        <w:t xml:space="preserve">415</w:t>
      </w:r>
      <w:r>
        <w:rPr>
          <w:rFonts w:ascii="Times New Roman" w:cs="Times New Roman" w:eastAsia="Times New Roman" w:hAnsi="Times New Roman"/>
          <w:sz w:val="20"/>
          <w:szCs w:val="20"/>
        </w:rPr>
        <w:t xml:space="preserve"> of the stopped samples), 2.20 mM ONPG, 1.00 to 0.15 relative enzyme (tubes A to E); lines, fits to the initial linear window (filled, used; open, excluded; dotted, extrapolation); V</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 values in Table 3. (B) V</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 against relative enzyme (letters, tubes); line through the origin, V</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 = 0.481 × E µmol min</w:t>
      </w: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 (R</w:t>
      </w: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 = 0.97); a free-intercept fit (intercept -0.0006, p = 0.98) coincides with it. n = 1 per tube; reference Part II data.</w:t>
      </w:r>
    </w:p>
    <w:p>
      <w:pPr>
        <w:keepNext/>
        <w:keepLines/>
        <w:spacing w:after="60" w:before="0" w:line="276"/>
        <w:jc w:val="left"/>
      </w:pPr>
      <w:r>
        <w:rPr>
          <w:rFonts w:ascii="Times New Roman" w:cs="Times New Roman" w:eastAsia="Times New Roman" w:hAnsi="Times New Roman"/>
          <w:b/>
          <w:bCs/>
          <w:sz w:val="20"/>
          <w:szCs w:val="20"/>
        </w:rPr>
        <w:t xml:space="preserve">Table 3. Enzyme dilution (reference Part II): A</w:t>
      </w:r>
      <w:r>
        <w:rPr>
          <w:rFonts w:ascii="Times New Roman" w:cs="Times New Roman" w:eastAsia="Times New Roman" w:hAnsi="Times New Roman"/>
          <w:b/>
          <w:bCs/>
          <w:sz w:val="20"/>
          <w:szCs w:val="20"/>
          <w:vertAlign w:val="subscript"/>
        </w:rPr>
        <w:t xml:space="preserve">415</w:t>
      </w:r>
      <w:r>
        <w:rPr>
          <w:rFonts w:ascii="Times New Roman" w:cs="Times New Roman" w:eastAsia="Times New Roman" w:hAnsi="Times New Roman"/>
          <w:b/>
          <w:bCs/>
          <w:sz w:val="20"/>
          <w:szCs w:val="20"/>
        </w:rPr>
        <w:t xml:space="preserve"> of the stopped samples, points used, V</w:t>
      </w:r>
      <w:r>
        <w:rPr>
          <w:rFonts w:ascii="Times New Roman" w:cs="Times New Roman" w:eastAsia="Times New Roman" w:hAnsi="Times New Roman"/>
          <w:b/>
          <w:bCs/>
          <w:sz w:val="20"/>
          <w:szCs w:val="20"/>
          <w:vertAlign w:val="subscript"/>
        </w:rPr>
        <w:t xml:space="preserve">0</w:t>
      </w:r>
      <w:r>
        <w:rPr>
          <w:rFonts w:ascii="Times New Roman" w:cs="Times New Roman" w:eastAsia="Times New Roman" w:hAnsi="Times New Roman"/>
          <w:b/>
          <w:bCs/>
          <w:sz w:val="20"/>
          <w:szCs w:val="20"/>
        </w:rPr>
        <w:t xml:space="preserve"> (ΔA</w:t>
      </w:r>
      <w:r>
        <w:rPr>
          <w:rFonts w:ascii="Times New Roman" w:cs="Times New Roman" w:eastAsia="Times New Roman" w:hAnsi="Times New Roman"/>
          <w:b/>
          <w:bCs/>
          <w:sz w:val="20"/>
          <w:szCs w:val="20"/>
          <w:vertAlign w:val="subscript"/>
        </w:rPr>
        <w:t xml:space="preserve">415</w:t>
      </w:r>
      <w:r>
        <w:rPr>
          <w:rFonts w:ascii="Times New Roman" w:cs="Times New Roman" w:eastAsia="Times New Roman" w:hAnsi="Times New Roman"/>
          <w:b/>
          <w:bCs/>
          <w:sz w:val="20"/>
          <w:szCs w:val="20"/>
        </w:rPr>
        <w:t xml:space="preserve"> min</w:t>
      </w:r>
      <w:r>
        <w:rPr>
          <w:rFonts w:ascii="Times New Roman" w:cs="Times New Roman" w:eastAsia="Times New Roman" w:hAnsi="Times New Roman"/>
          <w:b/>
          <w:bCs/>
          <w:sz w:val="20"/>
          <w:szCs w:val="20"/>
          <w:vertAlign w:val="superscript"/>
        </w:rPr>
        <w:t xml:space="preserve">−1</w:t>
      </w:r>
      <w:r>
        <w:rPr>
          <w:rFonts w:ascii="Times New Roman" w:cs="Times New Roman" w:eastAsia="Times New Roman" w:hAnsi="Times New Roman"/>
          <w:b/>
          <w:bCs/>
          <w:sz w:val="20"/>
          <w:szCs w:val="20"/>
        </w:rPr>
        <w:t xml:space="preserve">; µmol ONP min</w:t>
      </w:r>
      <w:r>
        <w:rPr>
          <w:rFonts w:ascii="Times New Roman" w:cs="Times New Roman" w:eastAsia="Times New Roman" w:hAnsi="Times New Roman"/>
          <w:b/>
          <w:bCs/>
          <w:sz w:val="20"/>
          <w:szCs w:val="20"/>
          <w:vertAlign w:val="superscript"/>
        </w:rPr>
        <w:t xml:space="preserve">−1</w:t>
      </w:r>
      <w:r>
        <w:rPr>
          <w:rFonts w:ascii="Times New Roman" w:cs="Times New Roman" w:eastAsia="Times New Roman" w:hAnsi="Times New Roman"/>
          <w:b/>
          <w:bCs/>
          <w:sz w:val="20"/>
          <w:szCs w:val="20"/>
        </w:rPr>
        <w:t xml:space="preserve"> per assay, × 3.447), rate relative to tube A and rate per unit enzyme.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7"/>
        <w:gridCol w:w="693"/>
        <w:gridCol w:w="693"/>
        <w:gridCol w:w="607"/>
        <w:gridCol w:w="607"/>
        <w:gridCol w:w="607"/>
        <w:gridCol w:w="607"/>
        <w:gridCol w:w="607"/>
        <w:gridCol w:w="693"/>
        <w:gridCol w:w="867"/>
        <w:gridCol w:w="1040"/>
        <w:gridCol w:w="607"/>
        <w:gridCol w:w="1125"/>
      </w:tblGrid>
      <w:tr>
        <w:trPr>
          <w:cantSplit/>
          <w:tblHeader/>
        </w:trPr>
        <w:tc>
          <w:tcPr>
            <w:tcW w:type="dxa" w:w="607"/>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Tube</w:t>
            </w:r>
          </w:p>
        </w:tc>
        <w:tc>
          <w:tcPr>
            <w:tcW w:type="dxa" w:w="693"/>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Enzyme (mL)</w:t>
            </w:r>
          </w:p>
        </w:tc>
        <w:tc>
          <w:tcPr>
            <w:tcW w:type="dxa" w:w="693"/>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Rel. enzyme</w:t>
            </w:r>
          </w:p>
        </w:tc>
        <w:tc>
          <w:tcPr>
            <w:tcW w:type="dxa" w:w="607"/>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2 min</w:t>
            </w:r>
          </w:p>
        </w:tc>
        <w:tc>
          <w:tcPr>
            <w:tcW w:type="dxa" w:w="607"/>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4 min</w:t>
            </w:r>
          </w:p>
        </w:tc>
        <w:tc>
          <w:tcPr>
            <w:tcW w:type="dxa" w:w="607"/>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6 min</w:t>
            </w:r>
          </w:p>
        </w:tc>
        <w:tc>
          <w:tcPr>
            <w:tcW w:type="dxa" w:w="607"/>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8 min</w:t>
            </w:r>
          </w:p>
        </w:tc>
        <w:tc>
          <w:tcPr>
            <w:tcW w:type="dxa" w:w="607"/>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10 min</w:t>
            </w:r>
          </w:p>
        </w:tc>
        <w:tc>
          <w:tcPr>
            <w:tcW w:type="dxa" w:w="693"/>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Points used (min)</w:t>
            </w:r>
          </w:p>
        </w:tc>
        <w:tc>
          <w:tcPr>
            <w:tcW w:type="dxa" w:w="867"/>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V0 (dA/min)</w:t>
            </w:r>
          </w:p>
        </w:tc>
        <w:tc>
          <w:tcPr>
            <w:tcW w:type="dxa" w:w="1040"/>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V0 (umol/min)</w:t>
            </w:r>
          </w:p>
        </w:tc>
        <w:tc>
          <w:tcPr>
            <w:tcW w:type="dxa" w:w="607"/>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Rel. rate</w:t>
            </w:r>
          </w:p>
        </w:tc>
        <w:tc>
          <w:tcPr>
            <w:tcW w:type="dxa" w:w="1125"/>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Rate/enzyme</w:t>
            </w:r>
          </w:p>
        </w:tc>
      </w:tr>
      <w:tr>
        <w:trPr>
          <w:cantSplit/>
        </w:trPr>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A</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0.2</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1</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0.332</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0.602</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0.876</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0.965</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1.407</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2-6</w:t>
            </w:r>
          </w:p>
        </w:tc>
        <w:tc>
          <w:tcPr>
            <w:tcW w:type="dxa" w:w="86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0.136</w:t>
            </w:r>
          </w:p>
        </w:tc>
        <w:tc>
          <w:tcPr>
            <w:tcW w:type="dxa" w:w="1040"/>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0.469</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1</w:t>
            </w:r>
          </w:p>
        </w:tc>
        <w:tc>
          <w:tcPr>
            <w:tcW w:type="dxa" w:w="112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1</w:t>
            </w:r>
          </w:p>
        </w:tc>
      </w:tr>
      <w:tr>
        <w:trPr>
          <w:cantSplit/>
        </w:trPr>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B</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0.15</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0.75</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0.245</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0.487</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0.67</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0.89</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1.084</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2-10</w:t>
            </w:r>
          </w:p>
        </w:tc>
        <w:tc>
          <w:tcPr>
            <w:tcW w:type="dxa" w:w="86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0.1041</w:t>
            </w:r>
          </w:p>
        </w:tc>
        <w:tc>
          <w:tcPr>
            <w:tcW w:type="dxa" w:w="1040"/>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0.359</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0.77</w:t>
            </w:r>
          </w:p>
        </w:tc>
        <w:tc>
          <w:tcPr>
            <w:tcW w:type="dxa" w:w="112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1.02</w:t>
            </w:r>
          </w:p>
        </w:tc>
      </w:tr>
      <w:tr>
        <w:trPr>
          <w:cantSplit/>
        </w:trPr>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C</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0.1</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0.5</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0.171</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0.321</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0.499</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0.592</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0.736</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2-6</w:t>
            </w:r>
          </w:p>
        </w:tc>
        <w:tc>
          <w:tcPr>
            <w:tcW w:type="dxa" w:w="86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0.082</w:t>
            </w:r>
          </w:p>
        </w:tc>
        <w:tc>
          <w:tcPr>
            <w:tcW w:type="dxa" w:w="1040"/>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0.283</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0.6</w:t>
            </w:r>
          </w:p>
        </w:tc>
        <w:tc>
          <w:tcPr>
            <w:tcW w:type="dxa" w:w="112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1.21</w:t>
            </w:r>
          </w:p>
        </w:tc>
      </w:tr>
      <w:tr>
        <w:trPr>
          <w:cantSplit/>
        </w:trPr>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D</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0.05</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0.25</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0.07</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0.11</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0.167</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0.229</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0.262</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2-6</w:t>
            </w:r>
          </w:p>
        </w:tc>
        <w:tc>
          <w:tcPr>
            <w:tcW w:type="dxa" w:w="86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0.0243</w:t>
            </w:r>
          </w:p>
        </w:tc>
        <w:tc>
          <w:tcPr>
            <w:tcW w:type="dxa" w:w="1040"/>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0.084</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0.18</w:t>
            </w:r>
          </w:p>
        </w:tc>
        <w:tc>
          <w:tcPr>
            <w:tcW w:type="dxa" w:w="112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0.71</w:t>
            </w:r>
          </w:p>
        </w:tc>
      </w:tr>
      <w:tr>
        <w:trPr>
          <w:cantSplit/>
        </w:trPr>
        <w:tc>
          <w:tcPr>
            <w:tcW w:type="dxa" w:w="60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w:t>
            </w:r>
          </w:p>
        </w:tc>
        <w:tc>
          <w:tcPr>
            <w:tcW w:type="dxa" w:w="69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0.03</w:t>
            </w:r>
          </w:p>
        </w:tc>
        <w:tc>
          <w:tcPr>
            <w:tcW w:type="dxa" w:w="69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0.15</w:t>
            </w:r>
          </w:p>
        </w:tc>
        <w:tc>
          <w:tcPr>
            <w:tcW w:type="dxa" w:w="60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0.063</w:t>
            </w:r>
          </w:p>
        </w:tc>
        <w:tc>
          <w:tcPr>
            <w:tcW w:type="dxa" w:w="60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0.11</w:t>
            </w:r>
          </w:p>
        </w:tc>
        <w:tc>
          <w:tcPr>
            <w:tcW w:type="dxa" w:w="60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0.158</w:t>
            </w:r>
          </w:p>
        </w:tc>
        <w:tc>
          <w:tcPr>
            <w:tcW w:type="dxa" w:w="60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0.198</w:t>
            </w:r>
          </w:p>
        </w:tc>
        <w:tc>
          <w:tcPr>
            <w:tcW w:type="dxa" w:w="60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0.248</w:t>
            </w:r>
          </w:p>
        </w:tc>
        <w:tc>
          <w:tcPr>
            <w:tcW w:type="dxa" w:w="69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2-10</w:t>
            </w:r>
          </w:p>
        </w:tc>
        <w:tc>
          <w:tcPr>
            <w:tcW w:type="dxa" w:w="86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0.0229</w:t>
            </w:r>
          </w:p>
        </w:tc>
        <w:tc>
          <w:tcPr>
            <w:tcW w:type="dxa" w:w="1040"/>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0.079</w:t>
            </w:r>
          </w:p>
        </w:tc>
        <w:tc>
          <w:tcPr>
            <w:tcW w:type="dxa" w:w="60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0.17</w:t>
            </w:r>
          </w:p>
        </w:tc>
        <w:tc>
          <w:tcPr>
            <w:tcW w:type="dxa" w:w="112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1.12</w:t>
            </w:r>
          </w:p>
        </w:tc>
      </w:tr>
    </w:tbl>
    <w:p>
      <w:pPr>
        <w:spacing w:after="80" w:before="0" w:line="40" w:lineRule="exact"/>
      </w:pPr>
      <w:r>
        <w:rPr>
          <w:sz w:val="4"/>
          <w:szCs w:val="4"/>
        </w:rPr>
        <w:t xml:space="preserve"/>
      </w:r>
    </w:p>
    <w:p>
      <w:pPr>
        <w:keepNext w:val="false"/>
        <w:keepLines w:val="false"/>
        <w:spacing w:after="100" w:before="0" w:line="360"/>
        <w:jc w:val="both"/>
      </w:pPr>
      <w:r>
        <w:rPr>
          <w:rFonts w:ascii="Times New Roman" w:cs="Times New Roman" w:eastAsia="Times New Roman" w:hAnsi="Times New Roman"/>
          <w:b/>
          <w:bCs/>
          <w:sz w:val="24"/>
          <w:szCs w:val="24"/>
        </w:rPr>
        <w:t xml:space="preserve">4. Michaelis–Menten kinetics without inhibitor.</w:t>
      </w:r>
      <w:r>
        <w:rPr>
          <w:rFonts w:ascii="Times New Roman" w:cs="Times New Roman" w:eastAsia="Times New Roman" w:hAnsi="Times New Roman"/>
          <w:sz w:val="24"/>
          <w:szCs w:val="24"/>
        </w:rPr>
        <w:t xml:space="preserve"> Only the 2.20 mM tube remained linear to 10 min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0.132 ΔA</w:t>
      </w:r>
      <w:r>
        <w:rPr>
          <w:rFonts w:ascii="Times New Roman" w:cs="Times New Roman" w:eastAsia="Times New Roman" w:hAnsi="Times New Roman"/>
          <w:sz w:val="24"/>
          <w:szCs w:val="24"/>
          <w:vertAlign w:val="subscript"/>
        </w:rPr>
        <w:t xml:space="preserve">415</w:t>
      </w:r>
      <w:r>
        <w:rPr>
          <w:rFonts w:ascii="Times New Roman" w:cs="Times New Roman" w:eastAsia="Times New Roman" w:hAnsi="Times New Roman"/>
          <w:sz w:val="24"/>
          <w:szCs w:val="24"/>
        </w:rPr>
        <w:t xml:space="preserve">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in tubes B to F the later increments fell below the first, so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is the origin-assumed 0 to 2 min average rate (†; Figure 3A, Table 4).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rose 5.6-fold over the 32-fold substrate range and flattened above 1 mM (Figure 4A). Sample calculation, tube B: [S] = 3.3 mM × 4.0/12.0 = 1.10 mM;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0.101/5.22 × 1.5 × 12.0 = 0.348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1/[S] = 0.909 mM</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1/V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2.87 min µmol</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Lineweaver–Burk regression (Figure 4B): 1/V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0.658(1/[S]) + 2.097 (R</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0.928), so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 1/2.097 = 0.477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 0.658 × 0.477 = 0.31 mM; the nonlinear fit gave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 0.36 ± 0.13 mM and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 0.494 ± 0.059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(Table 5).</w:t>
      </w:r>
    </w:p>
    <w:p>
      <w:pPr>
        <w:keepNext/>
        <w:spacing w:after="60" w:line="240" w:lineRule="auto"/>
        <w:jc w:val="center"/>
      </w:pPr>
      <w:r>
        <w:drawing>
          <wp:inline distT="0" distB="0" distL="0" distR="0">
            <wp:extent cx="59436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695450"/>
                    </a:xfrm>
                    <a:prstGeom prst="rect">
                      <a:avLst/>
                    </a:prstGeom>
                  </pic:spPr>
                </pic:pic>
              </a:graphicData>
            </a:graphic>
          </wp:inline>
        </w:drawing>
      </w:r>
    </w:p>
    <w:p>
      <w:pPr>
        <w:keepNext w:val="false"/>
        <w:keepLines/>
        <w:spacing w:after="60" w:before="0" w:line="276"/>
        <w:jc w:val="left"/>
      </w:pPr>
      <w:r>
        <w:rPr>
          <w:rFonts w:ascii="Times New Roman" w:cs="Times New Roman" w:eastAsia="Times New Roman" w:hAnsi="Times New Roman"/>
          <w:b/>
          <w:bCs/>
          <w:sz w:val="20"/>
          <w:szCs w:val="20"/>
        </w:rPr>
        <w:t xml:space="preserve">Figure 3. Product formation slowed as substrate fell and when IPTG was present.</w:t>
      </w:r>
      <w:r>
        <w:rPr>
          <w:rFonts w:ascii="Times New Roman" w:cs="Times New Roman" w:eastAsia="Times New Roman" w:hAnsi="Times New Roman"/>
          <w:sz w:val="20"/>
          <w:szCs w:val="20"/>
        </w:rPr>
        <w:t xml:space="preserve"> Progress curves for 2.20 to 0.069 mM ONPG (tubes A to F) without inhibitor (A) and with 0.458 mM IPTG (B; smaller absorbance scale). Symbols as in Figure 2A; dashed from ×, origin-assumed 0 to 2 min average rate (A</w:t>
      </w:r>
      <w:r>
        <w:rPr>
          <w:rFonts w:ascii="Times New Roman" w:cs="Times New Roman" w:eastAsia="Times New Roman" w:hAnsi="Times New Roman"/>
          <w:sz w:val="20"/>
          <w:szCs w:val="20"/>
          <w:vertAlign w:val="subscript"/>
        </w:rPr>
        <w:t xml:space="preserve">415</w:t>
      </w:r>
      <w:r>
        <w:rPr>
          <w:rFonts w:ascii="Times New Roman" w:cs="Times New Roman" w:eastAsia="Times New Roman" w:hAnsi="Times New Roman"/>
          <w:sz w:val="20"/>
          <w:szCs w:val="20"/>
        </w:rPr>
        <w:t xml:space="preserve"> = 0 assumed at t = 0; tubes B to F in A, tube A in B). V</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 values in Table 4; reference Part III data.</w:t>
      </w:r>
    </w:p>
    <w:p>
      <w:pPr>
        <w:keepNext/>
        <w:keepLines/>
        <w:spacing w:after="60" w:before="0" w:line="276"/>
        <w:jc w:val="left"/>
      </w:pPr>
      <w:r>
        <w:rPr>
          <w:rFonts w:ascii="Times New Roman" w:cs="Times New Roman" w:eastAsia="Times New Roman" w:hAnsi="Times New Roman"/>
          <w:b/>
          <w:bCs/>
          <w:sz w:val="20"/>
          <w:szCs w:val="20"/>
        </w:rPr>
        <w:t xml:space="preserve">Table 4. Substrate series without and with 0.458 mM IPTG (reference Part III): A</w:t>
      </w:r>
      <w:r>
        <w:rPr>
          <w:rFonts w:ascii="Times New Roman" w:cs="Times New Roman" w:eastAsia="Times New Roman" w:hAnsi="Times New Roman"/>
          <w:b/>
          <w:bCs/>
          <w:sz w:val="20"/>
          <w:szCs w:val="20"/>
          <w:vertAlign w:val="subscript"/>
        </w:rPr>
        <w:t xml:space="preserve">415</w:t>
      </w:r>
      <w:r>
        <w:rPr>
          <w:rFonts w:ascii="Times New Roman" w:cs="Times New Roman" w:eastAsia="Times New Roman" w:hAnsi="Times New Roman"/>
          <w:b/>
          <w:bCs/>
          <w:sz w:val="20"/>
          <w:szCs w:val="20"/>
        </w:rPr>
        <w:t xml:space="preserve"> of stopped samples, V</w:t>
      </w:r>
      <w:r>
        <w:rPr>
          <w:rFonts w:ascii="Times New Roman" w:cs="Times New Roman" w:eastAsia="Times New Roman" w:hAnsi="Times New Roman"/>
          <w:b/>
          <w:bCs/>
          <w:sz w:val="20"/>
          <w:szCs w:val="20"/>
          <w:vertAlign w:val="subscript"/>
        </w:rPr>
        <w:t xml:space="preserve">0</w:t>
      </w:r>
      <w:r>
        <w:rPr>
          <w:rFonts w:ascii="Times New Roman" w:cs="Times New Roman" w:eastAsia="Times New Roman" w:hAnsi="Times New Roman"/>
          <w:b/>
          <w:bCs/>
          <w:sz w:val="20"/>
          <w:szCs w:val="20"/>
        </w:rPr>
        <w:t xml:space="preserve"> (ΔA</w:t>
      </w:r>
      <w:r>
        <w:rPr>
          <w:rFonts w:ascii="Times New Roman" w:cs="Times New Roman" w:eastAsia="Times New Roman" w:hAnsi="Times New Roman"/>
          <w:b/>
          <w:bCs/>
          <w:sz w:val="20"/>
          <w:szCs w:val="20"/>
          <w:vertAlign w:val="subscript"/>
        </w:rPr>
        <w:t xml:space="preserve">415</w:t>
      </w:r>
      <w:r>
        <w:rPr>
          <w:rFonts w:ascii="Times New Roman" w:cs="Times New Roman" w:eastAsia="Times New Roman" w:hAnsi="Times New Roman"/>
          <w:b/>
          <w:bCs/>
          <w:sz w:val="20"/>
          <w:szCs w:val="20"/>
        </w:rPr>
        <w:t xml:space="preserve"> min</w:t>
      </w:r>
      <w:r>
        <w:rPr>
          <w:rFonts w:ascii="Times New Roman" w:cs="Times New Roman" w:eastAsia="Times New Roman" w:hAnsi="Times New Roman"/>
          <w:b/>
          <w:bCs/>
          <w:sz w:val="20"/>
          <w:szCs w:val="20"/>
          <w:vertAlign w:val="superscript"/>
        </w:rPr>
        <w:t xml:space="preserve">−1</w:t>
      </w:r>
      <w:r>
        <w:rPr>
          <w:rFonts w:ascii="Times New Roman" w:cs="Times New Roman" w:eastAsia="Times New Roman" w:hAnsi="Times New Roman"/>
          <w:b/>
          <w:bCs/>
          <w:sz w:val="20"/>
          <w:szCs w:val="20"/>
        </w:rPr>
        <w:t xml:space="preserve">; µmol min</w:t>
      </w:r>
      <w:r>
        <w:rPr>
          <w:rFonts w:ascii="Times New Roman" w:cs="Times New Roman" w:eastAsia="Times New Roman" w:hAnsi="Times New Roman"/>
          <w:b/>
          <w:bCs/>
          <w:sz w:val="20"/>
          <w:szCs w:val="20"/>
          <w:vertAlign w:val="superscript"/>
        </w:rPr>
        <w:t xml:space="preserve">−1</w:t>
      </w:r>
      <w:r>
        <w:rPr>
          <w:rFonts w:ascii="Times New Roman" w:cs="Times New Roman" w:eastAsia="Times New Roman" w:hAnsi="Times New Roman"/>
          <w:b/>
          <w:bCs/>
          <w:sz w:val="20"/>
          <w:szCs w:val="20"/>
        </w:rPr>
        <w:t xml:space="preserve"> per assay) and Lineweaver–Burk reciprocals (1/[S], mM</w:t>
      </w:r>
      <w:r>
        <w:rPr>
          <w:rFonts w:ascii="Times New Roman" w:cs="Times New Roman" w:eastAsia="Times New Roman" w:hAnsi="Times New Roman"/>
          <w:b/>
          <w:bCs/>
          <w:sz w:val="20"/>
          <w:szCs w:val="20"/>
          <w:vertAlign w:val="superscript"/>
        </w:rPr>
        <w:t xml:space="preserve">−1</w:t>
      </w:r>
      <w:r>
        <w:rPr>
          <w:rFonts w:ascii="Times New Roman" w:cs="Times New Roman" w:eastAsia="Times New Roman" w:hAnsi="Times New Roman"/>
          <w:b/>
          <w:bCs/>
          <w:sz w:val="20"/>
          <w:szCs w:val="20"/>
        </w:rPr>
        <w:t xml:space="preserve">; 1/V</w:t>
      </w:r>
      <w:r>
        <w:rPr>
          <w:rFonts w:ascii="Times New Roman" w:cs="Times New Roman" w:eastAsia="Times New Roman" w:hAnsi="Times New Roman"/>
          <w:b/>
          <w:bCs/>
          <w:sz w:val="20"/>
          <w:szCs w:val="20"/>
          <w:vertAlign w:val="subscript"/>
        </w:rPr>
        <w:t xml:space="preserve">0</w:t>
      </w:r>
      <w:r>
        <w:rPr>
          <w:rFonts w:ascii="Times New Roman" w:cs="Times New Roman" w:eastAsia="Times New Roman" w:hAnsi="Times New Roman"/>
          <w:b/>
          <w:bCs/>
          <w:sz w:val="20"/>
          <w:szCs w:val="20"/>
        </w:rPr>
        <w:t xml:space="preserve">, min µmol</w:t>
      </w:r>
      <w:r>
        <w:rPr>
          <w:rFonts w:ascii="Times New Roman" w:cs="Times New Roman" w:eastAsia="Times New Roman" w:hAnsi="Times New Roman"/>
          <w:b/>
          <w:bCs/>
          <w:sz w:val="20"/>
          <w:szCs w:val="20"/>
          <w:vertAlign w:val="superscript"/>
        </w:rPr>
        <w:t xml:space="preserve">−1</w:t>
      </w:r>
      <w:r>
        <w:rPr>
          <w:rFonts w:ascii="Times New Roman" w:cs="Times New Roman" w:eastAsia="Times New Roman" w:hAnsi="Times New Roman"/>
          <w:b/>
          <w:bCs/>
          <w:sz w:val="20"/>
          <w:szCs w:val="20"/>
        </w:rPr>
        <w:t xml:space="preserve">); †, origin-assumed 0 to 2 min average rate; others, regression.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655"/>
        <w:gridCol w:w="655"/>
        <w:gridCol w:w="655"/>
        <w:gridCol w:w="655"/>
        <w:gridCol w:w="655"/>
        <w:gridCol w:w="655"/>
        <w:gridCol w:w="655"/>
        <w:gridCol w:w="936"/>
        <w:gridCol w:w="1123"/>
        <w:gridCol w:w="655"/>
        <w:gridCol w:w="657"/>
      </w:tblGrid>
      <w:tr>
        <w:trPr>
          <w:cantSplit/>
          <w:tblHeader/>
        </w:trPr>
        <w:tc>
          <w:tcPr>
            <w:tcW w:type="dxa" w:w="1404"/>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Series</w:t>
            </w:r>
          </w:p>
        </w:tc>
        <w:tc>
          <w:tcPr>
            <w:tcW w:type="dxa" w:w="655"/>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Tube</w:t>
            </w:r>
          </w:p>
        </w:tc>
        <w:tc>
          <w:tcPr>
            <w:tcW w:type="dxa" w:w="655"/>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[S] (mM)</w:t>
            </w:r>
          </w:p>
        </w:tc>
        <w:tc>
          <w:tcPr>
            <w:tcW w:type="dxa" w:w="655"/>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2 min</w:t>
            </w:r>
          </w:p>
        </w:tc>
        <w:tc>
          <w:tcPr>
            <w:tcW w:type="dxa" w:w="655"/>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4 min</w:t>
            </w:r>
          </w:p>
        </w:tc>
        <w:tc>
          <w:tcPr>
            <w:tcW w:type="dxa" w:w="655"/>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6 min</w:t>
            </w:r>
          </w:p>
        </w:tc>
        <w:tc>
          <w:tcPr>
            <w:tcW w:type="dxa" w:w="655"/>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8 min</w:t>
            </w:r>
          </w:p>
        </w:tc>
        <w:tc>
          <w:tcPr>
            <w:tcW w:type="dxa" w:w="655"/>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10 min</w:t>
            </w:r>
          </w:p>
        </w:tc>
        <w:tc>
          <w:tcPr>
            <w:tcW w:type="dxa" w:w="936"/>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V0 (dA/min)</w:t>
            </w:r>
          </w:p>
        </w:tc>
        <w:tc>
          <w:tcPr>
            <w:tcW w:type="dxa" w:w="1123"/>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V0 (umol/min)</w:t>
            </w:r>
          </w:p>
        </w:tc>
        <w:tc>
          <w:tcPr>
            <w:tcW w:type="dxa" w:w="655"/>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1/[S]</w:t>
            </w:r>
          </w:p>
        </w:tc>
        <w:tc>
          <w:tcPr>
            <w:tcW w:type="dxa" w:w="657"/>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1/V0</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no inhibitor</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A</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2.2</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0.282</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0.546</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0.815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1.094</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1.328</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0.132</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0.455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0.45</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2.2</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no inhibitor</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B</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0.202</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0.383</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0.516</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0.628</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0.723</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0.101†</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0.348†</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0.91</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2.87</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no inhibitor</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C</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0.156</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0.278</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0.357</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0.425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0.468</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0.078†</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0.269†</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1.82</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3.72</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no inhibitor</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0.275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0.172</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0.211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0.24</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0.301</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0.055†</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0.190†</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3.64</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5.28</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no inhibitor</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0.1375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0.116</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0.148</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0.166</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0.171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0.18</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0.058†</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0.200†</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7.27</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5</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no inhibitor</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F</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0.06875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0.047</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0.067</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0.077</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0.084</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0.09</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0.0235†</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0.081†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14.55</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12.35</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+ 0.458 mM IPTG</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A</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2.2</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0.198</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0.48</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0.586</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0.784</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0.966</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0.099†</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0.341†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0.45</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2.93</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+ 0.458 mM IPTG</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B</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0.065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0.127</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0.196</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0.239</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0.294</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0.03275</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0.113</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0.91</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8.86</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+ 0.458 mM IPTG</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C</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0.045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0.086</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0.128</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0.154</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0.187</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0.02075</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0.072</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1.82</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13.98</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+ 0.458 mM IPTG</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0.275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0.029</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0.051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0.068</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0.085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0.099</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0.0087</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0.030</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3.64</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33.35</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+ 0.458 mM IPTG</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0.1375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0.02</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0.035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0.047</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0.06</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0.069</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0.00615</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0.021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7.27</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47.18</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+ 0.458 mM IPTG</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F</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0.06875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0.011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0.019</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0.025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0.031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0.036</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0.0031</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0.011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14.55</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93.59</w:t>
            </w:r>
          </w:p>
        </w:tc>
      </w:tr>
    </w:tbl>
    <w:p>
      <w:pPr>
        <w:spacing w:after="80" w:before="0" w:line="40" w:lineRule="exact"/>
      </w:pPr>
      <w:r>
        <w:rPr>
          <w:sz w:val="4"/>
          <w:szCs w:val="4"/>
        </w:rPr>
        <w:t xml:space="preserve"/>
      </w:r>
    </w:p>
    <w:p>
      <w:pPr>
        <w:keepNext w:val="false"/>
        <w:keepLines w:val="false"/>
        <w:spacing w:after="100" w:before="0" w:line="360"/>
        <w:jc w:val="both"/>
      </w:pPr>
      <w:r>
        <w:rPr>
          <w:rFonts w:ascii="Times New Roman" w:cs="Times New Roman" w:eastAsia="Times New Roman" w:hAnsi="Times New Roman"/>
          <w:b/>
          <w:bCs/>
          <w:sz w:val="24"/>
          <w:szCs w:val="24"/>
        </w:rPr>
        <w:t xml:space="preserve">5. Michaelis–Menten kinetics with IPTG.</w:t>
      </w:r>
      <w:r>
        <w:rPr>
          <w:rFonts w:ascii="Times New Roman" w:cs="Times New Roman" w:eastAsia="Times New Roman" w:hAnsi="Times New Roman"/>
          <w:sz w:val="24"/>
          <w:szCs w:val="24"/>
        </w:rPr>
        <w:t xml:space="preserve"> With 0.458 mM IPTG every tube was slower (Figure 3B), by 25% at 2.20 mM ONPG and 87% at 0.069 mM, so inhibition grew as substrate fell (Figure 4A). The Lineweaver–Burk line steepened 9.5-fold, 1/V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6.24(1/[S]) + 3.55 (R</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0.988; Figure 4B), giving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m,app</w:t>
      </w:r>
      <w:r>
        <w:rPr>
          <w:rFonts w:ascii="Times New Roman" w:cs="Times New Roman" w:eastAsia="Times New Roman" w:hAnsi="Times New Roman"/>
          <w:sz w:val="24"/>
          <w:szCs w:val="24"/>
        </w:rPr>
        <w:t xml:space="preserve"> = 1.76 mM (5.6-fold increase) and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max,app</w:t>
      </w:r>
      <w:r>
        <w:rPr>
          <w:rFonts w:ascii="Times New Roman" w:cs="Times New Roman" w:eastAsia="Times New Roman" w:hAnsi="Times New Roman"/>
          <w:sz w:val="24"/>
          <w:szCs w:val="24"/>
        </w:rPr>
        <w:t xml:space="preserve"> = 0.282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from an extrapolated intercept (3.55 ± 2.33).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[I]/(</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m,app</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− 1) = 0.458/(1.76/0.31 − 1) = 0.100 mM. A competitive model fitted to both series (shared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 0.53 ± 0.07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 0.44 ± 0.17 mM,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0.107 ± 0.042 mM) left a residual sum of squares 1.9 times smaller than a noncompetitive model with the same number of parameters, and a mixed model reduced to it (Table 5).</w:t>
      </w:r>
    </w:p>
    <w:p>
      <w:pPr>
        <w:keepNext/>
        <w:spacing w:after="60" w:line="240" w:lineRule="auto"/>
        <w:jc w:val="center"/>
      </w:pPr>
      <w:r>
        <w:drawing>
          <wp:inline distT="0" distB="0" distL="0" distR="0">
            <wp:extent cx="59436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95450"/>
                    </a:xfrm>
                    <a:prstGeom prst="rect">
                      <a:avLst/>
                    </a:prstGeom>
                  </pic:spPr>
                </pic:pic>
              </a:graphicData>
            </a:graphic>
          </wp:inline>
        </w:drawing>
      </w:r>
    </w:p>
    <w:p>
      <w:pPr>
        <w:keepNext w:val="false"/>
        <w:keepLines/>
        <w:spacing w:after="60" w:before="0" w:line="276"/>
        <w:jc w:val="left"/>
      </w:pPr>
      <w:r>
        <w:rPr>
          <w:rFonts w:ascii="Times New Roman" w:cs="Times New Roman" w:eastAsia="Times New Roman" w:hAnsi="Times New Roman"/>
          <w:b/>
          <w:bCs/>
          <w:sz w:val="20"/>
          <w:szCs w:val="20"/>
        </w:rPr>
        <w:t xml:space="preserve">Figure 4. β-Galactosidase approached saturation with ONPG, and IPTG raised the apparent </w:t>
      </w:r>
      <w:r>
        <w:rPr>
          <w:rFonts w:ascii="Times New Roman" w:cs="Times New Roman" w:eastAsia="Times New Roman" w:hAnsi="Times New Roman"/>
          <w:b/>
          <w:bCs/>
          <w:sz w:val="20"/>
          <w:szCs w:val="20"/>
        </w:rPr>
        <w:t xml:space="preserve">K</w:t>
      </w:r>
      <w:r>
        <w:rPr>
          <w:rFonts w:ascii="Times New Roman" w:cs="Times New Roman" w:eastAsia="Times New Roman" w:hAnsi="Times New Roman"/>
          <w:b/>
          <w:bCs/>
          <w:sz w:val="20"/>
          <w:szCs w:val="20"/>
          <w:vertAlign w:val="subscript"/>
        </w:rPr>
        <w:t xml:space="preserve">m</w:t>
      </w:r>
      <w:r>
        <w:rPr>
          <w:rFonts w:ascii="Times New Roman" w:cs="Times New Roman" w:eastAsia="Times New Roman" w:hAnsi="Times New Roman"/>
          <w:b/>
          <w:bCs/>
          <w:sz w:val="20"/>
          <w:szCs w:val="20"/>
        </w:rPr>
        <w:t xml:space="preserve">.</w:t>
      </w:r>
      <w:r>
        <w:rPr>
          <w:rFonts w:ascii="Times New Roman" w:cs="Times New Roman" w:eastAsia="Times New Roman" w:hAnsi="Times New Roman"/>
          <w:sz w:val="20"/>
          <w:szCs w:val="20"/>
        </w:rPr>
        <w:t xml:space="preserve"> (A) V</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 against [ONPG] without (circles) and with 0.458 mM IPTG (triangles), from Figure 3; solid, competitive model fitted to both series (shared </w:t>
      </w:r>
      <w:r>
        <w:rPr>
          <w:rFonts w:ascii="Times New Roman" w:cs="Times New Roman" w:eastAsia="Times New Roman" w:hAnsi="Times New Roman"/>
          <w:sz w:val="20"/>
          <w:szCs w:val="20"/>
        </w:rPr>
        <w:t xml:space="preserve">V</w:t>
      </w:r>
      <w:r>
        <w:rPr>
          <w:rFonts w:ascii="Times New Roman" w:cs="Times New Roman" w:eastAsia="Times New Roman" w:hAnsi="Times New Roman"/>
          <w:sz w:val="20"/>
          <w:szCs w:val="20"/>
          <w:vertAlign w:val="subscript"/>
        </w:rPr>
        <w:t xml:space="preserve">max</w:t>
      </w:r>
      <w:r>
        <w:rPr>
          <w:rFonts w:ascii="Times New Roman" w:cs="Times New Roman" w:eastAsia="Times New Roman" w:hAnsi="Times New Roman"/>
          <w:sz w:val="20"/>
          <w:szCs w:val="20"/>
        </w:rPr>
        <w:t xml:space="preserve"> assumed); dashed, Lineweaver–Burk hyperbolae; †, origin-assumed. (B) Lineweaver–Burk plot; x-intercepts −1/</w:t>
      </w:r>
      <w:r>
        <w:rPr>
          <w:rFonts w:ascii="Times New Roman" w:cs="Times New Roman" w:eastAsia="Times New Roman" w:hAnsi="Times New Roman"/>
          <w:sz w:val="20"/>
          <w:szCs w:val="20"/>
        </w:rPr>
        <w:t xml:space="preserve">K</w:t>
      </w:r>
      <w:r>
        <w:rPr>
          <w:rFonts w:ascii="Times New Roman" w:cs="Times New Roman" w:eastAsia="Times New Roman" w:hAnsi="Times New Roman"/>
          <w:sz w:val="20"/>
          <w:szCs w:val="20"/>
          <w:vertAlign w:val="subscript"/>
        </w:rPr>
        <w:t xml:space="preserve">m</w:t>
      </w:r>
      <w:r>
        <w:rPr>
          <w:rFonts w:ascii="Times New Roman" w:cs="Times New Roman" w:eastAsia="Times New Roman" w:hAnsi="Times New Roman"/>
          <w:sz w:val="20"/>
          <w:szCs w:val="20"/>
        </w:rPr>
        <w:t xml:space="preserve"> = -3.19, −1/</w:t>
      </w:r>
      <w:r>
        <w:rPr>
          <w:rFonts w:ascii="Times New Roman" w:cs="Times New Roman" w:eastAsia="Times New Roman" w:hAnsi="Times New Roman"/>
          <w:sz w:val="20"/>
          <w:szCs w:val="20"/>
        </w:rPr>
        <w:t xml:space="preserve">K</w:t>
      </w:r>
      <w:r>
        <w:rPr>
          <w:rFonts w:ascii="Times New Roman" w:cs="Times New Roman" w:eastAsia="Times New Roman" w:hAnsi="Times New Roman"/>
          <w:sz w:val="20"/>
          <w:szCs w:val="20"/>
          <w:vertAlign w:val="subscript"/>
        </w:rPr>
        <w:t xml:space="preserve">m,app</w:t>
      </w:r>
      <w:r>
        <w:rPr>
          <w:rFonts w:ascii="Times New Roman" w:cs="Times New Roman" w:eastAsia="Times New Roman" w:hAnsi="Times New Roman"/>
          <w:sz w:val="20"/>
          <w:szCs w:val="20"/>
        </w:rPr>
        <w:t xml:space="preserve"> = -0.57 mM</w:t>
      </w: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 Reference Part III data.</w:t>
      </w:r>
    </w:p>
    <w:p>
      <w:pPr>
        <w:keepNext/>
        <w:keepLines/>
        <w:spacing w:after="60" w:before="0" w:line="276"/>
        <w:jc w:val="left"/>
      </w:pPr>
      <w:r>
        <w:rPr>
          <w:rFonts w:ascii="Times New Roman" w:cs="Times New Roman" w:eastAsia="Times New Roman" w:hAnsi="Times New Roman"/>
          <w:b/>
          <w:bCs/>
          <w:sz w:val="20"/>
          <w:szCs w:val="20"/>
        </w:rPr>
        <w:t xml:space="preserve">Table 5. Kinetic parameters (reference Part III; </w:t>
      </w:r>
      <w:r>
        <w:rPr>
          <w:rFonts w:ascii="Times New Roman" w:cs="Times New Roman" w:eastAsia="Times New Roman" w:hAnsi="Times New Roman"/>
          <w:b/>
          <w:bCs/>
          <w:sz w:val="20"/>
          <w:szCs w:val="20"/>
        </w:rPr>
        <w:t xml:space="preserve">K</w:t>
      </w:r>
      <w:r>
        <w:rPr>
          <w:rFonts w:ascii="Times New Roman" w:cs="Times New Roman" w:eastAsia="Times New Roman" w:hAnsi="Times New Roman"/>
          <w:b/>
          <w:bCs/>
          <w:sz w:val="20"/>
          <w:szCs w:val="20"/>
          <w:vertAlign w:val="subscript"/>
        </w:rPr>
        <w:t xml:space="preserve">m</w:t>
      </w:r>
      <w:r>
        <w:rPr>
          <w:rFonts w:ascii="Times New Roman" w:cs="Times New Roman" w:eastAsia="Times New Roman" w:hAnsi="Times New Roman"/>
          <w:b/>
          <w:bCs/>
          <w:sz w:val="20"/>
          <w:szCs w:val="20"/>
        </w:rPr>
        <w:t xml:space="preserve">, </w:t>
      </w:r>
      <w:r>
        <w:rPr>
          <w:rFonts w:ascii="Times New Roman" w:cs="Times New Roman" w:eastAsia="Times New Roman" w:hAnsi="Times New Roman"/>
          <w:b/>
          <w:bCs/>
          <w:sz w:val="20"/>
          <w:szCs w:val="20"/>
        </w:rPr>
        <w:t xml:space="preserve">K</w:t>
      </w:r>
      <w:r>
        <w:rPr>
          <w:rFonts w:ascii="Times New Roman" w:cs="Times New Roman" w:eastAsia="Times New Roman" w:hAnsi="Times New Roman"/>
          <w:b/>
          <w:bCs/>
          <w:sz w:val="20"/>
          <w:szCs w:val="20"/>
          <w:vertAlign w:val="subscript"/>
        </w:rPr>
        <w:t xml:space="preserve">i</w:t>
      </w:r>
      <w:r>
        <w:rPr>
          <w:rFonts w:ascii="Times New Roman" w:cs="Times New Roman" w:eastAsia="Times New Roman" w:hAnsi="Times New Roman"/>
          <w:b/>
          <w:bCs/>
          <w:sz w:val="20"/>
          <w:szCs w:val="20"/>
        </w:rPr>
        <w:t xml:space="preserve"> in mM; </w:t>
      </w:r>
      <w:r>
        <w:rPr>
          <w:rFonts w:ascii="Times New Roman" w:cs="Times New Roman" w:eastAsia="Times New Roman" w:hAnsi="Times New Roman"/>
          <w:b/>
          <w:bCs/>
          <w:sz w:val="20"/>
          <w:szCs w:val="20"/>
        </w:rPr>
        <w:t xml:space="preserve">V</w:t>
      </w:r>
      <w:r>
        <w:rPr>
          <w:rFonts w:ascii="Times New Roman" w:cs="Times New Roman" w:eastAsia="Times New Roman" w:hAnsi="Times New Roman"/>
          <w:b/>
          <w:bCs/>
          <w:sz w:val="20"/>
          <w:szCs w:val="20"/>
          <w:vertAlign w:val="subscript"/>
        </w:rPr>
        <w:t xml:space="preserve">max</w:t>
      </w:r>
      <w:r>
        <w:rPr>
          <w:rFonts w:ascii="Times New Roman" w:cs="Times New Roman" w:eastAsia="Times New Roman" w:hAnsi="Times New Roman"/>
          <w:b/>
          <w:bCs/>
          <w:sz w:val="20"/>
          <w:szCs w:val="20"/>
        </w:rPr>
        <w:t xml:space="preserve"> in µmol min</w:t>
      </w:r>
      <w:r>
        <w:rPr>
          <w:rFonts w:ascii="Times New Roman" w:cs="Times New Roman" w:eastAsia="Times New Roman" w:hAnsi="Times New Roman"/>
          <w:b/>
          <w:bCs/>
          <w:sz w:val="20"/>
          <w:szCs w:val="20"/>
          <w:vertAlign w:val="superscript"/>
        </w:rPr>
        <w:t xml:space="preserve">−1</w:t>
      </w:r>
      <w:r>
        <w:rPr>
          <w:rFonts w:ascii="Times New Roman" w:cs="Times New Roman" w:eastAsia="Times New Roman" w:hAnsi="Times New Roman"/>
          <w:b/>
          <w:bCs/>
          <w:sz w:val="20"/>
          <w:szCs w:val="20"/>
        </w:rPr>
        <w:t xml:space="preserve"> per assay; ± SE of the fit) by Lineweaver–Burk (course method) and nonlinear fits; app., apparent (with IPTG); n.d., no plateau, not determinable; global fits share </w:t>
      </w:r>
      <w:r>
        <w:rPr>
          <w:rFonts w:ascii="Times New Roman" w:cs="Times New Roman" w:eastAsia="Times New Roman" w:hAnsi="Times New Roman"/>
          <w:b/>
          <w:bCs/>
          <w:sz w:val="20"/>
          <w:szCs w:val="20"/>
        </w:rPr>
        <w:t xml:space="preserve">V</w:t>
      </w:r>
      <w:r>
        <w:rPr>
          <w:rFonts w:ascii="Times New Roman" w:cs="Times New Roman" w:eastAsia="Times New Roman" w:hAnsi="Times New Roman"/>
          <w:b/>
          <w:bCs/>
          <w:sz w:val="20"/>
          <w:szCs w:val="20"/>
          <w:vertAlign w:val="subscript"/>
        </w:rPr>
        <w:t xml:space="preserve">max</w:t>
      </w:r>
      <w:r>
        <w:rPr>
          <w:rFonts w:ascii="Times New Roman" w:cs="Times New Roman" w:eastAsia="Times New Roman" w:hAnsi="Times New Roman"/>
          <w:b/>
          <w:bCs/>
          <w:sz w:val="20"/>
          <w:szCs w:val="20"/>
        </w:rPr>
        <w:t xml:space="preserve"> (competitive) or </w:t>
      </w:r>
      <w:r>
        <w:rPr>
          <w:rFonts w:ascii="Times New Roman" w:cs="Times New Roman" w:eastAsia="Times New Roman" w:hAnsi="Times New Roman"/>
          <w:b/>
          <w:bCs/>
          <w:sz w:val="20"/>
          <w:szCs w:val="20"/>
        </w:rPr>
        <w:t xml:space="preserve">K</w:t>
      </w:r>
      <w:r>
        <w:rPr>
          <w:rFonts w:ascii="Times New Roman" w:cs="Times New Roman" w:eastAsia="Times New Roman" w:hAnsi="Times New Roman"/>
          <w:b/>
          <w:bCs/>
          <w:sz w:val="20"/>
          <w:szCs w:val="20"/>
          <w:vertAlign w:val="subscript"/>
        </w:rPr>
        <w:t xml:space="preserve">m</w:t>
      </w:r>
      <w:r>
        <w:rPr>
          <w:rFonts w:ascii="Times New Roman" w:cs="Times New Roman" w:eastAsia="Times New Roman" w:hAnsi="Times New Roman"/>
          <w:b/>
          <w:bCs/>
          <w:sz w:val="20"/>
          <w:szCs w:val="20"/>
        </w:rPr>
        <w:t xml:space="preserve"> (noncompetitive) between the series; RSS, residual sum of squares.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33"/>
        <w:gridCol w:w="2394"/>
        <w:gridCol w:w="1415"/>
        <w:gridCol w:w="1415"/>
        <w:gridCol w:w="1415"/>
        <w:gridCol w:w="1088"/>
      </w:tblGrid>
      <w:tr>
        <w:trPr>
          <w:cantSplit/>
          <w:tblHeader/>
        </w:trPr>
        <w:tc>
          <w:tcPr>
            <w:tcW w:type="dxa" w:w="1633"/>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Condition</w:t>
            </w:r>
          </w:p>
        </w:tc>
        <w:tc>
          <w:tcPr>
            <w:tcW w:type="dxa" w:w="2394"/>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Method</w:t>
            </w:r>
          </w:p>
        </w:tc>
        <w:tc>
          <w:tcPr>
            <w:tcW w:type="dxa" w:w="1415"/>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Km</w:t>
            </w:r>
          </w:p>
        </w:tc>
        <w:tc>
          <w:tcPr>
            <w:tcW w:type="dxa" w:w="1415"/>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Vmax</w:t>
            </w:r>
          </w:p>
        </w:tc>
        <w:tc>
          <w:tcPr>
            <w:tcW w:type="dxa" w:w="1415"/>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Ki</w:t>
            </w:r>
          </w:p>
        </w:tc>
        <w:tc>
          <w:tcPr>
            <w:tcW w:type="dxa" w:w="1088"/>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Fit</w:t>
            </w:r>
          </w:p>
        </w:tc>
      </w:tr>
      <w:tr>
        <w:trPr>
          <w:cantSplit/>
        </w:trPr>
        <w:tc>
          <w:tcPr>
            <w:tcW w:type="dxa" w:w="163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No inhibitor</w:t>
            </w:r>
          </w:p>
        </w:tc>
        <w:tc>
          <w:tcPr>
            <w:tcW w:type="dxa" w:w="239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Lineweaver-Burk</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0.314</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0.477</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w:t>
            </w:r>
          </w:p>
        </w:tc>
        <w:tc>
          <w:tcPr>
            <w:tcW w:type="dxa" w:w="1088"/>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R2 0.928</w:t>
            </w:r>
          </w:p>
        </w:tc>
      </w:tr>
      <w:tr>
        <w:trPr>
          <w:cantSplit/>
        </w:trPr>
        <w:tc>
          <w:tcPr>
            <w:tcW w:type="dxa" w:w="163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No inhibitor</w:t>
            </w:r>
          </w:p>
        </w:tc>
        <w:tc>
          <w:tcPr>
            <w:tcW w:type="dxa" w:w="239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Nonlinear MM</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0.363 ± 0.128</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0.494 ± 0.059</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w:t>
            </w:r>
          </w:p>
        </w:tc>
        <w:tc>
          <w:tcPr>
            <w:tcW w:type="dxa" w:w="1088"/>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R2 0.919</w:t>
            </w:r>
          </w:p>
        </w:tc>
      </w:tr>
      <w:tr>
        <w:trPr>
          <w:cantSplit/>
        </w:trPr>
        <w:tc>
          <w:tcPr>
            <w:tcW w:type="dxa" w:w="163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+ 0.458 mM IPTG</w:t>
            </w:r>
          </w:p>
        </w:tc>
        <w:tc>
          <w:tcPr>
            <w:tcW w:type="dxa" w:w="239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Lineweaver-Burk</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1.757 (app.)</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0.282 (app.)</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0.100</w:t>
            </w:r>
          </w:p>
        </w:tc>
        <w:tc>
          <w:tcPr>
            <w:tcW w:type="dxa" w:w="1088"/>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R2 0.988</w:t>
            </w:r>
          </w:p>
        </w:tc>
      </w:tr>
      <w:tr>
        <w:trPr>
          <w:cantSplit/>
        </w:trPr>
        <w:tc>
          <w:tcPr>
            <w:tcW w:type="dxa" w:w="163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+ 0.458 mM IPTG</w:t>
            </w:r>
          </w:p>
        </w:tc>
        <w:tc>
          <w:tcPr>
            <w:tcW w:type="dxa" w:w="239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Nonlinear MM</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n.d.</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n.d.</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w:t>
            </w:r>
          </w:p>
        </w:tc>
        <w:tc>
          <w:tcPr>
            <w:tcW w:type="dxa" w:w="1088"/>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R2 0.962</w:t>
            </w:r>
          </w:p>
        </w:tc>
      </w:tr>
      <w:tr>
        <w:trPr>
          <w:cantSplit/>
        </w:trPr>
        <w:tc>
          <w:tcPr>
            <w:tcW w:type="dxa" w:w="163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Both series</w:t>
            </w:r>
          </w:p>
        </w:tc>
        <w:tc>
          <w:tcPr>
            <w:tcW w:type="dxa" w:w="239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Global, competitive</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0.435 ± 0.166</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0.529 ± 0.072</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0.107 ± 0.042</w:t>
            </w:r>
          </w:p>
        </w:tc>
        <w:tc>
          <w:tcPr>
            <w:tcW w:type="dxa" w:w="1088"/>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RSS 0.0194</w:t>
            </w:r>
          </w:p>
        </w:tc>
      </w:tr>
      <w:tr>
        <w:trPr>
          <w:cantSplit/>
        </w:trPr>
        <w:tc>
          <w:tcPr>
            <w:tcW w:type="dxa" w:w="163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Both series</w:t>
            </w:r>
          </w:p>
        </w:tc>
        <w:tc>
          <w:tcPr>
            <w:tcW w:type="dxa" w:w="239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Global, noncompetitive</w:t>
            </w:r>
          </w:p>
        </w:tc>
        <w:tc>
          <w:tcPr>
            <w:tcW w:type="dxa" w:w="141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0.744 ± 0.382</w:t>
            </w:r>
          </w:p>
        </w:tc>
        <w:tc>
          <w:tcPr>
            <w:tcW w:type="dxa" w:w="141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0.626 ± 0.139</w:t>
            </w:r>
          </w:p>
        </w:tc>
        <w:tc>
          <w:tcPr>
            <w:tcW w:type="dxa" w:w="141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0.433 ± 0.181</w:t>
            </w:r>
          </w:p>
        </w:tc>
        <w:tc>
          <w:tcPr>
            <w:tcW w:type="dxa" w:w="1088"/>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RSS 0.0371</w:t>
            </w:r>
          </w:p>
        </w:tc>
      </w:tr>
    </w:tbl>
    <w:p>
      <w:pPr>
        <w:pStyle w:val="Heading1"/>
        <w:keepNext/>
        <w:pageBreakBefore/>
        <w:spacing w:after="120" w:before="240" w:line="360"/>
        <w:jc w:val="left"/>
      </w:pPr>
      <w:r>
        <w:rPr>
          <w:rFonts w:ascii="Times New Roman" w:cs="Times New Roman" w:eastAsia="Times New Roman" w:hAnsi="Times New Roman"/>
          <w:b/>
          <w:bCs/>
          <w:sz w:val="24"/>
          <w:szCs w:val="24"/>
        </w:rPr>
        <w:t xml:space="preserve">Discussion</w:t>
      </w:r>
    </w:p>
    <w:p>
      <w:pPr>
        <w:keepNext w:val="false"/>
        <w:keepLines w:val="false"/>
        <w:spacing w:after="100" w:before="0" w:line="360"/>
        <w:jc w:val="both"/>
      </w:pPr>
      <w:r>
        <w:rPr>
          <w:rFonts w:ascii="Times New Roman" w:cs="Times New Roman" w:eastAsia="Times New Roman" w:hAnsi="Times New Roman"/>
          <w:sz w:val="24"/>
          <w:szCs w:val="24"/>
        </w:rPr>
        <w:t xml:space="preserve">The reference data behave as the Michaelis–Menten model predicts: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rose approximately in proportion to enzyme at saturating substrate (R</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0.97), velocity saturated with substrate, and IPTG raised the apparent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5.6-fold while inhibiting most at low substrate. Much of the numerical answer was decided before any fit. Five of six uninhibited curves had no linear window, so their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is a 0 to 2 min average with A</w:t>
      </w:r>
      <w:r>
        <w:rPr>
          <w:rFonts w:ascii="Times New Roman" w:cs="Times New Roman" w:eastAsia="Times New Roman" w:hAnsi="Times New Roman"/>
          <w:sz w:val="24"/>
          <w:szCs w:val="24"/>
          <w:vertAlign w:val="subscript"/>
        </w:rPr>
        <w:t xml:space="preserve">415</w:t>
      </w:r>
      <w:r>
        <w:rPr>
          <w:rFonts w:ascii="Times New Roman" w:cs="Times New Roman" w:eastAsia="Times New Roman" w:hAnsi="Times New Roman"/>
          <w:sz w:val="24"/>
          <w:szCs w:val="24"/>
        </w:rPr>
        <w:t xml:space="preserve"> = 0 assumed at t = 0; other defensible rules for the same readings move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from 0.31 to 0.55 mM and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from 0.10 to 0.50 mM (Table 5). Lineweaver–Burk weights the low-substrate points most, where the estimates are weakest (4); the nonlinear fit gave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 0.36 ± 0.13 mM. A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reported without its estimation rule is incomplete.</w:t>
      </w:r>
    </w:p>
    <w:p>
      <w:pPr>
        <w:keepNext w:val="false"/>
        <w:keepLines w:val="false"/>
        <w:spacing w:after="100" w:before="0" w:line="360"/>
        <w:jc w:val="both"/>
      </w:pPr>
      <w:r>
        <w:rPr>
          <w:rFonts w:ascii="Times New Roman" w:cs="Times New Roman" w:eastAsia="Times New Roman" w:hAnsi="Times New Roman"/>
          <w:sz w:val="24"/>
          <w:szCs w:val="24"/>
        </w:rPr>
        <w:t xml:space="preserve">The inhibition data fit a competitive model with a 1.9-fold lower residual sum of squares than a noncompetitive model of equal size. The fit does not show that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was unchanged: the model shares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by construction, and the inhibited series never approached saturation, so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max,app</w:t>
      </w:r>
      <w:r>
        <w:rPr>
          <w:rFonts w:ascii="Times New Roman" w:cs="Times New Roman" w:eastAsia="Times New Roman" w:hAnsi="Times New Roman"/>
          <w:sz w:val="24"/>
          <w:szCs w:val="24"/>
        </w:rPr>
        <w:t xml:space="preserve"> (0.28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is an extrapolation. The observations are therefore consistent with competitive inhibition, with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0.1 mM by the course method (0.11 mM by the global fit), of the same order as the 0.08 mM reported for purified enzyme (TES, pH 7.0, 25 °C) (10).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(0.31 to 0.36 mM) is two to three times the published 0.12 mM (10); origin-assumed rates understate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if the rate was already falling, and room temperature, 2-min sampling and an uncertain effective ONPG concentration act the same way.</w:t>
      </w:r>
    </w:p>
    <w:p>
      <w:pPr>
        <w:keepNext w:val="false"/>
        <w:keepLines w:val="false"/>
        <w:spacing w:after="100" w:before="0" w:line="360"/>
        <w:jc w:val="both"/>
      </w:pPr>
      <w:r>
        <w:rPr>
          <w:rFonts w:ascii="Times New Roman" w:cs="Times New Roman" w:eastAsia="Times New Roman" w:hAnsi="Times New Roman"/>
          <w:sz w:val="24"/>
          <w:szCs w:val="24"/>
        </w:rPr>
        <w:t xml:space="preserve">Our own measurements, analysed by the same rules, gave the same picture with a lower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0.16 mM by Lineweaver–Burk and 0.14 ± 0.03 mM by nonlinear fit (five tubes), because four of five uninhibited curves had linear windows. With IPTG,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m,app</w:t>
      </w:r>
      <w:r>
        <w:rPr>
          <w:rFonts w:ascii="Times New Roman" w:cs="Times New Roman" w:eastAsia="Times New Roman" w:hAnsi="Times New Roman"/>
          <w:sz w:val="24"/>
          <w:szCs w:val="24"/>
        </w:rPr>
        <w:t xml:space="preserve"> rose 8.8-fold (nonlinear, three tubes;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max,app</w:t>
      </w:r>
      <w:r>
        <w:rPr>
          <w:rFonts w:ascii="Times New Roman" w:cs="Times New Roman" w:eastAsia="Times New Roman" w:hAnsi="Times New Roman"/>
          <w:sz w:val="24"/>
          <w:szCs w:val="24"/>
        </w:rPr>
        <w:t xml:space="preserve"> ratio 1.01) and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0.059 mM, or 0.024 mM by Lineweaver–Burk. Inhibited tube B ran 1.57-fold faster than tube A at half the substrate and faster than its uninhibited control, which no inhibition model at fixed enzyme allows. A late or mistimed stop, a longer reaction time before the first aliquot, a pipetting difference in enzyme or ONPG, or omitted or diluted IPTG would each produce this; the record cannot distinguish them. It is kept in Table R1 and excluded from the fits (included,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m,app</w:t>
      </w:r>
      <w:r>
        <w:rPr>
          <w:rFonts w:ascii="Times New Roman" w:cs="Times New Roman" w:eastAsia="Times New Roman" w:hAnsi="Times New Roman"/>
          <w:sz w:val="24"/>
          <w:szCs w:val="24"/>
        </w:rPr>
        <w:t xml:space="preserve"> = 38 mM, intercept near zero). Tube E was discarded before measurement, so three inhibited points remain and our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less certain. Improvements: 30-s sampling in the first 2 min, ONPG from 0.03 to above 2 mM, duplicates, and verified ONPG and IPTG stocks.</w:t>
      </w:r>
    </w:p>
    <w:p>
      <w:pPr>
        <w:keepNext w:val="false"/>
        <w:keepLines w:val="false"/>
        <w:spacing w:after="100" w:before="0" w:line="360"/>
        <w:jc w:val="both"/>
      </w:pPr>
      <w:r>
        <w:rPr>
          <w:rFonts w:ascii="Times New Roman" w:cs="Times New Roman" w:eastAsia="Times New Roman" w:hAnsi="Times New Roman"/>
          <w:b/>
          <w:bCs/>
          <w:sz w:val="24"/>
          <w:szCs w:val="24"/>
        </w:rPr>
        <w:t xml:space="preserve">Conclusion.</w:t>
      </w:r>
      <w:r>
        <w:rPr>
          <w:rFonts w:ascii="Times New Roman" w:cs="Times New Roman" w:eastAsia="Times New Roman" w:hAnsi="Times New Roman"/>
          <w:sz w:val="24"/>
          <w:szCs w:val="24"/>
        </w:rPr>
        <w:t xml:space="preserve"> Velocity was proportional to enzyme, saturated with ONPG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 0.31 mM,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 0.477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by Lineweaver–Burk) and was inhibited by IPTG as competition for the active site predicts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0.1 mM). Observed: the rise of the apparent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and the growth of inhibition at low substrate. Inferred: the constants, the unchanged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whose uncertainty is set by the models' assumptions, above all the estimate of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from 2-min samples.</w:t>
      </w:r>
    </w:p>
    <w:p>
      <w:pPr>
        <w:pStyle w:val="Heading1"/>
        <w:keepNext/>
        <w:pageBreakBefore/>
        <w:spacing w:after="120" w:before="240" w:line="360"/>
        <w:jc w:val="left"/>
      </w:pPr>
      <w:r>
        <w:rPr>
          <w:rFonts w:ascii="Times New Roman" w:cs="Times New Roman" w:eastAsia="Times New Roman" w:hAnsi="Times New Roman"/>
          <w:b/>
          <w:bCs/>
          <w:sz w:val="24"/>
          <w:szCs w:val="24"/>
        </w:rPr>
        <w:t xml:space="preserve">Data and Code Availability</w:t>
      </w:r>
    </w:p>
    <w:p>
      <w:pPr>
        <w:keepNext w:val="false"/>
        <w:keepLines w:val="false"/>
        <w:spacing w:after="100" w:before="0" w:line="360"/>
        <w:jc w:val="both"/>
      </w:pPr>
      <w:r>
        <w:rPr>
          <w:rFonts w:ascii="Times New Roman" w:cs="Times New Roman" w:eastAsia="Times New Roman" w:hAnsi="Times New Roman"/>
          <w:sz w:val="24"/>
          <w:szCs w:val="24"/>
        </w:rPr>
        <w:t xml:space="preserve">The raw data (our 14 printouts and their transcription; the reference values as received), the R scripts, processed tables, figures and report sources are in the public repository </w:t>
      </w:r>
      <w:hyperlink w:history="1" r:id="rIduxaawplajc-4cr0svcaxc">
        <w:r>
          <w:rPr>
            <w:rStyle w:val="Hyperlink"/>
            <w:rFonts w:ascii="Times New Roman" w:cs="Times New Roman" w:eastAsia="Times New Roman" w:hAnsi="Times New Roman"/>
            <w:sz w:val="24"/>
            <w:szCs w:val="24"/>
          </w:rPr>
          <w:t xml:space="preserve">https://github.com/almokhtar8-stack/exp2</w:t>
        </w:r>
      </w:hyperlink>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Rscript R/run_all.R</w:t>
      </w:r>
      <w:r>
        <w:rPr>
          <w:rFonts w:ascii="Times New Roman" w:cs="Times New Roman" w:eastAsia="Times New Roman" w:hAnsi="Times New Roman"/>
          <w:sz w:val="24"/>
          <w:szCs w:val="24"/>
        </w:rPr>
        <w:t xml:space="preserve"> regenerates every number, table and figure. Instructor correspondence and course documents are not redistributed.</w:t>
      </w:r>
    </w:p>
    <w:p>
      <w:pPr>
        <w:pStyle w:val="Heading1"/>
        <w:keepNext/>
        <w:spacing w:after="120" w:before="240" w:line="360"/>
        <w:jc w:val="left"/>
      </w:pPr>
      <w:r>
        <w:rPr>
          <w:rFonts w:ascii="Times New Roman" w:cs="Times New Roman" w:eastAsia="Times New Roman" w:hAnsi="Times New Roman"/>
          <w:b/>
          <w:bCs/>
          <w:sz w:val="24"/>
          <w:szCs w:val="24"/>
        </w:rPr>
        <w:t xml:space="preserve">References</w:t>
      </w:r>
    </w:p>
    <w:p>
      <w:pPr>
        <w:spacing w:after="60" w:line="360"/>
        <w:ind w:left="360" w:hanging="360"/>
        <w:jc w:val="left"/>
      </w:pPr>
      <w:r>
        <w:rPr>
          <w:rFonts w:ascii="Times New Roman" w:cs="Times New Roman" w:eastAsia="Times New Roman" w:hAnsi="Times New Roman"/>
          <w:sz w:val="24"/>
          <w:szCs w:val="24"/>
        </w:rPr>
        <w:t xml:space="preserve">1. Michaelis, L., and Menten, M. L. (1913) Die Kinetik der Invertinwirkung, Biochem. Z. 49, 333-369.</w:t>
      </w:r>
    </w:p>
    <w:p>
      <w:pPr>
        <w:spacing w:after="60" w:line="360"/>
        <w:ind w:left="360" w:hanging="360"/>
        <w:jc w:val="left"/>
      </w:pPr>
      <w:r>
        <w:rPr>
          <w:rFonts w:ascii="Times New Roman" w:cs="Times New Roman" w:eastAsia="Times New Roman" w:hAnsi="Times New Roman"/>
          <w:sz w:val="24"/>
          <w:szCs w:val="24"/>
        </w:rPr>
        <w:t xml:space="preserve">2. Johnson, K. A., and Goody, R. S. (2011) The original Michaelis constant: translation of the 1913 Michaelis-Menten paper, Biochemistry 50, 8264-8269. DOI 10.1021/bi201284u</w:t>
      </w:r>
    </w:p>
    <w:p>
      <w:pPr>
        <w:spacing w:after="60" w:line="360"/>
        <w:ind w:left="360" w:hanging="360"/>
        <w:jc w:val="left"/>
      </w:pPr>
      <w:r>
        <w:rPr>
          <w:rFonts w:ascii="Times New Roman" w:cs="Times New Roman" w:eastAsia="Times New Roman" w:hAnsi="Times New Roman"/>
          <w:sz w:val="24"/>
          <w:szCs w:val="24"/>
        </w:rPr>
        <w:t xml:space="preserve">3. Lineweaver, H., and Burk, D. (1934) The determination of enzyme dissociation constants, J. Am. Chem. Soc. 56, 658-666. DOI 10.1021/ja01318a036</w:t>
      </w:r>
    </w:p>
    <w:p>
      <w:pPr>
        <w:spacing w:after="60" w:line="360"/>
        <w:ind w:left="360" w:hanging="360"/>
        <w:jc w:val="left"/>
      </w:pPr>
      <w:r>
        <w:rPr>
          <w:rFonts w:ascii="Times New Roman" w:cs="Times New Roman" w:eastAsia="Times New Roman" w:hAnsi="Times New Roman"/>
          <w:sz w:val="24"/>
          <w:szCs w:val="24"/>
        </w:rPr>
        <w:t xml:space="preserve">4. Dowd, J. E., and Riggs, D. S. (1965) A comparison of estimates of Michaelis-Menten kinetic constants from various linear transformations, J. Biol. Chem. 240, 863-869. DOI 10.1016/S0021-9258(17)45254-9</w:t>
      </w:r>
    </w:p>
    <w:p>
      <w:pPr>
        <w:spacing w:after="60" w:line="360"/>
        <w:ind w:left="360" w:hanging="360"/>
        <w:jc w:val="left"/>
      </w:pPr>
      <w:r>
        <w:rPr>
          <w:rFonts w:ascii="Times New Roman" w:cs="Times New Roman" w:eastAsia="Times New Roman" w:hAnsi="Times New Roman"/>
          <w:sz w:val="24"/>
          <w:szCs w:val="24"/>
        </w:rPr>
        <w:t xml:space="preserve">5. Jacobson, R. H., Zhang, X.-J., DuBose, R. F., and Matthews, B. W. (1994) Three-dimensional structure of β-galactosidase from E. coli, Nature 369, 761-766. DOI 10.1038/369761a0</w:t>
      </w:r>
    </w:p>
    <w:p>
      <w:pPr>
        <w:spacing w:after="60" w:line="360"/>
        <w:ind w:left="360" w:hanging="360"/>
        <w:jc w:val="left"/>
      </w:pPr>
      <w:r>
        <w:rPr>
          <w:rFonts w:ascii="Times New Roman" w:cs="Times New Roman" w:eastAsia="Times New Roman" w:hAnsi="Times New Roman"/>
          <w:sz w:val="24"/>
          <w:szCs w:val="24"/>
        </w:rPr>
        <w:t xml:space="preserve">6. Juers, D. H., Heightman, T. D., Vasella, A., McCarter, J. D., Mackenzie, L., Withers, S. G., and Matthews, B. W. (2001) A structural view of the action of Escherichia coli (lacZ) β-galactosidase, Biochemistry 40, 14781-14794. DOI 10.1021/bi011727i</w:t>
      </w:r>
    </w:p>
    <w:p>
      <w:pPr>
        <w:spacing w:after="60" w:line="360"/>
        <w:ind w:left="360" w:hanging="360"/>
        <w:jc w:val="left"/>
      </w:pPr>
      <w:r>
        <w:rPr>
          <w:rFonts w:ascii="Times New Roman" w:cs="Times New Roman" w:eastAsia="Times New Roman" w:hAnsi="Times New Roman"/>
          <w:sz w:val="24"/>
          <w:szCs w:val="24"/>
        </w:rPr>
        <w:t xml:space="preserve">7. Miller, J. H. (1972) Experiments in Molecular Genetics, pp 352-355, Cold Spring Harbor Laboratory, Cold Spring Harbor, NY.</w:t>
      </w:r>
    </w:p>
    <w:p>
      <w:pPr>
        <w:spacing w:after="60" w:line="360"/>
        <w:ind w:left="360" w:hanging="360"/>
        <w:jc w:val="left"/>
      </w:pPr>
      <w:r>
        <w:rPr>
          <w:rFonts w:ascii="Times New Roman" w:cs="Times New Roman" w:eastAsia="Times New Roman" w:hAnsi="Times New Roman"/>
          <w:sz w:val="24"/>
          <w:szCs w:val="24"/>
        </w:rPr>
        <w:t xml:space="preserve">8. Jacob, F., and Monod, J. (1961) Genetic regulatory mechanisms in the synthesis of proteins, J. Mol. Biol. 3, 318-356. DOI 10.1016/S0022-2836(61)80072-7</w:t>
      </w:r>
    </w:p>
    <w:p>
      <w:pPr>
        <w:spacing w:after="60" w:line="360"/>
        <w:ind w:left="360" w:hanging="360"/>
        <w:jc w:val="left"/>
      </w:pPr>
      <w:r>
        <w:rPr>
          <w:rFonts w:ascii="Times New Roman" w:cs="Times New Roman" w:eastAsia="Times New Roman" w:hAnsi="Times New Roman"/>
          <w:sz w:val="24"/>
          <w:szCs w:val="24"/>
        </w:rPr>
        <w:t xml:space="preserve">9. Herzenberg, L. A. (1959) Studies on the induction of β-galactosidase in a cryptic strain of Escherichia coli, Biochim. Biophys. Acta 31, 525-538. DOI 10.1016/0006-3002(59)90029-0</w:t>
      </w:r>
    </w:p>
    <w:p>
      <w:pPr>
        <w:spacing w:after="60" w:line="360"/>
        <w:ind w:left="360" w:hanging="360"/>
        <w:jc w:val="left"/>
      </w:pPr>
      <w:r>
        <w:rPr>
          <w:rFonts w:ascii="Times New Roman" w:cs="Times New Roman" w:eastAsia="Times New Roman" w:hAnsi="Times New Roman"/>
          <w:sz w:val="24"/>
          <w:szCs w:val="24"/>
        </w:rPr>
        <w:t xml:space="preserve">10. Juers, D. H., Rob, B., Dugdale, M. L., Rahimzadeh, N., Giang, C., Lee, M., Matthews, B. W., and Huber, R. E. (2009) Direct and indirect roles of His-418 in metal binding and in the activity of β-galactosidase (E. coli), Protein Sci. 18, 1281-1292. DOI 10.1002/pro.140</w:t>
      </w:r>
    </w:p>
    <w:p>
      <w:pPr>
        <w:spacing w:after="60" w:line="360"/>
        <w:ind w:left="360" w:hanging="360"/>
        <w:jc w:val="left"/>
      </w:pPr>
      <w:r>
        <w:rPr>
          <w:rFonts w:ascii="Times New Roman" w:cs="Times New Roman" w:eastAsia="Times New Roman" w:hAnsi="Times New Roman"/>
          <w:sz w:val="24"/>
          <w:szCs w:val="24"/>
        </w:rPr>
        <w:t xml:space="preserve">11. Biological and Environmental Science and Engineering Division, KAUST. (2026) Methods in Molecular and Cellular Biology B241 Laboratory Manual, Experiment 2: Studying Enzyme Kinetics using Spectrophotometry, pp 1-19.</w:t>
      </w:r>
    </w:p>
    <w:p>
      <w:pPr>
        <w:spacing w:after="60" w:line="360"/>
        <w:ind w:left="360" w:hanging="360"/>
        <w:jc w:val="left"/>
      </w:pPr>
      <w:r>
        <w:rPr>
          <w:rFonts w:ascii="Times New Roman" w:cs="Times New Roman" w:eastAsia="Times New Roman" w:hAnsi="Times New Roman"/>
          <w:sz w:val="24"/>
          <w:szCs w:val="24"/>
        </w:rPr>
        <w:t xml:space="preserve">12. Wickham, H., Averick, M., Bryan, J., Chang, W., McGowan, L. D., François, R., Grolemund, G., Hayes, A., Henry, L., Hester, J., Kuhn, M., Pedersen, T. L., Miller, E., Bache, S. M., Müller, K., Ooms, J., Robinson, D., Seidel, D. P., Spinu, V., Takahashi, K., Vaughan, D., Wilke, C., Woo, K., and Yutani, H. (2019) Welcome to the tidyverse, J. Open Source Softw. 4, 1686. DOI 10.21105/joss.01686</w:t>
      </w:r>
    </w:p>
    <w:p>
      <w:pPr>
        <w:pStyle w:val="Heading1"/>
        <w:keepNext/>
        <w:spacing w:after="120" w:before="240" w:line="360"/>
        <w:jc w:val="left"/>
      </w:pPr>
      <w:r>
        <w:rPr>
          <w:rFonts w:ascii="Times New Roman" w:cs="Times New Roman" w:eastAsia="Times New Roman" w:hAnsi="Times New Roman"/>
          <w:b/>
          <w:bCs/>
          <w:sz w:val="24"/>
          <w:szCs w:val="24"/>
        </w:rPr>
        <w:t xml:space="preserve">VII. Questions – Answer on this form and submit with your lab report</w:t>
      </w:r>
    </w:p>
    <w:p>
      <w:pPr>
        <w:keepNext w:val="false"/>
        <w:keepLines w:val="false"/>
        <w:spacing w:after="100" w:before="0" w:line="360"/>
        <w:jc w:val="both"/>
      </w:pPr>
      <w:r>
        <w:rPr>
          <w:rFonts w:ascii="Times New Roman" w:cs="Times New Roman" w:eastAsia="Times New Roman" w:hAnsi="Times New Roman"/>
          <w:i/>
          <w:iCs/>
          <w:sz w:val="24"/>
          <w:szCs w:val="24"/>
        </w:rPr>
        <w:t xml:space="preserve">Michaelis-Menten Kinetics</w:t>
      </w:r>
    </w:p>
    <w:p>
      <w:pPr>
        <w:keepNext w:val="false"/>
        <w:keepLines w:val="false"/>
        <w:spacing w:after="100" w:before="0" w:line="360"/>
        <w:jc w:val="both"/>
      </w:pPr>
      <w:r>
        <w:rPr>
          <w:rFonts w:ascii="Times New Roman" w:cs="Times New Roman" w:eastAsia="Times New Roman" w:hAnsi="Times New Roman"/>
          <w:b/>
          <w:bCs/>
          <w:sz w:val="24"/>
          <w:szCs w:val="24"/>
        </w:rPr>
        <w:t xml:space="preserve">1. Sketch by hand a typical enzyme kinetic curve of [S] versus V. The maximum [S] should be about 4 times the Km. Draw lines at [S]=Km and V=Vmax. Make sure you get the slope at the origin ([S]=0) correct. Draw the asymptote (tangent line) at [S]=0.</w:t>
      </w:r>
    </w:p>
    <w:p>
      <w:pPr>
        <w:keepNext/>
        <w:spacing w:after="60" w:line="240" w:lineRule="auto"/>
        <w:jc w:val="center"/>
      </w:pPr>
      <w:r>
        <w:drawing>
          <wp:inline distT="0" distB="0" distL="0" distR="0">
            <wp:extent cx="421005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2657475"/>
                    </a:xfrm>
                    <a:prstGeom prst="rect">
                      <a:avLst/>
                    </a:prstGeom>
                  </pic:spPr>
                </pic:pic>
              </a:graphicData>
            </a:graphic>
          </wp:inline>
        </w:drawing>
      </w:r>
    </w:p>
    <w:p>
      <w:pPr>
        <w:keepNext w:val="false"/>
        <w:keepLines w:val="false"/>
        <w:spacing w:after="100" w:before="0" w:line="360"/>
        <w:jc w:val="both"/>
      </w:pPr>
      <w:r>
        <w:rPr>
          <w:rFonts w:ascii="Times New Roman" w:cs="Times New Roman" w:eastAsia="Times New Roman" w:hAnsi="Times New Roman"/>
          <w:sz w:val="24"/>
          <w:szCs w:val="24"/>
        </w:rPr>
        <w:t xml:space="preserve">The curve is the hyperbola V = Vmax[S]/(Km + [S]), drawn to [S] = 4 Km. It leaves the origin with slope Vmax/Km (the first-order region, V ≈ (Vmax/Km)[S]), passes V = Vmax/2 at [S] = Km, and bends towards the asymptote V = Vmax, reaching 0.8 Vmax at [S] = 4 Km; the tangent at the origin meets the line V = Vmax at [S] = Km.</w:t>
      </w:r>
    </w:p>
    <w:p>
      <w:pPr>
        <w:keepNext w:val="false"/>
        <w:keepLines w:val="false"/>
        <w:spacing w:after="100" w:before="0" w:line="360"/>
        <w:jc w:val="both"/>
      </w:pPr>
      <w:r>
        <w:rPr>
          <w:rFonts w:ascii="Times New Roman" w:cs="Times New Roman" w:eastAsia="Times New Roman" w:hAnsi="Times New Roman"/>
          <w:b/>
          <w:bCs/>
          <w:sz w:val="24"/>
          <w:szCs w:val="24"/>
        </w:rPr>
        <w:t xml:space="preserve">2. What effect does altering Km have on Vmax?</w:t>
      </w:r>
    </w:p>
    <w:p>
      <w:pPr>
        <w:keepNext w:val="false"/>
        <w:keepLines w:val="false"/>
        <w:spacing w:after="100" w:before="0" w:line="360"/>
        <w:jc w:val="both"/>
      </w:pPr>
      <w:r>
        <w:rPr>
          <w:rFonts w:ascii="Times New Roman" w:cs="Times New Roman" w:eastAsia="Times New Roman" w:hAnsi="Times New Roman"/>
          <w:sz w:val="24"/>
          <w:szCs w:val="24"/>
        </w:rPr>
        <w:t xml:space="preserve">None. Vmax = kcat[E]T depends on the turnover number and the amount of enzyme; Km only moves the curve along the [S] axis (a mutation may change both constants, but that is two changes, not a consequence of one).</w:t>
      </w:r>
    </w:p>
    <w:p>
      <w:pPr>
        <w:keepNext w:val="false"/>
        <w:keepLines w:val="false"/>
        <w:spacing w:after="100" w:before="0" w:line="360"/>
        <w:jc w:val="both"/>
      </w:pPr>
      <w:r>
        <w:rPr>
          <w:rFonts w:ascii="Times New Roman" w:cs="Times New Roman" w:eastAsia="Times New Roman" w:hAnsi="Times New Roman"/>
          <w:b/>
          <w:bCs/>
          <w:sz w:val="24"/>
          <w:szCs w:val="24"/>
        </w:rPr>
        <w:t xml:space="preserve">3. What effect does altering [E] have on Km? Vmax?</w:t>
      </w:r>
    </w:p>
    <w:p>
      <w:pPr>
        <w:keepNext w:val="false"/>
        <w:keepLines w:val="false"/>
        <w:spacing w:after="100" w:before="0" w:line="360"/>
        <w:jc w:val="both"/>
      </w:pPr>
      <w:r>
        <w:rPr>
          <w:rFonts w:ascii="Times New Roman" w:cs="Times New Roman" w:eastAsia="Times New Roman" w:hAnsi="Times New Roman"/>
          <w:sz w:val="24"/>
          <w:szCs w:val="24"/>
        </w:rPr>
        <w:t xml:space="preserve">Km is unchanged, because it is a ratio of rate constants for the enzyme–substrate pair; Vmax changes in proportion to [E], as Figure 2 shows at 2.20 mM ONPG (5.9-fold for a 6.7-fold dilution, approximately proportional).</w:t>
      </w:r>
    </w:p>
    <w:p>
      <w:pPr>
        <w:keepNext w:val="false"/>
        <w:keepLines w:val="false"/>
        <w:spacing w:after="100" w:before="0" w:line="360"/>
        <w:jc w:val="both"/>
      </w:pPr>
      <w:r>
        <w:rPr>
          <w:rFonts w:ascii="Times New Roman" w:cs="Times New Roman" w:eastAsia="Times New Roman" w:hAnsi="Times New Roman"/>
          <w:b/>
          <w:bCs/>
          <w:sz w:val="24"/>
          <w:szCs w:val="24"/>
        </w:rPr>
        <w:t xml:space="preserve">4. At what concentration of [S] is the initial velocity proportional to [E]?</w:t>
      </w:r>
    </w:p>
    <w:p>
      <w:pPr>
        <w:keepNext w:val="false"/>
        <w:keepLines w:val="false"/>
        <w:spacing w:after="100" w:before="0" w:line="360"/>
        <w:jc w:val="both"/>
      </w:pPr>
      <w:r>
        <w:rPr>
          <w:rFonts w:ascii="Times New Roman" w:cs="Times New Roman" w:eastAsia="Times New Roman" w:hAnsi="Times New Roman"/>
          <w:sz w:val="24"/>
          <w:szCs w:val="24"/>
        </w:rPr>
        <w:t xml:space="preserve">At every [S], provided [E] is much smaller than [S] so that the steady state holds: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kcat[E][S]/(Km + [S]) is linear in [E] for any fixed [S]. The proportionality constant depends on [S], so enzyme is assayed at saturating substrate ([S] much greater than Km), where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Vmax = kcat[E] and small errors in [S] do not matter; that is why Part II used 2.20 mM ONPG.</w:t>
      </w:r>
    </w:p>
    <w:p>
      <w:pPr>
        <w:keepNext w:val="false"/>
        <w:keepLines w:val="false"/>
        <w:spacing w:after="100" w:before="0" w:line="360"/>
        <w:jc w:val="both"/>
      </w:pPr>
      <w:r>
        <w:rPr>
          <w:rFonts w:ascii="Times New Roman" w:cs="Times New Roman" w:eastAsia="Times New Roman" w:hAnsi="Times New Roman"/>
          <w:i/>
          <w:iCs/>
          <w:sz w:val="24"/>
          <w:szCs w:val="24"/>
        </w:rPr>
        <w:t xml:space="preserve">Competitive Inhibition</w:t>
      </w:r>
    </w:p>
    <w:p>
      <w:pPr>
        <w:keepNext w:val="false"/>
        <w:keepLines w:val="false"/>
        <w:spacing w:after="100" w:before="0" w:line="360"/>
        <w:jc w:val="both"/>
      </w:pPr>
      <w:r>
        <w:rPr>
          <w:rFonts w:ascii="Times New Roman" w:cs="Times New Roman" w:eastAsia="Times New Roman" w:hAnsi="Times New Roman"/>
          <w:b/>
          <w:bCs/>
          <w:sz w:val="24"/>
          <w:szCs w:val="24"/>
        </w:rPr>
        <w:t xml:space="preserve">5. What effect does increasing [I] have on the apparent Vmax and Km?</w:t>
      </w:r>
    </w:p>
    <w:p>
      <w:pPr>
        <w:keepNext w:val="false"/>
        <w:keepLines w:val="false"/>
        <w:spacing w:after="100" w:before="0" w:line="360"/>
        <w:jc w:val="both"/>
      </w:pPr>
      <w:r>
        <w:rPr>
          <w:rFonts w:ascii="Times New Roman" w:cs="Times New Roman" w:eastAsia="Times New Roman" w:hAnsi="Times New Roman"/>
          <w:sz w:val="24"/>
          <w:szCs w:val="24"/>
        </w:rPr>
        <w:t xml:space="preserve">Apparent Vmax is unchanged, because sufficient substrate displaces the inhibitor; apparent Km increases linearly with [I], Km,app = Km(1 + [I]/Ki). Here 0.458 mM IPTG raised the apparent Km 5.6-fold.</w:t>
      </w:r>
    </w:p>
    <w:p>
      <w:pPr>
        <w:keepNext w:val="false"/>
        <w:keepLines w:val="false"/>
        <w:spacing w:after="100" w:before="0" w:line="360"/>
        <w:jc w:val="both"/>
      </w:pPr>
      <w:r>
        <w:rPr>
          <w:rFonts w:ascii="Times New Roman" w:cs="Times New Roman" w:eastAsia="Times New Roman" w:hAnsi="Times New Roman"/>
          <w:b/>
          <w:bCs/>
          <w:sz w:val="24"/>
          <w:szCs w:val="24"/>
        </w:rPr>
        <w:t xml:space="preserve">6. What is the effect on the Km (apparent) when [I] = Ki; when [I] = 2Ki?</w:t>
      </w:r>
    </w:p>
    <w:p>
      <w:pPr>
        <w:keepNext w:val="false"/>
        <w:keepLines w:val="false"/>
        <w:spacing w:after="100" w:before="0" w:line="360"/>
        <w:jc w:val="both"/>
      </w:pPr>
      <w:r>
        <w:rPr>
          <w:rFonts w:ascii="Times New Roman" w:cs="Times New Roman" w:eastAsia="Times New Roman" w:hAnsi="Times New Roman"/>
          <w:sz w:val="24"/>
          <w:szCs w:val="24"/>
        </w:rPr>
        <w:t xml:space="preserve">Km,app = 2 Km when [I] = Ki and 3 Km when [I] = 2 Ki. (The observed 5.6-fold increase corresponds to [I]/Ki = 5.6 − 1 = 4.6, i.e. Ki = 0.458/4.6 = 0.100 mM.)</w:t>
      </w:r>
    </w:p>
    <w:p>
      <w:pPr>
        <w:keepNext w:val="false"/>
        <w:keepLines w:val="false"/>
        <w:spacing w:after="100" w:before="0" w:line="360"/>
        <w:jc w:val="both"/>
      </w:pPr>
      <w:r>
        <w:rPr>
          <w:rFonts w:ascii="Times New Roman" w:cs="Times New Roman" w:eastAsia="Times New Roman" w:hAnsi="Times New Roman"/>
          <w:i/>
          <w:iCs/>
          <w:sz w:val="24"/>
          <w:szCs w:val="24"/>
        </w:rPr>
        <w:t xml:space="preserve">Non-competitive Inhibition</w:t>
      </w:r>
    </w:p>
    <w:p>
      <w:pPr>
        <w:keepNext w:val="false"/>
        <w:keepLines w:val="false"/>
        <w:spacing w:after="100" w:before="0" w:line="360"/>
        <w:jc w:val="both"/>
      </w:pPr>
      <w:r>
        <w:rPr>
          <w:rFonts w:ascii="Times New Roman" w:cs="Times New Roman" w:eastAsia="Times New Roman" w:hAnsi="Times New Roman"/>
          <w:b/>
          <w:bCs/>
          <w:sz w:val="24"/>
          <w:szCs w:val="24"/>
        </w:rPr>
        <w:t xml:space="preserve">7. What effect does increasing [I] have on the apparent Vmax and Km?</w:t>
      </w:r>
    </w:p>
    <w:p>
      <w:pPr>
        <w:keepNext w:val="false"/>
        <w:keepLines w:val="false"/>
        <w:spacing w:after="100" w:before="0" w:line="360"/>
        <w:jc w:val="both"/>
      </w:pPr>
      <w:r>
        <w:rPr>
          <w:rFonts w:ascii="Times New Roman" w:cs="Times New Roman" w:eastAsia="Times New Roman" w:hAnsi="Times New Roman"/>
          <w:sz w:val="24"/>
          <w:szCs w:val="24"/>
        </w:rPr>
        <w:t xml:space="preserve">Apparent Vmax falls as Vmax/(1 + [I]/Ki), because the inhibitor removes active enzyme regardless of [S]; apparent Km is unchanged, because the inhibitor binds E and ES equally and does not alter substrate affinity.</w:t>
      </w:r>
    </w:p>
    <w:p>
      <w:pPr>
        <w:keepNext w:val="false"/>
        <w:keepLines w:val="false"/>
        <w:spacing w:after="100" w:before="0" w:line="360"/>
        <w:jc w:val="both"/>
      </w:pPr>
      <w:r>
        <w:rPr>
          <w:rFonts w:ascii="Times New Roman" w:cs="Times New Roman" w:eastAsia="Times New Roman" w:hAnsi="Times New Roman"/>
          <w:b/>
          <w:bCs/>
          <w:sz w:val="24"/>
          <w:szCs w:val="24"/>
        </w:rPr>
        <w:t xml:space="preserve">8. What is the effect on Vmax when [I] = Ki; [I] = 9 Ki?</w:t>
      </w:r>
    </w:p>
    <w:p>
      <w:pPr>
        <w:keepNext w:val="false"/>
        <w:keepLines w:val="false"/>
        <w:spacing w:after="100" w:before="0" w:line="360"/>
        <w:jc w:val="both"/>
      </w:pPr>
      <w:r>
        <w:rPr>
          <w:rFonts w:ascii="Times New Roman" w:cs="Times New Roman" w:eastAsia="Times New Roman" w:hAnsi="Times New Roman"/>
          <w:sz w:val="24"/>
          <w:szCs w:val="24"/>
        </w:rPr>
        <w:t xml:space="preserve">Vmax,app = Vmax/2 when [I] = Ki and Vmax/10 when [I] = 9 Ki.</w:t>
      </w:r>
    </w:p>
    <w:p>
      <w:pPr>
        <w:keepNext w:val="false"/>
        <w:keepLines w:val="false"/>
        <w:spacing w:after="100" w:before="0" w:line="360"/>
        <w:jc w:val="both"/>
      </w:pPr>
      <w:r>
        <w:rPr>
          <w:rFonts w:ascii="Times New Roman" w:cs="Times New Roman" w:eastAsia="Times New Roman" w:hAnsi="Times New Roman"/>
          <w:b/>
          <w:bCs/>
          <w:sz w:val="24"/>
          <w:szCs w:val="24"/>
        </w:rPr>
        <w:t xml:space="preserve">9. Can you distinguish noncompetitive from competitive inhibition using just the activity at low substrate concentrations? (i.e. the slope of V versus [S] at the origin?) Why or why not? How much does the slope change?</w:t>
      </w:r>
    </w:p>
    <w:p>
      <w:pPr>
        <w:keepNext w:val="false"/>
        <w:keepLines w:val="false"/>
        <w:spacing w:after="100" w:before="0" w:line="360"/>
        <w:jc w:val="both"/>
      </w:pPr>
      <w:r>
        <w:rPr>
          <w:rFonts w:ascii="Times New Roman" w:cs="Times New Roman" w:eastAsia="Times New Roman" w:hAnsi="Times New Roman"/>
          <w:sz w:val="24"/>
          <w:szCs w:val="24"/>
        </w:rPr>
        <w:t xml:space="preserve">No. At low [S] the slope is Vmax,app/Km,app. For competitive inhibition it is Vmax/[Km(1 + [I]/Ki)]; for noncompetitive inhibition it is [Vmax/(1 + [I]/Ki)]/Km. Both equal (Vmax/Km)/(1 + [I]/Ki), so the slope falls by the same factor 1/(1 + [I]/Ki) in both cases (halved at [I] = Ki; to about 18% at the [I]/Ki ≈ 4.6 of this experiment). The two mechanisms differ only near saturation, where the competitive curve recovers Vmax and the noncompetitive one does not.</w:t>
      </w:r>
    </w:p>
    <w:p>
      <w:pPr>
        <w:keepNext w:val="false"/>
        <w:keepLines w:val="false"/>
        <w:spacing w:after="100" w:before="0" w:line="360"/>
        <w:jc w:val="both"/>
      </w:pPr>
      <w:r>
        <w:rPr>
          <w:rFonts w:ascii="Times New Roman" w:cs="Times New Roman" w:eastAsia="Times New Roman" w:hAnsi="Times New Roman"/>
          <w:b/>
          <w:bCs/>
          <w:sz w:val="24"/>
          <w:szCs w:val="24"/>
        </w:rPr>
        <w:t xml:space="preserve">10. Given a series of enzyme preparations with differing activities, how can you distinguish between the presence of an inhibitor and varying amounts of the active enzyme? Explain, considering both competitive and non-competitive inhibitors.</w:t>
      </w:r>
    </w:p>
    <w:p>
      <w:pPr>
        <w:keepNext w:val="false"/>
        <w:keepLines w:val="false"/>
        <w:spacing w:after="100" w:before="0" w:line="360"/>
        <w:jc w:val="both"/>
      </w:pPr>
      <w:r>
        <w:rPr>
          <w:rFonts w:ascii="Times New Roman" w:cs="Times New Roman" w:eastAsia="Times New Roman" w:hAnsi="Times New Roman"/>
          <w:sz w:val="24"/>
          <w:szCs w:val="24"/>
        </w:rPr>
        <w:t xml:space="preserve">Measure full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versus [S] curves rather than single activities. Different amounts of active enzyme change Vmax in proportion and leave Km identical (Lineweaver–Burk lines share the x-intercept). A competitive inhibitor leaves Vmax and raises Km (lines share the y-intercept), which cannot be mimicked by enzyme amount. A noncompetitive inhibitor lowers Vmax at constant Km and so mimics less enzyme kinetically; to separate the two, dilute the preparation and re-assay (a reversible inhibitor's effect weakens as [I] falls, so specific activity rises, whereas a true enzyme difference gives constant specific activity), mix preparations (activities of inhibitor-free preparations add; an inhibitor makes the mixture sub-additive), remove small molecules by dialysis or gel filtration, or measure enzyme independently (protein assay, immunoblot or active-site titration with a tight-binding ligand such as PETG).</w:t>
      </w:r>
    </w:p>
    <w:p>
      <w:pPr>
        <w:pStyle w:val="Heading1"/>
        <w:keepNext/>
        <w:pageBreakBefore/>
        <w:spacing w:after="120" w:before="240" w:line="360"/>
        <w:jc w:val="left"/>
      </w:pPr>
      <w:r>
        <w:rPr>
          <w:rFonts w:ascii="Times New Roman" w:cs="Times New Roman" w:eastAsia="Times New Roman" w:hAnsi="Times New Roman"/>
          <w:b/>
          <w:bCs/>
          <w:sz w:val="24"/>
          <w:szCs w:val="24"/>
        </w:rPr>
        <w:t xml:space="preserve">Raw Data</w:t>
      </w:r>
    </w:p>
    <w:p>
      <w:pPr>
        <w:keepNext w:val="false"/>
        <w:keepLines w:val="false"/>
        <w:spacing w:after="100" w:before="0" w:line="360"/>
        <w:jc w:val="both"/>
      </w:pPr>
      <w:r>
        <w:rPr>
          <w:rFonts w:ascii="Times New Roman" w:cs="Times New Roman" w:eastAsia="Times New Roman" w:hAnsi="Times New Roman"/>
          <w:sz w:val="24"/>
          <w:szCs w:val="24"/>
        </w:rPr>
        <w:t xml:space="preserve">Our own instrument printouts (GENESYS 10S UV-Vis; 14 photographs, 70 readings, transcribed and verified value by value; Table R1) are appended below; the photographs reproduce the original printouts, which the course requires to be signed by a TA. The course-provided reference measurements used in the Results are reproduced as received in Tables 1 to 4 and in the repository (</w:t>
      </w:r>
      <w:r>
        <w:rPr>
          <w:rFonts w:ascii="Times New Roman" w:cs="Times New Roman" w:eastAsia="Times New Roman" w:hAnsi="Times New Roman"/>
          <w:sz w:val="24"/>
          <w:szCs w:val="24"/>
        </w:rPr>
        <w:t xml:space="preserve">data/raw/reference/</w:t>
      </w:r>
      <w:r>
        <w:rPr>
          <w:rFonts w:ascii="Times New Roman" w:cs="Times New Roman" w:eastAsia="Times New Roman" w:hAnsi="Times New Roman"/>
          <w:sz w:val="24"/>
          <w:szCs w:val="24"/>
        </w:rPr>
        <w:t xml:space="preserve">, transcribed from the course's files and cross-checked against them); our printout data are in </w:t>
      </w:r>
      <w:r>
        <w:rPr>
          <w:rFonts w:ascii="Times New Roman" w:cs="Times New Roman" w:eastAsia="Times New Roman" w:hAnsi="Times New Roman"/>
          <w:sz w:val="24"/>
          <w:szCs w:val="24"/>
        </w:rPr>
        <w:t xml:space="preserve">data/raw/experimental/</w:t>
      </w:r>
      <w:r>
        <w:rPr>
          <w:rFonts w:ascii="Times New Roman" w:cs="Times New Roman" w:eastAsia="Times New Roman" w:hAnsi="Times New Roman"/>
          <w:sz w:val="24"/>
          <w:szCs w:val="24"/>
        </w:rPr>
        <w:t xml:space="preserve"> and the photographs in </w:t>
      </w:r>
      <w:r>
        <w:rPr>
          <w:rFonts w:ascii="Times New Roman" w:cs="Times New Roman" w:eastAsia="Times New Roman" w:hAnsi="Times New Roman"/>
          <w:sz w:val="24"/>
          <w:szCs w:val="24"/>
        </w:rPr>
        <w:t xml:space="preserve">report/raw_data_printouts/</w:t>
      </w:r>
      <w:r>
        <w:rPr>
          <w:rFonts w:ascii="Times New Roman" w:cs="Times New Roman" w:eastAsia="Times New Roman" w:hAnsi="Times New Roman"/>
          <w:sz w:val="24"/>
          <w:szCs w:val="24"/>
        </w:rPr>
        <w:t xml:space="preserve">.</w:t>
      </w:r>
    </w:p>
    <w:p>
      <w:pPr>
        <w:keepNext/>
        <w:keepLines/>
        <w:spacing w:after="60" w:before="0" w:line="276"/>
        <w:jc w:val="left"/>
      </w:pPr>
      <w:r>
        <w:rPr>
          <w:rFonts w:ascii="Times New Roman" w:cs="Times New Roman" w:eastAsia="Times New Roman" w:hAnsi="Times New Roman"/>
          <w:b/>
          <w:bCs/>
          <w:sz w:val="20"/>
          <w:szCs w:val="20"/>
        </w:rPr>
        <w:t xml:space="preserve">Table R1. Transcribed absorbance values from our printouts (experimental dataset; A</w:t>
      </w:r>
      <w:r>
        <w:rPr>
          <w:rFonts w:ascii="Times New Roman" w:cs="Times New Roman" w:eastAsia="Times New Roman" w:hAnsi="Times New Roman"/>
          <w:b/>
          <w:bCs/>
          <w:sz w:val="20"/>
          <w:szCs w:val="20"/>
          <w:vertAlign w:val="subscript"/>
        </w:rPr>
        <w:t xml:space="preserve">415</w:t>
      </w:r>
      <w:r>
        <w:rPr>
          <w:rFonts w:ascii="Times New Roman" w:cs="Times New Roman" w:eastAsia="Times New Roman" w:hAnsi="Times New Roman"/>
          <w:b/>
          <w:bCs/>
          <w:sz w:val="20"/>
          <w:szCs w:val="20"/>
        </w:rPr>
        <w:t xml:space="preserve"> of stopped samples; NA = sample discarded before measurement; Part III + IPTG tube B 10 min = 1.106 retained as read). Printout labels: Day 1 = Part II (7 Sep 2026); Day 2 Blue = Part III without IPTG; Day 2 Black = Part III with IPTG (11 Sep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37"/>
        <w:gridCol w:w="962"/>
        <w:gridCol w:w="2187"/>
        <w:gridCol w:w="612"/>
        <w:gridCol w:w="612"/>
        <w:gridCol w:w="612"/>
        <w:gridCol w:w="612"/>
        <w:gridCol w:w="612"/>
        <w:gridCol w:w="614"/>
      </w:tblGrid>
      <w:tr>
        <w:trPr>
          <w:cantSplit/>
          <w:tblHeader/>
        </w:trPr>
        <w:tc>
          <w:tcPr>
            <w:tcW w:type="dxa" w:w="2537"/>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Dataset</w:t>
            </w:r>
          </w:p>
        </w:tc>
        <w:tc>
          <w:tcPr>
            <w:tcW w:type="dxa" w:w="962"/>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Printout label</w:t>
            </w:r>
          </w:p>
        </w:tc>
        <w:tc>
          <w:tcPr>
            <w:tcW w:type="dxa" w:w="2187"/>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Condition</w:t>
            </w:r>
          </w:p>
        </w:tc>
        <w:tc>
          <w:tcPr>
            <w:tcW w:type="dxa" w:w="612"/>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Tube</w:t>
            </w:r>
          </w:p>
        </w:tc>
        <w:tc>
          <w:tcPr>
            <w:tcW w:type="dxa" w:w="612"/>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2 min</w:t>
            </w:r>
          </w:p>
        </w:tc>
        <w:tc>
          <w:tcPr>
            <w:tcW w:type="dxa" w:w="612"/>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4 min</w:t>
            </w:r>
          </w:p>
        </w:tc>
        <w:tc>
          <w:tcPr>
            <w:tcW w:type="dxa" w:w="612"/>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6 min</w:t>
            </w:r>
          </w:p>
        </w:tc>
        <w:tc>
          <w:tcPr>
            <w:tcW w:type="dxa" w:w="612"/>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8 min</w:t>
            </w:r>
          </w:p>
        </w:tc>
        <w:tc>
          <w:tcPr>
            <w:tcW w:type="dxa" w:w="614"/>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10 min</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1</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Enzyme dilution (Part II)</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A</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0.276</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0.544</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0.817</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1.137</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1.328</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1</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Enzyme dilution (Part II)</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B</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0.180</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0.354</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0.533</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0.694</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0.860</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1</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Enzyme dilution (Part II)</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C</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0.133</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0.255</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0.375</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0.499</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0.583</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1</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Enzyme dilution (Part II)</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0.065</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0.121</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0.176</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0.235</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0.283</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1</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Enzyme dilution (Part II)</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0.047</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0.090</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0.127</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0.169</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0.205</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Blue</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no inhibitor</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A</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0.259</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0.480</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0.696</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0.938</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1.061</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Blue</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no inhibitor</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B</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0.224</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0.436</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0.655</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0.864</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1.065</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Blue</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no inhibitor</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C</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0.200</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0.388</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0.549</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0.742</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0.880</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Blue</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no inhibitor</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0.202</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0.386</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0.551</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0.674</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0.764</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Blue</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no inhibitor</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0.111</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0.201</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0.249</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0.301</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0.346</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Black</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 IPTG</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A</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0.163</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0.320</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0.476</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0.628</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0.780</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Black</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 IPTG</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B</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0.269</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0.506</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0.748</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0.995</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1.106</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Black</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 IPTG</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C</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0.080</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0.158</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0.244</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0.304</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0.362</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Black</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 IPTG</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0.041</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0.082</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0.116</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0.151</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0.188</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Black</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 IPTG</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w:t>
            </w:r>
          </w:p>
        </w:tc>
      </w:tr>
    </w:tbl>
    <w:p>
      <w:pPr>
        <w:spacing w:after="80" w:before="0" w:line="40" w:lineRule="exact"/>
      </w:pPr>
      <w:r>
        <w:rPr>
          <w:sz w:val="4"/>
          <w:szCs w:val="4"/>
        </w:rPr>
        <w:t xml:space="preserve"/>
      </w:r>
    </w:p>
    <w:p>
      <w:pPr>
        <w:keepNext/>
        <w:keepLines w:val="false"/>
        <w:spacing w:after="100" w:before="0" w:line="360"/>
        <w:jc w:val="both"/>
      </w:pPr>
      <w:r>
        <w:rPr>
          <w:rFonts w:ascii="Times New Roman" w:cs="Times New Roman" w:eastAsia="Times New Roman" w:hAnsi="Times New Roman"/>
          <w:sz w:val="24"/>
          <w:szCs w:val="24"/>
        </w:rPr>
        <w:t xml:space="preserve">Day 1 (7 Sep 2026, Part II, tubes A to 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76425" cy="2505075"/>
                          </a:xfrm>
                          <a:prstGeom prst="rect">
                            <a:avLst/>
                          </a:prstGeom>
                        </pic:spPr>
                      </pic:pic>
                    </a:graphicData>
                  </a:graphic>
                </wp:inline>
              </w:drawing>
            </w:r>
          </w:p>
        </w:tc>
      </w:tr>
    </w:tbl>
    <w:p>
      <w:pPr>
        <w:spacing w:after="6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r>
              <w:t xml:space="preserve"/>
            </w:r>
          </w:p>
        </w:tc>
      </w:tr>
    </w:tbl>
    <w:p>
      <w:pPr>
        <w:spacing w:after="60"/>
      </w:pPr>
    </w:p>
    <w:p>
      <w:pPr>
        <w:keepNext/>
        <w:keepLines w:val="false"/>
        <w:spacing w:after="100" w:before="0" w:line="360"/>
        <w:jc w:val="both"/>
      </w:pPr>
      <w:r>
        <w:rPr>
          <w:rFonts w:ascii="Times New Roman" w:cs="Times New Roman" w:eastAsia="Times New Roman" w:hAnsi="Times New Roman"/>
          <w:sz w:val="24"/>
          <w:szCs w:val="24"/>
        </w:rPr>
        <w:t xml:space="preserve">Day 2 (11 Sep 2026, Part III without IPTG, blue labels, tubes A to 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76425" cy="2505075"/>
                          </a:xfrm>
                          <a:prstGeom prst="rect">
                            <a:avLst/>
                          </a:prstGeom>
                        </pic:spPr>
                      </pic:pic>
                    </a:graphicData>
                  </a:graphic>
                </wp:inline>
              </w:drawing>
            </w:r>
          </w:p>
        </w:tc>
      </w:tr>
    </w:tbl>
    <w:p>
      <w:pPr>
        <w:spacing w:after="6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r>
              <w:t xml:space="preserve"/>
            </w:r>
          </w:p>
        </w:tc>
      </w:tr>
    </w:tbl>
    <w:p>
      <w:pPr>
        <w:spacing w:after="60"/>
      </w:pPr>
    </w:p>
    <w:p>
      <w:pPr>
        <w:keepNext/>
        <w:keepLines w:val="false"/>
        <w:spacing w:after="100" w:before="0" w:line="360"/>
        <w:jc w:val="both"/>
      </w:pPr>
      <w:r>
        <w:rPr>
          <w:rFonts w:ascii="Times New Roman" w:cs="Times New Roman" w:eastAsia="Times New Roman" w:hAnsi="Times New Roman"/>
          <w:sz w:val="24"/>
          <w:szCs w:val="24"/>
        </w:rPr>
        <w:t xml:space="preserve">Day 2 (11 Sep 2026, Part III with IPTG, black labels, tubes A to D; tube E discarded before measurement):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876425" cy="2505075"/>
                          </a:xfrm>
                          <a:prstGeom prst="rect">
                            <a:avLst/>
                          </a:prstGeom>
                        </pic:spPr>
                      </pic:pic>
                    </a:graphicData>
                  </a:graphic>
                </wp:inline>
              </w:drawing>
            </w:r>
          </w:p>
        </w:tc>
      </w:tr>
    </w:tbl>
    <w:p>
      <w:pPr>
        <w:spacing w:after="6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r>
              <w:t xml:space="preserve"/>
            </w:r>
          </w:p>
        </w:tc>
        <w:tc>
          <w:tcPr>
            <w:tcW w:type="dxa" w:w="3120"/>
            <w:tcBorders>
              <w:top w:val="none" w:color="FFFFFF" w:sz="0"/>
              <w:left w:val="none" w:color="FFFFFF" w:sz="0"/>
              <w:bottom w:val="none" w:color="FFFFFF" w:sz="0"/>
              <w:right w:val="none" w:color="FFFFFF" w:sz="0"/>
            </w:tcBorders>
          </w:tcPr>
          <w:p>
            <w:r>
              <w:t xml:space="preserve"/>
            </w:r>
          </w:p>
        </w:tc>
      </w:tr>
    </w:tbl>
    <w:p>
      <w:pPr>
        <w:spacing w:after="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60" w:before="120" w:line="360"/>
      <w:outlineLvl w:val="1"/>
    </w:pPr>
    <w:rPr>
      <w:rFonts w:ascii="Times New Roman" w:cs="Times New Roman" w:eastAsia="Times New Roman" w:hAnsi="Times New Roman"/>
      <w:b/>
      <w:bCs/>
      <w:i/>
      <w:iCs/>
      <w:color w:val="000000"/>
      <w:sz w:val="24"/>
      <w:szCs w:val="24"/>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xaawplajc-4cr0svcaxc" Type="http://schemas.openxmlformats.org/officeDocument/2006/relationships/hyperlink" Target="https://github.com/almokhtar8-stack/exp2" TargetMode="External"/><Relationship Id="rId7" Type="http://schemas.openxmlformats.org/officeDocument/2006/relationships/image" Target="media/8c6985e79e59a87448e1dbb3f323745dbb24c78e.png"/><Relationship Id="rId8" Type="http://schemas.openxmlformats.org/officeDocument/2006/relationships/image" Target="media/d8ca816fd039e92132c8ad929505d18a1aec4317.png"/><Relationship Id="rId9" Type="http://schemas.openxmlformats.org/officeDocument/2006/relationships/image" Target="media/3818ca6d0550bfa665b509f3df5966c012015ba4.png"/><Relationship Id="rId10" Type="http://schemas.openxmlformats.org/officeDocument/2006/relationships/image" Target="media/3256913492cc4384aedf05e01ee572924a054bb7.png"/><Relationship Id="rId11" Type="http://schemas.openxmlformats.org/officeDocument/2006/relationships/image" Target="media/25632864d1a2dc2d70a0c129668693c8f57c05a7.png"/><Relationship Id="rId12" Type="http://schemas.openxmlformats.org/officeDocument/2006/relationships/image" Target="media/8e1d29e0e29efdb088c43947a080c7e10b657075.jpg"/><Relationship Id="rId13" Type="http://schemas.openxmlformats.org/officeDocument/2006/relationships/image" Target="media/b06e0d21a530742a7bdbff90a994957c509b39b0.jpg"/><Relationship Id="rId14" Type="http://schemas.openxmlformats.org/officeDocument/2006/relationships/image" Target="media/fb5df2a0933d627c97362ec8d0ca7be43c5f398e.jpg"/><Relationship Id="rId15" Type="http://schemas.openxmlformats.org/officeDocument/2006/relationships/image" Target="media/894e8ecff696ac7772c398ecbacc4d21ee9cbdaf.jpg"/><Relationship Id="rId16" Type="http://schemas.openxmlformats.org/officeDocument/2006/relationships/image" Target="media/1a87abf4ef730b022964318dbb5e4b2563164488.jpg"/><Relationship Id="rId17" Type="http://schemas.openxmlformats.org/officeDocument/2006/relationships/image" Target="media/feb6e7ebe3c30ac80c1944e89cc464e63a225d99.jpg"/><Relationship Id="rId18" Type="http://schemas.openxmlformats.org/officeDocument/2006/relationships/image" Target="media/81ab9a397ad3d3b4546cf74c2e394ff2ba7a57bf.jpg"/><Relationship Id="rId19" Type="http://schemas.openxmlformats.org/officeDocument/2006/relationships/image" Target="media/55fe0de6e3661e6c335169007ca717765017d932.jpg"/><Relationship Id="rId20" Type="http://schemas.openxmlformats.org/officeDocument/2006/relationships/image" Target="media/552ed40d2ea33eca570faed4483445ecbcfb29de.jpg"/><Relationship Id="rId21" Type="http://schemas.openxmlformats.org/officeDocument/2006/relationships/image" Target="media/270f4fff0fe5eb5c63eb3e628ca1f37ab223645b.jpg"/><Relationship Id="rId22" Type="http://schemas.openxmlformats.org/officeDocument/2006/relationships/image" Target="media/cf46a02950c8cbba7d7626e4db5a391705546961.jpg"/><Relationship Id="rId23" Type="http://schemas.openxmlformats.org/officeDocument/2006/relationships/image" Target="media/7588ebbb2e824ab851fc41984a4b65eb91cf1e01.jpg"/><Relationship Id="rId24" Type="http://schemas.openxmlformats.org/officeDocument/2006/relationships/image" Target="media/9e00985d6a124ff5e41ec923d50496beaf92a31c.jpg"/><Relationship Id="rId25" Type="http://schemas.openxmlformats.org/officeDocument/2006/relationships/image" Target="media/7fb3ad06387618591aeadfa62ec0555cf6da6963.jp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 2: beta-galactosidase kinetics</dc:title>
  <dc:creator>Almokhtar Aljarodi</dc:creator>
  <cp:lastModifiedBy>Almokhtar Aljarodi</cp:lastModifiedBy>
  <cp:revision>1</cp:revision>
  <dcterms:created xsi:type="dcterms:W3CDTF">2026-10-11T00:02:31.591Z</dcterms:created>
  <dcterms:modified xsi:type="dcterms:W3CDTF">2026-10-11T00:02:31.592Z</dcterms:modified>
</cp:coreProperties>
</file>

<file path=docProps/custom.xml><?xml version="1.0" encoding="utf-8"?>
<Properties xmlns="http://schemas.openxmlformats.org/officeDocument/2006/custom-properties" xmlns:vt="http://schemas.openxmlformats.org/officeDocument/2006/docPropsVTypes"/>
</file>