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line="240" w:lineRule="auto"/>
        <w:jc w:val="left"/>
      </w:pPr>
      <w:r>
        <w:drawing>
          <wp:inline distT="0" distB="0" distL="0" distR="0">
            <wp:extent cx="12382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638175"/>
                    </a:xfrm>
                    <a:prstGeom prst="rect">
                      <a:avLst/>
                    </a:prstGeom>
                  </pic:spPr>
                </pic:pic>
              </a:graphicData>
            </a:graphic>
          </wp:inline>
        </w:drawing>
      </w:r>
    </w:p>
    <w:p>
      <w:pPr>
        <w:pBdr>
          <w:bottom w:val="single" w:color="5B21B6" w:sz="6" w:space="6"/>
        </w:pBdr>
        <w:spacing w:after="160" w:before="360" w:line="300"/>
        <w:jc w:val="left"/>
      </w:pPr>
      <w:r>
        <w:rPr>
          <w:rFonts w:ascii="Times New Roman" w:cs="Times New Roman" w:eastAsia="Times New Roman" w:hAnsi="Times New Roman"/>
          <w:b/>
          <w:bCs/>
          <w:sz w:val="30"/>
          <w:szCs w:val="30"/>
        </w:rPr>
        <w:t xml:space="preserve">Kinetics of </w:t>
      </w:r>
      <w:r>
        <w:rPr>
          <w:rFonts w:ascii="Times New Roman" w:cs="Times New Roman" w:eastAsia="Times New Roman" w:hAnsi="Times New Roman"/>
          <w:b/>
          <w:bCs/>
          <w:i/>
          <w:iCs/>
          <w:sz w:val="30"/>
          <w:szCs w:val="30"/>
        </w:rPr>
        <w:t xml:space="preserve">Escherichia coli</w:t>
      </w:r>
      <w:r>
        <w:rPr>
          <w:rFonts w:ascii="Times New Roman" w:cs="Times New Roman" w:eastAsia="Times New Roman" w:hAnsi="Times New Roman"/>
          <w:b/>
          <w:bCs/>
          <w:sz w:val="30"/>
          <w:szCs w:val="30"/>
        </w:rPr>
        <w:t xml:space="preserve"> β-galactosidase with ONPG and its inhibition by IPTG: how initial-rate estimation and model choice shape </w:t>
      </w:r>
      <w:r>
        <w:rPr>
          <w:rFonts w:ascii="Times New Roman" w:cs="Times New Roman" w:eastAsia="Times New Roman" w:hAnsi="Times New Roman"/>
          <w:b/>
          <w:bCs/>
          <w:sz w:val="30"/>
          <w:szCs w:val="30"/>
        </w:rPr>
        <w:t xml:space="preserve">K</w:t>
      </w:r>
      <w:r>
        <w:rPr>
          <w:rFonts w:ascii="Times New Roman" w:cs="Times New Roman" w:eastAsia="Times New Roman" w:hAnsi="Times New Roman"/>
          <w:b/>
          <w:bCs/>
          <w:sz w:val="30"/>
          <w:szCs w:val="30"/>
          <w:vertAlign w:val="subscript"/>
        </w:rPr>
        <w:t xml:space="preserve">m</w:t>
      </w:r>
      <w:r>
        <w:rPr>
          <w:rFonts w:ascii="Times New Roman" w:cs="Times New Roman" w:eastAsia="Times New Roman" w:hAnsi="Times New Roman"/>
          <w:b/>
          <w:bCs/>
          <w:sz w:val="30"/>
          <w:szCs w:val="30"/>
        </w:rPr>
        <w:t xml:space="preserve">, </w:t>
      </w:r>
      <w:r>
        <w:rPr>
          <w:rFonts w:ascii="Times New Roman" w:cs="Times New Roman" w:eastAsia="Times New Roman" w:hAnsi="Times New Roman"/>
          <w:b/>
          <w:bCs/>
          <w:sz w:val="30"/>
          <w:szCs w:val="30"/>
        </w:rPr>
        <w:t xml:space="preserve">V</w:t>
      </w:r>
      <w:r>
        <w:rPr>
          <w:rFonts w:ascii="Times New Roman" w:cs="Times New Roman" w:eastAsia="Times New Roman" w:hAnsi="Times New Roman"/>
          <w:b/>
          <w:bCs/>
          <w:sz w:val="30"/>
          <w:szCs w:val="30"/>
          <w:vertAlign w:val="subscript"/>
        </w:rPr>
        <w:t xml:space="preserve">max</w:t>
      </w:r>
      <w:r>
        <w:rPr>
          <w:rFonts w:ascii="Times New Roman" w:cs="Times New Roman" w:eastAsia="Times New Roman" w:hAnsi="Times New Roman"/>
          <w:b/>
          <w:bCs/>
          <w:sz w:val="30"/>
          <w:szCs w:val="30"/>
        </w:rPr>
        <w:t xml:space="preserve"> and </w:t>
      </w:r>
      <w:r>
        <w:rPr>
          <w:rFonts w:ascii="Times New Roman" w:cs="Times New Roman" w:eastAsia="Times New Roman" w:hAnsi="Times New Roman"/>
          <w:b/>
          <w:bCs/>
          <w:sz w:val="30"/>
          <w:szCs w:val="30"/>
        </w:rPr>
        <w:t xml:space="preserve">K</w:t>
      </w:r>
      <w:r>
        <w:rPr>
          <w:rFonts w:ascii="Times New Roman" w:cs="Times New Roman" w:eastAsia="Times New Roman" w:hAnsi="Times New Roman"/>
          <w:b/>
          <w:bCs/>
          <w:sz w:val="30"/>
          <w:szCs w:val="30"/>
          <w:vertAlign w:val="subscript"/>
        </w:rPr>
        <w:t xml:space="preserve">i</w:t>
      </w:r>
    </w:p>
    <w:p>
      <w:pPr>
        <w:keepNext w:val="false"/>
        <w:keepLines w:val="false"/>
        <w:spacing w:after="100" w:before="0" w:line="360"/>
        <w:jc w:val="both"/>
      </w:pPr>
      <w:r>
        <w:rPr>
          <w:rFonts w:ascii="Times New Roman" w:cs="Times New Roman" w:eastAsia="Times New Roman" w:hAnsi="Times New Roman"/>
          <w:b/>
          <w:bCs/>
          <w:sz w:val="24"/>
          <w:szCs w:val="24"/>
        </w:rPr>
        <w:t xml:space="preserve">Experiment 2: Studying Enzyme Kinetics using Spectrophotometry</w:t>
      </w:r>
    </w:p>
    <w:p>
      <w:pPr>
        <w:keepNext w:val="false"/>
        <w:keepLines w:val="false"/>
        <w:spacing w:after="40" w:before="0" w:line="360"/>
        <w:jc w:val="left"/>
      </w:pPr>
      <w:r>
        <w:rPr>
          <w:rFonts w:ascii="Times New Roman" w:cs="Times New Roman" w:eastAsia="Times New Roman" w:hAnsi="Times New Roman"/>
          <w:sz w:val="24"/>
          <w:szCs w:val="24"/>
        </w:rPr>
        <w:t xml:space="preserve">Methods in Molecular and Cellular Biology, B241</w:t>
      </w:r>
    </w:p>
    <w:p>
      <w:pPr>
        <w:keepNext w:val="false"/>
        <w:keepLines w:val="false"/>
        <w:spacing w:after="40" w:before="0" w:line="360"/>
        <w:jc w:val="left"/>
      </w:pPr>
      <w:r>
        <w:rPr>
          <w:rFonts w:ascii="Times New Roman" w:cs="Times New Roman" w:eastAsia="Times New Roman" w:hAnsi="Times New Roman"/>
          <w:sz w:val="24"/>
          <w:szCs w:val="24"/>
        </w:rPr>
        <w:t xml:space="preserve">Student: Almokhtar Aljarodi</w:t>
      </w:r>
    </w:p>
    <w:p>
      <w:pPr>
        <w:keepNext w:val="false"/>
        <w:keepLines w:val="false"/>
        <w:spacing w:after="40" w:before="0" w:line="360"/>
        <w:jc w:val="left"/>
      </w:pPr>
      <w:r>
        <w:rPr>
          <w:rFonts w:ascii="Times New Roman" w:cs="Times New Roman" w:eastAsia="Times New Roman" w:hAnsi="Times New Roman"/>
          <w:sz w:val="24"/>
          <w:szCs w:val="24"/>
        </w:rPr>
        <w:t xml:space="preserve">Laboratory partner: Abdulrahman Khardali</w:t>
      </w:r>
    </w:p>
    <w:p>
      <w:pPr>
        <w:keepNext w:val="false"/>
        <w:keepLines w:val="false"/>
        <w:spacing w:after="40" w:before="0" w:line="360"/>
        <w:jc w:val="left"/>
      </w:pPr>
      <w:r>
        <w:rPr>
          <w:rFonts w:ascii="Times New Roman" w:cs="Times New Roman" w:eastAsia="Times New Roman" w:hAnsi="Times New Roman"/>
          <w:sz w:val="24"/>
          <w:szCs w:val="24"/>
        </w:rPr>
        <w:t xml:space="preserve">Laboratory sessions: 7 September 2026 (Part II) and 11 September 2026 (Part III); report compiled 11 October 2026</w:t>
      </w:r>
    </w:p>
    <w:p>
      <w:pPr>
        <w:pStyle w:val="Heading1"/>
        <w:keepNext/>
        <w:spacing w:after="120" w:before="240" w:line="360"/>
        <w:jc w:val="left"/>
      </w:pPr>
      <w:r>
        <w:rPr>
          <w:rFonts w:ascii="Times New Roman" w:cs="Times New Roman" w:eastAsia="Times New Roman" w:hAnsi="Times New Roman"/>
          <w:b/>
          <w:bCs/>
          <w:smallCaps/>
          <w:sz w:val="24"/>
          <w:szCs w:val="24"/>
        </w:rPr>
        <w:t xml:space="preserve">Summary</w:t>
      </w:r>
    </w:p>
    <w:tbl>
      <w:tblPr>
        <w:tblW w:type="dxa" w:w="9360"/>
        <w:tblBorders>
          <w:top w:val="single" w:color="5B21B6" w:sz="6"/>
          <w:left w:val="single" w:color="5B21B6" w:sz="6"/>
          <w:bottom w:val="single" w:color="5B21B6" w:sz="6"/>
          <w:right w:val="single" w:color="5B21B6" w:sz="6"/>
          <w:insideH w:val="none" w:color="FFFFFF" w:sz="0"/>
          <w:insideV w:val="none" w:color="FFFFFF" w:sz="0"/>
        </w:tblBorders>
      </w:tblPr>
      <w:tblGrid>
        <w:gridCol w:w="9360"/>
      </w:tblGrid>
      <w:tr>
        <w:tc>
          <w:tcPr>
            <w:tcW w:type="dxa" w:w="9360"/>
            <w:tcMar>
              <w:top w:type="dxa" w:w="140"/>
              <w:left w:type="dxa" w:w="200"/>
              <w:bottom w:type="dxa" w:w="80"/>
              <w:right w:type="dxa" w:w="200"/>
            </w:tcMar>
          </w:tcPr>
          <w:p>
            <w:pPr>
              <w:spacing w:after="60" w:before="0" w:line="360"/>
              <w:jc w:val="both"/>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Enzyme kinetics condenses an enzyme's response to substrate, inhibitor and its own amount into two constants,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but the numbers obtained depend on how initial velocities are extracted from the measurements.</w:t>
            </w:r>
          </w:p>
          <w:p>
            <w:pPr>
              <w:spacing w:after="60" w:before="0" w:line="360"/>
              <w:jc w:val="both"/>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Escherichia coli</w:t>
            </w:r>
            <w:r>
              <w:rPr>
                <w:rFonts w:ascii="Times New Roman" w:cs="Times New Roman" w:eastAsia="Times New Roman" w:hAnsi="Times New Roman"/>
                <w:sz w:val="24"/>
                <w:szCs w:val="24"/>
              </w:rPr>
              <w:t xml:space="preserve"> β-galactosidase acting on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-nitrophenyl-β-D-galactopyranoside (ONPG) was followed by stopping timed aliquots with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and reading the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-nitrophenol formed at 415 nm (ε = 5.22 mM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linear to 0.43 mM). In the course-provided reference dataset, initial velocity rose approximately in proportion to enzyme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0.97); over 0.069 to 2.20 mM ONPG the velocity approached saturation,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0.31 mM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0.48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by Lineweaver–Burk (0.36 mM and 0.49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by nonlinear fitting); with 0.458 mM IPTG the apparent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rose 5.6-fold, inhibition grew as substrate fell, and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was 0.10 mM by the course method (0.10 to 0.50 mM across estimators). Our own measurements, analysed by the same rules, gave the same pattern.</w:t>
            </w:r>
          </w:p>
          <w:p>
            <w:pPr>
              <w:spacing w:after="60" w:before="0" w:line="360"/>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The observations are consistent with competitive inhibition by IPTG; the constants are model-dependent estimates, not measured quantities.</w:t>
            </w:r>
          </w:p>
          <w:p>
            <w:pPr>
              <w:spacing w:after="60" w:before="0" w:line="360"/>
              <w:jc w:val="both"/>
            </w:pPr>
            <w:r>
              <w:rPr>
                <w:rFonts w:ascii="Times New Roman" w:cs="Times New Roman" w:eastAsia="Times New Roman" w:hAnsi="Times New Roman"/>
                <w:b/>
                <w:bCs/>
                <w:sz w:val="24"/>
                <w:szCs w:val="24"/>
              </w:rPr>
              <w:t xml:space="preserve">Significance.</w:t>
            </w:r>
            <w:r>
              <w:rPr>
                <w:rFonts w:ascii="Times New Roman" w:cs="Times New Roman" w:eastAsia="Times New Roman" w:hAnsi="Times New Roman"/>
                <w:sz w:val="24"/>
                <w:szCs w:val="24"/>
              </w:rPr>
              <w:t xml:space="preserve"> Five of six uninhibited reference velocities rest on an assumed zero-time absorbance, so the analysis rule, not the equation, sets the uncertainty of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p>
        </w:tc>
      </w:tr>
    </w:tbl>
    <w:p>
      <w:pPr>
        <w:pStyle w:val="Heading1"/>
        <w:keepNext/>
        <w:pageBreakBefore/>
        <w:spacing w:after="120" w:before="240" w:line="360"/>
        <w:jc w:val="left"/>
      </w:pPr>
      <w:r>
        <w:rPr>
          <w:rFonts w:ascii="Times New Roman" w:cs="Times New Roman" w:eastAsia="Times New Roman" w:hAnsi="Times New Roman"/>
          <w:b/>
          <w:bCs/>
          <w:smallCaps/>
          <w:sz w:val="24"/>
          <w:szCs w:val="24"/>
        </w:rPr>
        <w:t xml:space="preserve">Objectives</w:t>
      </w:r>
    </w:p>
    <w:p>
      <w:pPr>
        <w:keepNext w:val="false"/>
        <w:keepLines w:val="false"/>
        <w:spacing w:after="100" w:before="0" w:line="360"/>
        <w:jc w:val="both"/>
      </w:pPr>
      <w:r>
        <w:rPr>
          <w:rFonts w:ascii="Times New Roman" w:cs="Times New Roman" w:eastAsia="Times New Roman" w:hAnsi="Times New Roman"/>
          <w:sz w:val="24"/>
          <w:szCs w:val="24"/>
        </w:rPr>
        <w:t xml:space="preserve">To test whether the initial velocity of β-galactosidase is proportional to enzyme concentration, to determine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for ONPG hydrolysis, and to establish whether IPTG inhibits the enzyme competitively from its effect on the apparent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and the derived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while examining how the choice of initial-rate window and of fitting method changes each of these estimates.</w:t>
      </w:r>
    </w:p>
    <w:p>
      <w:pPr>
        <w:pStyle w:val="Heading1"/>
        <w:keepNext/>
        <w:spacing w:after="120" w:before="240" w:line="360"/>
        <w:jc w:val="left"/>
      </w:pPr>
      <w:r>
        <w:rPr>
          <w:rFonts w:ascii="Times New Roman" w:cs="Times New Roman" w:eastAsia="Times New Roman" w:hAnsi="Times New Roman"/>
          <w:b/>
          <w:bCs/>
          <w:smallCaps/>
          <w:sz w:val="24"/>
          <w:szCs w:val="24"/>
        </w:rPr>
        <w:t xml:space="preserve">Introduction</w:t>
      </w:r>
    </w:p>
    <w:p>
      <w:pPr>
        <w:keepNext w:val="false"/>
        <w:keepLines w:val="false"/>
        <w:spacing w:after="100" w:before="0" w:line="360"/>
        <w:jc w:val="both"/>
      </w:pPr>
      <w:r>
        <w:rPr>
          <w:rFonts w:ascii="Times New Roman" w:cs="Times New Roman" w:eastAsia="Times New Roman" w:hAnsi="Times New Roman"/>
          <w:sz w:val="24"/>
          <w:szCs w:val="24"/>
        </w:rPr>
        <w:t xml:space="preserve">Enzymes accelerate reactions by binding substrates at active sites, and the dependence of reaction velocity on substrate concentration is the most direct window on how they do it. Michaelis and Menten described this dependence by postulating a reversible enzyme–substrate complex that breaks down to product, which gives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[S]) (1, 2).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cat</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limiting velocity when every active site is occupied and is therefore proportional to the amount of enzyme;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is the substrate concentration at half-maximal velocity and sets how much substrate the enzyme needs to approach it. Lineweaver and Burk rearranged the equation into a straight line, 1/V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)(1/[S]) + 1/</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whose intercepts give the two constants (3). The transformation is the course's required method and the classical teaching representation, but it stretches the low-substrate points, so small errors in the smallest velocities dominate the fitted line (4); a direct fit of the untransformed velocities weights every point equally. This is one of two questions I wanted to examine: how far the constants depend on the mathematics applied to the same measurements. The other is more basic: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defined at t = 0 but must be estimated from a few stopped samples, and which samples are used, whether a line or a first-interval average is taken, and whether the unmeasured starting absorbance is assumed to be zero are decisions that each change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w:t>
      </w:r>
    </w:p>
    <w:p>
      <w:pPr>
        <w:keepNext w:val="false"/>
        <w:keepLines w:val="false"/>
        <w:spacing w:after="100" w:before="0" w:line="360"/>
        <w:jc w:val="both"/>
      </w:pPr>
      <w:r>
        <w:rPr>
          <w:rFonts w:ascii="Times New Roman" w:cs="Times New Roman" w:eastAsia="Times New Roman" w:hAnsi="Times New Roman"/>
          <w:sz w:val="24"/>
          <w:szCs w:val="24"/>
        </w:rPr>
        <w:t xml:space="preserve">β-Galactosidase (EC 3.2.1.23), the </w:t>
      </w:r>
      <w:r>
        <w:rPr>
          <w:rFonts w:ascii="Times New Roman" w:cs="Times New Roman" w:eastAsia="Times New Roman" w:hAnsi="Times New Roman"/>
          <w:i/>
          <w:iCs/>
          <w:sz w:val="24"/>
          <w:szCs w:val="24"/>
        </w:rPr>
        <w:t xml:space="preserve">lacZ</w:t>
      </w:r>
      <w:r>
        <w:rPr>
          <w:rFonts w:ascii="Times New Roman" w:cs="Times New Roman" w:eastAsia="Times New Roman" w:hAnsi="Times New Roman"/>
          <w:sz w:val="24"/>
          <w:szCs w:val="24"/>
        </w:rPr>
        <w:t xml:space="preserve"> product of </w:t>
      </w:r>
      <w:r>
        <w:rPr>
          <w:rFonts w:ascii="Times New Roman" w:cs="Times New Roman" w:eastAsia="Times New Roman" w:hAnsi="Times New Roman"/>
          <w:i/>
          <w:iCs/>
          <w:sz w:val="24"/>
          <w:szCs w:val="24"/>
        </w:rPr>
        <w:t xml:space="preserve">Escherichia coli</w:t>
      </w:r>
      <w:r>
        <w:rPr>
          <w:rFonts w:ascii="Times New Roman" w:cs="Times New Roman" w:eastAsia="Times New Roman" w:hAnsi="Times New Roman"/>
          <w:sz w:val="24"/>
          <w:szCs w:val="24"/>
        </w:rPr>
        <w:t xml:space="preserve">, is a homotetramer of 1023-residue subunits that hydrolyses the β-1,4 glycosidic bond of lactose and of synthetic β-galactosides (5, 6). The chromogenic substrate ONPG is cleaved to galactose and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-nitrophenol. At alkaline pH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-nitrophenol exists as the yellow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-nitrophenolate anion, whose absorbance near 415 to 420 nm follows the Beer–Lambert law, A = εcl. Adding 1 M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to a timed aliquot both stops the reaction, by raising the pH far above the enzyme's working range, and develops the colour, so one reading gives the product formed up to that moment (7). A series of stopped samples builds a progress curve whose initial slope is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the velocity before substrate depletion, product accumulation or enzyme instability slow the reaction. The stopped method needs only a fixed-wavelength spectrophotometer; its coarse 2-min time resolution is the origin of the analytical choices examined here.</w:t>
      </w:r>
    </w:p>
    <w:p>
      <w:pPr>
        <w:keepNext w:val="false"/>
        <w:keepLines w:val="false"/>
        <w:spacing w:after="100" w:before="0" w:line="360"/>
        <w:jc w:val="both"/>
      </w:pPr>
      <w:r>
        <w:rPr>
          <w:rFonts w:ascii="Times New Roman" w:cs="Times New Roman" w:eastAsia="Times New Roman" w:hAnsi="Times New Roman"/>
          <w:sz w:val="24"/>
          <w:szCs w:val="24"/>
        </w:rPr>
        <w:t xml:space="preserve">Inhibitors reveal themselves by how they change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 competitive inhibitor binds free enzyme at the active site and is displaced by substrate: it leaves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unchanged but raises the apparent Michaelis constant to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m,app</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(1 + [I]/</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where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inhibitor's dissociation constant. A noncompetitive inhibitor inactivates a fraction of the enzyme whatever the substrate concentration, lowering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and leaving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unchanged (2). Isopropyl-β-D-thiogalactopyranoside (IPTG) is the thiogalactoside used as a gratuitous inducer of the </w:t>
      </w:r>
      <w:r>
        <w:rPr>
          <w:rFonts w:ascii="Times New Roman" w:cs="Times New Roman" w:eastAsia="Times New Roman" w:hAnsi="Times New Roman"/>
          <w:i/>
          <w:iCs/>
          <w:sz w:val="24"/>
          <w:szCs w:val="24"/>
        </w:rPr>
        <w:t xml:space="preserve">lac</w:t>
      </w:r>
      <w:r>
        <w:rPr>
          <w:rFonts w:ascii="Times New Roman" w:cs="Times New Roman" w:eastAsia="Times New Roman" w:hAnsi="Times New Roman"/>
          <w:sz w:val="24"/>
          <w:szCs w:val="24"/>
        </w:rPr>
        <w:t xml:space="preserve"> operon because it induces the enzyme without being hydrolysed by it (8, 9). The same stability makes it a dead-end ligand of β-galactosidase: it occupies the galactose subsite of the active site, but its thioglycosidic bond is not cleaved, so it is expected to behave as a competitive inhibitor with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of the order of 0.1 mM (6, 10). The inducer of </w:t>
      </w:r>
      <w:r>
        <w:rPr>
          <w:rFonts w:ascii="Times New Roman" w:cs="Times New Roman" w:eastAsia="Times New Roman" w:hAnsi="Times New Roman"/>
          <w:i/>
          <w:iCs/>
          <w:sz w:val="24"/>
          <w:szCs w:val="24"/>
        </w:rPr>
        <w:t xml:space="preserve">lacZ</w:t>
      </w:r>
      <w:r>
        <w:rPr>
          <w:rFonts w:ascii="Times New Roman" w:cs="Times New Roman" w:eastAsia="Times New Roman" w:hAnsi="Times New Roman"/>
          <w:sz w:val="24"/>
          <w:szCs w:val="24"/>
        </w:rPr>
        <w:t xml:space="preserve"> thus competes with the substrates of the enzyme it induces, the logic that underlies competitive drugs such as statins and many antivirals. Distinguishing the two mechanisms from data is less simple than textbook figures suggest: they differ only near saturation, and a competitive model fitted with a shared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cannot itself show that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was unchanged.</w:t>
      </w:r>
    </w:p>
    <w:p>
      <w:pPr>
        <w:keepNext w:val="false"/>
        <w:keepLines w:val="false"/>
        <w:spacing w:after="100" w:before="0" w:line="360"/>
        <w:jc w:val="both"/>
      </w:pPr>
      <w:r>
        <w:rPr>
          <w:rFonts w:ascii="Times New Roman" w:cs="Times New Roman" w:eastAsia="Times New Roman" w:hAnsi="Times New Roman"/>
          <w:sz w:val="24"/>
          <w:szCs w:val="24"/>
        </w:rPr>
        <w:t xml:space="preserve">Here the ONP spectrum and standard curve were established,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measured against enzyme concentration at saturating ONPG and over a 32-fold range of ONPG with and without IPTG, and the analysis asks whether the velocities scale with enzyme, saturate with substrate and respond to IPTG as competition predicts, and how much each constant moves when the initial-rate rule or the fitting method changes.</w:t>
      </w:r>
    </w:p>
    <w:p>
      <w:pPr>
        <w:pStyle w:val="Heading1"/>
        <w:keepNext/>
        <w:spacing w:after="120" w:before="240" w:line="360"/>
        <w:jc w:val="left"/>
      </w:pPr>
      <w:r>
        <w:rPr>
          <w:rFonts w:ascii="Times New Roman" w:cs="Times New Roman" w:eastAsia="Times New Roman" w:hAnsi="Times New Roman"/>
          <w:b/>
          <w:bCs/>
          <w:smallCaps/>
          <w:sz w:val="24"/>
          <w:szCs w:val="24"/>
        </w:rPr>
        <w:t xml:space="preserve">Experimental Procedure</w:t>
      </w:r>
    </w:p>
    <w:p>
      <w:pPr>
        <w:keepNext w:val="false"/>
        <w:keepLines w:val="false"/>
        <w:spacing w:after="100" w:before="0" w:line="360"/>
        <w:jc w:val="both"/>
      </w:pPr>
      <w:r>
        <w:rPr>
          <w:rFonts w:ascii="Times New Roman" w:cs="Times New Roman" w:eastAsia="Times New Roman" w:hAnsi="Times New Roman"/>
          <w:sz w:val="24"/>
          <w:szCs w:val="24"/>
        </w:rPr>
        <w:t xml:space="preserve">All procedures followed the Experiment 2 laboratory manual (11) except for the modifications listed below. Z buffer (0.06 M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HPO</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0.04 M NaH</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PO</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0.01 M KCl, 0.001 M MgSO</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0.05 M β-mercaptoethanol, pH 7.0), ONPG (1.0 mg mL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3.3 mM), IPTG (1.31 mg mL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5.5 mM), 1 mM ONP and 1 M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were provided, together with β-galactosidase standardised by the teaching staff to give 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 1.20 to 1.30 after 10 min in the standard reaction. Reactions (12.0 mL, room temperature) were assembled as in the manual's tables with enzyme added last; 2.0 mL aliquots were stopped with 1.0 mL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at 2, 4, 6, 8 and 10 min and read at 415 nm against a Z-buffer blank in a GENESYS 10S UV-Vis spectrophotometer (1 cm path). Part I standards and the Part I blank contained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as specified in the manual.</w:t>
      </w:r>
    </w:p>
    <w:p>
      <w:pPr>
        <w:keepNext w:val="false"/>
        <w:keepLines w:val="false"/>
        <w:spacing w:after="100" w:before="0" w:line="360"/>
        <w:jc w:val="both"/>
      </w:pPr>
      <w:r>
        <w:rPr>
          <w:rFonts w:ascii="Times New Roman" w:cs="Times New Roman" w:eastAsia="Times New Roman" w:hAnsi="Times New Roman"/>
          <w:b/>
          <w:bCs/>
          <w:sz w:val="24"/>
          <w:szCs w:val="24"/>
        </w:rPr>
        <w:t xml:space="preserve">Datasets and modifications.</w:t>
      </w:r>
      <w:r>
        <w:rPr>
          <w:rFonts w:ascii="Times New Roman" w:cs="Times New Roman" w:eastAsia="Times New Roman" w:hAnsi="Times New Roman"/>
          <w:sz w:val="24"/>
          <w:szCs w:val="24"/>
        </w:rPr>
        <w:t xml:space="preserve"> Two datasets were analysed: course-provided reference measurements supplied by Professor Samah Gadhoum (Parts I/II on 10 September 2026 and Part III on 13 September 2026) and an experimental dataset collected by our laboratory group. The reference measurements (Part I spectrum, ONP standard curve and enzyme-dilution series; Part III substrate series with and without IPTG, tubes A to F) were used for the primary kinetic analysis in the Results, as instructed. Our experimental measurements (Part II tubes A to E on 7 September; Part III tubes A to E without IPTG and A to D with IPTG on 11 September) were analysed with the identical procedure and are examined in the Discussion; they are not combined with the reference measurements in any curve. Deviations from the manual in our own sessions: Part I was performed by the teaching staff; in Part III, tube F was not performed and the IPTG tube E was discarded before measurement, so our inhibited series has four tubes. Our 70 readings (14 printouts) were transcribed and verified against the photographs (Table R1); every digit is kept, including the 10-min reading of inhibited tube B (1.106), which was excluded from that tube's regression; the whole tube was excluded from our inhibited fits (Discussion). The reference standard-curve table lists seven readings where the manual describes a blank and seven standards; the instructor confirmed that the first reading is the zero-concentration point (mapping in the Results).</w:t>
      </w:r>
    </w:p>
    <w:p>
      <w:pPr>
        <w:keepNext w:val="false"/>
        <w:keepLines w:val="false"/>
        <w:spacing w:after="100" w:before="0" w:line="360"/>
        <w:jc w:val="both"/>
      </w:pPr>
      <w:r>
        <w:rPr>
          <w:rFonts w:ascii="Times New Roman" w:cs="Times New Roman" w:eastAsia="Times New Roman" w:hAnsi="Times New Roman"/>
          <w:b/>
          <w:bCs/>
          <w:sz w:val="24"/>
          <w:szCs w:val="24"/>
        </w:rPr>
        <w:t xml:space="preserve">Data analysis.</w:t>
      </w:r>
      <w:r>
        <w:rPr>
          <w:rFonts w:ascii="Times New Roman" w:cs="Times New Roman" w:eastAsia="Times New Roman" w:hAnsi="Times New Roman"/>
          <w:sz w:val="24"/>
          <w:szCs w:val="24"/>
        </w:rPr>
        <w:t xml:space="preserve"> Concentrations were calculated from the stated stock concentrations and the manual's volumes ([ONPG] = 3.3 mM × V/12.0 mL; [IPTG] = 5.5 mM × 1.0/12.0 = 0.458 mM; ONP standards 1 mM × V/3.0 mL). The manual asks for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from the initial linear portion of each progress curve, with the points used identified. One rule was applied to all 31 curves: the least-squares line 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 a + bt was fitted to the 2, 4 and 6 min points and extended one point at a time while the next increment lay within 20% (or 0.010 A, whichever larger) of the increment predicted by the current line;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b. When the second and third increments both fell below the first by more than this tolerance, no linear window could be fitted and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taken as the average rate over the first interval, 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(2 min)/2 min, which assumes 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 0 at t = 0 because no reading exists there (flagged † throughout). This origin-assumed estimate is an average rate over 0 to 2 min, not a measured instantaneous initial velocity, and may lie below or above the true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Four alternative estimators (regression only; the 0 to 2 min average rate for every curve; all five points; a baseline-offset scenario with the t = 0 absorbance set to the median intercept of the linear curves, an assumption rather than a measurement) test its sensitivity. The extinction coefficient was the slope of 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against [ONP] over the linear region chosen by the same increment rule.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in ΔA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was converted to µmol ONP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per assay as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/ε × 1.5 (the 2 mL aliquot was diluted with 1 mL stop reagent) × 12.0 mL (reaction volume); the manual's division by ε gives the cuvette rate in mM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the two factors convert it to an amount per minute.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were obtained from the Lineweaver–Burk regression as required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1/intercept,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slope ×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and checked by unweighted nonlinear least squares on the velocity scale;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was calculated from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m,app</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(1 + [I]/</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Competitive, pure noncompetitive and mixed models were also fitted to both series simultaneously. All calculations were performed in R 4.3.3 with tidyverse (12); scripts, data and outputs are public (Data and Code Availability). Each condition was measured once, so the uncertainties quoted are regression standard errors, not replicate variability, and the alternative estimators are different answers to the same data, not a confidence interval.</w:t>
      </w:r>
    </w:p>
    <w:p>
      <w:pPr>
        <w:pStyle w:val="Heading1"/>
        <w:keepNext/>
        <w:pageBreakBefore/>
        <w:spacing w:after="120" w:before="240" w:line="360"/>
        <w:jc w:val="left"/>
      </w:pPr>
      <w:r>
        <w:rPr>
          <w:rFonts w:ascii="Times New Roman" w:cs="Times New Roman" w:eastAsia="Times New Roman" w:hAnsi="Times New Roman"/>
          <w:b/>
          <w:bCs/>
          <w:smallCaps/>
          <w:sz w:val="24"/>
          <w:szCs w:val="24"/>
        </w:rPr>
        <w:t xml:space="preserve">Results</w:t>
      </w:r>
    </w:p>
    <w:p>
      <w:pPr>
        <w:keepNext w:val="false"/>
        <w:keepLines w:val="false"/>
        <w:spacing w:after="100" w:before="0" w:line="360"/>
        <w:jc w:val="both"/>
      </w:pPr>
      <w:r>
        <w:rPr>
          <w:rFonts w:ascii="Times New Roman" w:cs="Times New Roman" w:eastAsia="Times New Roman" w:hAnsi="Times New Roman"/>
          <w:sz w:val="24"/>
          <w:szCs w:val="24"/>
        </w:rPr>
        <w:t xml:space="preserve">All values in this section are from the reference dataset: Parts I/II provided on 10 September 2026 and Part III on 13 September 2026 by Prof. Samah Gadhoum for use in the Results. Our own measurements (experimental dataset, Table R1) are analysed in the Discussion.</w:t>
      </w:r>
    </w:p>
    <w:p>
      <w:pPr>
        <w:keepNext w:val="false"/>
        <w:keepLines w:val="false"/>
        <w:spacing w:after="100" w:before="0" w:line="360"/>
        <w:jc w:val="both"/>
      </w:pPr>
      <w:r>
        <w:rPr>
          <w:rFonts w:ascii="Times New Roman" w:cs="Times New Roman" w:eastAsia="Times New Roman" w:hAnsi="Times New Roman"/>
          <w:b/>
          <w:bCs/>
          <w:sz w:val="24"/>
          <w:szCs w:val="24"/>
        </w:rPr>
        <w:t xml:space="preserve">1. Absorbance spectrum of o-nitrophenol.</w:t>
      </w:r>
      <w:r>
        <w:rPr>
          <w:rFonts w:ascii="Times New Roman" w:cs="Times New Roman" w:eastAsia="Times New Roman" w:hAnsi="Times New Roman"/>
          <w:sz w:val="24"/>
          <w:szCs w:val="24"/>
        </w:rPr>
        <w:t xml:space="preserve"> The spectrum of 0.333 mM ONP (manual tube 4: [ONP] = 1 mM × 1.0 mL/3.0 mL) peaked at 415 nm (A = 1.723; Table 1, Figure 1A); 410 to 420 nm lay within 2% of the maximum, so 415 nm was used for all kinetic measurements.</w:t>
      </w:r>
    </w:p>
    <w:p>
      <w:pPr>
        <w:keepNext/>
        <w:keepLines/>
        <w:spacing w:after="60" w:before="0" w:line="276"/>
        <w:jc w:val="left"/>
      </w:pPr>
      <w:r>
        <w:rPr>
          <w:rFonts w:ascii="Times New Roman" w:cs="Times New Roman" w:eastAsia="Times New Roman" w:hAnsi="Times New Roman"/>
          <w:b/>
          <w:bCs/>
          <w:sz w:val="20"/>
          <w:szCs w:val="20"/>
        </w:rPr>
        <w:t xml:space="preserve">TABLE 1. Absorbance spectrum of 0.333 mM ONP in Z buffer/1 M Na</w:t>
      </w:r>
      <w:r>
        <w:rPr>
          <w:rFonts w:ascii="Times New Roman" w:cs="Times New Roman" w:eastAsia="Times New Roman" w:hAnsi="Times New Roman"/>
          <w:b/>
          <w:bCs/>
          <w:sz w:val="20"/>
          <w:szCs w:val="20"/>
          <w:vertAlign w:val="subscript"/>
        </w:rPr>
        <w:t xml:space="preserve">2</w:t>
      </w:r>
      <w:r>
        <w:rPr>
          <w:rFonts w:ascii="Times New Roman" w:cs="Times New Roman" w:eastAsia="Times New Roman" w:hAnsi="Times New Roman"/>
          <w:b/>
          <w:bCs/>
          <w:sz w:val="20"/>
          <w:szCs w:val="20"/>
        </w:rPr>
        <w:t xml:space="preserve">CO</w:t>
      </w:r>
      <w:r>
        <w:rPr>
          <w:rFonts w:ascii="Times New Roman" w:cs="Times New Roman" w:eastAsia="Times New Roman" w:hAnsi="Times New Roman"/>
          <w:b/>
          <w:bCs/>
          <w:sz w:val="20"/>
          <w:szCs w:val="20"/>
          <w:vertAlign w:val="subscript"/>
        </w:rPr>
        <w:t xml:space="preserve">3</w:t>
      </w:r>
      <w:r>
        <w:rPr>
          <w:rFonts w:ascii="Times New Roman" w:cs="Times New Roman" w:eastAsia="Times New Roman" w:hAnsi="Times New Roman"/>
          <w:b/>
          <w:bCs/>
          <w:sz w:val="20"/>
          <w:szCs w:val="20"/>
        </w:rPr>
        <w:t xml:space="preserve"> (2:1), read against the Z buffer/Na</w:t>
      </w:r>
      <w:r>
        <w:rPr>
          <w:rFonts w:ascii="Times New Roman" w:cs="Times New Roman" w:eastAsia="Times New Roman" w:hAnsi="Times New Roman"/>
          <w:b/>
          <w:bCs/>
          <w:sz w:val="20"/>
          <w:szCs w:val="20"/>
          <w:vertAlign w:val="subscript"/>
        </w:rPr>
        <w:t xml:space="preserve">2</w:t>
      </w:r>
      <w:r>
        <w:rPr>
          <w:rFonts w:ascii="Times New Roman" w:cs="Times New Roman" w:eastAsia="Times New Roman" w:hAnsi="Times New Roman"/>
          <w:b/>
          <w:bCs/>
          <w:sz w:val="20"/>
          <w:szCs w:val="20"/>
        </w:rPr>
        <w:t xml:space="preserve">CO</w:t>
      </w:r>
      <w:r>
        <w:rPr>
          <w:rFonts w:ascii="Times New Roman" w:cs="Times New Roman" w:eastAsia="Times New Roman" w:hAnsi="Times New Roman"/>
          <w:b/>
          <w:bCs/>
          <w:sz w:val="20"/>
          <w:szCs w:val="20"/>
          <w:vertAlign w:val="subscript"/>
        </w:rPr>
        <w:t xml:space="preserve">3</w:t>
      </w:r>
      <w:r>
        <w:rPr>
          <w:rFonts w:ascii="Times New Roman" w:cs="Times New Roman" w:eastAsia="Times New Roman" w:hAnsi="Times New Roman"/>
          <w:b/>
          <w:bCs/>
          <w:sz w:val="20"/>
          <w:szCs w:val="20"/>
        </w:rPr>
        <w:t xml:space="preserve"> blank (reference Part 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48"/>
        <w:gridCol w:w="489"/>
        <w:gridCol w:w="489"/>
        <w:gridCol w:w="489"/>
        <w:gridCol w:w="489"/>
        <w:gridCol w:w="489"/>
        <w:gridCol w:w="489"/>
        <w:gridCol w:w="489"/>
        <w:gridCol w:w="489"/>
        <w:gridCol w:w="489"/>
        <w:gridCol w:w="489"/>
        <w:gridCol w:w="489"/>
        <w:gridCol w:w="489"/>
        <w:gridCol w:w="489"/>
        <w:gridCol w:w="489"/>
        <w:gridCol w:w="489"/>
        <w:gridCol w:w="489"/>
        <w:gridCol w:w="488"/>
      </w:tblGrid>
      <w:tr>
        <w:trPr>
          <w:cantSplit/>
        </w:trPr>
        <w:tc>
          <w:tcPr>
            <w:tcW w:type="dxa" w:w="1048"/>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Wavelength (nm)</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385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390</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395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400</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405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410</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415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420</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425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430</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435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440</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445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450</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455</w:t>
            </w:r>
          </w:p>
        </w:tc>
        <w:tc>
          <w:tcPr>
            <w:tcW w:type="dxa" w:w="4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460</w:t>
            </w:r>
          </w:p>
        </w:tc>
        <w:tc>
          <w:tcPr>
            <w:tcW w:type="dxa" w:w="488"/>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465</w:t>
            </w:r>
          </w:p>
        </w:tc>
      </w:tr>
      <w:tr>
        <w:trPr>
          <w:cantSplit/>
        </w:trPr>
        <w:tc>
          <w:tcPr>
            <w:tcW w:type="dxa" w:w="1048"/>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bCs/>
                <w:sz w:val="16"/>
                <w:szCs w:val="16"/>
              </w:rPr>
              <w:t xml:space="preserve">Absorbance</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1.212</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1.344</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1.463</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1.562</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1.643</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1.697</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1.723</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1.720</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1.686</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1.625</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1.540</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1.432</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1.310</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1.178</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1.042</w:t>
            </w:r>
          </w:p>
        </w:tc>
        <w:tc>
          <w:tcPr>
            <w:tcW w:type="dxa" w:w="4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0.905</w:t>
            </w:r>
          </w:p>
        </w:tc>
        <w:tc>
          <w:tcPr>
            <w:tcW w:type="dxa" w:w="488"/>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0.778</w:t>
            </w:r>
          </w:p>
        </w:tc>
      </w:tr>
    </w:tbl>
    <w:p>
      <w:pPr>
        <w:spacing w:after="80" w:before="0" w:line="40" w:lineRule="exact"/>
      </w:pPr>
      <w:r>
        <w:rPr>
          <w:sz w:val="4"/>
          <w:szCs w:val="4"/>
        </w:rPr>
        <w:t xml:space="preserve"/>
      </w:r>
    </w:p>
    <w:p>
      <w:pPr>
        <w:keepNext w:val="false"/>
        <w:keepLines w:val="false"/>
        <w:spacing w:after="100" w:before="0" w:line="360"/>
        <w:jc w:val="both"/>
      </w:pPr>
      <w:r>
        <w:rPr>
          <w:rFonts w:ascii="Times New Roman" w:cs="Times New Roman" w:eastAsia="Times New Roman" w:hAnsi="Times New Roman"/>
          <w:b/>
          <w:bCs/>
          <w:sz w:val="24"/>
          <w:szCs w:val="24"/>
        </w:rPr>
        <w:t xml:space="preserve">2. Standard curve of o-nitrophenol.</w:t>
      </w:r>
      <w:r>
        <w:rPr>
          <w:rFonts w:ascii="Times New Roman" w:cs="Times New Roman" w:eastAsia="Times New Roman" w:hAnsi="Times New Roman"/>
          <w:sz w:val="24"/>
          <w:szCs w:val="24"/>
        </w:rPr>
        <w:t xml:space="preserve"> The reference table reported seven readings (Table 2): the first (0) is the zero-concentration preparation (2.0 mL Z buffer + 1.0 mL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as the instructor confirmed, and the other six are manual standards 1 to 6 in order, anchored by the spectrum tube (standard 4, 1.723 at 415 nm, identical to the fifth reading). Standard 7 (0.667 mM) has no reported reading; whether it was unprepared or unreported is unknown, and no value was assumed. Absorbance was linear for the five standards from 0.083 to 0.433 mM, 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 5.222[ONP] − 0.022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0.9988; Figure 1B), giving ε = 5.22 ± 0.10 A mM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(5.15 through the origin). The 0.533 mM standard (A = 3.24) lay 17% above the line and was excluded; including it would give ε = 6.01 and lower every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by 13%, leaving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unchanged.</w:t>
      </w:r>
    </w:p>
    <w:p>
      <w:pPr>
        <w:keepNext/>
        <w:spacing w:after="60" w:line="240" w:lineRule="auto"/>
        <w:jc w:val="center"/>
      </w:pPr>
      <w:r>
        <w:drawing>
          <wp:inline distT="0" distB="0" distL="0" distR="0">
            <wp:extent cx="59436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695450"/>
                    </a:xfrm>
                    <a:prstGeom prst="rect">
                      <a:avLst/>
                    </a:prstGeom>
                  </pic:spPr>
                </pic:pic>
              </a:graphicData>
            </a:graphic>
          </wp:inline>
        </w:drawing>
      </w:r>
    </w:p>
    <w:p>
      <w:pPr>
        <w:keepNext w:val="false"/>
        <w:keepLines/>
        <w:spacing w:after="60" w:before="0" w:line="276"/>
        <w:jc w:val="left"/>
      </w:pPr>
      <w:r>
        <w:rPr>
          <w:rFonts w:ascii="Times New Roman" w:cs="Times New Roman" w:eastAsia="Times New Roman" w:hAnsi="Times New Roman"/>
          <w:b/>
          <w:bCs/>
          <w:sz w:val="20"/>
          <w:szCs w:val="20"/>
        </w:rPr>
        <w:t xml:space="preserve">FIGURE 1. ONP absorbs maximally at 415 nm and obeys the Beer–Lambert law to 0.43 mM.</w:t>
      </w:r>
      <w:r>
        <w:rPr>
          <w:rFonts w:ascii="Times New Roman" w:cs="Times New Roman" w:eastAsia="Times New Roman" w:hAnsi="Times New Roman"/>
          <w:sz w:val="20"/>
          <w:szCs w:val="20"/>
        </w:rPr>
        <w:t xml:space="preserve"> (A) Spectrum of 0.333 mM ONP; points, readings; line, spline; dashed line, maximum; shaded, within 2% of it. (B) Standard curve; filled points and line, calibration over the shaded range (equation in the text); ×, zero-concentration point (not fitted); open point, the excluded 0.533 mM standard, 17% above the line. Reference Part I data.</w:t>
      </w:r>
    </w:p>
    <w:p>
      <w:pPr>
        <w:keepNext/>
        <w:keepLines/>
        <w:spacing w:after="60" w:before="0" w:line="276"/>
        <w:jc w:val="left"/>
      </w:pPr>
      <w:r>
        <w:rPr>
          <w:rFonts w:ascii="Times New Roman" w:cs="Times New Roman" w:eastAsia="Times New Roman" w:hAnsi="Times New Roman"/>
          <w:b/>
          <w:bCs/>
          <w:sz w:val="20"/>
          <w:szCs w:val="20"/>
        </w:rPr>
        <w:t xml:space="preserve">TABLE 2. ONP standard curve at 415 nm (reference Part I): reported readings, their assignment to the manual's preparations, [ONP] in the 3.0 mL cuvette (1 mM × V/3.0 mL) and use in the fit.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76"/>
        <w:gridCol w:w="1789"/>
        <w:gridCol w:w="964"/>
        <w:gridCol w:w="1239"/>
        <w:gridCol w:w="964"/>
        <w:gridCol w:w="964"/>
        <w:gridCol w:w="2064"/>
      </w:tblGrid>
      <w:tr>
        <w:trPr>
          <w:cantSplit/>
          <w:tblHeader/>
        </w:trPr>
        <w:tc>
          <w:tcPr>
            <w:tcW w:type="dxa" w:w="1376"/>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Reported tube</w:t>
            </w:r>
          </w:p>
        </w:tc>
        <w:tc>
          <w:tcPr>
            <w:tcW w:type="dxa" w:w="1789"/>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Manual preparation</w:t>
            </w:r>
          </w:p>
        </w:tc>
        <w:tc>
          <w:tcPr>
            <w:tcW w:type="dxa" w:w="964"/>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ONP 1 mM (mL)</w:t>
            </w:r>
          </w:p>
        </w:tc>
        <w:tc>
          <w:tcPr>
            <w:tcW w:type="dxa" w:w="1239"/>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[ONP] in cuvette (mM)</w:t>
            </w:r>
          </w:p>
        </w:tc>
        <w:tc>
          <w:tcPr>
            <w:tcW w:type="dxa" w:w="964"/>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A415</w:t>
            </w:r>
          </w:p>
        </w:tc>
        <w:tc>
          <w:tcPr>
            <w:tcW w:type="dxa" w:w="964"/>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A415 / [ONP] (per mM)</w:t>
            </w:r>
          </w:p>
        </w:tc>
        <w:tc>
          <w:tcPr>
            <w:tcW w:type="dxa" w:w="2064"/>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Fitted</w:t>
            </w:r>
          </w:p>
        </w:tc>
      </w:tr>
      <w:tr>
        <w:trPr>
          <w:cantSplit/>
        </w:trPr>
        <w:tc>
          <w:tcPr>
            <w:tcW w:type="dxa" w:w="1376"/>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1</w:t>
            </w:r>
          </w:p>
        </w:tc>
        <w:tc>
          <w:tcPr>
            <w:tcW w:type="dxa" w:w="17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Blank</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w:t>
            </w:r>
          </w:p>
        </w:tc>
        <w:tc>
          <w:tcPr>
            <w:tcW w:type="dxa" w:w="123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w:t>
            </w:r>
          </w:p>
        </w:tc>
        <w:tc>
          <w:tcPr>
            <w:tcW w:type="dxa" w:w="20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no (zero point)</w:t>
            </w:r>
          </w:p>
        </w:tc>
      </w:tr>
      <w:tr>
        <w:trPr>
          <w:cantSplit/>
        </w:trPr>
        <w:tc>
          <w:tcPr>
            <w:tcW w:type="dxa" w:w="1376"/>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2</w:t>
            </w:r>
          </w:p>
        </w:tc>
        <w:tc>
          <w:tcPr>
            <w:tcW w:type="dxa" w:w="17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Standard 1</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0.25</w:t>
            </w:r>
          </w:p>
        </w:tc>
        <w:tc>
          <w:tcPr>
            <w:tcW w:type="dxa" w:w="123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0.0833</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0.428</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5.14</w:t>
            </w:r>
          </w:p>
        </w:tc>
        <w:tc>
          <w:tcPr>
            <w:tcW w:type="dxa" w:w="20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yes</w:t>
            </w:r>
          </w:p>
        </w:tc>
      </w:tr>
      <w:tr>
        <w:trPr>
          <w:cantSplit/>
        </w:trPr>
        <w:tc>
          <w:tcPr>
            <w:tcW w:type="dxa" w:w="1376"/>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3</w:t>
            </w:r>
          </w:p>
        </w:tc>
        <w:tc>
          <w:tcPr>
            <w:tcW w:type="dxa" w:w="17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Standard 2</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0.5</w:t>
            </w:r>
          </w:p>
        </w:tc>
        <w:tc>
          <w:tcPr>
            <w:tcW w:type="dxa" w:w="123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0.1667</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0.856</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5.14</w:t>
            </w:r>
          </w:p>
        </w:tc>
        <w:tc>
          <w:tcPr>
            <w:tcW w:type="dxa" w:w="20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yes</w:t>
            </w:r>
          </w:p>
        </w:tc>
      </w:tr>
      <w:tr>
        <w:trPr>
          <w:cantSplit/>
        </w:trPr>
        <w:tc>
          <w:tcPr>
            <w:tcW w:type="dxa" w:w="1376"/>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4</w:t>
            </w:r>
          </w:p>
        </w:tc>
        <w:tc>
          <w:tcPr>
            <w:tcW w:type="dxa" w:w="17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Standard 3</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0.75</w:t>
            </w:r>
          </w:p>
        </w:tc>
        <w:tc>
          <w:tcPr>
            <w:tcW w:type="dxa" w:w="123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0.25</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1.24</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4.96</w:t>
            </w:r>
          </w:p>
        </w:tc>
        <w:tc>
          <w:tcPr>
            <w:tcW w:type="dxa" w:w="20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yes</w:t>
            </w:r>
          </w:p>
        </w:tc>
      </w:tr>
      <w:tr>
        <w:trPr>
          <w:cantSplit/>
        </w:trPr>
        <w:tc>
          <w:tcPr>
            <w:tcW w:type="dxa" w:w="1376"/>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5</w:t>
            </w:r>
          </w:p>
        </w:tc>
        <w:tc>
          <w:tcPr>
            <w:tcW w:type="dxa" w:w="17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Standard 4</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1</w:t>
            </w:r>
          </w:p>
        </w:tc>
        <w:tc>
          <w:tcPr>
            <w:tcW w:type="dxa" w:w="123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0.3333</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1.723</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5.17</w:t>
            </w:r>
          </w:p>
        </w:tc>
        <w:tc>
          <w:tcPr>
            <w:tcW w:type="dxa" w:w="20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yes</w:t>
            </w:r>
          </w:p>
        </w:tc>
      </w:tr>
      <w:tr>
        <w:trPr>
          <w:cantSplit/>
        </w:trPr>
        <w:tc>
          <w:tcPr>
            <w:tcW w:type="dxa" w:w="1376"/>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6</w:t>
            </w:r>
          </w:p>
        </w:tc>
        <w:tc>
          <w:tcPr>
            <w:tcW w:type="dxa" w:w="178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Standard 5</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1.3</w:t>
            </w:r>
          </w:p>
        </w:tc>
        <w:tc>
          <w:tcPr>
            <w:tcW w:type="dxa" w:w="1239"/>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0.4333</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2.256</w:t>
            </w:r>
          </w:p>
        </w:tc>
        <w:tc>
          <w:tcPr>
            <w:tcW w:type="dxa" w:w="9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5.21</w:t>
            </w:r>
          </w:p>
        </w:tc>
        <w:tc>
          <w:tcPr>
            <w:tcW w:type="dxa" w:w="206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yes</w:t>
            </w:r>
          </w:p>
        </w:tc>
      </w:tr>
      <w:tr>
        <w:trPr>
          <w:cantSplit/>
        </w:trPr>
        <w:tc>
          <w:tcPr>
            <w:tcW w:type="dxa" w:w="1376"/>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7</w:t>
            </w:r>
          </w:p>
        </w:tc>
        <w:tc>
          <w:tcPr>
            <w:tcW w:type="dxa" w:w="178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Standard 6</w:t>
            </w:r>
          </w:p>
        </w:tc>
        <w:tc>
          <w:tcPr>
            <w:tcW w:type="dxa" w:w="964"/>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1.6</w:t>
            </w:r>
          </w:p>
        </w:tc>
        <w:tc>
          <w:tcPr>
            <w:tcW w:type="dxa" w:w="1239"/>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0.5333</w:t>
            </w:r>
          </w:p>
        </w:tc>
        <w:tc>
          <w:tcPr>
            <w:tcW w:type="dxa" w:w="964"/>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3.236</w:t>
            </w:r>
          </w:p>
        </w:tc>
        <w:tc>
          <w:tcPr>
            <w:tcW w:type="dxa" w:w="964"/>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6.07</w:t>
            </w:r>
          </w:p>
        </w:tc>
        <w:tc>
          <w:tcPr>
            <w:tcW w:type="dxa" w:w="2064"/>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no (+17%)</w:t>
            </w:r>
          </w:p>
        </w:tc>
      </w:tr>
    </w:tbl>
    <w:p>
      <w:pPr>
        <w:spacing w:after="80" w:before="0" w:line="40" w:lineRule="exact"/>
      </w:pPr>
      <w:r>
        <w:rPr>
          <w:sz w:val="4"/>
          <w:szCs w:val="4"/>
        </w:rPr>
        <w:t xml:space="preserve"/>
      </w:r>
    </w:p>
    <w:p>
      <w:pPr>
        <w:keepNext w:val="false"/>
        <w:keepLines w:val="false"/>
        <w:spacing w:after="100" w:before="0" w:line="360"/>
        <w:jc w:val="both"/>
      </w:pPr>
      <w:r>
        <w:rPr>
          <w:rFonts w:ascii="Times New Roman" w:cs="Times New Roman" w:eastAsia="Times New Roman" w:hAnsi="Times New Roman"/>
          <w:b/>
          <w:bCs/>
          <w:sz w:val="24"/>
          <w:szCs w:val="24"/>
        </w:rPr>
        <w:t xml:space="preserve">3. Enzyme dilution.</w:t>
      </w:r>
      <w:r>
        <w:rPr>
          <w:rFonts w:ascii="Times New Roman" w:cs="Times New Roman" w:eastAsia="Times New Roman" w:hAnsi="Times New Roman"/>
          <w:sz w:val="24"/>
          <w:szCs w:val="24"/>
        </w:rPr>
        <w:t xml:space="preserve"> At 2.20 mM ONPG, product formation was linear over an initial window in every tube (Figure 2A; Table 3).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fell from 0.136 ΔA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with undiluted enzyme to 0.0229 at 0.15 of that amount (5.9-fold for a 6.7-fold dilution). Sample calculation, tube A: 0.136/5.22 = 0.0260 mM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in the cuvette, × 1.5 = 0.0391 mM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in the reaction, × 12.0 mL = 0.469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relative rate of tube B = 0.1041/0.136 = 0.77. The relative rates (Table 3) were approximately proportional to enzyme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0.481 × E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through the origin,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0.972; free intercept -0.0006, p = 0.98; Figure 2B), although the rate per unit enzyme ranged from 0.71 (tube D) to 1.21 (tube C), and tubes D and E gave nearly equal rates despite 1.7-fold more enzyme in D.</w:t>
      </w:r>
    </w:p>
    <w:p>
      <w:pPr>
        <w:keepNext/>
        <w:spacing w:after="60" w:line="240" w:lineRule="auto"/>
        <w:jc w:val="center"/>
      </w:pPr>
      <w:r>
        <w:drawing>
          <wp:inline distT="0" distB="0" distL="0" distR="0">
            <wp:extent cx="59436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95450"/>
                    </a:xfrm>
                    <a:prstGeom prst="rect">
                      <a:avLst/>
                    </a:prstGeom>
                  </pic:spPr>
                </pic:pic>
              </a:graphicData>
            </a:graphic>
          </wp:inline>
        </w:drawing>
      </w:r>
    </w:p>
    <w:p>
      <w:pPr>
        <w:keepNext w:val="false"/>
        <w:keepLines/>
        <w:spacing w:after="60" w:before="0" w:line="276"/>
        <w:jc w:val="left"/>
      </w:pPr>
      <w:r>
        <w:rPr>
          <w:rFonts w:ascii="Times New Roman" w:cs="Times New Roman" w:eastAsia="Times New Roman" w:hAnsi="Times New Roman"/>
          <w:b/>
          <w:bCs/>
          <w:sz w:val="20"/>
          <w:szCs w:val="20"/>
        </w:rPr>
        <w:t xml:space="preserve">FIGURE 2. Initial velocity rose approximately in proportion to the amount of β-galactosidase.</w:t>
      </w:r>
      <w:r>
        <w:rPr>
          <w:rFonts w:ascii="Times New Roman" w:cs="Times New Roman" w:eastAsia="Times New Roman" w:hAnsi="Times New Roman"/>
          <w:sz w:val="20"/>
          <w:szCs w:val="20"/>
        </w:rPr>
        <w:t xml:space="preserve"> (A) Progress curves (A</w:t>
      </w:r>
      <w:r>
        <w:rPr>
          <w:rFonts w:ascii="Times New Roman" w:cs="Times New Roman" w:eastAsia="Times New Roman" w:hAnsi="Times New Roman"/>
          <w:sz w:val="20"/>
          <w:szCs w:val="20"/>
          <w:vertAlign w:val="subscript"/>
        </w:rPr>
        <w:t xml:space="preserve">415</w:t>
      </w:r>
      <w:r>
        <w:rPr>
          <w:rFonts w:ascii="Times New Roman" w:cs="Times New Roman" w:eastAsia="Times New Roman" w:hAnsi="Times New Roman"/>
          <w:sz w:val="20"/>
          <w:szCs w:val="20"/>
        </w:rPr>
        <w:t xml:space="preserve"> of the stopped samples), 2.20 mM ONPG, 1.00 to 0.15 relative enzyme (tubes A to E); lines, fits to the initial linear window (filled, used; open, excluded; dotted, extrapolation); V</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values in Table 3. (B) V</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against relative enzyme (letters, tubes); line through the origin, V</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 0.481 × E µmol min</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0.97); a free-intercept fit (intercept -0.0006, p = 0.98) coincides with it. n = 1 per tube; reference Part II data.</w:t>
      </w:r>
    </w:p>
    <w:p>
      <w:pPr>
        <w:keepNext/>
        <w:keepLines/>
        <w:spacing w:after="60" w:before="0" w:line="276"/>
        <w:jc w:val="left"/>
      </w:pPr>
      <w:r>
        <w:rPr>
          <w:rFonts w:ascii="Times New Roman" w:cs="Times New Roman" w:eastAsia="Times New Roman" w:hAnsi="Times New Roman"/>
          <w:b/>
          <w:bCs/>
          <w:sz w:val="20"/>
          <w:szCs w:val="20"/>
        </w:rPr>
        <w:t xml:space="preserve">TABLE 3. Enzyme dilution (reference Part II): A</w:t>
      </w:r>
      <w:r>
        <w:rPr>
          <w:rFonts w:ascii="Times New Roman" w:cs="Times New Roman" w:eastAsia="Times New Roman" w:hAnsi="Times New Roman"/>
          <w:b/>
          <w:bCs/>
          <w:sz w:val="20"/>
          <w:szCs w:val="20"/>
          <w:vertAlign w:val="subscript"/>
        </w:rPr>
        <w:t xml:space="preserve">415</w:t>
      </w:r>
      <w:r>
        <w:rPr>
          <w:rFonts w:ascii="Times New Roman" w:cs="Times New Roman" w:eastAsia="Times New Roman" w:hAnsi="Times New Roman"/>
          <w:b/>
          <w:bCs/>
          <w:sz w:val="20"/>
          <w:szCs w:val="20"/>
        </w:rPr>
        <w:t xml:space="preserve"> of the stopped samples, points used, V</w:t>
      </w:r>
      <w:r>
        <w:rPr>
          <w:rFonts w:ascii="Times New Roman" w:cs="Times New Roman" w:eastAsia="Times New Roman" w:hAnsi="Times New Roman"/>
          <w:b/>
          <w:bCs/>
          <w:sz w:val="20"/>
          <w:szCs w:val="20"/>
          <w:vertAlign w:val="subscript"/>
        </w:rPr>
        <w:t xml:space="preserve">0</w:t>
      </w:r>
      <w:r>
        <w:rPr>
          <w:rFonts w:ascii="Times New Roman" w:cs="Times New Roman" w:eastAsia="Times New Roman" w:hAnsi="Times New Roman"/>
          <w:b/>
          <w:bCs/>
          <w:sz w:val="20"/>
          <w:szCs w:val="20"/>
        </w:rPr>
        <w:t xml:space="preserve"> (ΔA</w:t>
      </w:r>
      <w:r>
        <w:rPr>
          <w:rFonts w:ascii="Times New Roman" w:cs="Times New Roman" w:eastAsia="Times New Roman" w:hAnsi="Times New Roman"/>
          <w:b/>
          <w:bCs/>
          <w:sz w:val="20"/>
          <w:szCs w:val="20"/>
          <w:vertAlign w:val="subscript"/>
        </w:rPr>
        <w:t xml:space="preserve">415</w:t>
      </w:r>
      <w:r>
        <w:rPr>
          <w:rFonts w:ascii="Times New Roman" w:cs="Times New Roman" w:eastAsia="Times New Roman" w:hAnsi="Times New Roman"/>
          <w:b/>
          <w:bCs/>
          <w:sz w:val="20"/>
          <w:szCs w:val="20"/>
        </w:rPr>
        <w:t xml:space="preserve"> min</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µmol ONP min</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per assay, × 3.447), rate relative to tube A and rate per unit enzyme.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7"/>
        <w:gridCol w:w="693"/>
        <w:gridCol w:w="693"/>
        <w:gridCol w:w="607"/>
        <w:gridCol w:w="607"/>
        <w:gridCol w:w="607"/>
        <w:gridCol w:w="607"/>
        <w:gridCol w:w="607"/>
        <w:gridCol w:w="693"/>
        <w:gridCol w:w="867"/>
        <w:gridCol w:w="1040"/>
        <w:gridCol w:w="607"/>
        <w:gridCol w:w="1125"/>
      </w:tblGrid>
      <w:tr>
        <w:trPr>
          <w:cantSplit/>
          <w:tblHeader/>
        </w:trPr>
        <w:tc>
          <w:tcPr>
            <w:tcW w:type="dxa" w:w="60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Tube</w:t>
            </w:r>
          </w:p>
        </w:tc>
        <w:tc>
          <w:tcPr>
            <w:tcW w:type="dxa" w:w="693"/>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Enzyme (mL)</w:t>
            </w:r>
          </w:p>
        </w:tc>
        <w:tc>
          <w:tcPr>
            <w:tcW w:type="dxa" w:w="693"/>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Rel. enzyme</w:t>
            </w:r>
          </w:p>
        </w:tc>
        <w:tc>
          <w:tcPr>
            <w:tcW w:type="dxa" w:w="60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2 min</w:t>
            </w:r>
          </w:p>
        </w:tc>
        <w:tc>
          <w:tcPr>
            <w:tcW w:type="dxa" w:w="60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4 min</w:t>
            </w:r>
          </w:p>
        </w:tc>
        <w:tc>
          <w:tcPr>
            <w:tcW w:type="dxa" w:w="60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6 min</w:t>
            </w:r>
          </w:p>
        </w:tc>
        <w:tc>
          <w:tcPr>
            <w:tcW w:type="dxa" w:w="60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8 min</w:t>
            </w:r>
          </w:p>
        </w:tc>
        <w:tc>
          <w:tcPr>
            <w:tcW w:type="dxa" w:w="60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10 min</w:t>
            </w:r>
          </w:p>
        </w:tc>
        <w:tc>
          <w:tcPr>
            <w:tcW w:type="dxa" w:w="693"/>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Points used (min)</w:t>
            </w:r>
          </w:p>
        </w:tc>
        <w:tc>
          <w:tcPr>
            <w:tcW w:type="dxa" w:w="86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V0 (dA/min)</w:t>
            </w:r>
          </w:p>
        </w:tc>
        <w:tc>
          <w:tcPr>
            <w:tcW w:type="dxa" w:w="1040"/>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V0 (umol/min)</w:t>
            </w:r>
          </w:p>
        </w:tc>
        <w:tc>
          <w:tcPr>
            <w:tcW w:type="dxa" w:w="60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Rel. rate</w:t>
            </w:r>
          </w:p>
        </w:tc>
        <w:tc>
          <w:tcPr>
            <w:tcW w:type="dxa" w:w="112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6"/>
                <w:szCs w:val="16"/>
              </w:rPr>
              <w:t xml:space="preserve">Rate/enzyme</w:t>
            </w:r>
          </w:p>
        </w:tc>
      </w:tr>
      <w:tr>
        <w:trPr>
          <w:cantSplit/>
        </w:trPr>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A</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0.2</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1</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0.332</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0.602</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0.876</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0.965</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1.407</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2-6</w:t>
            </w:r>
          </w:p>
        </w:tc>
        <w:tc>
          <w:tcPr>
            <w:tcW w:type="dxa" w:w="86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0.136</w:t>
            </w:r>
          </w:p>
        </w:tc>
        <w:tc>
          <w:tcPr>
            <w:tcW w:type="dxa" w:w="1040"/>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0.469</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1</w:t>
            </w:r>
          </w:p>
        </w:tc>
        <w:tc>
          <w:tcPr>
            <w:tcW w:type="dxa" w:w="112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1</w:t>
            </w:r>
          </w:p>
        </w:tc>
      </w:tr>
      <w:tr>
        <w:trPr>
          <w:cantSplit/>
        </w:trPr>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B</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0.15</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0.75</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0.245</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0.487</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0.67</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0.89</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1.084</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2-10</w:t>
            </w:r>
          </w:p>
        </w:tc>
        <w:tc>
          <w:tcPr>
            <w:tcW w:type="dxa" w:w="86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0.1041</w:t>
            </w:r>
          </w:p>
        </w:tc>
        <w:tc>
          <w:tcPr>
            <w:tcW w:type="dxa" w:w="1040"/>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0.359</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0.77</w:t>
            </w:r>
          </w:p>
        </w:tc>
        <w:tc>
          <w:tcPr>
            <w:tcW w:type="dxa" w:w="112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1.02</w:t>
            </w:r>
          </w:p>
        </w:tc>
      </w:tr>
      <w:tr>
        <w:trPr>
          <w:cantSplit/>
        </w:trPr>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C</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0.5</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0.171</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0.321</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0.499</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0.592</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0.736</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2-6</w:t>
            </w:r>
          </w:p>
        </w:tc>
        <w:tc>
          <w:tcPr>
            <w:tcW w:type="dxa" w:w="86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0.082</w:t>
            </w:r>
          </w:p>
        </w:tc>
        <w:tc>
          <w:tcPr>
            <w:tcW w:type="dxa" w:w="1040"/>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0.283</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0.6</w:t>
            </w:r>
          </w:p>
        </w:tc>
        <w:tc>
          <w:tcPr>
            <w:tcW w:type="dxa" w:w="112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1.21</w:t>
            </w:r>
          </w:p>
        </w:tc>
      </w:tr>
      <w:tr>
        <w:trPr>
          <w:cantSplit/>
        </w:trPr>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D</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0.05</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0.25</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0.07</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0.11</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0.167</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0.229</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0.262</w:t>
            </w:r>
          </w:p>
        </w:tc>
        <w:tc>
          <w:tcPr>
            <w:tcW w:type="dxa" w:w="69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2-6</w:t>
            </w:r>
          </w:p>
        </w:tc>
        <w:tc>
          <w:tcPr>
            <w:tcW w:type="dxa" w:w="86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0.0243</w:t>
            </w:r>
          </w:p>
        </w:tc>
        <w:tc>
          <w:tcPr>
            <w:tcW w:type="dxa" w:w="1040"/>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0.084</w:t>
            </w:r>
          </w:p>
        </w:tc>
        <w:tc>
          <w:tcPr>
            <w:tcW w:type="dxa" w:w="607"/>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0.18</w:t>
            </w:r>
          </w:p>
        </w:tc>
        <w:tc>
          <w:tcPr>
            <w:tcW w:type="dxa" w:w="112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6"/>
                <w:szCs w:val="16"/>
              </w:rPr>
              <w:t xml:space="preserve">0.71</w:t>
            </w:r>
          </w:p>
        </w:tc>
      </w:tr>
      <w:tr>
        <w:trPr>
          <w:cantSplit/>
        </w:trPr>
        <w:tc>
          <w:tcPr>
            <w:tcW w:type="dxa" w:w="60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E</w:t>
            </w:r>
          </w:p>
        </w:tc>
        <w:tc>
          <w:tcPr>
            <w:tcW w:type="dxa" w:w="693"/>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0.03</w:t>
            </w:r>
          </w:p>
        </w:tc>
        <w:tc>
          <w:tcPr>
            <w:tcW w:type="dxa" w:w="693"/>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0.15</w:t>
            </w:r>
          </w:p>
        </w:tc>
        <w:tc>
          <w:tcPr>
            <w:tcW w:type="dxa" w:w="60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0.063</w:t>
            </w:r>
          </w:p>
        </w:tc>
        <w:tc>
          <w:tcPr>
            <w:tcW w:type="dxa" w:w="60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0.11</w:t>
            </w:r>
          </w:p>
        </w:tc>
        <w:tc>
          <w:tcPr>
            <w:tcW w:type="dxa" w:w="60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0.158</w:t>
            </w:r>
          </w:p>
        </w:tc>
        <w:tc>
          <w:tcPr>
            <w:tcW w:type="dxa" w:w="60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0.198</w:t>
            </w:r>
          </w:p>
        </w:tc>
        <w:tc>
          <w:tcPr>
            <w:tcW w:type="dxa" w:w="60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0.248</w:t>
            </w:r>
          </w:p>
        </w:tc>
        <w:tc>
          <w:tcPr>
            <w:tcW w:type="dxa" w:w="693"/>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2-10</w:t>
            </w:r>
          </w:p>
        </w:tc>
        <w:tc>
          <w:tcPr>
            <w:tcW w:type="dxa" w:w="86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0.0229</w:t>
            </w:r>
          </w:p>
        </w:tc>
        <w:tc>
          <w:tcPr>
            <w:tcW w:type="dxa" w:w="1040"/>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0.079</w:t>
            </w:r>
          </w:p>
        </w:tc>
        <w:tc>
          <w:tcPr>
            <w:tcW w:type="dxa" w:w="60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0.17</w:t>
            </w:r>
          </w:p>
        </w:tc>
        <w:tc>
          <w:tcPr>
            <w:tcW w:type="dxa" w:w="112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1.12</w:t>
            </w:r>
          </w:p>
        </w:tc>
      </w:tr>
    </w:tbl>
    <w:p>
      <w:pPr>
        <w:spacing w:after="80" w:before="0" w:line="40" w:lineRule="exact"/>
      </w:pPr>
      <w:r>
        <w:rPr>
          <w:sz w:val="4"/>
          <w:szCs w:val="4"/>
        </w:rPr>
        <w:t xml:space="preserve"/>
      </w:r>
    </w:p>
    <w:p>
      <w:pPr>
        <w:keepNext w:val="false"/>
        <w:keepLines w:val="false"/>
        <w:spacing w:after="100" w:before="0" w:line="360"/>
        <w:jc w:val="both"/>
      </w:pPr>
      <w:r>
        <w:rPr>
          <w:rFonts w:ascii="Times New Roman" w:cs="Times New Roman" w:eastAsia="Times New Roman" w:hAnsi="Times New Roman"/>
          <w:b/>
          <w:bCs/>
          <w:sz w:val="24"/>
          <w:szCs w:val="24"/>
        </w:rPr>
        <w:t xml:space="preserve">4. Michaelis–Menten kinetics without inhibitor.</w:t>
      </w:r>
      <w:r>
        <w:rPr>
          <w:rFonts w:ascii="Times New Roman" w:cs="Times New Roman" w:eastAsia="Times New Roman" w:hAnsi="Times New Roman"/>
          <w:sz w:val="24"/>
          <w:szCs w:val="24"/>
        </w:rPr>
        <w:t xml:space="preserve"> Only the 2.20 mM tube remained linear to 10 min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0.132 ΔA</w:t>
      </w:r>
      <w:r>
        <w:rPr>
          <w:rFonts w:ascii="Times New Roman" w:cs="Times New Roman" w:eastAsia="Times New Roman" w:hAnsi="Times New Roman"/>
          <w:sz w:val="24"/>
          <w:szCs w:val="24"/>
          <w:vertAlign w:val="subscript"/>
        </w:rPr>
        <w:t xml:space="preserve">415</w:t>
      </w:r>
      <w:r>
        <w:rPr>
          <w:rFonts w:ascii="Times New Roman" w:cs="Times New Roman" w:eastAsia="Times New Roman" w:hAnsi="Times New Roman"/>
          <w:sz w:val="24"/>
          <w:szCs w:val="24"/>
        </w:rPr>
        <w:t xml:space="preserve">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in tubes B to F the later increments fell below the first, so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the origin-assumed 0 to 2 min average rate (†; Figure 3A, Table 4).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rose 5.6-fold over the 32-fold substrate range and flattened above 1 mM (Figure 4A). Sample calculation, tube B: [S] = 3.3 mM × 4.0/12.0 = 1.10 mM;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0.101/5.22 × 1.5 × 12.0 = 0.348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1/[S] = 0.909 mM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1/V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2.87 min µmol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Lineweaver–Burk regression (Figure 4B): 1/V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0.658(1/[S]) + 2.097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0.928), so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1/2.097 = 0.477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0.658 × 0.477 = 0.31 mM; the nonlinear fit gave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0.36 ± 0.13 mM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0.494 ± 0.059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(Table 5).</w:t>
      </w:r>
    </w:p>
    <w:p>
      <w:pPr>
        <w:keepNext/>
        <w:spacing w:after="60" w:line="240" w:lineRule="auto"/>
        <w:jc w:val="center"/>
      </w:pPr>
      <w:r>
        <w:drawing>
          <wp:inline distT="0" distB="0" distL="0" distR="0">
            <wp:extent cx="59436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695450"/>
                    </a:xfrm>
                    <a:prstGeom prst="rect">
                      <a:avLst/>
                    </a:prstGeom>
                  </pic:spPr>
                </pic:pic>
              </a:graphicData>
            </a:graphic>
          </wp:inline>
        </w:drawing>
      </w:r>
    </w:p>
    <w:p>
      <w:pPr>
        <w:keepNext w:val="false"/>
        <w:keepLines/>
        <w:spacing w:after="60" w:before="0" w:line="276"/>
        <w:jc w:val="left"/>
      </w:pPr>
      <w:r>
        <w:rPr>
          <w:rFonts w:ascii="Times New Roman" w:cs="Times New Roman" w:eastAsia="Times New Roman" w:hAnsi="Times New Roman"/>
          <w:b/>
          <w:bCs/>
          <w:sz w:val="20"/>
          <w:szCs w:val="20"/>
        </w:rPr>
        <w:t xml:space="preserve">FIGURE 3. Product formation slowed as substrate fell and when IPTG was present.</w:t>
      </w:r>
      <w:r>
        <w:rPr>
          <w:rFonts w:ascii="Times New Roman" w:cs="Times New Roman" w:eastAsia="Times New Roman" w:hAnsi="Times New Roman"/>
          <w:sz w:val="20"/>
          <w:szCs w:val="20"/>
        </w:rPr>
        <w:t xml:space="preserve"> Progress curves for 2.20 to 0.069 mM ONPG (tubes A to F) without inhibitor (A) and with 0.458 mM IPTG (B; smaller absorbance scale). Symbols as in Figure 2A; dashed from ×, origin-assumed 0 to 2 min average rate (A</w:t>
      </w:r>
      <w:r>
        <w:rPr>
          <w:rFonts w:ascii="Times New Roman" w:cs="Times New Roman" w:eastAsia="Times New Roman" w:hAnsi="Times New Roman"/>
          <w:sz w:val="20"/>
          <w:szCs w:val="20"/>
          <w:vertAlign w:val="subscript"/>
        </w:rPr>
        <w:t xml:space="preserve">415</w:t>
      </w:r>
      <w:r>
        <w:rPr>
          <w:rFonts w:ascii="Times New Roman" w:cs="Times New Roman" w:eastAsia="Times New Roman" w:hAnsi="Times New Roman"/>
          <w:sz w:val="20"/>
          <w:szCs w:val="20"/>
        </w:rPr>
        <w:t xml:space="preserve"> = 0 assumed at t = 0; tubes B to F in A, tube A in B). V</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values in Table 4; reference Part III data.</w:t>
      </w:r>
    </w:p>
    <w:p>
      <w:pPr>
        <w:keepNext/>
        <w:keepLines/>
        <w:spacing w:after="60" w:before="0" w:line="276"/>
        <w:jc w:val="left"/>
      </w:pPr>
      <w:r>
        <w:rPr>
          <w:rFonts w:ascii="Times New Roman" w:cs="Times New Roman" w:eastAsia="Times New Roman" w:hAnsi="Times New Roman"/>
          <w:b/>
          <w:bCs/>
          <w:sz w:val="20"/>
          <w:szCs w:val="20"/>
        </w:rPr>
        <w:t xml:space="preserve">TABLE 4. Substrate series without and with 0.458 mM IPTG (reference Part III): A</w:t>
      </w:r>
      <w:r>
        <w:rPr>
          <w:rFonts w:ascii="Times New Roman" w:cs="Times New Roman" w:eastAsia="Times New Roman" w:hAnsi="Times New Roman"/>
          <w:b/>
          <w:bCs/>
          <w:sz w:val="20"/>
          <w:szCs w:val="20"/>
          <w:vertAlign w:val="subscript"/>
        </w:rPr>
        <w:t xml:space="preserve">415</w:t>
      </w:r>
      <w:r>
        <w:rPr>
          <w:rFonts w:ascii="Times New Roman" w:cs="Times New Roman" w:eastAsia="Times New Roman" w:hAnsi="Times New Roman"/>
          <w:b/>
          <w:bCs/>
          <w:sz w:val="20"/>
          <w:szCs w:val="20"/>
        </w:rPr>
        <w:t xml:space="preserve"> of stopped samples, V</w:t>
      </w:r>
      <w:r>
        <w:rPr>
          <w:rFonts w:ascii="Times New Roman" w:cs="Times New Roman" w:eastAsia="Times New Roman" w:hAnsi="Times New Roman"/>
          <w:b/>
          <w:bCs/>
          <w:sz w:val="20"/>
          <w:szCs w:val="20"/>
          <w:vertAlign w:val="subscript"/>
        </w:rPr>
        <w:t xml:space="preserve">0</w:t>
      </w:r>
      <w:r>
        <w:rPr>
          <w:rFonts w:ascii="Times New Roman" w:cs="Times New Roman" w:eastAsia="Times New Roman" w:hAnsi="Times New Roman"/>
          <w:b/>
          <w:bCs/>
          <w:sz w:val="20"/>
          <w:szCs w:val="20"/>
        </w:rPr>
        <w:t xml:space="preserve"> (ΔA</w:t>
      </w:r>
      <w:r>
        <w:rPr>
          <w:rFonts w:ascii="Times New Roman" w:cs="Times New Roman" w:eastAsia="Times New Roman" w:hAnsi="Times New Roman"/>
          <w:b/>
          <w:bCs/>
          <w:sz w:val="20"/>
          <w:szCs w:val="20"/>
          <w:vertAlign w:val="subscript"/>
        </w:rPr>
        <w:t xml:space="preserve">415</w:t>
      </w:r>
      <w:r>
        <w:rPr>
          <w:rFonts w:ascii="Times New Roman" w:cs="Times New Roman" w:eastAsia="Times New Roman" w:hAnsi="Times New Roman"/>
          <w:b/>
          <w:bCs/>
          <w:sz w:val="20"/>
          <w:szCs w:val="20"/>
        </w:rPr>
        <w:t xml:space="preserve"> min</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µmol min</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per assay) and Lineweaver–Burk reciprocals (1/[S], mM</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1/V</w:t>
      </w:r>
      <w:r>
        <w:rPr>
          <w:rFonts w:ascii="Times New Roman" w:cs="Times New Roman" w:eastAsia="Times New Roman" w:hAnsi="Times New Roman"/>
          <w:b/>
          <w:bCs/>
          <w:sz w:val="20"/>
          <w:szCs w:val="20"/>
          <w:vertAlign w:val="subscript"/>
        </w:rPr>
        <w:t xml:space="preserve">0</w:t>
      </w:r>
      <w:r>
        <w:rPr>
          <w:rFonts w:ascii="Times New Roman" w:cs="Times New Roman" w:eastAsia="Times New Roman" w:hAnsi="Times New Roman"/>
          <w:b/>
          <w:bCs/>
          <w:sz w:val="20"/>
          <w:szCs w:val="20"/>
        </w:rPr>
        <w:t xml:space="preserve">, min µmol</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 origin-assumed 0 to 2 min average rate; others, regression.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4"/>
        <w:gridCol w:w="655"/>
        <w:gridCol w:w="655"/>
        <w:gridCol w:w="655"/>
        <w:gridCol w:w="655"/>
        <w:gridCol w:w="655"/>
        <w:gridCol w:w="655"/>
        <w:gridCol w:w="655"/>
        <w:gridCol w:w="936"/>
        <w:gridCol w:w="1123"/>
        <w:gridCol w:w="655"/>
        <w:gridCol w:w="657"/>
      </w:tblGrid>
      <w:tr>
        <w:trPr>
          <w:cantSplit/>
          <w:tblHeader/>
        </w:trPr>
        <w:tc>
          <w:tcPr>
            <w:tcW w:type="dxa" w:w="1404"/>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Series</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Tube</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[S] (mM)</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2 min</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4 min</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6 min</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8 min</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10 min</w:t>
            </w:r>
          </w:p>
        </w:tc>
        <w:tc>
          <w:tcPr>
            <w:tcW w:type="dxa" w:w="936"/>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V0 (dA/min)</w:t>
            </w:r>
          </w:p>
        </w:tc>
        <w:tc>
          <w:tcPr>
            <w:tcW w:type="dxa" w:w="1123"/>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V0 (umol/min)</w:t>
            </w:r>
          </w:p>
        </w:tc>
        <w:tc>
          <w:tcPr>
            <w:tcW w:type="dxa" w:w="65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1/[S]</w:t>
            </w:r>
          </w:p>
        </w:tc>
        <w:tc>
          <w:tcPr>
            <w:tcW w:type="dxa" w:w="65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1/V0</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no inhibitor</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A</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2.2</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0.282</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0.546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0.815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1.094</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1.328</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0.132</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0.455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0.45</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2.2</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no inhibitor</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B</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0.202</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0.383</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0.516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0.628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0.723</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0.101†</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0.348†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0.91</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2.87</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no inhibitor</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C</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0.156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0.278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0.357</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0.425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0.468</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0.078†</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0.269†</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1.82</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3.72</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no inhibitor</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0.275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0.172</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0.211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0.24</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0.301</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0.055†</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0.190†</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3.64</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5.28</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no inhibitor</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0.1375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0.116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0.148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0.166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0.171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0.18</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0.058†</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0.200†</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7.27</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5</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no inhibitor</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F</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0.06875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0.047</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0.067</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0.077</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0.084</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0.09</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0.0235†</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0.081†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14.55</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12.35</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+ 0.458 mM IPTG</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A</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2.2</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0.198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0.586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0.784</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0.966</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0.099†</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0.341†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0.45</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2.93</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+ 0.458 mM IPTG</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B</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0.065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0.127</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0.196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0.239</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0.294</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0.03275</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0.113</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0.91</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8.86</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+ 0.458 mM IPTG</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C</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0.045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0.086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0.128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0.154</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0.187</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0.02075</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0.072</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1.82</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13.98</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+ 0.458 mM IPTG</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0.275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0.029</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0.051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0.068</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0.085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0.099</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0.0087</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0.030</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3.64</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33.35</w:t>
            </w:r>
          </w:p>
        </w:tc>
      </w:tr>
      <w:tr>
        <w:trPr>
          <w:cantSplit/>
        </w:trPr>
        <w:tc>
          <w:tcPr>
            <w:tcW w:type="dxa" w:w="140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+ 0.458 mM IPTG</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0.1375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0.02</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0.035</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0.047</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0.06</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0.069</w:t>
            </w:r>
          </w:p>
        </w:tc>
        <w:tc>
          <w:tcPr>
            <w:tcW w:type="dxa" w:w="936"/>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0.00615</w:t>
            </w:r>
          </w:p>
        </w:tc>
        <w:tc>
          <w:tcPr>
            <w:tcW w:type="dxa" w:w="1123"/>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0.021</w:t>
            </w:r>
          </w:p>
        </w:tc>
        <w:tc>
          <w:tcPr>
            <w:tcW w:type="dxa" w:w="655"/>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7.27</w:t>
            </w:r>
          </w:p>
        </w:tc>
        <w:tc>
          <w:tcPr>
            <w:tcW w:type="dxa" w:w="65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47.18</w:t>
            </w:r>
          </w:p>
        </w:tc>
      </w:tr>
      <w:tr>
        <w:trPr>
          <w:cantSplit/>
        </w:trPr>
        <w:tc>
          <w:tcPr>
            <w:tcW w:type="dxa" w:w="1404"/>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+ 0.458 mM IPTG</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F</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0.06875</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0.011</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0.019</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0.025</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0.031</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0.036</w:t>
            </w:r>
          </w:p>
        </w:tc>
        <w:tc>
          <w:tcPr>
            <w:tcW w:type="dxa" w:w="936"/>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0.0031</w:t>
            </w:r>
          </w:p>
        </w:tc>
        <w:tc>
          <w:tcPr>
            <w:tcW w:type="dxa" w:w="1123"/>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0.011</w:t>
            </w:r>
          </w:p>
        </w:tc>
        <w:tc>
          <w:tcPr>
            <w:tcW w:type="dxa" w:w="65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14.55</w:t>
            </w:r>
          </w:p>
        </w:tc>
        <w:tc>
          <w:tcPr>
            <w:tcW w:type="dxa" w:w="65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93.59</w:t>
            </w:r>
          </w:p>
        </w:tc>
      </w:tr>
    </w:tbl>
    <w:p>
      <w:pPr>
        <w:spacing w:after="80" w:before="0" w:line="40" w:lineRule="exact"/>
      </w:pPr>
      <w:r>
        <w:rPr>
          <w:sz w:val="4"/>
          <w:szCs w:val="4"/>
        </w:rPr>
        <w:t xml:space="preserve"/>
      </w:r>
    </w:p>
    <w:p>
      <w:pPr>
        <w:keepNext w:val="false"/>
        <w:keepLines w:val="false"/>
        <w:spacing w:after="100" w:before="0" w:line="360"/>
        <w:jc w:val="both"/>
      </w:pPr>
      <w:r>
        <w:rPr>
          <w:rFonts w:ascii="Times New Roman" w:cs="Times New Roman" w:eastAsia="Times New Roman" w:hAnsi="Times New Roman"/>
          <w:b/>
          <w:bCs/>
          <w:sz w:val="24"/>
          <w:szCs w:val="24"/>
        </w:rPr>
        <w:t xml:space="preserve">5. Michaelis–Menten kinetics with IPTG.</w:t>
      </w:r>
      <w:r>
        <w:rPr>
          <w:rFonts w:ascii="Times New Roman" w:cs="Times New Roman" w:eastAsia="Times New Roman" w:hAnsi="Times New Roman"/>
          <w:sz w:val="24"/>
          <w:szCs w:val="24"/>
        </w:rPr>
        <w:t xml:space="preserve"> With 0.458 mM IPTG every tube was slower (Figure 3B), by 25% at 2.20 mM ONPG and 87% at 0.069 mM, so inhibition grew as substrate fell (Figure 4A). The Lineweaver–Burk line steepened 9.5-fold, 1/V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6.24(1/[S]) + 3.55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0.988; Figure 4B), giving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m,app</w:t>
      </w:r>
      <w:r>
        <w:rPr>
          <w:rFonts w:ascii="Times New Roman" w:cs="Times New Roman" w:eastAsia="Times New Roman" w:hAnsi="Times New Roman"/>
          <w:sz w:val="24"/>
          <w:szCs w:val="24"/>
        </w:rPr>
        <w:t xml:space="preserve"> = 1.76 mM (5.6-fold increase)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max,app</w:t>
      </w:r>
      <w:r>
        <w:rPr>
          <w:rFonts w:ascii="Times New Roman" w:cs="Times New Roman" w:eastAsia="Times New Roman" w:hAnsi="Times New Roman"/>
          <w:sz w:val="24"/>
          <w:szCs w:val="24"/>
        </w:rPr>
        <w:t xml:space="preserve"> = 0.282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from an extrapolated intercept (3.55 ± 2.33).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m,app</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− 1) = 0.458/(1.76/0.31 − 1) = 0.100 mM. A competitive model fitted to both series (shared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0.53 ± 0.07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0.44 ± 0.17 mM,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0.107 ± 0.042 mM) left a residual sum of squares 1.9 times smaller than a noncompetitive model with the same number of parameters, and a mixed model reduced to it (Table 5).</w:t>
      </w:r>
    </w:p>
    <w:p>
      <w:pPr>
        <w:keepNext/>
        <w:spacing w:after="60" w:line="240" w:lineRule="auto"/>
        <w:jc w:val="center"/>
      </w:pPr>
      <w:r>
        <w:drawing>
          <wp:inline distT="0" distB="0" distL="0" distR="0">
            <wp:extent cx="59436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695450"/>
                    </a:xfrm>
                    <a:prstGeom prst="rect">
                      <a:avLst/>
                    </a:prstGeom>
                  </pic:spPr>
                </pic:pic>
              </a:graphicData>
            </a:graphic>
          </wp:inline>
        </w:drawing>
      </w:r>
    </w:p>
    <w:p>
      <w:pPr>
        <w:keepNext w:val="false"/>
        <w:keepLines/>
        <w:spacing w:after="60" w:before="0" w:line="276"/>
        <w:jc w:val="left"/>
      </w:pPr>
      <w:r>
        <w:rPr>
          <w:rFonts w:ascii="Times New Roman" w:cs="Times New Roman" w:eastAsia="Times New Roman" w:hAnsi="Times New Roman"/>
          <w:b/>
          <w:bCs/>
          <w:sz w:val="20"/>
          <w:szCs w:val="20"/>
        </w:rPr>
        <w:t xml:space="preserve">FIGURE 4. β-Galactosidase approached saturation with ONPG, and IPTG raised the apparent </w:t>
      </w:r>
      <w:r>
        <w:rPr>
          <w:rFonts w:ascii="Times New Roman" w:cs="Times New Roman" w:eastAsia="Times New Roman" w:hAnsi="Times New Roman"/>
          <w:b/>
          <w:bCs/>
          <w:sz w:val="20"/>
          <w:szCs w:val="20"/>
        </w:rPr>
        <w:t xml:space="preserve">K</w:t>
      </w:r>
      <w:r>
        <w:rPr>
          <w:rFonts w:ascii="Times New Roman" w:cs="Times New Roman" w:eastAsia="Times New Roman" w:hAnsi="Times New Roman"/>
          <w:b/>
          <w:bCs/>
          <w:sz w:val="20"/>
          <w:szCs w:val="20"/>
          <w:vertAlign w:val="subscript"/>
        </w:rPr>
        <w:t xml:space="preserve">m</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V</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against [ONPG] without (circles) and with 0.458 mM IPTG (triangles), from Figure 3; solid, competitive model fitted to both series (shared </w:t>
      </w:r>
      <w:r>
        <w:rPr>
          <w:rFonts w:ascii="Times New Roman" w:cs="Times New Roman" w:eastAsia="Times New Roman" w:hAnsi="Times New Roman"/>
          <w:sz w:val="20"/>
          <w:szCs w:val="20"/>
        </w:rPr>
        <w:t xml:space="preserve">V</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assumed); dashed, Lineweaver–Burk hyperbolae; †, origin-assumed. (B) Lineweaver–Burk plot; x-intercepts −1/</w:t>
      </w:r>
      <w:r>
        <w:rPr>
          <w:rFonts w:ascii="Times New Roman" w:cs="Times New Roman" w:eastAsia="Times New Roman" w:hAnsi="Times New Roman"/>
          <w:sz w:val="20"/>
          <w:szCs w:val="20"/>
        </w:rPr>
        <w:t xml:space="preserve">K</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 -3.19, −1/</w:t>
      </w:r>
      <w:r>
        <w:rPr>
          <w:rFonts w:ascii="Times New Roman" w:cs="Times New Roman" w:eastAsia="Times New Roman" w:hAnsi="Times New Roman"/>
          <w:sz w:val="20"/>
          <w:szCs w:val="20"/>
        </w:rPr>
        <w:t xml:space="preserve">K</w:t>
      </w:r>
      <w:r>
        <w:rPr>
          <w:rFonts w:ascii="Times New Roman" w:cs="Times New Roman" w:eastAsia="Times New Roman" w:hAnsi="Times New Roman"/>
          <w:sz w:val="20"/>
          <w:szCs w:val="20"/>
          <w:vertAlign w:val="subscript"/>
        </w:rPr>
        <w:t xml:space="preserve">m,app</w:t>
      </w:r>
      <w:r>
        <w:rPr>
          <w:rFonts w:ascii="Times New Roman" w:cs="Times New Roman" w:eastAsia="Times New Roman" w:hAnsi="Times New Roman"/>
          <w:sz w:val="20"/>
          <w:szCs w:val="20"/>
        </w:rPr>
        <w:t xml:space="preserve"> = -0.57 mM</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Reference Part III data.</w:t>
      </w:r>
    </w:p>
    <w:p>
      <w:pPr>
        <w:keepNext/>
        <w:keepLines/>
        <w:spacing w:after="60" w:before="0" w:line="276"/>
        <w:jc w:val="left"/>
      </w:pPr>
      <w:r>
        <w:rPr>
          <w:rFonts w:ascii="Times New Roman" w:cs="Times New Roman" w:eastAsia="Times New Roman" w:hAnsi="Times New Roman"/>
          <w:b/>
          <w:bCs/>
          <w:sz w:val="20"/>
          <w:szCs w:val="20"/>
        </w:rPr>
        <w:t xml:space="preserve">TABLE 5. Kinetic parameters (reference Part III; </w:t>
      </w:r>
      <w:r>
        <w:rPr>
          <w:rFonts w:ascii="Times New Roman" w:cs="Times New Roman" w:eastAsia="Times New Roman" w:hAnsi="Times New Roman"/>
          <w:b/>
          <w:bCs/>
          <w:sz w:val="20"/>
          <w:szCs w:val="20"/>
        </w:rPr>
        <w:t xml:space="preserve">K</w:t>
      </w:r>
      <w:r>
        <w:rPr>
          <w:rFonts w:ascii="Times New Roman" w:cs="Times New Roman" w:eastAsia="Times New Roman" w:hAnsi="Times New Roman"/>
          <w:b/>
          <w:bCs/>
          <w:sz w:val="20"/>
          <w:szCs w:val="20"/>
          <w:vertAlign w:val="subscript"/>
        </w:rPr>
        <w:t xml:space="preserve">m</w:t>
      </w:r>
      <w:r>
        <w:rPr>
          <w:rFonts w:ascii="Times New Roman" w:cs="Times New Roman" w:eastAsia="Times New Roman" w:hAnsi="Times New Roman"/>
          <w:b/>
          <w:bCs/>
          <w:sz w:val="20"/>
          <w:szCs w:val="20"/>
        </w:rPr>
        <w:t xml:space="preserve">, </w:t>
      </w:r>
      <w:r>
        <w:rPr>
          <w:rFonts w:ascii="Times New Roman" w:cs="Times New Roman" w:eastAsia="Times New Roman" w:hAnsi="Times New Roman"/>
          <w:b/>
          <w:bCs/>
          <w:sz w:val="20"/>
          <w:szCs w:val="20"/>
        </w:rPr>
        <w:t xml:space="preserve">K</w:t>
      </w:r>
      <w:r>
        <w:rPr>
          <w:rFonts w:ascii="Times New Roman" w:cs="Times New Roman" w:eastAsia="Times New Roman" w:hAnsi="Times New Roman"/>
          <w:b/>
          <w:bCs/>
          <w:sz w:val="20"/>
          <w:szCs w:val="20"/>
          <w:vertAlign w:val="subscript"/>
        </w:rPr>
        <w:t xml:space="preserve">i</w:t>
      </w:r>
      <w:r>
        <w:rPr>
          <w:rFonts w:ascii="Times New Roman" w:cs="Times New Roman" w:eastAsia="Times New Roman" w:hAnsi="Times New Roman"/>
          <w:b/>
          <w:bCs/>
          <w:sz w:val="20"/>
          <w:szCs w:val="20"/>
        </w:rPr>
        <w:t xml:space="preserve"> in mM; </w:t>
      </w:r>
      <w:r>
        <w:rPr>
          <w:rFonts w:ascii="Times New Roman" w:cs="Times New Roman" w:eastAsia="Times New Roman" w:hAnsi="Times New Roman"/>
          <w:b/>
          <w:bCs/>
          <w:sz w:val="20"/>
          <w:szCs w:val="20"/>
        </w:rPr>
        <w:t xml:space="preserve">V</w:t>
      </w:r>
      <w:r>
        <w:rPr>
          <w:rFonts w:ascii="Times New Roman" w:cs="Times New Roman" w:eastAsia="Times New Roman" w:hAnsi="Times New Roman"/>
          <w:b/>
          <w:bCs/>
          <w:sz w:val="20"/>
          <w:szCs w:val="20"/>
          <w:vertAlign w:val="subscript"/>
        </w:rPr>
        <w:t xml:space="preserve">max</w:t>
      </w:r>
      <w:r>
        <w:rPr>
          <w:rFonts w:ascii="Times New Roman" w:cs="Times New Roman" w:eastAsia="Times New Roman" w:hAnsi="Times New Roman"/>
          <w:b/>
          <w:bCs/>
          <w:sz w:val="20"/>
          <w:szCs w:val="20"/>
        </w:rPr>
        <w:t xml:space="preserve"> in µmol min</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per assay; ± SE of the fit) by Lineweaver–Burk (course method) and nonlinear fits; app., apparent (with IPTG); n.d., no plateau, not determinable; global fits share </w:t>
      </w:r>
      <w:r>
        <w:rPr>
          <w:rFonts w:ascii="Times New Roman" w:cs="Times New Roman" w:eastAsia="Times New Roman" w:hAnsi="Times New Roman"/>
          <w:b/>
          <w:bCs/>
          <w:sz w:val="20"/>
          <w:szCs w:val="20"/>
        </w:rPr>
        <w:t xml:space="preserve">V</w:t>
      </w:r>
      <w:r>
        <w:rPr>
          <w:rFonts w:ascii="Times New Roman" w:cs="Times New Roman" w:eastAsia="Times New Roman" w:hAnsi="Times New Roman"/>
          <w:b/>
          <w:bCs/>
          <w:sz w:val="20"/>
          <w:szCs w:val="20"/>
          <w:vertAlign w:val="subscript"/>
        </w:rPr>
        <w:t xml:space="preserve">max</w:t>
      </w:r>
      <w:r>
        <w:rPr>
          <w:rFonts w:ascii="Times New Roman" w:cs="Times New Roman" w:eastAsia="Times New Roman" w:hAnsi="Times New Roman"/>
          <w:b/>
          <w:bCs/>
          <w:sz w:val="20"/>
          <w:szCs w:val="20"/>
        </w:rPr>
        <w:t xml:space="preserve"> (competitive) or </w:t>
      </w:r>
      <w:r>
        <w:rPr>
          <w:rFonts w:ascii="Times New Roman" w:cs="Times New Roman" w:eastAsia="Times New Roman" w:hAnsi="Times New Roman"/>
          <w:b/>
          <w:bCs/>
          <w:sz w:val="20"/>
          <w:szCs w:val="20"/>
        </w:rPr>
        <w:t xml:space="preserve">K</w:t>
      </w:r>
      <w:r>
        <w:rPr>
          <w:rFonts w:ascii="Times New Roman" w:cs="Times New Roman" w:eastAsia="Times New Roman" w:hAnsi="Times New Roman"/>
          <w:b/>
          <w:bCs/>
          <w:sz w:val="20"/>
          <w:szCs w:val="20"/>
          <w:vertAlign w:val="subscript"/>
        </w:rPr>
        <w:t xml:space="preserve">m</w:t>
      </w:r>
      <w:r>
        <w:rPr>
          <w:rFonts w:ascii="Times New Roman" w:cs="Times New Roman" w:eastAsia="Times New Roman" w:hAnsi="Times New Roman"/>
          <w:b/>
          <w:bCs/>
          <w:sz w:val="20"/>
          <w:szCs w:val="20"/>
        </w:rPr>
        <w:t xml:space="preserve"> (noncompetitive) between the series; RSS, residual sum of squares.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33"/>
        <w:gridCol w:w="2394"/>
        <w:gridCol w:w="1415"/>
        <w:gridCol w:w="1415"/>
        <w:gridCol w:w="1415"/>
        <w:gridCol w:w="1088"/>
      </w:tblGrid>
      <w:tr>
        <w:trPr>
          <w:cantSplit/>
          <w:tblHeader/>
        </w:trPr>
        <w:tc>
          <w:tcPr>
            <w:tcW w:type="dxa" w:w="1633"/>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Condition</w:t>
            </w:r>
          </w:p>
        </w:tc>
        <w:tc>
          <w:tcPr>
            <w:tcW w:type="dxa" w:w="2394"/>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Method</w:t>
            </w:r>
          </w:p>
        </w:tc>
        <w:tc>
          <w:tcPr>
            <w:tcW w:type="dxa" w:w="141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Km</w:t>
            </w:r>
          </w:p>
        </w:tc>
        <w:tc>
          <w:tcPr>
            <w:tcW w:type="dxa" w:w="141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Vmax</w:t>
            </w:r>
          </w:p>
        </w:tc>
        <w:tc>
          <w:tcPr>
            <w:tcW w:type="dxa" w:w="1415"/>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Ki</w:t>
            </w:r>
          </w:p>
        </w:tc>
        <w:tc>
          <w:tcPr>
            <w:tcW w:type="dxa" w:w="1088"/>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bCs/>
                <w:sz w:val="18"/>
                <w:szCs w:val="18"/>
              </w:rPr>
              <w:t xml:space="preserve">Fit</w:t>
            </w:r>
          </w:p>
        </w:tc>
      </w:tr>
      <w:tr>
        <w:trPr>
          <w:cantSplit/>
        </w:trPr>
        <w:tc>
          <w:tcPr>
            <w:tcW w:type="dxa" w:w="163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No inhibitor</w:t>
            </w:r>
          </w:p>
        </w:tc>
        <w:tc>
          <w:tcPr>
            <w:tcW w:type="dxa" w:w="239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Lineweaver-Burk</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0.314</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0.477</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w:t>
            </w:r>
          </w:p>
        </w:tc>
        <w:tc>
          <w:tcPr>
            <w:tcW w:type="dxa" w:w="1088"/>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R2 0.928</w:t>
            </w:r>
          </w:p>
        </w:tc>
      </w:tr>
      <w:tr>
        <w:trPr>
          <w:cantSplit/>
        </w:trPr>
        <w:tc>
          <w:tcPr>
            <w:tcW w:type="dxa" w:w="163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No inhibitor</w:t>
            </w:r>
          </w:p>
        </w:tc>
        <w:tc>
          <w:tcPr>
            <w:tcW w:type="dxa" w:w="239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Nonlinear MM</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0.363 ± 0.128</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0.494 ± 0.059</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w:t>
            </w:r>
          </w:p>
        </w:tc>
        <w:tc>
          <w:tcPr>
            <w:tcW w:type="dxa" w:w="1088"/>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R2 0.919</w:t>
            </w:r>
          </w:p>
        </w:tc>
      </w:tr>
      <w:tr>
        <w:trPr>
          <w:cantSplit/>
        </w:trPr>
        <w:tc>
          <w:tcPr>
            <w:tcW w:type="dxa" w:w="163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+ 0.458 mM IPTG</w:t>
            </w:r>
          </w:p>
        </w:tc>
        <w:tc>
          <w:tcPr>
            <w:tcW w:type="dxa" w:w="239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Lineweaver-Burk</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1.757 (app.)</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0.282 (app.)</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0.100</w:t>
            </w:r>
          </w:p>
        </w:tc>
        <w:tc>
          <w:tcPr>
            <w:tcW w:type="dxa" w:w="1088"/>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R2 0.988</w:t>
            </w:r>
          </w:p>
        </w:tc>
      </w:tr>
      <w:tr>
        <w:trPr>
          <w:cantSplit/>
        </w:trPr>
        <w:tc>
          <w:tcPr>
            <w:tcW w:type="dxa" w:w="163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+ 0.458 mM IPTG</w:t>
            </w:r>
          </w:p>
        </w:tc>
        <w:tc>
          <w:tcPr>
            <w:tcW w:type="dxa" w:w="239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Nonlinear MM</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n.d.</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n.d.</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w:t>
            </w:r>
          </w:p>
        </w:tc>
        <w:tc>
          <w:tcPr>
            <w:tcW w:type="dxa" w:w="1088"/>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R2 0.962</w:t>
            </w:r>
          </w:p>
        </w:tc>
      </w:tr>
      <w:tr>
        <w:trPr>
          <w:cantSplit/>
        </w:trPr>
        <w:tc>
          <w:tcPr>
            <w:tcW w:type="dxa" w:w="1633"/>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Both series</w:t>
            </w:r>
          </w:p>
        </w:tc>
        <w:tc>
          <w:tcPr>
            <w:tcW w:type="dxa" w:w="2394"/>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Global, competitive</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0.435 ± 0.166</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0.529 ± 0.072</w:t>
            </w:r>
          </w:p>
        </w:tc>
        <w:tc>
          <w:tcPr>
            <w:tcW w:type="dxa" w:w="1415"/>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0.107 ± 0.042</w:t>
            </w:r>
          </w:p>
        </w:tc>
        <w:tc>
          <w:tcPr>
            <w:tcW w:type="dxa" w:w="1088"/>
            <w:tcBorders>
              <w:top w:val="none" w:color="FFFFFF" w:sz="0"/>
              <w:left w:val="none" w:color="FFFFFF" w:sz="0"/>
              <w:bottom w:val="none" w:color="FFFFFF" w:sz="0"/>
              <w:right w:val="none" w:color="FFFFFF" w:sz="0"/>
            </w:tcBorders>
            <w:tcMar>
              <w:top w:type="dxa" w:w="15"/>
              <w:left w:type="dxa" w:w="60"/>
              <w:bottom w:type="dxa" w:w="15"/>
              <w:right w:type="dxa" w:w="60"/>
            </w:tcMar>
          </w:tcPr>
          <w:p>
            <w:pPr>
              <w:keepNext/>
              <w:spacing w:after="0" w:line="240"/>
              <w:jc w:val="left"/>
            </w:pPr>
            <w:r>
              <w:rPr>
                <w:rFonts w:ascii="Times New Roman" w:cs="Times New Roman" w:eastAsia="Times New Roman" w:hAnsi="Times New Roman"/>
                <w:b w:val="false"/>
                <w:bCs w:val="false"/>
                <w:sz w:val="18"/>
                <w:szCs w:val="18"/>
              </w:rPr>
              <w:t xml:space="preserve">RSS 0.0194</w:t>
            </w:r>
          </w:p>
        </w:tc>
      </w:tr>
      <w:tr>
        <w:trPr>
          <w:cantSplit/>
        </w:trPr>
        <w:tc>
          <w:tcPr>
            <w:tcW w:type="dxa" w:w="1633"/>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Both series</w:t>
            </w:r>
          </w:p>
        </w:tc>
        <w:tc>
          <w:tcPr>
            <w:tcW w:type="dxa" w:w="2394"/>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Global, noncompetitive</w:t>
            </w:r>
          </w:p>
        </w:tc>
        <w:tc>
          <w:tcPr>
            <w:tcW w:type="dxa" w:w="141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0.744 ± 0.382</w:t>
            </w:r>
          </w:p>
        </w:tc>
        <w:tc>
          <w:tcPr>
            <w:tcW w:type="dxa" w:w="141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0.626 ± 0.139</w:t>
            </w:r>
          </w:p>
        </w:tc>
        <w:tc>
          <w:tcPr>
            <w:tcW w:type="dxa" w:w="1415"/>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0.433 ± 0.181</w:t>
            </w:r>
          </w:p>
        </w:tc>
        <w:tc>
          <w:tcPr>
            <w:tcW w:type="dxa" w:w="1088"/>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8"/>
                <w:szCs w:val="18"/>
              </w:rPr>
              <w:t xml:space="preserve">RSS 0.0371</w:t>
            </w:r>
          </w:p>
        </w:tc>
      </w:tr>
    </w:tbl>
    <w:p>
      <w:pPr>
        <w:pStyle w:val="Heading1"/>
        <w:keepNext/>
        <w:pageBreakBefore/>
        <w:spacing w:after="120" w:before="240" w:line="360"/>
        <w:jc w:val="left"/>
      </w:pPr>
      <w:r>
        <w:rPr>
          <w:rFonts w:ascii="Times New Roman" w:cs="Times New Roman" w:eastAsia="Times New Roman" w:hAnsi="Times New Roman"/>
          <w:b/>
          <w:bCs/>
          <w:smallCaps/>
          <w:sz w:val="24"/>
          <w:szCs w:val="24"/>
        </w:rPr>
        <w:t xml:space="preserve">Discussion</w:t>
      </w:r>
    </w:p>
    <w:p>
      <w:pPr>
        <w:keepNext w:val="false"/>
        <w:keepLines w:val="false"/>
        <w:spacing w:after="100" w:before="0" w:line="360"/>
        <w:jc w:val="both"/>
      </w:pPr>
      <w:r>
        <w:rPr>
          <w:rFonts w:ascii="Times New Roman" w:cs="Times New Roman" w:eastAsia="Times New Roman" w:hAnsi="Times New Roman"/>
          <w:sz w:val="24"/>
          <w:szCs w:val="24"/>
        </w:rPr>
        <w:t xml:space="preserve">The reference dataset showed the expected relationships between enzyme concentration, substrate availability and velocity: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increased approximately in proportion to enzyme amount at 2.20 mM ONPG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0.97), approached a plateau as substrate increased, and fell in the presence of IPTG, especially at low ONPG. The Lineweaver–Burk estimates were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0.314 mM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0.477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without IPTG, compared with an apparent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1.757 mM with IPTG. Yet these values depend on how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estimated. Five of six uninhibited reference tubes lacked a defensible early linear window, so their rates were taken as 0 to 2 min averages assuming zero absorbance at time zero, which was never measured. Under alternative rate-estimation scenarios the kinetic estimates changed substantially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0.31 to 0.55 mM,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0.10 to 0.50 mM; Table 5); these scenarios are not confidence intervals. Lineweaver–Burk particularly magnifies changes in small velocities at low substrate concentration (4), whereas an untransformed nonlinear fit estimated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0.363 ± 0.128 mM. For me, the important distinction is between the reaction that was measured and the numerical constants inferred from it.</w:t>
      </w:r>
    </w:p>
    <w:p>
      <w:pPr>
        <w:keepNext w:val="false"/>
        <w:keepLines w:val="false"/>
        <w:spacing w:after="100" w:before="0" w:line="360"/>
        <w:jc w:val="both"/>
      </w:pPr>
      <w:r>
        <w:rPr>
          <w:rFonts w:ascii="Times New Roman" w:cs="Times New Roman" w:eastAsia="Times New Roman" w:hAnsi="Times New Roman"/>
          <w:sz w:val="24"/>
          <w:szCs w:val="24"/>
        </w:rPr>
        <w:t xml:space="preserve">The inhibitor results were consistent with competition for the active site but did not establish that mechanism uniquely. A global competitive model had approximately 1.9-fold lower residual sum of squares than a noncompetitive fit of the same size (Table 5); however, the competitive model shares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by construction, so its fit cannot demonstrate that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was experimentally unchanged. The inhibited reference measurements also did not establish a clear saturation plateau. Consequently, the apparent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0.282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from the reciprocal intercept is weakly constrained. The Lineweaver–Burk-derived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was approximately 0.100 mM, while the global competitive fit gave 0.107 ± 0.042 mM. These are comparable in order of magnitude to the native-enzyme IPTG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0.08 mM reported by Juers et al. (10). The reference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(0.31 to 0.36 mM) exceeded the published native-enzyme ONPG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0.12 mM (10), but differences in buffer, temperature, enzyme preparation and the early sampling interval limit direct comparisons. In particular, 2-min intervals cannot recover an instantaneous rate after a curve has already bent.</w:t>
      </w:r>
    </w:p>
    <w:p>
      <w:pPr>
        <w:keepNext w:val="false"/>
        <w:keepLines w:val="false"/>
        <w:spacing w:after="100" w:before="0" w:line="360"/>
        <w:jc w:val="both"/>
      </w:pPr>
      <w:r>
        <w:rPr>
          <w:rFonts w:ascii="Times New Roman" w:cs="Times New Roman" w:eastAsia="Times New Roman" w:hAnsi="Times New Roman"/>
          <w:sz w:val="24"/>
          <w:szCs w:val="24"/>
        </w:rPr>
        <w:t xml:space="preserve">Our shared laboratory measurements helped reveal why the analysis matters. The uninhibited experimental series gave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0.156 mM by Lineweaver–Burk, or 0.137 ± 0.031 mM and </w:t>
      </w: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0.409 ± 0.021 µmol min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by direct nonlinear fitting. Four of five uninhibited tubes had usable measured-time windows, unlike the reference series. After excluding the anomalous inhibited tube B, the three remaining inhibited tubes gave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0.059 ± 0.029 mM from separate nonlinear fits; a global competitive model gave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0.061 ± 0.013 mM. Both estimates depend on the exclusion and the competitive model. Tube B was the observation I could not reconcile with the expected response: its inhibited rate was approximately 15% higher than its uninhibited control at the same ONPG concentration and about 1.57-fold the inhibited rate in tube A despite half the substrate. Incorrect stopping or sampling times, a reagent-volume difference or an incorrect IPTG preparation could contribute, but the original records cannot distinguish these hypotheses. We therefore retained the raw value and assessed fits with and without the tube. Including it made the experimental Lineweaver–Burk apparent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extremely unstable (approximately 38 mM); that value is a reciprocal-fit artifact rather than evidence of an actual 38 mM affinity constant. Because inhibited tube E was discarded before measurement, only three inhibited points remained after excluding B, so the uncertainty should not be understated.</w:t>
      </w:r>
    </w:p>
    <w:p>
      <w:pPr>
        <w:keepNext w:val="false"/>
        <w:keepLines w:val="false"/>
        <w:spacing w:after="100" w:before="0" w:line="360"/>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The experiment showed that β-galactosidase activity increased with enzyme amount, responded to ONPG in a saturable manner and was inhibited by IPTG in a pattern consistent with competitive inhibition. The principal limitation is not a missing equation but how much the measured time courses constrain the parameters: assumptions about time zero, selection of fitting windows and one anomalous tube can materially change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If repeating the experiment, I would collect 30-s early measurements including an actual initial baseline, replicate the reactions, verify enzyme and inhibitor preparation, and extend the inhibited ONPG range to observe saturation. Those changes would test the model more rigorously rather than merely make the fitted line look better.</w:t>
      </w:r>
    </w:p>
    <w:p>
      <w:pPr>
        <w:pStyle w:val="Heading1"/>
        <w:keepNext/>
        <w:pageBreakBefore/>
        <w:spacing w:after="120" w:before="240" w:line="360"/>
        <w:jc w:val="left"/>
      </w:pPr>
      <w:r>
        <w:rPr>
          <w:rFonts w:ascii="Times New Roman" w:cs="Times New Roman" w:eastAsia="Times New Roman" w:hAnsi="Times New Roman"/>
          <w:b/>
          <w:bCs/>
          <w:smallCaps/>
          <w:sz w:val="24"/>
          <w:szCs w:val="24"/>
        </w:rPr>
        <w:t xml:space="preserve">Data and Code Availability</w:t>
      </w:r>
    </w:p>
    <w:p>
      <w:pPr>
        <w:keepNext w:val="false"/>
        <w:keepLines w:val="false"/>
        <w:spacing w:after="100" w:before="0" w:line="360"/>
        <w:jc w:val="both"/>
      </w:pPr>
      <w:r>
        <w:rPr>
          <w:rFonts w:ascii="Times New Roman" w:cs="Times New Roman" w:eastAsia="Times New Roman" w:hAnsi="Times New Roman"/>
          <w:sz w:val="24"/>
          <w:szCs w:val="24"/>
        </w:rPr>
        <w:t xml:space="preserve">The raw data (our 14 printouts and their transcription; the reference values as received), the R scripts, processed tables, figures and report sources are in the public repository </w:t>
      </w:r>
      <w:hyperlink w:history="1" r:id="rIdvacwn5h6noi7y-2-webcx">
        <w:r>
          <w:rPr>
            <w:rStyle w:val="Hyperlink"/>
            <w:rFonts w:ascii="Times New Roman" w:cs="Times New Roman" w:eastAsia="Times New Roman" w:hAnsi="Times New Roman"/>
            <w:sz w:val="24"/>
            <w:szCs w:val="24"/>
          </w:rPr>
          <w:t xml:space="preserve">https://github.com/almokhtar8-stack/exp2</w:t>
        </w:r>
      </w:hyperlink>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Rscript R/run_all.R</w:t>
      </w:r>
      <w:r>
        <w:rPr>
          <w:rFonts w:ascii="Times New Roman" w:cs="Times New Roman" w:eastAsia="Times New Roman" w:hAnsi="Times New Roman"/>
          <w:sz w:val="24"/>
          <w:szCs w:val="24"/>
        </w:rPr>
        <w:t xml:space="preserve"> regenerates every number, table and figure. Instructor correspondence and course documents are not redistributed.</w:t>
      </w:r>
    </w:p>
    <w:p>
      <w:pPr>
        <w:pStyle w:val="Heading1"/>
        <w:keepNext/>
        <w:spacing w:after="120" w:before="240" w:line="360"/>
        <w:jc w:val="left"/>
      </w:pPr>
      <w:r>
        <w:rPr>
          <w:rFonts w:ascii="Times New Roman" w:cs="Times New Roman" w:eastAsia="Times New Roman" w:hAnsi="Times New Roman"/>
          <w:b/>
          <w:bCs/>
          <w:smallCaps/>
          <w:sz w:val="24"/>
          <w:szCs w:val="24"/>
        </w:rPr>
        <w:t xml:space="preserve">References</w:t>
      </w:r>
    </w:p>
    <w:p>
      <w:pPr>
        <w:spacing w:after="60" w:line="360"/>
        <w:ind w:left="360" w:hanging="360"/>
        <w:jc w:val="left"/>
      </w:pPr>
      <w:r>
        <w:rPr>
          <w:rFonts w:ascii="Times New Roman" w:cs="Times New Roman" w:eastAsia="Times New Roman" w:hAnsi="Times New Roman"/>
          <w:sz w:val="24"/>
          <w:szCs w:val="24"/>
        </w:rPr>
        <w:t xml:space="preserve">1. Michaelis, L., and Menten, M. L. (1913) Die Kinetik der Invertinwirkung, Biochem. Z. 49, 333-369.</w:t>
      </w:r>
    </w:p>
    <w:p>
      <w:pPr>
        <w:spacing w:after="60" w:line="360"/>
        <w:ind w:left="360" w:hanging="360"/>
        <w:jc w:val="left"/>
      </w:pPr>
      <w:r>
        <w:rPr>
          <w:rFonts w:ascii="Times New Roman" w:cs="Times New Roman" w:eastAsia="Times New Roman" w:hAnsi="Times New Roman"/>
          <w:sz w:val="24"/>
          <w:szCs w:val="24"/>
        </w:rPr>
        <w:t xml:space="preserve">2. Johnson, K. A., and Goody, R. S. (2011) The original Michaelis constant: translation of the 1913 Michaelis-Menten paper, Biochemistry 50, 8264-8269. DOI 10.1021/bi201284u</w:t>
      </w:r>
    </w:p>
    <w:p>
      <w:pPr>
        <w:spacing w:after="60" w:line="360"/>
        <w:ind w:left="360" w:hanging="360"/>
        <w:jc w:val="left"/>
      </w:pPr>
      <w:r>
        <w:rPr>
          <w:rFonts w:ascii="Times New Roman" w:cs="Times New Roman" w:eastAsia="Times New Roman" w:hAnsi="Times New Roman"/>
          <w:sz w:val="24"/>
          <w:szCs w:val="24"/>
        </w:rPr>
        <w:t xml:space="preserve">3. Lineweaver, H., and Burk, D. (1934) The determination of enzyme dissociation constants, J. Am. Chem. Soc. 56, 658-666. DOI 10.1021/ja01318a036</w:t>
      </w:r>
    </w:p>
    <w:p>
      <w:pPr>
        <w:spacing w:after="60" w:line="360"/>
        <w:ind w:left="360" w:hanging="360"/>
        <w:jc w:val="left"/>
      </w:pPr>
      <w:r>
        <w:rPr>
          <w:rFonts w:ascii="Times New Roman" w:cs="Times New Roman" w:eastAsia="Times New Roman" w:hAnsi="Times New Roman"/>
          <w:sz w:val="24"/>
          <w:szCs w:val="24"/>
        </w:rPr>
        <w:t xml:space="preserve">4. Dowd, J. E., and Riggs, D. S. (1965) A comparison of estimates of Michaelis-Menten kinetic constants from various linear transformations, J. Biol. Chem. 240, 863-869. DOI 10.1016/S0021-9258(17)45254-9</w:t>
      </w:r>
    </w:p>
    <w:p>
      <w:pPr>
        <w:spacing w:after="60" w:line="360"/>
        <w:ind w:left="360" w:hanging="360"/>
        <w:jc w:val="left"/>
      </w:pPr>
      <w:r>
        <w:rPr>
          <w:rFonts w:ascii="Times New Roman" w:cs="Times New Roman" w:eastAsia="Times New Roman" w:hAnsi="Times New Roman"/>
          <w:sz w:val="24"/>
          <w:szCs w:val="24"/>
        </w:rPr>
        <w:t xml:space="preserve">5. Jacobson, R. H., Zhang, X.-J., DuBose, R. F., and Matthews, B. W. (1994) Three-dimensional structure of β-galactosidase from E. coli, Nature 369, 761-766. DOI 10.1038/369761a0</w:t>
      </w:r>
    </w:p>
    <w:p>
      <w:pPr>
        <w:spacing w:after="60" w:line="360"/>
        <w:ind w:left="360" w:hanging="360"/>
        <w:jc w:val="left"/>
      </w:pPr>
      <w:r>
        <w:rPr>
          <w:rFonts w:ascii="Times New Roman" w:cs="Times New Roman" w:eastAsia="Times New Roman" w:hAnsi="Times New Roman"/>
          <w:sz w:val="24"/>
          <w:szCs w:val="24"/>
        </w:rPr>
        <w:t xml:space="preserve">6. Juers, D. H., Heightman, T. D., Vasella, A., McCarter, J. D., Mackenzie, L., Withers, S. G., and Matthews, B. W. (2001) A structural view of the action of Escherichia coli (lacZ) β-galactosidase, Biochemistry 40, 14781-14794. DOI 10.1021/bi011727i</w:t>
      </w:r>
    </w:p>
    <w:p>
      <w:pPr>
        <w:spacing w:after="60" w:line="360"/>
        <w:ind w:left="360" w:hanging="360"/>
        <w:jc w:val="left"/>
      </w:pPr>
      <w:r>
        <w:rPr>
          <w:rFonts w:ascii="Times New Roman" w:cs="Times New Roman" w:eastAsia="Times New Roman" w:hAnsi="Times New Roman"/>
          <w:sz w:val="24"/>
          <w:szCs w:val="24"/>
        </w:rPr>
        <w:t xml:space="preserve">7. Miller, J. H. (1972) Experiments in Molecular Genetics, pp 352-355, Cold Spring Harbor Laboratory, Cold Spring Harbor, NY.</w:t>
      </w:r>
    </w:p>
    <w:p>
      <w:pPr>
        <w:spacing w:after="60" w:line="360"/>
        <w:ind w:left="360" w:hanging="360"/>
        <w:jc w:val="left"/>
      </w:pPr>
      <w:r>
        <w:rPr>
          <w:rFonts w:ascii="Times New Roman" w:cs="Times New Roman" w:eastAsia="Times New Roman" w:hAnsi="Times New Roman"/>
          <w:sz w:val="24"/>
          <w:szCs w:val="24"/>
        </w:rPr>
        <w:t xml:space="preserve">8. Jacob, F., and Monod, J. (1961) Genetic regulatory mechanisms in the synthesis of proteins, J. Mol. Biol. 3, 318-356. DOI 10.1016/S0022-2836(61)80072-7</w:t>
      </w:r>
    </w:p>
    <w:p>
      <w:pPr>
        <w:spacing w:after="60" w:line="360"/>
        <w:ind w:left="360" w:hanging="360"/>
        <w:jc w:val="left"/>
      </w:pPr>
      <w:r>
        <w:rPr>
          <w:rFonts w:ascii="Times New Roman" w:cs="Times New Roman" w:eastAsia="Times New Roman" w:hAnsi="Times New Roman"/>
          <w:sz w:val="24"/>
          <w:szCs w:val="24"/>
        </w:rPr>
        <w:t xml:space="preserve">9. Herzenberg, L. A. (1959) Studies on the induction of β-galactosidase in a cryptic strain of Escherichia coli, Biochim. Biophys. Acta 31, 525-538. DOI 10.1016/0006-3002(59)90029-0</w:t>
      </w:r>
    </w:p>
    <w:p>
      <w:pPr>
        <w:spacing w:after="60" w:line="360"/>
        <w:ind w:left="360" w:hanging="360"/>
        <w:jc w:val="left"/>
      </w:pPr>
      <w:r>
        <w:rPr>
          <w:rFonts w:ascii="Times New Roman" w:cs="Times New Roman" w:eastAsia="Times New Roman" w:hAnsi="Times New Roman"/>
          <w:sz w:val="24"/>
          <w:szCs w:val="24"/>
        </w:rPr>
        <w:t xml:space="preserve">10. Juers, D. H., Rob, B., Dugdale, M. L., Rahimzadeh, N., Giang, C., Lee, M., Matthews, B. W., and Huber, R. E. (2009) Direct and indirect roles of His-418 in metal binding and in the activity of β-galactosidase (E. coli), Protein Sci. 18, 1281-1292. DOI 10.1002/pro.140</w:t>
      </w:r>
    </w:p>
    <w:p>
      <w:pPr>
        <w:spacing w:after="60" w:line="360"/>
        <w:ind w:left="360" w:hanging="360"/>
        <w:jc w:val="left"/>
      </w:pPr>
      <w:r>
        <w:rPr>
          <w:rFonts w:ascii="Times New Roman" w:cs="Times New Roman" w:eastAsia="Times New Roman" w:hAnsi="Times New Roman"/>
          <w:sz w:val="24"/>
          <w:szCs w:val="24"/>
        </w:rPr>
        <w:t xml:space="preserve">11. Biological and Environmental Science and Engineering Division, KAUST. (2026) Methods in Molecular and Cellular Biology B241 Laboratory Manual, Experiment 2: Studying Enzyme Kinetics using Spectrophotometry, pp 1-19.</w:t>
      </w:r>
    </w:p>
    <w:p>
      <w:pPr>
        <w:spacing w:after="60" w:line="360"/>
        <w:ind w:left="360" w:hanging="360"/>
        <w:jc w:val="left"/>
      </w:pPr>
      <w:r>
        <w:rPr>
          <w:rFonts w:ascii="Times New Roman" w:cs="Times New Roman" w:eastAsia="Times New Roman" w:hAnsi="Times New Roman"/>
          <w:sz w:val="24"/>
          <w:szCs w:val="24"/>
        </w:rPr>
        <w:t xml:space="preserve">12. Wickham, H., Averick, M., Bryan, J., Chang, W., D'Agostino McGowan, L., François, R., Grolemund, G., Hayes, A., Henry, L., Hester, J., Kuhn, M., Pedersen, T. L., Miller, E., Bache, S. M., Müller, K., Ooms, J., Robinson, D., Seidel, D. P., Spinu, V., Takahashi, K., Vaughan, D., Wilke, C., Woo, K., and Yutani, H. (2019) Welcome to the tidyverse, J. Open Source Softw. 4, 1686. DOI 10.21105/joss.01686</w:t>
      </w:r>
    </w:p>
    <w:p>
      <w:pPr>
        <w:pStyle w:val="Heading1"/>
        <w:keepNext/>
        <w:spacing w:after="120" w:before="240" w:line="360"/>
        <w:jc w:val="left"/>
      </w:pPr>
      <w:r>
        <w:rPr>
          <w:rFonts w:ascii="Times New Roman" w:cs="Times New Roman" w:eastAsia="Times New Roman" w:hAnsi="Times New Roman"/>
          <w:b/>
          <w:bCs/>
          <w:smallCaps/>
          <w:sz w:val="24"/>
          <w:szCs w:val="24"/>
        </w:rPr>
        <w:t xml:space="preserve">VII. Questions – Answer on this form and submit with your lab report</w:t>
      </w:r>
    </w:p>
    <w:p>
      <w:pPr>
        <w:keepNext w:val="false"/>
        <w:keepLines w:val="false"/>
        <w:spacing w:after="100" w:before="0" w:line="360"/>
        <w:jc w:val="both"/>
      </w:pPr>
      <w:r>
        <w:rPr>
          <w:rFonts w:ascii="Times New Roman" w:cs="Times New Roman" w:eastAsia="Times New Roman" w:hAnsi="Times New Roman"/>
          <w:i/>
          <w:iCs/>
          <w:sz w:val="24"/>
          <w:szCs w:val="24"/>
        </w:rPr>
        <w:t xml:space="preserve">Michaelis-Menten Kinetics</w:t>
      </w:r>
    </w:p>
    <w:p>
      <w:pPr>
        <w:keepNext w:val="false"/>
        <w:keepLines w:val="false"/>
        <w:spacing w:after="100" w:before="0" w:line="360"/>
        <w:jc w:val="both"/>
      </w:pPr>
      <w:r>
        <w:rPr>
          <w:rFonts w:ascii="Times New Roman" w:cs="Times New Roman" w:eastAsia="Times New Roman" w:hAnsi="Times New Roman"/>
          <w:b/>
          <w:bCs/>
          <w:sz w:val="24"/>
          <w:szCs w:val="24"/>
        </w:rPr>
        <w:t xml:space="preserve">1. Sketch by hand a typical enzyme kinetic curve of [S] versus V. The maximum [S] should be about 4 times the Km. Draw lines at [S]=Km and V=Vmax. Make sure you get the slope at the origin ([S]=0) correct. Draw the asymptote (tangent line) at [S]=0.</w:t>
      </w:r>
    </w:p>
    <w:p>
      <w:pPr>
        <w:keepNext/>
        <w:spacing w:after="60" w:line="240" w:lineRule="auto"/>
        <w:jc w:val="center"/>
      </w:pPr>
      <w:r>
        <w:drawing>
          <wp:inline distT="0" distB="0" distL="0" distR="0">
            <wp:extent cx="42100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657475"/>
                    </a:xfrm>
                    <a:prstGeom prst="rect">
                      <a:avLst/>
                    </a:prstGeom>
                  </pic:spPr>
                </pic:pic>
              </a:graphicData>
            </a:graphic>
          </wp:inline>
        </w:drawing>
      </w:r>
    </w:p>
    <w:p>
      <w:pPr>
        <w:keepNext w:val="false"/>
        <w:keepLines w:val="false"/>
        <w:spacing w:after="100" w:before="0" w:line="360"/>
        <w:jc w:val="both"/>
      </w:pPr>
      <w:r>
        <w:rPr>
          <w:rFonts w:ascii="Times New Roman" w:cs="Times New Roman" w:eastAsia="Times New Roman" w:hAnsi="Times New Roman"/>
          <w:sz w:val="24"/>
          <w:szCs w:val="24"/>
        </w:rPr>
        <w:t xml:space="preserve">The curve is the hyperbola V = Vmax[S]/(Km + [S]), drawn to [S] = 4 Km. It leaves the origin with slope Vmax/Km (the first-order region, V ≈ (Vmax/Km)[S]), passes V = Vmax/2 at [S] = Km, and bends towards the asymptote V = Vmax, reaching 0.8 Vmax at [S] = 4 Km; the tangent at the origin meets the line V = Vmax at [S] = Km.</w:t>
      </w:r>
    </w:p>
    <w:p>
      <w:pPr>
        <w:keepNext w:val="false"/>
        <w:keepLines w:val="false"/>
        <w:spacing w:after="100" w:before="0" w:line="360"/>
        <w:jc w:val="both"/>
      </w:pPr>
      <w:r>
        <w:rPr>
          <w:rFonts w:ascii="Times New Roman" w:cs="Times New Roman" w:eastAsia="Times New Roman" w:hAnsi="Times New Roman"/>
          <w:b/>
          <w:bCs/>
          <w:sz w:val="24"/>
          <w:szCs w:val="24"/>
        </w:rPr>
        <w:t xml:space="preserve">2. What effect does altering Km have on Vmax?</w:t>
      </w:r>
    </w:p>
    <w:p>
      <w:pPr>
        <w:keepNext w:val="false"/>
        <w:keepLines w:val="false"/>
        <w:spacing w:after="100" w:before="0" w:line="360"/>
        <w:jc w:val="both"/>
      </w:pPr>
      <w:r>
        <w:rPr>
          <w:rFonts w:ascii="Times New Roman" w:cs="Times New Roman" w:eastAsia="Times New Roman" w:hAnsi="Times New Roman"/>
          <w:sz w:val="24"/>
          <w:szCs w:val="24"/>
        </w:rPr>
        <w:t xml:space="preserve">None. Vmax = kcat[E]T depends on the turnover number and the amount of enzyme; Km only moves the curve along the [S] axis (a mutation may change both constants, but that is two changes, not a consequence of one).</w:t>
      </w:r>
    </w:p>
    <w:p>
      <w:pPr>
        <w:keepNext w:val="false"/>
        <w:keepLines w:val="false"/>
        <w:spacing w:after="100" w:before="0" w:line="360"/>
        <w:jc w:val="both"/>
      </w:pPr>
      <w:r>
        <w:rPr>
          <w:rFonts w:ascii="Times New Roman" w:cs="Times New Roman" w:eastAsia="Times New Roman" w:hAnsi="Times New Roman"/>
          <w:b/>
          <w:bCs/>
          <w:sz w:val="24"/>
          <w:szCs w:val="24"/>
        </w:rPr>
        <w:t xml:space="preserve">3. What effect does altering [E] have on Km? Vmax?</w:t>
      </w:r>
    </w:p>
    <w:p>
      <w:pPr>
        <w:keepNext w:val="false"/>
        <w:keepLines w:val="false"/>
        <w:spacing w:after="100" w:before="0" w:line="360"/>
        <w:jc w:val="both"/>
      </w:pPr>
      <w:r>
        <w:rPr>
          <w:rFonts w:ascii="Times New Roman" w:cs="Times New Roman" w:eastAsia="Times New Roman" w:hAnsi="Times New Roman"/>
          <w:sz w:val="24"/>
          <w:szCs w:val="24"/>
        </w:rPr>
        <w:t xml:space="preserve">Km is unchanged, because it is a ratio of rate constants for the enzyme–substrate pair; Vmax changes in proportion to [E], as Figure 2 shows at 2.20 mM ONPG (5.9-fold for a 6.7-fold dilution, approximately proportional).</w:t>
      </w:r>
    </w:p>
    <w:p>
      <w:pPr>
        <w:keepNext w:val="false"/>
        <w:keepLines w:val="false"/>
        <w:spacing w:after="100" w:before="0" w:line="360"/>
        <w:jc w:val="both"/>
      </w:pPr>
      <w:r>
        <w:rPr>
          <w:rFonts w:ascii="Times New Roman" w:cs="Times New Roman" w:eastAsia="Times New Roman" w:hAnsi="Times New Roman"/>
          <w:b/>
          <w:bCs/>
          <w:sz w:val="24"/>
          <w:szCs w:val="24"/>
        </w:rPr>
        <w:t xml:space="preserve">4. At what concentration of [S] is the initial velocity proportional to [E]?</w:t>
      </w:r>
    </w:p>
    <w:p>
      <w:pPr>
        <w:keepNext w:val="false"/>
        <w:keepLines w:val="false"/>
        <w:spacing w:after="100" w:before="0" w:line="360"/>
        <w:jc w:val="both"/>
      </w:pPr>
      <w:r>
        <w:rPr>
          <w:rFonts w:ascii="Times New Roman" w:cs="Times New Roman" w:eastAsia="Times New Roman" w:hAnsi="Times New Roman"/>
          <w:sz w:val="24"/>
          <w:szCs w:val="24"/>
        </w:rPr>
        <w:t xml:space="preserve">At every [S], provided [E] is much smaller than [S] so that the steady state holds: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kcat[E][S]/(Km + [S]) is linear in [E] for any fixed [S]. The proportionality constant depends on [S], so enzyme is assayed at saturating substrate ([S] much greater than Km), where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Vmax = kcat[E] and small errors in [S] do not matter; that is why Part II used 2.20 mM ONPG.</w:t>
      </w:r>
    </w:p>
    <w:p>
      <w:pPr>
        <w:keepNext w:val="false"/>
        <w:keepLines w:val="false"/>
        <w:spacing w:after="100" w:before="0" w:line="360"/>
        <w:jc w:val="both"/>
      </w:pPr>
      <w:r>
        <w:rPr>
          <w:rFonts w:ascii="Times New Roman" w:cs="Times New Roman" w:eastAsia="Times New Roman" w:hAnsi="Times New Roman"/>
          <w:i/>
          <w:iCs/>
          <w:sz w:val="24"/>
          <w:szCs w:val="24"/>
        </w:rPr>
        <w:t xml:space="preserve">Competitive Inhibition</w:t>
      </w:r>
    </w:p>
    <w:p>
      <w:pPr>
        <w:keepNext w:val="false"/>
        <w:keepLines w:val="false"/>
        <w:spacing w:after="100" w:before="0" w:line="360"/>
        <w:jc w:val="both"/>
      </w:pPr>
      <w:r>
        <w:rPr>
          <w:rFonts w:ascii="Times New Roman" w:cs="Times New Roman" w:eastAsia="Times New Roman" w:hAnsi="Times New Roman"/>
          <w:b/>
          <w:bCs/>
          <w:sz w:val="24"/>
          <w:szCs w:val="24"/>
        </w:rPr>
        <w:t xml:space="preserve">5. What effect does increasing [I] have on the apparent Vmax and Km?</w:t>
      </w:r>
    </w:p>
    <w:p>
      <w:pPr>
        <w:keepNext w:val="false"/>
        <w:keepLines w:val="false"/>
        <w:spacing w:after="100" w:before="0" w:line="360"/>
        <w:jc w:val="both"/>
      </w:pPr>
      <w:r>
        <w:rPr>
          <w:rFonts w:ascii="Times New Roman" w:cs="Times New Roman" w:eastAsia="Times New Roman" w:hAnsi="Times New Roman"/>
          <w:sz w:val="24"/>
          <w:szCs w:val="24"/>
        </w:rPr>
        <w:t xml:space="preserve">Apparent Vmax is unchanged, because sufficient substrate displaces the inhibitor; apparent Km increases linearly with [I], Km,app = Km(1 + [I]/Ki). Here 0.458 mM IPTG raised the apparent Km 5.6-fold.</w:t>
      </w:r>
    </w:p>
    <w:p>
      <w:pPr>
        <w:keepNext w:val="false"/>
        <w:keepLines w:val="false"/>
        <w:spacing w:after="100" w:before="0" w:line="360"/>
        <w:jc w:val="both"/>
      </w:pPr>
      <w:r>
        <w:rPr>
          <w:rFonts w:ascii="Times New Roman" w:cs="Times New Roman" w:eastAsia="Times New Roman" w:hAnsi="Times New Roman"/>
          <w:b/>
          <w:bCs/>
          <w:sz w:val="24"/>
          <w:szCs w:val="24"/>
        </w:rPr>
        <w:t xml:space="preserve">6. What is the effect on the Km (apparent) when [I] = Ki; when [I] = 2Ki?</w:t>
      </w:r>
    </w:p>
    <w:p>
      <w:pPr>
        <w:keepNext w:val="false"/>
        <w:keepLines w:val="false"/>
        <w:spacing w:after="100" w:before="0" w:line="360"/>
        <w:jc w:val="both"/>
      </w:pPr>
      <w:r>
        <w:rPr>
          <w:rFonts w:ascii="Times New Roman" w:cs="Times New Roman" w:eastAsia="Times New Roman" w:hAnsi="Times New Roman"/>
          <w:sz w:val="24"/>
          <w:szCs w:val="24"/>
        </w:rPr>
        <w:t xml:space="preserve">Km,app = 2 Km when [I] = Ki and 3 Km when [I] = 2 Ki. (The observed 5.6-fold increase corresponds to [I]/Ki = 5.6 − 1 = 4.6, i.e. Ki = 0.458/4.6 = 0.100 mM.)</w:t>
      </w:r>
    </w:p>
    <w:p>
      <w:pPr>
        <w:keepNext w:val="false"/>
        <w:keepLines w:val="false"/>
        <w:spacing w:after="100" w:before="0" w:line="360"/>
        <w:jc w:val="both"/>
      </w:pPr>
      <w:r>
        <w:rPr>
          <w:rFonts w:ascii="Times New Roman" w:cs="Times New Roman" w:eastAsia="Times New Roman" w:hAnsi="Times New Roman"/>
          <w:i/>
          <w:iCs/>
          <w:sz w:val="24"/>
          <w:szCs w:val="24"/>
        </w:rPr>
        <w:t xml:space="preserve">Non-competitive Inhibition</w:t>
      </w:r>
    </w:p>
    <w:p>
      <w:pPr>
        <w:keepNext w:val="false"/>
        <w:keepLines w:val="false"/>
        <w:spacing w:after="100" w:before="0" w:line="360"/>
        <w:jc w:val="both"/>
      </w:pPr>
      <w:r>
        <w:rPr>
          <w:rFonts w:ascii="Times New Roman" w:cs="Times New Roman" w:eastAsia="Times New Roman" w:hAnsi="Times New Roman"/>
          <w:b/>
          <w:bCs/>
          <w:sz w:val="24"/>
          <w:szCs w:val="24"/>
        </w:rPr>
        <w:t xml:space="preserve">7. What effect does increasing [I] have on the apparent Vmax and Km?</w:t>
      </w:r>
    </w:p>
    <w:p>
      <w:pPr>
        <w:keepNext w:val="false"/>
        <w:keepLines w:val="false"/>
        <w:spacing w:after="100" w:before="0" w:line="360"/>
        <w:jc w:val="both"/>
      </w:pPr>
      <w:r>
        <w:rPr>
          <w:rFonts w:ascii="Times New Roman" w:cs="Times New Roman" w:eastAsia="Times New Roman" w:hAnsi="Times New Roman"/>
          <w:sz w:val="24"/>
          <w:szCs w:val="24"/>
        </w:rPr>
        <w:t xml:space="preserve">Apparent Vmax falls as Vmax/(1 + [I]/Ki), because the inhibitor removes active enzyme regardless of [S]; apparent Km is unchanged, because the inhibitor binds E and ES equally and does not alter substrate affinity.</w:t>
      </w:r>
    </w:p>
    <w:p>
      <w:pPr>
        <w:keepNext w:val="false"/>
        <w:keepLines w:val="false"/>
        <w:spacing w:after="100" w:before="0" w:line="360"/>
        <w:jc w:val="both"/>
      </w:pPr>
      <w:r>
        <w:rPr>
          <w:rFonts w:ascii="Times New Roman" w:cs="Times New Roman" w:eastAsia="Times New Roman" w:hAnsi="Times New Roman"/>
          <w:b/>
          <w:bCs/>
          <w:sz w:val="24"/>
          <w:szCs w:val="24"/>
        </w:rPr>
        <w:t xml:space="preserve">8. What is the effect on Vmax when [I] = Ki; [I] = 9 Ki?</w:t>
      </w:r>
    </w:p>
    <w:p>
      <w:pPr>
        <w:keepNext w:val="false"/>
        <w:keepLines w:val="false"/>
        <w:spacing w:after="100" w:before="0" w:line="360"/>
        <w:jc w:val="both"/>
      </w:pPr>
      <w:r>
        <w:rPr>
          <w:rFonts w:ascii="Times New Roman" w:cs="Times New Roman" w:eastAsia="Times New Roman" w:hAnsi="Times New Roman"/>
          <w:sz w:val="24"/>
          <w:szCs w:val="24"/>
        </w:rPr>
        <w:t xml:space="preserve">Vmax,app = Vmax/2 when [I] = Ki and Vmax/10 when [I] = 9 Ki.</w:t>
      </w:r>
    </w:p>
    <w:p>
      <w:pPr>
        <w:keepNext w:val="false"/>
        <w:keepLines w:val="false"/>
        <w:spacing w:after="100" w:before="0" w:line="360"/>
        <w:jc w:val="both"/>
      </w:pPr>
      <w:r>
        <w:rPr>
          <w:rFonts w:ascii="Times New Roman" w:cs="Times New Roman" w:eastAsia="Times New Roman" w:hAnsi="Times New Roman"/>
          <w:b/>
          <w:bCs/>
          <w:sz w:val="24"/>
          <w:szCs w:val="24"/>
        </w:rPr>
        <w:t xml:space="preserve">9. Can you distinguish noncompetitive from competitive inhibition using just the activity at low substrate concentrations? (i.e. the slope of V versus [S] at the origin?) Why or why not? How much does the slope change?</w:t>
      </w:r>
    </w:p>
    <w:p>
      <w:pPr>
        <w:keepNext w:val="false"/>
        <w:keepLines w:val="false"/>
        <w:spacing w:after="100" w:before="0" w:line="360"/>
        <w:jc w:val="both"/>
      </w:pPr>
      <w:r>
        <w:rPr>
          <w:rFonts w:ascii="Times New Roman" w:cs="Times New Roman" w:eastAsia="Times New Roman" w:hAnsi="Times New Roman"/>
          <w:sz w:val="24"/>
          <w:szCs w:val="24"/>
        </w:rPr>
        <w:t xml:space="preserve">No. At low [S] the slope is Vmax,app/Km,app. For competitive inhibition it is Vmax/[Km(1 + [I]/Ki)]; for noncompetitive inhibition it is [Vmax/(1 + [I]/Ki)]/Km. For equal inhibitor dissociation constants in the two idealized models, both equal (Vmax/Km)/(1 + [I]/Ki), so the slope falls by the same factor 1/(1 + [I]/Ki) in both cases (halved at [I] = Ki; to about 18% at the [I]/Ki ≈ 4.6 of this experiment). The low-substrate slopes cannot distinguish them by themselves; the mechanisms differ at higher substrate concentrations, where the competitive curve recovers Vmax and the noncompetitive one does not.</w:t>
      </w:r>
    </w:p>
    <w:p>
      <w:pPr>
        <w:keepNext w:val="false"/>
        <w:keepLines w:val="false"/>
        <w:spacing w:after="100" w:before="0" w:line="360"/>
        <w:jc w:val="both"/>
      </w:pPr>
      <w:r>
        <w:rPr>
          <w:rFonts w:ascii="Times New Roman" w:cs="Times New Roman" w:eastAsia="Times New Roman" w:hAnsi="Times New Roman"/>
          <w:b/>
          <w:bCs/>
          <w:sz w:val="24"/>
          <w:szCs w:val="24"/>
        </w:rPr>
        <w:t xml:space="preserve">10. Given a series of enzyme preparations with differing activities, how can you distinguish between the presence of an inhibitor and varying amounts of the active enzyme? Explain, considering both competitive and non-competitive inhibitors.</w:t>
      </w:r>
    </w:p>
    <w:p>
      <w:pPr>
        <w:keepNext w:val="false"/>
        <w:keepLines w:val="false"/>
        <w:spacing w:after="100" w:before="0" w:line="360"/>
        <w:jc w:val="both"/>
      </w:pPr>
      <w:r>
        <w:rPr>
          <w:rFonts w:ascii="Times New Roman" w:cs="Times New Roman" w:eastAsia="Times New Roman" w:hAnsi="Times New Roman"/>
          <w:sz w:val="24"/>
          <w:szCs w:val="24"/>
        </w:rPr>
        <w:t xml:space="preserve">Measure full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versus [S] curves rather than single activities. Different amounts of active enzyme change Vmax in proportion and leave Km identical (Lineweaver–Burk lines share the x-intercept). A competitive inhibitor leaves Vmax and raises Km (lines share the y-intercept), which cannot be mimicked by enzyme amount. A noncompetitive inhibitor lowers Vmax at constant Km and so mimics less enzyme kinetically; to separate the two, dilute the preparation and re-assay (a reversible inhibitor's effect weakens as [I] falls, so specific activity rises, whereas a true enzyme difference gives constant specific activity), mix preparations (activities of inhibitor-free preparations add; an inhibitor makes the mixture sub-additive), remove small molecules by dialysis or gel filtration, or measure enzyme independently (protein assay, immunoblot or active-site titration with a tight-binding ligand such as PETG).</w:t>
      </w:r>
    </w:p>
    <w:p>
      <w:pPr>
        <w:pStyle w:val="Heading1"/>
        <w:keepNext/>
        <w:pageBreakBefore/>
        <w:spacing w:after="120" w:before="240" w:line="360"/>
        <w:jc w:val="left"/>
      </w:pPr>
      <w:r>
        <w:rPr>
          <w:rFonts w:ascii="Times New Roman" w:cs="Times New Roman" w:eastAsia="Times New Roman" w:hAnsi="Times New Roman"/>
          <w:b/>
          <w:bCs/>
          <w:smallCaps/>
          <w:sz w:val="24"/>
          <w:szCs w:val="24"/>
        </w:rPr>
        <w:t xml:space="preserve">Raw Data</w:t>
      </w:r>
    </w:p>
    <w:p>
      <w:pPr>
        <w:keepNext w:val="false"/>
        <w:keepLines w:val="false"/>
        <w:spacing w:after="100" w:before="0" w:line="360"/>
        <w:jc w:val="both"/>
      </w:pPr>
      <w:r>
        <w:rPr>
          <w:rFonts w:ascii="Times New Roman" w:cs="Times New Roman" w:eastAsia="Times New Roman" w:hAnsi="Times New Roman"/>
          <w:sz w:val="24"/>
          <w:szCs w:val="24"/>
        </w:rPr>
        <w:t xml:space="preserve">Our own instrument printouts (GENESYS 10S UV-Vis; 14 photographs, 70 readings, transcribed and verified value by value; Table R1) are appended below; the photographs reproduce the original printouts, which the course requires to be signed by a TA. The course-provided reference measurements used in the Results are reproduced as received in Tables 1 to 4 and in the repository (</w:t>
      </w:r>
      <w:r>
        <w:rPr>
          <w:rFonts w:ascii="Times New Roman" w:cs="Times New Roman" w:eastAsia="Times New Roman" w:hAnsi="Times New Roman"/>
          <w:sz w:val="24"/>
          <w:szCs w:val="24"/>
        </w:rPr>
        <w:t xml:space="preserve">data/raw/reference/</w:t>
      </w:r>
      <w:r>
        <w:rPr>
          <w:rFonts w:ascii="Times New Roman" w:cs="Times New Roman" w:eastAsia="Times New Roman" w:hAnsi="Times New Roman"/>
          <w:sz w:val="24"/>
          <w:szCs w:val="24"/>
        </w:rPr>
        <w:t xml:space="preserve">, transcribed from the course's files and cross-checked against them); our printout data are in </w:t>
      </w:r>
      <w:r>
        <w:rPr>
          <w:rFonts w:ascii="Times New Roman" w:cs="Times New Roman" w:eastAsia="Times New Roman" w:hAnsi="Times New Roman"/>
          <w:sz w:val="24"/>
          <w:szCs w:val="24"/>
        </w:rPr>
        <w:t xml:space="preserve">data/raw/experimental/</w:t>
      </w:r>
      <w:r>
        <w:rPr>
          <w:rFonts w:ascii="Times New Roman" w:cs="Times New Roman" w:eastAsia="Times New Roman" w:hAnsi="Times New Roman"/>
          <w:sz w:val="24"/>
          <w:szCs w:val="24"/>
        </w:rPr>
        <w:t xml:space="preserve"> and the photographs in </w:t>
      </w:r>
      <w:r>
        <w:rPr>
          <w:rFonts w:ascii="Times New Roman" w:cs="Times New Roman" w:eastAsia="Times New Roman" w:hAnsi="Times New Roman"/>
          <w:sz w:val="24"/>
          <w:szCs w:val="24"/>
        </w:rPr>
        <w:t xml:space="preserve">report/raw_data_printouts/</w:t>
      </w:r>
      <w:r>
        <w:rPr>
          <w:rFonts w:ascii="Times New Roman" w:cs="Times New Roman" w:eastAsia="Times New Roman" w:hAnsi="Times New Roman"/>
          <w:sz w:val="24"/>
          <w:szCs w:val="24"/>
        </w:rPr>
        <w:t xml:space="preserve">.</w:t>
      </w:r>
    </w:p>
    <w:p>
      <w:pPr>
        <w:keepNext/>
        <w:keepLines/>
        <w:spacing w:after="60" w:before="0" w:line="276"/>
        <w:jc w:val="left"/>
      </w:pPr>
      <w:r>
        <w:rPr>
          <w:rFonts w:ascii="Times New Roman" w:cs="Times New Roman" w:eastAsia="Times New Roman" w:hAnsi="Times New Roman"/>
          <w:b/>
          <w:bCs/>
          <w:sz w:val="20"/>
          <w:szCs w:val="20"/>
        </w:rPr>
        <w:t xml:space="preserve">TABLE R1. Transcribed absorbance values from our printouts (experimental dataset; A</w:t>
      </w:r>
      <w:r>
        <w:rPr>
          <w:rFonts w:ascii="Times New Roman" w:cs="Times New Roman" w:eastAsia="Times New Roman" w:hAnsi="Times New Roman"/>
          <w:b/>
          <w:bCs/>
          <w:sz w:val="20"/>
          <w:szCs w:val="20"/>
          <w:vertAlign w:val="subscript"/>
        </w:rPr>
        <w:t xml:space="preserve">415</w:t>
      </w:r>
      <w:r>
        <w:rPr>
          <w:rFonts w:ascii="Times New Roman" w:cs="Times New Roman" w:eastAsia="Times New Roman" w:hAnsi="Times New Roman"/>
          <w:b/>
          <w:bCs/>
          <w:sz w:val="20"/>
          <w:szCs w:val="20"/>
        </w:rPr>
        <w:t xml:space="preserve"> of stopped samples; NA = sample discarded before measurement; Part III + IPTG tube B 10 min = 1.106 retained as read). Printout labels: Day 1 = Part II (7 Sep 2026); Day 2 Blue = Part III without IPTG; Day 2 Black = Part III with IPTG (11 Sep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37"/>
        <w:gridCol w:w="962"/>
        <w:gridCol w:w="2187"/>
        <w:gridCol w:w="612"/>
        <w:gridCol w:w="612"/>
        <w:gridCol w:w="612"/>
        <w:gridCol w:w="612"/>
        <w:gridCol w:w="612"/>
        <w:gridCol w:w="614"/>
      </w:tblGrid>
      <w:tr>
        <w:trPr>
          <w:cantSplit/>
          <w:tblHeader/>
        </w:trPr>
        <w:tc>
          <w:tcPr>
            <w:tcW w:type="dxa" w:w="253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Dataset</w:t>
            </w:r>
          </w:p>
        </w:tc>
        <w:tc>
          <w:tcPr>
            <w:tcW w:type="dxa" w:w="962"/>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Printout label</w:t>
            </w:r>
          </w:p>
        </w:tc>
        <w:tc>
          <w:tcPr>
            <w:tcW w:type="dxa" w:w="2187"/>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Condition</w:t>
            </w:r>
          </w:p>
        </w:tc>
        <w:tc>
          <w:tcPr>
            <w:tcW w:type="dxa" w:w="612"/>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Tube</w:t>
            </w:r>
          </w:p>
        </w:tc>
        <w:tc>
          <w:tcPr>
            <w:tcW w:type="dxa" w:w="612"/>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2 min</w:t>
            </w:r>
          </w:p>
        </w:tc>
        <w:tc>
          <w:tcPr>
            <w:tcW w:type="dxa" w:w="612"/>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4 min</w:t>
            </w:r>
          </w:p>
        </w:tc>
        <w:tc>
          <w:tcPr>
            <w:tcW w:type="dxa" w:w="612"/>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6 min</w:t>
            </w:r>
          </w:p>
        </w:tc>
        <w:tc>
          <w:tcPr>
            <w:tcW w:type="dxa" w:w="612"/>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8 min</w:t>
            </w:r>
          </w:p>
        </w:tc>
        <w:tc>
          <w:tcPr>
            <w:tcW w:type="dxa" w:w="614"/>
            <w:tcBorders>
              <w:top w:val="single" w:color="000000" w:sz="8"/>
              <w:left w:val="none" w:color="FFFFFF" w:sz="0"/>
              <w:bottom w:val="single" w:color="000000" w:sz="4"/>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bCs/>
                <w:sz w:val="16"/>
                <w:szCs w:val="16"/>
              </w:rPr>
              <w:t xml:space="preserve">10 min</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1</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Enzyme dilution (Part II)</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A</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0.276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0.544</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0.817</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1.137</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1.328</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1</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Enzyme dilution (Part II)</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B</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0.180</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0.354</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0.533</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0.694</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0.860</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1</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Enzyme dilution (Part II)</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C</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0.133</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0.255</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0.375</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0.499</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0.583</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1</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Enzyme dilution (Part II)</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0.065</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0.121</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0.176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0.235</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0.283</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1</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Enzyme dilution (Part II)</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0.047</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0.090</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0.127</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0.169</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0.205</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Blue</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no inhibitor</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A</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0.259</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0.480</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0.696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0.938</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1.061</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Blue</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no inhibitor</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B</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0.224</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0.436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0.655</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0.864</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1.065</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Blue</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no inhibitor</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C</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0.200</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0.388</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0.549</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0.742</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0.880</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Blue</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no inhibitor</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0.202</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0.386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0.551</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0.674</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0.764</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Blue</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no inhibitor</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0.111</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0.201</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0.249</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0.301</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0.346</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Black</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 IPTG</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A</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0.163</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0.320</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0.476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0.628</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0.780</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Black</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 IPTG</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B</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0.269</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0.506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0.748</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0.995</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1.106</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Black</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 IPTG</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C</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0.080</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0.158</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0.244</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0.304</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0.362</w:t>
            </w:r>
          </w:p>
        </w:tc>
      </w:tr>
      <w:tr>
        <w:trPr>
          <w:cantSplit/>
        </w:trPr>
        <w:tc>
          <w:tcPr>
            <w:tcW w:type="dxa" w:w="253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Day 2 Black</w:t>
            </w:r>
          </w:p>
        </w:tc>
        <w:tc>
          <w:tcPr>
            <w:tcW w:type="dxa" w:w="2187"/>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ONPG series + IPTG</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D</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0.041</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0.082</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0.116</w:t>
            </w:r>
          </w:p>
        </w:tc>
        <w:tc>
          <w:tcPr>
            <w:tcW w:type="dxa" w:w="612"/>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0.151</w:t>
            </w:r>
          </w:p>
        </w:tc>
        <w:tc>
          <w:tcPr>
            <w:tcW w:type="dxa" w:w="614"/>
            <w:tcBorders>
              <w:top w:val="none" w:color="FFFFFF" w:sz="0"/>
              <w:left w:val="none" w:color="FFFFFF" w:sz="0"/>
              <w:bottom w:val="none" w:color="FFFFFF" w:sz="0"/>
              <w:right w:val="none" w:color="FFFFFF" w:sz="0"/>
            </w:tcBorders>
            <w:tcMar>
              <w:top w:type="dxa" w:w="15"/>
              <w:left w:type="dxa" w:w="60"/>
              <w:bottom w:type="dxa" w:w="15"/>
              <w:right w:type="dxa" w:w="60"/>
            </w:tcMar>
          </w:tcPr>
          <w:p>
            <w:pPr>
              <w:keepNext w:val="false"/>
              <w:spacing w:after="0" w:line="240"/>
              <w:jc w:val="left"/>
            </w:pPr>
            <w:r>
              <w:rPr>
                <w:rFonts w:ascii="Times New Roman" w:cs="Times New Roman" w:eastAsia="Times New Roman" w:hAnsi="Times New Roman"/>
                <w:b w:val="false"/>
                <w:bCs w:val="false"/>
                <w:sz w:val="16"/>
                <w:szCs w:val="16"/>
              </w:rPr>
              <w:t xml:space="preserve">0.188</w:t>
            </w:r>
          </w:p>
        </w:tc>
      </w:tr>
      <w:tr>
        <w:trPr>
          <w:cantSplit/>
        </w:trPr>
        <w:tc>
          <w:tcPr>
            <w:tcW w:type="dxa" w:w="253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Experimental Part III (+IPTG)</w:t>
            </w:r>
          </w:p>
        </w:tc>
        <w:tc>
          <w:tcPr>
            <w:tcW w:type="dxa" w:w="962"/>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Day 2 Black</w:t>
            </w:r>
          </w:p>
        </w:tc>
        <w:tc>
          <w:tcPr>
            <w:tcW w:type="dxa" w:w="2187"/>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ONPG series + IPTG</w:t>
            </w:r>
          </w:p>
        </w:tc>
        <w:tc>
          <w:tcPr>
            <w:tcW w:type="dxa" w:w="612"/>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E</w:t>
            </w:r>
          </w:p>
        </w:tc>
        <w:tc>
          <w:tcPr>
            <w:tcW w:type="dxa" w:w="612"/>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612"/>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612"/>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612"/>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614"/>
            <w:tcBorders>
              <w:top w:val="none" w:color="FFFFFF" w:sz="0"/>
              <w:left w:val="none" w:color="FFFFFF" w:sz="0"/>
              <w:bottom w:val="single" w:color="000000" w:sz="8"/>
              <w:right w:val="none" w:color="FFFFFF" w:sz="0"/>
            </w:tcBorders>
            <w:tcMar>
              <w:top w:type="dxa" w:w="15"/>
              <w:left w:type="dxa" w:w="60"/>
              <w:bottom w:type="dxa" w:w="15"/>
              <w:right w:type="dxa" w:w="60"/>
            </w:tcMar>
          </w:tcPr>
          <w:p>
            <w:pPr>
              <w:spacing w:after="0" w:line="240"/>
              <w:jc w:val="left"/>
            </w:pPr>
            <w:r>
              <w:rPr>
                <w:rFonts w:ascii="Times New Roman" w:cs="Times New Roman" w:eastAsia="Times New Roman" w:hAnsi="Times New Roman"/>
                <w:b w:val="false"/>
                <w:bCs w:val="false"/>
                <w:sz w:val="16"/>
                <w:szCs w:val="16"/>
              </w:rPr>
              <w:t xml:space="preserve">–</w:t>
            </w:r>
          </w:p>
        </w:tc>
      </w:tr>
    </w:tbl>
    <w:p>
      <w:pPr>
        <w:spacing w:after="80" w:before="0" w:line="40" w:lineRule="exact"/>
      </w:pPr>
      <w:r>
        <w:rPr>
          <w:sz w:val="4"/>
          <w:szCs w:val="4"/>
        </w:rPr>
        <w:t xml:space="preserve"/>
      </w:r>
    </w:p>
    <w:p>
      <w:pPr>
        <w:keepNext/>
        <w:keepLines w:val="false"/>
        <w:spacing w:after="100" w:before="0" w:line="360"/>
        <w:jc w:val="both"/>
      </w:pPr>
      <w:r>
        <w:rPr>
          <w:rFonts w:ascii="Times New Roman" w:cs="Times New Roman" w:eastAsia="Times New Roman" w:hAnsi="Times New Roman"/>
          <w:sz w:val="24"/>
          <w:szCs w:val="24"/>
        </w:rPr>
        <w:t xml:space="preserve">Day 1 (7 Sep 2026, Part II, tubes A to 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76425" cy="2505075"/>
                          </a:xfrm>
                          <a:prstGeom prst="rect">
                            <a:avLst/>
                          </a:prstGeom>
                        </pic:spPr>
                      </pic:pic>
                    </a:graphicData>
                  </a:graphic>
                </wp:inline>
              </w:drawing>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r>
              <w:t xml:space="preserve"/>
            </w:r>
          </w:p>
        </w:tc>
      </w:tr>
    </w:tbl>
    <w:p>
      <w:pPr>
        <w:spacing w:after="60"/>
      </w:pPr>
    </w:p>
    <w:p>
      <w:pPr>
        <w:keepNext/>
        <w:keepLines w:val="false"/>
        <w:spacing w:after="100" w:before="0" w:line="360"/>
        <w:jc w:val="both"/>
      </w:pPr>
      <w:r>
        <w:rPr>
          <w:rFonts w:ascii="Times New Roman" w:cs="Times New Roman" w:eastAsia="Times New Roman" w:hAnsi="Times New Roman"/>
          <w:sz w:val="24"/>
          <w:szCs w:val="24"/>
        </w:rPr>
        <w:t xml:space="preserve">Day 2 (11 Sep 2026, Part III without IPTG, blue labels, tubes A to 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76425" cy="2505075"/>
                          </a:xfrm>
                          <a:prstGeom prst="rect">
                            <a:avLst/>
                          </a:prstGeom>
                        </pic:spPr>
                      </pic:pic>
                    </a:graphicData>
                  </a:graphic>
                </wp:inline>
              </w:drawing>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r>
              <w:t xml:space="preserve"/>
            </w:r>
          </w:p>
        </w:tc>
      </w:tr>
    </w:tbl>
    <w:p>
      <w:pPr>
        <w:spacing w:after="60"/>
      </w:pPr>
    </w:p>
    <w:p>
      <w:pPr>
        <w:keepNext/>
        <w:keepLines w:val="false"/>
        <w:spacing w:after="100" w:before="0" w:line="360"/>
        <w:jc w:val="both"/>
      </w:pPr>
      <w:r>
        <w:rPr>
          <w:rFonts w:ascii="Times New Roman" w:cs="Times New Roman" w:eastAsia="Times New Roman" w:hAnsi="Times New Roman"/>
          <w:sz w:val="24"/>
          <w:szCs w:val="24"/>
        </w:rPr>
        <w:t xml:space="preserve">Day 2 (11 Sep 2026, Part III with IPTG, black labels, tubes A to D; tube E discarded before 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76425" cy="2505075"/>
                          </a:xfrm>
                          <a:prstGeom prst="rect">
                            <a:avLst/>
                          </a:prstGeom>
                        </pic:spPr>
                      </pic:pic>
                    </a:graphicData>
                  </a:graphic>
                </wp:inline>
              </w:drawing>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keepNext/>
              <w:spacing w:after="60" w:line="240" w:lineRule="auto"/>
              <w:jc w:val="center"/>
            </w:pPr>
            <w:r>
              <w:drawing>
                <wp:inline distT="0" distB="0" distL="0" distR="0">
                  <wp:extent cx="1876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76425" cy="250507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r>
              <w:t xml:space="preserve"/>
            </w:r>
          </w:p>
        </w:tc>
        <w:tc>
          <w:tcPr>
            <w:tcW w:type="dxa" w:w="3120"/>
            <w:tcBorders>
              <w:top w:val="none" w:color="FFFFFF" w:sz="0"/>
              <w:left w:val="none" w:color="FFFFFF" w:sz="0"/>
              <w:bottom w:val="none" w:color="FFFFFF" w:sz="0"/>
              <w:right w:val="none" w:color="FFFFFF" w:sz="0"/>
            </w:tcBorders>
          </w:tcPr>
          <w:p>
            <w:r>
              <w:t xml:space="preserve"/>
            </w:r>
          </w:p>
        </w:tc>
      </w:tr>
    </w:tbl>
    <w:p>
      <w:pPr>
        <w:spacing w:after="60"/>
      </w:pPr>
    </w:p>
    <w:sectPr>
      <w:headerReference w:type="default" r:id="rId7"/>
      <w:headerReference w:type="first" r:id="rId8"/>
      <w:footerReference w:type="default" r:id="rId9"/>
      <w:footerReference w:type="first" r:id="rId10"/>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Times New Roman" w:cs="Times New Roman" w:eastAsia="Times New Roman" w:hAnsi="Times New Roman"/>
        <w:i/>
        <w:iCs/>
        <w:color w:val="444444"/>
        <w:sz w:val="18"/>
        <w:szCs w:val="18"/>
      </w:rPr>
      <w:t xml:space="preserve">Experiment 2 · β-Galactosidase kinetics with ONPG and IPTG · A. Aljarodi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smallCaps/>
      <w:color w:val="000000"/>
      <w:sz w:val="24"/>
      <w:szCs w:val="24"/>
    </w:rPr>
  </w:style>
  <w:style w:type="paragraph" w:styleId="Heading2">
    <w:name w:val="Heading 2"/>
    <w:basedOn w:val="Normal"/>
    <w:next w:val="Normal"/>
    <w:qFormat/>
    <w:pPr>
      <w:spacing w:after="60" w:before="120" w:line="360"/>
      <w:outlineLvl w:val="1"/>
    </w:pPr>
    <w:rPr>
      <w:rFonts w:ascii="Times New Roman" w:cs="Times New Roman" w:eastAsia="Times New Roman" w:hAnsi="Times New Roman"/>
      <w:b/>
      <w:bCs/>
      <w:i/>
      <w:iCs/>
      <w:color w:val="00000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vacwn5h6noi7y-2-webcx" Type="http://schemas.openxmlformats.org/officeDocument/2006/relationships/hyperlink" Target="https://github.com/almokhtar8-stack/exp2" TargetMode="External"/><Relationship Id="rId11" Type="http://schemas.openxmlformats.org/officeDocument/2006/relationships/image" Target="media/4120c1d3434be1a5eba59eece620011fc24c2ec6.png"/><Relationship Id="rId12" Type="http://schemas.openxmlformats.org/officeDocument/2006/relationships/image" Target="media/8c6985e79e59a87448e1dbb3f323745dbb24c78e.png"/><Relationship Id="rId13" Type="http://schemas.openxmlformats.org/officeDocument/2006/relationships/image" Target="media/d8ca816fd039e92132c8ad929505d18a1aec4317.png"/><Relationship Id="rId14" Type="http://schemas.openxmlformats.org/officeDocument/2006/relationships/image" Target="media/3818ca6d0550bfa665b509f3df5966c012015ba4.png"/><Relationship Id="rId15" Type="http://schemas.openxmlformats.org/officeDocument/2006/relationships/image" Target="media/3256913492cc4384aedf05e01ee572924a054bb7.png"/><Relationship Id="rId16" Type="http://schemas.openxmlformats.org/officeDocument/2006/relationships/image" Target="media/25632864d1a2dc2d70a0c129668693c8f57c05a7.png"/><Relationship Id="rId17" Type="http://schemas.openxmlformats.org/officeDocument/2006/relationships/image" Target="media/8e1d29e0e29efdb088c43947a080c7e10b657075.jpg"/><Relationship Id="rId18" Type="http://schemas.openxmlformats.org/officeDocument/2006/relationships/image" Target="media/b06e0d21a530742a7bdbff90a994957c509b39b0.jpg"/><Relationship Id="rId19" Type="http://schemas.openxmlformats.org/officeDocument/2006/relationships/image" Target="media/fb5df2a0933d627c97362ec8d0ca7be43c5f398e.jpg"/><Relationship Id="rId20" Type="http://schemas.openxmlformats.org/officeDocument/2006/relationships/image" Target="media/894e8ecff696ac7772c398ecbacc4d21ee9cbdaf.jpg"/><Relationship Id="rId21" Type="http://schemas.openxmlformats.org/officeDocument/2006/relationships/image" Target="media/1a87abf4ef730b022964318dbb5e4b2563164488.jpg"/><Relationship Id="rId22" Type="http://schemas.openxmlformats.org/officeDocument/2006/relationships/image" Target="media/feb6e7ebe3c30ac80c1944e89cc464e63a225d99.jpg"/><Relationship Id="rId23" Type="http://schemas.openxmlformats.org/officeDocument/2006/relationships/image" Target="media/81ab9a397ad3d3b4546cf74c2e394ff2ba7a57bf.jpg"/><Relationship Id="rId24" Type="http://schemas.openxmlformats.org/officeDocument/2006/relationships/image" Target="media/55fe0de6e3661e6c335169007ca717765017d932.jpg"/><Relationship Id="rId25" Type="http://schemas.openxmlformats.org/officeDocument/2006/relationships/image" Target="media/552ed40d2ea33eca570faed4483445ecbcfb29de.jpg"/><Relationship Id="rId26" Type="http://schemas.openxmlformats.org/officeDocument/2006/relationships/image" Target="media/270f4fff0fe5eb5c63eb3e628ca1f37ab223645b.jpg"/><Relationship Id="rId27" Type="http://schemas.openxmlformats.org/officeDocument/2006/relationships/image" Target="media/cf46a02950c8cbba7d7626e4db5a391705546961.jpg"/><Relationship Id="rId28" Type="http://schemas.openxmlformats.org/officeDocument/2006/relationships/image" Target="media/7588ebbb2e824ab851fc41984a4b65eb91cf1e01.jpg"/><Relationship Id="rId29" Type="http://schemas.openxmlformats.org/officeDocument/2006/relationships/image" Target="media/9e00985d6a124ff5e41ec923d50496beaf92a31c.jpg"/><Relationship Id="rId30" Type="http://schemas.openxmlformats.org/officeDocument/2006/relationships/image" Target="media/7fb3ad06387618591aeadfa62ec0555cf6da6963.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2: beta-galactosidase kinetics</dc:title>
  <dc:creator>Almokhtar Aljarodi</dc:creator>
  <cp:lastModifiedBy>Almokhtar Aljarodi</cp:lastModifiedBy>
  <cp:revision>1</cp:revision>
  <dcterms:created xsi:type="dcterms:W3CDTF">2026-10-11T15:29:46.754Z</dcterms:created>
  <dcterms:modified xsi:type="dcterms:W3CDTF">2026-10-11T15:29:46.755Z</dcterms:modified>
</cp:coreProperties>
</file>

<file path=docProps/custom.xml><?xml version="1.0" encoding="utf-8"?>
<Properties xmlns="http://schemas.openxmlformats.org/officeDocument/2006/custom-properties" xmlns:vt="http://schemas.openxmlformats.org/officeDocument/2006/docPropsVTypes"/>
</file>