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772BD" w14:textId="4F882779" w:rsidR="007753FB" w:rsidRDefault="009A5D10">
      <w:r>
        <w:t>Aitiana L Mondragon</w:t>
      </w:r>
    </w:p>
    <w:p w14:paraId="20C1965E" w14:textId="6EDF770F" w:rsidR="009A5D10" w:rsidRDefault="009A5D10">
      <w:r>
        <w:t>CS 4390</w:t>
      </w:r>
    </w:p>
    <w:p w14:paraId="00FAD137" w14:textId="59437B6F" w:rsidR="009A5D10" w:rsidRDefault="009A5D10">
      <w:r>
        <w:t>Dr. Moore</w:t>
      </w:r>
    </w:p>
    <w:p w14:paraId="056E343B" w14:textId="4F459FF9" w:rsidR="009A5D10" w:rsidRDefault="009A5D10">
      <w:r>
        <w:t>September 26, 2025</w:t>
      </w:r>
    </w:p>
    <w:p w14:paraId="6BC8A1F5" w14:textId="15DDE373" w:rsidR="009A5D10" w:rsidRPr="009A5D10" w:rsidRDefault="009A5D10" w:rsidP="009A5D10">
      <w:pPr>
        <w:jc w:val="center"/>
        <w:rPr>
          <w:b/>
          <w:bCs/>
        </w:rPr>
      </w:pPr>
      <w:r>
        <w:rPr>
          <w:b/>
          <w:bCs/>
        </w:rPr>
        <w:t>Data Flow Analyses using the Worklist Algorithm</w:t>
      </w:r>
    </w:p>
    <w:p w14:paraId="50962C24" w14:textId="46F2A634" w:rsidR="009A5D10" w:rsidRDefault="009A5D10" w:rsidP="009A5D10">
      <w:pPr>
        <w:pStyle w:val="ListParagraph"/>
        <w:numPr>
          <w:ilvl w:val="0"/>
          <w:numId w:val="1"/>
        </w:numPr>
      </w:pPr>
      <w:r>
        <w:t>Fill in the table below with the necessary information for each type of analysis:</w:t>
      </w:r>
    </w:p>
    <w:tbl>
      <w:tblPr>
        <w:tblStyle w:val="GridTable5Dark-Accent1"/>
        <w:tblW w:w="0" w:type="auto"/>
        <w:tblLook w:val="04A0" w:firstRow="1" w:lastRow="0" w:firstColumn="1" w:lastColumn="0" w:noHBand="0" w:noVBand="1"/>
      </w:tblPr>
      <w:tblGrid>
        <w:gridCol w:w="1340"/>
        <w:gridCol w:w="1245"/>
        <w:gridCol w:w="1072"/>
        <w:gridCol w:w="1621"/>
        <w:gridCol w:w="1252"/>
        <w:gridCol w:w="2820"/>
      </w:tblGrid>
      <w:tr w:rsidR="008E0CBB" w14:paraId="6E5859C1" w14:textId="77777777" w:rsidTr="008E0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20F50C8" w14:textId="77777777" w:rsidR="009A5D10" w:rsidRPr="009A5D10" w:rsidRDefault="009A5D10" w:rsidP="009A5D10">
            <w:pPr>
              <w:pStyle w:val="ListParagraph"/>
              <w:ind w:left="0"/>
              <w:rPr>
                <w:sz w:val="20"/>
                <w:szCs w:val="20"/>
              </w:rPr>
            </w:pPr>
          </w:p>
        </w:tc>
        <w:tc>
          <w:tcPr>
            <w:tcW w:w="1268" w:type="dxa"/>
          </w:tcPr>
          <w:p w14:paraId="609AEA5C" w14:textId="37FFFD6F"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Domain</w:t>
            </w:r>
          </w:p>
        </w:tc>
        <w:tc>
          <w:tcPr>
            <w:tcW w:w="1072" w:type="dxa"/>
          </w:tcPr>
          <w:p w14:paraId="321DC63B" w14:textId="524E9FD7"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Direction</w:t>
            </w:r>
          </w:p>
        </w:tc>
        <w:tc>
          <w:tcPr>
            <w:tcW w:w="1710" w:type="dxa"/>
          </w:tcPr>
          <w:p w14:paraId="3B4A941C" w14:textId="7CE7A9D5"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Init</w:t>
            </w:r>
          </w:p>
        </w:tc>
        <w:tc>
          <w:tcPr>
            <w:tcW w:w="720" w:type="dxa"/>
          </w:tcPr>
          <w:p w14:paraId="3720C55F" w14:textId="2A44B6F4"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Merge</w:t>
            </w:r>
          </w:p>
        </w:tc>
        <w:tc>
          <w:tcPr>
            <w:tcW w:w="3235" w:type="dxa"/>
          </w:tcPr>
          <w:p w14:paraId="7F40A71F" w14:textId="4893FE0D" w:rsidR="009A5D10" w:rsidRPr="009A5D10" w:rsidRDefault="009A5D10" w:rsidP="009A5D10">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9A5D10">
              <w:rPr>
                <w:sz w:val="20"/>
                <w:szCs w:val="20"/>
              </w:rPr>
              <w:t>Transfer</w:t>
            </w:r>
          </w:p>
        </w:tc>
      </w:tr>
      <w:tr w:rsidR="008E0CBB" w14:paraId="182EE61A" w14:textId="77777777" w:rsidTr="008E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E7826F1" w14:textId="2217DF9E" w:rsidR="009A5D10" w:rsidRPr="009A5D10" w:rsidRDefault="009A5D10" w:rsidP="009A5D10">
            <w:pPr>
              <w:pStyle w:val="ListParagraph"/>
              <w:ind w:left="0"/>
              <w:rPr>
                <w:sz w:val="20"/>
                <w:szCs w:val="20"/>
              </w:rPr>
            </w:pPr>
            <w:r w:rsidRPr="009A5D10">
              <w:rPr>
                <w:sz w:val="20"/>
                <w:szCs w:val="20"/>
              </w:rPr>
              <w:t>Reaching Definitions</w:t>
            </w:r>
          </w:p>
        </w:tc>
        <w:tc>
          <w:tcPr>
            <w:tcW w:w="1268" w:type="dxa"/>
          </w:tcPr>
          <w:p w14:paraId="727ABFB1" w14:textId="034152FC" w:rsidR="009A5D10" w:rsidRPr="009A5D10"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Set of </w:t>
            </w:r>
            <w:proofErr w:type="spellStart"/>
            <w:r>
              <w:rPr>
                <w:sz w:val="20"/>
                <w:szCs w:val="20"/>
              </w:rPr>
              <w:t>defs</w:t>
            </w:r>
            <w:proofErr w:type="spellEnd"/>
          </w:p>
        </w:tc>
        <w:tc>
          <w:tcPr>
            <w:tcW w:w="1072" w:type="dxa"/>
          </w:tcPr>
          <w:p w14:paraId="6A18E8D4" w14:textId="72452D2E" w:rsidR="009A5D10" w:rsidRPr="009A5D10"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Forward</w:t>
            </w:r>
          </w:p>
        </w:tc>
        <w:tc>
          <w:tcPr>
            <w:tcW w:w="1710" w:type="dxa"/>
          </w:tcPr>
          <w:p w14:paraId="58A8ECD9" w14:textId="7C6B8B29" w:rsidR="009A5D10" w:rsidRPr="009A5D10" w:rsidRDefault="008E0CBB"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w:t>
            </w:r>
            <w:r w:rsidR="00C278FC">
              <w:rPr>
                <w:sz w:val="20"/>
                <w:szCs w:val="20"/>
              </w:rPr>
              <w:t>B</w:t>
            </w:r>
            <w:r>
              <w:rPr>
                <w:sz w:val="20"/>
                <w:szCs w:val="20"/>
              </w:rPr>
              <w:t xml:space="preserve">) = </w:t>
            </w:r>
            <w:r w:rsidRPr="008E0CBB">
              <w:rPr>
                <w:sz w:val="20"/>
                <w:szCs w:val="20"/>
              </w:rPr>
              <w:t>θ</w:t>
            </w:r>
            <w:r>
              <w:rPr>
                <w:sz w:val="20"/>
                <w:szCs w:val="20"/>
              </w:rPr>
              <w:t xml:space="preserve"> for all blocks B</w:t>
            </w:r>
          </w:p>
        </w:tc>
        <w:tc>
          <w:tcPr>
            <w:tcW w:w="720" w:type="dxa"/>
          </w:tcPr>
          <w:p w14:paraId="639326E2" w14:textId="345A4683" w:rsidR="009A5D10" w:rsidRPr="009A5D10"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Union</w:t>
            </w:r>
          </w:p>
        </w:tc>
        <w:tc>
          <w:tcPr>
            <w:tcW w:w="3235" w:type="dxa"/>
          </w:tcPr>
          <w:p w14:paraId="657164B1" w14:textId="658E3C15" w:rsidR="001772C4" w:rsidRPr="009A5D10" w:rsidRDefault="001772C4" w:rsidP="001772C4">
            <w:pPr>
              <w:cnfStyle w:val="000000100000" w:firstRow="0" w:lastRow="0" w:firstColumn="0" w:lastColumn="0" w:oddVBand="0" w:evenVBand="0" w:oddHBand="1" w:evenHBand="0" w:firstRowFirstColumn="0" w:firstRowLastColumn="0" w:lastRowFirstColumn="0" w:lastRowLastColumn="0"/>
              <w:rPr>
                <w:sz w:val="20"/>
                <w:szCs w:val="20"/>
              </w:rPr>
            </w:pPr>
            <w:r w:rsidRPr="009A5D10">
              <w:rPr>
                <w:sz w:val="20"/>
                <w:szCs w:val="20"/>
              </w:rPr>
              <w:t>f(</w:t>
            </w:r>
            <w:proofErr w:type="spellStart"/>
            <w:r>
              <w:rPr>
                <w:sz w:val="20"/>
                <w:szCs w:val="20"/>
              </w:rPr>
              <w:t>out</w:t>
            </w:r>
            <w:r w:rsidRPr="009A5D10">
              <w:rPr>
                <w:sz w:val="20"/>
                <w:szCs w:val="20"/>
                <w:vertAlign w:val="subscript"/>
              </w:rPr>
              <w:t>b</w:t>
            </w:r>
            <w:proofErr w:type="spellEnd"/>
            <w:r w:rsidRPr="009A5D10">
              <w:rPr>
                <w:sz w:val="20"/>
                <w:szCs w:val="20"/>
              </w:rPr>
              <w:t xml:space="preserve"> ) = </w:t>
            </w:r>
            <w:proofErr w:type="spellStart"/>
            <w:r>
              <w:rPr>
                <w:sz w:val="20"/>
                <w:szCs w:val="20"/>
              </w:rPr>
              <w:t>gen</w:t>
            </w:r>
            <w:r w:rsidRPr="009A5D10">
              <w:rPr>
                <w:sz w:val="20"/>
                <w:szCs w:val="20"/>
                <w:vertAlign w:val="subscript"/>
              </w:rPr>
              <w:t>b</w:t>
            </w:r>
            <w:proofErr w:type="spellEnd"/>
            <m:oMath>
              <m:r>
                <w:rPr>
                  <w:rFonts w:ascii="Cambria Math" w:hAnsi="Cambria Math"/>
                  <w:sz w:val="20"/>
                  <w:szCs w:val="20"/>
                </w:rPr>
                <m:t>∪</m:t>
              </m:r>
            </m:oMath>
            <w:r w:rsidRPr="009A5D10">
              <w:rPr>
                <w:sz w:val="20"/>
                <w:szCs w:val="20"/>
              </w:rPr>
              <w:t xml:space="preserve"> (</w:t>
            </w:r>
            <w:proofErr w:type="spellStart"/>
            <w:r>
              <w:rPr>
                <w:sz w:val="20"/>
                <w:szCs w:val="20"/>
              </w:rPr>
              <w:t>in</w:t>
            </w:r>
            <w:r w:rsidRPr="009A5D10">
              <w:rPr>
                <w:sz w:val="20"/>
                <w:szCs w:val="20"/>
                <w:vertAlign w:val="subscript"/>
              </w:rPr>
              <w:t>b</w:t>
            </w:r>
            <w:proofErr w:type="spellEnd"/>
            <w:r w:rsidRPr="009A5D10">
              <w:rPr>
                <w:sz w:val="20"/>
                <w:szCs w:val="20"/>
              </w:rPr>
              <w:t xml:space="preserve"> – </w:t>
            </w:r>
            <w:proofErr w:type="spellStart"/>
            <w:r w:rsidRPr="009A5D10">
              <w:rPr>
                <w:sz w:val="20"/>
                <w:szCs w:val="20"/>
              </w:rPr>
              <w:t>kill</w:t>
            </w:r>
            <w:r w:rsidRPr="009A5D10">
              <w:rPr>
                <w:sz w:val="20"/>
                <w:szCs w:val="20"/>
                <w:vertAlign w:val="subscript"/>
              </w:rPr>
              <w:t>b</w:t>
            </w:r>
            <w:proofErr w:type="spellEnd"/>
            <w:r w:rsidRPr="009A5D10">
              <w:rPr>
                <w:sz w:val="20"/>
                <w:szCs w:val="20"/>
              </w:rPr>
              <w:t xml:space="preserve"> )</w:t>
            </w:r>
          </w:p>
          <w:p w14:paraId="1F479514" w14:textId="77777777" w:rsidR="009A5D10" w:rsidRPr="001772C4"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r>
      <w:tr w:rsidR="008E0CBB" w14:paraId="6C1FAC26" w14:textId="77777777" w:rsidTr="008E0CBB">
        <w:tc>
          <w:tcPr>
            <w:cnfStyle w:val="001000000000" w:firstRow="0" w:lastRow="0" w:firstColumn="1" w:lastColumn="0" w:oddVBand="0" w:evenVBand="0" w:oddHBand="0" w:evenHBand="0" w:firstRowFirstColumn="0" w:firstRowLastColumn="0" w:lastRowFirstColumn="0" w:lastRowLastColumn="0"/>
            <w:tcW w:w="1345" w:type="dxa"/>
          </w:tcPr>
          <w:p w14:paraId="5A3E3202" w14:textId="6EFEE983" w:rsidR="009A5D10" w:rsidRPr="009A5D10" w:rsidRDefault="009A5D10" w:rsidP="009A5D10">
            <w:pPr>
              <w:pStyle w:val="ListParagraph"/>
              <w:ind w:left="0"/>
              <w:rPr>
                <w:sz w:val="20"/>
                <w:szCs w:val="20"/>
              </w:rPr>
            </w:pPr>
            <w:r w:rsidRPr="009A5D10">
              <w:rPr>
                <w:sz w:val="20"/>
                <w:szCs w:val="20"/>
              </w:rPr>
              <w:t>Live Variables</w:t>
            </w:r>
          </w:p>
        </w:tc>
        <w:tc>
          <w:tcPr>
            <w:tcW w:w="1268" w:type="dxa"/>
          </w:tcPr>
          <w:p w14:paraId="1F116A45" w14:textId="5F72695C"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 of vars</w:t>
            </w:r>
          </w:p>
        </w:tc>
        <w:tc>
          <w:tcPr>
            <w:tcW w:w="1072" w:type="dxa"/>
          </w:tcPr>
          <w:p w14:paraId="7A268FFC" w14:textId="44AF72D6"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Backward</w:t>
            </w:r>
          </w:p>
        </w:tc>
        <w:tc>
          <w:tcPr>
            <w:tcW w:w="1710" w:type="dxa"/>
          </w:tcPr>
          <w:p w14:paraId="346EBC38" w14:textId="0F1A747A" w:rsidR="009A5D10" w:rsidRPr="009A5D10" w:rsidRDefault="008E0CBB"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INIT(B) = </w:t>
            </w:r>
            <w:r w:rsidRPr="008E0CBB">
              <w:rPr>
                <w:sz w:val="20"/>
                <w:szCs w:val="20"/>
              </w:rPr>
              <w:t>θ</w:t>
            </w:r>
            <w:r>
              <w:rPr>
                <w:sz w:val="20"/>
                <w:szCs w:val="20"/>
              </w:rPr>
              <w:t xml:space="preserve"> for all blocks</w:t>
            </w:r>
          </w:p>
        </w:tc>
        <w:tc>
          <w:tcPr>
            <w:tcW w:w="720" w:type="dxa"/>
          </w:tcPr>
          <w:p w14:paraId="17378BFC" w14:textId="216F2795"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Union</w:t>
            </w:r>
          </w:p>
        </w:tc>
        <w:tc>
          <w:tcPr>
            <w:tcW w:w="3235" w:type="dxa"/>
          </w:tcPr>
          <w:p w14:paraId="78389979" w14:textId="0F98FE4E" w:rsidR="009A5D10" w:rsidRPr="009A5D10" w:rsidRDefault="009A5D10" w:rsidP="009A5D10">
            <w:pPr>
              <w:cnfStyle w:val="000000000000" w:firstRow="0" w:lastRow="0" w:firstColumn="0" w:lastColumn="0" w:oddVBand="0" w:evenVBand="0" w:oddHBand="0" w:evenHBand="0" w:firstRowFirstColumn="0" w:firstRowLastColumn="0" w:lastRowFirstColumn="0" w:lastRowLastColumn="0"/>
              <w:rPr>
                <w:sz w:val="20"/>
                <w:szCs w:val="20"/>
              </w:rPr>
            </w:pPr>
            <w:r w:rsidRPr="009A5D10">
              <w:rPr>
                <w:sz w:val="20"/>
                <w:szCs w:val="20"/>
              </w:rPr>
              <w:t>f(</w:t>
            </w:r>
            <w:proofErr w:type="spellStart"/>
            <w:r w:rsidRPr="009A5D10">
              <w:rPr>
                <w:sz w:val="20"/>
                <w:szCs w:val="20"/>
              </w:rPr>
              <w:t>out</w:t>
            </w:r>
            <w:r w:rsidRPr="009A5D10">
              <w:rPr>
                <w:sz w:val="20"/>
                <w:szCs w:val="20"/>
                <w:vertAlign w:val="subscript"/>
              </w:rPr>
              <w:t>b</w:t>
            </w:r>
            <w:proofErr w:type="spellEnd"/>
            <w:r w:rsidRPr="009A5D10">
              <w:rPr>
                <w:sz w:val="20"/>
                <w:szCs w:val="20"/>
              </w:rPr>
              <w:t xml:space="preserve"> ) = </w:t>
            </w:r>
            <w:proofErr w:type="spellStart"/>
            <w:r w:rsidRPr="009A5D10">
              <w:rPr>
                <w:sz w:val="20"/>
                <w:szCs w:val="20"/>
              </w:rPr>
              <w:t>use</w:t>
            </w:r>
            <w:r w:rsidRPr="009A5D10">
              <w:rPr>
                <w:sz w:val="20"/>
                <w:szCs w:val="20"/>
                <w:vertAlign w:val="subscript"/>
              </w:rPr>
              <w:t>b</w:t>
            </w:r>
            <w:proofErr w:type="spellEnd"/>
            <m:oMath>
              <m:r>
                <w:rPr>
                  <w:rFonts w:ascii="Cambria Math" w:hAnsi="Cambria Math"/>
                  <w:sz w:val="20"/>
                  <w:szCs w:val="20"/>
                </w:rPr>
                <m:t>∪</m:t>
              </m:r>
            </m:oMath>
            <w:r w:rsidRPr="009A5D10">
              <w:rPr>
                <w:sz w:val="20"/>
                <w:szCs w:val="20"/>
              </w:rPr>
              <w:t xml:space="preserve"> (out</w:t>
            </w:r>
            <w:r w:rsidRPr="009A5D10">
              <w:rPr>
                <w:sz w:val="20"/>
                <w:szCs w:val="20"/>
                <w:vertAlign w:val="subscript"/>
              </w:rPr>
              <w:t>b</w:t>
            </w:r>
            <w:r w:rsidRPr="009A5D10">
              <w:rPr>
                <w:sz w:val="20"/>
                <w:szCs w:val="20"/>
              </w:rPr>
              <w:t xml:space="preserve"> – </w:t>
            </w:r>
            <w:proofErr w:type="spellStart"/>
            <w:r w:rsidRPr="009A5D10">
              <w:rPr>
                <w:sz w:val="20"/>
                <w:szCs w:val="20"/>
              </w:rPr>
              <w:t>kill</w:t>
            </w:r>
            <w:r w:rsidRPr="009A5D10">
              <w:rPr>
                <w:sz w:val="20"/>
                <w:szCs w:val="20"/>
                <w:vertAlign w:val="subscript"/>
              </w:rPr>
              <w:t>b</w:t>
            </w:r>
            <w:proofErr w:type="spellEnd"/>
            <w:r w:rsidRPr="009A5D10">
              <w:rPr>
                <w:sz w:val="20"/>
                <w:szCs w:val="20"/>
              </w:rPr>
              <w:t xml:space="preserve"> )</w:t>
            </w:r>
          </w:p>
          <w:p w14:paraId="4901FBA4" w14:textId="77777777"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8E0CBB" w14:paraId="6528E108" w14:textId="77777777" w:rsidTr="008E0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61C2B63" w14:textId="5881A4E4" w:rsidR="009A5D10" w:rsidRPr="009A5D10" w:rsidRDefault="009A5D10" w:rsidP="009A5D10">
            <w:pPr>
              <w:pStyle w:val="ListParagraph"/>
              <w:ind w:left="0"/>
              <w:rPr>
                <w:sz w:val="20"/>
                <w:szCs w:val="20"/>
              </w:rPr>
            </w:pPr>
            <w:r w:rsidRPr="009A5D10">
              <w:rPr>
                <w:sz w:val="20"/>
                <w:szCs w:val="20"/>
              </w:rPr>
              <w:t>Constant Propagation</w:t>
            </w:r>
          </w:p>
        </w:tc>
        <w:tc>
          <w:tcPr>
            <w:tcW w:w="1268" w:type="dxa"/>
          </w:tcPr>
          <w:p w14:paraId="51B938ED" w14:textId="5EA60BE0" w:rsidR="009A5D10" w:rsidRPr="009A5D10" w:rsidRDefault="009A5D10"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Valuation of T</w:t>
            </w:r>
          </w:p>
        </w:tc>
        <w:tc>
          <w:tcPr>
            <w:tcW w:w="1072" w:type="dxa"/>
          </w:tcPr>
          <w:p w14:paraId="49C9AC45" w14:textId="50616CE8" w:rsidR="009A5D10" w:rsidRPr="009A5D10" w:rsidRDefault="008E0CBB"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Forward</w:t>
            </w:r>
          </w:p>
        </w:tc>
        <w:tc>
          <w:tcPr>
            <w:tcW w:w="1710" w:type="dxa"/>
          </w:tcPr>
          <w:p w14:paraId="58E2BA8B" w14:textId="7780EC42" w:rsidR="009A5D10" w:rsidRPr="009A5D10" w:rsidRDefault="008E0CBB"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INIT(ENTRY) = T for all variables</w:t>
            </w:r>
          </w:p>
        </w:tc>
        <w:tc>
          <w:tcPr>
            <w:tcW w:w="720" w:type="dxa"/>
          </w:tcPr>
          <w:p w14:paraId="0D1B3A6B" w14:textId="505E0F7D" w:rsidR="009A5D10" w:rsidRPr="009A5D10" w:rsidRDefault="001772C4" w:rsidP="009A5D10">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Intersection</w:t>
            </w:r>
          </w:p>
        </w:tc>
        <w:tc>
          <w:tcPr>
            <w:tcW w:w="3235" w:type="dxa"/>
          </w:tcPr>
          <w:p w14:paraId="689CDF21" w14:textId="7DD103CC" w:rsidR="009A5D10" w:rsidRPr="009A5D10" w:rsidRDefault="00C278FC" w:rsidP="008E0C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x = c </w:t>
            </w:r>
            <w:r w:rsidRPr="00C278FC">
              <w:rPr>
                <w:sz w:val="20"/>
                <w:szCs w:val="20"/>
              </w:rPr>
              <w:sym w:font="Wingdings" w:char="F0E0"/>
            </w:r>
            <w:r>
              <w:rPr>
                <w:sz w:val="20"/>
                <w:szCs w:val="20"/>
              </w:rPr>
              <w:t xml:space="preserve"> propagate c; otherwise keep current value.</w:t>
            </w:r>
          </w:p>
        </w:tc>
      </w:tr>
      <w:tr w:rsidR="008E0CBB" w14:paraId="5BFDB51C" w14:textId="77777777" w:rsidTr="008E0CBB">
        <w:tc>
          <w:tcPr>
            <w:cnfStyle w:val="001000000000" w:firstRow="0" w:lastRow="0" w:firstColumn="1" w:lastColumn="0" w:oddVBand="0" w:evenVBand="0" w:oddHBand="0" w:evenHBand="0" w:firstRowFirstColumn="0" w:firstRowLastColumn="0" w:lastRowFirstColumn="0" w:lastRowLastColumn="0"/>
            <w:tcW w:w="1345" w:type="dxa"/>
          </w:tcPr>
          <w:p w14:paraId="6C4DED42" w14:textId="2E5AF829" w:rsidR="009A5D10" w:rsidRPr="009A5D10" w:rsidRDefault="009A5D10" w:rsidP="009A5D10">
            <w:pPr>
              <w:pStyle w:val="ListParagraph"/>
              <w:ind w:left="0"/>
              <w:rPr>
                <w:sz w:val="20"/>
                <w:szCs w:val="20"/>
              </w:rPr>
            </w:pPr>
            <w:r w:rsidRPr="009A5D10">
              <w:rPr>
                <w:sz w:val="20"/>
                <w:szCs w:val="20"/>
              </w:rPr>
              <w:t>Available Expressions</w:t>
            </w:r>
          </w:p>
        </w:tc>
        <w:tc>
          <w:tcPr>
            <w:tcW w:w="1268" w:type="dxa"/>
          </w:tcPr>
          <w:p w14:paraId="0493F8C3" w14:textId="1D062177"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 of expression</w:t>
            </w:r>
          </w:p>
        </w:tc>
        <w:tc>
          <w:tcPr>
            <w:tcW w:w="1072" w:type="dxa"/>
          </w:tcPr>
          <w:p w14:paraId="3BBB0703" w14:textId="205D78B6" w:rsidR="009A5D10" w:rsidRPr="009A5D10" w:rsidRDefault="008E0CBB"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Forward</w:t>
            </w:r>
          </w:p>
        </w:tc>
        <w:tc>
          <w:tcPr>
            <w:tcW w:w="1710" w:type="dxa"/>
          </w:tcPr>
          <w:p w14:paraId="1108E472" w14:textId="7C4AD90C" w:rsidR="009A5D10" w:rsidRPr="009A5D10" w:rsidRDefault="008E0CBB"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INIT(ENTRY) = </w:t>
            </w:r>
            <w:r w:rsidRPr="008E0CBB">
              <w:rPr>
                <w:sz w:val="20"/>
                <w:szCs w:val="20"/>
              </w:rPr>
              <w:t>θ</w:t>
            </w:r>
            <w:r>
              <w:rPr>
                <w:sz w:val="20"/>
                <w:szCs w:val="20"/>
              </w:rPr>
              <w:t>, INIT(B) = U</w:t>
            </w:r>
          </w:p>
        </w:tc>
        <w:tc>
          <w:tcPr>
            <w:tcW w:w="720" w:type="dxa"/>
          </w:tcPr>
          <w:p w14:paraId="1D30A18A" w14:textId="39426975"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Intersection</w:t>
            </w:r>
          </w:p>
        </w:tc>
        <w:tc>
          <w:tcPr>
            <w:tcW w:w="3235" w:type="dxa"/>
          </w:tcPr>
          <w:p w14:paraId="4AEB8A32" w14:textId="67C5F440" w:rsidR="001772C4" w:rsidRPr="009A5D10" w:rsidRDefault="001772C4" w:rsidP="001772C4">
            <w:pPr>
              <w:cnfStyle w:val="000000000000" w:firstRow="0" w:lastRow="0" w:firstColumn="0" w:lastColumn="0" w:oddVBand="0" w:evenVBand="0" w:oddHBand="0" w:evenHBand="0" w:firstRowFirstColumn="0" w:firstRowLastColumn="0" w:lastRowFirstColumn="0" w:lastRowLastColumn="0"/>
              <w:rPr>
                <w:sz w:val="20"/>
                <w:szCs w:val="20"/>
              </w:rPr>
            </w:pPr>
            <w:r w:rsidRPr="009A5D10">
              <w:rPr>
                <w:sz w:val="20"/>
                <w:szCs w:val="20"/>
              </w:rPr>
              <w:t>f(</w:t>
            </w:r>
            <w:proofErr w:type="spellStart"/>
            <w:r w:rsidRPr="009A5D10">
              <w:rPr>
                <w:sz w:val="20"/>
                <w:szCs w:val="20"/>
              </w:rPr>
              <w:t>out</w:t>
            </w:r>
            <w:r w:rsidRPr="009A5D10">
              <w:rPr>
                <w:sz w:val="20"/>
                <w:szCs w:val="20"/>
                <w:vertAlign w:val="subscript"/>
              </w:rPr>
              <w:t>b</w:t>
            </w:r>
            <w:proofErr w:type="spellEnd"/>
            <w:r w:rsidRPr="009A5D10">
              <w:rPr>
                <w:sz w:val="20"/>
                <w:szCs w:val="20"/>
              </w:rPr>
              <w:t xml:space="preserve"> ) = </w:t>
            </w:r>
            <w:proofErr w:type="spellStart"/>
            <w:r>
              <w:rPr>
                <w:sz w:val="20"/>
                <w:szCs w:val="20"/>
              </w:rPr>
              <w:t>e_gen</w:t>
            </w:r>
            <w:r w:rsidRPr="009A5D10">
              <w:rPr>
                <w:sz w:val="20"/>
                <w:szCs w:val="20"/>
                <w:vertAlign w:val="subscript"/>
              </w:rPr>
              <w:t>b</w:t>
            </w:r>
            <w:proofErr w:type="spellEnd"/>
            <m:oMath>
              <m:r>
                <w:rPr>
                  <w:rFonts w:ascii="Cambria Math" w:hAnsi="Cambria Math"/>
                  <w:sz w:val="20"/>
                  <w:szCs w:val="20"/>
                </w:rPr>
                <m:t>∪</m:t>
              </m:r>
            </m:oMath>
            <w:r w:rsidRPr="009A5D10">
              <w:rPr>
                <w:sz w:val="20"/>
                <w:szCs w:val="20"/>
              </w:rPr>
              <w:t xml:space="preserve"> (</w:t>
            </w:r>
            <w:proofErr w:type="spellStart"/>
            <w:r>
              <w:rPr>
                <w:sz w:val="20"/>
                <w:szCs w:val="20"/>
              </w:rPr>
              <w:t>in</w:t>
            </w:r>
            <w:r w:rsidRPr="009A5D10">
              <w:rPr>
                <w:sz w:val="20"/>
                <w:szCs w:val="20"/>
                <w:vertAlign w:val="subscript"/>
              </w:rPr>
              <w:t>b</w:t>
            </w:r>
            <w:proofErr w:type="spellEnd"/>
            <w:r w:rsidRPr="009A5D10">
              <w:rPr>
                <w:sz w:val="20"/>
                <w:szCs w:val="20"/>
              </w:rPr>
              <w:t xml:space="preserve"> – </w:t>
            </w:r>
            <w:proofErr w:type="spellStart"/>
            <w:r>
              <w:rPr>
                <w:sz w:val="20"/>
                <w:szCs w:val="20"/>
              </w:rPr>
              <w:t>e_</w:t>
            </w:r>
            <w:r w:rsidRPr="009A5D10">
              <w:rPr>
                <w:sz w:val="20"/>
                <w:szCs w:val="20"/>
              </w:rPr>
              <w:t>kill</w:t>
            </w:r>
            <w:r w:rsidRPr="009A5D10">
              <w:rPr>
                <w:sz w:val="20"/>
                <w:szCs w:val="20"/>
                <w:vertAlign w:val="subscript"/>
              </w:rPr>
              <w:t>b</w:t>
            </w:r>
            <w:proofErr w:type="spellEnd"/>
            <w:r w:rsidRPr="009A5D10">
              <w:rPr>
                <w:sz w:val="20"/>
                <w:szCs w:val="20"/>
              </w:rPr>
              <w:t xml:space="preserve"> )</w:t>
            </w:r>
          </w:p>
          <w:p w14:paraId="6DB1E07B" w14:textId="77777777" w:rsidR="009A5D10" w:rsidRPr="009A5D10" w:rsidRDefault="009A5D10" w:rsidP="009A5D10">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p>
        </w:tc>
      </w:tr>
    </w:tbl>
    <w:p w14:paraId="20757FC3" w14:textId="77777777" w:rsidR="009A5D10" w:rsidRDefault="009A5D10" w:rsidP="009A5D10">
      <w:pPr>
        <w:pStyle w:val="ListParagraph"/>
      </w:pPr>
    </w:p>
    <w:p w14:paraId="76EEE33F" w14:textId="2DA683D5" w:rsidR="009A5D10" w:rsidRDefault="009A5D10" w:rsidP="009A5D10">
      <w:pPr>
        <w:pStyle w:val="ListParagraph"/>
        <w:numPr>
          <w:ilvl w:val="0"/>
          <w:numId w:val="1"/>
        </w:numPr>
      </w:pPr>
      <w:r>
        <w:t>Write a convincing argument that the worklist algorithm is guaranteed to converge to a solution, given a certain condition. Be sure to state that condition.</w:t>
      </w:r>
    </w:p>
    <w:p w14:paraId="1BB566C5" w14:textId="77777777" w:rsidR="00CE171C" w:rsidRDefault="00CE171C" w:rsidP="00CE171C">
      <w:pPr>
        <w:pStyle w:val="ListParagraph"/>
      </w:pPr>
    </w:p>
    <w:p w14:paraId="116EE33B" w14:textId="6984837E" w:rsidR="00CE171C" w:rsidRDefault="00CE171C" w:rsidP="00CE171C">
      <w:pPr>
        <w:pStyle w:val="ListParagraph"/>
      </w:pPr>
      <w:r>
        <w:t xml:space="preserve">The worklist algorithm is guaranteed to converge to a solution based on two key ideas: finite height of the lattice (partial order with a unique lower bound) and monotonicity. </w:t>
      </w:r>
    </w:p>
    <w:p w14:paraId="6648D4B4" w14:textId="77777777" w:rsidR="0015447A" w:rsidRDefault="0015447A" w:rsidP="00CE171C">
      <w:pPr>
        <w:pStyle w:val="ListParagraph"/>
      </w:pPr>
    </w:p>
    <w:p w14:paraId="5456A298" w14:textId="08150F54" w:rsidR="0015447A" w:rsidRDefault="0015447A" w:rsidP="0015447A">
      <w:pPr>
        <w:pStyle w:val="ListParagraph"/>
        <w:numPr>
          <w:ilvl w:val="0"/>
          <w:numId w:val="2"/>
        </w:numPr>
      </w:pPr>
      <w:r>
        <w:t>The lattice has a finite height: The domain of values has a finite number of distinct values and a finite number of steps from highest to lowest. As such, a value can only change a limited number of times before it reaches a stable and final state.</w:t>
      </w:r>
    </w:p>
    <w:p w14:paraId="481B10DA" w14:textId="577B0BE9" w:rsidR="0015447A" w:rsidRDefault="0015447A" w:rsidP="0015447A">
      <w:pPr>
        <w:pStyle w:val="ListParagraph"/>
        <w:numPr>
          <w:ilvl w:val="0"/>
          <w:numId w:val="2"/>
        </w:numPr>
      </w:pPr>
      <w:r>
        <w:t>All transfer functions are monotonic: The transfer functions are monotonic. This correlates to the idea that they must preserve to partial order of the lattice. Particularly, a transfer function will never go to a less specific state.</w:t>
      </w:r>
    </w:p>
    <w:p w14:paraId="45B43C39" w14:textId="59572240" w:rsidR="0015447A" w:rsidRDefault="0015447A" w:rsidP="0015447A">
      <w:pPr>
        <w:ind w:left="720"/>
      </w:pPr>
      <w:r>
        <w:t xml:space="preserve">Now, as the algorithm proceeds, nodes are repeatedly </w:t>
      </w:r>
      <w:proofErr w:type="gramStart"/>
      <w:r>
        <w:t>processes</w:t>
      </w:r>
      <w:proofErr w:type="gramEnd"/>
      <w:r>
        <w:t xml:space="preserve"> from the worklist. A node is added to the worklist only when the dataflow value for incoming edges change. Due to monotonicity of the transfer functions, the value for any given node can change in only one direction. Furthermore, for finite height of the lattice, this correlates to the idea that the changes must eventually stop. There’s a finite number of possible value changes for any node. Once no more values can change, the </w:t>
      </w:r>
      <w:r>
        <w:lastRenderedPageBreak/>
        <w:t xml:space="preserve">worklist ultimately becomes </w:t>
      </w:r>
      <w:proofErr w:type="gramStart"/>
      <w:r>
        <w:t>empty</w:t>
      </w:r>
      <w:proofErr w:type="gramEnd"/>
      <w:r>
        <w:t xml:space="preserve"> and the algorithm terminates. </w:t>
      </w:r>
      <w:proofErr w:type="gramStart"/>
      <w:r>
        <w:t>Therefore</w:t>
      </w:r>
      <w:proofErr w:type="gramEnd"/>
      <w:r>
        <w:t xml:space="preserve"> guaranteeing a point of termination within the algorithm with a guaranteed solution. </w:t>
      </w:r>
    </w:p>
    <w:p w14:paraId="2085EC08" w14:textId="77777777" w:rsidR="00CE171C" w:rsidRPr="009A5D10" w:rsidRDefault="00CE171C" w:rsidP="00CE171C">
      <w:pPr>
        <w:pStyle w:val="ListParagraph"/>
      </w:pPr>
    </w:p>
    <w:sectPr w:rsidR="00CE171C" w:rsidRPr="009A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807FE"/>
    <w:multiLevelType w:val="hybridMultilevel"/>
    <w:tmpl w:val="76B8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E355F"/>
    <w:multiLevelType w:val="hybridMultilevel"/>
    <w:tmpl w:val="B9301A3C"/>
    <w:lvl w:ilvl="0" w:tplc="9508E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513922">
    <w:abstractNumId w:val="0"/>
  </w:num>
  <w:num w:numId="2" w16cid:durableId="663431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10"/>
    <w:rsid w:val="00152B91"/>
    <w:rsid w:val="0015447A"/>
    <w:rsid w:val="001772C4"/>
    <w:rsid w:val="00557EFD"/>
    <w:rsid w:val="007753FB"/>
    <w:rsid w:val="008E0CBB"/>
    <w:rsid w:val="009A5D10"/>
    <w:rsid w:val="00A738DA"/>
    <w:rsid w:val="00BC5275"/>
    <w:rsid w:val="00C278FC"/>
    <w:rsid w:val="00CE171C"/>
    <w:rsid w:val="00D9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0B4B"/>
  <w15:chartTrackingRefBased/>
  <w15:docId w15:val="{56783D0A-3D8E-4EB9-B102-ED75B801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D10"/>
    <w:rPr>
      <w:rFonts w:eastAsiaTheme="majorEastAsia" w:cstheme="majorBidi"/>
      <w:color w:val="272727" w:themeColor="text1" w:themeTint="D8"/>
    </w:rPr>
  </w:style>
  <w:style w:type="paragraph" w:styleId="Title">
    <w:name w:val="Title"/>
    <w:basedOn w:val="Normal"/>
    <w:next w:val="Normal"/>
    <w:link w:val="TitleChar"/>
    <w:uiPriority w:val="10"/>
    <w:qFormat/>
    <w:rsid w:val="009A5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D10"/>
    <w:pPr>
      <w:spacing w:before="160"/>
      <w:jc w:val="center"/>
    </w:pPr>
    <w:rPr>
      <w:i/>
      <w:iCs/>
      <w:color w:val="404040" w:themeColor="text1" w:themeTint="BF"/>
    </w:rPr>
  </w:style>
  <w:style w:type="character" w:customStyle="1" w:styleId="QuoteChar">
    <w:name w:val="Quote Char"/>
    <w:basedOn w:val="DefaultParagraphFont"/>
    <w:link w:val="Quote"/>
    <w:uiPriority w:val="29"/>
    <w:rsid w:val="009A5D10"/>
    <w:rPr>
      <w:i/>
      <w:iCs/>
      <w:color w:val="404040" w:themeColor="text1" w:themeTint="BF"/>
    </w:rPr>
  </w:style>
  <w:style w:type="paragraph" w:styleId="ListParagraph">
    <w:name w:val="List Paragraph"/>
    <w:basedOn w:val="Normal"/>
    <w:uiPriority w:val="34"/>
    <w:qFormat/>
    <w:rsid w:val="009A5D10"/>
    <w:pPr>
      <w:ind w:left="720"/>
      <w:contextualSpacing/>
    </w:pPr>
  </w:style>
  <w:style w:type="character" w:styleId="IntenseEmphasis">
    <w:name w:val="Intense Emphasis"/>
    <w:basedOn w:val="DefaultParagraphFont"/>
    <w:uiPriority w:val="21"/>
    <w:qFormat/>
    <w:rsid w:val="009A5D10"/>
    <w:rPr>
      <w:i/>
      <w:iCs/>
      <w:color w:val="0F4761" w:themeColor="accent1" w:themeShade="BF"/>
    </w:rPr>
  </w:style>
  <w:style w:type="paragraph" w:styleId="IntenseQuote">
    <w:name w:val="Intense Quote"/>
    <w:basedOn w:val="Normal"/>
    <w:next w:val="Normal"/>
    <w:link w:val="IntenseQuoteChar"/>
    <w:uiPriority w:val="30"/>
    <w:qFormat/>
    <w:rsid w:val="009A5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D10"/>
    <w:rPr>
      <w:i/>
      <w:iCs/>
      <w:color w:val="0F4761" w:themeColor="accent1" w:themeShade="BF"/>
    </w:rPr>
  </w:style>
  <w:style w:type="character" w:styleId="IntenseReference">
    <w:name w:val="Intense Reference"/>
    <w:basedOn w:val="DefaultParagraphFont"/>
    <w:uiPriority w:val="32"/>
    <w:qFormat/>
    <w:rsid w:val="009A5D10"/>
    <w:rPr>
      <w:b/>
      <w:bCs/>
      <w:smallCaps/>
      <w:color w:val="0F4761" w:themeColor="accent1" w:themeShade="BF"/>
      <w:spacing w:val="5"/>
    </w:rPr>
  </w:style>
  <w:style w:type="table" w:styleId="TableGrid">
    <w:name w:val="Table Grid"/>
    <w:basedOn w:val="TableNormal"/>
    <w:uiPriority w:val="39"/>
    <w:rsid w:val="009A5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A5D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PlaceholderText">
    <w:name w:val="Placeholder Text"/>
    <w:basedOn w:val="DefaultParagraphFont"/>
    <w:uiPriority w:val="99"/>
    <w:semiHidden/>
    <w:rsid w:val="008E0C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Aitiana Mondragon</dc:creator>
  <cp:keywords/>
  <dc:description/>
  <cp:lastModifiedBy>Aitiana Mondragon</cp:lastModifiedBy>
  <cp:revision>1</cp:revision>
  <dcterms:created xsi:type="dcterms:W3CDTF">2025-09-21T19:42:00Z</dcterms:created>
  <dcterms:modified xsi:type="dcterms:W3CDTF">2025-09-21T20:43:00Z</dcterms:modified>
</cp:coreProperties>
</file>