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4"/>
          <w:szCs w:val="34"/>
        </w:rPr>
        <w:t xml:space="preserve">Azani Internet Service Provider Information System</w:t>
      </w:r>
    </w:p>
    <w:p>
      <w:pPr>
        <w:spacing w:after="40"/>
        <w:jc w:val="center"/>
      </w:pPr>
      <w:r>
        <w:rPr>
          <w:color w:val="5F5E5A"/>
          <w:sz w:val="24"/>
          <w:szCs w:val="24"/>
        </w:rPr>
        <w:t xml:space="preserve">Project structure, UML diagrams, database schema, and logic flow</w:t>
      </w:r>
    </w:p>
    <w:p>
      <w:pPr>
        <w:spacing w:after="300"/>
        <w:jc w:val="center"/>
      </w:pPr>
      <w:r>
        <w:rPr>
          <w:i/>
          <w:iCs/>
          <w:color w:val="5F5E5A"/>
          <w:sz w:val="20"/>
          <w:szCs w:val="20"/>
        </w:rPr>
        <w:t xml:space="preserve">SCO 200 Object Oriented Programming II — September to November 2026</w:t>
      </w:r>
    </w:p>
    <w:p>
      <w:pPr>
        <w:pStyle w:val="Heading1"/>
        <w:spacing w:after="160" w:before="320"/>
      </w:pPr>
      <w:r>
        <w:t xml:space="preserve">1. Overview</w:t>
      </w:r>
    </w:p>
    <w:p>
      <w:pPr>
        <w:spacing w:after="160"/>
      </w:pPr>
      <w:r>
        <w:t xml:space="preserve">Azani provides internet connectivity to primary, junior, and senior schools, and to colleges. The brief sets five operations the application must support: institution registration, a readiness site visit, an equipment purchase path for institutions that fail that visit, monthly billing with fines and disconnection for defaulters, and a reconnection step once an institution clears its balance.</w:t>
      </w:r>
    </w:p>
    <w:p>
      <w:pPr>
        <w:spacing w:after="160"/>
      </w:pPr>
      <w:r>
        <w:t xml:space="preserve">This document lays out the pieces a student builds from: the layered structure of the application, the class and object model, the database schema with its field list, and the two logic flows that carry the most marks in the coursework rubric, onboarding and the billing-to-disconnection cycle. The Java code, the SQL scripts, and the written report stay the student's own work.</w:t>
      </w:r>
    </w:p>
    <w:p>
      <w:pPr>
        <w:pStyle w:val="Heading1"/>
        <w:spacing w:after="160" w:before="320"/>
      </w:pPr>
      <w:r>
        <w:t xml:space="preserve">2. System architecture</w:t>
      </w:r>
    </w:p>
    <w:p>
      <w:pPr>
        <w:spacing w:after="160"/>
      </w:pPr>
      <w:r>
        <w:t xml:space="preserve">The application splits into four layers. A Swing form never talks to the database directly. It raises an event, a service class applies the business rule, and a data access object issues the SQL. This separation keeps a fee change or a fine calculation out of the GUI code, where a marker cannot find it and a student cannot test it in isolation.</w:t>
      </w:r>
    </w:p>
    <w:p>
      <w:pPr>
        <w:spacing w:after="80" w:before="200"/>
        <w:jc w:val="center"/>
      </w:pPr>
      <w:r>
        <w:drawing>
          <wp:inline distT="0" distB="0" distL="0" distR="0">
            <wp:extent cx="5334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486025"/>
                    </a:xfrm>
                    <a:prstGeom prst="rect">
                      <a:avLst/>
                    </a:prstGeom>
                  </pic:spPr>
                </pic:pic>
              </a:graphicData>
            </a:graphic>
          </wp:inline>
        </w:drawing>
      </w:r>
    </w:p>
    <w:p>
      <w:pPr>
        <w:spacing w:after="240"/>
        <w:jc w:val="center"/>
      </w:pPr>
      <w:r>
        <w:rPr>
          <w:i/>
          <w:iCs/>
          <w:color w:val="5F5E5A"/>
          <w:sz w:val="20"/>
          <w:szCs w:val="20"/>
        </w:rPr>
        <w:t xml:space="preserve">Figure 1. Layered architecture: Swing GUI, service layer, JDBC data access, MySQL database.</w:t>
      </w:r>
    </w:p>
    <w:p>
      <w:pPr>
        <w:pStyle w:val="Heading1"/>
        <w:spacing w:after="160" w:before="320"/>
      </w:pPr>
      <w:r>
        <w:t xml:space="preserve">3. UML class diagram</w:t>
      </w:r>
    </w:p>
    <w:p>
      <w:pPr>
        <w:spacing w:after="160"/>
      </w:pPr>
      <w:r>
        <w:t xml:space="preserve">The class model separates five concerns. Institution and ContactPerson capture the registration data. ReadinessAssessment, EquipmentOrder, and LANNodeTier capture the site visit and the equipment path an institution takes when it fails that visit. Installation, Subscription, BandwidthPlan, and Upgrade capture the service itself. OverdueFine and Disconnection capture the default path. Payment sits apart as an abstract class, since a registration charge, an installation charge, a monthly charge, and a reconnection charge all share the same shape: an amount, a payment date, and a method that computes what is owed.</w:t>
      </w:r>
    </w:p>
    <w:p>
      <w:pPr>
        <w:spacing w:after="160"/>
      </w:pPr>
      <w:r>
        <w:t xml:space="preserve">Four subclasses extend Payment. RegistrationPayment and InstallationPayment need no extra field, because Institution already links to a fixed fee. MonthlyPayment carries a billingMonth field, since one institution accumulates many monthly payments across a subscription's life. ReconnectionPayment carries the flat KSh 1,000 charge that Azani surcharges once an institution clears both its bill and its fine.</w:t>
      </w:r>
    </w:p>
    <w:p>
      <w:pPr>
        <w:spacing w:after="80" w:before="200"/>
        <w:jc w:val="center"/>
      </w:pPr>
      <w:r>
        <w:drawing>
          <wp:inline distT="0" distB="0" distL="0" distR="0">
            <wp:extent cx="5905500" cy="480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800600"/>
                    </a:xfrm>
                    <a:prstGeom prst="rect">
                      <a:avLst/>
                    </a:prstGeom>
                  </pic:spPr>
                </pic:pic>
              </a:graphicData>
            </a:graphic>
          </wp:inline>
        </w:drawing>
      </w:r>
    </w:p>
    <w:p>
      <w:pPr>
        <w:spacing w:after="240"/>
        <w:jc w:val="center"/>
      </w:pPr>
      <w:r>
        <w:rPr>
          <w:i/>
          <w:iCs/>
          <w:color w:val="5F5E5A"/>
          <w:sz w:val="20"/>
          <w:szCs w:val="20"/>
        </w:rPr>
        <w:t xml:space="preserve">Figure 2. UML class diagram for the Azani domain model.</w:t>
      </w:r>
    </w:p>
    <w:p>
      <w:pPr>
        <w:pStyle w:val="Heading1"/>
        <w:spacing w:after="160" w:before="320"/>
      </w:pPr>
      <w:r>
        <w:t xml:space="preserve">4. Object diagram</w:t>
      </w:r>
    </w:p>
    <w:p>
      <w:pPr>
        <w:spacing w:after="160"/>
      </w:pPr>
      <w:r>
        <w:t xml:space="preserve">An object diagram freezes the class model at one moment, across the whole system rather than one function. Riverside Primary sits at the centre, linked to its contact person, its installation record, its active subscription and the bandwidth plan behind it, a settled monthly payment, and the history of one earlier fine and disconnection that the institution has since cleared. The snapshot carries the full onboarding-to-billing chain in one picture, not just the billing branch on its own.</w:t>
      </w:r>
    </w:p>
    <w:p>
      <w:pPr>
        <w:spacing w:after="80" w:before="200"/>
        <w:jc w:val="center"/>
      </w:pPr>
      <w:r>
        <w:drawing>
          <wp:inline distT="0" distB="0" distL="0" distR="0">
            <wp:extent cx="6477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2638425"/>
                    </a:xfrm>
                    <a:prstGeom prst="rect">
                      <a:avLst/>
                    </a:prstGeom>
                  </pic:spPr>
                </pic:pic>
              </a:graphicData>
            </a:graphic>
          </wp:inline>
        </w:drawing>
      </w:r>
    </w:p>
    <w:p>
      <w:pPr>
        <w:spacing w:after="240"/>
        <w:jc w:val="center"/>
      </w:pPr>
      <w:r>
        <w:rPr>
          <w:i/>
          <w:iCs/>
          <w:color w:val="5F5E5A"/>
          <w:sz w:val="20"/>
          <w:szCs w:val="20"/>
        </w:rPr>
        <w:t xml:space="preserve">Figure 3. Object diagram: a general snapshot of one institution and every object type it touches.</w:t>
      </w:r>
    </w:p>
    <w:p>
      <w:pPr>
        <w:pStyle w:val="Heading1"/>
        <w:spacing w:after="160" w:before="320"/>
      </w:pPr>
      <w:r>
        <w:t xml:space="preserve">5. Database schema</w:t>
      </w:r>
    </w:p>
    <w:p>
      <w:pPr>
        <w:spacing w:after="160"/>
      </w:pPr>
      <w:r>
        <w:t xml:space="preserve">Eleven tables carry the class model into MySQL. bandwidth_plans and lan_node_tiers hold the two fixed price lists from the brief, so a rate change updates one row rather than a line of Java. payments carries a payment_type column instead of four separate tables, since a registration charge, an installation charge, a monthly charge, and a reconnection charge differ only in when they occur and what they reference, not in their shape.</w:t>
      </w:r>
    </w:p>
    <w:p>
      <w:pPr>
        <w:spacing w:after="80" w:before="200"/>
        <w:jc w:val="center"/>
      </w:pPr>
      <w:r>
        <w:drawing>
          <wp:inline distT="0" distB="0" distL="0" distR="0">
            <wp:extent cx="6096000" cy="474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4743450"/>
                    </a:xfrm>
                    <a:prstGeom prst="rect">
                      <a:avLst/>
                    </a:prstGeom>
                  </pic:spPr>
                </pic:pic>
              </a:graphicData>
            </a:graphic>
          </wp:inline>
        </w:drawing>
      </w:r>
    </w:p>
    <w:p>
      <w:pPr>
        <w:spacing w:after="240"/>
        <w:jc w:val="center"/>
      </w:pPr>
      <w:r>
        <w:rPr>
          <w:i/>
          <w:iCs/>
          <w:color w:val="5F5E5A"/>
          <w:sz w:val="20"/>
          <w:szCs w:val="20"/>
        </w:rPr>
        <w:t xml:space="preserve">Figure 4. Entity relationship diagram for the azani_db schema.</w:t>
      </w:r>
    </w:p>
    <w:p>
      <w:pPr>
        <w:pStyle w:val="Heading2"/>
        <w:spacing w:after="120" w:before="240"/>
      </w:pPr>
      <w:r>
        <w:t xml:space="preserve">5.1 Field list</w:t>
      </w:r>
    </w:p>
    <w:p>
      <w:pPr>
        <w:spacing w:after="160"/>
      </w:pPr>
      <w:r>
        <w:t xml:space="preserve">The table below lists every field, its MySQL type, and whether it carries a primary or foreign key. A student wiring up JDBC PreparedStatement calls works from this list directly.</w:t>
      </w:r>
    </w:p>
    <w:tbl>
      <w:tblPr>
        <w:tblW w:type="dxa" w:w="8100"/>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200"/>
        <w:gridCol w:w="1000"/>
      </w:tblGrid>
      <w:tr>
        <w:trPr>
          <w:tblHeader/>
        </w:trPr>
        <w:tc>
          <w:tcPr>
            <w:tcW w:type="dxa" w:w="2300"/>
            <w:shd w:fill="2C2C2A" w:val="clear"/>
            <w:tcMar>
              <w:top w:type="dxa" w:w="60"/>
              <w:left w:type="dxa" w:w="100"/>
              <w:bottom w:type="dxa" w:w="60"/>
              <w:right w:type="dxa" w:w="100"/>
            </w:tcMar>
          </w:tcPr>
          <w:p>
            <w:r>
              <w:rPr>
                <w:b/>
                <w:bCs/>
                <w:sz w:val="20"/>
                <w:szCs w:val="20"/>
              </w:rPr>
              <w:t xml:space="preserve">Table</w:t>
            </w:r>
          </w:p>
        </w:tc>
        <w:tc>
          <w:tcPr>
            <w:tcW w:type="dxa" w:w="2600"/>
            <w:shd w:fill="2C2C2A" w:val="clear"/>
            <w:tcMar>
              <w:top w:type="dxa" w:w="60"/>
              <w:left w:type="dxa" w:w="100"/>
              <w:bottom w:type="dxa" w:w="60"/>
              <w:right w:type="dxa" w:w="100"/>
            </w:tcMar>
          </w:tcPr>
          <w:p>
            <w:r>
              <w:rPr>
                <w:b/>
                <w:bCs/>
                <w:sz w:val="20"/>
                <w:szCs w:val="20"/>
              </w:rPr>
              <w:t xml:space="preserve">Field</w:t>
            </w:r>
          </w:p>
        </w:tc>
        <w:tc>
          <w:tcPr>
            <w:tcW w:type="dxa" w:w="2200"/>
            <w:shd w:fill="2C2C2A" w:val="clear"/>
            <w:tcMar>
              <w:top w:type="dxa" w:w="60"/>
              <w:left w:type="dxa" w:w="100"/>
              <w:bottom w:type="dxa" w:w="60"/>
              <w:right w:type="dxa" w:w="100"/>
            </w:tcMar>
          </w:tcPr>
          <w:p>
            <w:r>
              <w:rPr>
                <w:b/>
                <w:bCs/>
                <w:sz w:val="20"/>
                <w:szCs w:val="20"/>
              </w:rPr>
              <w:t xml:space="preserve">Type</w:t>
            </w:r>
          </w:p>
        </w:tc>
        <w:tc>
          <w:tcPr>
            <w:tcW w:type="dxa" w:w="1000"/>
            <w:shd w:fill="2C2C2A" w:val="clear"/>
            <w:tcMar>
              <w:top w:type="dxa" w:w="60"/>
              <w:left w:type="dxa" w:w="100"/>
              <w:bottom w:type="dxa" w:w="60"/>
              <w:right w:type="dxa" w:w="100"/>
            </w:tcMar>
          </w:tcPr>
          <w:p>
            <w:r>
              <w:rPr>
                <w:b/>
                <w:bCs/>
                <w:sz w:val="20"/>
                <w:szCs w:val="20"/>
              </w:rPr>
              <w:t xml:space="preserve">Key</w:t>
            </w:r>
          </w:p>
        </w:tc>
      </w:tr>
      <w:tr>
        <w:tc>
          <w:tcPr>
            <w:tcW w:type="dxa" w:w="2300"/>
            <w:shd w:fill="F3F1EA" w:val="clear"/>
            <w:tcMar>
              <w:top w:type="dxa" w:w="60"/>
              <w:left w:type="dxa" w:w="100"/>
              <w:bottom w:type="dxa" w:w="60"/>
              <w:right w:type="dxa" w:w="100"/>
            </w:tcMar>
          </w:tcPr>
          <w:p>
            <w:r>
              <w:rPr>
                <w:b/>
                <w:bCs/>
                <w:sz w:val="20"/>
                <w:szCs w:val="20"/>
              </w:rPr>
              <w:t xml:space="preserve">institutions</w:t>
            </w:r>
          </w:p>
        </w:tc>
        <w:tc>
          <w:tcPr>
            <w:tcW w:type="dxa" w:w="2600"/>
            <w:shd w:fill="F3F1EA" w:val="clear"/>
            <w:tcMar>
              <w:top w:type="dxa" w:w="60"/>
              <w:left w:type="dxa" w:w="100"/>
              <w:bottom w:type="dxa" w:w="60"/>
              <w:right w:type="dxa" w:w="100"/>
            </w:tcMar>
          </w:tcPr>
          <w:p>
            <w:r>
              <w:rPr>
                <w:b w:val="false"/>
                <w:bCs w:val="false"/>
                <w:sz w:val="20"/>
                <w:szCs w:val="20"/>
              </w:rPr>
              <w:t xml:space="preserve">institution_id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name</w:t>
            </w:r>
          </w:p>
        </w:tc>
        <w:tc>
          <w:tcPr>
            <w:tcW w:type="dxa" w:w="2200"/>
            <w:shd w:fill="F3F1EA" w:val="clear"/>
            <w:tcMar>
              <w:top w:type="dxa" w:w="60"/>
              <w:left w:type="dxa" w:w="100"/>
              <w:bottom w:type="dxa" w:w="60"/>
              <w:right w:type="dxa" w:w="100"/>
            </w:tcMar>
          </w:tcPr>
          <w:p>
            <w:r>
              <w:rPr>
                <w:b w:val="false"/>
                <w:bCs w:val="false"/>
                <w:sz w:val="20"/>
                <w:szCs w:val="20"/>
              </w:rPr>
              <w:t xml:space="preserve">VARCHAR(100)</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type</w:t>
            </w:r>
          </w:p>
        </w:tc>
        <w:tc>
          <w:tcPr>
            <w:tcW w:type="dxa" w:w="2200"/>
            <w:shd w:fill="F3F1EA" w:val="clear"/>
            <w:tcMar>
              <w:top w:type="dxa" w:w="60"/>
              <w:left w:type="dxa" w:w="100"/>
              <w:bottom w:type="dxa" w:w="60"/>
              <w:right w:type="dxa" w:w="100"/>
            </w:tcMar>
          </w:tcPr>
          <w:p>
            <w:r>
              <w:rPr>
                <w:b w:val="false"/>
                <w:bCs w:val="false"/>
                <w:sz w:val="20"/>
                <w:szCs w:val="20"/>
              </w:rPr>
              <w:t xml:space="preserve">VARCHAR(20)</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address</w:t>
            </w:r>
          </w:p>
        </w:tc>
        <w:tc>
          <w:tcPr>
            <w:tcW w:type="dxa" w:w="2200"/>
            <w:shd w:fill="F3F1EA" w:val="clear"/>
            <w:tcMar>
              <w:top w:type="dxa" w:w="60"/>
              <w:left w:type="dxa" w:w="100"/>
              <w:bottom w:type="dxa" w:w="60"/>
              <w:right w:type="dxa" w:w="100"/>
            </w:tcMar>
          </w:tcPr>
          <w:p>
            <w:r>
              <w:rPr>
                <w:b w:val="false"/>
                <w:bCs w:val="false"/>
                <w:sz w:val="20"/>
                <w:szCs w:val="20"/>
              </w:rPr>
              <w:t xml:space="preserve">VARCHAR(150)</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registered_on</w:t>
            </w:r>
          </w:p>
        </w:tc>
        <w:tc>
          <w:tcPr>
            <w:tcW w:type="dxa" w:w="2200"/>
            <w:shd w:fill="F3F1EA" w:val="clear"/>
            <w:tcMar>
              <w:top w:type="dxa" w:w="60"/>
              <w:left w:type="dxa" w:w="100"/>
              <w:bottom w:type="dxa" w:w="60"/>
              <w:right w:type="dxa" w:w="100"/>
            </w:tcMar>
          </w:tcPr>
          <w:p>
            <w:r>
              <w:rPr>
                <w:b w:val="false"/>
                <w:bCs w:val="false"/>
                <w:sz w:val="20"/>
                <w:szCs w:val="20"/>
              </w:rPr>
              <w:t xml:space="preserve">DATE</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status</w:t>
            </w:r>
          </w:p>
        </w:tc>
        <w:tc>
          <w:tcPr>
            <w:tcW w:type="dxa" w:w="2200"/>
            <w:shd w:fill="F3F1EA" w:val="clear"/>
            <w:tcMar>
              <w:top w:type="dxa" w:w="60"/>
              <w:left w:type="dxa" w:w="100"/>
              <w:bottom w:type="dxa" w:w="60"/>
              <w:right w:type="dxa" w:w="100"/>
            </w:tcMar>
          </w:tcPr>
          <w:p>
            <w:r>
              <w:rPr>
                <w:b w:val="false"/>
                <w:bCs w:val="false"/>
                <w:sz w:val="20"/>
                <w:szCs w:val="20"/>
              </w:rPr>
              <w:t xml:space="preserve">VARCHAR(20)</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contact_persons</w:t>
            </w:r>
          </w:p>
        </w:tc>
        <w:tc>
          <w:tcPr>
            <w:tcW w:type="dxa" w:w="2600"/>
            <w:shd w:fill="FFFFFF" w:val="clear"/>
            <w:tcMar>
              <w:top w:type="dxa" w:w="60"/>
              <w:left w:type="dxa" w:w="100"/>
              <w:bottom w:type="dxa" w:w="60"/>
              <w:right w:type="dxa" w:w="100"/>
            </w:tcMar>
          </w:tcPr>
          <w:p>
            <w:r>
              <w:rPr>
                <w:b w:val="false"/>
                <w:bCs w:val="false"/>
                <w:sz w:val="20"/>
                <w:szCs w:val="20"/>
              </w:rPr>
              <w:t xml:space="preserve">contact_id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institution_id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full_name</w:t>
            </w:r>
          </w:p>
        </w:tc>
        <w:tc>
          <w:tcPr>
            <w:tcW w:type="dxa" w:w="2200"/>
            <w:shd w:fill="FFFFFF" w:val="clear"/>
            <w:tcMar>
              <w:top w:type="dxa" w:w="60"/>
              <w:left w:type="dxa" w:w="100"/>
              <w:bottom w:type="dxa" w:w="60"/>
              <w:right w:type="dxa" w:w="100"/>
            </w:tcMar>
          </w:tcPr>
          <w:p>
            <w:r>
              <w:rPr>
                <w:b w:val="false"/>
                <w:bCs w:val="false"/>
                <w:sz w:val="20"/>
                <w:szCs w:val="20"/>
              </w:rPr>
              <w:t xml:space="preserve">VARCHAR(100)</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phone</w:t>
            </w:r>
          </w:p>
        </w:tc>
        <w:tc>
          <w:tcPr>
            <w:tcW w:type="dxa" w:w="2200"/>
            <w:shd w:fill="FFFFFF" w:val="clear"/>
            <w:tcMar>
              <w:top w:type="dxa" w:w="60"/>
              <w:left w:type="dxa" w:w="100"/>
              <w:bottom w:type="dxa" w:w="60"/>
              <w:right w:type="dxa" w:w="100"/>
            </w:tcMar>
          </w:tcPr>
          <w:p>
            <w:r>
              <w:rPr>
                <w:b w:val="false"/>
                <w:bCs w:val="false"/>
                <w:sz w:val="20"/>
                <w:szCs w:val="20"/>
              </w:rPr>
              <w:t xml:space="preserve">VARCHAR(20)</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email</w:t>
            </w:r>
          </w:p>
        </w:tc>
        <w:tc>
          <w:tcPr>
            <w:tcW w:type="dxa" w:w="2200"/>
            <w:shd w:fill="FFFFFF" w:val="clear"/>
            <w:tcMar>
              <w:top w:type="dxa" w:w="60"/>
              <w:left w:type="dxa" w:w="100"/>
              <w:bottom w:type="dxa" w:w="60"/>
              <w:right w:type="dxa" w:w="100"/>
            </w:tcMar>
          </w:tcPr>
          <w:p>
            <w:r>
              <w:rPr>
                <w:b w:val="false"/>
                <w:bCs w:val="false"/>
                <w:sz w:val="20"/>
                <w:szCs w:val="20"/>
              </w:rPr>
              <w:t xml:space="preserve">VARCHAR(100)</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bCs/>
                <w:sz w:val="20"/>
                <w:szCs w:val="20"/>
              </w:rPr>
              <w:t xml:space="preserve">readiness_assessments</w:t>
            </w:r>
          </w:p>
        </w:tc>
        <w:tc>
          <w:tcPr>
            <w:tcW w:type="dxa" w:w="2600"/>
            <w:shd w:fill="F3F1EA" w:val="clear"/>
            <w:tcMar>
              <w:top w:type="dxa" w:w="60"/>
              <w:left w:type="dxa" w:w="100"/>
              <w:bottom w:type="dxa" w:w="60"/>
              <w:right w:type="dxa" w:w="100"/>
            </w:tcMar>
          </w:tcPr>
          <w:p>
            <w:r>
              <w:rPr>
                <w:b w:val="false"/>
                <w:bCs w:val="false"/>
                <w:sz w:val="20"/>
                <w:szCs w:val="20"/>
              </w:rPr>
              <w:t xml:space="preserve">assessment_id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institution_id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visit_date</w:t>
            </w:r>
          </w:p>
        </w:tc>
        <w:tc>
          <w:tcPr>
            <w:tcW w:type="dxa" w:w="2200"/>
            <w:shd w:fill="F3F1EA" w:val="clear"/>
            <w:tcMar>
              <w:top w:type="dxa" w:w="60"/>
              <w:left w:type="dxa" w:w="100"/>
              <w:bottom w:type="dxa" w:w="60"/>
              <w:right w:type="dxa" w:w="100"/>
            </w:tcMar>
          </w:tcPr>
          <w:p>
            <w:r>
              <w:rPr>
                <w:b w:val="false"/>
                <w:bCs w:val="false"/>
                <w:sz w:val="20"/>
                <w:szCs w:val="20"/>
              </w:rPr>
              <w:t xml:space="preserve">DATE</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user_count</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has_computers</w:t>
            </w:r>
          </w:p>
        </w:tc>
        <w:tc>
          <w:tcPr>
            <w:tcW w:type="dxa" w:w="2200"/>
            <w:shd w:fill="F3F1EA" w:val="clear"/>
            <w:tcMar>
              <w:top w:type="dxa" w:w="60"/>
              <w:left w:type="dxa" w:w="100"/>
              <w:bottom w:type="dxa" w:w="60"/>
              <w:right w:type="dxa" w:w="100"/>
            </w:tcMar>
          </w:tcPr>
          <w:p>
            <w:r>
              <w:rPr>
                <w:b w:val="false"/>
                <w:bCs w:val="false"/>
                <w:sz w:val="20"/>
                <w:szCs w:val="20"/>
              </w:rPr>
              <w:t xml:space="preserve">BOOLEAN</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has_lan</w:t>
            </w:r>
          </w:p>
        </w:tc>
        <w:tc>
          <w:tcPr>
            <w:tcW w:type="dxa" w:w="2200"/>
            <w:shd w:fill="F3F1EA" w:val="clear"/>
            <w:tcMar>
              <w:top w:type="dxa" w:w="60"/>
              <w:left w:type="dxa" w:w="100"/>
              <w:bottom w:type="dxa" w:w="60"/>
              <w:right w:type="dxa" w:w="100"/>
            </w:tcMar>
          </w:tcPr>
          <w:p>
            <w:r>
              <w:rPr>
                <w:b w:val="false"/>
                <w:bCs w:val="false"/>
                <w:sz w:val="20"/>
                <w:szCs w:val="20"/>
              </w:rPr>
              <w:t xml:space="preserve">BOOLEAN</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is_ready</w:t>
            </w:r>
          </w:p>
        </w:tc>
        <w:tc>
          <w:tcPr>
            <w:tcW w:type="dxa" w:w="2200"/>
            <w:shd w:fill="F3F1EA" w:val="clear"/>
            <w:tcMar>
              <w:top w:type="dxa" w:w="60"/>
              <w:left w:type="dxa" w:w="100"/>
              <w:bottom w:type="dxa" w:w="60"/>
              <w:right w:type="dxa" w:w="100"/>
            </w:tcMar>
          </w:tcPr>
          <w:p>
            <w:r>
              <w:rPr>
                <w:b w:val="false"/>
                <w:bCs w:val="false"/>
                <w:sz w:val="20"/>
                <w:szCs w:val="20"/>
              </w:rPr>
              <w:t xml:space="preserve">BOOLEAN</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lan_node_tiers</w:t>
            </w:r>
          </w:p>
        </w:tc>
        <w:tc>
          <w:tcPr>
            <w:tcW w:type="dxa" w:w="2600"/>
            <w:shd w:fill="FFFFFF" w:val="clear"/>
            <w:tcMar>
              <w:top w:type="dxa" w:w="60"/>
              <w:left w:type="dxa" w:w="100"/>
              <w:bottom w:type="dxa" w:w="60"/>
              <w:right w:type="dxa" w:w="100"/>
            </w:tcMar>
          </w:tcPr>
          <w:p>
            <w:r>
              <w:rPr>
                <w:b w:val="false"/>
                <w:bCs w:val="false"/>
                <w:sz w:val="20"/>
                <w:szCs w:val="20"/>
              </w:rPr>
              <w:t xml:space="preserve">tier_id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min_nodes</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max_nodes</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cost</w:t>
            </w:r>
          </w:p>
        </w:tc>
        <w:tc>
          <w:tcPr>
            <w:tcW w:type="dxa" w:w="2200"/>
            <w:shd w:fill="FFFFFF" w:val="clear"/>
            <w:tcMar>
              <w:top w:type="dxa" w:w="60"/>
              <w:left w:type="dxa" w:w="100"/>
              <w:bottom w:type="dxa" w:w="60"/>
              <w:right w:type="dxa" w:w="100"/>
            </w:tcMar>
          </w:tcPr>
          <w:p>
            <w:r>
              <w:rPr>
                <w:b w:val="false"/>
                <w:bCs w:val="false"/>
                <w:sz w:val="20"/>
                <w:szCs w:val="20"/>
              </w:rPr>
              <w:t xml:space="preserve">DECIMAL(10,2)</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bCs/>
                <w:sz w:val="20"/>
                <w:szCs w:val="20"/>
              </w:rPr>
              <w:t xml:space="preserve">equipment_orders</w:t>
            </w:r>
          </w:p>
        </w:tc>
        <w:tc>
          <w:tcPr>
            <w:tcW w:type="dxa" w:w="2600"/>
            <w:shd w:fill="F3F1EA" w:val="clear"/>
            <w:tcMar>
              <w:top w:type="dxa" w:w="60"/>
              <w:left w:type="dxa" w:w="100"/>
              <w:bottom w:type="dxa" w:w="60"/>
              <w:right w:type="dxa" w:w="100"/>
            </w:tcMar>
          </w:tcPr>
          <w:p>
            <w:r>
              <w:rPr>
                <w:b w:val="false"/>
                <w:bCs w:val="false"/>
                <w:sz w:val="20"/>
                <w:szCs w:val="20"/>
              </w:rPr>
              <w:t xml:space="preserve">order_id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institution_id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tier_id</w:t>
            </w:r>
          </w:p>
        </w:tc>
        <w:tc>
          <w:tcPr>
            <w:tcW w:type="dxa" w:w="2200"/>
            <w:shd w:fill="F3F1EA" w:val="clear"/>
            <w:tcMar>
              <w:top w:type="dxa" w:w="60"/>
              <w:left w:type="dxa" w:w="100"/>
              <w:bottom w:type="dxa" w:w="60"/>
              <w:right w:type="dxa" w:w="100"/>
            </w:tcMar>
          </w:tcPr>
          <w:p>
            <w:r>
              <w:rPr>
                <w:b w:val="false"/>
                <w:bCs w:val="false"/>
                <w:sz w:val="20"/>
                <w:szCs w:val="20"/>
              </w:rPr>
              <w:t xml:space="preserve">INT, NULLABLE</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computer_qty</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computer_cost</w:t>
            </w:r>
          </w:p>
        </w:tc>
        <w:tc>
          <w:tcPr>
            <w:tcW w:type="dxa" w:w="2200"/>
            <w:shd w:fill="F3F1EA" w:val="clear"/>
            <w:tcMar>
              <w:top w:type="dxa" w:w="60"/>
              <w:left w:type="dxa" w:w="100"/>
              <w:bottom w:type="dxa" w:w="60"/>
              <w:right w:type="dxa" w:w="100"/>
            </w:tcMar>
          </w:tcPr>
          <w:p>
            <w:r>
              <w:rPr>
                <w:b w:val="false"/>
                <w:bCs w:val="false"/>
                <w:sz w:val="20"/>
                <w:szCs w:val="20"/>
              </w:rPr>
              <w:t xml:space="preserve">DECIMAL(10,2)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lan_cost</w:t>
            </w:r>
          </w:p>
        </w:tc>
        <w:tc>
          <w:tcPr>
            <w:tcW w:type="dxa" w:w="2200"/>
            <w:shd w:fill="F3F1EA" w:val="clear"/>
            <w:tcMar>
              <w:top w:type="dxa" w:w="60"/>
              <w:left w:type="dxa" w:w="100"/>
              <w:bottom w:type="dxa" w:w="60"/>
              <w:right w:type="dxa" w:w="100"/>
            </w:tcMar>
          </w:tcPr>
          <w:p>
            <w:r>
              <w:rPr>
                <w:b w:val="false"/>
                <w:bCs w:val="false"/>
                <w:sz w:val="20"/>
                <w:szCs w:val="20"/>
              </w:rPr>
              <w:t xml:space="preserve">DECIMAL(10,2)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total_cost</w:t>
            </w:r>
          </w:p>
        </w:tc>
        <w:tc>
          <w:tcPr>
            <w:tcW w:type="dxa" w:w="2200"/>
            <w:shd w:fill="F3F1EA" w:val="clear"/>
            <w:tcMar>
              <w:top w:type="dxa" w:w="60"/>
              <w:left w:type="dxa" w:w="100"/>
              <w:bottom w:type="dxa" w:w="60"/>
              <w:right w:type="dxa" w:w="100"/>
            </w:tcMar>
          </w:tcPr>
          <w:p>
            <w:r>
              <w:rPr>
                <w:b w:val="false"/>
                <w:bCs w:val="false"/>
                <w:sz w:val="20"/>
                <w:szCs w:val="20"/>
              </w:rPr>
              <w:t xml:space="preserve">DECIMAL(10,2)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order_date</w:t>
            </w:r>
          </w:p>
        </w:tc>
        <w:tc>
          <w:tcPr>
            <w:tcW w:type="dxa" w:w="2200"/>
            <w:shd w:fill="F3F1EA" w:val="clear"/>
            <w:tcMar>
              <w:top w:type="dxa" w:w="60"/>
              <w:left w:type="dxa" w:w="100"/>
              <w:bottom w:type="dxa" w:w="60"/>
              <w:right w:type="dxa" w:w="100"/>
            </w:tcMar>
          </w:tcPr>
          <w:p>
            <w:r>
              <w:rPr>
                <w:b w:val="false"/>
                <w:bCs w:val="false"/>
                <w:sz w:val="20"/>
                <w:szCs w:val="20"/>
              </w:rPr>
              <w:t xml:space="preserve">DATE</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installations</w:t>
            </w:r>
          </w:p>
        </w:tc>
        <w:tc>
          <w:tcPr>
            <w:tcW w:type="dxa" w:w="2600"/>
            <w:shd w:fill="FFFFFF" w:val="clear"/>
            <w:tcMar>
              <w:top w:type="dxa" w:w="60"/>
              <w:left w:type="dxa" w:w="100"/>
              <w:bottom w:type="dxa" w:w="60"/>
              <w:right w:type="dxa" w:w="100"/>
            </w:tcMar>
          </w:tcPr>
          <w:p>
            <w:r>
              <w:rPr>
                <w:b w:val="false"/>
                <w:bCs w:val="false"/>
                <w:sz w:val="20"/>
                <w:szCs w:val="20"/>
              </w:rPr>
              <w:t xml:space="preserve">installation_id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institution_id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fee</w:t>
            </w:r>
          </w:p>
        </w:tc>
        <w:tc>
          <w:tcPr>
            <w:tcW w:type="dxa" w:w="2200"/>
            <w:shd w:fill="FFFFFF" w:val="clear"/>
            <w:tcMar>
              <w:top w:type="dxa" w:w="60"/>
              <w:left w:type="dxa" w:w="100"/>
              <w:bottom w:type="dxa" w:w="60"/>
              <w:right w:type="dxa" w:w="100"/>
            </w:tcMar>
          </w:tcPr>
          <w:p>
            <w:r>
              <w:rPr>
                <w:b w:val="false"/>
                <w:bCs w:val="false"/>
                <w:sz w:val="20"/>
                <w:szCs w:val="20"/>
              </w:rPr>
              <w:t xml:space="preserve">DECIMAL(10,2)</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installed_on</w:t>
            </w:r>
          </w:p>
        </w:tc>
        <w:tc>
          <w:tcPr>
            <w:tcW w:type="dxa" w:w="2200"/>
            <w:shd w:fill="FFFFFF" w:val="clear"/>
            <w:tcMar>
              <w:top w:type="dxa" w:w="60"/>
              <w:left w:type="dxa" w:w="100"/>
              <w:bottom w:type="dxa" w:w="60"/>
              <w:right w:type="dxa" w:w="100"/>
            </w:tcMar>
          </w:tcPr>
          <w:p>
            <w:r>
              <w:rPr>
                <w:b w:val="false"/>
                <w:bCs w:val="false"/>
                <w:sz w:val="20"/>
                <w:szCs w:val="20"/>
              </w:rPr>
              <w:t xml:space="preserve">DATE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bCs/>
                <w:sz w:val="20"/>
                <w:szCs w:val="20"/>
              </w:rPr>
              <w:t xml:space="preserve">bandwidth_plans</w:t>
            </w:r>
          </w:p>
        </w:tc>
        <w:tc>
          <w:tcPr>
            <w:tcW w:type="dxa" w:w="2600"/>
            <w:shd w:fill="F3F1EA" w:val="clear"/>
            <w:tcMar>
              <w:top w:type="dxa" w:w="60"/>
              <w:left w:type="dxa" w:w="100"/>
              <w:bottom w:type="dxa" w:w="60"/>
              <w:right w:type="dxa" w:w="100"/>
            </w:tcMar>
          </w:tcPr>
          <w:p>
            <w:r>
              <w:rPr>
                <w:b w:val="false"/>
                <w:bCs w:val="false"/>
                <w:sz w:val="20"/>
                <w:szCs w:val="20"/>
              </w:rPr>
              <w:t xml:space="preserve">plan_id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mbps</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monthly_cost</w:t>
            </w:r>
          </w:p>
        </w:tc>
        <w:tc>
          <w:tcPr>
            <w:tcW w:type="dxa" w:w="2200"/>
            <w:shd w:fill="F3F1EA" w:val="clear"/>
            <w:tcMar>
              <w:top w:type="dxa" w:w="60"/>
              <w:left w:type="dxa" w:w="100"/>
              <w:bottom w:type="dxa" w:w="60"/>
              <w:right w:type="dxa" w:w="100"/>
            </w:tcMar>
          </w:tcPr>
          <w:p>
            <w:r>
              <w:rPr>
                <w:b w:val="false"/>
                <w:bCs w:val="false"/>
                <w:sz w:val="20"/>
                <w:szCs w:val="20"/>
              </w:rPr>
              <w:t xml:space="preserve">DECIMAL(10,2)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subscriptions</w:t>
            </w:r>
          </w:p>
        </w:tc>
        <w:tc>
          <w:tcPr>
            <w:tcW w:type="dxa" w:w="2600"/>
            <w:shd w:fill="FFFFFF" w:val="clear"/>
            <w:tcMar>
              <w:top w:type="dxa" w:w="60"/>
              <w:left w:type="dxa" w:w="100"/>
              <w:bottom w:type="dxa" w:w="60"/>
              <w:right w:type="dxa" w:w="100"/>
            </w:tcMar>
          </w:tcPr>
          <w:p>
            <w:r>
              <w:rPr>
                <w:b w:val="false"/>
                <w:bCs w:val="false"/>
                <w:sz w:val="20"/>
                <w:szCs w:val="20"/>
              </w:rPr>
              <w:t xml:space="preserve">subscription_id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institution_id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plan_id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start_date</w:t>
            </w:r>
          </w:p>
        </w:tc>
        <w:tc>
          <w:tcPr>
            <w:tcW w:type="dxa" w:w="2200"/>
            <w:shd w:fill="FFFFFF" w:val="clear"/>
            <w:tcMar>
              <w:top w:type="dxa" w:w="60"/>
              <w:left w:type="dxa" w:w="100"/>
              <w:bottom w:type="dxa" w:w="60"/>
              <w:right w:type="dxa" w:w="100"/>
            </w:tcMar>
          </w:tcPr>
          <w:p>
            <w:r>
              <w:rPr>
                <w:b w:val="false"/>
                <w:bCs w:val="false"/>
                <w:sz w:val="20"/>
                <w:szCs w:val="20"/>
              </w:rPr>
              <w:t xml:space="preserve">DATE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status</w:t>
            </w:r>
          </w:p>
        </w:tc>
        <w:tc>
          <w:tcPr>
            <w:tcW w:type="dxa" w:w="2200"/>
            <w:shd w:fill="FFFFFF" w:val="clear"/>
            <w:tcMar>
              <w:top w:type="dxa" w:w="60"/>
              <w:left w:type="dxa" w:w="100"/>
              <w:bottom w:type="dxa" w:w="60"/>
              <w:right w:type="dxa" w:w="100"/>
            </w:tcMar>
          </w:tcPr>
          <w:p>
            <w:r>
              <w:rPr>
                <w:b w:val="false"/>
                <w:bCs w:val="false"/>
                <w:sz w:val="20"/>
                <w:szCs w:val="20"/>
              </w:rPr>
              <w:t xml:space="preserve">VARCHAR(20)</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bCs/>
                <w:sz w:val="20"/>
                <w:szCs w:val="20"/>
              </w:rPr>
              <w:t xml:space="preserve">upgrades</w:t>
            </w:r>
          </w:p>
        </w:tc>
        <w:tc>
          <w:tcPr>
            <w:tcW w:type="dxa" w:w="2600"/>
            <w:shd w:fill="F3F1EA" w:val="clear"/>
            <w:tcMar>
              <w:top w:type="dxa" w:w="60"/>
              <w:left w:type="dxa" w:w="100"/>
              <w:bottom w:type="dxa" w:w="60"/>
              <w:right w:type="dxa" w:w="100"/>
            </w:tcMar>
          </w:tcPr>
          <w:p>
            <w:r>
              <w:rPr>
                <w:b w:val="false"/>
                <w:bCs w:val="false"/>
                <w:sz w:val="20"/>
                <w:szCs w:val="20"/>
              </w:rPr>
              <w:t xml:space="preserve">upgrade_id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subscription_id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old_plan_id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new_plan_id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discount_rate</w:t>
            </w:r>
          </w:p>
        </w:tc>
        <w:tc>
          <w:tcPr>
            <w:tcW w:type="dxa" w:w="2200"/>
            <w:shd w:fill="F3F1EA" w:val="clear"/>
            <w:tcMar>
              <w:top w:type="dxa" w:w="60"/>
              <w:left w:type="dxa" w:w="100"/>
              <w:bottom w:type="dxa" w:w="60"/>
              <w:right w:type="dxa" w:w="100"/>
            </w:tcMar>
          </w:tcPr>
          <w:p>
            <w:r>
              <w:rPr>
                <w:b w:val="false"/>
                <w:bCs w:val="false"/>
                <w:sz w:val="20"/>
                <w:szCs w:val="20"/>
              </w:rPr>
              <w:t xml:space="preserve">DECIMAL(4,2)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upgraded_on</w:t>
            </w:r>
          </w:p>
        </w:tc>
        <w:tc>
          <w:tcPr>
            <w:tcW w:type="dxa" w:w="2200"/>
            <w:shd w:fill="F3F1EA" w:val="clear"/>
            <w:tcMar>
              <w:top w:type="dxa" w:w="60"/>
              <w:left w:type="dxa" w:w="100"/>
              <w:bottom w:type="dxa" w:w="60"/>
              <w:right w:type="dxa" w:w="100"/>
            </w:tcMar>
          </w:tcPr>
          <w:p>
            <w:r>
              <w:rPr>
                <w:b w:val="false"/>
                <w:bCs w:val="false"/>
                <w:sz w:val="20"/>
                <w:szCs w:val="20"/>
              </w:rPr>
              <w:t xml:space="preserve">DATE</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payments</w:t>
            </w:r>
          </w:p>
        </w:tc>
        <w:tc>
          <w:tcPr>
            <w:tcW w:type="dxa" w:w="2600"/>
            <w:shd w:fill="FFFFFF" w:val="clear"/>
            <w:tcMar>
              <w:top w:type="dxa" w:w="60"/>
              <w:left w:type="dxa" w:w="100"/>
              <w:bottom w:type="dxa" w:w="60"/>
              <w:right w:type="dxa" w:w="100"/>
            </w:tcMar>
          </w:tcPr>
          <w:p>
            <w:r>
              <w:rPr>
                <w:b w:val="false"/>
                <w:bCs w:val="false"/>
                <w:sz w:val="20"/>
                <w:szCs w:val="20"/>
              </w:rPr>
              <w:t xml:space="preserve">payment_id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institution_id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payment_type</w:t>
            </w:r>
          </w:p>
        </w:tc>
        <w:tc>
          <w:tcPr>
            <w:tcW w:type="dxa" w:w="2200"/>
            <w:shd w:fill="FFFFFF" w:val="clear"/>
            <w:tcMar>
              <w:top w:type="dxa" w:w="60"/>
              <w:left w:type="dxa" w:w="100"/>
              <w:bottom w:type="dxa" w:w="60"/>
              <w:right w:type="dxa" w:w="100"/>
            </w:tcMar>
          </w:tcPr>
          <w:p>
            <w:r>
              <w:rPr>
                <w:b w:val="false"/>
                <w:bCs w:val="false"/>
                <w:sz w:val="20"/>
                <w:szCs w:val="20"/>
              </w:rPr>
              <w:t xml:space="preserve">VARCHAR(20)</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amount</w:t>
            </w:r>
          </w:p>
        </w:tc>
        <w:tc>
          <w:tcPr>
            <w:tcW w:type="dxa" w:w="2200"/>
            <w:shd w:fill="FFFFFF" w:val="clear"/>
            <w:tcMar>
              <w:top w:type="dxa" w:w="60"/>
              <w:left w:type="dxa" w:w="100"/>
              <w:bottom w:type="dxa" w:w="60"/>
              <w:right w:type="dxa" w:w="100"/>
            </w:tcMar>
          </w:tcPr>
          <w:p>
            <w:r>
              <w:rPr>
                <w:b w:val="false"/>
                <w:bCs w:val="false"/>
                <w:sz w:val="20"/>
                <w:szCs w:val="20"/>
              </w:rPr>
              <w:t xml:space="preserve">DECIMAL(10,2)</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paid_on</w:t>
            </w:r>
          </w:p>
        </w:tc>
        <w:tc>
          <w:tcPr>
            <w:tcW w:type="dxa" w:w="2200"/>
            <w:shd w:fill="FFFFFF" w:val="clear"/>
            <w:tcMar>
              <w:top w:type="dxa" w:w="60"/>
              <w:left w:type="dxa" w:w="100"/>
              <w:bottom w:type="dxa" w:w="60"/>
              <w:right w:type="dxa" w:w="100"/>
            </w:tcMar>
          </w:tcPr>
          <w:p>
            <w:r>
              <w:rPr>
                <w:b w:val="false"/>
                <w:bCs w:val="false"/>
                <w:sz w:val="20"/>
                <w:szCs w:val="20"/>
              </w:rPr>
              <w:t xml:space="preserve">DATE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billing_month</w:t>
            </w:r>
          </w:p>
        </w:tc>
        <w:tc>
          <w:tcPr>
            <w:tcW w:type="dxa" w:w="2200"/>
            <w:shd w:fill="FFFFFF" w:val="clear"/>
            <w:tcMar>
              <w:top w:type="dxa" w:w="60"/>
              <w:left w:type="dxa" w:w="100"/>
              <w:bottom w:type="dxa" w:w="60"/>
              <w:right w:type="dxa" w:w="100"/>
            </w:tcMar>
          </w:tcPr>
          <w:p>
            <w:r>
              <w:rPr>
                <w:b w:val="false"/>
                <w:bCs w:val="false"/>
                <w:sz w:val="20"/>
                <w:szCs w:val="20"/>
              </w:rPr>
              <w:t xml:space="preserve">VARCHAR(20), NULLABLE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bCs/>
                <w:sz w:val="20"/>
                <w:szCs w:val="20"/>
              </w:rPr>
              <w:t xml:space="preserve">overdue_fines</w:t>
            </w:r>
          </w:p>
        </w:tc>
        <w:tc>
          <w:tcPr>
            <w:tcW w:type="dxa" w:w="2600"/>
            <w:shd w:fill="F3F1EA" w:val="clear"/>
            <w:tcMar>
              <w:top w:type="dxa" w:w="60"/>
              <w:left w:type="dxa" w:w="100"/>
              <w:bottom w:type="dxa" w:w="60"/>
              <w:right w:type="dxa" w:w="100"/>
            </w:tcMar>
          </w:tcPr>
          <w:p>
            <w:r>
              <w:rPr>
                <w:b w:val="false"/>
                <w:bCs w:val="false"/>
                <w:sz w:val="20"/>
                <w:szCs w:val="20"/>
              </w:rPr>
              <w:t xml:space="preserve">fine_id</w:t>
            </w:r>
          </w:p>
        </w:tc>
        <w:tc>
          <w:tcPr>
            <w:tcW w:type="dxa" w:w="2200"/>
            <w:shd w:fill="F3F1EA" w:val="clear"/>
            <w:tcMar>
              <w:top w:type="dxa" w:w="60"/>
              <w:left w:type="dxa" w:w="100"/>
              <w:bottom w:type="dxa" w:w="60"/>
              <w:right w:type="dxa" w:w="100"/>
            </w:tcMar>
          </w:tcPr>
          <w:p>
            <w:r>
              <w:rPr>
                <w:b w:val="false"/>
                <w:bCs w:val="false"/>
                <w:sz w:val="20"/>
                <w:szCs w:val="20"/>
              </w:rPr>
              <w:t xml:space="preserve">INT, AUTO_INCR.</w:t>
            </w:r>
          </w:p>
        </w:tc>
        <w:tc>
          <w:tcPr>
            <w:tcW w:type="dxa" w:w="1000"/>
            <w:shd w:fill="F3F1EA" w:val="clear"/>
            <w:tcMar>
              <w:top w:type="dxa" w:w="60"/>
              <w:left w:type="dxa" w:w="100"/>
              <w:bottom w:type="dxa" w:w="60"/>
              <w:right w:type="dxa" w:w="100"/>
            </w:tcMar>
          </w:tcPr>
          <w:p>
            <w:r>
              <w:rPr>
                <w:b/>
                <w:bCs/>
                <w:sz w:val="20"/>
                <w:szCs w:val="20"/>
              </w:rPr>
              <w:t xml:space="preserve">PK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institution_id</w:t>
            </w:r>
          </w:p>
        </w:tc>
        <w:tc>
          <w:tcPr>
            <w:tcW w:type="dxa" w:w="2200"/>
            <w:shd w:fill="F3F1EA" w:val="clear"/>
            <w:tcMar>
              <w:top w:type="dxa" w:w="60"/>
              <w:left w:type="dxa" w:w="100"/>
              <w:bottom w:type="dxa" w:w="60"/>
              <w:right w:type="dxa" w:w="100"/>
            </w:tcMar>
          </w:tcPr>
          <w:p>
            <w:r>
              <w:rPr>
                <w:b w:val="false"/>
                <w:bCs w:val="false"/>
                <w:sz w:val="20"/>
                <w:szCs w:val="20"/>
              </w:rPr>
              <w:t xml:space="preserve">INT</w:t>
            </w:r>
          </w:p>
        </w:tc>
        <w:tc>
          <w:tcPr>
            <w:tcW w:type="dxa" w:w="1000"/>
            <w:shd w:fill="F3F1EA" w:val="clear"/>
            <w:tcMar>
              <w:top w:type="dxa" w:w="60"/>
              <w:left w:type="dxa" w:w="100"/>
              <w:bottom w:type="dxa" w:w="60"/>
              <w:right w:type="dxa" w:w="100"/>
            </w:tcMar>
          </w:tcPr>
          <w:p>
            <w:r>
              <w:rPr>
                <w:b/>
                <w:bCs/>
                <w:sz w:val="20"/>
                <w:szCs w:val="20"/>
              </w:rPr>
              <w:t xml:space="preserve">FK</w:t>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billing_month</w:t>
            </w:r>
          </w:p>
        </w:tc>
        <w:tc>
          <w:tcPr>
            <w:tcW w:type="dxa" w:w="2200"/>
            <w:shd w:fill="F3F1EA" w:val="clear"/>
            <w:tcMar>
              <w:top w:type="dxa" w:w="60"/>
              <w:left w:type="dxa" w:w="100"/>
              <w:bottom w:type="dxa" w:w="60"/>
              <w:right w:type="dxa" w:w="100"/>
            </w:tcMar>
          </w:tcPr>
          <w:p>
            <w:r>
              <w:rPr>
                <w:b w:val="false"/>
                <w:bCs w:val="false"/>
                <w:sz w:val="20"/>
                <w:szCs w:val="20"/>
              </w:rPr>
              <w:t xml:space="preserve">VARCHAR(20)</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fine_amount</w:t>
            </w:r>
          </w:p>
        </w:tc>
        <w:tc>
          <w:tcPr>
            <w:tcW w:type="dxa" w:w="2200"/>
            <w:shd w:fill="F3F1EA" w:val="clear"/>
            <w:tcMar>
              <w:top w:type="dxa" w:w="60"/>
              <w:left w:type="dxa" w:w="100"/>
              <w:bottom w:type="dxa" w:w="60"/>
              <w:right w:type="dxa" w:w="100"/>
            </w:tcMar>
          </w:tcPr>
          <w:p>
            <w:r>
              <w:rPr>
                <w:b w:val="false"/>
                <w:bCs w:val="false"/>
                <w:sz w:val="20"/>
                <w:szCs w:val="20"/>
              </w:rPr>
              <w:t xml:space="preserve">DECIMAL(10,2)</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3F1EA" w:val="clear"/>
            <w:tcMar>
              <w:top w:type="dxa" w:w="60"/>
              <w:left w:type="dxa" w:w="100"/>
              <w:bottom w:type="dxa" w:w="60"/>
              <w:right w:type="dxa" w:w="100"/>
            </w:tcMar>
          </w:tcPr>
          <w:p>
            <w:r>
              <w:rPr>
                <w:b w:val="false"/>
                <w:bCs w:val="false"/>
                <w:sz w:val="20"/>
                <w:szCs w:val="20"/>
              </w:rPr>
              <w:t xml:space="preserve"/>
            </w:r>
          </w:p>
        </w:tc>
        <w:tc>
          <w:tcPr>
            <w:tcW w:type="dxa" w:w="2600"/>
            <w:shd w:fill="F3F1EA" w:val="clear"/>
            <w:tcMar>
              <w:top w:type="dxa" w:w="60"/>
              <w:left w:type="dxa" w:w="100"/>
              <w:bottom w:type="dxa" w:w="60"/>
              <w:right w:type="dxa" w:w="100"/>
            </w:tcMar>
          </w:tcPr>
          <w:p>
            <w:r>
              <w:rPr>
                <w:b w:val="false"/>
                <w:bCs w:val="false"/>
                <w:sz w:val="20"/>
                <w:szCs w:val="20"/>
              </w:rPr>
              <w:t xml:space="preserve">settled</w:t>
            </w:r>
          </w:p>
        </w:tc>
        <w:tc>
          <w:tcPr>
            <w:tcW w:type="dxa" w:w="2200"/>
            <w:shd w:fill="F3F1EA" w:val="clear"/>
            <w:tcMar>
              <w:top w:type="dxa" w:w="60"/>
              <w:left w:type="dxa" w:w="100"/>
              <w:bottom w:type="dxa" w:w="60"/>
              <w:right w:type="dxa" w:w="100"/>
            </w:tcMar>
          </w:tcPr>
          <w:p>
            <w:r>
              <w:rPr>
                <w:b w:val="false"/>
                <w:bCs w:val="false"/>
                <w:sz w:val="20"/>
                <w:szCs w:val="20"/>
              </w:rPr>
              <w:t xml:space="preserve">BOOLEAN</w:t>
            </w:r>
          </w:p>
        </w:tc>
        <w:tc>
          <w:tcPr>
            <w:tcW w:type="dxa" w:w="1000"/>
            <w:shd w:fill="F3F1EA"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bCs/>
                <w:sz w:val="20"/>
                <w:szCs w:val="20"/>
              </w:rPr>
              <w:t xml:space="preserve">disconnections</w:t>
            </w:r>
          </w:p>
        </w:tc>
        <w:tc>
          <w:tcPr>
            <w:tcW w:type="dxa" w:w="2600"/>
            <w:shd w:fill="FFFFFF" w:val="clear"/>
            <w:tcMar>
              <w:top w:type="dxa" w:w="60"/>
              <w:left w:type="dxa" w:w="100"/>
              <w:bottom w:type="dxa" w:w="60"/>
              <w:right w:type="dxa" w:w="100"/>
            </w:tcMar>
          </w:tcPr>
          <w:p>
            <w:r>
              <w:rPr>
                <w:b w:val="false"/>
                <w:bCs w:val="false"/>
                <w:sz w:val="20"/>
                <w:szCs w:val="20"/>
              </w:rPr>
              <w:t xml:space="preserve">disconnection_id</w:t>
            </w:r>
          </w:p>
        </w:tc>
        <w:tc>
          <w:tcPr>
            <w:tcW w:type="dxa" w:w="2200"/>
            <w:shd w:fill="FFFFFF" w:val="clear"/>
            <w:tcMar>
              <w:top w:type="dxa" w:w="60"/>
              <w:left w:type="dxa" w:w="100"/>
              <w:bottom w:type="dxa" w:w="60"/>
              <w:right w:type="dxa" w:w="100"/>
            </w:tcMar>
          </w:tcPr>
          <w:p>
            <w:r>
              <w:rPr>
                <w:b w:val="false"/>
                <w:bCs w:val="false"/>
                <w:sz w:val="20"/>
                <w:szCs w:val="20"/>
              </w:rPr>
              <w:t xml:space="preserve">INT, AUTO_INCR.</w:t>
            </w:r>
          </w:p>
        </w:tc>
        <w:tc>
          <w:tcPr>
            <w:tcW w:type="dxa" w:w="1000"/>
            <w:shd w:fill="FFFFFF" w:val="clear"/>
            <w:tcMar>
              <w:top w:type="dxa" w:w="60"/>
              <w:left w:type="dxa" w:w="100"/>
              <w:bottom w:type="dxa" w:w="60"/>
              <w:right w:type="dxa" w:w="100"/>
            </w:tcMar>
          </w:tcPr>
          <w:p>
            <w:r>
              <w:rPr>
                <w:b/>
                <w:bCs/>
                <w:sz w:val="20"/>
                <w:szCs w:val="20"/>
              </w:rPr>
              <w:t xml:space="preserve">PK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institution_id</w:t>
            </w:r>
          </w:p>
        </w:tc>
        <w:tc>
          <w:tcPr>
            <w:tcW w:type="dxa" w:w="2200"/>
            <w:shd w:fill="FFFFFF" w:val="clear"/>
            <w:tcMar>
              <w:top w:type="dxa" w:w="60"/>
              <w:left w:type="dxa" w:w="100"/>
              <w:bottom w:type="dxa" w:w="60"/>
              <w:right w:type="dxa" w:w="100"/>
            </w:tcMar>
          </w:tcPr>
          <w:p>
            <w:r>
              <w:rPr>
                <w:b w:val="false"/>
                <w:bCs w:val="false"/>
                <w:sz w:val="20"/>
                <w:szCs w:val="20"/>
              </w:rPr>
              <w:t xml:space="preserve">INT</w:t>
            </w:r>
          </w:p>
        </w:tc>
        <w:tc>
          <w:tcPr>
            <w:tcW w:type="dxa" w:w="1000"/>
            <w:shd w:fill="FFFFFF" w:val="clear"/>
            <w:tcMar>
              <w:top w:type="dxa" w:w="60"/>
              <w:left w:type="dxa" w:w="100"/>
              <w:bottom w:type="dxa" w:w="60"/>
              <w:right w:type="dxa" w:w="100"/>
            </w:tcMar>
          </w:tcPr>
          <w:p>
            <w:r>
              <w:rPr>
                <w:b/>
                <w:bCs/>
                <w:sz w:val="20"/>
                <w:szCs w:val="20"/>
              </w:rPr>
              <w:t xml:space="preserve">FK</w:t>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disconnected_on</w:t>
            </w:r>
          </w:p>
        </w:tc>
        <w:tc>
          <w:tcPr>
            <w:tcW w:type="dxa" w:w="2200"/>
            <w:shd w:fill="FFFFFF" w:val="clear"/>
            <w:tcMar>
              <w:top w:type="dxa" w:w="60"/>
              <w:left w:type="dxa" w:w="100"/>
              <w:bottom w:type="dxa" w:w="60"/>
              <w:right w:type="dxa" w:w="100"/>
            </w:tcMar>
          </w:tcPr>
          <w:p>
            <w:r>
              <w:rPr>
                <w:b w:val="false"/>
                <w:bCs w:val="false"/>
                <w:sz w:val="20"/>
                <w:szCs w:val="20"/>
              </w:rPr>
              <w:t xml:space="preserve">DATE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reconnected</w:t>
            </w:r>
          </w:p>
        </w:tc>
        <w:tc>
          <w:tcPr>
            <w:tcW w:type="dxa" w:w="2200"/>
            <w:shd w:fill="FFFFFF" w:val="clear"/>
            <w:tcMar>
              <w:top w:type="dxa" w:w="60"/>
              <w:left w:type="dxa" w:w="100"/>
              <w:bottom w:type="dxa" w:w="60"/>
              <w:right w:type="dxa" w:w="100"/>
            </w:tcMar>
          </w:tcPr>
          <w:p>
            <w:r>
              <w:rPr>
                <w:b w:val="false"/>
                <w:bCs w:val="false"/>
                <w:sz w:val="20"/>
                <w:szCs w:val="20"/>
              </w:rPr>
              <w:t xml:space="preserve">BOOLEAN</w:t>
            </w:r>
          </w:p>
        </w:tc>
        <w:tc>
          <w:tcPr>
            <w:tcW w:type="dxa" w:w="1000"/>
            <w:shd w:fill="FFFFFF" w:val="clear"/>
            <w:tcMar>
              <w:top w:type="dxa" w:w="60"/>
              <w:left w:type="dxa" w:w="100"/>
              <w:bottom w:type="dxa" w:w="60"/>
              <w:right w:type="dxa" w:w="100"/>
            </w:tcMar>
          </w:tcPr>
          <w:p>
            <w:r>
              <w:rPr>
                <w:b w:val="false"/>
                <w:bCs w:val="false"/>
                <w:sz w:val="20"/>
                <w:szCs w:val="20"/>
              </w:rPr>
              <w:t xml:space="preserve"/>
            </w:r>
          </w:p>
        </w:tc>
      </w:tr>
      <w:tr>
        <w:tc>
          <w:tcPr>
            <w:tcW w:type="dxa" w:w="2300"/>
            <w:shd w:fill="FFFFFF" w:val="clear"/>
            <w:tcMar>
              <w:top w:type="dxa" w:w="60"/>
              <w:left w:type="dxa" w:w="100"/>
              <w:bottom w:type="dxa" w:w="60"/>
              <w:right w:type="dxa" w:w="100"/>
            </w:tcMar>
          </w:tcPr>
          <w:p>
            <w:r>
              <w:rPr>
                <w:b w:val="false"/>
                <w:bCs w:val="false"/>
                <w:sz w:val="20"/>
                <w:szCs w:val="20"/>
              </w:rPr>
              <w:t xml:space="preserve"/>
            </w:r>
          </w:p>
        </w:tc>
        <w:tc>
          <w:tcPr>
            <w:tcW w:type="dxa" w:w="2600"/>
            <w:shd w:fill="FFFFFF" w:val="clear"/>
            <w:tcMar>
              <w:top w:type="dxa" w:w="60"/>
              <w:left w:type="dxa" w:w="100"/>
              <w:bottom w:type="dxa" w:w="60"/>
              <w:right w:type="dxa" w:w="100"/>
            </w:tcMar>
          </w:tcPr>
          <w:p>
            <w:r>
              <w:rPr>
                <w:b w:val="false"/>
                <w:bCs w:val="false"/>
                <w:sz w:val="20"/>
                <w:szCs w:val="20"/>
              </w:rPr>
              <w:t xml:space="preserve">reconnected_on</w:t>
            </w:r>
          </w:p>
        </w:tc>
        <w:tc>
          <w:tcPr>
            <w:tcW w:type="dxa" w:w="2200"/>
            <w:shd w:fill="FFFFFF" w:val="clear"/>
            <w:tcMar>
              <w:top w:type="dxa" w:w="60"/>
              <w:left w:type="dxa" w:w="100"/>
              <w:bottom w:type="dxa" w:w="60"/>
              <w:right w:type="dxa" w:w="100"/>
            </w:tcMar>
          </w:tcPr>
          <w:p>
            <w:r>
              <w:rPr>
                <w:b w:val="false"/>
                <w:bCs w:val="false"/>
                <w:sz w:val="20"/>
                <w:szCs w:val="20"/>
              </w:rPr>
              <w:t xml:space="preserve">DATE, NULLABLE</w:t>
            </w:r>
          </w:p>
        </w:tc>
        <w:tc>
          <w:tcPr>
            <w:tcW w:type="dxa" w:w="1000"/>
            <w:shd w:fill="FFFFFF" w:val="clear"/>
            <w:tcMar>
              <w:top w:type="dxa" w:w="60"/>
              <w:left w:type="dxa" w:w="100"/>
              <w:bottom w:type="dxa" w:w="60"/>
              <w:right w:type="dxa" w:w="100"/>
            </w:tcMar>
          </w:tcPr>
          <w:p>
            <w:r>
              <w:rPr>
                <w:b w:val="false"/>
                <w:bCs w:val="false"/>
                <w:sz w:val="20"/>
                <w:szCs w:val="20"/>
              </w:rPr>
              <w:t xml:space="preserve"/>
            </w:r>
          </w:p>
        </w:tc>
      </w:tr>
    </w:tbl>
    <w:p>
      <w:pPr>
        <w:pStyle w:val="Heading1"/>
        <w:spacing w:after="160" w:before="320"/>
      </w:pPr>
      <w:r>
        <w:t xml:space="preserve">6. Logic flow: onboarding</w:t>
      </w:r>
    </w:p>
    <w:p>
      <w:pPr>
        <w:spacing w:after="160"/>
      </w:pPr>
      <w:r>
        <w:t xml:space="preserve">Registration and the readiness visit run once per institution, and both branches converge on a single subscription record. The billing service that runs afterward does not need to know which branch an institution took to get there.</w:t>
      </w:r>
    </w:p>
    <w:p>
      <w:pPr>
        <w:spacing w:after="80" w:before="200"/>
        <w:jc w:val="center"/>
      </w:pPr>
      <w:r>
        <w:drawing>
          <wp:inline distT="0" distB="0" distL="0" distR="0">
            <wp:extent cx="5334000"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33800"/>
                    </a:xfrm>
                    <a:prstGeom prst="rect">
                      <a:avLst/>
                    </a:prstGeom>
                  </pic:spPr>
                </pic:pic>
              </a:graphicData>
            </a:graphic>
          </wp:inline>
        </w:drawing>
      </w:r>
    </w:p>
    <w:p>
      <w:pPr>
        <w:spacing w:after="240"/>
        <w:jc w:val="center"/>
      </w:pPr>
      <w:r>
        <w:rPr>
          <w:i/>
          <w:iCs/>
          <w:color w:val="5F5E5A"/>
          <w:sz w:val="20"/>
          <w:szCs w:val="20"/>
        </w:rPr>
        <w:t xml:space="preserve">Figure 5. Onboarding logic: registration through to an active subscription.</w:t>
      </w:r>
    </w:p>
    <w:p>
      <w:pPr>
        <w:pStyle w:val="Heading1"/>
        <w:spacing w:after="160" w:before="320"/>
      </w:pPr>
      <w:r>
        <w:t xml:space="preserve">7. Logic flow: billing and disconnection</w:t>
      </w:r>
    </w:p>
    <w:p>
      <w:pPr>
        <w:spacing w:after="160"/>
      </w:pPr>
      <w:r>
        <w:t xml:space="preserve">The monthly cycle checks two deadlines. An institution that misses the first, the end of the billing month, picks up a fine of 15 percent of the amount due. An institution that then misses the second, the 10th of the following month, loses its connection until it clears the bill, the fine, and a KSh 1,000 reconnection charge.</w:t>
      </w:r>
    </w:p>
    <w:p>
      <w:pPr>
        <w:spacing w:after="80" w:before="200"/>
        <w:jc w:val="center"/>
      </w:pPr>
      <w:r>
        <w:drawing>
          <wp:inline distT="0" distB="0" distL="0" distR="0">
            <wp:extent cx="59055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4105275"/>
                    </a:xfrm>
                    <a:prstGeom prst="rect">
                      <a:avLst/>
                    </a:prstGeom>
                  </pic:spPr>
                </pic:pic>
              </a:graphicData>
            </a:graphic>
          </wp:inline>
        </w:drawing>
      </w:r>
    </w:p>
    <w:p>
      <w:pPr>
        <w:spacing w:after="240"/>
        <w:jc w:val="center"/>
      </w:pPr>
      <w:r>
        <w:rPr>
          <w:i/>
          <w:iCs/>
          <w:color w:val="5F5E5A"/>
          <w:sz w:val="20"/>
          <w:szCs w:val="20"/>
        </w:rPr>
        <w:t xml:space="preserve">Figure 6. Billing cycle, overdue fine, and the disconnection and reconnection path.</w:t>
      </w:r>
    </w:p>
    <w:p>
      <w:pPr>
        <w:pStyle w:val="Heading1"/>
        <w:spacing w:after="160" w:before="320"/>
      </w:pPr>
      <w:r>
        <w:t xml:space="preserve">8. Notes for the build</w:t>
      </w:r>
    </w:p>
    <w:p>
      <w:pPr>
        <w:pStyle w:val="ListParagraph"/>
        <w:numPr>
          <w:ilvl w:val="0"/>
          <w:numId w:val="1"/>
        </w:numPr>
        <w:spacing w:after="80"/>
      </w:pPr>
      <w:r>
        <w:t xml:space="preserve">Build the schema first, then the DAO layer, then the domain classes, then the Swing forms. Each screen then has real data behind it before a layout decision gets made.</w:t>
      </w:r>
    </w:p>
    <w:p>
      <w:pPr>
        <w:pStyle w:val="ListParagraph"/>
        <w:numPr>
          <w:ilvl w:val="0"/>
          <w:numId w:val="1"/>
        </w:numPr>
        <w:spacing w:after="80"/>
      </w:pPr>
      <w:r>
        <w:t xml:space="preserve">A save button implements ActionListener. Its actionPerformed method reads each JTextField with getText(), builds the object, and passes it to the service layer rather than to the DAO directly.</w:t>
      </w:r>
    </w:p>
    <w:p>
      <w:pPr>
        <w:pStyle w:val="ListParagraph"/>
        <w:numPr>
          <w:ilvl w:val="0"/>
          <w:numId w:val="1"/>
        </w:numPr>
        <w:spacing w:after="80"/>
      </w:pPr>
      <w:r>
        <w:t xml:space="preserve">The applet life cycle sits outside this project's scope, since the brief asks for a desktop application. Keep it as a separate revision item for the exam rather than a component to build here.</w:t>
      </w:r>
    </w:p>
    <w:p>
      <w:pPr>
        <w:pStyle w:val="ListParagraph"/>
        <w:numPr>
          <w:ilvl w:val="0"/>
          <w:numId w:val="1"/>
        </w:numPr>
        <w:spacing w:after="80"/>
      </w:pPr>
      <w:r>
        <w:t xml:space="preserve">The 15 percent fine applies once, against the unpaid bill for that month. A BillingService method checks the payment date against the cycle rather than looping and re-applying the fine on every run.</w:t>
      </w:r>
    </w:p>
    <w:p>
      <w:pPr>
        <w:pStyle w:val="ListParagraph"/>
        <w:numPr>
          <w:ilvl w:val="0"/>
          <w:numId w:val="1"/>
        </w:numPr>
        <w:spacing w:after="80"/>
      </w:pPr>
      <w:r>
        <w:t xml:space="preserve">Institution type is not a decorative field. Report requirement 4(d) asks for total monthly charges by category of institution, so the report query groups on institutions.type.</w:t>
      </w:r>
    </w:p>
    <w:p>
      <w:pPr>
        <w:pStyle w:val="ListParagraph"/>
        <w:numPr>
          <w:ilvl w:val="0"/>
          <w:numId w:val="1"/>
        </w:numPr>
        <w:spacing w:after="80"/>
      </w:pPr>
      <w:r>
        <w:t xml:space="preserve">Payments captured explicitly by the brief are registration, installation, and monthly. Treat the reconnection surcharge as a fourth payment type in the same table, since it is money the system still has to record and reconcile.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5eb48ecf7cd9bd17596c0286e972d12b1244a15.png"/><Relationship Id="rId8" Type="http://schemas.openxmlformats.org/officeDocument/2006/relationships/image" Target="media/7bb6ce389baabef80f98501292452b1118bc8105.png"/><Relationship Id="rId9" Type="http://schemas.openxmlformats.org/officeDocument/2006/relationships/image" Target="media/cc8f777ad464f693ee348c26152968c860193429.png"/><Relationship Id="rId10" Type="http://schemas.openxmlformats.org/officeDocument/2006/relationships/image" Target="media/cf801fe315c4b82d0510e4649167a1cf3a977d62.png"/><Relationship Id="rId11" Type="http://schemas.openxmlformats.org/officeDocument/2006/relationships/image" Target="media/448350f77a51f68c211f9b569cd7a5688fd85a70.png"/><Relationship Id="rId12" Type="http://schemas.openxmlformats.org/officeDocument/2006/relationships/image" Target="media/8e5b266a2eea7200d8693a1bdde5f5d324022ab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2026-09-26T11:26:13.188Z</dcterms:created>
  <dcterms:modified xsi:type="dcterms:W3CDTF">2026-09-26T11:26:13.200Z</dcterms:modified>
</cp:coreProperties>
</file>

<file path=docProps/custom.xml><?xml version="1.0" encoding="utf-8"?>
<Properties xmlns="http://schemas.openxmlformats.org/officeDocument/2006/custom-properties" xmlns:vt="http://schemas.openxmlformats.org/officeDocument/2006/docPropsVTypes"/>
</file>