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устанавливать Fedora Sway, настроить ее для дальнейшей работы.</w:t>
      </w:r>
    </w:p>
    <w:bookmarkEnd w:id="21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Скачиваем с официального сайта Fedora Sway, прикрепляем файл с расширением .iso в поле (рис. 1)</w:t>
      </w:r>
    </w:p>
    <w:p>
      <w:pPr>
        <w:pStyle w:val="CaptionedFigure"/>
      </w:pPr>
      <w:r>
        <w:drawing>
          <wp:inline>
            <wp:extent cx="3733800" cy="1842779"/>
            <wp:effectExtent b="0" l="0" r="0" t="0"/>
            <wp:docPr descr="Запуск виртуальной машины с диска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виртуальной машины с диска</w:t>
      </w:r>
    </w:p>
    <w:p>
      <w:pPr>
        <w:pStyle w:val="BodyText"/>
      </w:pPr>
      <w:r>
        <w:t xml:space="preserve">Задаём настройки оборудования виртуальной машины (рис. 2)</w:t>
      </w:r>
    </w:p>
    <w:p>
      <w:pPr>
        <w:pStyle w:val="CaptionedFigure"/>
      </w:pPr>
      <w:r>
        <w:drawing>
          <wp:inline>
            <wp:extent cx="3733800" cy="1390551"/>
            <wp:effectExtent b="0" l="0" r="0" t="0"/>
            <wp:docPr descr="Настройка оборудования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оборудования</w:t>
      </w:r>
    </w:p>
    <w:p>
      <w:pPr>
        <w:pStyle w:val="BodyText"/>
      </w:pPr>
      <w:r>
        <w:t xml:space="preserve">Задаём размер жесткого диска - 80 Гб (рис. 3):</w:t>
      </w:r>
    </w:p>
    <w:p>
      <w:pPr>
        <w:pStyle w:val="CaptionedFigure"/>
      </w:pPr>
      <w:r>
        <w:drawing>
          <wp:inline>
            <wp:extent cx="3733800" cy="1594045"/>
            <wp:effectExtent b="0" l="0" r="0" t="0"/>
            <wp:docPr descr="Настройка памяти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памяти</w:t>
      </w:r>
    </w:p>
    <w:p>
      <w:pPr>
        <w:pStyle w:val="BodyText"/>
      </w:pPr>
      <w:r>
        <w:t xml:space="preserve">Выбираем язык (рис. 4)</w:t>
      </w:r>
    </w:p>
    <w:p>
      <w:pPr>
        <w:pStyle w:val="CaptionedFigure"/>
      </w:pPr>
      <w:r>
        <w:drawing>
          <wp:inline>
            <wp:extent cx="3733800" cy="1315618"/>
            <wp:effectExtent b="0" l="0" r="0" t="0"/>
            <wp:docPr descr="Выбор языка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языка</w:t>
      </w:r>
    </w:p>
    <w:p>
      <w:pPr>
        <w:pStyle w:val="BodyText"/>
      </w:pPr>
      <w:r>
        <w:t xml:space="preserve">Настраиваем пользователя almos05 (рис. 5):</w:t>
      </w:r>
    </w:p>
    <w:p>
      <w:pPr>
        <w:pStyle w:val="CaptionedFigure"/>
      </w:pPr>
      <w:r>
        <w:drawing>
          <wp:inline>
            <wp:extent cx="3733800" cy="1399081"/>
            <wp:effectExtent b="0" l="0" r="0" t="0"/>
            <wp:docPr descr="Пользователь almos05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Пользователь almos05</w:t>
      </w:r>
    </w:p>
    <w:p>
      <w:pPr>
        <w:pStyle w:val="BodyText"/>
      </w:pPr>
      <w:r>
        <w:t xml:space="preserve">Настраиваем root пользователя (рис. 6):</w:t>
      </w:r>
    </w:p>
    <w:p>
      <w:pPr>
        <w:pStyle w:val="CaptionedFigure"/>
      </w:pPr>
      <w:r>
        <w:drawing>
          <wp:inline>
            <wp:extent cx="3733800" cy="1616220"/>
            <wp:effectExtent b="0" l="0" r="0" t="0"/>
            <wp:docPr descr="root пользователь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root пользователь</w:t>
      </w:r>
    </w:p>
    <w:p>
      <w:pPr>
        <w:pStyle w:val="BodyText"/>
      </w:pPr>
      <w:r>
        <w:t xml:space="preserve">Используя Win + D находим Foot и открываем терминал (рис. 7):</w:t>
      </w:r>
    </w:p>
    <w:p>
      <w:pPr>
        <w:pStyle w:val="CaptionedFigure"/>
      </w:pPr>
      <w:r>
        <w:drawing>
          <wp:inline>
            <wp:extent cx="3733800" cy="1288786"/>
            <wp:effectExtent b="0" l="0" r="0" t="0"/>
            <wp:docPr descr="Запускаем терминал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Запускаем терминал</w:t>
      </w:r>
    </w:p>
    <w:p>
      <w:pPr>
        <w:pStyle w:val="BodyText"/>
      </w:pPr>
      <w:r>
        <w:t xml:space="preserve">Переходим в режим суперпользователя (рис. 8):</w:t>
      </w:r>
    </w:p>
    <w:p>
      <w:pPr>
        <w:pStyle w:val="CaptionedFigure"/>
      </w:pPr>
      <w:r>
        <w:drawing>
          <wp:inline>
            <wp:extent cx="3688336" cy="1037344"/>
            <wp:effectExtent b="0" l="0" r="0" t="0"/>
            <wp:docPr descr="Режим root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root</w:t>
      </w:r>
    </w:p>
    <w:p>
      <w:pPr>
        <w:pStyle w:val="BodyText"/>
      </w:pPr>
      <w:r>
        <w:t xml:space="preserve">Обновляем все пакеты (рис. 9):</w:t>
      </w:r>
    </w:p>
    <w:p>
      <w:pPr>
        <w:pStyle w:val="CaptionedFigure"/>
      </w:pPr>
      <w:r>
        <w:drawing>
          <wp:inline>
            <wp:extent cx="1398494" cy="315045"/>
            <wp:effectExtent b="0" l="0" r="0" t="0"/>
            <wp:docPr descr="Обновление пакетов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494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Обновление пакетов</w:t>
      </w:r>
    </w:p>
    <w:p>
      <w:pPr>
        <w:pStyle w:val="BodyText"/>
      </w:pPr>
      <w:r>
        <w:t xml:space="preserve">Программы для удобства работы в консоли:</w:t>
      </w:r>
      <w:r>
        <w:br/>
      </w:r>
      <w:r>
        <w:rPr>
          <w:iCs/>
          <w:i/>
        </w:rPr>
        <w:t xml:space="preserve">dnf -y install tmux mc</w:t>
      </w:r>
    </w:p>
    <w:p>
      <w:pPr>
        <w:pStyle w:val="BodyText"/>
      </w:pPr>
      <w:r>
        <w:t xml:space="preserve">При необходимости можно использовать автоматическое обновление.</w:t>
      </w:r>
    </w:p>
    <w:p>
      <w:pPr>
        <w:pStyle w:val="BodyText"/>
      </w:pPr>
      <w:r>
        <w:t xml:space="preserve">Установка программного обеспечения (рис. 10):</w:t>
      </w:r>
    </w:p>
    <w:p>
      <w:pPr>
        <w:pStyle w:val="CaptionedFigure"/>
      </w:pPr>
      <w:r>
        <w:drawing>
          <wp:inline>
            <wp:extent cx="1944060" cy="207468"/>
            <wp:effectExtent b="0" l="0" r="0" t="0"/>
            <wp:docPr descr="Установка программного обеспечения для удобства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60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программного обеспечения для удобства</w:t>
      </w:r>
    </w:p>
    <w:p>
      <w:pPr>
        <w:pStyle w:val="BodyText"/>
      </w:pPr>
      <w:r>
        <w:t xml:space="preserve">Запускаем таймер (рис. 11):</w:t>
      </w:r>
    </w:p>
    <w:p>
      <w:pPr>
        <w:pStyle w:val="CaptionedFigure"/>
      </w:pPr>
      <w:r>
        <w:drawing>
          <wp:inline>
            <wp:extent cx="3733800" cy="157700"/>
            <wp:effectExtent b="0" l="0" r="0" t="0"/>
            <wp:docPr descr="Запускаем таймер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Запускаем таймер</w:t>
      </w:r>
    </w:p>
    <w:p>
      <w:pPr>
        <w:pStyle w:val="BodyText"/>
      </w:pPr>
      <w:r>
        <w:t xml:space="preserve">Открываем файл /etc/selinux/config с помощью nano (рис. 12):</w:t>
      </w:r>
    </w:p>
    <w:p>
      <w:pPr>
        <w:pStyle w:val="CaptionedFigure"/>
      </w:pPr>
      <w:r>
        <w:drawing>
          <wp:inline>
            <wp:extent cx="1997848" cy="192100"/>
            <wp:effectExtent b="0" l="0" r="0" t="0"/>
            <wp:docPr descr="Открываем файл /etc/selinux/config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48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Открываем файл /etc/selinux/config</w:t>
      </w:r>
    </w:p>
    <w:p>
      <w:pPr>
        <w:pStyle w:val="BodyText"/>
      </w:pPr>
      <w:r>
        <w:t xml:space="preserve">В файле /etc/selinux/config замените значение</w:t>
      </w:r>
      <w:r>
        <w:br/>
      </w:r>
      <w:r>
        <w:t xml:space="preserve">SELINUX=enforcing</w:t>
      </w:r>
      <w:r>
        <w:br/>
      </w:r>
      <w:r>
        <w:t xml:space="preserve">на значение</w:t>
      </w:r>
      <w:r>
        <w:br/>
      </w:r>
      <w:r>
        <w:t xml:space="preserve">SELINUX=permissive (рис. 13):</w:t>
      </w:r>
    </w:p>
    <w:p>
      <w:pPr>
        <w:pStyle w:val="CaptionedFigure"/>
      </w:pPr>
      <w:r>
        <w:drawing>
          <wp:inline>
            <wp:extent cx="3733800" cy="2470530"/>
            <wp:effectExtent b="0" l="0" r="0" t="0"/>
            <wp:docPr descr="Замена значения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Замена значения</w:t>
      </w:r>
    </w:p>
    <w:p>
      <w:pPr>
        <w:pStyle w:val="BodyText"/>
      </w:pPr>
      <w:r>
        <w:t xml:space="preserve">Перезапускаем виртуальную машину с помощью команды reboot (рис. 14):</w:t>
      </w:r>
    </w:p>
    <w:p>
      <w:pPr>
        <w:pStyle w:val="CaptionedFigure"/>
      </w:pPr>
      <w:r>
        <w:drawing>
          <wp:inline>
            <wp:extent cx="1045028" cy="153680"/>
            <wp:effectExtent b="0" l="0" r="0" t="0"/>
            <wp:docPr descr="Перезапускаем виртуальную машину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28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Перезапускаем виртуальную машину</w:t>
      </w:r>
    </w:p>
    <w:p>
      <w:pPr>
        <w:pStyle w:val="BodyText"/>
      </w:pPr>
      <w:r>
        <w:t xml:space="preserve">Запускаем терминальный мультиплексор tmux (рис. 15):</w:t>
      </w:r>
    </w:p>
    <w:p>
      <w:pPr>
        <w:pStyle w:val="CaptionedFigure"/>
      </w:pPr>
      <w:r>
        <w:drawing>
          <wp:inline>
            <wp:extent cx="1152605" cy="192100"/>
            <wp:effectExtent b="0" l="0" r="0" t="0"/>
            <wp:docPr descr="Запускаем терминальный мультиплексор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605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Запускаем терминальный мультиплексор</w:t>
      </w:r>
    </w:p>
    <w:p>
      <w:pPr>
        <w:pStyle w:val="BodyText"/>
      </w:pPr>
      <w:r>
        <w:t xml:space="preserve">Установливаем средства разработки (рис. 16):</w:t>
      </w:r>
    </w:p>
    <w:p>
      <w:pPr>
        <w:pStyle w:val="CaptionedFigure"/>
      </w:pPr>
      <w:r>
        <w:drawing>
          <wp:inline>
            <wp:extent cx="2666359" cy="353465"/>
            <wp:effectExtent b="0" l="0" r="0" t="0"/>
            <wp:docPr descr="Установка средств разработки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средств разработки</w:t>
      </w:r>
    </w:p>
    <w:p>
      <w:pPr>
        <w:pStyle w:val="BodyText"/>
      </w:pPr>
      <w:r>
        <w:t xml:space="preserve">Установливаем пакет DKMS (рис. 17):</w:t>
      </w:r>
    </w:p>
    <w:p>
      <w:pPr>
        <w:pStyle w:val="CaptionedFigure"/>
      </w:pPr>
      <w:r>
        <w:drawing>
          <wp:inline>
            <wp:extent cx="1552174" cy="161364"/>
            <wp:effectExtent b="0" l="0" r="0" t="0"/>
            <wp:docPr descr="Установка пакет DKMS" title="" id="71" name="Picture"/>
            <a:graphic>
              <a:graphicData uri="http://schemas.openxmlformats.org/drawingml/2006/picture">
                <pic:pic>
                  <pic:nvPicPr>
                    <pic:cNvPr descr="image/image-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174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пакет DKMS</w:t>
      </w:r>
    </w:p>
    <w:p>
      <w:pPr>
        <w:pStyle w:val="BodyText"/>
      </w:pPr>
      <w:r>
        <w:t xml:space="preserve">В меню виртуальной машины подключаем образ диска дополнений гостевой ОС. (рис. 18):</w:t>
      </w:r>
    </w:p>
    <w:p>
      <w:pPr>
        <w:pStyle w:val="CaptionedFigure"/>
      </w:pPr>
      <w:r>
        <w:drawing>
          <wp:inline>
            <wp:extent cx="3733800" cy="1291601"/>
            <wp:effectExtent b="0" l="0" r="0" t="0"/>
            <wp:docPr descr="Подключение образа диска дополнений гостевой ОС" title="" id="74" name="Picture"/>
            <a:graphic>
              <a:graphicData uri="http://schemas.openxmlformats.org/drawingml/2006/picture">
                <pic:pic>
                  <pic:nvPicPr>
                    <pic:cNvPr descr="image/image-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Подключение образа диска дополнений гостевой ОС</w:t>
      </w:r>
    </w:p>
    <w:p>
      <w:pPr>
        <w:pStyle w:val="BodyText"/>
      </w:pPr>
      <w:r>
        <w:t xml:space="preserve">Подмонтируйте диск (рис. 19):</w:t>
      </w:r>
    </w:p>
    <w:p>
      <w:pPr>
        <w:pStyle w:val="CaptionedFigure"/>
      </w:pPr>
      <w:r>
        <w:drawing>
          <wp:inline>
            <wp:extent cx="1767327" cy="138312"/>
            <wp:effectExtent b="0" l="0" r="0" t="0"/>
            <wp:docPr descr="Подмонтируйте диск" title="" id="77" name="Picture"/>
            <a:graphic>
              <a:graphicData uri="http://schemas.openxmlformats.org/drawingml/2006/picture">
                <pic:pic>
                  <pic:nvPicPr>
                    <pic:cNvPr descr="image/image-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27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Подмонтируйте диск</w:t>
      </w:r>
    </w:p>
    <w:p>
      <w:pPr>
        <w:pStyle w:val="BodyText"/>
      </w:pPr>
      <w:r>
        <w:t xml:space="preserve">Устанавливаем драйвера (рис. 20):</w:t>
      </w:r>
    </w:p>
    <w:p>
      <w:pPr>
        <w:pStyle w:val="CaptionedFigure"/>
      </w:pPr>
      <w:r>
        <w:drawing>
          <wp:inline>
            <wp:extent cx="2120793" cy="115260"/>
            <wp:effectExtent b="0" l="0" r="0" t="0"/>
            <wp:docPr descr="Устанавливаем драйвера" title="" id="80" name="Picture"/>
            <a:graphic>
              <a:graphicData uri="http://schemas.openxmlformats.org/drawingml/2006/picture">
                <pic:pic>
                  <pic:nvPicPr>
                    <pic:cNvPr descr="image/image-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793" cy="11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Устанавливаем драйвера</w:t>
      </w:r>
    </w:p>
    <w:p>
      <w:pPr>
        <w:pStyle w:val="BodyText"/>
      </w:pPr>
      <w:r>
        <w:t xml:space="preserve">Перегрузите виртуальную машину:</w:t>
      </w:r>
      <w:r>
        <w:br/>
      </w:r>
      <w:r>
        <w:rPr>
          <w:iCs/>
          <w:i/>
        </w:rPr>
        <w:t xml:space="preserve">reboot</w:t>
      </w:r>
    </w:p>
    <w:p>
      <w:pPr>
        <w:pStyle w:val="BodyText"/>
      </w:pPr>
      <w:r>
        <w:t xml:space="preserve">Запускаем терминальный мультиплексор tmux:</w:t>
      </w:r>
      <w:r>
        <w:br/>
      </w:r>
      <w:r>
        <w:rPr>
          <w:iCs/>
          <w:i/>
        </w:rPr>
        <w:t xml:space="preserve">tmux</w:t>
      </w:r>
    </w:p>
    <w:p>
      <w:pPr>
        <w:pStyle w:val="BodyText"/>
      </w:pPr>
      <w:r>
        <w:t xml:space="preserve">Создаём конфигурационный файл ~/.config/sway/config.d/95-system-keyboard-config.conf и открываем его (рис. 21):</w:t>
      </w:r>
    </w:p>
    <w:p>
      <w:pPr>
        <w:pStyle w:val="CaptionedFigure"/>
      </w:pPr>
      <w:r>
        <w:drawing>
          <wp:inline>
            <wp:extent cx="3733800" cy="576765"/>
            <wp:effectExtent b="0" l="0" r="0" t="0"/>
            <wp:docPr descr="Открываем конфигурационный файл" title="" id="83" name="Picture"/>
            <a:graphic>
              <a:graphicData uri="http://schemas.openxmlformats.org/drawingml/2006/picture">
                <pic:pic>
                  <pic:nvPicPr>
                    <pic:cNvPr descr="image/image-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Открываем конфигурационный файл</w:t>
      </w:r>
    </w:p>
    <w:p>
      <w:pPr>
        <w:pStyle w:val="BodyText"/>
      </w:pPr>
      <w:r>
        <w:t xml:space="preserve">Редактируем конфигурационный файл ~/.config/sway/config.d/95-system-keyboard-config.conf (рис. 22):</w:t>
      </w:r>
    </w:p>
    <w:p>
      <w:pPr>
        <w:pStyle w:val="CaptionedFigure"/>
      </w:pPr>
      <w:r>
        <w:drawing>
          <wp:inline>
            <wp:extent cx="3703704" cy="737667"/>
            <wp:effectExtent b="0" l="0" r="0" t="0"/>
            <wp:docPr descr="Редактируем конфигурационный файл" title="" id="86" name="Picture"/>
            <a:graphic>
              <a:graphicData uri="http://schemas.openxmlformats.org/drawingml/2006/picture">
                <pic:pic>
                  <pic:nvPicPr>
                    <pic:cNvPr descr="image/image-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Редактируем конфигурационный файл</w:t>
      </w:r>
    </w:p>
    <w:p>
      <w:pPr>
        <w:pStyle w:val="BodyText"/>
      </w:pPr>
      <w:r>
        <w:t xml:space="preserve">Открываем файл /etc/X11/xorg.conf.d/00-keyboard.conf (рис. 23):</w:t>
      </w:r>
    </w:p>
    <w:p>
      <w:pPr>
        <w:pStyle w:val="CaptionedFigure"/>
      </w:pPr>
      <w:r>
        <w:drawing>
          <wp:inline>
            <wp:extent cx="3119717" cy="138312"/>
            <wp:effectExtent b="0" l="0" r="0" t="0"/>
            <wp:docPr descr="Открываем файл /etc/X11/xorg.conf.d/00-keyboard.conf" title="" id="89" name="Picture"/>
            <a:graphic>
              <a:graphicData uri="http://schemas.openxmlformats.org/drawingml/2006/picture">
                <pic:pic>
                  <pic:nvPicPr>
                    <pic:cNvPr descr="image/image-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Открываем файл /etc/X11/xorg.conf.d/00-keyboard.conf</w:t>
      </w:r>
    </w:p>
    <w:p>
      <w:pPr>
        <w:pStyle w:val="BodyText"/>
      </w:pPr>
      <w:r>
        <w:t xml:space="preserve">Редактируем конфигурационный файл /etc/X11/xorg.conf.d/00-keyboard.conf (рис. 24):</w:t>
      </w:r>
    </w:p>
    <w:p>
      <w:pPr>
        <w:pStyle w:val="CaptionedFigure"/>
      </w:pPr>
      <w:r>
        <w:drawing>
          <wp:inline>
            <wp:extent cx="3733800" cy="1418383"/>
            <wp:effectExtent b="0" l="0" r="0" t="0"/>
            <wp:docPr descr="Редактируем файл /etc/X11/xorg.conf.d/00-keyboard.conf" title="" id="92" name="Picture"/>
            <a:graphic>
              <a:graphicData uri="http://schemas.openxmlformats.org/drawingml/2006/picture">
                <pic:pic>
                  <pic:nvPicPr>
                    <pic:cNvPr descr="image/image-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Редактируем файл /etc/X11/xorg.conf.d/00-keyboard.conf</w:t>
      </w:r>
    </w:p>
    <w:p>
      <w:pPr>
        <w:pStyle w:val="BodyText"/>
      </w:pPr>
      <w:r>
        <w:t xml:space="preserve">Устанавливаем имя хоста (рис. 25):</w:t>
      </w:r>
    </w:p>
    <w:p>
      <w:pPr>
        <w:pStyle w:val="CaptionedFigure"/>
      </w:pPr>
      <w:r>
        <w:drawing>
          <wp:inline>
            <wp:extent cx="2966036" cy="2620255"/>
            <wp:effectExtent b="0" l="0" r="0" t="0"/>
            <wp:docPr descr="Устанавливаем имя хоста" title="" id="95" name="Picture"/>
            <a:graphic>
              <a:graphicData uri="http://schemas.openxmlformats.org/drawingml/2006/picture">
                <pic:pic>
                  <pic:nvPicPr>
                    <pic:cNvPr descr="image/image-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Устанавливаем имя хоста</w:t>
      </w:r>
    </w:p>
    <w:p>
      <w:pPr>
        <w:pStyle w:val="BodyText"/>
      </w:pPr>
      <w:r>
        <w:t xml:space="preserve">Создаем в хостовой системе на диске C: папку work (рис. 26):</w:t>
      </w:r>
    </w:p>
    <w:p>
      <w:pPr>
        <w:pStyle w:val="CaptionedFigure"/>
      </w:pPr>
      <w:r>
        <w:drawing>
          <wp:inline>
            <wp:extent cx="3733800" cy="1600728"/>
            <wp:effectExtent b="0" l="0" r="0" t="0"/>
            <wp:docPr descr="Создаем папку work" title="" id="98" name="Picture"/>
            <a:graphic>
              <a:graphicData uri="http://schemas.openxmlformats.org/drawingml/2006/picture">
                <pic:pic>
                  <pic:nvPicPr>
                    <pic:cNvPr descr="image/image-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Создаем папку work</w:t>
      </w:r>
    </w:p>
    <w:p>
      <w:pPr>
        <w:pStyle w:val="BodyText"/>
      </w:pPr>
      <w:r>
        <w:t xml:space="preserve">Подключаем разделяемую папку (рис. 27):</w:t>
      </w:r>
    </w:p>
    <w:p>
      <w:pPr>
        <w:pStyle w:val="CaptionedFigure"/>
      </w:pPr>
      <w:r>
        <w:drawing>
          <wp:inline>
            <wp:extent cx="3733800" cy="108330"/>
            <wp:effectExtent b="0" l="0" r="0" t="0"/>
            <wp:docPr descr="Подключаем разделяемую папку" title="" id="101" name="Picture"/>
            <a:graphic>
              <a:graphicData uri="http://schemas.openxmlformats.org/drawingml/2006/picture">
                <pic:pic>
                  <pic:nvPicPr>
                    <pic:cNvPr descr="image/image-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Подключаем разделяемую папку</w:t>
      </w:r>
    </w:p>
    <w:p>
      <w:pPr>
        <w:pStyle w:val="BodyText"/>
      </w:pPr>
      <w:r>
        <w:t xml:space="preserve">Перезагружаем виртуальную машину.</w:t>
      </w:r>
    </w:p>
    <w:p>
      <w:pPr>
        <w:pStyle w:val="BodyText"/>
      </w:pPr>
      <w:r>
        <w:t xml:space="preserve">Установливаем программное обеспечение для создания документации. Запускаем терминальный мультиплексор tmux (рис. 28):</w:t>
      </w:r>
    </w:p>
    <w:p>
      <w:pPr>
        <w:pStyle w:val="CaptionedFigure"/>
      </w:pPr>
      <w:r>
        <w:drawing>
          <wp:inline>
            <wp:extent cx="1429230" cy="291993"/>
            <wp:effectExtent b="0" l="0" r="0" t="0"/>
            <wp:docPr descr="Запуск tmux" title="" id="104" name="Picture"/>
            <a:graphic>
              <a:graphicData uri="http://schemas.openxmlformats.org/drawingml/2006/picture">
                <pic:pic>
                  <pic:nvPicPr>
                    <pic:cNvPr descr="image/image-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30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tmux</w:t>
      </w:r>
    </w:p>
    <w:p>
      <w:pPr>
        <w:pStyle w:val="BodyText"/>
      </w:pPr>
      <w:r>
        <w:t xml:space="preserve">Переключаемся на роль супер-пользователя, устанавливаем с помощью менеджера пакетов - средство pandoc для работы с языком разметки Markdown (рис. 29):</w:t>
      </w:r>
    </w:p>
    <w:p>
      <w:pPr>
        <w:pStyle w:val="CaptionedFigure"/>
      </w:pPr>
      <w:r>
        <w:drawing>
          <wp:inline>
            <wp:extent cx="2843092" cy="622406"/>
            <wp:effectExtent b="0" l="0" r="0" t="0"/>
            <wp:docPr descr="Установка pandoc" title="" id="107" name="Picture"/>
            <a:graphic>
              <a:graphicData uri="http://schemas.openxmlformats.org/drawingml/2006/picture">
                <pic:pic>
                  <pic:nvPicPr>
                    <pic:cNvPr descr="image/image-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pandoc</w:t>
      </w:r>
    </w:p>
    <w:p>
      <w:pPr>
        <w:pStyle w:val="BodyText"/>
      </w:pPr>
      <w:r>
        <w:t xml:space="preserve">Версия 3.16.0a нам подходит (пакет уст. pandoc-crossref) (рис. 30):</w:t>
      </w:r>
    </w:p>
    <w:p>
      <w:pPr>
        <w:pStyle w:val="CaptionedFigure"/>
      </w:pPr>
      <w:r>
        <w:drawing>
          <wp:inline>
            <wp:extent cx="3319502" cy="3158137"/>
            <wp:effectExtent b="0" l="0" r="0" t="0"/>
            <wp:docPr descr="Выбор версии" title="" id="110" name="Picture"/>
            <a:graphic>
              <a:graphicData uri="http://schemas.openxmlformats.org/drawingml/2006/picture">
                <pic:pic>
                  <pic:nvPicPr>
                    <pic:cNvPr descr="image/image-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Выбор версии</w:t>
      </w:r>
    </w:p>
    <w:p>
      <w:pPr>
        <w:pStyle w:val="BodyText"/>
      </w:pPr>
      <w:r>
        <w:t xml:space="preserve">Проверяем загрузки (рис. 31):</w:t>
      </w:r>
    </w:p>
    <w:p>
      <w:pPr>
        <w:pStyle w:val="CaptionedFigure"/>
      </w:pPr>
      <w:r>
        <w:drawing>
          <wp:inline>
            <wp:extent cx="1967112" cy="276625"/>
            <wp:effectExtent b="0" l="0" r="0" t="0"/>
            <wp:docPr descr="Проверяем загрузки" title="" id="113" name="Picture"/>
            <a:graphic>
              <a:graphicData uri="http://schemas.openxmlformats.org/drawingml/2006/picture">
                <pic:pic>
                  <pic:nvPicPr>
                    <pic:cNvPr descr="image/image-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12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Проверяем загрузки</w:t>
      </w:r>
    </w:p>
    <w:p>
      <w:pPr>
        <w:pStyle w:val="BodyText"/>
      </w:pPr>
      <w:r>
        <w:t xml:space="preserve">Распаковываем архив и перемещаем файл в /usr/local/bin (рис. 32):</w:t>
      </w:r>
    </w:p>
    <w:p>
      <w:pPr>
        <w:pStyle w:val="CaptionedFigure"/>
      </w:pPr>
      <w:r>
        <w:drawing>
          <wp:inline>
            <wp:extent cx="3688336" cy="1152605"/>
            <wp:effectExtent b="0" l="0" r="0" t="0"/>
            <wp:docPr descr="Распаковываем и перемещаем" title="" id="116" name="Picture"/>
            <a:graphic>
              <a:graphicData uri="http://schemas.openxmlformats.org/drawingml/2006/picture">
                <pic:pic>
                  <pic:nvPicPr>
                    <pic:cNvPr descr="image/image-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115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Распаковываем и перемещаем</w:t>
      </w:r>
    </w:p>
    <w:p>
      <w:pPr>
        <w:pStyle w:val="BodyText"/>
      </w:pPr>
      <w:r>
        <w:t xml:space="preserve">Установим дистрибутив TeXlive (рис. 33):</w:t>
      </w:r>
    </w:p>
    <w:p>
      <w:pPr>
        <w:pStyle w:val="CaptionedFigure"/>
      </w:pPr>
      <w:r>
        <w:drawing>
          <wp:inline>
            <wp:extent cx="2750884" cy="153680"/>
            <wp:effectExtent b="0" l="0" r="0" t="0"/>
            <wp:docPr descr="Установка TexLive" title="" id="119" name="Picture"/>
            <a:graphic>
              <a:graphicData uri="http://schemas.openxmlformats.org/drawingml/2006/picture">
                <pic:pic>
                  <pic:nvPicPr>
                    <pic:cNvPr descr="image/image-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84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Установка TexLive</w:t>
      </w:r>
    </w:p>
    <w:bookmarkEnd w:id="121"/>
    <w:bookmarkStart w:id="140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Версия ядра Linux (рис. 34):</w:t>
      </w:r>
    </w:p>
    <w:p>
      <w:pPr>
        <w:pStyle w:val="CaptionedFigure"/>
      </w:pPr>
      <w:r>
        <w:drawing>
          <wp:inline>
            <wp:extent cx="2451206" cy="1083448"/>
            <wp:effectExtent b="0" l="0" r="0" t="0"/>
            <wp:docPr descr="Linux version" title="" id="123" name="Picture"/>
            <a:graphic>
              <a:graphicData uri="http://schemas.openxmlformats.org/drawingml/2006/picture">
                <pic:pic>
                  <pic:nvPicPr>
                    <pic:cNvPr descr="image/image-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Linux version</w:t>
      </w:r>
    </w:p>
    <w:p>
      <w:pPr>
        <w:pStyle w:val="BodyText"/>
      </w:pPr>
      <w:r>
        <w:t xml:space="preserve">Частота процессора (рис. 35):</w:t>
      </w:r>
    </w:p>
    <w:p>
      <w:pPr>
        <w:pStyle w:val="CaptionedFigure"/>
      </w:pPr>
      <w:r>
        <w:drawing>
          <wp:inline>
            <wp:extent cx="2435838" cy="691563"/>
            <wp:effectExtent b="0" l="0" r="0" t="0"/>
            <wp:docPr descr="Detected Mhz processor" title="" id="126" name="Picture"/>
            <a:graphic>
              <a:graphicData uri="http://schemas.openxmlformats.org/drawingml/2006/picture">
                <pic:pic>
                  <pic:nvPicPr>
                    <pic:cNvPr descr="image/image-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Detected Mhz processor</w:t>
      </w:r>
    </w:p>
    <w:p>
      <w:pPr>
        <w:pStyle w:val="BodyText"/>
      </w:pPr>
      <w:r>
        <w:t xml:space="preserve">Модель процессора (рис. 36):</w:t>
      </w:r>
    </w:p>
    <w:p>
      <w:pPr>
        <w:pStyle w:val="CaptionedFigure"/>
      </w:pPr>
      <w:r>
        <w:drawing>
          <wp:inline>
            <wp:extent cx="2474258" cy="514830"/>
            <wp:effectExtent b="0" l="0" r="0" t="0"/>
            <wp:docPr descr="CPU0" title="" id="129" name="Picture"/>
            <a:graphic>
              <a:graphicData uri="http://schemas.openxmlformats.org/drawingml/2006/picture">
                <pic:pic>
                  <pic:nvPicPr>
                    <pic:cNvPr descr="image/image-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CPU0</w:t>
      </w:r>
    </w:p>
    <w:p>
      <w:pPr>
        <w:pStyle w:val="BodyText"/>
      </w:pPr>
      <w:r>
        <w:t xml:space="preserve">Объём доступной оперативной памяти (рис. 37):</w:t>
      </w:r>
    </w:p>
    <w:p>
      <w:pPr>
        <w:pStyle w:val="CaptionedFigure"/>
      </w:pPr>
      <w:r>
        <w:drawing>
          <wp:inline>
            <wp:extent cx="2497310" cy="2259105"/>
            <wp:effectExtent b="0" l="0" r="0" t="0"/>
            <wp:docPr descr="Memory available" title="" id="132" name="Picture"/>
            <a:graphic>
              <a:graphicData uri="http://schemas.openxmlformats.org/drawingml/2006/picture">
                <pic:pic>
                  <pic:nvPicPr>
                    <pic:cNvPr descr="image/image-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10" cy="22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Memory available</w:t>
      </w:r>
    </w:p>
    <w:p>
      <w:pPr>
        <w:pStyle w:val="BodyText"/>
      </w:pPr>
      <w:r>
        <w:t xml:space="preserve">Тип обнаруженного гипервизора (рис. 37):</w:t>
      </w:r>
    </w:p>
    <w:p>
      <w:pPr>
        <w:pStyle w:val="CaptionedFigure"/>
      </w:pPr>
      <w:r>
        <w:drawing>
          <wp:inline>
            <wp:extent cx="2512678" cy="514830"/>
            <wp:effectExtent b="0" l="0" r="0" t="0"/>
            <wp:docPr descr="Hypervisor detected" title="" id="135" name="Picture"/>
            <a:graphic>
              <a:graphicData uri="http://schemas.openxmlformats.org/drawingml/2006/picture">
                <pic:pic>
                  <pic:nvPicPr>
                    <pic:cNvPr descr="image/image-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78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Hypervisor detected</w:t>
      </w:r>
    </w:p>
    <w:p>
      <w:pPr>
        <w:pStyle w:val="BodyText"/>
      </w:pPr>
      <w:r>
        <w:t xml:space="preserve">Тип файловой системы корневого раздела (рис. 39):</w:t>
      </w:r>
    </w:p>
    <w:p>
      <w:pPr>
        <w:pStyle w:val="CaptionedFigure"/>
      </w:pPr>
      <w:r>
        <w:drawing>
          <wp:inline>
            <wp:extent cx="2512678" cy="960504"/>
            <wp:effectExtent b="0" l="0" r="0" t="0"/>
            <wp:docPr descr="Тип файловой системы корневого раздела" title="" id="138" name="Picture"/>
            <a:graphic>
              <a:graphicData uri="http://schemas.openxmlformats.org/drawingml/2006/picture">
                <pic:pic>
                  <pic:nvPicPr>
                    <pic:cNvPr descr="image/image-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78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Тип файловой системы корневого раздела</w:t>
      </w:r>
    </w:p>
    <w:bookmarkEnd w:id="140"/>
    <w:bookmarkStart w:id="14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Учётная запись пользователя включает в себя следующую информацию:</w:t>
      </w:r>
    </w:p>
    <w:p>
      <w:pPr>
        <w:pStyle w:val="BodyText"/>
      </w:pPr>
      <w:r>
        <w:t xml:space="preserve">Для получения справки по команде:</w:t>
      </w:r>
      <w:r>
        <w:t xml:space="preserve"> </w:t>
      </w:r>
      <w:r>
        <w:t xml:space="preserve">Вы можете использовать команду man, например: man useradd.</w:t>
      </w:r>
    </w:p>
    <w:p>
      <w:pPr>
        <w:pStyle w:val="BodyText"/>
      </w:pPr>
      <w:r>
        <w:t xml:space="preserve">Для перемещения по файловой системе:</w:t>
      </w:r>
      <w:r>
        <w:t xml:space="preserve"> </w:t>
      </w:r>
      <w:r>
        <w:t xml:space="preserve">Для перемещения по файловой системе используется команда cd. Например, для перехода в домашний каталог пользователя: cd ~.</w:t>
      </w:r>
    </w:p>
    <w:p>
      <w:pPr>
        <w:pStyle w:val="BodyText"/>
      </w:pPr>
      <w:r>
        <w:t xml:space="preserve">Для просмотра содержимого каталога:</w:t>
      </w:r>
      <w:r>
        <w:t xml:space="preserve"> </w:t>
      </w:r>
      <w:r>
        <w:t xml:space="preserve">Для просмотра содержимого каталога используется команда ls. Например: ls -l.</w:t>
      </w:r>
    </w:p>
    <w:p>
      <w:pPr>
        <w:pStyle w:val="BodyText"/>
      </w:pPr>
      <w:r>
        <w:t xml:space="preserve">Для определения объёма каталога:</w:t>
      </w:r>
      <w:r>
        <w:t xml:space="preserve"> </w:t>
      </w:r>
      <w:r>
        <w:t xml:space="preserve">Для определения объёма каталога можно использовать команду du. Например: du -sh /path/to/directory.</w:t>
      </w:r>
    </w:p>
    <w:p>
      <w:pPr>
        <w:pStyle w:val="BodyText"/>
      </w:pPr>
      <w:r>
        <w:t xml:space="preserve">Для создания / удаления каталогов / файлов:</w:t>
      </w:r>
    </w:p>
    <w:p>
      <w:pPr>
        <w:pStyle w:val="BodyText"/>
      </w:pPr>
      <w:r>
        <w:t xml:space="preserve">Для создания каталога используется команда mkdir. Например: mkdir new_directory.</w:t>
      </w:r>
      <w:r>
        <w:t xml:space="preserve"> </w:t>
      </w:r>
      <w:r>
        <w:t xml:space="preserve">Для удаления каталога используется команда rm -r. Например: rm -r old_directory.</w:t>
      </w:r>
      <w:r>
        <w:t xml:space="preserve"> </w:t>
      </w:r>
      <w:r>
        <w:t xml:space="preserve">Для создания файла используется команда touch. Например: touch new_file.txt.</w:t>
      </w:r>
      <w:r>
        <w:t xml:space="preserve"> </w:t>
      </w:r>
      <w:r>
        <w:t xml:space="preserve">Для удаления файла используется команда rm. Например: rm old_file.txt.</w:t>
      </w:r>
      <w:r>
        <w:t xml:space="preserve"> </w:t>
      </w:r>
      <w:r>
        <w:t xml:space="preserve">Для задания определённых прав на файл / каталог:</w:t>
      </w:r>
      <w:r>
        <w:t xml:space="preserve"> </w:t>
      </w:r>
      <w:r>
        <w:t xml:space="preserve">Для задания прав на файл или каталог используется команда chmod. Например: chmod 755 file.txt.</w:t>
      </w:r>
    </w:p>
    <w:p>
      <w:pPr>
        <w:pStyle w:val="BodyText"/>
      </w:pPr>
      <w:r>
        <w:t xml:space="preserve">Для просмотра истории команд:</w:t>
      </w:r>
      <w:r>
        <w:t xml:space="preserve"> </w:t>
      </w:r>
      <w:r>
        <w:t xml:space="preserve">Для просмотра истории команд используется команда history. Например: history | less.</w:t>
      </w:r>
    </w:p>
    <w:p>
      <w:pPr>
        <w:pStyle w:val="BodyText"/>
      </w:pPr>
      <w:r>
        <w:t xml:space="preserve">Файловая система - это способ организации данных на носителе. Примеры файловых систем включают ext4, NTFS, FAT32 и другие. Они имеют разные характеристики и поддерживают различные функции.</w:t>
      </w:r>
    </w:p>
    <w:p>
      <w:pPr>
        <w:pStyle w:val="BodyText"/>
      </w:pPr>
      <w:r>
        <w:t xml:space="preserve">Для просмотра подмонтированных файловых систем в ОС, вы можете использовать команду df -Th.</w:t>
      </w:r>
    </w:p>
    <w:p>
      <w:pPr>
        <w:pStyle w:val="BodyText"/>
      </w:pPr>
      <w:r>
        <w:t xml:space="preserve">Для удаления зависшего процесса в Linux можно использовать команду kill. Найдите PID (идентификатор процесса) зависшего процесса с помощью команды ps aux | grep</w:t>
      </w:r>
      <w:r>
        <w:t xml:space="preserve"> </w:t>
      </w:r>
      <w:r>
        <w:t xml:space="preserve"> </w:t>
      </w:r>
      <w:r>
        <w:t xml:space="preserve">и используйте команду kill -9</w:t>
      </w:r>
      <w:r>
        <w:t xml:space="preserve"> </w:t>
      </w:r>
      <w:r>
        <w:t xml:space="preserve">, чтобы принудительно завершить процесс.</w:t>
      </w:r>
    </w:p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42"/>
    <w:bookmarkStart w:id="146" w:name="список-литературы"/>
    <w:p>
      <w:pPr>
        <w:pStyle w:val="Heading1"/>
      </w:pPr>
      <w:r>
        <w:t xml:space="preserve">Список литературы</w:t>
      </w:r>
    </w:p>
    <w:bookmarkStart w:id="145" w:name="refs"/>
    <w:bookmarkStart w:id="144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43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144"/>
    <w:bookmarkEnd w:id="145"/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43" Target="https://esystem.rudn.ru/mod/page/view.php?id=109893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3" Target="https://esystem.rudn.ru/mod/page/view.php?id=109893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Александр Денисович Мосолов</dc:creator>
  <dc:language>ru-RU</dc:language>
  <cp:keywords/>
  <dcterms:created xsi:type="dcterms:W3CDTF">2024-03-02T14:15:06Z</dcterms:created>
  <dcterms:modified xsi:type="dcterms:W3CDTF">2024-03-02T14:15:06Z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