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 Senior Systems Analyst (January 2017 - January 2024)</w:t>
      </w:r>
    </w:p>
    <w:p>
      <w:pPr>
        <w:pStyle w:val="ListParagraph"/>
        <w:numPr>
          <w:ilvl w:val="0"/>
          <w:numId w:val="2"/>
        </w:numPr>
        <w:spacing w:after="18" w:before="18"/>
      </w:pPr>
      <w:r>
        <w:rPr>
          <w:rFonts w:ascii="Calibri" w:cs="Calibri" w:eastAsia="Calibri" w:hAnsi="Calibri"/>
          <w:color w:val="222222"/>
          <w:sz w:val="20"/>
          <w:szCs w:val="20"/>
        </w:rPr>
        <w:t xml:space="preserve">Served as technical expert for multiple projects and agencies, and as infrastructure lead for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for the Department of Homeland Security (DHS) Risk and Fraud DevSecOps Services, writing Terraform and Ansible code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 and created and deployed RHEL and Windows test environments for every project</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 built on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the Defense Health Agency (DHA) Consolidated SharePoint Web Farm, including Active Directory (AD) domain controllers and AD Federation Services (ADFS) servers</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Awarded the Frederic A. P. Barnard Scholarship, the university's highest academic scholarship,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2026-10-18T11:03:14.604Z</dcterms:created>
  <dcterms:modified xsi:type="dcterms:W3CDTF">2026-10-18T11:03:14.605Z</dcterms:modified>
</cp:coreProperties>
</file>

<file path=docProps/custom.xml><?xml version="1.0" encoding="utf-8"?>
<Properties xmlns="http://schemas.openxmlformats.org/officeDocument/2006/custom-properties" xmlns:vt="http://schemas.openxmlformats.org/officeDocument/2006/docPropsVTypes"/>
</file>