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Administrator, Architect, and Engineer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Some highlights of my experience follow:</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Designing an enterprise replication/failover system for a Continuity of Operations (COOP) site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Implementing public key infrastructure (PKI) in highly-secured environments</w:t>
      </w:r>
    </w:p>
    <w:p>
      <w:pPr>
        <w:pStyle w:val="ListParagraph"/>
        <w:numPr>
          <w:ilvl w:val="0"/>
          <w:numId w:val="2"/>
        </w:numPr>
        <w:spacing w:after="18" w:before="18"/>
      </w:pPr>
      <w:r>
        <w:rPr>
          <w:rFonts w:ascii="Calibri" w:cs="Calibri" w:eastAsia="Calibri" w:hAnsi="Calibri"/>
          <w:color w:val="222222"/>
          <w:sz w:val="20"/>
          <w:szCs w:val="20"/>
        </w:rPr>
        <w:t xml:space="preserve">Writing and implementing Risk Management Framework (RMF) system security plans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0" w:before="40"/>
      </w:pPr>
      <w:r>
        <w:rPr>
          <w:rFonts w:ascii="Calibri" w:cs="Calibri" w:eastAsia="Calibri" w:hAnsi="Calibri"/>
          <w:b/>
          <w:bCs/>
          <w:color w:val="1F4E79"/>
          <w:sz w:val="21"/>
          <w:szCs w:val="21"/>
        </w:rPr>
        <w:t xml:space="preserve">Operating Systems</w:t>
      </w:r>
    </w:p>
    <w:p>
      <w:pPr>
        <w:spacing w:after="0" w:before="0"/>
        <w:jc w:val="both"/>
      </w:pPr>
      <w:r>
        <w:rPr>
          <w:rFonts w:ascii="Calibri" w:cs="Calibri" w:eastAsia="Calibri" w:hAnsi="Calibri"/>
          <w:color w:val="222222"/>
          <w:sz w:val="20"/>
          <w:szCs w:val="20"/>
        </w:rPr>
        <w:t xml:space="preserve">IBM AIX; Red Hat Enterprise Linux (RHEL) and its rebuilds/derivatives, including Oracle Linux (OL, UEK/RHCK), AlmaLinux, CentOS, and Fedora; Debian/Ubuntu; Kali Linux</w:t>
      </w:r>
    </w:p>
    <w:p>
      <w:pPr>
        <w:spacing w:after="20" w:before="180"/>
      </w:pPr>
      <w:r>
        <w:rPr>
          <w:rFonts w:ascii="Calibri" w:cs="Calibri" w:eastAsia="Calibri" w:hAnsi="Calibri"/>
          <w:b/>
          <w:bCs/>
          <w:color w:val="1F4E79"/>
          <w:sz w:val="21"/>
          <w:szCs w:val="21"/>
        </w:rPr>
        <w:t xml:space="preserve">Cloud</w:t>
      </w:r>
    </w:p>
    <w:p>
      <w:pPr>
        <w:spacing w:after="0" w:before="0"/>
        <w:jc w:val="both"/>
      </w:pPr>
      <w:r>
        <w:rPr>
          <w:rFonts w:ascii="Calibri" w:cs="Calibri" w:eastAsia="Calibri" w:hAnsi="Calibri"/>
          <w:color w:val="222222"/>
          <w:sz w:val="20"/>
          <w:szCs w:val="20"/>
        </w:rPr>
        <w:t xml:space="preserve">Amazon Web Services (AWS), including AWS GovCloud</w:t>
      </w:r>
    </w:p>
    <w:p>
      <w:pPr>
        <w:spacing w:after="20" w:before="180"/>
      </w:pPr>
      <w:r>
        <w:rPr>
          <w:rFonts w:ascii="Calibri" w:cs="Calibri" w:eastAsia="Calibri" w:hAnsi="Calibri"/>
          <w:b/>
          <w:bCs/>
          <w:color w:val="1F4E79"/>
          <w:sz w:val="21"/>
          <w:szCs w:val="21"/>
        </w:rPr>
        <w:t xml:space="preserve">Automation &amp; IaC</w:t>
      </w:r>
    </w:p>
    <w:p>
      <w:pPr>
        <w:spacing w:after="0" w:before="0"/>
        <w:jc w:val="both"/>
      </w:pPr>
      <w:r>
        <w:rPr>
          <w:rFonts w:ascii="Calibri" w:cs="Calibri" w:eastAsia="Calibri" w:hAnsi="Calibri"/>
          <w:color w:val="222222"/>
          <w:sz w:val="20"/>
          <w:szCs w:val="20"/>
        </w:rPr>
        <w:t xml:space="preserve">Ansible, Terraform, Bash and Korn shell scripting, Git</w:t>
      </w:r>
    </w:p>
    <w:p>
      <w:pPr>
        <w:spacing w:after="20" w:before="180"/>
      </w:pPr>
      <w:r>
        <w:rPr>
          <w:rFonts w:ascii="Calibri" w:cs="Calibri" w:eastAsia="Calibri" w:hAnsi="Calibri"/>
          <w:b/>
          <w:bCs/>
          <w:color w:val="1F4E79"/>
          <w:sz w:val="21"/>
          <w:szCs w:val="21"/>
        </w:rPr>
        <w:t xml:space="preserve">Virtualization, Orchestration &amp; Containers</w:t>
      </w:r>
    </w:p>
    <w:p>
      <w:pPr>
        <w:spacing w:after="0" w:before="0"/>
        <w:jc w:val="both"/>
      </w:pPr>
      <w:r>
        <w:rPr>
          <w:rFonts w:ascii="Calibri" w:cs="Calibri" w:eastAsia="Calibri" w:hAnsi="Calibri"/>
          <w:color w:val="222222"/>
          <w:sz w:val="20"/>
          <w:szCs w:val="20"/>
        </w:rPr>
        <w:t xml:space="preserve">VMware vSphere/ESXi, Proxmox VE, Microsoft Hyper-V, PowerVM and Virtual I/O Server (VIOS), Oracle VM (OVM) and Oracle Linux Virtualization Manager (OLVM), libvirt and other KVM/QEMU frameworks, Kubernetes, LXC, CSM/PSSP</w:t>
      </w:r>
    </w:p>
    <w:p>
      <w:pPr>
        <w:spacing w:after="20" w:before="180"/>
      </w:pPr>
      <w:r>
        <w:rPr>
          <w:rFonts w:ascii="Calibri" w:cs="Calibri" w:eastAsia="Calibri" w:hAnsi="Calibri"/>
          <w:b/>
          <w:bCs/>
          <w:color w:val="1F4E79"/>
          <w:sz w:val="21"/>
          <w:szCs w:val="21"/>
        </w:rPr>
        <w:t xml:space="preserve">Storage</w:t>
      </w:r>
    </w:p>
    <w:p>
      <w:pPr>
        <w:spacing w:after="0" w:before="0"/>
        <w:jc w:val="both"/>
      </w:pPr>
      <w:r>
        <w:rPr>
          <w:rFonts w:ascii="Calibri" w:cs="Calibri" w:eastAsia="Calibri" w:hAnsi="Calibri"/>
          <w:color w:val="222222"/>
          <w:sz w:val="20"/>
          <w:szCs w:val="20"/>
        </w:rPr>
        <w:t xml:space="preserve">Enterprise SAN/NAS, ZFS, TrueNAS SCALE and Core, NFS, SMB/CIFS, iSCSI</w:t>
      </w:r>
    </w:p>
    <w:p>
      <w:pPr>
        <w:spacing w:after="20" w:before="180"/>
      </w:pPr>
      <w:r>
        <w:rPr>
          <w:rFonts w:ascii="Calibri" w:cs="Calibri" w:eastAsia="Calibri" w:hAnsi="Calibri"/>
          <w:b/>
          <w:bCs/>
          <w:color w:val="1F4E79"/>
          <w:sz w:val="21"/>
          <w:szCs w:val="21"/>
        </w:rPr>
        <w:t xml:space="preserve">Security Frameworks &amp; Compliance</w:t>
      </w:r>
    </w:p>
    <w:p>
      <w:pPr>
        <w:spacing w:after="0" w:before="0"/>
        <w:jc w:val="both"/>
      </w:pPr>
      <w:r>
        <w:rPr>
          <w:rFonts w:ascii="Calibri" w:cs="Calibri" w:eastAsia="Calibri" w:hAnsi="Calibri"/>
          <w:color w:val="222222"/>
          <w:sz w:val="20"/>
          <w:szCs w:val="20"/>
        </w:rPr>
        <w:t xml:space="preserve">Risk Management Framework (RMF), NIST Cybersecurity Framework (CSF), DISA STIGs, SCAP/OpenSCAP, SCAP Security Guide (SSG)/ComplianceAsCode</w:t>
      </w:r>
    </w:p>
    <w:p>
      <w:pPr>
        <w:spacing w:after="20" w:before="180"/>
      </w:pPr>
      <w:r>
        <w:rPr>
          <w:rFonts w:ascii="Calibri" w:cs="Calibri" w:eastAsia="Calibri" w:hAnsi="Calibri"/>
          <w:b/>
          <w:bCs/>
          <w:color w:val="1F4E79"/>
          <w:sz w:val="21"/>
          <w:szCs w:val="21"/>
        </w:rPr>
        <w:t xml:space="preserve">Security Hardening &amp; Mechanisms</w:t>
      </w:r>
    </w:p>
    <w:p>
      <w:pPr>
        <w:spacing w:after="0" w:before="0"/>
        <w:jc w:val="both"/>
      </w:pPr>
      <w:r>
        <w:rPr>
          <w:rFonts w:ascii="Calibri" w:cs="Calibri" w:eastAsia="Calibri" w:hAnsi="Calibri"/>
          <w:color w:val="222222"/>
          <w:sz w:val="20"/>
          <w:szCs w:val="20"/>
        </w:rPr>
        <w:t xml:space="preserve">SELinux, fapolicyd, USBGuard, firewalld, FIPS encryption, LUKS, BitLocker</w:t>
      </w:r>
    </w:p>
    <w:p>
      <w:pPr>
        <w:spacing w:after="20" w:before="180"/>
      </w:pPr>
      <w:r>
        <w:rPr>
          <w:rFonts w:ascii="Calibri" w:cs="Calibri" w:eastAsia="Calibri" w:hAnsi="Calibri"/>
          <w:b/>
          <w:bCs/>
          <w:color w:val="1F4E79"/>
          <w:sz w:val="21"/>
          <w:szCs w:val="21"/>
        </w:rPr>
        <w:t xml:space="preserve">Endpoint &amp; Vulnerability Management</w:t>
      </w:r>
    </w:p>
    <w:p>
      <w:pPr>
        <w:spacing w:after="0" w:before="0"/>
        <w:jc w:val="both"/>
      </w:pPr>
      <w:r>
        <w:rPr>
          <w:rFonts w:ascii="Calibri" w:cs="Calibri" w:eastAsia="Calibri" w:hAnsi="Calibri"/>
          <w:color w:val="222222"/>
          <w:sz w:val="20"/>
          <w:szCs w:val="20"/>
        </w:rPr>
        <w:t xml:space="preserve">Trellix (formerly McAfee/HBSS ePO), ACAS and standalone Tenable Nessus</w:t>
      </w:r>
    </w:p>
    <w:p>
      <w:pPr>
        <w:spacing w:after="20" w:before="180"/>
      </w:pPr>
      <w:r>
        <w:rPr>
          <w:rFonts w:ascii="Calibri" w:cs="Calibri" w:eastAsia="Calibri" w:hAnsi="Calibri"/>
          <w:b/>
          <w:bCs/>
          <w:color w:val="1F4E79"/>
          <w:sz w:val="21"/>
          <w:szCs w:val="21"/>
        </w:rPr>
        <w:t xml:space="preserve">Scanning, Recon &amp; Traffic Analysis</w:t>
      </w:r>
    </w:p>
    <w:p>
      <w:pPr>
        <w:spacing w:after="0" w:before="0"/>
        <w:jc w:val="both"/>
      </w:pPr>
      <w:r>
        <w:rPr>
          <w:rFonts w:ascii="Calibri" w:cs="Calibri" w:eastAsia="Calibri" w:hAnsi="Calibri"/>
          <w:color w:val="222222"/>
          <w:sz w:val="20"/>
          <w:szCs w:val="20"/>
        </w:rPr>
        <w:t xml:space="preserve">Nmap, Wireshark, Suricata, Kali Linux</w:t>
      </w:r>
    </w:p>
    <w:p>
      <w:pPr>
        <w:spacing w:after="20" w:before="180"/>
      </w:pPr>
      <w:r>
        <w:rPr>
          <w:rFonts w:ascii="Calibri" w:cs="Calibri" w:eastAsia="Calibri" w:hAnsi="Calibri"/>
          <w:b/>
          <w:bCs/>
          <w:color w:val="1F4E79"/>
          <w:sz w:val="21"/>
          <w:szCs w:val="21"/>
        </w:rPr>
        <w:t xml:space="preserve">Monitoring &amp; Logging</w:t>
      </w:r>
    </w:p>
    <w:p>
      <w:pPr>
        <w:spacing w:after="0" w:before="0"/>
        <w:jc w:val="both"/>
      </w:pPr>
      <w:r>
        <w:rPr>
          <w:rFonts w:ascii="Calibri" w:cs="Calibri" w:eastAsia="Calibri" w:hAnsi="Calibri"/>
          <w:color w:val="222222"/>
          <w:sz w:val="20"/>
          <w:szCs w:val="20"/>
        </w:rPr>
        <w:t xml:space="preserve">Splunk, Zabbix, PRTG, syslog/rsyslog, SNMP, NetFlow, ntopng</w:t>
      </w:r>
    </w:p>
    <w:p>
      <w:pPr>
        <w:spacing w:after="20" w:before="180"/>
      </w:pPr>
      <w:r>
        <w:rPr>
          <w:rFonts w:ascii="Calibri" w:cs="Calibri" w:eastAsia="Calibri" w:hAnsi="Calibri"/>
          <w:b/>
          <w:bCs/>
          <w:color w:val="1F4E79"/>
          <w:sz w:val="21"/>
          <w:szCs w:val="21"/>
        </w:rPr>
        <w:t xml:space="preserve">Networking</w:t>
      </w:r>
    </w:p>
    <w:p>
      <w:pPr>
        <w:spacing w:after="0" w:before="0"/>
        <w:jc w:val="both"/>
      </w:pPr>
      <w:r>
        <w:rPr>
          <w:rFonts w:ascii="Calibri" w:cs="Calibri" w:eastAsia="Calibri" w:hAnsi="Calibri"/>
          <w:color w:val="222222"/>
          <w:sz w:val="20"/>
          <w:szCs w:val="20"/>
        </w:rPr>
        <w:t xml:space="preserve">Cisco IOS, NX-OS, and Nexus switching; OPNsense</w:t>
      </w:r>
    </w:p>
    <w:p>
      <w:pPr>
        <w:spacing w:after="20" w:before="180"/>
      </w:pPr>
      <w:r>
        <w:rPr>
          <w:rFonts w:ascii="Calibri" w:cs="Calibri" w:eastAsia="Calibri" w:hAnsi="Calibri"/>
          <w:b/>
          <w:bCs/>
          <w:color w:val="1F4E79"/>
          <w:sz w:val="21"/>
          <w:szCs w:val="21"/>
        </w:rPr>
        <w:t xml:space="preserve">Infrastructure &amp; Authentication Services</w:t>
      </w:r>
    </w:p>
    <w:p>
      <w:pPr>
        <w:spacing w:after="0" w:before="0"/>
        <w:jc w:val="both"/>
      </w:pPr>
      <w:r>
        <w:rPr>
          <w:rFonts w:ascii="Calibri" w:cs="Calibri" w:eastAsia="Calibri" w:hAnsi="Calibri"/>
          <w:color w:val="222222"/>
          <w:sz w:val="20"/>
          <w:szCs w:val="20"/>
        </w:rPr>
        <w:t xml:space="preserve">BIND DNS and DNSSEC, Unbound, Postfix/SMTP, IMAP, Apache, Tomcat, WebSphere, Kerberos, Red Hat Identity Management (IdM, formerly IPA), SSSD, Active Directory and Group Policy, PKI and Smart Card Logon (SCL), CAC/PIV and YubiKey integration</w:t>
      </w:r>
    </w:p>
    <w:p>
      <w:pPr>
        <w:spacing w:after="20" w:before="180"/>
      </w:pPr>
      <w:r>
        <w:rPr>
          <w:rFonts w:ascii="Calibri" w:cs="Calibri" w:eastAsia="Calibri" w:hAnsi="Calibri"/>
          <w:b/>
          <w:bCs/>
          <w:color w:val="1F4E79"/>
          <w:sz w:val="21"/>
          <w:szCs w:val="21"/>
        </w:rPr>
        <w:t xml:space="preserve">Databases</w:t>
      </w:r>
    </w:p>
    <w:p>
      <w:pPr>
        <w:spacing w:after="0" w:before="0"/>
        <w:jc w:val="both"/>
      </w:pPr>
      <w:r>
        <w:rPr>
          <w:rFonts w:ascii="Calibri" w:cs="Calibri" w:eastAsia="Calibri" w:hAnsi="Calibri"/>
          <w:color w:val="222222"/>
          <w:sz w:val="20"/>
          <w:szCs w:val="20"/>
        </w:rPr>
        <w:t xml:space="preserve">Oracle Database, IBM DB2, PostgreSQL, Amazon Aurora</w:t>
      </w:r>
    </w:p>
    <w:p>
      <w:pPr>
        <w:spacing w:after="20" w:before="180"/>
      </w:pPr>
      <w:r>
        <w:rPr>
          <w:rFonts w:ascii="Calibri" w:cs="Calibri" w:eastAsia="Calibri" w:hAnsi="Calibri"/>
          <w:b/>
          <w:bCs/>
          <w:color w:val="1F4E79"/>
          <w:sz w:val="21"/>
          <w:szCs w:val="21"/>
        </w:rPr>
        <w:t xml:space="preserve">Hardware</w:t>
      </w:r>
    </w:p>
    <w:p>
      <w:pPr>
        <w:spacing w:after="0" w:before="0"/>
        <w:jc w:val="both"/>
      </w:pPr>
      <w:r>
        <w:rPr>
          <w:rFonts w:ascii="Calibri" w:cs="Calibri" w:eastAsia="Calibri" w:hAnsi="Calibri"/>
          <w:color w:val="222222"/>
          <w:sz w:val="20"/>
          <w:szCs w:val="20"/>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tabs>
          <w:tab w:val="right" w:pos="9026"/>
        </w:tabs>
        <w:spacing w:after="40" w:before="40"/>
      </w:pPr>
      <w:r>
        <w:rPr>
          <w:rFonts w:ascii="Calibri" w:cs="Calibri" w:eastAsia="Calibri" w:hAnsi="Calibri"/>
          <w:b/>
          <w:bCs/>
          <w:color w:val="222222"/>
          <w:sz w:val="21"/>
          <w:szCs w:val="21"/>
        </w:rPr>
        <w:t xml:space="preserve">University of Mississippi</w:t>
      </w:r>
      <w:r>
        <w:rPr>
          <w:rFonts w:ascii="Calibri" w:cs="Calibri" w:eastAsia="Calibri" w:hAnsi="Calibri"/>
          <w:color w:val="555555"/>
          <w:sz w:val="20"/>
          <w:szCs w:val="20"/>
        </w:rPr>
        <w:t xml:space="preserve">	Oxford, MS</w:t>
      </w:r>
    </w:p>
    <w:p>
      <w:pPr>
        <w:spacing w:after="40" w:before="0"/>
      </w:pPr>
      <w:r>
        <w:rPr>
          <w:rFonts w:ascii="Calibri" w:cs="Calibri" w:eastAsia="Calibri" w:hAnsi="Calibri"/>
          <w:color w:val="222222"/>
          <w:sz w:val="20"/>
          <w:szCs w:val="20"/>
        </w:rPr>
        <w:t xml:space="preserve">Studies in Biology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2026-07-08T21:50:50.891Z</dcterms:created>
  <dcterms:modified xsi:type="dcterms:W3CDTF">2026-07-08T21:50:50.891Z</dcterms:modified>
</cp:coreProperties>
</file>

<file path=docProps/custom.xml><?xml version="1.0" encoding="utf-8"?>
<Properties xmlns="http://schemas.openxmlformats.org/officeDocument/2006/custom-properties" xmlns:vt="http://schemas.openxmlformats.org/officeDocument/2006/docPropsVTypes"/>
</file>