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I know how to tailor my approaches to people and organizations as needed. And I'm good at recognizing and resolving non-technical problems and impediments.</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 This required being the bridge between agencies with diametrically opposed cultures, who didn't want the project and didn't want to work together.</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 and Ansible</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320"/>
      </w:pPr>
      <w:r>
        <w:rPr>
          <w:rFonts w:ascii="Calibri" w:cs="Calibri" w:eastAsia="Calibri" w:hAnsi="Calibri"/>
          <w:b/>
          <w:bCs/>
          <w:color w:val="1F4E79"/>
          <w:sz w:val="22"/>
          <w:szCs w:val="22"/>
        </w:rPr>
        <w:t xml:space="preserve">Leidos - Stennis Space Center, MS (March 2024 - Present)</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and Chief Executive Officer</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4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32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2026-08-12T16:10:42.753Z</dcterms:created>
  <dcterms:modified xsi:type="dcterms:W3CDTF">2026-08-12T16:10:42.755Z</dcterms:modified>
</cp:coreProperties>
</file>

<file path=docProps/custom.xml><?xml version="1.0" encoding="utf-8"?>
<Properties xmlns="http://schemas.openxmlformats.org/officeDocument/2006/custom-properties" xmlns:vt="http://schemas.openxmlformats.org/officeDocument/2006/docPropsVTypes"/>
</file>