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and Architect</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designing, architecting, and implementing solutions across a wide range of platforms and environments, with twenty years of experience implementing Department of Defense (DoD) security policies for Navy, Army, and Military Health System (MHS)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I also have substantial experience guiding colleagues and leading teams, and working successfully with difficult customers and co-workers. I can keep my cool in stressful situations and I'm good at distilling problems or challenges down to identify the core issues and key next steps: figuring out where effort can be applied right now to move forward.</w:t>
      </w:r>
    </w:p>
    <w:p>
      <w:pPr>
        <w:spacing w:after="40" w:before="40"/>
        <w:jc w:val="both"/>
      </w:pPr>
      <w:r>
        <w:rPr>
          <w:rFonts w:ascii="Calibri" w:cs="Calibri" w:eastAsia="Calibri" w:hAnsi="Calibri"/>
          <w:color w:val="222222"/>
          <w:sz w:val="20"/>
          <w:szCs w:val="20"/>
        </w:rPr>
        <w:t xml:space="preserve">Some highlights of my experience follow:</w:t>
      </w:r>
    </w:p>
    <w:p>
      <w:pPr>
        <w:pStyle w:val="ListParagraph"/>
        <w:numPr>
          <w:ilvl w:val="0"/>
          <w:numId w:val="2"/>
        </w:numPr>
        <w:spacing w:after="18" w:before="18"/>
      </w:pPr>
      <w:r>
        <w:rPr>
          <w:rFonts w:ascii="Calibri" w:cs="Calibri" w:eastAsia="Calibri" w:hAnsi="Calibri"/>
          <w:color w:val="222222"/>
          <w:sz w:val="20"/>
          <w:szCs w:val="20"/>
        </w:rPr>
        <w:t xml:space="preserve">Designing an enterprise replication/failover system for a Continuity of Operations (COOP) site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shell scripts, and Group Policy Objects (GPOs)</w:t>
      </w:r>
    </w:p>
    <w:p>
      <w:pPr>
        <w:pStyle w:val="ListParagraph"/>
        <w:numPr>
          <w:ilvl w:val="0"/>
          <w:numId w:val="2"/>
        </w:numPr>
        <w:spacing w:after="18" w:before="18"/>
      </w:pPr>
      <w:r>
        <w:rPr>
          <w:rFonts w:ascii="Calibri" w:cs="Calibri" w:eastAsia="Calibri" w:hAnsi="Calibri"/>
          <w:color w:val="222222"/>
          <w:sz w:val="20"/>
          <w:szCs w:val="20"/>
        </w:rPr>
        <w:t xml:space="preserve">Implementing public key infrastructure (PKI) in highly-secured environments</w:t>
      </w:r>
    </w:p>
    <w:p>
      <w:pPr>
        <w:pStyle w:val="ListParagraph"/>
        <w:numPr>
          <w:ilvl w:val="0"/>
          <w:numId w:val="2"/>
        </w:numPr>
        <w:spacing w:after="18" w:before="18"/>
      </w:pPr>
      <w:r>
        <w:rPr>
          <w:rFonts w:ascii="Calibri" w:cs="Calibri" w:eastAsia="Calibri" w:hAnsi="Calibri"/>
          <w:color w:val="222222"/>
          <w:sz w:val="20"/>
          <w:szCs w:val="20"/>
        </w:rPr>
        <w:t xml:space="preserve">Writing and implementing Risk Management Framework (RMF) system security plans</w:t>
      </w:r>
    </w:p>
    <w:p>
      <w:pPr>
        <w:pStyle w:val="ListParagraph"/>
        <w:numPr>
          <w:ilvl w:val="0"/>
          <w:numId w:val="2"/>
        </w:numPr>
        <w:spacing w:after="18" w:before="18"/>
      </w:pPr>
      <w:r>
        <w:rPr>
          <w:rFonts w:ascii="Calibri" w:cs="Calibri" w:eastAsia="Calibri" w:hAnsi="Calibri"/>
          <w:color w:val="222222"/>
          <w:sz w:val="20"/>
          <w:szCs w:val="20"/>
        </w:rPr>
        <w:t xml:space="preserve">Developing Infrastructure-as-Code (IaC) solutions in Terraform</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320"/>
      </w:pPr>
      <w:r>
        <w:rPr>
          <w:rFonts w:ascii="Calibri" w:cs="Calibri" w:eastAsia="Calibri" w:hAnsi="Calibri"/>
          <w:b/>
          <w:bCs/>
          <w:color w:val="1F4E79"/>
          <w:sz w:val="22"/>
          <w:szCs w:val="22"/>
        </w:rPr>
        <w:t xml:space="preserve">Leidos - Stennis Space Center, MS (March 2024 - Present)</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Led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pStyle w:val="ListParagraph"/>
        <w:numPr>
          <w:ilvl w:val="0"/>
          <w:numId w:val="2"/>
        </w:numPr>
        <w:spacing w:after="18" w:before="18"/>
      </w:pPr>
      <w:r>
        <w:rPr>
          <w:rFonts w:ascii="Calibri" w:cs="Calibri" w:eastAsia="Calibri" w:hAnsi="Calibri"/>
          <w:color w:val="222222"/>
          <w:sz w:val="20"/>
          <w:szCs w:val="20"/>
        </w:rPr>
        <w:t xml:space="preserve">Built a new Oracle Linux Virtualization Manager (OLVM) setup and the associated Oracle Linux (OL) 8 VMs to replace a legacy OVM/OL 7 cluster.</w:t>
      </w:r>
    </w:p>
    <w:p>
      <w:pPr>
        <w:pStyle w:val="ListParagraph"/>
        <w:numPr>
          <w:ilvl w:val="0"/>
          <w:numId w:val="2"/>
        </w:numPr>
        <w:spacing w:after="18" w:before="18"/>
      </w:pPr>
      <w:r>
        <w:rPr>
          <w:rFonts w:ascii="Calibri" w:cs="Calibri" w:eastAsia="Calibri" w:hAnsi="Calibri"/>
          <w:color w:val="222222"/>
          <w:sz w:val="20"/>
          <w:szCs w:val="20"/>
        </w:rPr>
        <w:t xml:space="preserve">Managed Ansible code repository for automation of all new system deployments and ongoing administration and maintenance, and exploited available but previously unused capabilities in existing products (e.g., SCAP automation in Satellite) to reduce time/labor associated with disjointed custom handling.</w:t>
      </w:r>
    </w:p>
    <w:p>
      <w:pPr>
        <w:pStyle w:val="ListParagraph"/>
        <w:numPr>
          <w:ilvl w:val="0"/>
          <w:numId w:val="2"/>
        </w:numPr>
        <w:spacing w:after="18" w:before="18"/>
      </w:pPr>
      <w:r>
        <w:rPr>
          <w:rFonts w:ascii="Calibri" w:cs="Calibri" w:eastAsia="Calibri" w:hAnsi="Calibri"/>
          <w:color w:val="222222"/>
          <w:sz w:val="20"/>
          <w:szCs w:val="20"/>
        </w:rPr>
        <w:t xml:space="preserve">Built and deployed SCAP Security Guide (SSG)/ComplianceAsCode and SCAP Compliance Checker (SCC).</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Acted as technical lead on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Supported Navy Enterprise Data Center (NEDC) consolidation and commercial cloud migration.</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Acted as systems administrator for the Marine Geosciences division at the Naval Research Laboratory (NRL), Stennis Space Center.</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w:t>
      </w:r>
    </w:p>
    <w:p>
      <w:pPr>
        <w:pStyle w:val="ListParagraph"/>
        <w:numPr>
          <w:ilvl w:val="0"/>
          <w:numId w:val="2"/>
        </w:numPr>
        <w:spacing w:after="18" w:before="18"/>
      </w:pPr>
      <w:r>
        <w:rPr>
          <w:rFonts w:ascii="Calibri" w:cs="Calibri" w:eastAsia="Calibri" w:hAnsi="Calibri"/>
          <w:color w:val="222222"/>
          <w:sz w:val="20"/>
          <w:szCs w:val="20"/>
        </w:rPr>
        <w:t xml:space="preserve">Enabled smart card (CAC)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Set up patch management and mitigations to fulfill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Microsoft Exchange; migrated Exchange from 2007 to 2013 and installed secondary client access and mailbox servers for redundancy.</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and built the Continuity of Operations (COOP) site for the NEP-Oc application deployed at Fleet Numerical Meteorology and Oceanography Center (FNMOC) in Monterey, CA.</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differences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Established tools for packaging web applications and settings in RPM format for NAVOCEANO's Spacewalk (Satellite) server.</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and Chief Executive Officer</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Acted as lead engineer for the Defense Health Services Systems (DHSS) ESSENCE medical surveillance application for the Military Health System (MHS).</w:t>
      </w:r>
    </w:p>
    <w:p>
      <w:pPr>
        <w:pStyle w:val="ListParagraph"/>
        <w:numPr>
          <w:ilvl w:val="0"/>
          <w:numId w:val="2"/>
        </w:numPr>
        <w:spacing w:after="18" w:before="18"/>
      </w:pPr>
      <w:r>
        <w:rPr>
          <w:rFonts w:ascii="Calibri" w:cs="Calibri" w:eastAsia="Calibri" w:hAnsi="Calibri"/>
          <w:color w:val="222222"/>
          <w:sz w:val="20"/>
          <w:szCs w:val="20"/>
        </w:rPr>
        <w:t xml:space="preserve">Managed WebSphere Application Server (WAS), IBM HTTP Server, Cognos 8 BI and ReportNet (CRN), and ESRI ArcIMS/ArcGIS, all on AIX V5.2/V5.3 on System p.</w:t>
      </w:r>
    </w:p>
    <w:p>
      <w:pPr>
        <w:pStyle w:val="ListParagraph"/>
        <w:numPr>
          <w:ilvl w:val="0"/>
          <w:numId w:val="2"/>
        </w:numPr>
        <w:spacing w:after="18" w:before="18"/>
      </w:pPr>
      <w:r>
        <w:rPr>
          <w:rFonts w:ascii="Calibri" w:cs="Calibri" w:eastAsia="Calibri" w:hAnsi="Calibri"/>
          <w:color w:val="222222"/>
          <w:sz w:val="20"/>
          <w:szCs w:val="20"/>
        </w:rPr>
        <w:t xml:space="preserve">Led a major upgrade of application components (WAS V5.1 to V6.1, CRN 1.1 to Cognos 8.4, and DB2 V8.1 to V9.5).</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Built Korn shell scripts to automate the configuration of new nodes to comply with DISA Security Technical Implementation Guides (STIGs).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TECHNICAL SKILLS</w:t>
      </w:r>
    </w:p>
    <w:p>
      <w:pPr>
        <w:spacing w:after="20" w:before="40"/>
      </w:pPr>
      <w:r>
        <w:rPr>
          <w:rFonts w:ascii="Calibri" w:cs="Calibri" w:eastAsia="Calibri" w:hAnsi="Calibri"/>
          <w:b/>
          <w:bCs/>
          <w:color w:val="1F4E79"/>
          <w:sz w:val="21"/>
          <w:szCs w:val="21"/>
        </w:rPr>
        <w:t xml:space="preserve">Operating Systems</w:t>
      </w:r>
    </w:p>
    <w:p>
      <w:pPr>
        <w:spacing w:after="0" w:before="0"/>
        <w:jc w:val="both"/>
      </w:pPr>
      <w:r>
        <w:rPr>
          <w:rFonts w:ascii="Calibri" w:cs="Calibri" w:eastAsia="Calibri" w:hAnsi="Calibri"/>
          <w:color w:val="222222"/>
          <w:sz w:val="20"/>
          <w:szCs w:val="20"/>
        </w:rPr>
        <w:t xml:space="preserve">IBM AIX; Red Hat Enterprise Linux (RHEL) and its rebuilds/derivatives, including Oracle Linux (OL, UEK/RHCK), AlmaLinux, CentOS, and Fedora; Debian/Ubuntu; Kali Linux</w:t>
      </w:r>
    </w:p>
    <w:p>
      <w:pPr>
        <w:spacing w:after="20" w:before="180"/>
      </w:pPr>
      <w:r>
        <w:rPr>
          <w:rFonts w:ascii="Calibri" w:cs="Calibri" w:eastAsia="Calibri" w:hAnsi="Calibri"/>
          <w:b/>
          <w:bCs/>
          <w:color w:val="1F4E79"/>
          <w:sz w:val="21"/>
          <w:szCs w:val="21"/>
        </w:rPr>
        <w:t xml:space="preserve">Cloud</w:t>
      </w:r>
    </w:p>
    <w:p>
      <w:pPr>
        <w:spacing w:after="0" w:before="0"/>
        <w:jc w:val="both"/>
      </w:pPr>
      <w:r>
        <w:rPr>
          <w:rFonts w:ascii="Calibri" w:cs="Calibri" w:eastAsia="Calibri" w:hAnsi="Calibri"/>
          <w:color w:val="222222"/>
          <w:sz w:val="20"/>
          <w:szCs w:val="20"/>
        </w:rPr>
        <w:t xml:space="preserve">Amazon Web Services (AWS), including AWS GovCloud</w:t>
      </w:r>
    </w:p>
    <w:p>
      <w:pPr>
        <w:spacing w:after="20" w:before="180"/>
      </w:pPr>
      <w:r>
        <w:rPr>
          <w:rFonts w:ascii="Calibri" w:cs="Calibri" w:eastAsia="Calibri" w:hAnsi="Calibri"/>
          <w:b/>
          <w:bCs/>
          <w:color w:val="1F4E79"/>
          <w:sz w:val="21"/>
          <w:szCs w:val="21"/>
        </w:rPr>
        <w:t xml:space="preserve">Automation &amp; IaC</w:t>
      </w:r>
    </w:p>
    <w:p>
      <w:pPr>
        <w:spacing w:after="0" w:before="0"/>
        <w:jc w:val="both"/>
      </w:pPr>
      <w:r>
        <w:rPr>
          <w:rFonts w:ascii="Calibri" w:cs="Calibri" w:eastAsia="Calibri" w:hAnsi="Calibri"/>
          <w:color w:val="222222"/>
          <w:sz w:val="20"/>
          <w:szCs w:val="20"/>
        </w:rPr>
        <w:t xml:space="preserve">Ansible, Terraform, Bash and Korn shell scripting, Git</w:t>
      </w:r>
    </w:p>
    <w:p>
      <w:pPr>
        <w:spacing w:after="20" w:before="180"/>
      </w:pPr>
      <w:r>
        <w:rPr>
          <w:rFonts w:ascii="Calibri" w:cs="Calibri" w:eastAsia="Calibri" w:hAnsi="Calibri"/>
          <w:b/>
          <w:bCs/>
          <w:color w:val="1F4E79"/>
          <w:sz w:val="21"/>
          <w:szCs w:val="21"/>
        </w:rPr>
        <w:t xml:space="preserve">Virtualization, Orchestration &amp; Containers</w:t>
      </w:r>
    </w:p>
    <w:p>
      <w:pPr>
        <w:spacing w:after="0" w:before="0"/>
        <w:jc w:val="both"/>
      </w:pPr>
      <w:r>
        <w:rPr>
          <w:rFonts w:ascii="Calibri" w:cs="Calibri" w:eastAsia="Calibri" w:hAnsi="Calibri"/>
          <w:color w:val="222222"/>
          <w:sz w:val="20"/>
          <w:szCs w:val="20"/>
        </w:rPr>
        <w:t xml:space="preserve">VMware vSphere/ESXi, Proxmox VE, Microsoft Hyper-V, PowerVM and Virtual I/O Server (VIOS), Oracle VM (OVM) and Oracle Linux Virtualization Manager (OLVM), libvirt and other KVM/QEMU frameworks, Kubernetes, LXC, CSM/PSSP</w:t>
      </w:r>
    </w:p>
    <w:p>
      <w:pPr>
        <w:spacing w:after="20" w:before="180"/>
      </w:pPr>
      <w:r>
        <w:rPr>
          <w:rFonts w:ascii="Calibri" w:cs="Calibri" w:eastAsia="Calibri" w:hAnsi="Calibri"/>
          <w:b/>
          <w:bCs/>
          <w:color w:val="1F4E79"/>
          <w:sz w:val="21"/>
          <w:szCs w:val="21"/>
        </w:rPr>
        <w:t xml:space="preserve">Storage</w:t>
      </w:r>
    </w:p>
    <w:p>
      <w:pPr>
        <w:spacing w:after="0" w:before="0"/>
        <w:jc w:val="both"/>
      </w:pPr>
      <w:r>
        <w:rPr>
          <w:rFonts w:ascii="Calibri" w:cs="Calibri" w:eastAsia="Calibri" w:hAnsi="Calibri"/>
          <w:color w:val="222222"/>
          <w:sz w:val="20"/>
          <w:szCs w:val="20"/>
        </w:rPr>
        <w:t xml:space="preserve">Enterprise SAN/NAS, ZFS, TrueNAS SCALE and Core, NFS, SMB/CIFS, iSCSI</w:t>
      </w:r>
    </w:p>
    <w:p>
      <w:pPr>
        <w:spacing w:after="20" w:before="180"/>
      </w:pPr>
      <w:r>
        <w:rPr>
          <w:rFonts w:ascii="Calibri" w:cs="Calibri" w:eastAsia="Calibri" w:hAnsi="Calibri"/>
          <w:b/>
          <w:bCs/>
          <w:color w:val="1F4E79"/>
          <w:sz w:val="21"/>
          <w:szCs w:val="21"/>
        </w:rPr>
        <w:t xml:space="preserve">Security Frameworks &amp; Compliance</w:t>
      </w:r>
    </w:p>
    <w:p>
      <w:pPr>
        <w:spacing w:after="0" w:before="0"/>
        <w:jc w:val="both"/>
      </w:pPr>
      <w:r>
        <w:rPr>
          <w:rFonts w:ascii="Calibri" w:cs="Calibri" w:eastAsia="Calibri" w:hAnsi="Calibri"/>
          <w:color w:val="222222"/>
          <w:sz w:val="20"/>
          <w:szCs w:val="20"/>
        </w:rPr>
        <w:t xml:space="preserve">Risk Management Framework (RMF), NIST Cybersecurity Framework (CSF), DISA STIGs, SCAP/OpenSCAP, SCAP Security Guide (SSG)/ComplianceAsCode</w:t>
      </w:r>
    </w:p>
    <w:p>
      <w:pPr>
        <w:spacing w:after="20" w:before="180"/>
      </w:pPr>
      <w:r>
        <w:rPr>
          <w:rFonts w:ascii="Calibri" w:cs="Calibri" w:eastAsia="Calibri" w:hAnsi="Calibri"/>
          <w:b/>
          <w:bCs/>
          <w:color w:val="1F4E79"/>
          <w:sz w:val="21"/>
          <w:szCs w:val="21"/>
        </w:rPr>
        <w:t xml:space="preserve">Security Hardening &amp; Mechanisms</w:t>
      </w:r>
    </w:p>
    <w:p>
      <w:pPr>
        <w:spacing w:after="0" w:before="0"/>
        <w:jc w:val="both"/>
      </w:pPr>
      <w:r>
        <w:rPr>
          <w:rFonts w:ascii="Calibri" w:cs="Calibri" w:eastAsia="Calibri" w:hAnsi="Calibri"/>
          <w:color w:val="222222"/>
          <w:sz w:val="20"/>
          <w:szCs w:val="20"/>
        </w:rPr>
        <w:t xml:space="preserve">SELinux, fapolicyd, USBGuard, firewalld, FIPS encryption, LUKS, BitLocker</w:t>
      </w:r>
    </w:p>
    <w:p>
      <w:pPr>
        <w:spacing w:after="20" w:before="180"/>
      </w:pPr>
      <w:r>
        <w:rPr>
          <w:rFonts w:ascii="Calibri" w:cs="Calibri" w:eastAsia="Calibri" w:hAnsi="Calibri"/>
          <w:b/>
          <w:bCs/>
          <w:color w:val="1F4E79"/>
          <w:sz w:val="21"/>
          <w:szCs w:val="21"/>
        </w:rPr>
        <w:t xml:space="preserve">Endpoint &amp; Vulnerability Management</w:t>
      </w:r>
    </w:p>
    <w:p>
      <w:pPr>
        <w:spacing w:after="0" w:before="0"/>
        <w:jc w:val="both"/>
      </w:pPr>
      <w:r>
        <w:rPr>
          <w:rFonts w:ascii="Calibri" w:cs="Calibri" w:eastAsia="Calibri" w:hAnsi="Calibri"/>
          <w:color w:val="222222"/>
          <w:sz w:val="20"/>
          <w:szCs w:val="20"/>
        </w:rPr>
        <w:t xml:space="preserve">Trellix (formerly McAfee/HBSS ePO), ACAS and standalone Tenable Nessus</w:t>
      </w:r>
    </w:p>
    <w:p>
      <w:pPr>
        <w:spacing w:after="20" w:before="180"/>
      </w:pPr>
      <w:r>
        <w:rPr>
          <w:rFonts w:ascii="Calibri" w:cs="Calibri" w:eastAsia="Calibri" w:hAnsi="Calibri"/>
          <w:b/>
          <w:bCs/>
          <w:color w:val="1F4E79"/>
          <w:sz w:val="21"/>
          <w:szCs w:val="21"/>
        </w:rPr>
        <w:t xml:space="preserve">Scanning, Recon &amp; Traffic Analysis</w:t>
      </w:r>
    </w:p>
    <w:p>
      <w:pPr>
        <w:spacing w:after="0" w:before="0"/>
        <w:jc w:val="both"/>
      </w:pPr>
      <w:r>
        <w:rPr>
          <w:rFonts w:ascii="Calibri" w:cs="Calibri" w:eastAsia="Calibri" w:hAnsi="Calibri"/>
          <w:color w:val="222222"/>
          <w:sz w:val="20"/>
          <w:szCs w:val="20"/>
        </w:rPr>
        <w:t xml:space="preserve">Nmap, Wireshark, Suricata, Kali Linux</w:t>
      </w:r>
    </w:p>
    <w:p>
      <w:pPr>
        <w:spacing w:after="20" w:before="180"/>
      </w:pPr>
      <w:r>
        <w:rPr>
          <w:rFonts w:ascii="Calibri" w:cs="Calibri" w:eastAsia="Calibri" w:hAnsi="Calibri"/>
          <w:b/>
          <w:bCs/>
          <w:color w:val="1F4E79"/>
          <w:sz w:val="21"/>
          <w:szCs w:val="21"/>
        </w:rPr>
        <w:t xml:space="preserve">Monitoring &amp; Logging</w:t>
      </w:r>
    </w:p>
    <w:p>
      <w:pPr>
        <w:spacing w:after="0" w:before="0"/>
        <w:jc w:val="both"/>
      </w:pPr>
      <w:r>
        <w:rPr>
          <w:rFonts w:ascii="Calibri" w:cs="Calibri" w:eastAsia="Calibri" w:hAnsi="Calibri"/>
          <w:color w:val="222222"/>
          <w:sz w:val="20"/>
          <w:szCs w:val="20"/>
        </w:rPr>
        <w:t xml:space="preserve">Splunk, Zabbix, PRTG, syslog/rsyslog, SNMP, NetFlow, ntopng</w:t>
      </w:r>
    </w:p>
    <w:p>
      <w:pPr>
        <w:spacing w:after="20" w:before="180"/>
      </w:pPr>
      <w:r>
        <w:rPr>
          <w:rFonts w:ascii="Calibri" w:cs="Calibri" w:eastAsia="Calibri" w:hAnsi="Calibri"/>
          <w:b/>
          <w:bCs/>
          <w:color w:val="1F4E79"/>
          <w:sz w:val="21"/>
          <w:szCs w:val="21"/>
        </w:rPr>
        <w:t xml:space="preserve">Networking</w:t>
      </w:r>
    </w:p>
    <w:p>
      <w:pPr>
        <w:spacing w:after="0" w:before="0"/>
        <w:jc w:val="both"/>
      </w:pPr>
      <w:r>
        <w:rPr>
          <w:rFonts w:ascii="Calibri" w:cs="Calibri" w:eastAsia="Calibri" w:hAnsi="Calibri"/>
          <w:color w:val="222222"/>
          <w:sz w:val="20"/>
          <w:szCs w:val="20"/>
        </w:rPr>
        <w:t xml:space="preserve">Cisco IOS, NX-OS, and Nexus switching; OPNsense</w:t>
      </w:r>
    </w:p>
    <w:p>
      <w:pPr>
        <w:spacing w:after="20" w:before="180"/>
      </w:pPr>
      <w:r>
        <w:rPr>
          <w:rFonts w:ascii="Calibri" w:cs="Calibri" w:eastAsia="Calibri" w:hAnsi="Calibri"/>
          <w:b/>
          <w:bCs/>
          <w:color w:val="1F4E79"/>
          <w:sz w:val="21"/>
          <w:szCs w:val="21"/>
        </w:rPr>
        <w:t xml:space="preserve">Infrastructure &amp; Authentication Services</w:t>
      </w:r>
    </w:p>
    <w:p>
      <w:pPr>
        <w:spacing w:after="0" w:before="0"/>
        <w:jc w:val="both"/>
      </w:pPr>
      <w:r>
        <w:rPr>
          <w:rFonts w:ascii="Calibri" w:cs="Calibri" w:eastAsia="Calibri" w:hAnsi="Calibri"/>
          <w:color w:val="222222"/>
          <w:sz w:val="20"/>
          <w:szCs w:val="20"/>
        </w:rPr>
        <w:t xml:space="preserve">BIND DNS and DNSSEC, Unbound, Postfix/SMTP, IMAP, Apache, Tomcat, WebSphere, Kerberos, Red Hat Identity Management (IdM, formerly IPA), SSSD, Active Directory and Group Policy, PKI and Smart Card Logon (SCL), CAC/PIV and YubiKey integration</w:t>
      </w:r>
    </w:p>
    <w:p>
      <w:pPr>
        <w:spacing w:after="20" w:before="180"/>
      </w:pPr>
      <w:r>
        <w:rPr>
          <w:rFonts w:ascii="Calibri" w:cs="Calibri" w:eastAsia="Calibri" w:hAnsi="Calibri"/>
          <w:b/>
          <w:bCs/>
          <w:color w:val="1F4E79"/>
          <w:sz w:val="21"/>
          <w:szCs w:val="21"/>
        </w:rPr>
        <w:t xml:space="preserve">Databases</w:t>
      </w:r>
    </w:p>
    <w:p>
      <w:pPr>
        <w:spacing w:after="0" w:before="0"/>
        <w:jc w:val="both"/>
      </w:pPr>
      <w:r>
        <w:rPr>
          <w:rFonts w:ascii="Calibri" w:cs="Calibri" w:eastAsia="Calibri" w:hAnsi="Calibri"/>
          <w:color w:val="222222"/>
          <w:sz w:val="20"/>
          <w:szCs w:val="20"/>
        </w:rPr>
        <w:t xml:space="preserve">Oracle Database, IBM DB2, PostgreSQL, Amazon Aurora</w:t>
      </w:r>
    </w:p>
    <w:p>
      <w:pPr>
        <w:spacing w:after="20" w:before="180"/>
      </w:pPr>
      <w:r>
        <w:rPr>
          <w:rFonts w:ascii="Calibri" w:cs="Calibri" w:eastAsia="Calibri" w:hAnsi="Calibri"/>
          <w:b/>
          <w:bCs/>
          <w:color w:val="1F4E79"/>
          <w:sz w:val="21"/>
          <w:szCs w:val="21"/>
        </w:rPr>
        <w:t xml:space="preserve">Hardware</w:t>
      </w:r>
    </w:p>
    <w:p>
      <w:pPr>
        <w:spacing w:after="0" w:before="0"/>
        <w:jc w:val="both"/>
      </w:pPr>
      <w:r>
        <w:rPr>
          <w:rFonts w:ascii="Calibri" w:cs="Calibri" w:eastAsia="Calibri" w:hAnsi="Calibri"/>
          <w:color w:val="222222"/>
          <w:sz w:val="20"/>
          <w:szCs w:val="20"/>
        </w:rPr>
        <w:t xml:space="preserve">IBM POWER/Power Systems (System p/pSeries), Dell servers, Cisco UCS</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 EARNED</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Style w:val="ListParagraph"/>
        <w:numPr>
          <w:ilvl w:val="0"/>
          <w:numId w:val="2"/>
        </w:numPr>
        <w:spacing w:after="18" w:before="18"/>
      </w:pPr>
      <w:r>
        <w:rPr>
          <w:rFonts w:ascii="Calibri" w:cs="Calibri" w:eastAsia="Calibri" w:hAnsi="Calibri"/>
          <w:color w:val="222222"/>
          <w:sz w:val="20"/>
          <w:szCs w:val="20"/>
        </w:rPr>
        <w:t xml:space="preserve">CompTIA Linux+</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2026-07-11T17:02:02.108Z</dcterms:created>
  <dcterms:modified xsi:type="dcterms:W3CDTF">2026-07-11T17:02:02.109Z</dcterms:modified>
</cp:coreProperties>
</file>

<file path=docProps/custom.xml><?xml version="1.0" encoding="utf-8"?>
<Properties xmlns="http://schemas.openxmlformats.org/officeDocument/2006/custom-properties" xmlns:vt="http://schemas.openxmlformats.org/officeDocument/2006/docPropsVTypes"/>
</file>