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92750" cy="3253105"/>
            <wp:effectExtent l="0" t="0" r="12700" b="444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3" name="Picture 3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3. Reconstruction of provided sample data (single repetition bias field normalized SoS, matrix size 96 x 70, R = 2). (left) DW-HASTE (b0 and b1000p) and (right) SP-DW-</w:t>
      </w:r>
      <w:bookmarkStart w:id="0" w:name="_GoBack"/>
      <w:bookmarkEnd w:id="0"/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BCF9DE0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73232586"/>
    <w:rsid w:val="75FFE3DC"/>
    <w:rsid w:val="77FDCA1F"/>
    <w:rsid w:val="79F50208"/>
    <w:rsid w:val="7CFE615D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DFF4937B"/>
    <w:rsid w:val="E07EF85D"/>
    <w:rsid w:val="F1BED3B7"/>
    <w:rsid w:val="F7DC134A"/>
    <w:rsid w:val="FB273DDD"/>
    <w:rsid w:val="FC47F1EB"/>
    <w:rsid w:val="FDD310F0"/>
    <w:rsid w:val="FEFF3B64"/>
    <w:rsid w:val="FF5D6DB3"/>
    <w:rsid w:val="FF7D8889"/>
    <w:rsid w:val="FFA0444B"/>
    <w:rsid w:val="FFB4E370"/>
    <w:rsid w:val="FFBF4478"/>
    <w:rsid w:val="FFC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193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2022-11-16T00:11:00Z</dcterms:created>
  <dc:creator>Vitaliy Khlebnikov</dc:creator>
  <cp:lastModifiedBy>vk</cp:lastModifiedBy>
  <dcterms:modified xsi:type="dcterms:W3CDTF">2022-11-18T23:01:42Z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