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52vnvnidhd3" w:id="0"/>
      <w:bookmarkEnd w:id="0"/>
      <w:r w:rsidDel="00000000" w:rsidR="00000000" w:rsidRPr="00000000">
        <w:rPr>
          <w:rtl w:val="0"/>
        </w:rPr>
        <w:t xml:space="preserve">Основные термины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ИТ-служба предоставляет набор услуг для поддержки бизнес-процессов, чтобы соответствовать потребностям пользователей и качеству. В документе подчеркивается, что поддержка ИТ-сервисов должна быть плановой, что включает управление инцидентами и обслуживание оборудования​.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(Корпоративная информационная система) – это система, которая интегрирует различные ИТ-ресурсы и поддерживает бизнес-процессы компании. Документ указывает на важность планирования и контроля за КИС в рамках задач ИТ-подразделений​.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Инцидент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обозначается как нештатная ситуация, требующая оперативного устранения для обеспечения непрерывности работы ИТ-систем. Это управление инцидентами, которое включает диагностику, устранение и восстановление услуг​.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Проактивное управление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связано с предотвращением отказов и оптимизацией ИТ-инфраструктуры, чтобы минимизировать возможные сбои. Документ описывает это как часть ИТ-управления, направленную на предупреждение сбоев и техническое обслуживание​.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cby7p5t5iu" w:id="1"/>
      <w:bookmarkEnd w:id="1"/>
      <w:r w:rsidDel="00000000" w:rsidR="00000000" w:rsidRPr="00000000">
        <w:rPr>
          <w:rtl w:val="0"/>
        </w:rPr>
        <w:t xml:space="preserve">Принципы построения системы управления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заключается в гармонизации различных аспектов: организационной структуры, нормативных документов и технических средств управления, чтобы учесть весь жизненный цикл ИТ-сервисов, от планирования до модернизации​.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Иерархическая 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предполагает централизованное и локальное управление на нескольких уровнях: от общего управления до администрирования ИТ-ресурсов. Это делегирование функций между уровнями управления, описанное в рамках централизованной структуры​.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Сегментация КИС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предполагает деление ИТ-ресурсов по территориальному и логическому критериям, что помогает структурировать управление и распределить зоны ответственности между подразделениями​.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Следование мировому опыту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использование лучших практик для обеспечения высокого качества ИТ-сервисов.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Процессный подход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упрощает управление, связывая воедино события, роли и функции каждого процесса. Подход предусматривает закрепление владельца за каждым процессом для повышения ответственности за результат​.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6yy8fxwd2r7" w:id="2"/>
      <w:bookmarkEnd w:id="2"/>
      <w:r w:rsidDel="00000000" w:rsidR="00000000" w:rsidRPr="00000000">
        <w:rPr>
          <w:rtl w:val="0"/>
        </w:rPr>
        <w:t xml:space="preserve">Основные подходы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Процессный подход к управлению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Основой является организация работы ИТ-службы через четко структурированные процессы. Этот подход связывает события, функции, роли и информационное обеспечение каждого процесса, что помогает координировать действия и повышает прозрачность управления​.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Комплексный подход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Комплексный подход подразумевает взаимосвязанное управление персоналом, документами и техническими средствами. Это помогает охватить весь жизненный цикл ИТ-сервисов, от проектирования до эксплуатации и модернизации. Подход учитывает перспективное планирование и полное сопровождение услуг​.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Иерархический подход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ИТ-управление организовано на нескольких уровнях: центральный уровень занимается общим управлением и делегирует полномочия на локальный уровень. Такая структура поддерживает баланс между централизацией и автономией в филиалах и территориальных подразделениях​.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Сегментационный подход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подход предполагает разделение системы управления по территориальным и логическим критериям, распределяя ответственность за разные сегменты КИС (корпоративной информационной системы) между подразделениями. Это помогает повысить эффективность управления ИТ-ресурсами​.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Проактивный подход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Проактивное управление направлено на предотвращение возможных сбоев и отказов в работе ИТ-инфраструктуры. Подход включает регулярное техническое обслуживание и контроль состояния ИТ-ресурсов для снижения числа инцидентов и оптимизации инфраструктуры​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rFonts w:ascii="Times New Roman" w:cs="Times New Roman" w:eastAsia="Times New Roman" w:hAnsi="Times New Roman"/>
        <w:color w:val="666666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sz w:val="24"/>
        <w:szCs w:val="24"/>
        <w:rtl w:val="0"/>
      </w:rPr>
      <w:t xml:space="preserve">Пальчук Герман Андреевич, Отчёт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