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WawID — Plan de déploiement</w:t>
      </w:r>
    </w:p>
    <w:p>
      <w:pPr>
        <w:pStyle w:val="Subtitle"/>
      </w:pPr>
      <w:r>
        <w:t xml:space="preserve">Infrastructure haute disponibilité hébergée dans les datacenters au Sénégal, sauvegardes et reprise d'activité · Version 1.0 · 19/10/2026</w:t>
      </w:r>
    </w:p>
    <w:sdt>
      <w:sdtPr>
        <w:docPartObj>
          <w:docPartGallery w:val="Table of Contents"/>
          <w:docPartUnique/>
        </w:docPartObj>
      </w:sdtPr>
      <w:sdtContent>
        <w:p>
          <w:pPr>
            <w:pStyle w:val="TOCHeading"/>
          </w:pPr>
          <w:r>
            <w:t xml:space="preserve">Sommaire</w:t>
          </w:r>
        </w:p>
        <w:p>
          <w:r>
            <w:fldChar w:fldCharType="begin" w:dirty="true"/>
            <w:instrText xml:space="preserve">TOC \o "1-2" \h \z \u</w:instrText>
            <w:fldChar w:fldCharType="separate"/>
            <w:fldChar w:fldCharType="end"/>
          </w:r>
        </w:p>
      </w:sdtContent>
    </w:sdt>
    <w:p>
      <w:pPr>
        <w:pStyle w:val="FirstParagraph"/>
      </w:pPr>
      <w:r>
        <w:t xml:space="preserve">Ce plan décrit comment WawID passe du démonstrateur actuel à une exploitation nationale</w:t>
      </w:r>
      <w:r>
        <w:t xml:space="preserve"> </w:t>
      </w:r>
      <w:r>
        <w:rPr>
          <w:bCs/>
          <w:b/>
        </w:rPr>
        <w:t xml:space="preserve">souveraine et haute disponibilité</w:t>
      </w:r>
      <w:r>
        <w:t xml:space="preserve"> </w:t>
      </w:r>
      <w:r>
        <w:t xml:space="preserve">: deux centres de données actifs au Sénégal, un troisième site de sauvegarde (coffre), des serveurs locaux dans chaque poste frontière, une stratégie de sauvegarde, les procédures de bascule et de reprise, les phases de déploiement, l'exploitation et les risques. Il s'adresse à WAW Telecom, à la DPAF, à Sénégal Numérique, aux hébergeurs, à la DGCPT et aux intégrateurs.</w:t>
      </w:r>
    </w:p>
    <w:p>
      <w:pPr>
        <w:pStyle w:val="BodyText"/>
      </w:pPr>
      <w:r>
        <w:t xml:space="preserve">Il complète</w:t>
      </w:r>
      <w:r>
        <w:t xml:space="preserve"> </w:t>
      </w:r>
      <w:r>
        <w:rPr>
          <w:rStyle w:val="VerbatimChar"/>
        </w:rPr>
        <w:t xml:space="preserve">docs/ARCHITECTURE.md</w:t>
      </w:r>
      <w:r>
        <w:t xml:space="preserve"> </w:t>
      </w:r>
      <w:r>
        <w:t xml:space="preserve">(architecture nationale cible) et les pages</w:t>
      </w:r>
      <w:r>
        <w:t xml:space="preserve"> </w:t>
      </w:r>
      <w:r>
        <w:rPr>
          <w:iCs/>
          <w:i/>
        </w:rPr>
        <w:t xml:space="preserve">Guide d'installation — Sénégal</w:t>
      </w:r>
      <w:r>
        <w:t xml:space="preserve"> </w:t>
      </w:r>
      <w:r>
        <w:t xml:space="preserve">(installation des postes, recette, mise en service),</w:t>
      </w:r>
      <w:r>
        <w:t xml:space="preserve"> </w:t>
      </w:r>
      <w:r>
        <w:rPr>
          <w:iCs/>
          <w:i/>
        </w:rPr>
        <w:t xml:space="preserve">Déploiement et configuration</w:t>
      </w:r>
      <w:r>
        <w:t xml:space="preserve"> </w:t>
      </w:r>
      <w:r>
        <w:t xml:space="preserve">(démonstrateur, variables, pont NFC) et</w:t>
      </w:r>
      <w:r>
        <w:t xml:space="preserve"> </w:t>
      </w:r>
      <w:r>
        <w:rPr>
          <w:iCs/>
          <w:i/>
        </w:rPr>
        <w:t xml:space="preserve">Sécurité, données personnelles et conformité</w:t>
      </w:r>
      <w:r>
        <w:t xml:space="preserve">. Le</w:t>
      </w:r>
      <w:r>
        <w:t xml:space="preserve"> </w:t>
      </w:r>
      <w:r>
        <w:rPr>
          <w:iCs/>
          <w:i/>
        </w:rPr>
        <w:t xml:space="preserve">Guide utilisateur par profil</w:t>
      </w:r>
      <w:r>
        <w:t xml:space="preserve"> </w:t>
      </w:r>
      <w:r>
        <w:t xml:space="preserve">décrit ce que les utilisateurs vivent en mode dégradé et lors d'une bascule.</w:t>
      </w:r>
    </w:p>
    <w:bookmarkStart w:id="20" w:name="lire-ce-plan"/>
    <w:p>
      <w:pPr>
        <w:pStyle w:val="Heading2"/>
      </w:pPr>
      <w:r>
        <w:t xml:space="preserve">Lire ce 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Mention</w:t>
            </w:r>
          </w:p>
        </w:tc>
        <w:tc>
          <w:tcPr/>
          <w:p>
            <w:pPr>
              <w:pStyle w:val="Compact"/>
              <w:jc w:val="left"/>
            </w:pPr>
            <w:r>
              <w:t xml:space="preserve">Signification</w:t>
            </w:r>
          </w:p>
        </w:tc>
      </w:tr>
      <w:tr>
        <w:tc>
          <w:tcPr/>
          <w:p>
            <w:pPr>
              <w:pStyle w:val="Compact"/>
              <w:jc w:val="left"/>
            </w:pPr>
            <w:r>
              <w:rPr>
                <w:bCs/>
                <w:b/>
              </w:rPr>
              <w:t xml:space="preserve">Existant</w:t>
            </w:r>
          </w:p>
        </w:tc>
        <w:tc>
          <w:tcPr/>
          <w:p>
            <w:pPr>
              <w:pStyle w:val="Compact"/>
              <w:jc w:val="left"/>
            </w:pPr>
            <w:r>
              <w:t xml:space="preserve">Fonctionne aujourd'hui dans le démonstrateur (code du dépôt).</w:t>
            </w:r>
          </w:p>
        </w:tc>
      </w:tr>
      <w:tr>
        <w:tc>
          <w:tcPr/>
          <w:p>
            <w:pPr>
              <w:pStyle w:val="Compact"/>
              <w:jc w:val="left"/>
            </w:pPr>
            <w:r>
              <w:rPr>
                <w:bCs/>
                <w:b/>
              </w:rPr>
              <w:t xml:space="preserve">Cible</w:t>
            </w:r>
          </w:p>
        </w:tc>
        <w:tc>
          <w:tcPr/>
          <w:p>
            <w:pPr>
              <w:pStyle w:val="Compact"/>
              <w:jc w:val="left"/>
            </w:pPr>
            <w:r>
              <w:t xml:space="preserve">Architecture retenue pour la production nationale ; elle reste à construire.</w:t>
            </w:r>
          </w:p>
        </w:tc>
      </w:tr>
      <w:tr>
        <w:tc>
          <w:tcPr/>
          <w:p>
            <w:pPr>
              <w:pStyle w:val="Compact"/>
              <w:jc w:val="left"/>
            </w:pPr>
            <w:r>
              <w:rPr>
                <w:bCs/>
                <w:b/>
              </w:rPr>
              <w:t xml:space="preserve">À développer</w:t>
            </w:r>
          </w:p>
        </w:tc>
        <w:tc>
          <w:tcPr/>
          <w:p>
            <w:pPr>
              <w:pStyle w:val="Compact"/>
              <w:jc w:val="left"/>
            </w:pPr>
            <w:r>
              <w:t xml:space="preserve">Nécessite du développement logiciel absent du code actuel.</w:t>
            </w:r>
          </w:p>
        </w:tc>
      </w:tr>
      <w:tr>
        <w:tc>
          <w:tcPr/>
          <w:p>
            <w:pPr>
              <w:pStyle w:val="Compact"/>
              <w:jc w:val="left"/>
            </w:pPr>
            <w:r>
              <w:rPr>
                <w:bCs/>
                <w:b/>
              </w:rPr>
              <w:t xml:space="preserve">Recommandation</w:t>
            </w:r>
          </w:p>
        </w:tc>
        <w:tc>
          <w:tcPr/>
          <w:p>
            <w:pPr>
              <w:pStyle w:val="Compact"/>
              <w:jc w:val="left"/>
            </w:pPr>
            <w:r>
              <w:t xml:space="preserve">Choix conseillé ; il n'engage aucune partie tant qu'il n'a pas été décidé.</w:t>
            </w:r>
          </w:p>
        </w:tc>
      </w:tr>
      <w:tr>
        <w:tc>
          <w:tcPr/>
          <w:p>
            <w:pPr>
              <w:pStyle w:val="Compact"/>
              <w:jc w:val="left"/>
            </w:pPr>
            <w:r>
              <w:rPr>
                <w:bCs/>
                <w:b/>
              </w:rPr>
              <w:t xml:space="preserve">À vérifier</w:t>
            </w:r>
          </w:p>
        </w:tc>
        <w:tc>
          <w:tcPr/>
          <w:p>
            <w:pPr>
              <w:pStyle w:val="Compact"/>
              <w:jc w:val="left"/>
            </w:pPr>
            <w:r>
              <w:t xml:space="preserve">Fait, certification, capacité ou point juridique à confirmer auprès de l'interlocuteur compétent avant toute décision.</w:t>
            </w:r>
          </w:p>
        </w:tc>
      </w:tr>
    </w:tbl>
    <w:p>
      <w:pPr>
        <w:pStyle w:val="BodyText"/>
      </w:pPr>
      <w:r>
        <w:t xml:space="preserve">Ce plan ne contient ni prix, ni niveau de service contractuel, ni date : les montants, engagements et calendriers résulteront des consultations et des conventions. Les durées citées sont</w:t>
      </w:r>
      <w:r>
        <w:t xml:space="preserve"> </w:t>
      </w:r>
      <w:r>
        <w:rPr>
          <w:bCs/>
          <w:b/>
        </w:rPr>
        <w:t xml:space="preserve">indicatives</w:t>
      </w:r>
      <w:r>
        <w:t xml:space="preserve">.</w:t>
      </w:r>
    </w:p>
    <w:bookmarkEnd w:id="20"/>
    <w:bookmarkStart w:id="21" w:name="synthèse"/>
    <w:p>
      <w:pPr>
        <w:pStyle w:val="Heading2"/>
      </w:pPr>
      <w:r>
        <w:t xml:space="preserve">Synthèse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Décision</w:t>
            </w:r>
          </w:p>
        </w:tc>
        <w:tc>
          <w:tcPr/>
          <w:p>
            <w:pPr>
              <w:pStyle w:val="Compact"/>
              <w:jc w:val="left"/>
            </w:pPr>
            <w:r>
              <w:t xml:space="preserve">Recommandation</w:t>
            </w:r>
          </w:p>
        </w:tc>
      </w:tr>
      <w:tr>
        <w:tc>
          <w:tcPr/>
          <w:p>
            <w:pPr>
              <w:pStyle w:val="Compact"/>
              <w:jc w:val="left"/>
            </w:pPr>
            <w:r>
              <w:t xml:space="preserve">Hébergement</w:t>
            </w:r>
          </w:p>
        </w:tc>
        <w:tc>
          <w:tcPr/>
          <w:p>
            <w:pPr>
              <w:pStyle w:val="Compact"/>
              <w:jc w:val="left"/>
            </w:pPr>
            <w:r>
              <w:t xml:space="preserve">Uniquement au Sénégal, sans cloud étranger pour les données personnelles</w:t>
            </w:r>
          </w:p>
        </w:tc>
      </w:tr>
      <w:tr>
        <w:tc>
          <w:tcPr/>
          <w:p>
            <w:pPr>
              <w:pStyle w:val="Compact"/>
              <w:jc w:val="left"/>
            </w:pPr>
            <w:r>
              <w:t xml:space="preserve">Site A (principal)</w:t>
            </w:r>
          </w:p>
        </w:tc>
        <w:tc>
          <w:tcPr/>
          <w:p>
            <w:pPr>
              <w:pStyle w:val="Compact"/>
              <w:jc w:val="left"/>
            </w:pPr>
            <w:r>
              <w:t xml:space="preserve">Datacenter national de Diamniadio (État, exploité par Sénégal Numérique SA)</w:t>
            </w:r>
          </w:p>
        </w:tc>
      </w:tr>
      <w:tr>
        <w:tc>
          <w:tcPr/>
          <w:p>
            <w:pPr>
              <w:pStyle w:val="Compact"/>
              <w:jc w:val="left"/>
            </w:pPr>
            <w:r>
              <w:t xml:space="preserve">Site B (secondaire actif)</w:t>
            </w:r>
          </w:p>
        </w:tc>
        <w:tc>
          <w:tcPr/>
          <w:p>
            <w:pPr>
              <w:pStyle w:val="Compact"/>
              <w:jc w:val="left"/>
            </w:pPr>
            <w:r>
              <w:t xml:space="preserve">Centre de données commercial certifié Tier III, sur un site et un réseau électrique distincts ; option privilégiée : Sonatel (Orange) à Rufisque, alternative : Yas (ex-Tigo) à Diamniadio</w:t>
            </w:r>
          </w:p>
        </w:tc>
      </w:tr>
      <w:tr>
        <w:tc>
          <w:tcPr/>
          <w:p>
            <w:pPr>
              <w:pStyle w:val="Compact"/>
              <w:jc w:val="left"/>
            </w:pPr>
            <w:r>
              <w:t xml:space="preserve">Site C (coffre)</w:t>
            </w:r>
          </w:p>
        </w:tc>
        <w:tc>
          <w:tcPr/>
          <w:p>
            <w:pPr>
              <w:pStyle w:val="Compact"/>
              <w:jc w:val="left"/>
            </w:pPr>
            <w:r>
              <w:t xml:space="preserve">Site sécurisé distinct, hors de la zone Dakar–Diamniadio si possible, recevant des copies chiffrées immuables et des copies hors ligne</w:t>
            </w:r>
          </w:p>
        </w:tc>
      </w:tr>
      <w:tr>
        <w:tc>
          <w:tcPr/>
          <w:p>
            <w:pPr>
              <w:pStyle w:val="Compact"/>
              <w:jc w:val="left"/>
            </w:pPr>
            <w:r>
              <w:t xml:space="preserve">Mode de fonctionnement</w:t>
            </w:r>
          </w:p>
        </w:tc>
        <w:tc>
          <w:tcPr/>
          <w:p>
            <w:pPr>
              <w:pStyle w:val="Compact"/>
              <w:jc w:val="left"/>
            </w:pPr>
            <w:r>
              <w:t xml:space="preserve">Actif-actif pour les niveaux sans état (web, API) ; base de données en primaire/secours avec réplication synchrone A → B ; réplication asynchrone vers C</w:t>
            </w:r>
          </w:p>
        </w:tc>
      </w:tr>
      <w:tr>
        <w:tc>
          <w:tcPr/>
          <w:p>
            <w:pPr>
              <w:pStyle w:val="Compact"/>
              <w:jc w:val="left"/>
            </w:pPr>
            <w:r>
              <w:t xml:space="preserve">Postes frontière</w:t>
            </w:r>
          </w:p>
        </w:tc>
        <w:tc>
          <w:tcPr/>
          <w:p>
            <w:pPr>
              <w:pStyle w:val="Compact"/>
              <w:jc w:val="left"/>
            </w:pPr>
            <w:r>
              <w:t xml:space="preserve">Grappe locale de deux serveurs par poste, avec copie des listes et moteur de décision local ; le contrôle continue même si les deux sites centraux sont injoignables</w:t>
            </w:r>
          </w:p>
        </w:tc>
      </w:tr>
      <w:tr>
        <w:tc>
          <w:tcPr/>
          <w:p>
            <w:pPr>
              <w:pStyle w:val="Compact"/>
              <w:jc w:val="left"/>
            </w:pPr>
            <w:r>
              <w:t xml:space="preserve">Objectifs</w:t>
            </w:r>
          </w:p>
        </w:tc>
        <w:tc>
          <w:tcPr/>
          <w:p>
            <w:pPr>
              <w:pStyle w:val="Compact"/>
              <w:jc w:val="left"/>
            </w:pPr>
            <w:r>
              <w:t xml:space="preserve">Disponibilité du central 99,95 % ou plus ; RPO 0 dans un site ; RPO ≤ 5 min et RTO ≤ 1 h en cas de perte d'un site</w:t>
            </w:r>
          </w:p>
        </w:tc>
      </w:tr>
      <w:tr>
        <w:tc>
          <w:tcPr/>
          <w:p>
            <w:pPr>
              <w:pStyle w:val="Compact"/>
              <w:jc w:val="left"/>
            </w:pPr>
            <w:r>
              <w:t xml:space="preserve">Sauvegarde</w:t>
            </w:r>
          </w:p>
        </w:tc>
        <w:tc>
          <w:tcPr/>
          <w:p>
            <w:pPr>
              <w:pStyle w:val="Compact"/>
              <w:jc w:val="left"/>
            </w:pPr>
            <w:r>
              <w:t xml:space="preserve">Règle 3-2-1-1-0, restauration testée chaque trimestre</w:t>
            </w:r>
          </w:p>
        </w:tc>
      </w:tr>
      <w:tr>
        <w:tc>
          <w:tcPr/>
          <w:p>
            <w:pPr>
              <w:pStyle w:val="Compact"/>
              <w:jc w:val="left"/>
            </w:pPr>
            <w:r>
              <w:t xml:space="preserve">Démonstrateur Netlify</w:t>
            </w:r>
          </w:p>
        </w:tc>
        <w:tc>
          <w:tcPr/>
          <w:p>
            <w:pPr>
              <w:pStyle w:val="Compact"/>
              <w:jc w:val="left"/>
            </w:pPr>
            <w:r>
              <w:t xml:space="preserve">Conservé pour les démonstrations et la formation, sans aucune donnée personnelle réelle</w:t>
            </w:r>
          </w:p>
        </w:tc>
      </w:tr>
    </w:tbl>
    <w:bookmarkEnd w:id="21"/>
    <w:bookmarkStart w:id="26" w:name="X49e75c2765e625e400b7d774d6ed2f220e7ec2b"/>
    <w:p>
      <w:pPr>
        <w:pStyle w:val="Heading2"/>
      </w:pPr>
      <w:r>
        <w:t xml:space="preserve">1. Objectifs et exigences</w:t>
      </w:r>
    </w:p>
    <w:bookmarkStart w:id="22" w:name="souveraineté"/>
    <w:p>
      <w:pPr>
        <w:pStyle w:val="Heading3"/>
      </w:pPr>
      <w:r>
        <w:t xml:space="preserve">Souveraineté</w:t>
      </w:r>
    </w:p>
    <w:p>
      <w:pPr>
        <w:numPr>
          <w:ilvl w:val="0"/>
          <w:numId w:val="1001"/>
        </w:numPr>
        <w:pStyle w:val="Compact"/>
      </w:pPr>
      <w:r>
        <w:rPr>
          <w:bCs/>
          <w:b/>
        </w:rPr>
        <w:t xml:space="preserve">Données et clés au Sénégal</w:t>
      </w:r>
      <w:r>
        <w:t xml:space="preserve"> </w:t>
      </w:r>
      <w:r>
        <w:t xml:space="preserve">: les données nominatives, biométriques, de voyage et financières, ainsi que les clés cryptographiques qui les protègent, sont hébergées et gérées sur le territoire national, conformément à la loi n° 2008-12 du 25 janvier 2008 sur la protection des données à caractère personnel et sous le contrôle de la CDP. Le régime exact (déclaration ou autorisation) est</w:t>
      </w:r>
      <w:r>
        <w:t xml:space="preserve"> </w:t>
      </w:r>
      <w:r>
        <w:rPr>
          <w:bCs/>
          <w:b/>
        </w:rPr>
        <w:t xml:space="preserve">À vérifier</w:t>
      </w:r>
      <w:r>
        <w:t xml:space="preserve"> </w:t>
      </w:r>
      <w:r>
        <w:t xml:space="preserve">auprès de la CDP.</w:t>
      </w:r>
    </w:p>
    <w:p>
      <w:pPr>
        <w:numPr>
          <w:ilvl w:val="0"/>
          <w:numId w:val="1001"/>
        </w:numPr>
        <w:pStyle w:val="Compact"/>
      </w:pPr>
      <w:r>
        <w:rPr>
          <w:bCs/>
          <w:b/>
        </w:rPr>
        <w:t xml:space="preserve">Pas de cloud étranger</w:t>
      </w:r>
      <w:r>
        <w:t xml:space="preserve"> </w:t>
      </w:r>
      <w:r>
        <w:t xml:space="preserve">pour les données personnelles. Une copie chiffrée à l'étranger exigerait une autorisation explicite de la CDP et de l'État ; elle</w:t>
      </w:r>
      <w:r>
        <w:t xml:space="preserve"> </w:t>
      </w:r>
      <w:r>
        <w:rPr>
          <w:bCs/>
          <w:b/>
        </w:rPr>
        <w:t xml:space="preserve">n'est pas recommandée</w:t>
      </w:r>
      <w:r>
        <w:t xml:space="preserve">.</w:t>
      </w:r>
    </w:p>
    <w:p>
      <w:pPr>
        <w:numPr>
          <w:ilvl w:val="0"/>
          <w:numId w:val="1001"/>
        </w:numPr>
        <w:pStyle w:val="Compact"/>
      </w:pPr>
      <w:r>
        <w:rPr>
          <w:bCs/>
          <w:b/>
        </w:rPr>
        <w:t xml:space="preserve">Maîtrise des clés</w:t>
      </w:r>
      <w:r>
        <w:t xml:space="preserve"> </w:t>
      </w:r>
      <w:r>
        <w:t xml:space="preserve">: les clés de signature et de chiffrement sont générées et conservées dans des HSM situés dans les sites A et B, sous le contrôle de l'État (cérémonies de clés documentées).</w:t>
      </w:r>
    </w:p>
    <w:p>
      <w:pPr>
        <w:numPr>
          <w:ilvl w:val="0"/>
          <w:numId w:val="1001"/>
        </w:numPr>
        <w:pStyle w:val="Compact"/>
      </w:pPr>
      <w:r>
        <w:rPr>
          <w:bCs/>
          <w:b/>
        </w:rPr>
        <w:t xml:space="preserve">Réversibilité</w:t>
      </w:r>
      <w:r>
        <w:t xml:space="preserve"> </w:t>
      </w:r>
      <w:r>
        <w:t xml:space="preserve">: l'État conserve la propriété des données et des codes ; les formats d'export (SQL, objets, journal d'audit) sont documentés.</w:t>
      </w:r>
    </w:p>
    <w:bookmarkEnd w:id="22"/>
    <w:bookmarkStart w:id="23" w:name="objectifs-de-disponibilité-et-de-reprise"/>
    <w:p>
      <w:pPr>
        <w:pStyle w:val="Heading3"/>
      </w:pPr>
      <w:r>
        <w:t xml:space="preserve">Objectifs de disponibilité et de reprise</w:t>
      </w:r>
    </w:p>
    <w:p>
      <w:pPr>
        <w:pStyle w:val="FirstParagraph"/>
      </w:pPr>
      <w:r>
        <w:t xml:space="preserve">Les valeurs ci-dessous reprennent et précisent celles de</w:t>
      </w:r>
      <w:r>
        <w:t xml:space="preserve"> </w:t>
      </w:r>
      <w:r>
        <w:rPr>
          <w:rStyle w:val="VerbatimChar"/>
        </w:rPr>
        <w:t xml:space="preserve">docs/ARCHITECTURE.md</w:t>
      </w:r>
      <w:r>
        <w:t xml:space="preserve">. Ce sont des</w:t>
      </w:r>
      <w:r>
        <w:t xml:space="preserve"> </w:t>
      </w:r>
      <w:r>
        <w:rPr>
          <w:bCs/>
          <w:b/>
        </w:rPr>
        <w:t xml:space="preserve">objectifs de conception</w:t>
      </w:r>
      <w:r>
        <w:t xml:space="preserve">, pas des engagements contractuels.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Objectif</w:t>
            </w:r>
          </w:p>
        </w:tc>
        <w:tc>
          <w:tcPr/>
          <w:p>
            <w:pPr>
              <w:pStyle w:val="Compact"/>
              <w:jc w:val="left"/>
            </w:pPr>
            <w:r>
              <w:t xml:space="preserve">Remarque</w:t>
            </w:r>
          </w:p>
        </w:tc>
      </w:tr>
      <w:tr>
        <w:tc>
          <w:tcPr/>
          <w:p>
            <w:pPr>
              <w:pStyle w:val="Compact"/>
              <w:jc w:val="left"/>
            </w:pPr>
            <w:r>
              <w:t xml:space="preserve">Disponibilité des services centraux</w:t>
            </w:r>
          </w:p>
        </w:tc>
        <w:tc>
          <w:tcPr/>
          <w:p>
            <w:pPr>
              <w:pStyle w:val="Compact"/>
              <w:jc w:val="left"/>
            </w:pPr>
            <w:r>
              <w:t xml:space="preserve">99,95 % ou plus par an</w:t>
            </w:r>
          </w:p>
        </w:tc>
        <w:tc>
          <w:tcPr/>
          <w:p>
            <w:pPr>
              <w:pStyle w:val="Compact"/>
              <w:jc w:val="left"/>
            </w:pPr>
            <w:r>
              <w:t xml:space="preserve">Environ 4 h 20 min d'indisponibilité non planifiée par an au maximum</w:t>
            </w:r>
          </w:p>
        </w:tc>
      </w:tr>
      <w:tr>
        <w:tc>
          <w:tcPr/>
          <w:p>
            <w:pPr>
              <w:pStyle w:val="Compact"/>
              <w:jc w:val="left"/>
            </w:pPr>
            <w:r>
              <w:t xml:space="preserve">Perte de données dans un site (panne d'un serveur, d'une baie)</w:t>
            </w:r>
          </w:p>
        </w:tc>
        <w:tc>
          <w:tcPr/>
          <w:p>
            <w:pPr>
              <w:pStyle w:val="Compact"/>
              <w:jc w:val="left"/>
            </w:pPr>
            <w:r>
              <w:t xml:space="preserve">RPO 0</w:t>
            </w:r>
          </w:p>
        </w:tc>
        <w:tc>
          <w:tcPr/>
          <w:p>
            <w:pPr>
              <w:pStyle w:val="Compact"/>
              <w:jc w:val="left"/>
            </w:pPr>
            <w:r>
              <w:t xml:space="preserve">Réplication synchrone entre nœuds</w:t>
            </w:r>
          </w:p>
        </w:tc>
      </w:tr>
      <w:tr>
        <w:tc>
          <w:tcPr/>
          <w:p>
            <w:pPr>
              <w:pStyle w:val="Compact"/>
              <w:jc w:val="left"/>
            </w:pPr>
            <w:r>
              <w:t xml:space="preserve">Perte d'un site central</w:t>
            </w:r>
          </w:p>
        </w:tc>
        <w:tc>
          <w:tcPr/>
          <w:p>
            <w:pPr>
              <w:pStyle w:val="Compact"/>
              <w:jc w:val="left"/>
            </w:pPr>
            <w:r>
              <w:t xml:space="preserve">RPO ≤ 5 min (0 visé tant que la réplication synchrone A → B est saine) ; RTO ≤ 1 h</w:t>
            </w:r>
          </w:p>
        </w:tc>
        <w:tc>
          <w:tcPr/>
          <w:p>
            <w:pPr>
              <w:pStyle w:val="Compact"/>
              <w:jc w:val="left"/>
            </w:pPr>
            <w:r>
              <w:t xml:space="preserve">Bascule vers l'autre site central</w:t>
            </w:r>
          </w:p>
        </w:tc>
      </w:tr>
      <w:tr>
        <w:tc>
          <w:tcPr/>
          <w:p>
            <w:pPr>
              <w:pStyle w:val="Compact"/>
              <w:jc w:val="left"/>
            </w:pPr>
            <w:r>
              <w:t xml:space="preserve">Perte simultanée des deux sites centraux</w:t>
            </w:r>
          </w:p>
        </w:tc>
        <w:tc>
          <w:tcPr/>
          <w:p>
            <w:pPr>
              <w:pStyle w:val="Compact"/>
              <w:jc w:val="left"/>
            </w:pPr>
            <w:r>
              <w:t xml:space="preserve">RPO selon la dernière copie reçue par le site C ; RTO à définir (reconstruction)</w:t>
            </w:r>
          </w:p>
        </w:tc>
        <w:tc>
          <w:tcPr/>
          <w:p>
            <w:pPr>
              <w:pStyle w:val="Compact"/>
              <w:jc w:val="left"/>
            </w:pPr>
            <w:r>
              <w:t xml:space="preserve">Les postes poursuivent le contrôle en mode hors ligne pendant la reconstruction</w:t>
            </w:r>
          </w:p>
        </w:tc>
      </w:tr>
      <w:tr>
        <w:tc>
          <w:tcPr/>
          <w:p>
            <w:pPr>
              <w:pStyle w:val="Compact"/>
              <w:jc w:val="left"/>
            </w:pPr>
            <w:r>
              <w:t xml:space="preserve">Capacité de contrôle au poste</w:t>
            </w:r>
          </w:p>
        </w:tc>
        <w:tc>
          <w:tcPr/>
          <w:p>
            <w:pPr>
              <w:pStyle w:val="Compact"/>
              <w:jc w:val="left"/>
            </w:pPr>
            <w:r>
              <w:t xml:space="preserve">100 %, y compris sans liaison avec le central</w:t>
            </w:r>
          </w:p>
        </w:tc>
        <w:tc>
          <w:tcPr/>
          <w:p>
            <w:pPr>
              <w:pStyle w:val="Compact"/>
              <w:jc w:val="left"/>
            </w:pPr>
            <w:r>
              <w:t xml:space="preserve">Serveur de poste (À développer)</w:t>
            </w:r>
          </w:p>
        </w:tc>
      </w:tr>
      <w:tr>
        <w:tc>
          <w:tcPr/>
          <w:p>
            <w:pPr>
              <w:pStyle w:val="Compact"/>
              <w:jc w:val="left"/>
            </w:pPr>
            <w:r>
              <w:t xml:space="preserve">Synchronisation des listes vers les postes</w:t>
            </w:r>
          </w:p>
        </w:tc>
        <w:tc>
          <w:tcPr/>
          <w:p>
            <w:pPr>
              <w:pStyle w:val="Compact"/>
              <w:jc w:val="left"/>
            </w:pPr>
            <w:r>
              <w:t xml:space="preserve">Moins d'une minute</w:t>
            </w:r>
          </w:p>
        </w:tc>
        <w:tc>
          <w:tcPr/>
          <w:p>
            <w:pPr>
              <w:pStyle w:val="Compact"/>
              <w:jc w:val="left"/>
            </w:pPr>
            <w:r>
              <w:t xml:space="preserve">Objectif de</w:t>
            </w:r>
            <w:r>
              <w:t xml:space="preserve"> </w:t>
            </w:r>
            <w:r>
              <w:rPr>
                <w:rStyle w:val="VerbatimChar"/>
              </w:rPr>
              <w:t xml:space="preserve">docs/ARCHITECTURE.md</w:t>
            </w:r>
          </w:p>
        </w:tc>
      </w:tr>
      <w:tr>
        <w:tc>
          <w:tcPr/>
          <w:p>
            <w:pPr>
              <w:pStyle w:val="Compact"/>
              <w:jc w:val="left"/>
            </w:pPr>
            <w:r>
              <w:t xml:space="preserve">Tests de bascule</w:t>
            </w:r>
          </w:p>
        </w:tc>
        <w:tc>
          <w:tcPr/>
          <w:p>
            <w:pPr>
              <w:pStyle w:val="Compact"/>
              <w:jc w:val="left"/>
            </w:pPr>
            <w:r>
              <w:t xml:space="preserve">Deux fois par an au minimum</w:t>
            </w:r>
          </w:p>
        </w:tc>
        <w:tc>
          <w:tcPr/>
          <w:p>
            <w:pPr>
              <w:pStyle w:val="Compact"/>
              <w:jc w:val="left"/>
            </w:pPr>
            <w:r>
              <w:t xml:space="preserve">Voir la section 4</w:t>
            </w:r>
          </w:p>
        </w:tc>
      </w:tr>
    </w:tbl>
    <w:bookmarkEnd w:id="23"/>
    <w:bookmarkStart w:id="24" w:name="continuité-du-contrôle-aux-postes"/>
    <w:p>
      <w:pPr>
        <w:pStyle w:val="Heading3"/>
      </w:pPr>
      <w:r>
        <w:t xml:space="preserve">Continuité du contrôle aux postes</w:t>
      </w:r>
    </w:p>
    <w:p>
      <w:pPr>
        <w:pStyle w:val="FirstParagraph"/>
      </w:pPr>
      <w:r>
        <w:t xml:space="preserve">Le contrôle frontière ne doit jamais dépendre de la disponibilité du central. Chaque poste dispose d'un</w:t>
      </w:r>
      <w:r>
        <w:t xml:space="preserve"> </w:t>
      </w:r>
      <w:r>
        <w:rPr>
          <w:bCs/>
          <w:b/>
        </w:rPr>
        <w:t xml:space="preserve">serveur de poste</w:t>
      </w:r>
      <w:r>
        <w:t xml:space="preserve"> </w:t>
      </w:r>
      <w:r>
        <w:t xml:space="preserve">(grappe de deux nœuds) qui exécute le même moteur de décision que le central (</w:t>
      </w:r>
      <w:r>
        <w:rPr>
          <w:rStyle w:val="VerbatimChar"/>
        </w:rPr>
        <w:t xml:space="preserve">public/shared/engine.js</w:t>
      </w:r>
      <w:r>
        <w:t xml:space="preserve">), conserve une copie chiffrée des listes de surveillance et met les passages en file d'attente jusqu'au retour de la liaison (« stockage et retransmission »). Ce mode est</w:t>
      </w:r>
      <w:r>
        <w:t xml:space="preserve"> </w:t>
      </w:r>
      <w:r>
        <w:rPr>
          <w:bCs/>
          <w:b/>
        </w:rPr>
        <w:t xml:space="preserve">À développer</w:t>
      </w:r>
      <w:r>
        <w:t xml:space="preserve"> </w:t>
      </w:r>
      <w:r>
        <w:t xml:space="preserve">: le démonstrateur n'a pas de mode hors ligne.</w:t>
      </w:r>
    </w:p>
    <w:bookmarkEnd w:id="24"/>
    <w:bookmarkStart w:id="25" w:name="capacité"/>
    <w:p>
      <w:pPr>
        <w:pStyle w:val="Heading3"/>
      </w:pPr>
      <w:r>
        <w:t xml:space="preserve">Capacité</w:t>
      </w:r>
    </w:p>
    <w:p>
      <w:pPr>
        <w:pStyle w:val="FirstParagraph"/>
      </w:pPr>
      <w:r>
        <w:t xml:space="preserve">Le dimensionnement repose sur les hypothèses de</w:t>
      </w:r>
      <w:r>
        <w:t xml:space="preserve"> </w:t>
      </w:r>
      <w:r>
        <w:rPr>
          <w:rStyle w:val="VerbatimChar"/>
        </w:rPr>
        <w:t xml:space="preserve">docs/ARCHITECTURE.md</w:t>
      </w:r>
      <w:r>
        <w:t xml:space="preserve">, à confirmer avec la DPAF et avec les statistiques de trafic de l'AIBD et de l'ANACIM.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Estimation</w:t>
            </w:r>
          </w:p>
        </w:tc>
        <w:tc>
          <w:tcPr/>
          <w:p>
            <w:pPr>
              <w:pStyle w:val="Compact"/>
              <w:jc w:val="left"/>
            </w:pPr>
            <w:r>
              <w:t xml:space="preserve">Dimensionnement cible (×5)</w:t>
            </w:r>
          </w:p>
        </w:tc>
      </w:tr>
      <w:tr>
        <w:tc>
          <w:tcPr/>
          <w:p>
            <w:pPr>
              <w:pStyle w:val="Compact"/>
              <w:jc w:val="left"/>
            </w:pPr>
            <w:r>
              <w:t xml:space="preserve">Passages annuels tous postes</w:t>
            </w:r>
          </w:p>
        </w:tc>
        <w:tc>
          <w:tcPr/>
          <w:p>
            <w:pPr>
              <w:pStyle w:val="Compact"/>
              <w:jc w:val="left"/>
            </w:pPr>
            <w:r>
              <w:t xml:space="preserve">~6 millions</w:t>
            </w:r>
          </w:p>
        </w:tc>
        <w:tc>
          <w:tcPr/>
          <w:p>
            <w:pPr>
              <w:pStyle w:val="Compact"/>
              <w:jc w:val="left"/>
            </w:pPr>
            <w:r>
              <w:t xml:space="preserve">30 millions</w:t>
            </w:r>
          </w:p>
        </w:tc>
      </w:tr>
      <w:tr>
        <w:tc>
          <w:tcPr/>
          <w:p>
            <w:pPr>
              <w:pStyle w:val="Compact"/>
              <w:jc w:val="left"/>
            </w:pPr>
            <w:r>
              <w:t xml:space="preserve">Pointe AIBD</w:t>
            </w:r>
          </w:p>
        </w:tc>
        <w:tc>
          <w:tcPr/>
          <w:p>
            <w:pPr>
              <w:pStyle w:val="Compact"/>
              <w:jc w:val="left"/>
            </w:pPr>
            <w:r>
              <w:t xml:space="preserve">~3 000 voyageurs/heure</w:t>
            </w:r>
          </w:p>
        </w:tc>
        <w:tc>
          <w:tcPr/>
          <w:p>
            <w:pPr>
              <w:pStyle w:val="Compact"/>
              <w:jc w:val="left"/>
            </w:pPr>
            <w:r>
              <w:t xml:space="preserve">15 000/h</w:t>
            </w:r>
          </w:p>
        </w:tc>
      </w:tr>
      <w:tr>
        <w:tc>
          <w:tcPr/>
          <w:p>
            <w:pPr>
              <w:pStyle w:val="Compact"/>
              <w:jc w:val="left"/>
            </w:pPr>
            <w:r>
              <w:t xml:space="preserve">Transactions de contrôle (pointe nationale)</w:t>
            </w:r>
          </w:p>
        </w:tc>
        <w:tc>
          <w:tcPr/>
          <w:p>
            <w:pPr>
              <w:pStyle w:val="Compact"/>
              <w:jc w:val="left"/>
            </w:pPr>
            <w:r>
              <w:t xml:space="preserve">~2/s</w:t>
            </w:r>
          </w:p>
        </w:tc>
        <w:tc>
          <w:tcPr/>
          <w:p>
            <w:pPr>
              <w:pStyle w:val="Compact"/>
              <w:jc w:val="left"/>
            </w:pPr>
            <w:r>
              <w:t xml:space="preserve">10/s soutenu, 50/s en rafale</w:t>
            </w:r>
          </w:p>
        </w:tc>
      </w:tr>
      <w:tr>
        <w:tc>
          <w:tcPr/>
          <w:p>
            <w:pPr>
              <w:pStyle w:val="Compact"/>
              <w:jc w:val="left"/>
            </w:pPr>
            <w:r>
              <w:t xml:space="preserve">Interrogations des listes</w:t>
            </w:r>
          </w:p>
        </w:tc>
        <w:tc>
          <w:tcPr/>
          <w:p>
            <w:pPr>
              <w:pStyle w:val="Compact"/>
              <w:jc w:val="left"/>
            </w:pPr>
            <w:r>
              <w:t xml:space="preserve">~10/s</w:t>
            </w:r>
          </w:p>
        </w:tc>
        <w:tc>
          <w:tcPr/>
          <w:p>
            <w:pPr>
              <w:pStyle w:val="Compact"/>
              <w:jc w:val="left"/>
            </w:pPr>
            <w:r>
              <w:t xml:space="preserve">50/s</w:t>
            </w:r>
          </w:p>
        </w:tc>
      </w:tr>
      <w:tr>
        <w:tc>
          <w:tcPr/>
          <w:p>
            <w:pPr>
              <w:pStyle w:val="Compact"/>
              <w:jc w:val="left"/>
            </w:pPr>
            <w:r>
              <w:t xml:space="preserve">Demandes e-Visa</w:t>
            </w:r>
          </w:p>
        </w:tc>
        <w:tc>
          <w:tcPr/>
          <w:p>
            <w:pPr>
              <w:pStyle w:val="Compact"/>
              <w:jc w:val="left"/>
            </w:pPr>
            <w:r>
              <w:t xml:space="preserve">~300 000/an</w:t>
            </w:r>
          </w:p>
        </w:tc>
        <w:tc>
          <w:tcPr/>
          <w:p>
            <w:pPr>
              <w:pStyle w:val="Compact"/>
              <w:jc w:val="left"/>
            </w:pPr>
            <w:r>
              <w:t xml:space="preserve">1,5 million/an</w:t>
            </w:r>
          </w:p>
        </w:tc>
      </w:tr>
      <w:tr>
        <w:tc>
          <w:tcPr/>
          <w:p>
            <w:pPr>
              <w:pStyle w:val="Compact"/>
              <w:jc w:val="left"/>
            </w:pPr>
            <w:r>
              <w:t xml:space="preserve">Base biométrique</w:t>
            </w:r>
          </w:p>
        </w:tc>
        <w:tc>
          <w:tcPr/>
          <w:p>
            <w:pPr>
              <w:pStyle w:val="Compact"/>
              <w:jc w:val="left"/>
            </w:pPr>
            <w:r>
              <w:t xml:space="preserve">~10 millions de personnes à 5 ans</w:t>
            </w:r>
          </w:p>
        </w:tc>
        <w:tc>
          <w:tcPr/>
          <w:p>
            <w:pPr>
              <w:pStyle w:val="Compact"/>
              <w:jc w:val="left"/>
            </w:pPr>
            <w:r>
              <w:t xml:space="preserve">50 millions</w:t>
            </w:r>
          </w:p>
        </w:tc>
      </w:tr>
      <w:tr>
        <w:tc>
          <w:tcPr/>
          <w:p>
            <w:pPr>
              <w:pStyle w:val="Compact"/>
              <w:jc w:val="left"/>
            </w:pPr>
            <w:r>
              <w:t xml:space="preserve">Postes, guichets, eGates</w:t>
            </w:r>
          </w:p>
        </w:tc>
        <w:tc>
          <w:tcPr/>
          <w:p>
            <w:pPr>
              <w:pStyle w:val="Compact"/>
              <w:jc w:val="left"/>
            </w:pPr>
            <w:r>
              <w:t xml:space="preserve">6 postes, ~60 guichets, ~20 eGates</w:t>
            </w:r>
          </w:p>
        </w:tc>
        <w:tc>
          <w:tcPr/>
          <w:p>
            <w:pPr>
              <w:pStyle w:val="Compact"/>
              <w:jc w:val="left"/>
            </w:pPr>
            <w:r>
              <w:t xml:space="preserve">60 postes, 600 guichets, 200 eGates</w:t>
            </w:r>
          </w:p>
        </w:tc>
      </w:tr>
      <w:tr>
        <w:tc>
          <w:tcPr/>
          <w:p>
            <w:pPr>
              <w:pStyle w:val="Compact"/>
              <w:jc w:val="left"/>
            </w:pPr>
            <w:r>
              <w:t xml:space="preserve">Rétention</w:t>
            </w:r>
          </w:p>
        </w:tc>
        <w:tc>
          <w:tcPr/>
          <w:p>
            <w:pPr>
              <w:pStyle w:val="Compact"/>
              <w:jc w:val="left"/>
            </w:pPr>
            <w:r>
              <w:t xml:space="preserve">5 ans (paramétrable)</w:t>
            </w:r>
          </w:p>
        </w:tc>
        <w:tc>
          <w:tcPr/>
          <w:p>
            <w:pPr>
              <w:pStyle w:val="Compact"/>
              <w:jc w:val="left"/>
            </w:pPr>
            <w:r>
              <w:t xml:space="preserve">~150 millions de passages</w:t>
            </w:r>
          </w:p>
        </w:tc>
      </w:tr>
    </w:tbl>
    <w:p>
      <w:pPr>
        <w:pStyle w:val="BodyText"/>
      </w:pPr>
      <w:r>
        <w:t xml:space="preserve">Chaque site central doit pouvoir porter</w:t>
      </w:r>
      <w:r>
        <w:t xml:space="preserve"> </w:t>
      </w:r>
      <w:r>
        <w:rPr>
          <w:bCs/>
          <w:b/>
        </w:rPr>
        <w:t xml:space="preserve">seul</w:t>
      </w:r>
      <w:r>
        <w:t xml:space="preserve"> </w:t>
      </w:r>
      <w:r>
        <w:t xml:space="preserve">100 % de la charge de pointe : en actif-actif, chaque site fonctionne donc à 50 % au plus de sa capacité en situation normale.</w:t>
      </w:r>
    </w:p>
    <w:bookmarkEnd w:id="25"/>
    <w:bookmarkEnd w:id="26"/>
    <w:bookmarkStart w:id="36" w:name="X99557f45fd463b8b0780648993e68fc1fd2405f"/>
    <w:p>
      <w:pPr>
        <w:pStyle w:val="Heading2"/>
      </w:pPr>
      <w:r>
        <w:t xml:space="preserve">2. Topologie cible</w:t>
      </w:r>
    </w:p>
    <w:bookmarkStart w:id="27" w:name="vue-densemble"/>
    <w:p>
      <w:pPr>
        <w:pStyle w:val="Heading3"/>
      </w:pPr>
      <w:r>
        <w:t xml:space="preserve">Vue d'ensemble</w:t>
      </w:r>
    </w:p>
    <w:p>
      <w:pPr>
        <w:pStyle w:val="SourceCode"/>
      </w:pPr>
      <w:r>
        <w:rPr>
          <w:rStyle w:val="VerbatimChar"/>
        </w:rPr>
        <w:t xml:space="preserve">            Internet (voyageurs, compagnies, applications mobiles)</w:t>
      </w:r>
      <w:r>
        <w:br/>
      </w:r>
      <w:r>
        <w:rPr>
          <w:rStyle w:val="VerbatimChar"/>
        </w:rPr>
        <w:t xml:space="preserve">                 |  deux opérateurs, protection anti-DDoS, WAF</w:t>
      </w:r>
      <w:r>
        <w:br/>
      </w:r>
      <w:r>
        <w:rPr>
          <w:rStyle w:val="VerbatimChar"/>
        </w:rPr>
        <w:t xml:space="preserve">        +--------+-------------------------------+</w:t>
      </w:r>
      <w:r>
        <w:br/>
      </w:r>
      <w:r>
        <w:rPr>
          <w:rStyle w:val="VerbatimChar"/>
        </w:rPr>
        <w:t xml:space="preserve">        |  Répartition globale (DNS / VIP)       |</w:t>
      </w:r>
      <w:r>
        <w:br/>
      </w:r>
      <w:r>
        <w:rPr>
          <w:rStyle w:val="VerbatimChar"/>
        </w:rPr>
        <w:t xml:space="preserve">        +--------+-------------------------------+</w:t>
      </w:r>
      <w:r>
        <w:br/>
      </w:r>
      <w:r>
        <w:rPr>
          <w:rStyle w:val="VerbatimChar"/>
        </w:rPr>
        <w:t xml:space="preserve">                 |                               |</w:t>
      </w:r>
      <w:r>
        <w:br/>
      </w:r>
      <w:r>
        <w:rPr>
          <w:rStyle w:val="VerbatimChar"/>
        </w:rPr>
        <w:t xml:space="preserve">  +--------------+-------------+   fibre    +----+-----------------------+</w:t>
      </w:r>
      <w:r>
        <w:br/>
      </w:r>
      <w:r>
        <w:rPr>
          <w:rStyle w:val="VerbatimChar"/>
        </w:rPr>
        <w:t xml:space="preserve">  | SITE A — Diamniadio        |&lt;==========&gt;| SITE B — DC commercial     |</w:t>
      </w:r>
      <w:r>
        <w:br/>
      </w:r>
      <w:r>
        <w:rPr>
          <w:rStyle w:val="VerbatimChar"/>
        </w:rPr>
        <w:t xml:space="preserve">  | (État, Sénégal Numérique)  | deux voies | Tier III certifié          |</w:t>
      </w:r>
      <w:r>
        <w:br/>
      </w:r>
      <w:r>
        <w:rPr>
          <w:rStyle w:val="VerbatimChar"/>
        </w:rPr>
        <w:t xml:space="preserve">  | web + API (actif)          |  L2 / L3   | web + API (actif)          |</w:t>
      </w:r>
      <w:r>
        <w:br/>
      </w:r>
      <w:r>
        <w:rPr>
          <w:rStyle w:val="VerbatimChar"/>
        </w:rPr>
        <w:t xml:space="preserve">  | PostgreSQL primaire        |  chiffrée  | PostgreSQL réplique synchr.|</w:t>
      </w:r>
      <w:r>
        <w:br/>
      </w:r>
      <w:r>
        <w:rPr>
          <w:rStyle w:val="VerbatimChar"/>
        </w:rPr>
        <w:t xml:space="preserve">  | objets, bus, HSM x2, SOC   |            | objets, bus, HSM x2        |</w:t>
      </w:r>
      <w:r>
        <w:br/>
      </w:r>
      <w:r>
        <w:rPr>
          <w:rStyle w:val="VerbatimChar"/>
        </w:rPr>
        <w:t xml:space="preserve">  | Kubernetes                 |            | Kubernetes, préproduction  |</w:t>
      </w:r>
      <w:r>
        <w:br/>
      </w:r>
      <w:r>
        <w:rPr>
          <w:rStyle w:val="VerbatimChar"/>
        </w:rPr>
        <w:t xml:space="preserve">  +------+---------------------+            +------+---------------------+</w:t>
      </w:r>
      <w:r>
        <w:br/>
      </w:r>
      <w:r>
        <w:rPr>
          <w:rStyle w:val="VerbatimChar"/>
        </w:rPr>
        <w:t xml:space="preserve">         |      réplication asynchrone chiffrée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SITE C — coffre          |</w:t>
      </w:r>
      <w:r>
        <w:br/>
      </w:r>
      <w:r>
        <w:rPr>
          <w:rStyle w:val="VerbatimChar"/>
        </w:rPr>
        <w:t xml:space="preserve">            | copies immuables,        |</w:t>
      </w:r>
      <w:r>
        <w:br/>
      </w:r>
      <w:r>
        <w:rPr>
          <w:rStyle w:val="VerbatimChar"/>
        </w:rPr>
        <w:t xml:space="preserve">            | copies hors ligne        |</w:t>
      </w:r>
      <w:r>
        <w:br/>
      </w:r>
      <w:r>
        <w:rPr>
          <w:rStyle w:val="VerbatimChar"/>
        </w:rPr>
        <w:t xml:space="preserve">            +--------------------------+</w:t>
      </w:r>
      <w:r>
        <w:br/>
      </w:r>
      <w:r>
        <w:rPr>
          <w:rStyle w:val="VerbatimChar"/>
        </w:rPr>
        <w:t xml:space="preserve">         MPLS/VPN (opérateur 1) + 4G/VSAT (opérateur 2)</w:t>
      </w:r>
      <w:r>
        <w:br/>
      </w:r>
      <w:r>
        <w:rPr>
          <w:rStyle w:val="VerbatimChar"/>
        </w:rPr>
        <w:t xml:space="preserve">                         |</w:t>
      </w:r>
      <w:r>
        <w:br/>
      </w:r>
      <w:r>
        <w:rPr>
          <w:rStyle w:val="VerbatimChar"/>
        </w:rPr>
        <w:t xml:space="preserve">  +------+------+------+------+------+------+</w:t>
      </w:r>
      <w:r>
        <w:br/>
      </w:r>
      <w:r>
        <w:rPr>
          <w:rStyle w:val="VerbatimChar"/>
        </w:rPr>
        <w:t xml:space="preserve">  | AIBD | PDK  | ZIG  | ROS  | KID  | KAR  |   serveur de poste (2 nœuds)</w:t>
      </w:r>
      <w:r>
        <w:br/>
      </w:r>
      <w:r>
        <w:rPr>
          <w:rStyle w:val="VerbatimChar"/>
        </w:rPr>
        <w:t xml:space="preserve">  +------+------+------+------+------+------+   guichets, eGates, kiosques</w:t>
      </w:r>
    </w:p>
    <w:bookmarkEnd w:id="27"/>
    <w:bookmarkStart w:id="31" w:name="choix-des-sites"/>
    <w:p>
      <w:pPr>
        <w:pStyle w:val="Heading3"/>
      </w:pPr>
      <w:r>
        <w:t xml:space="preserve">Choix des sites</w:t>
      </w:r>
    </w:p>
    <w:p>
      <w:pPr>
        <w:pStyle w:val="FirstParagraph"/>
      </w:pPr>
      <w:r>
        <w:t xml:space="preserve">Les informations ci-dessous proviennent de sources publiques (presse spécialisée, annuaires de centres de données). Elles doivent toutes être confirmées par les opérateurs lors de la consultation.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Centre de données</w:t>
            </w:r>
          </w:p>
        </w:tc>
        <w:tc>
          <w:tcPr/>
          <w:p>
            <w:pPr>
              <w:pStyle w:val="Compact"/>
              <w:jc w:val="left"/>
            </w:pPr>
            <w:r>
              <w:t xml:space="preserve">Opérateur</w:t>
            </w:r>
          </w:p>
        </w:tc>
        <w:tc>
          <w:tcPr/>
          <w:p>
            <w:pPr>
              <w:pStyle w:val="Compact"/>
              <w:jc w:val="left"/>
            </w:pPr>
            <w:r>
              <w:t xml:space="preserve">Faits publics</w:t>
            </w:r>
          </w:p>
        </w:tc>
        <w:tc>
          <w:tcPr/>
          <w:p>
            <w:pPr>
              <w:pStyle w:val="Compact"/>
              <w:jc w:val="left"/>
            </w:pPr>
            <w:r>
              <w:t xml:space="preserve">Statut</w:t>
            </w:r>
          </w:p>
        </w:tc>
      </w:tr>
      <w:tr>
        <w:tc>
          <w:tcPr/>
          <w:p>
            <w:pPr>
              <w:pStyle w:val="Compact"/>
              <w:jc w:val="left"/>
            </w:pPr>
            <w:r>
              <w:t xml:space="preserve">Datacenter national de Diamniadio</w:t>
            </w:r>
          </w:p>
        </w:tc>
        <w:tc>
          <w:tcPr/>
          <w:p>
            <w:pPr>
              <w:pStyle w:val="Compact"/>
              <w:jc w:val="left"/>
            </w:pPr>
            <w:r>
              <w:t xml:space="preserve">État, exploité par Sénégal Numérique SA (ex-ADIE)</w:t>
            </w:r>
          </w:p>
        </w:tc>
        <w:tc>
          <w:tcPr/>
          <w:p>
            <w:pPr>
              <w:pStyle w:val="Compact"/>
              <w:jc w:val="left"/>
            </w:pPr>
            <w:r>
              <w:t xml:space="preserve">Inauguré en juin 2021 ; environ 1 000 m² de salles techniques ; 1,4 MW ; présenté comme « de type Tier III »</w:t>
            </w:r>
          </w:p>
        </w:tc>
        <w:tc>
          <w:tcPr/>
          <w:p>
            <w:pPr>
              <w:pStyle w:val="Compact"/>
              <w:jc w:val="left"/>
            </w:pPr>
            <w:r>
              <w:t xml:space="preserve">Aucune certification Uptime Institute confirmée publiquement :</w:t>
            </w:r>
            <w:r>
              <w:t xml:space="preserve"> </w:t>
            </w:r>
            <w:r>
              <w:rPr>
                <w:bCs/>
                <w:b/>
              </w:rPr>
              <w:t xml:space="preserve">À vérifier</w:t>
            </w:r>
          </w:p>
        </w:tc>
      </w:tr>
      <w:tr>
        <w:tc>
          <w:tcPr/>
          <w:p>
            <w:pPr>
              <w:pStyle w:val="Compact"/>
              <w:jc w:val="left"/>
            </w:pPr>
            <w:r>
              <w:t xml:space="preserve">Yas (ex-Tigo, Sen Connect) Diamniadio</w:t>
            </w:r>
          </w:p>
        </w:tc>
        <w:tc>
          <w:tcPr/>
          <w:p>
            <w:pPr>
              <w:pStyle w:val="Compact"/>
              <w:jc w:val="left"/>
            </w:pPr>
            <w:r>
              <w:t xml:space="preserve">Opérateur commercial</w:t>
            </w:r>
          </w:p>
        </w:tc>
        <w:tc>
          <w:tcPr/>
          <w:p>
            <w:pPr>
              <w:pStyle w:val="Compact"/>
              <w:jc w:val="left"/>
            </w:pPr>
            <w:r>
              <w:t xml:space="preserve">Certifié Tier III par l'Uptime Institute (2017), colocation commerciale</w:t>
            </w:r>
          </w:p>
        </w:tc>
        <w:tc>
          <w:tcPr/>
          <w:p>
            <w:pPr>
              <w:pStyle w:val="Compact"/>
              <w:jc w:val="left"/>
            </w:pPr>
            <w:r>
              <w:t xml:space="preserve">Nature (conception ou construction) et validité de la certification</w:t>
            </w:r>
            <w:r>
              <w:t xml:space="preserve"> </w:t>
            </w:r>
            <w:r>
              <w:rPr>
                <w:bCs/>
                <w:b/>
              </w:rPr>
              <w:t xml:space="preserve">À vérifier</w:t>
            </w:r>
          </w:p>
        </w:tc>
      </w:tr>
      <w:tr>
        <w:tc>
          <w:tcPr/>
          <w:p>
            <w:pPr>
              <w:pStyle w:val="Compact"/>
              <w:jc w:val="left"/>
            </w:pPr>
            <w:r>
              <w:t xml:space="preserve">Sonatel (Orange) Rufisque</w:t>
            </w:r>
          </w:p>
        </w:tc>
        <w:tc>
          <w:tcPr/>
          <w:p>
            <w:pPr>
              <w:pStyle w:val="Compact"/>
              <w:jc w:val="left"/>
            </w:pPr>
            <w:r>
              <w:t xml:space="preserve">Opérateur commercial</w:t>
            </w:r>
          </w:p>
        </w:tc>
        <w:tc>
          <w:tcPr/>
          <w:p>
            <w:pPr>
              <w:pStyle w:val="Compact"/>
              <w:jc w:val="left"/>
            </w:pPr>
            <w:r>
              <w:t xml:space="preserve">Annoncé Tier III (« Tier 3+ ») ; deuxième salle ajoutée ; extension (phase 3) signalée en 2025 par une seule source de presse ; proximité annoncée de l'atterrissement du câble 2Africa</w:t>
            </w:r>
          </w:p>
        </w:tc>
        <w:tc>
          <w:tcPr/>
          <w:p>
            <w:pPr>
              <w:pStyle w:val="Compact"/>
              <w:jc w:val="left"/>
            </w:pPr>
            <w:r>
              <w:t xml:space="preserve">Certification, capacité et extension</w:t>
            </w:r>
            <w:r>
              <w:t xml:space="preserve"> </w:t>
            </w:r>
            <w:r>
              <w:rPr>
                <w:bCs/>
                <w:b/>
              </w:rPr>
              <w:t xml:space="preserve">À vérifier</w:t>
            </w:r>
          </w:p>
        </w:tc>
      </w:tr>
      <w:tr>
        <w:tc>
          <w:tcPr/>
          <w:p>
            <w:pPr>
              <w:pStyle w:val="Compact"/>
              <w:jc w:val="left"/>
            </w:pPr>
            <w:r>
              <w:t xml:space="preserve">Free Sénégal Diamniadio</w:t>
            </w:r>
          </w:p>
        </w:tc>
        <w:tc>
          <w:tcPr/>
          <w:p>
            <w:pPr>
              <w:pStyle w:val="Compact"/>
              <w:jc w:val="left"/>
            </w:pPr>
            <w:r>
              <w:t xml:space="preserve">Opérateur commercial</w:t>
            </w:r>
          </w:p>
        </w:tc>
        <w:tc>
          <w:tcPr/>
          <w:p>
            <w:pPr>
              <w:pStyle w:val="Compact"/>
              <w:jc w:val="left"/>
            </w:pPr>
            <w:r>
              <w:t xml:space="preserve">Conçu selon le niveau Tier III</w:t>
            </w:r>
          </w:p>
        </w:tc>
        <w:tc>
          <w:tcPr/>
          <w:p>
            <w:pPr>
              <w:pStyle w:val="Compact"/>
              <w:jc w:val="left"/>
            </w:pPr>
            <w:r>
              <w:t xml:space="preserve">Non certifié selon les informations disponibles</w:t>
            </w:r>
          </w:p>
        </w:tc>
      </w:tr>
      <w:tr>
        <w:tc>
          <w:tcPr/>
          <w:p>
            <w:pPr>
              <w:pStyle w:val="Compact"/>
              <w:jc w:val="left"/>
            </w:pPr>
            <w:r>
              <w:t xml:space="preserve">PAIX Dakar, Onix</w:t>
            </w:r>
          </w:p>
        </w:tc>
        <w:tc>
          <w:tcPr/>
          <w:p>
            <w:pPr>
              <w:pStyle w:val="Compact"/>
              <w:jc w:val="left"/>
            </w:pPr>
            <w:r>
              <w:t xml:space="preserve">Opérateurs de colocation</w:t>
            </w:r>
          </w:p>
        </w:tc>
        <w:tc>
          <w:tcPr/>
          <w:p>
            <w:pPr>
              <w:pStyle w:val="Compact"/>
              <w:jc w:val="left"/>
            </w:pPr>
            <w:r>
              <w:t xml:space="preserve">Cités dans des annuaires de centres de données</w:t>
            </w:r>
          </w:p>
        </w:tc>
        <w:tc>
          <w:tcPr/>
          <w:p>
            <w:pPr>
              <w:pStyle w:val="Compact"/>
              <w:jc w:val="left"/>
            </w:pPr>
            <w:r>
              <w:t xml:space="preserve">Caractéristiques</w:t>
            </w:r>
            <w:r>
              <w:t xml:space="preserve"> </w:t>
            </w:r>
            <w:r>
              <w:rPr>
                <w:bCs/>
                <w:b/>
              </w:rPr>
              <w:t xml:space="preserve">À vérifier</w:t>
            </w:r>
          </w:p>
        </w:tc>
      </w:tr>
    </w:tbl>
    <w:bookmarkStart w:id="28" w:name="site-a--principal-recommandation"/>
    <w:p>
      <w:pPr>
        <w:pStyle w:val="Heading4"/>
      </w:pPr>
      <w:r>
        <w:t xml:space="preserve">Site A — principal (Recommandation)</w:t>
      </w:r>
    </w:p>
    <w:p>
      <w:pPr>
        <w:pStyle w:val="FirstParagraph"/>
      </w:pPr>
      <w:r>
        <w:t xml:space="preserve">Le</w:t>
      </w:r>
      <w:r>
        <w:t xml:space="preserve"> </w:t>
      </w:r>
      <w:r>
        <w:rPr>
          <w:bCs/>
          <w:b/>
        </w:rPr>
        <w:t xml:space="preserve">Datacenter national de Diamniadio</w:t>
      </w:r>
      <w:r>
        <w:t xml:space="preserve"> </w:t>
      </w:r>
      <w:r>
        <w:t xml:space="preserve">est recommandé comme site principal : hébergement souverain de l'État, opéré par Sénégal Numérique, cohérent avec la doctrine des fichiers régaliens. Points à confirmer dans la convention avec Sénégal Numérique : capacité disponible (surface, puissance, refroidissement), niveau de redondance réel, sécurité physique, accès des équipes de WAW Telecom, raccordements opérateurs disponibles, conditions de colocation de HSM, niveaux de service. Aucun engagement n'existe à ce jour.</w:t>
      </w:r>
    </w:p>
    <w:bookmarkEnd w:id="28"/>
    <w:bookmarkStart w:id="29" w:name="site-b--secondaire-actif-recommandation"/>
    <w:p>
      <w:pPr>
        <w:pStyle w:val="Heading4"/>
      </w:pPr>
      <w:r>
        <w:t xml:space="preserve">Site B — secondaire actif (Recommandation)</w:t>
      </w:r>
    </w:p>
    <w:p>
      <w:pPr>
        <w:pStyle w:val="FirstParagraph"/>
      </w:pPr>
      <w:r>
        <w:t xml:space="preserve">Le site B doit être un centre de données</w:t>
      </w:r>
      <w:r>
        <w:t xml:space="preserve"> </w:t>
      </w:r>
      <w:r>
        <w:rPr>
          <w:bCs/>
          <w:b/>
        </w:rPr>
        <w:t xml:space="preserve">certifié Tier III</w:t>
      </w:r>
      <w:r>
        <w:t xml:space="preserve">, sur un</w:t>
      </w:r>
      <w:r>
        <w:t xml:space="preserve"> </w:t>
      </w:r>
      <w:r>
        <w:rPr>
          <w:bCs/>
          <w:b/>
        </w:rPr>
        <w:t xml:space="preserve">site physique distinct</w:t>
      </w:r>
      <w:r>
        <w:t xml:space="preserve"> </w:t>
      </w:r>
      <w:r>
        <w:t xml:space="preserve">et alimenté par un</w:t>
      </w:r>
      <w:r>
        <w:t xml:space="preserve"> </w:t>
      </w:r>
      <w:r>
        <w:rPr>
          <w:bCs/>
          <w:b/>
        </w:rPr>
        <w:t xml:space="preserve">poste électrique distinct</w:t>
      </w:r>
      <w:r>
        <w:t xml:space="preserve">, raccordé par des chemins de fibre différents de ceux du site A, tout en restant assez proche pour la réplication synchrone (latence de l'ordre de la milliseconde).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Sonatel (Orange) Rufisque</w:t>
            </w:r>
          </w:p>
        </w:tc>
        <w:tc>
          <w:tcPr/>
          <w:p>
            <w:pPr>
              <w:pStyle w:val="Compact"/>
              <w:jc w:val="left"/>
            </w:pPr>
            <w:r>
              <w:t xml:space="preserve">Yas (ex-Tigo) Diamniadio</w:t>
            </w:r>
          </w:p>
        </w:tc>
      </w:tr>
      <w:tr>
        <w:tc>
          <w:tcPr/>
          <w:p>
            <w:pPr>
              <w:pStyle w:val="Compact"/>
              <w:jc w:val="left"/>
            </w:pPr>
            <w:r>
              <w:t xml:space="preserve">Séparation géographique avec le site A</w:t>
            </w:r>
          </w:p>
        </w:tc>
        <w:tc>
          <w:tcPr/>
          <w:p>
            <w:pPr>
              <w:pStyle w:val="Compact"/>
              <w:jc w:val="left"/>
            </w:pPr>
            <w:r>
              <w:t xml:space="preserve">Meilleure : autre commune, distance de l'ordre d'une quinzaine de kilomètres à vol d'oiseau (longueur réelle de fibre à mesurer)</w:t>
            </w:r>
          </w:p>
        </w:tc>
        <w:tc>
          <w:tcPr/>
          <w:p>
            <w:pPr>
              <w:pStyle w:val="Compact"/>
              <w:jc w:val="left"/>
            </w:pPr>
            <w:r>
              <w:t xml:space="preserve">Faible : même pôle urbain que le site A, risques régionaux partagés (inondation, poste électrique, accès routier)</w:t>
            </w:r>
          </w:p>
        </w:tc>
      </w:tr>
      <w:tr>
        <w:tc>
          <w:tcPr/>
          <w:p>
            <w:pPr>
              <w:pStyle w:val="Compact"/>
              <w:jc w:val="left"/>
            </w:pPr>
            <w:r>
              <w:t xml:space="preserve">Réplication synchrone</w:t>
            </w:r>
          </w:p>
        </w:tc>
        <w:tc>
          <w:tcPr/>
          <w:p>
            <w:pPr>
              <w:pStyle w:val="Compact"/>
              <w:jc w:val="left"/>
            </w:pPr>
            <w:r>
              <w:t xml:space="preserve">Possible (distance inférieure à 20 km environ)</w:t>
            </w:r>
          </w:p>
        </w:tc>
        <w:tc>
          <w:tcPr/>
          <w:p>
            <w:pPr>
              <w:pStyle w:val="Compact"/>
              <w:jc w:val="left"/>
            </w:pPr>
            <w:r>
              <w:t xml:space="preserve">Possible (très courte distance)</w:t>
            </w:r>
          </w:p>
        </w:tc>
      </w:tr>
      <w:tr>
        <w:tc>
          <w:tcPr/>
          <w:p>
            <w:pPr>
              <w:pStyle w:val="Compact"/>
              <w:jc w:val="left"/>
            </w:pPr>
            <w:r>
              <w:t xml:space="preserve">Certification</w:t>
            </w:r>
          </w:p>
        </w:tc>
        <w:tc>
          <w:tcPr/>
          <w:p>
            <w:pPr>
              <w:pStyle w:val="Compact"/>
              <w:jc w:val="left"/>
            </w:pPr>
            <w:r>
              <w:t xml:space="preserve">Annoncée Tier III,</w:t>
            </w:r>
            <w:r>
              <w:t xml:space="preserve"> </w:t>
            </w:r>
            <w:r>
              <w:rPr>
                <w:bCs/>
                <w:b/>
              </w:rPr>
              <w:t xml:space="preserve">À vérifier</w:t>
            </w:r>
          </w:p>
        </w:tc>
        <w:tc>
          <w:tcPr/>
          <w:p>
            <w:pPr>
              <w:pStyle w:val="Compact"/>
              <w:jc w:val="left"/>
            </w:pPr>
            <w:r>
              <w:t xml:space="preserve">Tier III Uptime Institute (2017), validité</w:t>
            </w:r>
            <w:r>
              <w:t xml:space="preserve"> </w:t>
            </w:r>
            <w:r>
              <w:rPr>
                <w:bCs/>
                <w:b/>
              </w:rPr>
              <w:t xml:space="preserve">À vérifier</w:t>
            </w:r>
          </w:p>
        </w:tc>
      </w:tr>
      <w:tr>
        <w:tc>
          <w:tcPr/>
          <w:p>
            <w:pPr>
              <w:pStyle w:val="Compact"/>
              <w:jc w:val="left"/>
            </w:pPr>
            <w:r>
              <w:t xml:space="preserve">Alimentation et réseau distincts du site A</w:t>
            </w:r>
          </w:p>
        </w:tc>
        <w:tc>
          <w:tcPr/>
          <w:p>
            <w:pPr>
              <w:pStyle w:val="Compact"/>
              <w:jc w:val="left"/>
            </w:pPr>
            <w:r>
              <w:t xml:space="preserve">Probable,</w:t>
            </w:r>
            <w:r>
              <w:t xml:space="preserve"> </w:t>
            </w:r>
            <w:r>
              <w:rPr>
                <w:bCs/>
                <w:b/>
              </w:rPr>
              <w:t xml:space="preserve">À vérifier</w:t>
            </w:r>
          </w:p>
        </w:tc>
        <w:tc>
          <w:tcPr/>
          <w:p>
            <w:pPr>
              <w:pStyle w:val="Compact"/>
              <w:jc w:val="left"/>
            </w:pPr>
            <w:r>
              <w:rPr>
                <w:bCs/>
                <w:b/>
              </w:rPr>
              <w:t xml:space="preserve">À vérifier</w:t>
            </w:r>
            <w:r>
              <w:t xml:space="preserve"> </w:t>
            </w:r>
            <w:r>
              <w:t xml:space="preserve">: risque de poste électrique commun</w:t>
            </w:r>
          </w:p>
        </w:tc>
      </w:tr>
      <w:tr>
        <w:tc>
          <w:tcPr/>
          <w:p>
            <w:pPr>
              <w:pStyle w:val="Compact"/>
              <w:jc w:val="left"/>
            </w:pPr>
            <w:r>
              <w:t xml:space="preserve">Neutralité vis-à-vis des opérateurs</w:t>
            </w:r>
          </w:p>
        </w:tc>
        <w:tc>
          <w:tcPr/>
          <w:p>
            <w:pPr>
              <w:pStyle w:val="Compact"/>
              <w:jc w:val="left"/>
            </w:pPr>
            <w:r>
              <w:t xml:space="preserve">Centre d'un opérateur télécom : l'accès des autres opérateurs (deuxième lien) doit être garanti par contrat</w:t>
            </w:r>
          </w:p>
        </w:tc>
        <w:tc>
          <w:tcPr/>
          <w:p>
            <w:pPr>
              <w:pStyle w:val="Compact"/>
              <w:jc w:val="left"/>
            </w:pPr>
            <w:r>
              <w:t xml:space="preserve">Idem</w:t>
            </w:r>
          </w:p>
        </w:tc>
      </w:tr>
      <w:tr>
        <w:tc>
          <w:tcPr/>
          <w:p>
            <w:pPr>
              <w:pStyle w:val="Compact"/>
              <w:jc w:val="left"/>
            </w:pPr>
            <w:r>
              <w:t xml:space="preserve">Connectivité internationale</w:t>
            </w:r>
          </w:p>
        </w:tc>
        <w:tc>
          <w:tcPr/>
          <w:p>
            <w:pPr>
              <w:pStyle w:val="Compact"/>
              <w:jc w:val="left"/>
            </w:pPr>
            <w:r>
              <w:t xml:space="preserve">Proximité annoncée du câble 2Africa (À vérifier)</w:t>
            </w:r>
          </w:p>
        </w:tc>
        <w:tc>
          <w:tcPr/>
          <w:p>
            <w:pPr>
              <w:pStyle w:val="Compact"/>
              <w:jc w:val="left"/>
            </w:pPr>
            <w:r>
              <w:t xml:space="preserve">À vérifier</w:t>
            </w:r>
          </w:p>
        </w:tc>
      </w:tr>
    </w:tbl>
    <w:p>
      <w:pPr>
        <w:pStyle w:val="BodyText"/>
      </w:pPr>
      <w:r>
        <w:t xml:space="preserve">Recommandation :</w:t>
      </w:r>
      <w:r>
        <w:t xml:space="preserve"> </w:t>
      </w:r>
      <w:r>
        <w:rPr>
          <w:bCs/>
          <w:b/>
        </w:rPr>
        <w:t xml:space="preserve">Sonatel Rufisque</w:t>
      </w:r>
      <w:r>
        <w:t xml:space="preserve"> </w:t>
      </w:r>
      <w:r>
        <w:t xml:space="preserve">en premier choix pour la séparation géographique,</w:t>
      </w:r>
      <w:r>
        <w:t xml:space="preserve"> </w:t>
      </w:r>
      <w:r>
        <w:rPr>
          <w:bCs/>
          <w:b/>
        </w:rPr>
        <w:t xml:space="preserve">Yas Diamniadio</w:t>
      </w:r>
      <w:r>
        <w:t xml:space="preserve"> </w:t>
      </w:r>
      <w:r>
        <w:t xml:space="preserve">en alternative si la certification et la capacité de Rufisque ne sont pas confirmées. Dans les deux cas, la convention doit garantir l'arrivée d'au moins un opérateur différent de l'exploitant du centre.</w:t>
      </w:r>
    </w:p>
    <w:bookmarkEnd w:id="29"/>
    <w:bookmarkStart w:id="30" w:name="X2ca2ea70e661dd0510388147405e6bbd3d21af0"/>
    <w:p>
      <w:pPr>
        <w:pStyle w:val="Heading4"/>
      </w:pPr>
      <w:r>
        <w:t xml:space="preserve">Site C — coffre de sauvegarde (Recommandation)</w:t>
      </w:r>
    </w:p>
    <w:p>
      <w:pPr>
        <w:pStyle w:val="FirstParagraph"/>
      </w:pPr>
      <w:r>
        <w:t xml:space="preserve">Le site C n'héberge pas de production. Il reçoit :</w:t>
      </w:r>
    </w:p>
    <w:p>
      <w:pPr>
        <w:numPr>
          <w:ilvl w:val="0"/>
          <w:numId w:val="1002"/>
        </w:numPr>
        <w:pStyle w:val="Compact"/>
      </w:pPr>
      <w:r>
        <w:t xml:space="preserve">des copies</w:t>
      </w:r>
      <w:r>
        <w:t xml:space="preserve"> </w:t>
      </w:r>
      <w:r>
        <w:rPr>
          <w:bCs/>
          <w:b/>
        </w:rPr>
        <w:t xml:space="preserve">chiffrées et immuables</w:t>
      </w:r>
      <w:r>
        <w:t xml:space="preserve"> </w:t>
      </w:r>
      <w:r>
        <w:t xml:space="preserve">(stockage objet avec verrouillage en écriture unique, ou appliance de sauvegarde immuable) alimentées en continu depuis A et B ;</w:t>
      </w:r>
    </w:p>
    <w:p>
      <w:pPr>
        <w:numPr>
          <w:ilvl w:val="0"/>
          <w:numId w:val="1002"/>
        </w:numPr>
        <w:pStyle w:val="Compact"/>
      </w:pPr>
      <w:r>
        <w:t xml:space="preserve">des copies</w:t>
      </w:r>
      <w:r>
        <w:t xml:space="preserve"> </w:t>
      </w:r>
      <w:r>
        <w:rPr>
          <w:bCs/>
          <w:b/>
        </w:rPr>
        <w:t xml:space="preserve">hors ligne</w:t>
      </w:r>
      <w:r>
        <w:t xml:space="preserve"> </w:t>
      </w:r>
      <w:r>
        <w:t xml:space="preserve">(bandes ou disques chiffrés déconnectés) renouvelées chaque semaine et conservées dans un coffre ;</w:t>
      </w:r>
    </w:p>
    <w:p>
      <w:pPr>
        <w:numPr>
          <w:ilvl w:val="0"/>
          <w:numId w:val="1002"/>
        </w:numPr>
        <w:pStyle w:val="Compact"/>
      </w:pPr>
      <w:r>
        <w:t xml:space="preserve">les sauvegardes des clés HSM (sous forme chiffrée, partagées entre plusieurs dépositaires) ;</w:t>
      </w:r>
    </w:p>
    <w:p>
      <w:pPr>
        <w:numPr>
          <w:ilvl w:val="0"/>
          <w:numId w:val="1002"/>
        </w:numPr>
        <w:pStyle w:val="Compact"/>
      </w:pPr>
      <w:r>
        <w:t xml:space="preserve">un</w:t>
      </w:r>
      <w:r>
        <w:t xml:space="preserve"> </w:t>
      </w:r>
      <w:r>
        <w:rPr>
          <w:bCs/>
          <w:b/>
        </w:rPr>
        <w:t xml:space="preserve">arbitre</w:t>
      </w:r>
      <w:r>
        <w:t xml:space="preserve"> </w:t>
      </w:r>
      <w:r>
        <w:t xml:space="preserve">léger (témoin de quorum) pour éviter qu'A et B se croient tous deux principaux en cas de coupure entre eux, si la liaison du site C le permet.</w:t>
      </w:r>
    </w:p>
    <w:p>
      <w:pPr>
        <w:pStyle w:val="FirstParagraph"/>
      </w:pPr>
      <w:r>
        <w:t xml:space="preserve">Le site C doit se trouver hors de la zone Dakar–Diamniadio–Rufisque si possible (autre région), dans une installation de l'État ou une installation sécurisée distincte, à identifier avec Sénégal Numérique (</w:t>
      </w:r>
      <w:r>
        <w:rPr>
          <w:bCs/>
          <w:b/>
        </w:rPr>
        <w:t xml:space="preserve">À vérifier</w:t>
      </w:r>
      <w:r>
        <w:t xml:space="preserve">). Aucune copie n'est envoyée à l'étranger.</w:t>
      </w:r>
    </w:p>
    <w:bookmarkEnd w:id="30"/>
    <w:bookmarkEnd w:id="31"/>
    <w:bookmarkStart w:id="32" w:name="modes-de-fonctionnement-par-couche"/>
    <w:p>
      <w:pPr>
        <w:pStyle w:val="Heading3"/>
      </w:pPr>
      <w:r>
        <w:t xml:space="preserve">Modes de fonctionnement par couche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Couche</w:t>
            </w:r>
          </w:p>
        </w:tc>
        <w:tc>
          <w:tcPr/>
          <w:p>
            <w:pPr>
              <w:pStyle w:val="Compact"/>
              <w:jc w:val="left"/>
            </w:pPr>
            <w:r>
              <w:t xml:space="preserve">Mode</w:t>
            </w:r>
          </w:p>
        </w:tc>
        <w:tc>
          <w:tcPr/>
          <w:p>
            <w:pPr>
              <w:pStyle w:val="Compact"/>
              <w:jc w:val="left"/>
            </w:pPr>
            <w:r>
              <w:t xml:space="preserve">Détail (Cible)</w:t>
            </w:r>
          </w:p>
        </w:tc>
      </w:tr>
      <w:tr>
        <w:tc>
          <w:tcPr/>
          <w:p>
            <w:pPr>
              <w:pStyle w:val="Compact"/>
              <w:jc w:val="left"/>
            </w:pPr>
            <w:r>
              <w:t xml:space="preserve">Web (fichiers statiques des plateformes)</w:t>
            </w:r>
          </w:p>
        </w:tc>
        <w:tc>
          <w:tcPr/>
          <w:p>
            <w:pPr>
              <w:pStyle w:val="Compact"/>
              <w:jc w:val="left"/>
            </w:pPr>
            <w:r>
              <w:t xml:space="preserve">Actif-actif A et B</w:t>
            </w:r>
          </w:p>
        </w:tc>
        <w:tc>
          <w:tcPr/>
          <w:p>
            <w:pPr>
              <w:pStyle w:val="Compact"/>
              <w:jc w:val="left"/>
            </w:pPr>
            <w:r>
              <w:t xml:space="preserve">Servi par un niveau web derrière le WAF, dans chaque site</w:t>
            </w:r>
          </w:p>
        </w:tc>
      </w:tr>
      <w:tr>
        <w:tc>
          <w:tcPr/>
          <w:p>
            <w:pPr>
              <w:pStyle w:val="Compact"/>
              <w:jc w:val="left"/>
            </w:pPr>
            <w:r>
              <w:t xml:space="preserve">API WawID</w:t>
            </w:r>
          </w:p>
        </w:tc>
        <w:tc>
          <w:tcPr/>
          <w:p>
            <w:pPr>
              <w:pStyle w:val="Compact"/>
              <w:jc w:val="left"/>
            </w:pPr>
            <w:r>
              <w:t xml:space="preserve">Actif-actif A et B</w:t>
            </w:r>
          </w:p>
        </w:tc>
        <w:tc>
          <w:tcPr/>
          <w:p>
            <w:pPr>
              <w:pStyle w:val="Compact"/>
              <w:jc w:val="left"/>
            </w:pPr>
            <w:r>
              <w:t xml:space="preserve">Conteneurs sans état, au moins trois instances par site ; même code dans les deux sites</w:t>
            </w:r>
          </w:p>
        </w:tc>
      </w:tr>
      <w:tr>
        <w:tc>
          <w:tcPr/>
          <w:p>
            <w:pPr>
              <w:pStyle w:val="Compact"/>
              <w:jc w:val="left"/>
            </w:pPr>
            <w:r>
              <w:t xml:space="preserve">Base de données (PostgreSQL)</w:t>
            </w:r>
          </w:p>
        </w:tc>
        <w:tc>
          <w:tcPr/>
          <w:p>
            <w:pPr>
              <w:pStyle w:val="Compact"/>
              <w:jc w:val="left"/>
            </w:pPr>
            <w:r>
              <w:t xml:space="preserve">Primaire / secours synchrone</w:t>
            </w:r>
          </w:p>
        </w:tc>
        <w:tc>
          <w:tcPr/>
          <w:p>
            <w:pPr>
              <w:pStyle w:val="Compact"/>
              <w:jc w:val="left"/>
            </w:pPr>
            <w:r>
              <w:t xml:space="preserve">Gestion de grappe par Patroni ou équivalent ; primaire en A, réplique locale en A, au moins une réplique</w:t>
            </w:r>
            <w:r>
              <w:t xml:space="preserve"> </w:t>
            </w:r>
            <w:r>
              <w:rPr>
                <w:bCs/>
                <w:b/>
              </w:rPr>
              <w:t xml:space="preserve">synchrone</w:t>
            </w:r>
            <w:r>
              <w:t xml:space="preserve"> </w:t>
            </w:r>
            <w:r>
              <w:t xml:space="preserve">en B (une transaction n'est validée qu'après écriture en B) ; réplication asynchrone et archivage continu des journaux (WAL) vers C</w:t>
            </w:r>
          </w:p>
        </w:tc>
      </w:tr>
      <w:tr>
        <w:tc>
          <w:tcPr/>
          <w:p>
            <w:pPr>
              <w:pStyle w:val="Compact"/>
              <w:jc w:val="left"/>
            </w:pPr>
            <w:r>
              <w:t xml:space="preserve">Stockage objet (biométrie, documents, exports)</w:t>
            </w:r>
          </w:p>
        </w:tc>
        <w:tc>
          <w:tcPr/>
          <w:p>
            <w:pPr>
              <w:pStyle w:val="Compact"/>
              <w:jc w:val="left"/>
            </w:pPr>
            <w:r>
              <w:t xml:space="preserve">Répliqué entre A et B</w:t>
            </w:r>
          </w:p>
        </w:tc>
        <w:tc>
          <w:tcPr/>
          <w:p>
            <w:pPr>
              <w:pStyle w:val="Compact"/>
              <w:jc w:val="left"/>
            </w:pPr>
            <w:r>
              <w:t xml:space="preserve">Compatible S3 (par exemple MinIO ou Ceph), effacement codé dans chaque site, réplication entre sites ; verrouillage d'objet pour les archives</w:t>
            </w:r>
          </w:p>
        </w:tc>
      </w:tr>
      <w:tr>
        <w:tc>
          <w:tcPr/>
          <w:p>
            <w:pPr>
              <w:pStyle w:val="Compact"/>
              <w:jc w:val="left"/>
            </w:pPr>
            <w:r>
              <w:t xml:space="preserve">Bus d'événements (Kafka ou équivalent)</w:t>
            </w:r>
          </w:p>
        </w:tc>
        <w:tc>
          <w:tcPr/>
          <w:p>
            <w:pPr>
              <w:pStyle w:val="Compact"/>
              <w:jc w:val="left"/>
            </w:pPr>
            <w:r>
              <w:t xml:space="preserve">Répliqué</w:t>
            </w:r>
          </w:p>
        </w:tc>
        <w:tc>
          <w:tcPr/>
          <w:p>
            <w:pPr>
              <w:pStyle w:val="Compact"/>
              <w:jc w:val="left"/>
            </w:pPr>
            <w:r>
              <w:t xml:space="preserve">Grappe étendue sur A, B et un arbitre, ou une grappe par site avec réplication ; choix à valider</w:t>
            </w:r>
          </w:p>
        </w:tc>
      </w:tr>
      <w:tr>
        <w:tc>
          <w:tcPr/>
          <w:p>
            <w:pPr>
              <w:pStyle w:val="Compact"/>
              <w:jc w:val="left"/>
            </w:pPr>
            <w:r>
              <w:t xml:space="preserve">Biométrie (ABIS)</w:t>
            </w:r>
          </w:p>
        </w:tc>
        <w:tc>
          <w:tcPr/>
          <w:p>
            <w:pPr>
              <w:pStyle w:val="Compact"/>
              <w:jc w:val="left"/>
            </w:pPr>
            <w:r>
              <w:t xml:space="preserve">Actif / secours</w:t>
            </w:r>
          </w:p>
        </w:tc>
        <w:tc>
          <w:tcPr/>
          <w:p>
            <w:pPr>
              <w:pStyle w:val="Compact"/>
              <w:jc w:val="left"/>
            </w:pPr>
            <w:r>
              <w:t xml:space="preserve">Selon les capacités du fournisseur retenu ; galeries répliquées dans les deux sites</w:t>
            </w:r>
          </w:p>
        </w:tc>
      </w:tr>
      <w:tr>
        <w:tc>
          <w:tcPr/>
          <w:p>
            <w:pPr>
              <w:pStyle w:val="Compact"/>
              <w:jc w:val="left"/>
            </w:pPr>
            <w:r>
              <w:t xml:space="preserve">HSM</w:t>
            </w:r>
          </w:p>
        </w:tc>
        <w:tc>
          <w:tcPr/>
          <w:p>
            <w:pPr>
              <w:pStyle w:val="Compact"/>
              <w:jc w:val="left"/>
            </w:pPr>
            <w:r>
              <w:t xml:space="preserve">Paire par site</w:t>
            </w:r>
          </w:p>
        </w:tc>
        <w:tc>
          <w:tcPr/>
          <w:p>
            <w:pPr>
              <w:pStyle w:val="Compact"/>
              <w:jc w:val="left"/>
            </w:pPr>
            <w:r>
              <w:t xml:space="preserve">Clés de signature des QR, des sessions et d'ancrage du journal d'audit ; clés de chiffrement des sauvegardes ; clés répliquées par cérémonie</w:t>
            </w:r>
          </w:p>
        </w:tc>
      </w:tr>
      <w:tr>
        <w:tc>
          <w:tcPr/>
          <w:p>
            <w:pPr>
              <w:pStyle w:val="Compact"/>
              <w:jc w:val="left"/>
            </w:pPr>
            <w:r>
              <w:t xml:space="preserve">Orchestration</w:t>
            </w:r>
          </w:p>
        </w:tc>
        <w:tc>
          <w:tcPr/>
          <w:p>
            <w:pPr>
              <w:pStyle w:val="Compact"/>
              <w:jc w:val="left"/>
            </w:pPr>
            <w:r>
              <w:t xml:space="preserve">Une grappe Kubernetes (ou équivalent) par site</w:t>
            </w:r>
          </w:p>
        </w:tc>
        <w:tc>
          <w:tcPr/>
          <w:p>
            <w:pPr>
              <w:pStyle w:val="Compact"/>
              <w:jc w:val="left"/>
            </w:pPr>
            <w:r>
              <w:t xml:space="preserve">Déploiements identiques pilotés depuis un dépôt de configuration unique</w:t>
            </w:r>
          </w:p>
        </w:tc>
      </w:tr>
      <w:tr>
        <w:tc>
          <w:tcPr/>
          <w:p>
            <w:pPr>
              <w:pStyle w:val="Compact"/>
              <w:jc w:val="left"/>
            </w:pPr>
            <w:r>
              <w:t xml:space="preserve">Identité (OIDC, MFA)</w:t>
            </w:r>
          </w:p>
        </w:tc>
        <w:tc>
          <w:tcPr/>
          <w:p>
            <w:pPr>
              <w:pStyle w:val="Compact"/>
              <w:jc w:val="left"/>
            </w:pPr>
            <w:r>
              <w:t xml:space="preserve">Actif-actif</w:t>
            </w:r>
          </w:p>
        </w:tc>
        <w:tc>
          <w:tcPr/>
          <w:p>
            <w:pPr>
              <w:pStyle w:val="Compact"/>
              <w:jc w:val="left"/>
            </w:pPr>
            <w:r>
              <w:t xml:space="preserve">Annuaire et fournisseur d'identité répliqués (À développer)</w:t>
            </w:r>
          </w:p>
        </w:tc>
      </w:tr>
      <w:tr>
        <w:tc>
          <w:tcPr/>
          <w:p>
            <w:pPr>
              <w:pStyle w:val="Compact"/>
              <w:jc w:val="left"/>
            </w:pPr>
            <w:r>
              <w:t xml:space="preserve">Répartition globale</w:t>
            </w:r>
          </w:p>
        </w:tc>
        <w:tc>
          <w:tcPr/>
          <w:p>
            <w:pPr>
              <w:pStyle w:val="Compact"/>
              <w:jc w:val="left"/>
            </w:pPr>
            <w:r>
              <w:t xml:space="preserve">DNS avec bascule et contrôle de santé, ou adresse virtuelle annoncée par les deux sites (anycast ou double raccordement)</w:t>
            </w:r>
          </w:p>
        </w:tc>
        <w:tc>
          <w:tcPr/>
          <w:p>
            <w:pPr>
              <w:pStyle w:val="Compact"/>
              <w:jc w:val="left"/>
            </w:pPr>
            <w:r>
              <w:t xml:space="preserve">TTL courts ; bascule automatique sur perte de santé d'un site</w:t>
            </w:r>
          </w:p>
        </w:tc>
      </w:tr>
      <w:tr>
        <w:tc>
          <w:tcPr/>
          <w:p>
            <w:pPr>
              <w:pStyle w:val="Compact"/>
              <w:jc w:val="left"/>
            </w:pPr>
            <w:r>
              <w:t xml:space="preserve">Protection</w:t>
            </w:r>
          </w:p>
        </w:tc>
        <w:tc>
          <w:tcPr/>
          <w:p>
            <w:pPr>
              <w:pStyle w:val="Compact"/>
              <w:jc w:val="left"/>
            </w:pPr>
            <w:r>
              <w:t xml:space="preserve">WAF, anti-DDoS, PKI</w:t>
            </w:r>
          </w:p>
        </w:tc>
        <w:tc>
          <w:tcPr/>
          <w:p>
            <w:pPr>
              <w:pStyle w:val="Compact"/>
              <w:jc w:val="left"/>
            </w:pPr>
            <w:r>
              <w:t xml:space="preserve">WAF dans chaque site ; protection volumétrique fournie par les opérateurs (À vérifier) ; PKI de l'État ou dédiée pour les certificats serveurs, agents et équipements</w:t>
            </w:r>
          </w:p>
        </w:tc>
      </w:tr>
    </w:tbl>
    <w:bookmarkEnd w:id="32"/>
    <w:bookmarkStart w:id="33" w:name="réseau"/>
    <w:p>
      <w:pPr>
        <w:pStyle w:val="Heading3"/>
      </w:pPr>
      <w:r>
        <w:t xml:space="preserve">Réseau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Liaison</w:t>
            </w:r>
          </w:p>
        </w:tc>
        <w:tc>
          <w:tcPr/>
          <w:p>
            <w:pPr>
              <w:pStyle w:val="Compact"/>
              <w:jc w:val="left"/>
            </w:pPr>
            <w:r>
              <w:t xml:space="preserve">Recommandation</w:t>
            </w:r>
          </w:p>
        </w:tc>
      </w:tr>
      <w:tr>
        <w:tc>
          <w:tcPr/>
          <w:p>
            <w:pPr>
              <w:pStyle w:val="Compact"/>
              <w:jc w:val="left"/>
            </w:pPr>
            <w:r>
              <w:t xml:space="preserve">Internet des sites A et B</w:t>
            </w:r>
          </w:p>
        </w:tc>
        <w:tc>
          <w:tcPr/>
          <w:p>
            <w:pPr>
              <w:pStyle w:val="Compact"/>
              <w:jc w:val="left"/>
            </w:pPr>
            <w:r>
              <w:t xml:space="preserve">Deux opérateurs différents par site (par exemple deux parmi Sonatel/Orange, Free, Expresso, Yas), chemins physiques distincts ; exigence de diversité, sans préjuger du choix des opérateurs</w:t>
            </w:r>
          </w:p>
        </w:tc>
      </w:tr>
      <w:tr>
        <w:tc>
          <w:tcPr/>
          <w:p>
            <w:pPr>
              <w:pStyle w:val="Compact"/>
              <w:jc w:val="left"/>
            </w:pPr>
            <w:r>
              <w:t xml:space="preserve">Liaison A ↔ B</w:t>
            </w:r>
          </w:p>
        </w:tc>
        <w:tc>
          <w:tcPr/>
          <w:p>
            <w:pPr>
              <w:pStyle w:val="Compact"/>
              <w:jc w:val="left"/>
            </w:pPr>
            <w:r>
              <w:t xml:space="preserve">Fibre noire ou liaison de niveau 2 ou 3 dédiée, sur</w:t>
            </w:r>
            <w:r>
              <w:t xml:space="preserve"> </w:t>
            </w:r>
            <w:r>
              <w:rPr>
                <w:bCs/>
                <w:b/>
              </w:rPr>
              <w:t xml:space="preserve">deux chemins physiques distincts</w:t>
            </w:r>
            <w:r>
              <w:t xml:space="preserve">, chiffrée ; latence mesurée avant la mise en service de la réplication synchrone</w:t>
            </w:r>
          </w:p>
        </w:tc>
      </w:tr>
      <w:tr>
        <w:tc>
          <w:tcPr/>
          <w:p>
            <w:pPr>
              <w:pStyle w:val="Compact"/>
              <w:jc w:val="left"/>
            </w:pPr>
            <w:r>
              <w:t xml:space="preserve">Liaison vers C</w:t>
            </w:r>
          </w:p>
        </w:tc>
        <w:tc>
          <w:tcPr/>
          <w:p>
            <w:pPr>
              <w:pStyle w:val="Compact"/>
              <w:jc w:val="left"/>
            </w:pPr>
            <w:r>
              <w:t xml:space="preserve">Liaison chiffrée dédiée, à débit suffisant pour l'archivage continu ; les copies hors ligne sont transportées physiquement selon une procédure sécurisée</w:t>
            </w:r>
          </w:p>
        </w:tc>
      </w:tr>
      <w:tr>
        <w:tc>
          <w:tcPr/>
          <w:p>
            <w:pPr>
              <w:pStyle w:val="Compact"/>
              <w:jc w:val="left"/>
            </w:pPr>
            <w:r>
              <w:t xml:space="preserve">Postes frontière</w:t>
            </w:r>
          </w:p>
        </w:tc>
        <w:tc>
          <w:tcPr/>
          <w:p>
            <w:pPr>
              <w:pStyle w:val="Compact"/>
              <w:jc w:val="left"/>
            </w:pPr>
            <w:r>
              <w:t xml:space="preserve">MPLS ou VPN chiffré vers A et B (opérateur 1), secours 4G ou VSAT (opérateur 2) ; bascule automatique</w:t>
            </w:r>
          </w:p>
        </w:tc>
      </w:tr>
      <w:tr>
        <w:tc>
          <w:tcPr/>
          <w:p>
            <w:pPr>
              <w:pStyle w:val="Compact"/>
              <w:jc w:val="left"/>
            </w:pPr>
            <w:r>
              <w:t xml:space="preserve">Compagnies aériennes</w:t>
            </w:r>
          </w:p>
        </w:tc>
        <w:tc>
          <w:tcPr/>
          <w:p>
            <w:pPr>
              <w:pStyle w:val="Compact"/>
              <w:jc w:val="left"/>
            </w:pPr>
            <w:r>
              <w:t xml:space="preserve">Internet, via le WAF, sur la passerelle</w:t>
            </w:r>
            <w:r>
              <w:t xml:space="preserve"> </w:t>
            </w:r>
            <w:r>
              <w:rPr>
                <w:rStyle w:val="VerbatimChar"/>
              </w:rPr>
              <w:t xml:space="preserve">POST /api/carrier/messages</w:t>
            </w:r>
            <w:r>
              <w:t xml:space="preserve"> </w:t>
            </w:r>
            <w:r>
              <w:t xml:space="preserve">avec la clé</w:t>
            </w:r>
            <w:r>
              <w:t xml:space="preserve"> </w:t>
            </w:r>
            <w:r>
              <w:rPr>
                <w:rStyle w:val="VerbatimChar"/>
              </w:rPr>
              <w:t xml:space="preserve">X-Carrier-Key</w:t>
            </w:r>
            <w:r>
              <w:t xml:space="preserve"> </w:t>
            </w:r>
            <w:r>
              <w:t xml:space="preserve">(Existant) ; certificats clients (mTLS) envisagés (Recommandation)</w:t>
            </w:r>
          </w:p>
        </w:tc>
      </w:tr>
      <w:tr>
        <w:tc>
          <w:tcPr/>
          <w:p>
            <w:pPr>
              <w:pStyle w:val="Compact"/>
              <w:jc w:val="left"/>
            </w:pPr>
            <w:r>
              <w:t xml:space="preserve">Interpol</w:t>
            </w:r>
          </w:p>
        </w:tc>
        <w:tc>
          <w:tcPr/>
          <w:p>
            <w:pPr>
              <w:pStyle w:val="Compact"/>
              <w:jc w:val="left"/>
            </w:pPr>
            <w:r>
              <w:t xml:space="preserve">Raccordement I-24/7 via le BCN Interpol de Dakar, selon les modalités définies avec Interpol (</w:t>
            </w:r>
            <w:r>
              <w:rPr>
                <w:bCs/>
                <w:b/>
              </w:rPr>
              <w:t xml:space="preserve">À vérifier</w:t>
            </w:r>
            <w:r>
              <w:t xml:space="preserve">)</w:t>
            </w:r>
          </w:p>
        </w:tc>
      </w:tr>
      <w:tr>
        <w:tc>
          <w:tcPr/>
          <w:p>
            <w:pPr>
              <w:pStyle w:val="Compact"/>
              <w:jc w:val="left"/>
            </w:pPr>
            <w:r>
              <w:t xml:space="preserve">WAPIS, FPR, DAF (état civil, passeports)</w:t>
            </w:r>
          </w:p>
        </w:tc>
        <w:tc>
          <w:tcPr/>
          <w:p>
            <w:pPr>
              <w:pStyle w:val="Compact"/>
              <w:jc w:val="left"/>
            </w:pPr>
            <w:r>
              <w:t xml:space="preserve">Liaisons privées ou VPN avec les services détenteurs, après accords (</w:t>
            </w:r>
            <w:r>
              <w:rPr>
                <w:bCs/>
                <w:b/>
              </w:rPr>
              <w:t xml:space="preserve">À vérifier</w:t>
            </w:r>
            <w:r>
              <w:t xml:space="preserve">)</w:t>
            </w:r>
          </w:p>
        </w:tc>
      </w:tr>
      <w:tr>
        <w:tc>
          <w:tcPr/>
          <w:p>
            <w:pPr>
              <w:pStyle w:val="Compact"/>
              <w:jc w:val="left"/>
            </w:pPr>
            <w:r>
              <w:t xml:space="preserve">DGCPT / Trésor</w:t>
            </w:r>
          </w:p>
        </w:tc>
        <w:tc>
          <w:tcPr/>
          <w:p>
            <w:pPr>
              <w:pStyle w:val="Compact"/>
              <w:jc w:val="left"/>
            </w:pPr>
            <w:r>
              <w:t xml:space="preserve">Accès des agents du Trésor par VPN ou réseau privé de l'administration ; échanges de fichiers de rapprochement chiffrés</w:t>
            </w:r>
          </w:p>
        </w:tc>
      </w:tr>
      <w:tr>
        <w:tc>
          <w:tcPr/>
          <w:p>
            <w:pPr>
              <w:pStyle w:val="Compact"/>
              <w:jc w:val="left"/>
            </w:pPr>
            <w:r>
              <w:t xml:space="preserve">Administration de la plateforme</w:t>
            </w:r>
          </w:p>
        </w:tc>
        <w:tc>
          <w:tcPr/>
          <w:p>
            <w:pPr>
              <w:pStyle w:val="Compact"/>
              <w:jc w:val="left"/>
            </w:pPr>
            <w:r>
              <w:t xml:space="preserve">Uniquement par bastion, depuis le réseau d'administration (voir la section 5)</w:t>
            </w:r>
          </w:p>
        </w:tc>
      </w:tr>
    </w:tbl>
    <w:bookmarkEnd w:id="33"/>
    <w:bookmarkStart w:id="34" w:name="exposition-et-domaines"/>
    <w:p>
      <w:pPr>
        <w:pStyle w:val="Heading3"/>
      </w:pPr>
      <w:r>
        <w:t xml:space="preserve">Exposition et domaines</w:t>
      </w:r>
    </w:p>
    <w:p>
      <w:pPr>
        <w:pStyle w:val="FirstParagraph"/>
      </w:pPr>
      <w:r>
        <w:t xml:space="preserve">Aujourd'hui, les quatre plateformes sont servies sous un même domaine, avec des chemins distincts (Existant) : espace DPAF</w:t>
      </w:r>
      <w:r>
        <w:t xml:space="preserve"> </w:t>
      </w:r>
      <w:r>
        <w:rPr>
          <w:rStyle w:val="VerbatimChar"/>
        </w:rPr>
        <w:t xml:space="preserve">/dpaf/</w:t>
      </w:r>
      <w:r>
        <w:t xml:space="preserve">, plateforme voyageurs</w:t>
      </w:r>
      <w:r>
        <w:t xml:space="preserve"> </w:t>
      </w:r>
      <w:r>
        <w:rPr>
          <w:rStyle w:val="VerbatimChar"/>
        </w:rPr>
        <w:t xml:space="preserve">/</w:t>
      </w:r>
      <w:r>
        <w:t xml:space="preserve">, applications mobiles</w:t>
      </w:r>
      <w:r>
        <w:t xml:space="preserve"> </w:t>
      </w:r>
      <w:r>
        <w:rPr>
          <w:rStyle w:val="VerbatimChar"/>
        </w:rPr>
        <w:t xml:space="preserve">/app/</w:t>
      </w:r>
      <w:r>
        <w:t xml:space="preserve">, plateforme des compagnies</w:t>
      </w:r>
      <w:r>
        <w:t xml:space="preserve"> </w:t>
      </w:r>
      <w:r>
        <w:rPr>
          <w:rStyle w:val="VerbatimChar"/>
        </w:rPr>
        <w:t xml:space="preserve">/compagnies/</w:t>
      </w:r>
      <w:r>
        <w:t xml:space="preserve">, kiosque</w:t>
      </w:r>
      <w:r>
        <w:t xml:space="preserve"> </w:t>
      </w:r>
      <w:r>
        <w:rPr>
          <w:rStyle w:val="VerbatimChar"/>
        </w:rPr>
        <w:t xml:space="preserve">/gate/</w:t>
      </w:r>
      <w:r>
        <w:t xml:space="preserve">. En production, chaque plateforme reçoit son domaine (Recommandation)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Plateforme</w:t>
            </w:r>
          </w:p>
        </w:tc>
        <w:tc>
          <w:tcPr/>
          <w:p>
            <w:pPr>
              <w:pStyle w:val="Compact"/>
              <w:jc w:val="left"/>
            </w:pPr>
            <w:r>
              <w:t xml:space="preserve">Domaine indicatif</w:t>
            </w:r>
          </w:p>
        </w:tc>
        <w:tc>
          <w:tcPr/>
          <w:p>
            <w:pPr>
              <w:pStyle w:val="Compact"/>
              <w:jc w:val="left"/>
            </w:pPr>
            <w:r>
              <w:t xml:space="preserve">Exposition</w:t>
            </w:r>
          </w:p>
        </w:tc>
      </w:tr>
      <w:tr>
        <w:tc>
          <w:tcPr/>
          <w:p>
            <w:pPr>
              <w:pStyle w:val="Compact"/>
              <w:jc w:val="left"/>
            </w:pPr>
            <w:r>
              <w:t xml:space="preserve">Voyageurs (portail, aide, e-Visa, pré-enrôlement eGate)</w:t>
            </w:r>
          </w:p>
        </w:tc>
        <w:tc>
          <w:tcPr/>
          <w:p>
            <w:pPr>
              <w:pStyle w:val="Compact"/>
              <w:jc w:val="left"/>
            </w:pPr>
            <w:r>
              <w:rPr>
                <w:rStyle w:val="VerbatimChar"/>
              </w:rPr>
              <w:t xml:space="preserve">www.&lt;domaine&gt;</w:t>
            </w:r>
            <w:r>
              <w:t xml:space="preserve"> </w:t>
            </w:r>
            <w:r>
              <w:t xml:space="preserve">ou</w:t>
            </w:r>
            <w:r>
              <w:t xml:space="preserve"> </w:t>
            </w:r>
            <w:r>
              <w:rPr>
                <w:rStyle w:val="VerbatimChar"/>
              </w:rPr>
              <w:t xml:space="preserve">voyageurs.&lt;domaine&gt;</w:t>
            </w:r>
          </w:p>
        </w:tc>
        <w:tc>
          <w:tcPr/>
          <w:p>
            <w:pPr>
              <w:pStyle w:val="Compact"/>
              <w:jc w:val="left"/>
            </w:pPr>
            <w:r>
              <w:t xml:space="preserve">Internet, derrière le WAF</w:t>
            </w:r>
          </w:p>
        </w:tc>
      </w:tr>
      <w:tr>
        <w:tc>
          <w:tcPr/>
          <w:p>
            <w:pPr>
              <w:pStyle w:val="Compact"/>
              <w:jc w:val="left"/>
            </w:pPr>
            <w:r>
              <w:t xml:space="preserve">Applications mobiles et leur API</w:t>
            </w:r>
          </w:p>
        </w:tc>
        <w:tc>
          <w:tcPr/>
          <w:p>
            <w:pPr>
              <w:pStyle w:val="Compact"/>
              <w:jc w:val="left"/>
            </w:pPr>
            <w:r>
              <w:rPr>
                <w:rStyle w:val="VerbatimChar"/>
              </w:rPr>
              <w:t xml:space="preserve">app.&lt;domaine&gt;</w:t>
            </w:r>
            <w:r>
              <w:t xml:space="preserve"> </w:t>
            </w:r>
            <w:r>
              <w:t xml:space="preserve">(page) et</w:t>
            </w:r>
            <w:r>
              <w:t xml:space="preserve"> </w:t>
            </w:r>
            <w:r>
              <w:rPr>
                <w:rStyle w:val="VerbatimChar"/>
              </w:rPr>
              <w:t xml:space="preserve">api.&lt;domaine&gt;</w:t>
            </w:r>
            <w:r>
              <w:t xml:space="preserve"> </w:t>
            </w:r>
            <w:r>
              <w:t xml:space="preserve">(routes publiques)</w:t>
            </w:r>
          </w:p>
        </w:tc>
        <w:tc>
          <w:tcPr/>
          <w:p>
            <w:pPr>
              <w:pStyle w:val="Compact"/>
              <w:jc w:val="left"/>
            </w:pPr>
            <w:r>
              <w:t xml:space="preserve">Internet, derrière le WAF</w:t>
            </w:r>
          </w:p>
        </w:tc>
      </w:tr>
      <w:tr>
        <w:tc>
          <w:tcPr/>
          <w:p>
            <w:pPr>
              <w:pStyle w:val="Compact"/>
              <w:jc w:val="left"/>
            </w:pPr>
            <w:r>
              <w:t xml:space="preserve">Compagnies aériennes (plateforme et passerelle)</w:t>
            </w:r>
          </w:p>
        </w:tc>
        <w:tc>
          <w:tcPr/>
          <w:p>
            <w:pPr>
              <w:pStyle w:val="Compact"/>
              <w:jc w:val="left"/>
            </w:pPr>
            <w:r>
              <w:rPr>
                <w:rStyle w:val="VerbatimChar"/>
              </w:rPr>
              <w:t xml:space="preserve">compagnies.&lt;domaine&gt;</w:t>
            </w:r>
          </w:p>
        </w:tc>
        <w:tc>
          <w:tcPr/>
          <w:p>
            <w:pPr>
              <w:pStyle w:val="Compact"/>
              <w:jc w:val="left"/>
            </w:pPr>
            <w:r>
              <w:t xml:space="preserve">Internet, derrière le WAF, limitation de débit</w:t>
            </w:r>
          </w:p>
        </w:tc>
      </w:tr>
      <w:tr>
        <w:tc>
          <w:tcPr/>
          <w:p>
            <w:pPr>
              <w:pStyle w:val="Compact"/>
              <w:jc w:val="left"/>
            </w:pPr>
            <w:r>
              <w:t xml:space="preserve">Espace DPAF</w:t>
            </w:r>
          </w:p>
        </w:tc>
        <w:tc>
          <w:tcPr/>
          <w:p>
            <w:pPr>
              <w:pStyle w:val="Compact"/>
              <w:jc w:val="left"/>
            </w:pPr>
            <w:r>
              <w:rPr>
                <w:rStyle w:val="VerbatimChar"/>
              </w:rPr>
              <w:t xml:space="preserve">dpaf.&lt;domaine&gt;</w:t>
            </w:r>
          </w:p>
        </w:tc>
        <w:tc>
          <w:tcPr/>
          <w:p>
            <w:pPr>
              <w:pStyle w:val="Compact"/>
              <w:jc w:val="left"/>
            </w:pPr>
            <w:r>
              <w:t xml:space="preserve">Réseau privé ou VPN uniquement, jamais sur Internet</w:t>
            </w:r>
          </w:p>
        </w:tc>
      </w:tr>
      <w:tr>
        <w:tc>
          <w:tcPr/>
          <w:p>
            <w:pPr>
              <w:pStyle w:val="Compact"/>
              <w:jc w:val="left"/>
            </w:pPr>
            <w:r>
              <w:t xml:space="preserve">Kiosques eGate</w:t>
            </w:r>
          </w:p>
        </w:tc>
        <w:tc>
          <w:tcPr/>
          <w:p>
            <w:pPr>
              <w:pStyle w:val="Compact"/>
              <w:jc w:val="left"/>
            </w:pPr>
            <w:r>
              <w:t xml:space="preserve">Servis par le serveur de poste sur le réseau du poste</w:t>
            </w:r>
          </w:p>
        </w:tc>
        <w:tc>
          <w:tcPr/>
          <w:p>
            <w:pPr>
              <w:pStyle w:val="Compact"/>
              <w:jc w:val="left"/>
            </w:pPr>
            <w:r>
              <w:t xml:space="preserve">Réseau du poste uniquement</w:t>
            </w:r>
          </w:p>
        </w:tc>
      </w:tr>
    </w:tbl>
    <w:p>
      <w:pPr>
        <w:pStyle w:val="BodyText"/>
      </w:pPr>
      <w:r>
        <w:t xml:space="preserve">Le code appelle l'API par des chemins relatifs (</w:t>
      </w:r>
      <w:r>
        <w:rPr>
          <w:rStyle w:val="VerbatimChar"/>
        </w:rPr>
        <w:t xml:space="preserve">/api/...</w:t>
      </w:r>
      <w:r>
        <w:t xml:space="preserve">) : chaque domaine route donc</w:t>
      </w:r>
      <w:r>
        <w:t xml:space="preserve"> </w:t>
      </w:r>
      <w:r>
        <w:rPr>
          <w:rStyle w:val="VerbatimChar"/>
        </w:rPr>
        <w:t xml:space="preserve">/api/*</w:t>
      </w:r>
      <w:r>
        <w:t xml:space="preserve"> </w:t>
      </w:r>
      <w:r>
        <w:t xml:space="preserve">vers le niveau API. Les liens entre plateformes et les ressources partagées (</w:t>
      </w:r>
      <w:r>
        <w:rPr>
          <w:rStyle w:val="VerbatimChar"/>
        </w:rPr>
        <w:t xml:space="preserve">/shared/</w:t>
      </w:r>
      <w:r>
        <w:t xml:space="preserve">) sont à vérifier lors de la migration. Le cookie de session étant lié au domaine, séparer les domaines sépare aussi les sessions entre plateformes.</w:t>
      </w:r>
    </w:p>
    <w:bookmarkEnd w:id="34"/>
    <w:bookmarkStart w:id="35" w:name="postes-frontière-edge"/>
    <w:p>
      <w:pPr>
        <w:pStyle w:val="Heading3"/>
      </w:pPr>
      <w:r>
        <w:t xml:space="preserve">Postes frontière (edge)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Cible (À développer)</w:t>
            </w:r>
          </w:p>
        </w:tc>
      </w:tr>
      <w:tr>
        <w:tc>
          <w:tcPr/>
          <w:p>
            <w:pPr>
              <w:pStyle w:val="Compact"/>
              <w:jc w:val="left"/>
            </w:pPr>
            <w:r>
              <w:t xml:space="preserve">Serveurs</w:t>
            </w:r>
          </w:p>
        </w:tc>
        <w:tc>
          <w:tcPr/>
          <w:p>
            <w:pPr>
              <w:pStyle w:val="Compact"/>
              <w:jc w:val="left"/>
            </w:pPr>
            <w:r>
              <w:t xml:space="preserve">Grappe de deux nœuds par poste (AIBD, PDK, ZIG, ROS, KID, KAR) ; capacité de l'AIBD à dimensionner pour la pointe</w:t>
            </w:r>
          </w:p>
        </w:tc>
      </w:tr>
      <w:tr>
        <w:tc>
          <w:tcPr/>
          <w:p>
            <w:pPr>
              <w:pStyle w:val="Compact"/>
              <w:jc w:val="left"/>
            </w:pPr>
            <w:r>
              <w:t xml:space="preserve">Données locales</w:t>
            </w:r>
          </w:p>
        </w:tc>
        <w:tc>
          <w:tcPr/>
          <w:p>
            <w:pPr>
              <w:pStyle w:val="Compact"/>
              <w:jc w:val="left"/>
            </w:pPr>
            <w:r>
              <w:t xml:space="preserve">Copie chiffrée des listes de surveillance, des e-Visa approuvés et des listes de certificats CSCA, synchronisée en moins d'une minute</w:t>
            </w:r>
          </w:p>
        </w:tc>
      </w:tr>
      <w:tr>
        <w:tc>
          <w:tcPr/>
          <w:p>
            <w:pPr>
              <w:pStyle w:val="Compact"/>
              <w:jc w:val="left"/>
            </w:pPr>
            <w:r>
              <w:t xml:space="preserve">Décision</w:t>
            </w:r>
          </w:p>
        </w:tc>
        <w:tc>
          <w:tcPr/>
          <w:p>
            <w:pPr>
              <w:pStyle w:val="Compact"/>
              <w:jc w:val="left"/>
            </w:pPr>
            <w:r>
              <w:t xml:space="preserve">Moteur</w:t>
            </w:r>
            <w:r>
              <w:t xml:space="preserve"> </w:t>
            </w:r>
            <w:r>
              <w:rPr>
                <w:rStyle w:val="VerbatimChar"/>
              </w:rPr>
              <w:t xml:space="preserve">public/shared/engine.js</w:t>
            </w:r>
            <w:r>
              <w:t xml:space="preserve"> </w:t>
            </w:r>
            <w:r>
              <w:t xml:space="preserve">exécuté localement ; comparaison biométrique 1:1 locale</w:t>
            </w:r>
          </w:p>
        </w:tc>
      </w:tr>
      <w:tr>
        <w:tc>
          <w:tcPr/>
          <w:p>
            <w:pPr>
              <w:pStyle w:val="Compact"/>
              <w:jc w:val="left"/>
            </w:pPr>
            <w:r>
              <w:t xml:space="preserve">Passages</w:t>
            </w:r>
          </w:p>
        </w:tc>
        <w:tc>
          <w:tcPr/>
          <w:p>
            <w:pPr>
              <w:pStyle w:val="Compact"/>
              <w:jc w:val="left"/>
            </w:pPr>
            <w:r>
              <w:t xml:space="preserve">Enregistrés localement puis retransmis au central (stockage et retransmission), avec identifiant unique pour éviter les doublons</w:t>
            </w:r>
          </w:p>
        </w:tc>
      </w:tr>
      <w:tr>
        <w:tc>
          <w:tcPr/>
          <w:p>
            <w:pPr>
              <w:pStyle w:val="Compact"/>
              <w:jc w:val="left"/>
            </w:pPr>
            <w:r>
              <w:t xml:space="preserve">Équipements rattachés</w:t>
            </w:r>
          </w:p>
        </w:tc>
        <w:tc>
          <w:tcPr/>
          <w:p>
            <w:pPr>
              <w:pStyle w:val="Compact"/>
              <w:jc w:val="left"/>
            </w:pPr>
            <w:r>
              <w:t xml:space="preserve">Guichets, eGates, kiosques, CCTV, lecteurs de plaques ; ils dialoguent avec le serveur de poste, qui dialogue avec le central</w:t>
            </w:r>
          </w:p>
        </w:tc>
      </w:tr>
      <w:tr>
        <w:tc>
          <w:tcPr/>
          <w:p>
            <w:pPr>
              <w:pStyle w:val="Compact"/>
              <w:jc w:val="left"/>
            </w:pPr>
            <w:r>
              <w:t xml:space="preserve">Énergie</w:t>
            </w:r>
          </w:p>
        </w:tc>
        <w:tc>
          <w:tcPr/>
          <w:p>
            <w:pPr>
              <w:pStyle w:val="Compact"/>
              <w:jc w:val="left"/>
            </w:pPr>
            <w:r>
              <w:t xml:space="preserve">Onduleur et groupe électrogène ; autonomie dimensionnée selon les coupures observées</w:t>
            </w:r>
          </w:p>
        </w:tc>
      </w:tr>
      <w:tr>
        <w:tc>
          <w:tcPr/>
          <w:p>
            <w:pPr>
              <w:pStyle w:val="Compact"/>
              <w:jc w:val="left"/>
            </w:pPr>
            <w:r>
              <w:t xml:space="preserve">Réseau</w:t>
            </w:r>
          </w:p>
        </w:tc>
        <w:tc>
          <w:tcPr/>
          <w:p>
            <w:pPr>
              <w:pStyle w:val="Compact"/>
              <w:jc w:val="left"/>
            </w:pPr>
            <w:r>
              <w:t xml:space="preserve">Deux liaisons (principale et secours), pare-feu local, segmentation</w:t>
            </w:r>
          </w:p>
        </w:tc>
      </w:tr>
    </w:tbl>
    <w:p>
      <w:pPr>
        <w:pStyle w:val="BodyText"/>
      </w:pPr>
      <w:r>
        <w:t xml:space="preserve">Ce qui ne fonctionne pas sans liaison : interrogation en temps réel des sources externes (Interpol, WAPIS), recherche biométrique 1:N, réception des nouveaux messages API/PNR, connaissance des e-Visa approuvés ou révoqués après la coupure. Ces limites sont compensées par la copie locale et le rapprochement au retour de la liaison.</w:t>
      </w:r>
    </w:p>
    <w:bookmarkEnd w:id="35"/>
    <w:bookmarkEnd w:id="36"/>
    <w:bookmarkStart w:id="42" w:name="Xf3c5dce32f13d0d952ff855314c824616ce0898"/>
    <w:p>
      <w:pPr>
        <w:pStyle w:val="Heading2"/>
      </w:pPr>
      <w:r>
        <w:t xml:space="preserve">3. Stratégie de sauvegarde</w:t>
      </w:r>
    </w:p>
    <w:bookmarkStart w:id="37" w:name="règle-3-2-1-1-0"/>
    <w:p>
      <w:pPr>
        <w:pStyle w:val="Heading3"/>
      </w:pPr>
      <w:r>
        <w:t xml:space="preserve">Règle 3-2-1-1-0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Mise en œuvre (Cible)</w:t>
            </w:r>
          </w:p>
        </w:tc>
      </w:tr>
      <w:tr>
        <w:tc>
          <w:tcPr/>
          <w:p>
            <w:pPr>
              <w:pStyle w:val="Compact"/>
              <w:jc w:val="left"/>
            </w:pPr>
            <w:r>
              <w:t xml:space="preserve">3 copies</w:t>
            </w:r>
          </w:p>
        </w:tc>
        <w:tc>
          <w:tcPr/>
          <w:p>
            <w:pPr>
              <w:pStyle w:val="Compact"/>
              <w:jc w:val="left"/>
            </w:pPr>
            <w:r>
              <w:t xml:space="preserve">Production (A), réplique (B), sauvegardes (A, B et C)</w:t>
            </w:r>
          </w:p>
        </w:tc>
      </w:tr>
      <w:tr>
        <w:tc>
          <w:tcPr/>
          <w:p>
            <w:pPr>
              <w:pStyle w:val="Compact"/>
              <w:jc w:val="left"/>
            </w:pPr>
            <w:r>
              <w:t xml:space="preserve">2 supports</w:t>
            </w:r>
          </w:p>
        </w:tc>
        <w:tc>
          <w:tcPr/>
          <w:p>
            <w:pPr>
              <w:pStyle w:val="Compact"/>
              <w:jc w:val="left"/>
            </w:pPr>
            <w:r>
              <w:t xml:space="preserve">Disque (stockage de sauvegarde) et support amovible (bande ou disque hors ligne)</w:t>
            </w:r>
          </w:p>
        </w:tc>
      </w:tr>
      <w:tr>
        <w:tc>
          <w:tcPr/>
          <w:p>
            <w:pPr>
              <w:pStyle w:val="Compact"/>
              <w:jc w:val="left"/>
            </w:pPr>
            <w:r>
              <w:t xml:space="preserve">1 copie hors site</w:t>
            </w:r>
          </w:p>
        </w:tc>
        <w:tc>
          <w:tcPr/>
          <w:p>
            <w:pPr>
              <w:pStyle w:val="Compact"/>
              <w:jc w:val="left"/>
            </w:pPr>
            <w:r>
              <w:t xml:space="preserve">Site C</w:t>
            </w:r>
          </w:p>
        </w:tc>
      </w:tr>
      <w:tr>
        <w:tc>
          <w:tcPr/>
          <w:p>
            <w:pPr>
              <w:pStyle w:val="Compact"/>
              <w:jc w:val="left"/>
            </w:pPr>
            <w:r>
              <w:t xml:space="preserve">1 copie immuable ou hors ligne</w:t>
            </w:r>
          </w:p>
        </w:tc>
        <w:tc>
          <w:tcPr/>
          <w:p>
            <w:pPr>
              <w:pStyle w:val="Compact"/>
              <w:jc w:val="left"/>
            </w:pPr>
            <w:r>
              <w:t xml:space="preserve">Stockage à écriture unique au site C et copie hors ligne hebdomadaire en coffre</w:t>
            </w:r>
          </w:p>
        </w:tc>
      </w:tr>
      <w:tr>
        <w:tc>
          <w:tcPr/>
          <w:p>
            <w:pPr>
              <w:pStyle w:val="Compact"/>
              <w:jc w:val="left"/>
            </w:pPr>
            <w:r>
              <w:t xml:space="preserve">0 erreur</w:t>
            </w:r>
          </w:p>
        </w:tc>
        <w:tc>
          <w:tcPr/>
          <w:p>
            <w:pPr>
              <w:pStyle w:val="Compact"/>
              <w:jc w:val="left"/>
            </w:pPr>
            <w:r>
              <w:t xml:space="preserve">Vérification automatique de chaque sauvegarde (sommes de contrôle, restauration d'essai) ; toute erreur ouvre un incident</w:t>
            </w:r>
          </w:p>
        </w:tc>
      </w:tr>
    </w:tbl>
    <w:bookmarkEnd w:id="37"/>
    <w:bookmarkStart w:id="38" w:name="calendrier"/>
    <w:p>
      <w:pPr>
        <w:pStyle w:val="Heading3"/>
      </w:pPr>
      <w:r>
        <w:t xml:space="preserve">Calendrier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Fréquence</w:t>
            </w:r>
          </w:p>
        </w:tc>
        <w:tc>
          <w:tcPr/>
          <w:p>
            <w:pPr>
              <w:pStyle w:val="Compact"/>
              <w:jc w:val="left"/>
            </w:pPr>
            <w:r>
              <w:t xml:space="preserve">Destination</w:t>
            </w:r>
          </w:p>
        </w:tc>
      </w:tr>
      <w:tr>
        <w:tc>
          <w:tcPr/>
          <w:p>
            <w:pPr>
              <w:pStyle w:val="Compact"/>
              <w:jc w:val="left"/>
            </w:pPr>
            <w:r>
              <w:t xml:space="preserve">Journaux de transactions PostgreSQL (WAL)</w:t>
            </w:r>
          </w:p>
        </w:tc>
        <w:tc>
          <w:tcPr/>
          <w:p>
            <w:pPr>
              <w:pStyle w:val="Compact"/>
              <w:jc w:val="left"/>
            </w:pPr>
            <w:r>
              <w:t xml:space="preserve">Archivage continu, restauration à un instant donné (PITR)</w:t>
            </w:r>
          </w:p>
        </w:tc>
        <w:tc>
          <w:tcPr/>
          <w:p>
            <w:pPr>
              <w:pStyle w:val="Compact"/>
              <w:jc w:val="left"/>
            </w:pPr>
            <w:r>
              <w:t xml:space="preserve">A, B et C</w:t>
            </w:r>
          </w:p>
        </w:tc>
      </w:tr>
      <w:tr>
        <w:tc>
          <w:tcPr/>
          <w:p>
            <w:pPr>
              <w:pStyle w:val="Compact"/>
              <w:jc w:val="left"/>
            </w:pPr>
            <w:r>
              <w:t xml:space="preserve">Base de données complète</w:t>
            </w:r>
          </w:p>
        </w:tc>
        <w:tc>
          <w:tcPr/>
          <w:p>
            <w:pPr>
              <w:pStyle w:val="Compact"/>
              <w:jc w:val="left"/>
            </w:pPr>
            <w:r>
              <w:t xml:space="preserve">Quotidienne</w:t>
            </w:r>
          </w:p>
        </w:tc>
        <w:tc>
          <w:tcPr/>
          <w:p>
            <w:pPr>
              <w:pStyle w:val="Compact"/>
              <w:jc w:val="left"/>
            </w:pPr>
            <w:r>
              <w:t xml:space="preserve">A et B, copie vers C</w:t>
            </w:r>
          </w:p>
        </w:tc>
      </w:tr>
      <w:tr>
        <w:tc>
          <w:tcPr/>
          <w:p>
            <w:pPr>
              <w:pStyle w:val="Compact"/>
              <w:jc w:val="left"/>
            </w:pPr>
            <w:r>
              <w:t xml:space="preserve">Base de données incrémentale</w:t>
            </w:r>
          </w:p>
        </w:tc>
        <w:tc>
          <w:tcPr/>
          <w:p>
            <w:pPr>
              <w:pStyle w:val="Compact"/>
              <w:jc w:val="left"/>
            </w:pPr>
            <w:r>
              <w:t xml:space="preserve">Horaire</w:t>
            </w:r>
          </w:p>
        </w:tc>
        <w:tc>
          <w:tcPr/>
          <w:p>
            <w:pPr>
              <w:pStyle w:val="Compact"/>
              <w:jc w:val="left"/>
            </w:pPr>
            <w:r>
              <w:t xml:space="preserve">A et B, copie vers C</w:t>
            </w:r>
          </w:p>
        </w:tc>
      </w:tr>
      <w:tr>
        <w:tc>
          <w:tcPr/>
          <w:p>
            <w:pPr>
              <w:pStyle w:val="Compact"/>
              <w:jc w:val="left"/>
            </w:pPr>
            <w:r>
              <w:t xml:space="preserve">Stockage objet (biométrie, documents)</w:t>
            </w:r>
          </w:p>
        </w:tc>
        <w:tc>
          <w:tcPr/>
          <w:p>
            <w:pPr>
              <w:pStyle w:val="Compact"/>
              <w:jc w:val="left"/>
            </w:pPr>
            <w:r>
              <w:t xml:space="preserve">Réplication continue A ↔ B ; versionnement ; copie quotidienne</w:t>
            </w:r>
          </w:p>
        </w:tc>
        <w:tc>
          <w:tcPr/>
          <w:p>
            <w:pPr>
              <w:pStyle w:val="Compact"/>
              <w:jc w:val="left"/>
            </w:pPr>
            <w:r>
              <w:t xml:space="preserve">C</w:t>
            </w:r>
          </w:p>
        </w:tc>
      </w:tr>
      <w:tr>
        <w:tc>
          <w:tcPr/>
          <w:p>
            <w:pPr>
              <w:pStyle w:val="Compact"/>
              <w:jc w:val="left"/>
            </w:pPr>
            <w:r>
              <w:t xml:space="preserve">Journal d'audit</w:t>
            </w:r>
          </w:p>
        </w:tc>
        <w:tc>
          <w:tcPr/>
          <w:p>
            <w:pPr>
              <w:pStyle w:val="Compact"/>
              <w:jc w:val="left"/>
            </w:pPr>
            <w:r>
              <w:t xml:space="preserve">Export quotidien de la chaîne SHA-256 et de la tête de chaîne signée par HSM</w:t>
            </w:r>
          </w:p>
        </w:tc>
        <w:tc>
          <w:tcPr/>
          <w:p>
            <w:pPr>
              <w:pStyle w:val="Compact"/>
              <w:jc w:val="left"/>
            </w:pPr>
            <w:r>
              <w:t xml:space="preserve">C, en plus de la base</w:t>
            </w:r>
          </w:p>
        </w:tc>
      </w:tr>
      <w:tr>
        <w:tc>
          <w:tcPr/>
          <w:p>
            <w:pPr>
              <w:pStyle w:val="Compact"/>
              <w:jc w:val="left"/>
            </w:pPr>
            <w:r>
              <w:t xml:space="preserve">Configuration (Kubernetes, réseau, pare-feu)</w:t>
            </w:r>
          </w:p>
        </w:tc>
        <w:tc>
          <w:tcPr/>
          <w:p>
            <w:pPr>
              <w:pStyle w:val="Compact"/>
              <w:jc w:val="left"/>
            </w:pPr>
            <w:r>
              <w:t xml:space="preserve">À chaque changement, depuis le dépôt de configuration</w:t>
            </w:r>
          </w:p>
        </w:tc>
        <w:tc>
          <w:tcPr/>
          <w:p>
            <w:pPr>
              <w:pStyle w:val="Compact"/>
              <w:jc w:val="left"/>
            </w:pPr>
            <w:r>
              <w:t xml:space="preserve">A, B et C</w:t>
            </w:r>
          </w:p>
        </w:tc>
      </w:tr>
      <w:tr>
        <w:tc>
          <w:tcPr/>
          <w:p>
            <w:pPr>
              <w:pStyle w:val="Compact"/>
              <w:jc w:val="left"/>
            </w:pPr>
            <w:r>
              <w:t xml:space="preserve">Copie hors ligne</w:t>
            </w:r>
          </w:p>
        </w:tc>
        <w:tc>
          <w:tcPr/>
          <w:p>
            <w:pPr>
              <w:pStyle w:val="Compact"/>
              <w:jc w:val="left"/>
            </w:pPr>
            <w:r>
              <w:t xml:space="preserve">Hebdomadaire</w:t>
            </w:r>
          </w:p>
        </w:tc>
        <w:tc>
          <w:tcPr/>
          <w:p>
            <w:pPr>
              <w:pStyle w:val="Compact"/>
              <w:jc w:val="left"/>
            </w:pPr>
            <w:r>
              <w:t xml:space="preserve">Coffre du site C</w:t>
            </w:r>
          </w:p>
        </w:tc>
      </w:tr>
      <w:tr>
        <w:tc>
          <w:tcPr/>
          <w:p>
            <w:pPr>
              <w:pStyle w:val="Compact"/>
              <w:jc w:val="left"/>
            </w:pPr>
            <w:r>
              <w:t xml:space="preserve">Clés HSM</w:t>
            </w:r>
          </w:p>
        </w:tc>
        <w:tc>
          <w:tcPr/>
          <w:p>
            <w:pPr>
              <w:pStyle w:val="Compact"/>
              <w:jc w:val="left"/>
            </w:pPr>
            <w:r>
              <w:t xml:space="preserve">À chaque cérémonie de clés</w:t>
            </w:r>
          </w:p>
        </w:tc>
        <w:tc>
          <w:tcPr/>
          <w:p>
            <w:pPr>
              <w:pStyle w:val="Compact"/>
              <w:jc w:val="left"/>
            </w:pPr>
            <w:r>
              <w:t xml:space="preserve">Sauvegarde chiffrée partagée entre dépositaires, au site C et dans un second coffre</w:t>
            </w:r>
          </w:p>
        </w:tc>
      </w:tr>
    </w:tbl>
    <w:bookmarkEnd w:id="38"/>
    <w:bookmarkStart w:id="39" w:name="conservation"/>
    <w:p>
      <w:pPr>
        <w:pStyle w:val="Heading3"/>
      </w:pPr>
      <w:r>
        <w:t xml:space="preserve">Conservation</w:t>
      </w:r>
    </w:p>
    <w:p>
      <w:pPr>
        <w:pStyle w:val="FirstParagraph"/>
      </w:pPr>
      <w:r>
        <w:t xml:space="preserve">La durée de conservation des données affichée dans WawID est de</w:t>
      </w:r>
      <w:r>
        <w:t xml:space="preserve"> </w:t>
      </w:r>
      <w:r>
        <w:rPr>
          <w:bCs/>
          <w:b/>
        </w:rPr>
        <w:t xml:space="preserve">5 ans</w:t>
      </w:r>
      <w:r>
        <w:t xml:space="preserve"> </w:t>
      </w:r>
      <w:r>
        <w:t xml:space="preserve">(paramètre</w:t>
      </w:r>
      <w:r>
        <w:t xml:space="preserve"> </w:t>
      </w:r>
      <w:r>
        <w:rPr>
          <w:rStyle w:val="VerbatimChar"/>
        </w:rPr>
        <w:t xml:space="preserve">retentionDays</w:t>
      </w:r>
      <w:r>
        <w:t xml:space="preserve">, 1 825 jours, Existant). La durée légale applicable est</w:t>
      </w:r>
      <w:r>
        <w:t xml:space="preserve"> </w:t>
      </w:r>
      <w:r>
        <w:rPr>
          <w:bCs/>
          <w:b/>
        </w:rPr>
        <w:t xml:space="preserve">À vérifier</w:t>
      </w:r>
      <w:r>
        <w:t xml:space="preserve"> </w:t>
      </w:r>
      <w:r>
        <w:t xml:space="preserve">avec la CDP et la DPAF. Les sauvegardes suivent la même règle : une donnée purgée de la production doit disparaître des sauvegardes au plus tard à l'expiration de leur propre durée de conservation. Le démonstrateur n'applique</w:t>
      </w:r>
      <w:r>
        <w:t xml:space="preserve"> </w:t>
      </w:r>
      <w:r>
        <w:rPr>
          <w:bCs/>
          <w:b/>
        </w:rPr>
        <w:t xml:space="preserve">aucune purge automatique</w:t>
      </w:r>
      <w:r>
        <w:t xml:space="preserve"> </w:t>
      </w:r>
      <w:r>
        <w:t xml:space="preserve">: la tâche de purge et d'archivage est</w:t>
      </w:r>
      <w:r>
        <w:t xml:space="preserve"> </w:t>
      </w:r>
      <w:r>
        <w:rPr>
          <w:bCs/>
          <w:b/>
        </w:rPr>
        <w:t xml:space="preserve">À développer</w:t>
      </w:r>
      <w:r>
        <w:t xml:space="preserve">.</w:t>
      </w:r>
    </w:p>
    <w:bookmarkEnd w:id="39"/>
    <w:bookmarkStart w:id="40" w:name="chiffrement-et-clés"/>
    <w:p>
      <w:pPr>
        <w:pStyle w:val="Heading3"/>
      </w:pPr>
      <w:r>
        <w:t xml:space="preserve">Chiffrement et clés</w:t>
      </w:r>
    </w:p>
    <w:p>
      <w:pPr>
        <w:numPr>
          <w:ilvl w:val="0"/>
          <w:numId w:val="1003"/>
        </w:numPr>
        <w:pStyle w:val="Compact"/>
      </w:pPr>
      <w:r>
        <w:t xml:space="preserve">Toutes les sauvegardes sont chiffrées avant de quitter le serveur qui les produit.</w:t>
      </w:r>
    </w:p>
    <w:p>
      <w:pPr>
        <w:numPr>
          <w:ilvl w:val="0"/>
          <w:numId w:val="1003"/>
        </w:numPr>
        <w:pStyle w:val="Compact"/>
      </w:pPr>
      <w:r>
        <w:t xml:space="preserve">Les clés de chiffrement des sauvegardes sont protégées par les HSM (clé maîtresse jamais exportée en clair).</w:t>
      </w:r>
    </w:p>
    <w:p>
      <w:pPr>
        <w:numPr>
          <w:ilvl w:val="0"/>
          <w:numId w:val="1003"/>
        </w:numPr>
        <w:pStyle w:val="Compact"/>
      </w:pPr>
      <w:r>
        <w:t xml:space="preserve">La restauration exige l'intervention de deux personnes habilitées (principe des quatre yeux).</w:t>
      </w:r>
    </w:p>
    <w:bookmarkEnd w:id="40"/>
    <w:bookmarkStart w:id="41" w:name="tests-de-restauration"/>
    <w:p>
      <w:pPr>
        <w:pStyle w:val="Heading3"/>
      </w:pPr>
      <w:r>
        <w:t xml:space="preserve">Tests de restauration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Fréquence</w:t>
            </w:r>
          </w:p>
        </w:tc>
        <w:tc>
          <w:tcPr/>
          <w:p>
            <w:pPr>
              <w:pStyle w:val="Compact"/>
              <w:jc w:val="left"/>
            </w:pPr>
            <w:r>
              <w:t xml:space="preserve">Critère</w:t>
            </w:r>
          </w:p>
        </w:tc>
      </w:tr>
      <w:tr>
        <w:tc>
          <w:tcPr/>
          <w:p>
            <w:pPr>
              <w:pStyle w:val="Compact"/>
              <w:jc w:val="left"/>
            </w:pPr>
            <w:r>
              <w:t xml:space="preserve">Restauration d'une base complète en préproduction</w:t>
            </w:r>
          </w:p>
        </w:tc>
        <w:tc>
          <w:tcPr/>
          <w:p>
            <w:pPr>
              <w:pStyle w:val="Compact"/>
              <w:jc w:val="left"/>
            </w:pPr>
            <w:r>
              <w:t xml:space="preserve">Trimestrielle</w:t>
            </w:r>
          </w:p>
        </w:tc>
        <w:tc>
          <w:tcPr/>
          <w:p>
            <w:pPr>
              <w:pStyle w:val="Compact"/>
              <w:jc w:val="left"/>
            </w:pPr>
            <w:r>
              <w:t xml:space="preserve">Base cohérente, durée mesurée, RPO constaté</w:t>
            </w:r>
          </w:p>
        </w:tc>
      </w:tr>
      <w:tr>
        <w:tc>
          <w:tcPr/>
          <w:p>
            <w:pPr>
              <w:pStyle w:val="Compact"/>
              <w:jc w:val="left"/>
            </w:pPr>
            <w:r>
              <w:t xml:space="preserve">Restauration à un instant donné</w:t>
            </w:r>
          </w:p>
        </w:tc>
        <w:tc>
          <w:tcPr/>
          <w:p>
            <w:pPr>
              <w:pStyle w:val="Compact"/>
              <w:jc w:val="left"/>
            </w:pPr>
            <w:r>
              <w:t xml:space="preserve">Trimestrielle</w:t>
            </w:r>
          </w:p>
        </w:tc>
        <w:tc>
          <w:tcPr/>
          <w:p>
            <w:pPr>
              <w:pStyle w:val="Compact"/>
              <w:jc w:val="left"/>
            </w:pPr>
            <w:r>
              <w:t xml:space="preserve">Retour à l'instant demandé</w:t>
            </w:r>
          </w:p>
        </w:tc>
      </w:tr>
      <w:tr>
        <w:tc>
          <w:tcPr/>
          <w:p>
            <w:pPr>
              <w:pStyle w:val="Compact"/>
              <w:jc w:val="left"/>
            </w:pPr>
            <w:r>
              <w:t xml:space="preserve">Restauration depuis le site C (copie immuable)</w:t>
            </w:r>
          </w:p>
        </w:tc>
        <w:tc>
          <w:tcPr/>
          <w:p>
            <w:pPr>
              <w:pStyle w:val="Compact"/>
              <w:jc w:val="left"/>
            </w:pPr>
            <w:r>
              <w:t xml:space="preserve">Semestrielle, lors des exercices</w:t>
            </w:r>
          </w:p>
        </w:tc>
        <w:tc>
          <w:tcPr/>
          <w:p>
            <w:pPr>
              <w:pStyle w:val="Compact"/>
              <w:jc w:val="left"/>
            </w:pPr>
            <w:r>
              <w:t xml:space="preserve">Reconstruction possible sans A ni B</w:t>
            </w:r>
          </w:p>
        </w:tc>
      </w:tr>
      <w:tr>
        <w:tc>
          <w:tcPr/>
          <w:p>
            <w:pPr>
              <w:pStyle w:val="Compact"/>
              <w:jc w:val="left"/>
            </w:pPr>
            <w:r>
              <w:t xml:space="preserve">Vérification du journal d'audit restauré</w:t>
            </w:r>
          </w:p>
        </w:tc>
        <w:tc>
          <w:tcPr/>
          <w:p>
            <w:pPr>
              <w:pStyle w:val="Compact"/>
              <w:jc w:val="left"/>
            </w:pPr>
            <w:r>
              <w:t xml:space="preserve">À chaque restauration</w:t>
            </w:r>
          </w:p>
        </w:tc>
        <w:tc>
          <w:tcPr/>
          <w:p>
            <w:pPr>
              <w:pStyle w:val="Compact"/>
              <w:jc w:val="left"/>
            </w:pPr>
            <w:r>
              <w:rPr>
                <w:bCs/>
                <w:b/>
              </w:rPr>
              <w:t xml:space="preserve">Chaîne intègre</w:t>
            </w:r>
            <w:r>
              <w:t xml:space="preserve"> </w:t>
            </w:r>
            <w:r>
              <w:t xml:space="preserve">et tête de chaîne conforme à la dernière signature HSM</w:t>
            </w:r>
          </w:p>
        </w:tc>
      </w:tr>
    </w:tbl>
    <w:bookmarkEnd w:id="41"/>
    <w:bookmarkEnd w:id="42"/>
    <w:bookmarkStart w:id="49" w:name="Xd3eb1eec79bd09be75465f414864e2aa5d8824f"/>
    <w:p>
      <w:pPr>
        <w:pStyle w:val="Heading2"/>
      </w:pPr>
      <w:r>
        <w:t xml:space="preserve">4. Haute disponibilité et reprise après sinistre</w:t>
      </w:r>
    </w:p>
    <w:bookmarkStart w:id="43" w:name="scénarios-de-défaillance"/>
    <w:p>
      <w:pPr>
        <w:pStyle w:val="Heading3"/>
      </w:pPr>
      <w:r>
        <w:t xml:space="preserve">Scénarios de défaillance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Scénario</w:t>
            </w:r>
          </w:p>
        </w:tc>
        <w:tc>
          <w:tcPr/>
          <w:p>
            <w:pPr>
              <w:pStyle w:val="Compact"/>
              <w:jc w:val="left"/>
            </w:pPr>
            <w:r>
              <w:t xml:space="preserve">Détection</w:t>
            </w:r>
          </w:p>
        </w:tc>
        <w:tc>
          <w:tcPr/>
          <w:p>
            <w:pPr>
              <w:pStyle w:val="Compact"/>
              <w:jc w:val="left"/>
            </w:pPr>
            <w:r>
              <w:t xml:space="preserve">Décision</w:t>
            </w:r>
          </w:p>
        </w:tc>
        <w:tc>
          <w:tcPr/>
          <w:p>
            <w:pPr>
              <w:pStyle w:val="Compact"/>
              <w:jc w:val="left"/>
            </w:pPr>
            <w:r>
              <w:t xml:space="preserve">RTO visé</w:t>
            </w:r>
          </w:p>
        </w:tc>
        <w:tc>
          <w:tcPr/>
          <w:p>
            <w:pPr>
              <w:pStyle w:val="Compact"/>
              <w:jc w:val="left"/>
            </w:pPr>
            <w:r>
              <w:t xml:space="preserve">RPO visé</w:t>
            </w:r>
          </w:p>
        </w:tc>
        <w:tc>
          <w:tcPr/>
          <w:p>
            <w:pPr>
              <w:pStyle w:val="Compact"/>
              <w:jc w:val="left"/>
            </w:pPr>
            <w:r>
              <w:t xml:space="preserve">Actions principales</w:t>
            </w:r>
          </w:p>
        </w:tc>
      </w:tr>
      <w:tr>
        <w:tc>
          <w:tcPr/>
          <w:p>
            <w:pPr>
              <w:pStyle w:val="Compact"/>
              <w:jc w:val="left"/>
            </w:pPr>
            <w:r>
              <w:t xml:space="preserve">Perte d'un nœud (serveur, conteneur)</w:t>
            </w:r>
          </w:p>
        </w:tc>
        <w:tc>
          <w:tcPr/>
          <w:p>
            <w:pPr>
              <w:pStyle w:val="Compact"/>
              <w:jc w:val="left"/>
            </w:pPr>
            <w:r>
              <w:t xml:space="preserve">Supervision automatique</w:t>
            </w:r>
          </w:p>
        </w:tc>
        <w:tc>
          <w:tcPr/>
          <w:p>
            <w:pPr>
              <w:pStyle w:val="Compact"/>
              <w:jc w:val="left"/>
            </w:pPr>
            <w:r>
              <w:t xml:space="preserve">Automatique</w:t>
            </w:r>
          </w:p>
        </w:tc>
        <w:tc>
          <w:tcPr/>
          <w:p>
            <w:pPr>
              <w:pStyle w:val="Compact"/>
              <w:jc w:val="left"/>
            </w:pPr>
            <w:r>
              <w:t xml:space="preserve">Quelques minutes</w:t>
            </w:r>
          </w:p>
        </w:tc>
        <w:tc>
          <w:tcPr/>
          <w:p>
            <w:pPr>
              <w:pStyle w:val="Compact"/>
              <w:jc w:val="left"/>
            </w:pPr>
            <w:r>
              <w:t xml:space="preserve">0</w:t>
            </w:r>
          </w:p>
        </w:tc>
        <w:tc>
          <w:tcPr/>
          <w:p>
            <w:pPr>
              <w:pStyle w:val="Compact"/>
              <w:jc w:val="left"/>
            </w:pPr>
            <w:r>
              <w:t xml:space="preserve">Redémarrage ou reprise par les autres instances ; remplacement du nœud</w:t>
            </w:r>
          </w:p>
        </w:tc>
      </w:tr>
      <w:tr>
        <w:tc>
          <w:tcPr/>
          <w:p>
            <w:pPr>
              <w:pStyle w:val="Compact"/>
              <w:jc w:val="left"/>
            </w:pPr>
            <w:r>
              <w:t xml:space="preserve">Perte d'une baie ou d'une salle dans un site</w:t>
            </w:r>
          </w:p>
        </w:tc>
        <w:tc>
          <w:tcPr/>
          <w:p>
            <w:pPr>
              <w:pStyle w:val="Compact"/>
              <w:jc w:val="left"/>
            </w:pPr>
            <w:r>
              <w:t xml:space="preserve">Supervision</w:t>
            </w:r>
          </w:p>
        </w:tc>
        <w:tc>
          <w:tcPr/>
          <w:p>
            <w:pPr>
              <w:pStyle w:val="Compact"/>
              <w:jc w:val="left"/>
            </w:pPr>
            <w:r>
              <w:t xml:space="preserve">Automatique, puis responsable d'exploitation</w:t>
            </w:r>
          </w:p>
        </w:tc>
        <w:tc>
          <w:tcPr/>
          <w:p>
            <w:pPr>
              <w:pStyle w:val="Compact"/>
              <w:jc w:val="left"/>
            </w:pPr>
            <w:r>
              <w:t xml:space="preserve">Moins de 15 min</w:t>
            </w:r>
          </w:p>
        </w:tc>
        <w:tc>
          <w:tcPr/>
          <w:p>
            <w:pPr>
              <w:pStyle w:val="Compact"/>
              <w:jc w:val="left"/>
            </w:pPr>
            <w:r>
              <w:t xml:space="preserve">0</w:t>
            </w:r>
          </w:p>
        </w:tc>
        <w:tc>
          <w:tcPr/>
          <w:p>
            <w:pPr>
              <w:pStyle w:val="Compact"/>
              <w:jc w:val="left"/>
            </w:pPr>
            <w:r>
              <w:t xml:space="preserve">Bascule de la base vers la réplique locale ou distante ; capacité absorbée par l'autre site</w:t>
            </w:r>
          </w:p>
        </w:tc>
      </w:tr>
      <w:tr>
        <w:tc>
          <w:tcPr/>
          <w:p>
            <w:pPr>
              <w:pStyle w:val="Compact"/>
              <w:jc w:val="left"/>
            </w:pPr>
            <w:r>
              <w:t xml:space="preserve">Perte du site A</w:t>
            </w:r>
          </w:p>
        </w:tc>
        <w:tc>
          <w:tcPr/>
          <w:p>
            <w:pPr>
              <w:pStyle w:val="Compact"/>
              <w:jc w:val="left"/>
            </w:pPr>
            <w:r>
              <w:t xml:space="preserve">Supervision et arbitre</w:t>
            </w:r>
          </w:p>
        </w:tc>
        <w:tc>
          <w:tcPr/>
          <w:p>
            <w:pPr>
              <w:pStyle w:val="Compact"/>
              <w:jc w:val="left"/>
            </w:pPr>
            <w:r>
              <w:t xml:space="preserve">Automatique pour la base si l'arbitre confirme ; sinon décision de la cellule de crise</w:t>
            </w:r>
          </w:p>
        </w:tc>
        <w:tc>
          <w:tcPr/>
          <w:p>
            <w:pPr>
              <w:pStyle w:val="Compact"/>
              <w:jc w:val="left"/>
            </w:pPr>
            <w:r>
              <w:t xml:space="preserve">≤ 1 h</w:t>
            </w:r>
          </w:p>
        </w:tc>
        <w:tc>
          <w:tcPr/>
          <w:p>
            <w:pPr>
              <w:pStyle w:val="Compact"/>
              <w:jc w:val="left"/>
            </w:pPr>
            <w:r>
              <w:t xml:space="preserve">≤ 5 min (0 si réplication synchrone saine)</w:t>
            </w:r>
          </w:p>
        </w:tc>
        <w:tc>
          <w:tcPr/>
          <w:p>
            <w:pPr>
              <w:pStyle w:val="Compact"/>
              <w:jc w:val="left"/>
            </w:pPr>
            <w:r>
              <w:t xml:space="preserve">Promotion de la réplique de B ; DNS ou adresse virtuelle vers B ; vérification du journal d'audit ; information des postes</w:t>
            </w:r>
          </w:p>
        </w:tc>
      </w:tr>
      <w:tr>
        <w:tc>
          <w:tcPr/>
          <w:p>
            <w:pPr>
              <w:pStyle w:val="Compact"/>
              <w:jc w:val="left"/>
            </w:pPr>
            <w:r>
              <w:t xml:space="preserve">Perte du site B</w:t>
            </w:r>
          </w:p>
        </w:tc>
        <w:tc>
          <w:tcPr/>
          <w:p>
            <w:pPr>
              <w:pStyle w:val="Compact"/>
              <w:jc w:val="left"/>
            </w:pPr>
            <w:r>
              <w:t xml:space="preserve">Supervision</w:t>
            </w:r>
          </w:p>
        </w:tc>
        <w:tc>
          <w:tcPr/>
          <w:p>
            <w:pPr>
              <w:pStyle w:val="Compact"/>
              <w:jc w:val="left"/>
            </w:pPr>
            <w:r>
              <w:t xml:space="preserve">Automatique</w:t>
            </w:r>
          </w:p>
        </w:tc>
        <w:tc>
          <w:tcPr/>
          <w:p>
            <w:pPr>
              <w:pStyle w:val="Compact"/>
              <w:jc w:val="left"/>
            </w:pPr>
            <w:r>
              <w:t xml:space="preserve">Aucun arrêt (A reste primaire)</w:t>
            </w:r>
          </w:p>
        </w:tc>
        <w:tc>
          <w:tcPr/>
          <w:p>
            <w:pPr>
              <w:pStyle w:val="Compact"/>
              <w:jc w:val="left"/>
            </w:pPr>
            <w:r>
              <w:t xml:space="preserve">0</w:t>
            </w:r>
          </w:p>
        </w:tc>
        <w:tc>
          <w:tcPr/>
          <w:p>
            <w:pPr>
              <w:pStyle w:val="Compact"/>
              <w:jc w:val="left"/>
            </w:pPr>
            <w:r>
              <w:t xml:space="preserve">La réplication synchrone passe en mode dégradé (asynchrone vers C) ; alerte ; restauration de B</w:t>
            </w:r>
          </w:p>
        </w:tc>
      </w:tr>
      <w:tr>
        <w:tc>
          <w:tcPr/>
          <w:p>
            <w:pPr>
              <w:pStyle w:val="Compact"/>
              <w:jc w:val="left"/>
            </w:pPr>
            <w:r>
              <w:t xml:space="preserve">Indisponibilité des deux sites centraux</w:t>
            </w:r>
          </w:p>
        </w:tc>
        <w:tc>
          <w:tcPr/>
          <w:p>
            <w:pPr>
              <w:pStyle w:val="Compact"/>
              <w:jc w:val="left"/>
            </w:pPr>
            <w:r>
              <w:t xml:space="preserve">Supervision des postes</w:t>
            </w:r>
          </w:p>
        </w:tc>
        <w:tc>
          <w:tcPr/>
          <w:p>
            <w:pPr>
              <w:pStyle w:val="Compact"/>
              <w:jc w:val="left"/>
            </w:pPr>
            <w:r>
              <w:t xml:space="preserve">Cellule de crise</w:t>
            </w:r>
          </w:p>
        </w:tc>
        <w:tc>
          <w:tcPr/>
          <w:p>
            <w:pPr>
              <w:pStyle w:val="Compact"/>
              <w:jc w:val="left"/>
            </w:pPr>
            <w:r>
              <w:t xml:space="preserve">Reconstruction : à définir</w:t>
            </w:r>
          </w:p>
        </w:tc>
        <w:tc>
          <w:tcPr/>
          <w:p>
            <w:pPr>
              <w:pStyle w:val="Compact"/>
              <w:jc w:val="left"/>
            </w:pPr>
            <w:r>
              <w:t xml:space="preserve">Dernière copie reçue par C</w:t>
            </w:r>
          </w:p>
        </w:tc>
        <w:tc>
          <w:tcPr/>
          <w:p>
            <w:pPr>
              <w:pStyle w:val="Compact"/>
              <w:jc w:val="left"/>
            </w:pPr>
            <w:r>
              <w:t xml:space="preserve">Postes en mode hors ligne ; reconstruction depuis C ; resynchronisation des passages en file</w:t>
            </w:r>
          </w:p>
        </w:tc>
      </w:tr>
      <w:tr>
        <w:tc>
          <w:tcPr/>
          <w:p>
            <w:pPr>
              <w:pStyle w:val="Compact"/>
              <w:jc w:val="left"/>
            </w:pPr>
            <w:r>
              <w:t xml:space="preserve">Coupure de liaison d'un poste</w:t>
            </w:r>
          </w:p>
        </w:tc>
        <w:tc>
          <w:tcPr/>
          <w:p>
            <w:pPr>
              <w:pStyle w:val="Compact"/>
              <w:jc w:val="left"/>
            </w:pPr>
            <w:r>
              <w:t xml:space="preserve">Serveur de poste, supervision</w:t>
            </w:r>
          </w:p>
        </w:tc>
        <w:tc>
          <w:tcPr/>
          <w:p>
            <w:pPr>
              <w:pStyle w:val="Compact"/>
              <w:jc w:val="left"/>
            </w:pPr>
            <w:r>
              <w:t xml:space="preserve">Automatique</w:t>
            </w:r>
          </w:p>
        </w:tc>
        <w:tc>
          <w:tcPr/>
          <w:p>
            <w:pPr>
              <w:pStyle w:val="Compact"/>
              <w:jc w:val="left"/>
            </w:pPr>
            <w:r>
              <w:t xml:space="preserve">Bascule sur la liaison de secours en quelques minutes</w:t>
            </w:r>
          </w:p>
        </w:tc>
        <w:tc>
          <w:tcPr/>
          <w:p>
            <w:pPr>
              <w:pStyle w:val="Compact"/>
              <w:jc w:val="left"/>
            </w:pPr>
            <w:r>
              <w:t xml:space="preserve">0 (passages en file)</w:t>
            </w:r>
          </w:p>
        </w:tc>
        <w:tc>
          <w:tcPr/>
          <w:p>
            <w:pPr>
              <w:pStyle w:val="Compact"/>
              <w:jc w:val="left"/>
            </w:pPr>
            <w:r>
              <w:t xml:space="preserve">Secours 4G/VSAT ; sinon mode hors ligne ; resynchronisation au retour</w:t>
            </w:r>
          </w:p>
        </w:tc>
      </w:tr>
      <w:tr>
        <w:tc>
          <w:tcPr/>
          <w:p>
            <w:pPr>
              <w:pStyle w:val="Compact"/>
              <w:jc w:val="left"/>
            </w:pPr>
            <w:r>
              <w:t xml:space="preserve">Panne d'un HSM</w:t>
            </w:r>
          </w:p>
        </w:tc>
        <w:tc>
          <w:tcPr/>
          <w:p>
            <w:pPr>
              <w:pStyle w:val="Compact"/>
              <w:jc w:val="left"/>
            </w:pPr>
            <w:r>
              <w:t xml:space="preserve">Supervision</w:t>
            </w:r>
          </w:p>
        </w:tc>
        <w:tc>
          <w:tcPr/>
          <w:p>
            <w:pPr>
              <w:pStyle w:val="Compact"/>
              <w:jc w:val="left"/>
            </w:pPr>
            <w:r>
              <w:t xml:space="preserve">Automatique</w:t>
            </w:r>
          </w:p>
        </w:tc>
        <w:tc>
          <w:tcPr/>
          <w:p>
            <w:pPr>
              <w:pStyle w:val="Compact"/>
              <w:jc w:val="left"/>
            </w:pPr>
            <w:r>
              <w:t xml:space="preserve">Aucun arrêt (HSM jumeau)</w:t>
            </w:r>
          </w:p>
        </w:tc>
        <w:tc>
          <w:tcPr/>
          <w:p>
            <w:pPr>
              <w:pStyle w:val="Compact"/>
              <w:jc w:val="left"/>
            </w:pPr>
            <w:r>
              <w:t xml:space="preserve">0</w:t>
            </w:r>
          </w:p>
        </w:tc>
        <w:tc>
          <w:tcPr/>
          <w:p>
            <w:pPr>
              <w:pStyle w:val="Compact"/>
              <w:jc w:val="left"/>
            </w:pPr>
            <w:r>
              <w:t xml:space="preserve">Remplacement ; resynchronisation des clés par cérémonie</w:t>
            </w:r>
          </w:p>
        </w:tc>
      </w:tr>
      <w:tr>
        <w:tc>
          <w:tcPr/>
          <w:p>
            <w:pPr>
              <w:pStyle w:val="Compact"/>
              <w:jc w:val="left"/>
            </w:pPr>
            <w:r>
              <w:t xml:space="preserve">Rançongiciel ou corruption logique</w:t>
            </w:r>
          </w:p>
        </w:tc>
        <w:tc>
          <w:tcPr/>
          <w:p>
            <w:pPr>
              <w:pStyle w:val="Compact"/>
              <w:jc w:val="left"/>
            </w:pPr>
            <w:r>
              <w:t xml:space="preserve">SOC, SIEM</w:t>
            </w:r>
          </w:p>
        </w:tc>
        <w:tc>
          <w:tcPr/>
          <w:p>
            <w:pPr>
              <w:pStyle w:val="Compact"/>
              <w:jc w:val="left"/>
            </w:pPr>
            <w:r>
              <w:t xml:space="preserve">Cellule de crise et responsable sécurité</w:t>
            </w:r>
          </w:p>
        </w:tc>
        <w:tc>
          <w:tcPr/>
          <w:p>
            <w:pPr>
              <w:pStyle w:val="Compact"/>
              <w:jc w:val="left"/>
            </w:pPr>
            <w:r>
              <w:t xml:space="preserve">À définir selon l'étendue</w:t>
            </w:r>
          </w:p>
        </w:tc>
        <w:tc>
          <w:tcPr/>
          <w:p>
            <w:pPr>
              <w:pStyle w:val="Compact"/>
              <w:jc w:val="left"/>
            </w:pPr>
            <w:r>
              <w:t xml:space="preserve">Dernière copie saine, immuable</w:t>
            </w:r>
          </w:p>
        </w:tc>
        <w:tc>
          <w:tcPr/>
          <w:p>
            <w:pPr>
              <w:pStyle w:val="Compact"/>
              <w:jc w:val="left"/>
            </w:pPr>
            <w:r>
              <w:t xml:space="preserve">Isolement ; analyse ; restauration depuis copie immuable ; postes en mode hors ligne si nécessaire</w:t>
            </w:r>
          </w:p>
        </w:tc>
      </w:tr>
      <w:tr>
        <w:tc>
          <w:tcPr/>
          <w:p>
            <w:pPr>
              <w:pStyle w:val="Compact"/>
              <w:jc w:val="left"/>
            </w:pPr>
            <w:r>
              <w:t xml:space="preserve">Coupure électrique d'un poste</w:t>
            </w:r>
          </w:p>
        </w:tc>
        <w:tc>
          <w:tcPr/>
          <w:p>
            <w:pPr>
              <w:pStyle w:val="Compact"/>
              <w:jc w:val="left"/>
            </w:pPr>
            <w:r>
              <w:t xml:space="preserve">Onduleur</w:t>
            </w:r>
          </w:p>
        </w:tc>
        <w:tc>
          <w:tcPr/>
          <w:p>
            <w:pPr>
              <w:pStyle w:val="Compact"/>
              <w:jc w:val="left"/>
            </w:pPr>
            <w:r>
              <w:t xml:space="preserve">Automatique</w:t>
            </w:r>
          </w:p>
        </w:tc>
        <w:tc>
          <w:tcPr/>
          <w:p>
            <w:pPr>
              <w:pStyle w:val="Compact"/>
              <w:jc w:val="left"/>
            </w:pPr>
            <w:r>
              <w:t xml:space="preserve">Aucun arrêt sur onduleur puis groupe</w:t>
            </w:r>
          </w:p>
        </w:tc>
        <w:tc>
          <w:tcPr/>
          <w:p>
            <w:pPr>
              <w:pStyle w:val="Compact"/>
              <w:jc w:val="left"/>
            </w:pPr>
            <w:r>
              <w:t xml:space="preserve">0</w:t>
            </w:r>
          </w:p>
        </w:tc>
        <w:tc>
          <w:tcPr/>
          <w:p>
            <w:pPr>
              <w:pStyle w:val="Compact"/>
              <w:jc w:val="left"/>
            </w:pPr>
            <w:r>
              <w:t xml:space="preserve">Bascule sur onduleur et groupe électrogène ; arrêt propre si autonomie épuisée</w:t>
            </w:r>
          </w:p>
        </w:tc>
      </w:tr>
    </w:tbl>
    <w:p>
      <w:pPr>
        <w:pStyle w:val="BodyText"/>
      </w:pPr>
      <w:r>
        <w:t xml:space="preserve">Les RTO et RPO ci-dessus sont des objectifs ; ils sont mesurés lors des exercices et ajustés.</w:t>
      </w:r>
    </w:p>
    <w:bookmarkEnd w:id="43"/>
    <w:bookmarkStart w:id="44" w:name="qui-décide"/>
    <w:p>
      <w:pPr>
        <w:pStyle w:val="Heading3"/>
      </w:pPr>
      <w:r>
        <w:t xml:space="preserve">Qui décide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Décision</w:t>
            </w:r>
          </w:p>
        </w:tc>
        <w:tc>
          <w:tcPr/>
          <w:p>
            <w:pPr>
              <w:pStyle w:val="Compact"/>
              <w:jc w:val="left"/>
            </w:pPr>
            <w:r>
              <w:t xml:space="preserve">Responsable</w:t>
            </w:r>
          </w:p>
        </w:tc>
      </w:tr>
      <w:tr>
        <w:tc>
          <w:tcPr/>
          <w:p>
            <w:pPr>
              <w:pStyle w:val="Compact"/>
              <w:jc w:val="left"/>
            </w:pPr>
            <w:r>
              <w:t xml:space="preserve">Bascule automatique d'un composant</w:t>
            </w:r>
          </w:p>
        </w:tc>
        <w:tc>
          <w:tcPr/>
          <w:p>
            <w:pPr>
              <w:pStyle w:val="Compact"/>
              <w:jc w:val="left"/>
            </w:pPr>
            <w:r>
              <w:t xml:space="preserve">Supervision (pas d'intervention humaine)</w:t>
            </w:r>
          </w:p>
        </w:tc>
      </w:tr>
      <w:tr>
        <w:tc>
          <w:tcPr/>
          <w:p>
            <w:pPr>
              <w:pStyle w:val="Compact"/>
              <w:jc w:val="left"/>
            </w:pPr>
            <w:r>
              <w:t xml:space="preserve">Bascule manuelle d'un site central</w:t>
            </w:r>
          </w:p>
        </w:tc>
        <w:tc>
          <w:tcPr/>
          <w:p>
            <w:pPr>
              <w:pStyle w:val="Compact"/>
              <w:jc w:val="left"/>
            </w:pPr>
            <w:r>
              <w:t xml:space="preserve">Responsable d'exploitation de WAW Telecom, après information de la DPAF</w:t>
            </w:r>
          </w:p>
        </w:tc>
      </w:tr>
      <w:tr>
        <w:tc>
          <w:tcPr/>
          <w:p>
            <w:pPr>
              <w:pStyle w:val="Compact"/>
              <w:jc w:val="left"/>
            </w:pPr>
            <w:r>
              <w:t xml:space="preserve">Déclenchement de la cellule de crise</w:t>
            </w:r>
          </w:p>
        </w:tc>
        <w:tc>
          <w:tcPr/>
          <w:p>
            <w:pPr>
              <w:pStyle w:val="Compact"/>
              <w:jc w:val="left"/>
            </w:pPr>
            <w:r>
              <w:t xml:space="preserve">Responsable d'exploitation ou responsable sécurité</w:t>
            </w:r>
          </w:p>
        </w:tc>
      </w:tr>
      <w:tr>
        <w:tc>
          <w:tcPr/>
          <w:p>
            <w:pPr>
              <w:pStyle w:val="Compact"/>
              <w:jc w:val="left"/>
            </w:pPr>
            <w:r>
              <w:t xml:space="preserve">Passage des postes en mode dégradé prolongé</w:t>
            </w:r>
          </w:p>
        </w:tc>
        <w:tc>
          <w:tcPr/>
          <w:p>
            <w:pPr>
              <w:pStyle w:val="Compact"/>
              <w:jc w:val="left"/>
            </w:pPr>
            <w:r>
              <w:t xml:space="preserve">DPAF (chef de poste, sur instruction de la direction)</w:t>
            </w:r>
          </w:p>
        </w:tc>
      </w:tr>
      <w:tr>
        <w:tc>
          <w:tcPr/>
          <w:p>
            <w:pPr>
              <w:pStyle w:val="Compact"/>
              <w:jc w:val="left"/>
            </w:pPr>
            <w:r>
              <w:t xml:space="preserve">Restauration depuis le site C</w:t>
            </w:r>
          </w:p>
        </w:tc>
        <w:tc>
          <w:tcPr/>
          <w:p>
            <w:pPr>
              <w:pStyle w:val="Compact"/>
              <w:jc w:val="left"/>
            </w:pPr>
            <w:r>
              <w:t xml:space="preserve">Cellule de crise, avec accord de la DPAF</w:t>
            </w:r>
          </w:p>
        </w:tc>
      </w:tr>
      <w:tr>
        <w:tc>
          <w:tcPr/>
          <w:p>
            <w:pPr>
              <w:pStyle w:val="Compact"/>
              <w:jc w:val="left"/>
            </w:pPr>
            <w:r>
              <w:t xml:space="preserve">Communication aux compagnies et au Trésor</w:t>
            </w:r>
          </w:p>
        </w:tc>
        <w:tc>
          <w:tcPr/>
          <w:p>
            <w:pPr>
              <w:pStyle w:val="Compact"/>
              <w:jc w:val="left"/>
            </w:pPr>
            <w:r>
              <w:t xml:space="preserve">Cellule de crise</w:t>
            </w:r>
          </w:p>
        </w:tc>
      </w:tr>
    </w:tbl>
    <w:bookmarkEnd w:id="44"/>
    <w:bookmarkStart w:id="45" w:name="bascule-dun-site-central-procédure-type"/>
    <w:p>
      <w:pPr>
        <w:pStyle w:val="Heading3"/>
      </w:pPr>
      <w:r>
        <w:t xml:space="preserve">Bascule d'un site central (procédure type)</w:t>
      </w:r>
    </w:p>
    <w:p>
      <w:pPr>
        <w:numPr>
          <w:ilvl w:val="0"/>
          <w:numId w:val="1004"/>
        </w:numPr>
        <w:pStyle w:val="Compact"/>
      </w:pPr>
      <w:r>
        <w:t xml:space="preserve">Constater la panne (supervision, contrôle de santé, confirmation par l'arbitre) et ouvrir un incident majeur.</w:t>
      </w:r>
    </w:p>
    <w:p>
      <w:pPr>
        <w:numPr>
          <w:ilvl w:val="0"/>
          <w:numId w:val="1004"/>
        </w:numPr>
        <w:pStyle w:val="Compact"/>
      </w:pPr>
      <w:r>
        <w:t xml:space="preserve">Vérifier que la réplique du site survivant est à jour (retard de réplication nul ou connu).</w:t>
      </w:r>
    </w:p>
    <w:p>
      <w:pPr>
        <w:numPr>
          <w:ilvl w:val="0"/>
          <w:numId w:val="1004"/>
        </w:numPr>
        <w:pStyle w:val="Compact"/>
      </w:pPr>
      <w:r>
        <w:t xml:space="preserve">Promouvoir la réplique en primaire (automatique ou manuelle) et isoler l'ancien primaire pour éviter deux primaires simultanés.</w:t>
      </w:r>
    </w:p>
    <w:p>
      <w:pPr>
        <w:numPr>
          <w:ilvl w:val="0"/>
          <w:numId w:val="1004"/>
        </w:numPr>
        <w:pStyle w:val="Compact"/>
      </w:pPr>
      <w:r>
        <w:t xml:space="preserve">Rediriger le trafic (DNS ou adresse virtuelle) vers le site survivant ; vérifier l'accès aux quatre plateformes et à la passerelle des compagnies.</w:t>
      </w:r>
    </w:p>
    <w:p>
      <w:pPr>
        <w:numPr>
          <w:ilvl w:val="0"/>
          <w:numId w:val="1004"/>
        </w:numPr>
        <w:pStyle w:val="Compact"/>
      </w:pPr>
      <w:r>
        <w:t xml:space="preserve">Vérifier le</w:t>
      </w:r>
      <w:r>
        <w:t xml:space="preserve"> </w:t>
      </w:r>
      <w:r>
        <w:rPr>
          <w:bCs/>
          <w:b/>
        </w:rPr>
        <w:t xml:space="preserve">Journal d'audit</w:t>
      </w:r>
      <w:r>
        <w:t xml:space="preserve"> </w:t>
      </w:r>
      <w:r>
        <w:t xml:space="preserve">(</w:t>
      </w:r>
      <w:r>
        <w:rPr>
          <w:bCs/>
          <w:b/>
        </w:rPr>
        <w:t xml:space="preserve">Chaîne intègre</w:t>
      </w:r>
      <w:r>
        <w:t xml:space="preserve">) et l'accès aux HSM du site survivant.</w:t>
      </w:r>
    </w:p>
    <w:p>
      <w:pPr>
        <w:numPr>
          <w:ilvl w:val="0"/>
          <w:numId w:val="1004"/>
        </w:numPr>
        <w:pStyle w:val="Compact"/>
      </w:pPr>
      <w:r>
        <w:t xml:space="preserve">Vérifier la resynchronisation des serveurs de poste.</w:t>
      </w:r>
    </w:p>
    <w:p>
      <w:pPr>
        <w:numPr>
          <w:ilvl w:val="0"/>
          <w:numId w:val="1004"/>
        </w:numPr>
        <w:pStyle w:val="Compact"/>
      </w:pPr>
      <w:r>
        <w:t xml:space="preserve">Informer les postes, la DPAF, la DGCPT et les compagnies selon le plan de communication.</w:t>
      </w:r>
    </w:p>
    <w:p>
      <w:pPr>
        <w:numPr>
          <w:ilvl w:val="0"/>
          <w:numId w:val="1004"/>
        </w:numPr>
        <w:pStyle w:val="Compact"/>
      </w:pPr>
      <w:r>
        <w:t xml:space="preserve">Consigner chaque étape et son heure.</w:t>
      </w:r>
    </w:p>
    <w:bookmarkEnd w:id="45"/>
    <w:bookmarkStart w:id="46" w:name="retour-à-la-normale"/>
    <w:p>
      <w:pPr>
        <w:pStyle w:val="Heading3"/>
      </w:pPr>
      <w:r>
        <w:t xml:space="preserve">Retour à la normale</w:t>
      </w:r>
    </w:p>
    <w:p>
      <w:pPr>
        <w:numPr>
          <w:ilvl w:val="0"/>
          <w:numId w:val="1005"/>
        </w:numPr>
        <w:pStyle w:val="Compact"/>
      </w:pPr>
      <w:r>
        <w:t xml:space="preserve">Reconstruire ou réparer le site défaillant.</w:t>
      </w:r>
    </w:p>
    <w:p>
      <w:pPr>
        <w:numPr>
          <w:ilvl w:val="0"/>
          <w:numId w:val="1005"/>
        </w:numPr>
        <w:pStyle w:val="Compact"/>
      </w:pPr>
      <w:r>
        <w:t xml:space="preserve">Le resynchroniser comme réplique du site devenu primaire.</w:t>
      </w:r>
    </w:p>
    <w:p>
      <w:pPr>
        <w:numPr>
          <w:ilvl w:val="0"/>
          <w:numId w:val="1005"/>
        </w:numPr>
        <w:pStyle w:val="Compact"/>
      </w:pPr>
      <w:r>
        <w:t xml:space="preserve">Attendre une réplication synchrone stable.</w:t>
      </w:r>
    </w:p>
    <w:p>
      <w:pPr>
        <w:numPr>
          <w:ilvl w:val="0"/>
          <w:numId w:val="1005"/>
        </w:numPr>
        <w:pStyle w:val="Compact"/>
      </w:pPr>
      <w:r>
        <w:t xml:space="preserve">Revenir au fonctionnement nominal pendant une fenêtre de maintenance planifiée (retour volontaire, jamais automatique).</w:t>
      </w:r>
    </w:p>
    <w:p>
      <w:pPr>
        <w:numPr>
          <w:ilvl w:val="0"/>
          <w:numId w:val="1005"/>
        </w:numPr>
        <w:pStyle w:val="Compact"/>
      </w:pPr>
      <w:r>
        <w:t xml:space="preserve">Rédiger le retour d'expérience et mettre à jour les procédures.</w:t>
      </w:r>
    </w:p>
    <w:bookmarkEnd w:id="46"/>
    <w:bookmarkStart w:id="47" w:name="exercices"/>
    <w:p>
      <w:pPr>
        <w:pStyle w:val="Heading3"/>
      </w:pPr>
      <w:r>
        <w:t xml:space="preserve">Exercices</w:t>
      </w:r>
    </w:p>
    <w:p>
      <w:pPr>
        <w:numPr>
          <w:ilvl w:val="0"/>
          <w:numId w:val="1006"/>
        </w:numPr>
        <w:pStyle w:val="Compact"/>
      </w:pPr>
      <w:r>
        <w:rPr>
          <w:bCs/>
          <w:b/>
        </w:rPr>
        <w:t xml:space="preserve">Deux exercices de reprise par an</w:t>
      </w:r>
      <w:r>
        <w:t xml:space="preserve"> </w:t>
      </w:r>
      <w:r>
        <w:t xml:space="preserve">au minimum : bascule réelle de A vers B, puis retour.</w:t>
      </w:r>
    </w:p>
    <w:p>
      <w:pPr>
        <w:numPr>
          <w:ilvl w:val="0"/>
          <w:numId w:val="1006"/>
        </w:numPr>
        <w:pStyle w:val="Compact"/>
      </w:pPr>
      <w:r>
        <w:t xml:space="preserve">Un exercice annuel de restauration complète depuis le site C.</w:t>
      </w:r>
    </w:p>
    <w:p>
      <w:pPr>
        <w:numPr>
          <w:ilvl w:val="0"/>
          <w:numId w:val="1006"/>
        </w:numPr>
        <w:pStyle w:val="Compact"/>
      </w:pPr>
      <w:r>
        <w:t xml:space="preserve">Un exercice annuel de coupure de liaison dans au moins un poste terrestre.</w:t>
      </w:r>
    </w:p>
    <w:p>
      <w:pPr>
        <w:numPr>
          <w:ilvl w:val="0"/>
          <w:numId w:val="1006"/>
        </w:numPr>
        <w:pStyle w:val="Compact"/>
      </w:pPr>
      <w:r>
        <w:t xml:space="preserve">Chaque exercice donne lieu à un compte rendu partagé avec la DPAF.</w:t>
      </w:r>
    </w:p>
    <w:bookmarkEnd w:id="47"/>
    <w:bookmarkStart w:id="48" w:name="procédures-dexploitation-à-rédiger"/>
    <w:p>
      <w:pPr>
        <w:pStyle w:val="Heading3"/>
      </w:pPr>
      <w:r>
        <w:t xml:space="preserve">Procédures d'exploitation à rédiger</w:t>
      </w:r>
    </w:p>
    <w:p>
      <w:pPr>
        <w:numPr>
          <w:ilvl w:val="0"/>
          <w:numId w:val="1007"/>
        </w:numPr>
        <w:pStyle w:val="Compact"/>
      </w:pPr>
      <w:r>
        <w:t xml:space="preserve">Bascule et retour de la base de données.</w:t>
      </w:r>
    </w:p>
    <w:p>
      <w:pPr>
        <w:numPr>
          <w:ilvl w:val="0"/>
          <w:numId w:val="1007"/>
        </w:numPr>
        <w:pStyle w:val="Compact"/>
      </w:pPr>
      <w:r>
        <w:t xml:space="preserve">Bascule DNS ou adresse virtuelle.</w:t>
      </w:r>
    </w:p>
    <w:p>
      <w:pPr>
        <w:numPr>
          <w:ilvl w:val="0"/>
          <w:numId w:val="1007"/>
        </w:numPr>
        <w:pStyle w:val="Compact"/>
      </w:pPr>
      <w:r>
        <w:t xml:space="preserve">Remplacement d'un HSM et cérémonie de clés.</w:t>
      </w:r>
    </w:p>
    <w:p>
      <w:pPr>
        <w:numPr>
          <w:ilvl w:val="0"/>
          <w:numId w:val="1007"/>
        </w:numPr>
        <w:pStyle w:val="Compact"/>
      </w:pPr>
      <w:r>
        <w:t xml:space="preserve">Restauration complète et restauration à un instant donné.</w:t>
      </w:r>
    </w:p>
    <w:p>
      <w:pPr>
        <w:numPr>
          <w:ilvl w:val="0"/>
          <w:numId w:val="1007"/>
        </w:numPr>
        <w:pStyle w:val="Compact"/>
      </w:pPr>
      <w:r>
        <w:t xml:space="preserve">Reconstruction depuis le site C.</w:t>
      </w:r>
    </w:p>
    <w:p>
      <w:pPr>
        <w:numPr>
          <w:ilvl w:val="0"/>
          <w:numId w:val="1007"/>
        </w:numPr>
        <w:pStyle w:val="Compact"/>
      </w:pPr>
      <w:r>
        <w:t xml:space="preserve">Mode hors ligne d'un poste et resynchronisation.</w:t>
      </w:r>
    </w:p>
    <w:p>
      <w:pPr>
        <w:numPr>
          <w:ilvl w:val="0"/>
          <w:numId w:val="1007"/>
        </w:numPr>
        <w:pStyle w:val="Compact"/>
      </w:pPr>
      <w:r>
        <w:t xml:space="preserve">Réponse à un rançongiciel.</w:t>
      </w:r>
    </w:p>
    <w:p>
      <w:pPr>
        <w:numPr>
          <w:ilvl w:val="0"/>
          <w:numId w:val="1007"/>
        </w:numPr>
        <w:pStyle w:val="Compact"/>
      </w:pPr>
      <w:r>
        <w:t xml:space="preserve">Rotation des clés des équipements et des compagnies.</w:t>
      </w:r>
    </w:p>
    <w:p>
      <w:pPr>
        <w:numPr>
          <w:ilvl w:val="0"/>
          <w:numId w:val="1007"/>
        </w:numPr>
        <w:pStyle w:val="Compact"/>
      </w:pPr>
      <w:r>
        <w:t xml:space="preserve">Communication de crise.</w:t>
      </w:r>
    </w:p>
    <w:bookmarkEnd w:id="48"/>
    <w:bookmarkEnd w:id="49"/>
    <w:bookmarkStart w:id="50" w:name="X142af41065be92ab90db7268852723d58ce554c"/>
    <w:p>
      <w:pPr>
        <w:pStyle w:val="Heading2"/>
      </w:pPr>
      <w:r>
        <w:t xml:space="preserve">5. Sécurité et conformité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Mesure (Cible)</w:t>
            </w:r>
          </w:p>
        </w:tc>
      </w:tr>
      <w:tr>
        <w:tc>
          <w:tcPr/>
          <w:p>
            <w:pPr>
              <w:pStyle w:val="Compact"/>
              <w:jc w:val="left"/>
            </w:pPr>
            <w:r>
              <w:t xml:space="preserve">Segmentation</w:t>
            </w:r>
          </w:p>
        </w:tc>
        <w:tc>
          <w:tcPr/>
          <w:p>
            <w:pPr>
              <w:pStyle w:val="Compact"/>
              <w:jc w:val="left"/>
            </w:pPr>
            <w:r>
              <w:t xml:space="preserve">Zones séparées : exposition Internet (WAF, web public), API, données, administration, liaisons avec les postes, liaisons avec les partenaires ; filtrage entre zones</w:t>
            </w:r>
          </w:p>
        </w:tc>
      </w:tr>
      <w:tr>
        <w:tc>
          <w:tcPr/>
          <w:p>
            <w:pPr>
              <w:pStyle w:val="Compact"/>
              <w:jc w:val="left"/>
            </w:pPr>
            <w:r>
              <w:t xml:space="preserve">Accès d'administration</w:t>
            </w:r>
          </w:p>
        </w:tc>
        <w:tc>
          <w:tcPr/>
          <w:p>
            <w:pPr>
              <w:pStyle w:val="Compact"/>
              <w:jc w:val="left"/>
            </w:pPr>
            <w:r>
              <w:t xml:space="preserve">Bastion unique par site, authentification forte (MFA), comptes nominatifs, enregistrement des sessions, droits accordés pour une durée limitée</w:t>
            </w:r>
          </w:p>
        </w:tc>
      </w:tr>
      <w:tr>
        <w:tc>
          <w:tcPr/>
          <w:p>
            <w:pPr>
              <w:pStyle w:val="Compact"/>
              <w:jc w:val="left"/>
            </w:pPr>
            <w:r>
              <w:t xml:space="preserve">Identité des utilisateurs</w:t>
            </w:r>
          </w:p>
        </w:tc>
        <w:tc>
          <w:tcPr/>
          <w:p>
            <w:pPr>
              <w:pStyle w:val="Compact"/>
              <w:jc w:val="left"/>
            </w:pPr>
            <w:r>
              <w:t xml:space="preserve">OIDC, MFA et cartes agents PKI ; la MFA est</w:t>
            </w:r>
            <w:r>
              <w:t xml:space="preserve"> </w:t>
            </w:r>
            <w:r>
              <w:rPr>
                <w:bCs/>
                <w:b/>
              </w:rPr>
              <w:t xml:space="preserve">À développer</w:t>
            </w:r>
            <w:r>
              <w:t xml:space="preserve"> </w:t>
            </w:r>
            <w:r>
              <w:t xml:space="preserve">(le démonstrateur utilise identifiant et mot de passe)</w:t>
            </w:r>
          </w:p>
        </w:tc>
      </w:tr>
      <w:tr>
        <w:tc>
          <w:tcPr/>
          <w:p>
            <w:pPr>
              <w:pStyle w:val="Compact"/>
              <w:jc w:val="left"/>
            </w:pPr>
            <w:r>
              <w:t xml:space="preserve">Équipements</w:t>
            </w:r>
          </w:p>
        </w:tc>
        <w:tc>
          <w:tcPr/>
          <w:p>
            <w:pPr>
              <w:pStyle w:val="Compact"/>
              <w:jc w:val="left"/>
            </w:pPr>
            <w:r>
              <w:t xml:space="preserve">Remplacement de la clé partagée</w:t>
            </w:r>
            <w:r>
              <w:t xml:space="preserve"> </w:t>
            </w:r>
            <w:r>
              <w:rPr>
                <w:rStyle w:val="VerbatimChar"/>
              </w:rPr>
              <w:t xml:space="preserve">WAWID_GATE_KEY</w:t>
            </w:r>
            <w:r>
              <w:t xml:space="preserve"> </w:t>
            </w:r>
            <w:r>
              <w:t xml:space="preserve">par des certificats par équipement (mTLS),</w:t>
            </w:r>
            <w:r>
              <w:t xml:space="preserve"> </w:t>
            </w:r>
            <w:r>
              <w:rPr>
                <w:bCs/>
                <w:b/>
              </w:rPr>
              <w:t xml:space="preserve">À développer</w:t>
            </w:r>
          </w:p>
        </w:tc>
      </w:tr>
      <w:tr>
        <w:tc>
          <w:tcPr/>
          <w:p>
            <w:pPr>
              <w:pStyle w:val="Compact"/>
              <w:jc w:val="left"/>
            </w:pPr>
            <w:r>
              <w:t xml:space="preserve">Supervision de sécurité</w:t>
            </w:r>
          </w:p>
        </w:tc>
        <w:tc>
          <w:tcPr/>
          <w:p>
            <w:pPr>
              <w:pStyle w:val="Compact"/>
              <w:jc w:val="left"/>
            </w:pPr>
            <w:r>
              <w:t xml:space="preserve">SOC et SIEM 24 h/24, corrélation des journaux applicatifs, systèmes, réseau et HSM</w:t>
            </w:r>
          </w:p>
        </w:tc>
      </w:tr>
      <w:tr>
        <w:tc>
          <w:tcPr/>
          <w:p>
            <w:pPr>
              <w:pStyle w:val="Compact"/>
              <w:jc w:val="left"/>
            </w:pPr>
            <w:r>
              <w:t xml:space="preserve">Vulnérabilités</w:t>
            </w:r>
          </w:p>
        </w:tc>
        <w:tc>
          <w:tcPr/>
          <w:p>
            <w:pPr>
              <w:pStyle w:val="Compact"/>
              <w:jc w:val="left"/>
            </w:pPr>
            <w:r>
              <w:t xml:space="preserve">Analyse continue des images et des systèmes, correctifs selon la criticité, tests d'intrusion avant mise en service et au moins une fois par an</w:t>
            </w:r>
          </w:p>
        </w:tc>
      </w:tr>
      <w:tr>
        <w:tc>
          <w:tcPr/>
          <w:p>
            <w:pPr>
              <w:pStyle w:val="Compact"/>
              <w:jc w:val="left"/>
            </w:pPr>
            <w:r>
              <w:t xml:space="preserve">Journal d'audit</w:t>
            </w:r>
          </w:p>
        </w:tc>
        <w:tc>
          <w:tcPr/>
          <w:p>
            <w:pPr>
              <w:pStyle w:val="Compact"/>
              <w:jc w:val="left"/>
            </w:pPr>
            <w:r>
              <w:t xml:space="preserve">Chaîne SHA-256 (Existant) ancrée périodiquement par une signature HSM (À développer)</w:t>
            </w:r>
          </w:p>
        </w:tc>
      </w:tr>
      <w:tr>
        <w:tc>
          <w:tcPr/>
          <w:p>
            <w:pPr>
              <w:pStyle w:val="Compact"/>
              <w:jc w:val="left"/>
            </w:pPr>
            <w:r>
              <w:t xml:space="preserve">Données personnelles</w:t>
            </w:r>
          </w:p>
        </w:tc>
        <w:tc>
          <w:tcPr/>
          <w:p>
            <w:pPr>
              <w:pStyle w:val="Compact"/>
              <w:jc w:val="left"/>
            </w:pPr>
            <w:r>
              <w:t xml:space="preserve">Formalités CDP avant toute mise en production ; registre des traitements ; procédure de droits d'accès et de rectification</w:t>
            </w:r>
          </w:p>
        </w:tc>
      </w:tr>
      <w:tr>
        <w:tc>
          <w:tcPr/>
          <w:p>
            <w:pPr>
              <w:pStyle w:val="Compact"/>
              <w:jc w:val="left"/>
            </w:pPr>
            <w:r>
              <w:t xml:space="preserve">Sécurité physique</w:t>
            </w:r>
          </w:p>
        </w:tc>
        <w:tc>
          <w:tcPr/>
          <w:p>
            <w:pPr>
              <w:pStyle w:val="Compact"/>
              <w:jc w:val="left"/>
            </w:pPr>
            <w:r>
              <w:t xml:space="preserve">Contrôle d'accès des salles et des baies, vidéosurveillance, registre des interventions, baies fermées à clé pour les équipements WawID</w:t>
            </w:r>
          </w:p>
        </w:tc>
      </w:tr>
      <w:tr>
        <w:tc>
          <w:tcPr/>
          <w:p>
            <w:pPr>
              <w:pStyle w:val="Compact"/>
              <w:jc w:val="left"/>
            </w:pPr>
            <w:r>
              <w:t xml:space="preserve">Personnel</w:t>
            </w:r>
          </w:p>
        </w:tc>
        <w:tc>
          <w:tcPr/>
          <w:p>
            <w:pPr>
              <w:pStyle w:val="Compact"/>
              <w:jc w:val="left"/>
            </w:pPr>
            <w:r>
              <w:t xml:space="preserve">Habilitation des personnes ayant un accès privilégié (procédure</w:t>
            </w:r>
            <w:r>
              <w:t xml:space="preserve"> </w:t>
            </w:r>
            <w:r>
              <w:rPr>
                <w:bCs/>
                <w:b/>
              </w:rPr>
              <w:t xml:space="preserve">À vérifier</w:t>
            </w:r>
            <w:r>
              <w:t xml:space="preserve"> </w:t>
            </w:r>
            <w:r>
              <w:t xml:space="preserve">avec les autorités) ; engagement de confidentialité</w:t>
            </w:r>
          </w:p>
        </w:tc>
      </w:tr>
      <w:tr>
        <w:tc>
          <w:tcPr/>
          <w:p>
            <w:pPr>
              <w:pStyle w:val="Compact"/>
              <w:jc w:val="left"/>
            </w:pPr>
            <w:r>
              <w:t xml:space="preserve">Cérémonies de clés</w:t>
            </w:r>
          </w:p>
        </w:tc>
        <w:tc>
          <w:tcPr/>
          <w:p>
            <w:pPr>
              <w:pStyle w:val="Compact"/>
              <w:jc w:val="left"/>
            </w:pPr>
            <w:r>
              <w:t xml:space="preserve">Génération, sauvegarde et rotation des clés en présence de témoins, procès-verbal signé, dépositaires multiples</w:t>
            </w:r>
          </w:p>
        </w:tc>
      </w:tr>
    </w:tbl>
    <w:bookmarkEnd w:id="50"/>
    <w:bookmarkStart w:id="53" w:name="X714f32ba82af1d7c382f2751656abefe67ae141"/>
    <w:p>
      <w:pPr>
        <w:pStyle w:val="Heading2"/>
      </w:pPr>
      <w:r>
        <w:t xml:space="preserve">6. Phases de déploiement</w:t>
      </w:r>
    </w:p>
    <w:p>
      <w:pPr>
        <w:pStyle w:val="FirstParagraph"/>
      </w:pPr>
      <w:r>
        <w:t xml:space="preserve">Les durées sont</w:t>
      </w:r>
      <w:r>
        <w:t xml:space="preserve"> </w:t>
      </w:r>
      <w:r>
        <w:rPr>
          <w:bCs/>
          <w:b/>
        </w:rPr>
        <w:t xml:space="preserve">indicatives</w:t>
      </w:r>
      <w:r>
        <w:t xml:space="preserve"> </w:t>
      </w:r>
      <w:r>
        <w:t xml:space="preserve">et à confirmer à l'issue de la phase 0. Elles sont plus longues que celles de la note de proposition (</w:t>
      </w:r>
      <w:r>
        <w:rPr>
          <w:rStyle w:val="VerbatimChar"/>
        </w:rPr>
        <w:t xml:space="preserve">docs/PROPOSITION-REMPLACEMENT-SECURIPORT.md</w:t>
      </w:r>
      <w:r>
        <w:t xml:space="preserve">), qui ne comprenait pas la construction de l'infrastructure haute disponibilité. Les phases 1 et 2 se déroulent en parallèle.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Contenu</w:t>
            </w:r>
          </w:p>
        </w:tc>
        <w:tc>
          <w:tcPr/>
          <w:p>
            <w:pPr>
              <w:pStyle w:val="Compact"/>
              <w:jc w:val="left"/>
            </w:pPr>
            <w:r>
              <w:t xml:space="preserve">Critères d'entrée</w:t>
            </w:r>
          </w:p>
        </w:tc>
        <w:tc>
          <w:tcPr/>
          <w:p>
            <w:pPr>
              <w:pStyle w:val="Compact"/>
              <w:jc w:val="left"/>
            </w:pPr>
            <w:r>
              <w:t xml:space="preserve">Critères de sortie</w:t>
            </w:r>
          </w:p>
        </w:tc>
        <w:tc>
          <w:tcPr/>
          <w:p>
            <w:pPr>
              <w:pStyle w:val="Compact"/>
              <w:jc w:val="left"/>
            </w:pPr>
            <w:r>
              <w:t xml:space="preserve">Durée indicative</w:t>
            </w:r>
          </w:p>
        </w:tc>
      </w:tr>
      <w:tr>
        <w:tc>
          <w:tcPr/>
          <w:p>
            <w:pPr>
              <w:pStyle w:val="Compact"/>
              <w:jc w:val="left"/>
            </w:pPr>
            <w:r>
              <w:t xml:space="preserve">0. Cadrage et juridique</w:t>
            </w:r>
          </w:p>
        </w:tc>
        <w:tc>
          <w:tcPr/>
          <w:p>
            <w:pPr>
              <w:pStyle w:val="Compact"/>
              <w:jc w:val="left"/>
            </w:pPr>
            <w:r>
              <w:t xml:space="preserve">Contrat ; formalités CDP ; convention avec Sénégal Numérique (site A) et avec le centre de données commercial (site B) ; choix du site C ; mandat d'encaissement de la redevance si le circuit</w:t>
            </w:r>
            <w:r>
              <w:t xml:space="preserve"> </w:t>
            </w:r>
            <w:r>
              <w:rPr>
                <w:rStyle w:val="VerbatimChar"/>
              </w:rPr>
              <w:t xml:space="preserve">OPERATEUR</w:t>
            </w:r>
            <w:r>
              <w:t xml:space="preserve"> </w:t>
            </w:r>
            <w:r>
              <w:t xml:space="preserve">est retenu ; accords avec les détenteurs de fichiers</w:t>
            </w:r>
          </w:p>
        </w:tc>
        <w:tc>
          <w:tcPr/>
          <w:p>
            <w:pPr>
              <w:pStyle w:val="Compact"/>
              <w:jc w:val="left"/>
            </w:pPr>
            <w:r>
              <w:t xml:space="preserve">Décision de lancement</w:t>
            </w:r>
          </w:p>
        </w:tc>
        <w:tc>
          <w:tcPr/>
          <w:p>
            <w:pPr>
              <w:pStyle w:val="Compact"/>
              <w:jc w:val="left"/>
            </w:pPr>
            <w:r>
              <w:t xml:space="preserve">Conventions signées ; formalités CDP engagées ; architecture validée</w:t>
            </w:r>
          </w:p>
        </w:tc>
        <w:tc>
          <w:tcPr/>
          <w:p>
            <w:pPr>
              <w:pStyle w:val="Compact"/>
              <w:jc w:val="left"/>
            </w:pPr>
            <w:r>
              <w:t xml:space="preserve">1 à 3 mois</w:t>
            </w:r>
          </w:p>
        </w:tc>
      </w:tr>
      <w:tr>
        <w:tc>
          <w:tcPr/>
          <w:p>
            <w:pPr>
              <w:pStyle w:val="Compact"/>
              <w:jc w:val="left"/>
            </w:pPr>
            <w:r>
              <w:t xml:space="preserve">1. Construction des sites A, B et C</w:t>
            </w:r>
          </w:p>
        </w:tc>
        <w:tc>
          <w:tcPr/>
          <w:p>
            <w:pPr>
              <w:pStyle w:val="Compact"/>
              <w:jc w:val="left"/>
            </w:pPr>
            <w:r>
              <w:t xml:space="preserve">Baies, énergie, réseau, liaisons A ↔ B, opérateurs, pare-feu, WAF, HSM, Kubernetes, PostgreSQL, stockage objet, sauvegardes, SOC</w:t>
            </w:r>
          </w:p>
        </w:tc>
        <w:tc>
          <w:tcPr/>
          <w:p>
            <w:pPr>
              <w:pStyle w:val="Compact"/>
              <w:jc w:val="left"/>
            </w:pPr>
            <w:r>
              <w:t xml:space="preserve">Phase 0 terminée ; matériel livré</w:t>
            </w:r>
          </w:p>
        </w:tc>
        <w:tc>
          <w:tcPr/>
          <w:p>
            <w:pPr>
              <w:pStyle w:val="Compact"/>
              <w:jc w:val="left"/>
            </w:pPr>
            <w:r>
              <w:t xml:space="preserve">Tests d'infrastructure réussis, dont une bascule A → B et une restauration depuis C</w:t>
            </w:r>
          </w:p>
        </w:tc>
        <w:tc>
          <w:tcPr/>
          <w:p>
            <w:pPr>
              <w:pStyle w:val="Compact"/>
              <w:jc w:val="left"/>
            </w:pPr>
            <w:r>
              <w:t xml:space="preserve">3 à 6 mois</w:t>
            </w:r>
          </w:p>
        </w:tc>
      </w:tr>
      <w:tr>
        <w:tc>
          <w:tcPr/>
          <w:p>
            <w:pPr>
              <w:pStyle w:val="Compact"/>
              <w:jc w:val="left"/>
            </w:pPr>
            <w:r>
              <w:t xml:space="preserve">2. Migration de l'application</w:t>
            </w:r>
          </w:p>
        </w:tc>
        <w:tc>
          <w:tcPr/>
          <w:p>
            <w:pPr>
              <w:pStyle w:val="Compact"/>
              <w:jc w:val="left"/>
            </w:pPr>
            <w:r>
              <w:t xml:space="preserve">Passage du démonstrateur Netlify à la pile souveraine (voir le tableau ci-dessous)</w:t>
            </w:r>
          </w:p>
        </w:tc>
        <w:tc>
          <w:tcPr/>
          <w:p>
            <w:pPr>
              <w:pStyle w:val="Compact"/>
              <w:jc w:val="left"/>
            </w:pPr>
            <w:r>
              <w:t xml:space="preserve">Développements prioritaires lancés</w:t>
            </w:r>
          </w:p>
        </w:tc>
        <w:tc>
          <w:tcPr/>
          <w:p>
            <w:pPr>
              <w:pStyle w:val="Compact"/>
              <w:jc w:val="left"/>
            </w:pPr>
            <w:r>
              <w:t xml:space="preserve">Recette fonctionnelle sur la préproduction ; test de charge ; test d'intrusion</w:t>
            </w:r>
          </w:p>
        </w:tc>
        <w:tc>
          <w:tcPr/>
          <w:p>
            <w:pPr>
              <w:pStyle w:val="Compact"/>
              <w:jc w:val="left"/>
            </w:pPr>
            <w:r>
              <w:t xml:space="preserve">3 à 6 mois, en parallèle de la phase 1</w:t>
            </w:r>
          </w:p>
        </w:tc>
      </w:tr>
      <w:tr>
        <w:tc>
          <w:tcPr/>
          <w:p>
            <w:pPr>
              <w:pStyle w:val="Compact"/>
              <w:jc w:val="left"/>
            </w:pPr>
            <w:r>
              <w:t xml:space="preserve">3. Pilote AIBD</w:t>
            </w:r>
          </w:p>
        </w:tc>
        <w:tc>
          <w:tcPr/>
          <w:p>
            <w:pPr>
              <w:pStyle w:val="Compact"/>
              <w:jc w:val="left"/>
            </w:pPr>
            <w:r>
              <w:t xml:space="preserve">Quelques guichets et eGates aux arrivées et aux départs, en parallèle du système en place ; serveur de poste de l'AIBD ; passerelle ouverte à des compagnies volontaires ; rapprochement de la redevance</w:t>
            </w:r>
          </w:p>
        </w:tc>
        <w:tc>
          <w:tcPr/>
          <w:p>
            <w:pPr>
              <w:pStyle w:val="Compact"/>
              <w:jc w:val="left"/>
            </w:pPr>
            <w:r>
              <w:t xml:space="preserve">Phases 1 et 2 validées ; formalités CDP accomplies ; agents formés</w:t>
            </w:r>
          </w:p>
        </w:tc>
        <w:tc>
          <w:tcPr/>
          <w:p>
            <w:pPr>
              <w:pStyle w:val="Compact"/>
              <w:jc w:val="left"/>
            </w:pPr>
            <w:r>
              <w:t xml:space="preserve">Recette du pilote ; aucun incident bloquant pendant la période d'observation ; exercice de bascule réussi en conditions réelles</w:t>
            </w:r>
          </w:p>
        </w:tc>
        <w:tc>
          <w:tcPr/>
          <w:p>
            <w:pPr>
              <w:pStyle w:val="Compact"/>
              <w:jc w:val="left"/>
            </w:pPr>
            <w:r>
              <w:t xml:space="preserve">2 à 3 mois</w:t>
            </w:r>
          </w:p>
        </w:tc>
      </w:tr>
      <w:tr>
        <w:tc>
          <w:tcPr/>
          <w:p>
            <w:pPr>
              <w:pStyle w:val="Compact"/>
              <w:jc w:val="left"/>
            </w:pPr>
            <w:r>
              <w:t xml:space="preserve">4. Généralisation par vagues</w:t>
            </w:r>
          </w:p>
        </w:tc>
        <w:tc>
          <w:tcPr/>
          <w:p>
            <w:pPr>
              <w:pStyle w:val="Compact"/>
              <w:jc w:val="left"/>
            </w:pPr>
            <w:r>
              <w:t xml:space="preserve">Vague 1 : AIBD complet, ZIG, PDK. Vague 2 : ROS, KID, KAR (mode hors ligne indispensable)</w:t>
            </w:r>
          </w:p>
        </w:tc>
        <w:tc>
          <w:tcPr/>
          <w:p>
            <w:pPr>
              <w:pStyle w:val="Compact"/>
              <w:jc w:val="left"/>
            </w:pPr>
            <w:r>
              <w:t xml:space="preserve">Bilan du pilote ; serveurs de poste installés ; liaisons doublées</w:t>
            </w:r>
          </w:p>
        </w:tc>
        <w:tc>
          <w:tcPr/>
          <w:p>
            <w:pPr>
              <w:pStyle w:val="Compact"/>
              <w:jc w:val="left"/>
            </w:pPr>
            <w:r>
              <w:t xml:space="preserve">Recette par poste, dont un essai de coupure de liaison ; arrêt du système précédent selon les clauses contractuelles</w:t>
            </w:r>
          </w:p>
        </w:tc>
        <w:tc>
          <w:tcPr/>
          <w:p>
            <w:pPr>
              <w:pStyle w:val="Compact"/>
              <w:jc w:val="left"/>
            </w:pPr>
            <w:r>
              <w:t xml:space="preserve">1 à 2 mois par vague</w:t>
            </w:r>
          </w:p>
        </w:tc>
      </w:tr>
      <w:tr>
        <w:tc>
          <w:tcPr/>
          <w:p>
            <w:pPr>
              <w:pStyle w:val="Compact"/>
              <w:jc w:val="left"/>
            </w:pPr>
            <w:r>
              <w:t xml:space="preserve">5. Exploitation (MCO)</w:t>
            </w:r>
          </w:p>
        </w:tc>
        <w:tc>
          <w:tcPr/>
          <w:p>
            <w:pPr>
              <w:pStyle w:val="Compact"/>
              <w:jc w:val="left"/>
            </w:pPr>
            <w:r>
              <w:t xml:space="preserve">Supervision 24 h/24, maintenance, exercices, évolutions</w:t>
            </w:r>
          </w:p>
        </w:tc>
        <w:tc>
          <w:tcPr/>
          <w:p>
            <w:pPr>
              <w:pStyle w:val="Compact"/>
              <w:jc w:val="left"/>
            </w:pPr>
            <w:r>
              <w:t xml:space="preserve">Procès-verbal de mise en service</w:t>
            </w:r>
          </w:p>
        </w:tc>
        <w:tc>
          <w:tcPr/>
          <w:p>
            <w:pPr>
              <w:pStyle w:val="Compact"/>
              <w:jc w:val="left"/>
            </w:pPr>
            <w:r>
              <w:t xml:space="preserve">Revue annuelle</w:t>
            </w:r>
          </w:p>
        </w:tc>
        <w:tc>
          <w:tcPr/>
          <w:p>
            <w:pPr>
              <w:pStyle w:val="Compact"/>
              <w:jc w:val="left"/>
            </w:pPr>
            <w:r>
              <w:t xml:space="preserve">Continue</w:t>
            </w:r>
          </w:p>
        </w:tc>
      </w:tr>
    </w:tbl>
    <w:bookmarkStart w:id="51" w:name="X10e2aade9907087f376b275d118448ad5efd3c9"/>
    <w:p>
      <w:pPr>
        <w:pStyle w:val="Heading3"/>
      </w:pPr>
      <w:r>
        <w:t xml:space="preserve">Migration du démonstrateur vers la pile souveraine (phase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Élément</w:t>
            </w:r>
          </w:p>
        </w:tc>
        <w:tc>
          <w:tcPr/>
          <w:p>
            <w:pPr>
              <w:pStyle w:val="Compact"/>
              <w:jc w:val="left"/>
            </w:pPr>
            <w:r>
              <w:t xml:space="preserve">Démonstrateur (Existant)</w:t>
            </w:r>
          </w:p>
        </w:tc>
        <w:tc>
          <w:tcPr/>
          <w:p>
            <w:pPr>
              <w:pStyle w:val="Compact"/>
              <w:jc w:val="left"/>
            </w:pPr>
            <w:r>
              <w:t xml:space="preserve">Cible</w:t>
            </w:r>
          </w:p>
        </w:tc>
        <w:tc>
          <w:tcPr/>
          <w:p>
            <w:pPr>
              <w:pStyle w:val="Compact"/>
              <w:jc w:val="left"/>
            </w:pPr>
            <w:r>
              <w:t xml:space="preserve">État</w:t>
            </w:r>
          </w:p>
        </w:tc>
      </w:tr>
      <w:tr>
        <w:tc>
          <w:tcPr/>
          <w:p>
            <w:pPr>
              <w:pStyle w:val="Compact"/>
              <w:jc w:val="left"/>
            </w:pPr>
            <w:r>
              <w:t xml:space="preserve">API</w:t>
            </w:r>
          </w:p>
        </w:tc>
        <w:tc>
          <w:tcPr/>
          <w:p>
            <w:pPr>
              <w:pStyle w:val="Compact"/>
              <w:jc w:val="left"/>
            </w:pPr>
            <w:r>
              <w:t xml:space="preserve">Fonction unique</w:t>
            </w:r>
            <w:r>
              <w:t xml:space="preserve"> </w:t>
            </w:r>
            <w:r>
              <w:rPr>
                <w:rStyle w:val="VerbatimChar"/>
              </w:rPr>
              <w:t xml:space="preserve">netlify/functions/api.mts</w:t>
            </w:r>
            <w:r>
              <w:t xml:space="preserve"> </w:t>
            </w:r>
            <w:r>
              <w:t xml:space="preserve">routée sur</w:t>
            </w:r>
            <w:r>
              <w:t xml:space="preserve"> </w:t>
            </w:r>
            <w:r>
              <w:rPr>
                <w:rStyle w:val="VerbatimChar"/>
              </w:rPr>
              <w:t xml:space="preserve">/api/*</w:t>
            </w:r>
          </w:p>
        </w:tc>
        <w:tc>
          <w:tcPr/>
          <w:p>
            <w:pPr>
              <w:pStyle w:val="Compact"/>
              <w:jc w:val="left"/>
            </w:pPr>
            <w:r>
              <w:t xml:space="preserve">Même code et mêmes routes dans un conteneur Node.js 22, derrière une passerelle ; le serveur local</w:t>
            </w:r>
            <w:r>
              <w:t xml:space="preserve"> </w:t>
            </w:r>
            <w:r>
              <w:rPr>
                <w:rStyle w:val="VerbatimChar"/>
              </w:rPr>
              <w:t xml:space="preserve">dev-server.mjs</w:t>
            </w:r>
            <w:r>
              <w:t xml:space="preserve"> </w:t>
            </w:r>
            <w:r>
              <w:t xml:space="preserve">montre déjà que la fonction s'exécute hors Netlify</w:t>
            </w:r>
          </w:p>
        </w:tc>
        <w:tc>
          <w:tcPr/>
          <w:p>
            <w:pPr>
              <w:pStyle w:val="Compact"/>
              <w:jc w:val="left"/>
            </w:pPr>
            <w:r>
              <w:t xml:space="preserve">À développer (adaptateur et image de conteneur)</w:t>
            </w:r>
          </w:p>
        </w:tc>
      </w:tr>
      <w:tr>
        <w:tc>
          <w:tcPr/>
          <w:p>
            <w:pPr>
              <w:pStyle w:val="Compact"/>
              <w:jc w:val="left"/>
            </w:pPr>
            <w:r>
              <w:t xml:space="preserve">Stockage</w:t>
            </w:r>
          </w:p>
        </w:tc>
        <w:tc>
          <w:tcPr/>
          <w:p>
            <w:pPr>
              <w:pStyle w:val="Compact"/>
              <w:jc w:val="left"/>
            </w:pPr>
            <w:r>
              <w:t xml:space="preserve">Netlify Blobs via</w:t>
            </w:r>
            <w:r>
              <w:t xml:space="preserve"> </w:t>
            </w:r>
            <w:r>
              <w:rPr>
                <w:rStyle w:val="VerbatimChar"/>
              </w:rPr>
              <w:t xml:space="preserve">netlify/lib/store.mts</w:t>
            </w:r>
            <w:r>
              <w:t xml:space="preserve"> </w:t>
            </w:r>
            <w:r>
              <w:t xml:space="preserve">: une collection = un document JSON réécrit à chaque écriture</w:t>
            </w:r>
          </w:p>
        </w:tc>
        <w:tc>
          <w:tcPr/>
          <w:p>
            <w:pPr>
              <w:pStyle w:val="Compact"/>
              <w:jc w:val="left"/>
            </w:pPr>
            <w:r>
              <w:t xml:space="preserve">PostgreSQL (transactions, tables partitionnées par mois) et stockage objet ;</w:t>
            </w:r>
            <w:r>
              <w:t xml:space="preserve"> </w:t>
            </w:r>
            <w:r>
              <w:rPr>
                <w:rStyle w:val="VerbatimChar"/>
              </w:rPr>
              <w:t xml:space="preserve">store.mts</w:t>
            </w:r>
            <w:r>
              <w:t xml:space="preserve"> </w:t>
            </w:r>
            <w:r>
              <w:t xml:space="preserve">remplacé par un dépôt SQL ; fin du chargement global</w:t>
            </w:r>
            <w:r>
              <w:t xml:space="preserve"> </w:t>
            </w:r>
            <w:r>
              <w:rPr>
                <w:rStyle w:val="VerbatimChar"/>
              </w:rPr>
              <w:t xml:space="preserve">/api/data</w:t>
            </w:r>
          </w:p>
        </w:tc>
        <w:tc>
          <w:tcPr/>
          <w:p>
            <w:pPr>
              <w:pStyle w:val="Compact"/>
              <w:jc w:val="left"/>
            </w:pPr>
            <w:r>
              <w:t xml:space="preserve">À développer</w:t>
            </w:r>
          </w:p>
        </w:tc>
      </w:tr>
      <w:tr>
        <w:tc>
          <w:tcPr/>
          <w:p>
            <w:pPr>
              <w:pStyle w:val="Compact"/>
              <w:jc w:val="left"/>
            </w:pPr>
            <w:r>
              <w:t xml:space="preserve">Secrets</w:t>
            </w:r>
          </w:p>
        </w:tc>
        <w:tc>
          <w:tcPr/>
          <w:p>
            <w:pPr>
              <w:pStyle w:val="Compact"/>
              <w:jc w:val="left"/>
            </w:pPr>
            <w:r>
              <w:t xml:space="preserve">Variables d'environnement Netlify (</w:t>
            </w:r>
            <w:r>
              <w:rPr>
                <w:rStyle w:val="VerbatimChar"/>
              </w:rPr>
              <w:t xml:space="preserve">SESSION_SECRET</w:t>
            </w:r>
            <w:r>
              <w:t xml:space="preserve">,</w:t>
            </w:r>
            <w:r>
              <w:t xml:space="preserve"> </w:t>
            </w:r>
            <w:r>
              <w:rPr>
                <w:rStyle w:val="VerbatimChar"/>
              </w:rPr>
              <w:t xml:space="preserve">WAWID_GATE_KEY</w:t>
            </w:r>
            <w:r>
              <w:t xml:space="preserve">,</w:t>
            </w:r>
            <w:r>
              <w:t xml:space="preserve"> </w:t>
            </w:r>
            <w:r>
              <w:rPr>
                <w:rStyle w:val="VerbatimChar"/>
              </w:rPr>
              <w:t xml:space="preserve">WAWID_CARRIER_KEYS</w:t>
            </w:r>
            <w:r>
              <w:t xml:space="preserve">, jetons des connecteurs)</w:t>
            </w:r>
          </w:p>
        </w:tc>
        <w:tc>
          <w:tcPr/>
          <w:p>
            <w:pPr>
              <w:pStyle w:val="Compact"/>
              <w:jc w:val="left"/>
            </w:pPr>
            <w:r>
              <w:t xml:space="preserve">Coffre à secrets et HSM ; clés distinctes pour les sessions et pour les QR codes</w:t>
            </w:r>
          </w:p>
        </w:tc>
        <w:tc>
          <w:tcPr/>
          <w:p>
            <w:pPr>
              <w:pStyle w:val="Compact"/>
              <w:jc w:val="left"/>
            </w:pPr>
            <w:r>
              <w:t xml:space="preserve">À développer</w:t>
            </w:r>
          </w:p>
        </w:tc>
      </w:tr>
      <w:tr>
        <w:tc>
          <w:tcPr/>
          <w:p>
            <w:pPr>
              <w:pStyle w:val="Compact"/>
              <w:jc w:val="left"/>
            </w:pPr>
            <w:r>
              <w:t xml:space="preserve">Fichiers statiques</w:t>
            </w:r>
          </w:p>
        </w:tc>
        <w:tc>
          <w:tcPr/>
          <w:p>
            <w:pPr>
              <w:pStyle w:val="Compact"/>
              <w:jc w:val="left"/>
            </w:pPr>
            <w:r>
              <w:rPr>
                <w:rStyle w:val="VerbatimChar"/>
              </w:rPr>
              <w:t xml:space="preserve">public/</w:t>
            </w:r>
            <w:r>
              <w:t xml:space="preserve"> </w:t>
            </w:r>
            <w:r>
              <w:t xml:space="preserve">publié par Netlify</w:t>
            </w:r>
          </w:p>
        </w:tc>
        <w:tc>
          <w:tcPr/>
          <w:p>
            <w:pPr>
              <w:pStyle w:val="Compact"/>
              <w:jc w:val="left"/>
            </w:pPr>
            <w:r>
              <w:t xml:space="preserve">Niveau web dans chaque site, derrière le WAF, un domaine par plateforme</w:t>
            </w:r>
          </w:p>
        </w:tc>
        <w:tc>
          <w:tcPr/>
          <w:p>
            <w:pPr>
              <w:pStyle w:val="Compact"/>
              <w:jc w:val="left"/>
            </w:pPr>
            <w:r>
              <w:t xml:space="preserve">À développer (configuration)</w:t>
            </w:r>
          </w:p>
        </w:tc>
      </w:tr>
      <w:tr>
        <w:tc>
          <w:tcPr/>
          <w:p>
            <w:pPr>
              <w:pStyle w:val="Compact"/>
              <w:jc w:val="left"/>
            </w:pPr>
            <w:r>
              <w:t xml:space="preserve">En-têtes de sécurité</w:t>
            </w:r>
          </w:p>
        </w:tc>
        <w:tc>
          <w:tcPr/>
          <w:p>
            <w:pPr>
              <w:pStyle w:val="Compact"/>
              <w:jc w:val="left"/>
            </w:pPr>
            <w:r>
              <w:rPr>
                <w:rStyle w:val="VerbatimChar"/>
              </w:rPr>
              <w:t xml:space="preserve">netlify.toml</w:t>
            </w:r>
          </w:p>
        </w:tc>
        <w:tc>
          <w:tcPr/>
          <w:p>
            <w:pPr>
              <w:pStyle w:val="Compact"/>
              <w:jc w:val="left"/>
            </w:pPr>
            <w:r>
              <w:t xml:space="preserve">Reproduits sur le proxy inverse et le WAF</w:t>
            </w:r>
          </w:p>
        </w:tc>
        <w:tc>
          <w:tcPr/>
          <w:p>
            <w:pPr>
              <w:pStyle w:val="Compact"/>
              <w:jc w:val="left"/>
            </w:pPr>
            <w:r>
              <w:t xml:space="preserve">À développer (configuration)</w:t>
            </w:r>
          </w:p>
        </w:tc>
      </w:tr>
      <w:tr>
        <w:tc>
          <w:tcPr/>
          <w:p>
            <w:pPr>
              <w:pStyle w:val="Compact"/>
              <w:jc w:val="left"/>
            </w:pPr>
            <w:r>
              <w:t xml:space="preserve">Jeu de démonstration</w:t>
            </w:r>
          </w:p>
        </w:tc>
        <w:tc>
          <w:tcPr/>
          <w:p>
            <w:pPr>
              <w:pStyle w:val="Compact"/>
              <w:jc w:val="left"/>
            </w:pPr>
            <w:r>
              <w:t xml:space="preserve">Créé automatiquement si la base est vide (</w:t>
            </w:r>
            <w:r>
              <w:rPr>
                <w:rStyle w:val="VerbatimChar"/>
              </w:rPr>
              <w:t xml:space="preserve">netlify/lib/seed.mts</w:t>
            </w:r>
            <w:r>
              <w:t xml:space="preserve">)</w:t>
            </w:r>
          </w:p>
        </w:tc>
        <w:tc>
          <w:tcPr/>
          <w:p>
            <w:pPr>
              <w:pStyle w:val="Compact"/>
              <w:jc w:val="left"/>
            </w:pPr>
            <w:r>
              <w:t xml:space="preserve">Désactivé en production</w:t>
            </w:r>
          </w:p>
        </w:tc>
        <w:tc>
          <w:tcPr/>
          <w:p>
            <w:pPr>
              <w:pStyle w:val="Compact"/>
              <w:jc w:val="left"/>
            </w:pPr>
            <w:r>
              <w:t xml:space="preserve">À développer</w:t>
            </w:r>
          </w:p>
        </w:tc>
      </w:tr>
      <w:tr>
        <w:tc>
          <w:tcPr/>
          <w:p>
            <w:pPr>
              <w:pStyle w:val="Compact"/>
              <w:jc w:val="left"/>
            </w:pPr>
            <w:r>
              <w:t xml:space="preserve">Journal d'audit</w:t>
            </w:r>
          </w:p>
        </w:tc>
        <w:tc>
          <w:tcPr/>
          <w:p>
            <w:pPr>
              <w:pStyle w:val="Compact"/>
              <w:jc w:val="left"/>
            </w:pPr>
            <w:r>
              <w:t xml:space="preserve">Chaîne SHA-256 dans le stockage</w:t>
            </w:r>
          </w:p>
        </w:tc>
        <w:tc>
          <w:tcPr/>
          <w:p>
            <w:pPr>
              <w:pStyle w:val="Compact"/>
              <w:jc w:val="left"/>
            </w:pPr>
            <w:r>
              <w:t xml:space="preserve">Table en ajout seul, ancrage HSM, export vers C</w:t>
            </w:r>
          </w:p>
        </w:tc>
        <w:tc>
          <w:tcPr/>
          <w:p>
            <w:pPr>
              <w:pStyle w:val="Compact"/>
              <w:jc w:val="left"/>
            </w:pPr>
            <w:r>
              <w:t xml:space="preserve">À développer (ancrage)</w:t>
            </w:r>
          </w:p>
        </w:tc>
      </w:tr>
      <w:tr>
        <w:tc>
          <w:tcPr/>
          <w:p>
            <w:pPr>
              <w:pStyle w:val="Compact"/>
              <w:jc w:val="left"/>
            </w:pPr>
            <w:r>
              <w:t xml:space="preserve">Identité</w:t>
            </w:r>
          </w:p>
        </w:tc>
        <w:tc>
          <w:tcPr/>
          <w:p>
            <w:pPr>
              <w:pStyle w:val="Compact"/>
              <w:jc w:val="left"/>
            </w:pPr>
            <w:r>
              <w:t xml:space="preserve">Mot de passe scrypt, session signée de 12 h</w:t>
            </w:r>
          </w:p>
        </w:tc>
        <w:tc>
          <w:tcPr/>
          <w:p>
            <w:pPr>
              <w:pStyle w:val="Compact"/>
              <w:jc w:val="left"/>
            </w:pPr>
            <w:r>
              <w:t xml:space="preserve">OIDC, MFA, cartes agents PKI</w:t>
            </w:r>
          </w:p>
        </w:tc>
        <w:tc>
          <w:tcPr/>
          <w:p>
            <w:pPr>
              <w:pStyle w:val="Compact"/>
              <w:jc w:val="left"/>
            </w:pPr>
            <w:r>
              <w:t xml:space="preserve">À développer</w:t>
            </w:r>
          </w:p>
        </w:tc>
      </w:tr>
      <w:tr>
        <w:tc>
          <w:tcPr/>
          <w:p>
            <w:pPr>
              <w:pStyle w:val="Compact"/>
              <w:jc w:val="left"/>
            </w:pPr>
            <w:r>
              <w:t xml:space="preserve">Mode hors ligne</w:t>
            </w:r>
          </w:p>
        </w:tc>
        <w:tc>
          <w:tcPr/>
          <w:p>
            <w:pPr>
              <w:pStyle w:val="Compact"/>
              <w:jc w:val="left"/>
            </w:pPr>
            <w:r>
              <w:t xml:space="preserve">Absent</w:t>
            </w:r>
          </w:p>
        </w:tc>
        <w:tc>
          <w:tcPr/>
          <w:p>
            <w:pPr>
              <w:pStyle w:val="Compact"/>
              <w:jc w:val="left"/>
            </w:pPr>
            <w:r>
              <w:t xml:space="preserve">Serveur de poste avec stockage et retransmission</w:t>
            </w:r>
          </w:p>
        </w:tc>
        <w:tc>
          <w:tcPr/>
          <w:p>
            <w:pPr>
              <w:pStyle w:val="Compact"/>
              <w:jc w:val="left"/>
            </w:pPr>
            <w:r>
              <w:t xml:space="preserve">À développer</w:t>
            </w:r>
          </w:p>
        </w:tc>
      </w:tr>
      <w:tr>
        <w:tc>
          <w:tcPr/>
          <w:p>
            <w:pPr>
              <w:pStyle w:val="Compact"/>
              <w:jc w:val="left"/>
            </w:pPr>
            <w:r>
              <w:t xml:space="preserve">Kiosques eGate</w:t>
            </w:r>
          </w:p>
        </w:tc>
        <w:tc>
          <w:tcPr/>
          <w:p>
            <w:pPr>
              <w:pStyle w:val="Compact"/>
              <w:jc w:val="left"/>
            </w:pPr>
            <w:r>
              <w:rPr>
                <w:rStyle w:val="VerbatimChar"/>
              </w:rPr>
              <w:t xml:space="preserve">/gate/</w:t>
            </w:r>
            <w:r>
              <w:t xml:space="preserve"> </w:t>
            </w:r>
            <w:r>
              <w:t xml:space="preserve">avec en-tête</w:t>
            </w:r>
            <w:r>
              <w:t xml:space="preserve"> </w:t>
            </w:r>
            <w:r>
              <w:rPr>
                <w:rStyle w:val="VerbatimChar"/>
              </w:rPr>
              <w:t xml:space="preserve">X-Gate-Key</w:t>
            </w:r>
          </w:p>
        </w:tc>
        <w:tc>
          <w:tcPr/>
          <w:p>
            <w:pPr>
              <w:pStyle w:val="Compact"/>
              <w:jc w:val="left"/>
            </w:pPr>
            <w:r>
              <w:t xml:space="preserve">Servis par le serveur de poste ; certificats par équipement</w:t>
            </w:r>
          </w:p>
        </w:tc>
        <w:tc>
          <w:tcPr/>
          <w:p>
            <w:pPr>
              <w:pStyle w:val="Compact"/>
              <w:jc w:val="left"/>
            </w:pPr>
            <w:r>
              <w:t xml:space="preserve">À développer</w:t>
            </w:r>
          </w:p>
        </w:tc>
      </w:tr>
      <w:tr>
        <w:tc>
          <w:tcPr/>
          <w:p>
            <w:pPr>
              <w:pStyle w:val="Compact"/>
              <w:jc w:val="left"/>
            </w:pPr>
            <w:r>
              <w:t xml:space="preserve">Pont NFC</w:t>
            </w:r>
          </w:p>
        </w:tc>
        <w:tc>
          <w:tcPr/>
          <w:p>
            <w:pPr>
              <w:pStyle w:val="Compact"/>
              <w:jc w:val="left"/>
            </w:pPr>
            <w:r>
              <w:rPr>
                <w:rStyle w:val="VerbatimChar"/>
              </w:rPr>
              <w:t xml:space="preserve">tools/nfc-bridge.mjs</w:t>
            </w:r>
            <w:r>
              <w:t xml:space="preserve">, origine autorisée par</w:t>
            </w:r>
            <w:r>
              <w:t xml:space="preserve"> </w:t>
            </w:r>
            <w:r>
              <w:rPr>
                <w:rStyle w:val="VerbatimChar"/>
              </w:rPr>
              <w:t xml:space="preserve">NFC_BRIDGE_ORIGIN</w:t>
            </w:r>
          </w:p>
        </w:tc>
        <w:tc>
          <w:tcPr/>
          <w:p>
            <w:pPr>
              <w:pStyle w:val="Compact"/>
              <w:jc w:val="left"/>
            </w:pPr>
            <w:r>
              <w:rPr>
                <w:rStyle w:val="VerbatimChar"/>
              </w:rPr>
              <w:t xml:space="preserve">NFC_BRIDGE_ORIGIN</w:t>
            </w:r>
            <w:r>
              <w:t xml:space="preserve"> </w:t>
            </w:r>
            <w:r>
              <w:t xml:space="preserve">limité aux domaines de production (</w:t>
            </w:r>
            <w:r>
              <w:rPr>
                <w:rStyle w:val="VerbatimChar"/>
              </w:rPr>
              <w:t xml:space="preserve">dpaf.&lt;domaine&gt;</w:t>
            </w:r>
            <w:r>
              <w:t xml:space="preserve">, domaine des kiosques)</w:t>
            </w:r>
          </w:p>
        </w:tc>
        <w:tc>
          <w:tcPr/>
          <w:p>
            <w:pPr>
              <w:pStyle w:val="Compact"/>
              <w:jc w:val="left"/>
            </w:pPr>
            <w:r>
              <w:t xml:space="preserve">Configuration</w:t>
            </w:r>
          </w:p>
        </w:tc>
      </w:tr>
      <w:tr>
        <w:tc>
          <w:tcPr/>
          <w:p>
            <w:pPr>
              <w:pStyle w:val="Compact"/>
              <w:jc w:val="left"/>
            </w:pPr>
            <w:r>
              <w:t xml:space="preserve">Application mobile</w:t>
            </w:r>
          </w:p>
        </w:tc>
        <w:tc>
          <w:tcPr/>
          <w:p>
            <w:pPr>
              <w:pStyle w:val="Compact"/>
              <w:jc w:val="left"/>
            </w:pPr>
            <w:r>
              <w:rPr>
                <w:rStyle w:val="VerbatimChar"/>
              </w:rPr>
              <w:t xml:space="preserve">mobile/</w:t>
            </w:r>
            <w:r>
              <w:t xml:space="preserve">, API par défaut</w:t>
            </w:r>
            <w:r>
              <w:t xml:space="preserve"> </w:t>
            </w:r>
            <w:r>
              <w:rPr>
                <w:rStyle w:val="VerbatimChar"/>
              </w:rPr>
              <w:t xml:space="preserve">https://wawid-waw-telecom.netlify.app</w:t>
            </w:r>
          </w:p>
        </w:tc>
        <w:tc>
          <w:tcPr/>
          <w:p>
            <w:pPr>
              <w:pStyle w:val="Compact"/>
              <w:jc w:val="left"/>
            </w:pPr>
            <w:r>
              <w:t xml:space="preserve">Compilée avec</w:t>
            </w:r>
            <w:r>
              <w:t xml:space="preserve"> </w:t>
            </w:r>
            <w:r>
              <w:rPr>
                <w:rStyle w:val="VerbatimChar"/>
              </w:rPr>
              <w:t xml:space="preserve">--dart-define=WAWID_API=https://api.&lt;domaine&gt;</w:t>
            </w:r>
          </w:p>
        </w:tc>
        <w:tc>
          <w:tcPr/>
          <w:p>
            <w:pPr>
              <w:pStyle w:val="Compact"/>
              <w:jc w:val="left"/>
            </w:pPr>
            <w:r>
              <w:t xml:space="preserve">Configuration</w:t>
            </w:r>
          </w:p>
        </w:tc>
      </w:tr>
      <w:tr>
        <w:tc>
          <w:tcPr/>
          <w:p>
            <w:pPr>
              <w:pStyle w:val="Compact"/>
              <w:jc w:val="left"/>
            </w:pPr>
            <w:r>
              <w:t xml:space="preserve">Passerelle des compagnies</w:t>
            </w:r>
          </w:p>
        </w:tc>
        <w:tc>
          <w:tcPr/>
          <w:p>
            <w:pPr>
              <w:pStyle w:val="Compact"/>
              <w:jc w:val="left"/>
            </w:pPr>
            <w:r>
              <w:rPr>
                <w:rStyle w:val="VerbatimChar"/>
              </w:rPr>
              <w:t xml:space="preserve">POST /api/carrier/messages</w:t>
            </w:r>
          </w:p>
        </w:tc>
        <w:tc>
          <w:tcPr/>
          <w:p>
            <w:pPr>
              <w:pStyle w:val="Compact"/>
              <w:jc w:val="left"/>
            </w:pPr>
            <w:r>
              <w:t xml:space="preserve">Même contrat, exposé sur</w:t>
            </w:r>
            <w:r>
              <w:t xml:space="preserve"> </w:t>
            </w:r>
            <w:r>
              <w:rPr>
                <w:rStyle w:val="VerbatimChar"/>
              </w:rPr>
              <w:t xml:space="preserve">compagnies.&lt;domaine&gt;</w:t>
            </w:r>
            <w:r>
              <w:t xml:space="preserve"> </w:t>
            </w:r>
            <w:r>
              <w:t xml:space="preserve">derrière le WAF</w:t>
            </w:r>
          </w:p>
        </w:tc>
        <w:tc>
          <w:tcPr/>
          <w:p>
            <w:pPr>
              <w:pStyle w:val="Compact"/>
              <w:jc w:val="left"/>
            </w:pPr>
            <w:r>
              <w:t xml:space="preserve">Configuration</w:t>
            </w:r>
          </w:p>
        </w:tc>
      </w:tr>
      <w:tr>
        <w:tc>
          <w:tcPr/>
          <w:p>
            <w:pPr>
              <w:pStyle w:val="Compact"/>
              <w:jc w:val="left"/>
            </w:pPr>
            <w:r>
              <w:t xml:space="preserve">Données</w:t>
            </w:r>
          </w:p>
        </w:tc>
        <w:tc>
          <w:tcPr/>
          <w:p>
            <w:pPr>
              <w:pStyle w:val="Compact"/>
              <w:jc w:val="left"/>
            </w:pPr>
            <w:r>
              <w:t xml:space="preserve">Fictives</w:t>
            </w:r>
          </w:p>
        </w:tc>
        <w:tc>
          <w:tcPr/>
          <w:p>
            <w:pPr>
              <w:pStyle w:val="Compact"/>
              <w:jc w:val="left"/>
            </w:pPr>
            <w:r>
              <w:t xml:space="preserve">Aucune reprise depuis le démonstrateur ; reprise éventuelle depuis le système en place selon les clauses contractuelles</w:t>
            </w:r>
          </w:p>
        </w:tc>
        <w:tc>
          <w:tcPr/>
          <w:p>
            <w:pPr>
              <w:pStyle w:val="Compact"/>
              <w:jc w:val="left"/>
            </w:pPr>
            <w:r>
              <w:t xml:space="preserve">À vérifier</w:t>
            </w:r>
          </w:p>
        </w:tc>
      </w:tr>
    </w:tbl>
    <w:bookmarkEnd w:id="51"/>
    <w:bookmarkStart w:id="52" w:name="tests-de-réception"/>
    <w:p>
      <w:pPr>
        <w:pStyle w:val="Heading3"/>
      </w:pPr>
      <w:r>
        <w:t xml:space="preserve">Tests de réception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w:t>
            </w:r>
          </w:p>
        </w:tc>
        <w:tc>
          <w:tcPr/>
          <w:p>
            <w:pPr>
              <w:pStyle w:val="Compact"/>
              <w:jc w:val="left"/>
            </w:pPr>
            <w:r>
              <w:t xml:space="preserve">Phase</w:t>
            </w:r>
          </w:p>
        </w:tc>
        <w:tc>
          <w:tcPr/>
          <w:p>
            <w:pPr>
              <w:pStyle w:val="Compact"/>
              <w:jc w:val="left"/>
            </w:pPr>
            <w:r>
              <w:t xml:space="preserve">Critère de réussite</w:t>
            </w:r>
          </w:p>
        </w:tc>
      </w:tr>
      <w:tr>
        <w:tc>
          <w:tcPr/>
          <w:p>
            <w:pPr>
              <w:pStyle w:val="Compact"/>
              <w:jc w:val="left"/>
            </w:pPr>
            <w:r>
              <w:t xml:space="preserve">Test de charge</w:t>
            </w:r>
          </w:p>
        </w:tc>
        <w:tc>
          <w:tcPr/>
          <w:p>
            <w:pPr>
              <w:pStyle w:val="Compact"/>
              <w:jc w:val="left"/>
            </w:pPr>
            <w:r>
              <w:t xml:space="preserve">2, puis avant chaque vague</w:t>
            </w:r>
          </w:p>
        </w:tc>
        <w:tc>
          <w:tcPr/>
          <w:p>
            <w:pPr>
              <w:pStyle w:val="Compact"/>
              <w:jc w:val="left"/>
            </w:pPr>
            <w:r>
              <w:t xml:space="preserve">10 transactions de contrôle par seconde soutenues et 50 en rafale ; pointe AIBD de 15 000 voyageurs par heure tenue par</w:t>
            </w:r>
            <w:r>
              <w:t xml:space="preserve"> </w:t>
            </w:r>
            <w:r>
              <w:rPr>
                <w:bCs/>
                <w:b/>
              </w:rPr>
              <w:t xml:space="preserve">un seul</w:t>
            </w:r>
            <w:r>
              <w:t xml:space="preserve"> </w:t>
            </w:r>
            <w:r>
              <w:t xml:space="preserve">site</w:t>
            </w:r>
          </w:p>
        </w:tc>
      </w:tr>
      <w:tr>
        <w:tc>
          <w:tcPr/>
          <w:p>
            <w:pPr>
              <w:pStyle w:val="Compact"/>
              <w:jc w:val="left"/>
            </w:pPr>
            <w:r>
              <w:t xml:space="preserve">Test de bascule A → B et retour</w:t>
            </w:r>
          </w:p>
        </w:tc>
        <w:tc>
          <w:tcPr/>
          <w:p>
            <w:pPr>
              <w:pStyle w:val="Compact"/>
              <w:jc w:val="left"/>
            </w:pPr>
            <w:r>
              <w:t xml:space="preserve">1, 3, puis deux fois par an</w:t>
            </w:r>
          </w:p>
        </w:tc>
        <w:tc>
          <w:tcPr/>
          <w:p>
            <w:pPr>
              <w:pStyle w:val="Compact"/>
              <w:jc w:val="left"/>
            </w:pPr>
            <w:r>
              <w:t xml:space="preserve">RTO ≤ 1 h ; RPO conforme ; journal d'audit intègre</w:t>
            </w:r>
          </w:p>
        </w:tc>
      </w:tr>
      <w:tr>
        <w:tc>
          <w:tcPr/>
          <w:p>
            <w:pPr>
              <w:pStyle w:val="Compact"/>
              <w:jc w:val="left"/>
            </w:pPr>
            <w:r>
              <w:t xml:space="preserve">Test de restauration (préproduction et depuis C)</w:t>
            </w:r>
          </w:p>
        </w:tc>
        <w:tc>
          <w:tcPr/>
          <w:p>
            <w:pPr>
              <w:pStyle w:val="Compact"/>
              <w:jc w:val="left"/>
            </w:pPr>
            <w:r>
              <w:t xml:space="preserve">1, puis chaque trimestre</w:t>
            </w:r>
          </w:p>
        </w:tc>
        <w:tc>
          <w:tcPr/>
          <w:p>
            <w:pPr>
              <w:pStyle w:val="Compact"/>
              <w:jc w:val="left"/>
            </w:pPr>
            <w:r>
              <w:t xml:space="preserve">Restauration complète réussie ; durée et perte mesurées</w:t>
            </w:r>
          </w:p>
        </w:tc>
      </w:tr>
      <w:tr>
        <w:tc>
          <w:tcPr/>
          <w:p>
            <w:pPr>
              <w:pStyle w:val="Compact"/>
              <w:jc w:val="left"/>
            </w:pPr>
            <w:r>
              <w:t xml:space="preserve">Test d'intrusion</w:t>
            </w:r>
          </w:p>
        </w:tc>
        <w:tc>
          <w:tcPr/>
          <w:p>
            <w:pPr>
              <w:pStyle w:val="Compact"/>
              <w:jc w:val="left"/>
            </w:pPr>
            <w:r>
              <w:t xml:space="preserve">2, avant le pilote, puis chaque année</w:t>
            </w:r>
          </w:p>
        </w:tc>
        <w:tc>
          <w:tcPr/>
          <w:p>
            <w:pPr>
              <w:pStyle w:val="Compact"/>
              <w:jc w:val="left"/>
            </w:pPr>
            <w:r>
              <w:t xml:space="preserve">Aucune vulnérabilité critique ou élevée ouverte</w:t>
            </w:r>
          </w:p>
        </w:tc>
      </w:tr>
      <w:tr>
        <w:tc>
          <w:tcPr/>
          <w:p>
            <w:pPr>
              <w:pStyle w:val="Compact"/>
              <w:jc w:val="left"/>
            </w:pPr>
            <w:r>
              <w:t xml:space="preserve">Coupure de liaison d'un poste</w:t>
            </w:r>
          </w:p>
        </w:tc>
        <w:tc>
          <w:tcPr/>
          <w:p>
            <w:pPr>
              <w:pStyle w:val="Compact"/>
              <w:jc w:val="left"/>
            </w:pPr>
            <w:r>
              <w:t xml:space="preserve">3 et 4</w:t>
            </w:r>
          </w:p>
        </w:tc>
        <w:tc>
          <w:tcPr/>
          <w:p>
            <w:pPr>
              <w:pStyle w:val="Compact"/>
              <w:jc w:val="left"/>
            </w:pPr>
            <w:r>
              <w:t xml:space="preserve">Contrôle poursuivi ; passages resynchronisés sans perte ni doublon</w:t>
            </w:r>
          </w:p>
        </w:tc>
      </w:tr>
      <w:tr>
        <w:tc>
          <w:tcPr/>
          <w:p>
            <w:pPr>
              <w:pStyle w:val="Compact"/>
              <w:jc w:val="left"/>
            </w:pPr>
            <w:r>
              <w:t xml:space="preserve">Perte d'un HSM</w:t>
            </w:r>
          </w:p>
        </w:tc>
        <w:tc>
          <w:tcPr/>
          <w:p>
            <w:pPr>
              <w:pStyle w:val="Compact"/>
              <w:jc w:val="left"/>
            </w:pPr>
            <w:r>
              <w:t xml:space="preserve">1</w:t>
            </w:r>
          </w:p>
        </w:tc>
        <w:tc>
          <w:tcPr/>
          <w:p>
            <w:pPr>
              <w:pStyle w:val="Compact"/>
              <w:jc w:val="left"/>
            </w:pPr>
            <w:r>
              <w:t xml:space="preserve">Aucune interruption de signature</w:t>
            </w:r>
          </w:p>
        </w:tc>
      </w:tr>
      <w:tr>
        <w:tc>
          <w:tcPr/>
          <w:p>
            <w:pPr>
              <w:pStyle w:val="Compact"/>
              <w:jc w:val="left"/>
            </w:pPr>
            <w:r>
              <w:t xml:space="preserve">Recette fonctionnelle</w:t>
            </w:r>
          </w:p>
        </w:tc>
        <w:tc>
          <w:tcPr/>
          <w:p>
            <w:pPr>
              <w:pStyle w:val="Compact"/>
              <w:jc w:val="left"/>
            </w:pPr>
            <w:r>
              <w:t xml:space="preserve">2 et 3</w:t>
            </w:r>
          </w:p>
        </w:tc>
        <w:tc>
          <w:tcPr/>
          <w:p>
            <w:pPr>
              <w:pStyle w:val="Compact"/>
              <w:jc w:val="left"/>
            </w:pPr>
            <w:r>
              <w:t xml:space="preserve">Tableau de recette du</w:t>
            </w:r>
            <w:r>
              <w:t xml:space="preserve"> </w:t>
            </w:r>
            <w:r>
              <w:rPr>
                <w:iCs/>
                <w:i/>
              </w:rPr>
              <w:t xml:space="preserve">Guide d'installation — Sénégal</w:t>
            </w:r>
          </w:p>
        </w:tc>
      </w:tr>
    </w:tbl>
    <w:bookmarkEnd w:id="52"/>
    <w:bookmarkEnd w:id="53"/>
    <w:bookmarkStart w:id="54" w:name="Xcc8d47899d2ce357ffe1292f830035d60144107"/>
    <w:p>
      <w:pPr>
        <w:pStyle w:val="Heading2"/>
      </w:pPr>
      <w:r>
        <w:t xml:space="preserve">7. Environnements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Environnement</w:t>
            </w:r>
          </w:p>
        </w:tc>
        <w:tc>
          <w:tcPr/>
          <w:p>
            <w:pPr>
              <w:pStyle w:val="Compact"/>
              <w:jc w:val="left"/>
            </w:pPr>
            <w:r>
              <w:t xml:space="preserve">Emplacement</w:t>
            </w:r>
          </w:p>
        </w:tc>
        <w:tc>
          <w:tcPr/>
          <w:p>
            <w:pPr>
              <w:pStyle w:val="Compact"/>
              <w:jc w:val="left"/>
            </w:pPr>
            <w:r>
              <w:t xml:space="preserve">Données</w:t>
            </w:r>
          </w:p>
        </w:tc>
        <w:tc>
          <w:tcPr/>
          <w:p>
            <w:pPr>
              <w:pStyle w:val="Compact"/>
              <w:jc w:val="left"/>
            </w:pPr>
            <w:r>
              <w:t xml:space="preserve">Usage</w:t>
            </w:r>
          </w:p>
        </w:tc>
      </w:tr>
      <w:tr>
        <w:tc>
          <w:tcPr/>
          <w:p>
            <w:pPr>
              <w:pStyle w:val="Compact"/>
              <w:jc w:val="left"/>
            </w:pPr>
            <w:r>
              <w:t xml:space="preserve">Production</w:t>
            </w:r>
          </w:p>
        </w:tc>
        <w:tc>
          <w:tcPr/>
          <w:p>
            <w:pPr>
              <w:pStyle w:val="Compact"/>
              <w:jc w:val="left"/>
            </w:pPr>
            <w:r>
              <w:t xml:space="preserve">Sites A et B (actifs), C (coffre)</w:t>
            </w:r>
          </w:p>
        </w:tc>
        <w:tc>
          <w:tcPr/>
          <w:p>
            <w:pPr>
              <w:pStyle w:val="Compact"/>
              <w:jc w:val="left"/>
            </w:pPr>
            <w:r>
              <w:t xml:space="preserve">Réelles</w:t>
            </w:r>
          </w:p>
        </w:tc>
        <w:tc>
          <w:tcPr/>
          <w:p>
            <w:pPr>
              <w:pStyle w:val="Compact"/>
              <w:jc w:val="left"/>
            </w:pPr>
            <w:r>
              <w:t xml:space="preserve">Exploitation</w:t>
            </w:r>
          </w:p>
        </w:tc>
      </w:tr>
      <w:tr>
        <w:tc>
          <w:tcPr/>
          <w:p>
            <w:pPr>
              <w:pStyle w:val="Compact"/>
              <w:jc w:val="left"/>
            </w:pPr>
            <w:r>
              <w:t xml:space="preserve">Préproduction</w:t>
            </w:r>
          </w:p>
        </w:tc>
        <w:tc>
          <w:tcPr/>
          <w:p>
            <w:pPr>
              <w:pStyle w:val="Compact"/>
              <w:jc w:val="left"/>
            </w:pPr>
            <w:r>
              <w:t xml:space="preserve">Site B, isolée de la production</w:t>
            </w:r>
          </w:p>
        </w:tc>
        <w:tc>
          <w:tcPr/>
          <w:p>
            <w:pPr>
              <w:pStyle w:val="Compact"/>
              <w:jc w:val="left"/>
            </w:pPr>
            <w:r>
              <w:t xml:space="preserve">Synthétiques ou anonymisées</w:t>
            </w:r>
          </w:p>
        </w:tc>
        <w:tc>
          <w:tcPr/>
          <w:p>
            <w:pPr>
              <w:pStyle w:val="Compact"/>
              <w:jc w:val="left"/>
            </w:pPr>
            <w:r>
              <w:t xml:space="preserve">Validation des versions, tests de charge et de restauration, exercices</w:t>
            </w:r>
          </w:p>
        </w:tc>
      </w:tr>
      <w:tr>
        <w:tc>
          <w:tcPr/>
          <w:p>
            <w:pPr>
              <w:pStyle w:val="Compact"/>
              <w:jc w:val="left"/>
            </w:pPr>
            <w:r>
              <w:t xml:space="preserve">Test et formation</w:t>
            </w:r>
          </w:p>
        </w:tc>
        <w:tc>
          <w:tcPr/>
          <w:p>
            <w:pPr>
              <w:pStyle w:val="Compact"/>
              <w:jc w:val="left"/>
            </w:pPr>
            <w:r>
              <w:t xml:space="preserve">Site B ou environnement dédié</w:t>
            </w:r>
          </w:p>
        </w:tc>
        <w:tc>
          <w:tcPr/>
          <w:p>
            <w:pPr>
              <w:pStyle w:val="Compact"/>
              <w:jc w:val="left"/>
            </w:pPr>
            <w:r>
              <w:t xml:space="preserve">Fictives</w:t>
            </w:r>
          </w:p>
        </w:tc>
        <w:tc>
          <w:tcPr/>
          <w:p>
            <w:pPr>
              <w:pStyle w:val="Compact"/>
              <w:jc w:val="left"/>
            </w:pPr>
            <w:r>
              <w:t xml:space="preserve">Recette, formation des agents, essais des compagnies</w:t>
            </w:r>
          </w:p>
        </w:tc>
      </w:tr>
      <w:tr>
        <w:tc>
          <w:tcPr/>
          <w:p>
            <w:pPr>
              <w:pStyle w:val="Compact"/>
              <w:jc w:val="left"/>
            </w:pPr>
            <w:r>
              <w:t xml:space="preserve">Développement</w:t>
            </w:r>
          </w:p>
        </w:tc>
        <w:tc>
          <w:tcPr/>
          <w:p>
            <w:pPr>
              <w:pStyle w:val="Compact"/>
              <w:jc w:val="left"/>
            </w:pPr>
            <w:r>
              <w:t xml:space="preserve">WAW Telecom</w:t>
            </w:r>
          </w:p>
        </w:tc>
        <w:tc>
          <w:tcPr/>
          <w:p>
            <w:pPr>
              <w:pStyle w:val="Compact"/>
              <w:jc w:val="left"/>
            </w:pPr>
            <w:r>
              <w:t xml:space="preserve">Fictives</w:t>
            </w:r>
          </w:p>
        </w:tc>
        <w:tc>
          <w:tcPr/>
          <w:p>
            <w:pPr>
              <w:pStyle w:val="Compact"/>
              <w:jc w:val="left"/>
            </w:pPr>
            <w:r>
              <w:t xml:space="preserve">Développement,</w:t>
            </w:r>
            <w:r>
              <w:t xml:space="preserve"> </w:t>
            </w:r>
            <w:r>
              <w:rPr>
                <w:rStyle w:val="VerbatimChar"/>
              </w:rPr>
              <w:t xml:space="preserve">npm test</w:t>
            </w:r>
          </w:p>
        </w:tc>
      </w:tr>
      <w:tr>
        <w:tc>
          <w:tcPr/>
          <w:p>
            <w:pPr>
              <w:pStyle w:val="Compact"/>
              <w:jc w:val="left"/>
            </w:pPr>
            <w:r>
              <w:t xml:space="preserve">Démonstrateur Netlify</w:t>
            </w:r>
          </w:p>
        </w:tc>
        <w:tc>
          <w:tcPr/>
          <w:p>
            <w:pPr>
              <w:pStyle w:val="Compact"/>
              <w:jc w:val="left"/>
            </w:pPr>
            <w:r>
              <w:t xml:space="preserve">Netlify, hors du territoire</w:t>
            </w:r>
          </w:p>
        </w:tc>
        <w:tc>
          <w:tcPr/>
          <w:p>
            <w:pPr>
              <w:pStyle w:val="Compact"/>
              <w:jc w:val="left"/>
            </w:pPr>
            <w:r>
              <w:t xml:space="preserve">Fictives uniquement</w:t>
            </w:r>
          </w:p>
        </w:tc>
        <w:tc>
          <w:tcPr/>
          <w:p>
            <w:pPr>
              <w:pStyle w:val="Compact"/>
              <w:jc w:val="left"/>
            </w:pPr>
            <w:r>
              <w:t xml:space="preserve">Démonstrations ; aucune donnée personnelle réelle</w:t>
            </w:r>
          </w:p>
        </w:tc>
      </w:tr>
    </w:tbl>
    <w:p>
      <w:pPr>
        <w:pStyle w:val="BodyText"/>
      </w:pPr>
      <w:r>
        <w:t xml:space="preserve">Chaque environnement a ses propres secrets, clés et comptes. Une version n'est déployée en production qu'après validation en préproduction.</w:t>
      </w:r>
    </w:p>
    <w:bookmarkEnd w:id="54"/>
    <w:bookmarkStart w:id="59" w:name="X785c5df3ea3a177940b12d06cc6e6d8090d0e47"/>
    <w:p>
      <w:pPr>
        <w:pStyle w:val="Heading2"/>
      </w:pPr>
      <w:r>
        <w:t xml:space="preserve">8. Exploitation</w:t>
      </w:r>
    </w:p>
    <w:bookmarkStart w:id="55" w:name="supervision"/>
    <w:p>
      <w:pPr>
        <w:pStyle w:val="Heading3"/>
      </w:pPr>
      <w:r>
        <w:t xml:space="preserve">Supervision</w:t>
      </w:r>
    </w:p>
    <w:p>
      <w:pPr>
        <w:numPr>
          <w:ilvl w:val="0"/>
          <w:numId w:val="1008"/>
        </w:numPr>
        <w:pStyle w:val="Compact"/>
      </w:pPr>
      <w:r>
        <w:rPr>
          <w:bCs/>
          <w:b/>
        </w:rPr>
        <w:t xml:space="preserve">Centre de supervision (NOC) 24 h/24 et 7 j/7</w:t>
      </w:r>
      <w:r>
        <w:t xml:space="preserve">, couplé au SOC.</w:t>
      </w:r>
    </w:p>
    <w:p>
      <w:pPr>
        <w:numPr>
          <w:ilvl w:val="0"/>
          <w:numId w:val="1008"/>
        </w:numPr>
        <w:pStyle w:val="Compact"/>
      </w:pPr>
      <w:r>
        <w:t xml:space="preserve">Contrôles de santé des deux sites, de la réplication, des liaisons de chaque poste, des HSM, des sauvegardes et des certificats.</w:t>
      </w:r>
    </w:p>
    <w:p>
      <w:pPr>
        <w:numPr>
          <w:ilvl w:val="0"/>
          <w:numId w:val="1008"/>
        </w:numPr>
        <w:pStyle w:val="Compact"/>
      </w:pPr>
      <w:r>
        <w:t xml:space="preserve">L'état des équipements de poste remonte aussi dans</w:t>
      </w:r>
      <w:r>
        <w:t xml:space="preserve"> </w:t>
      </w:r>
      <w:r>
        <w:rPr>
          <w:bCs/>
          <w:b/>
        </w:rPr>
        <w:t xml:space="preserve">Supervision systèmes</w:t>
      </w:r>
      <w:r>
        <w:t xml:space="preserve"> </w:t>
      </w:r>
      <w:r>
        <w:t xml:space="preserve">de l'espace DPAF (Existant pour l'affichage ; remontée réelle À développer).</w:t>
      </w:r>
    </w:p>
    <w:p>
      <w:pPr>
        <w:numPr>
          <w:ilvl w:val="0"/>
          <w:numId w:val="1008"/>
        </w:numPr>
        <w:pStyle w:val="Compact"/>
      </w:pPr>
      <w:r>
        <w:t xml:space="preserve">Tableaux de bord de capacité et de performance, seuils d'alerte et astreinte.</w:t>
      </w:r>
    </w:p>
    <w:bookmarkEnd w:id="55"/>
    <w:bookmarkStart w:id="56" w:name="niveaux-de-service-à-négocier"/>
    <w:p>
      <w:pPr>
        <w:pStyle w:val="Heading3"/>
      </w:pPr>
      <w:r>
        <w:t xml:space="preserve">Niveaux de service à négocier</w:t>
      </w:r>
    </w:p>
    <w:p>
      <w:pPr>
        <w:pStyle w:val="FirstParagraph"/>
      </w:pPr>
      <w:r>
        <w:t xml:space="preserve">Ces éléments sont à négocier avec Sénégal Numérique et le centre de données commercial ; aucune valeur n'est fixée dans ce plan :</w:t>
      </w:r>
    </w:p>
    <w:p>
      <w:pPr>
        <w:numPr>
          <w:ilvl w:val="0"/>
          <w:numId w:val="1009"/>
        </w:numPr>
        <w:pStyle w:val="Compact"/>
      </w:pPr>
      <w:r>
        <w:t xml:space="preserve">disponibilité de l'énergie et du refroidissement ;</w:t>
      </w:r>
    </w:p>
    <w:p>
      <w:pPr>
        <w:numPr>
          <w:ilvl w:val="0"/>
          <w:numId w:val="1009"/>
        </w:numPr>
        <w:pStyle w:val="Compact"/>
      </w:pPr>
      <w:r>
        <w:t xml:space="preserve">délais d'intervention sur site et d'accès d'urgence ;</w:t>
      </w:r>
    </w:p>
    <w:p>
      <w:pPr>
        <w:numPr>
          <w:ilvl w:val="0"/>
          <w:numId w:val="1009"/>
        </w:numPr>
        <w:pStyle w:val="Compact"/>
      </w:pPr>
      <w:r>
        <w:t xml:space="preserve">disponibilité et délai de rétablissement des liaisons opérateurs ;</w:t>
      </w:r>
    </w:p>
    <w:p>
      <w:pPr>
        <w:numPr>
          <w:ilvl w:val="0"/>
          <w:numId w:val="1009"/>
        </w:numPr>
        <w:pStyle w:val="Compact"/>
      </w:pPr>
      <w:r>
        <w:t xml:space="preserve">protection anti-DDoS et capacité de filtrage ;</w:t>
      </w:r>
    </w:p>
    <w:p>
      <w:pPr>
        <w:numPr>
          <w:ilvl w:val="0"/>
          <w:numId w:val="1009"/>
        </w:numPr>
        <w:pStyle w:val="Compact"/>
      </w:pPr>
      <w:r>
        <w:t xml:space="preserve">sécurité physique, contrôle d'accès et registre des visites ;</w:t>
      </w:r>
    </w:p>
    <w:p>
      <w:pPr>
        <w:numPr>
          <w:ilvl w:val="0"/>
          <w:numId w:val="1009"/>
        </w:numPr>
        <w:pStyle w:val="Compact"/>
      </w:pPr>
      <w:r>
        <w:t xml:space="preserve">notification des incidents et des maintenances planifiées ;</w:t>
      </w:r>
    </w:p>
    <w:p>
      <w:pPr>
        <w:numPr>
          <w:ilvl w:val="0"/>
          <w:numId w:val="1009"/>
        </w:numPr>
        <w:pStyle w:val="Compact"/>
      </w:pPr>
      <w:r>
        <w:t xml:space="preserve">conditions de réversibilité et de sortie ;</w:t>
      </w:r>
    </w:p>
    <w:p>
      <w:pPr>
        <w:numPr>
          <w:ilvl w:val="0"/>
          <w:numId w:val="1009"/>
        </w:numPr>
        <w:pStyle w:val="Compact"/>
      </w:pPr>
      <w:r>
        <w:t xml:space="preserve">pénalités en cas de manquement.</w:t>
      </w:r>
    </w:p>
    <w:bookmarkEnd w:id="56"/>
    <w:bookmarkStart w:id="57" w:name="capacité-correctifs-et-changements"/>
    <w:p>
      <w:pPr>
        <w:pStyle w:val="Heading3"/>
      </w:pPr>
      <w:r>
        <w:t xml:space="preserve">Capacité, correctifs et changements</w:t>
      </w:r>
    </w:p>
    <w:p>
      <w:pPr>
        <w:numPr>
          <w:ilvl w:val="0"/>
          <w:numId w:val="1010"/>
        </w:numPr>
        <w:pStyle w:val="Compact"/>
      </w:pPr>
      <w:r>
        <w:rPr>
          <w:bCs/>
          <w:b/>
        </w:rPr>
        <w:t xml:space="preserve">Capacité</w:t>
      </w:r>
      <w:r>
        <w:t xml:space="preserve"> </w:t>
      </w:r>
      <w:r>
        <w:t xml:space="preserve">: revue trimestrielle de la charge réelle (passages, e-Visa, messages API/PNR, biométrie) par rapport au dimensionnement ; chaque site doit pouvoir porter seul la pointe.</w:t>
      </w:r>
    </w:p>
    <w:p>
      <w:pPr>
        <w:numPr>
          <w:ilvl w:val="0"/>
          <w:numId w:val="1010"/>
        </w:numPr>
        <w:pStyle w:val="Compact"/>
      </w:pPr>
      <w:r>
        <w:rPr>
          <w:bCs/>
          <w:b/>
        </w:rPr>
        <w:t xml:space="preserve">Correctifs</w:t>
      </w:r>
      <w:r>
        <w:t xml:space="preserve"> </w:t>
      </w:r>
      <w:r>
        <w:t xml:space="preserve">: mise à jour site par site (B puis A), sans interruption grâce à l'actif-actif ; correctifs critiques en urgence selon la procédure de changement.</w:t>
      </w:r>
    </w:p>
    <w:p>
      <w:pPr>
        <w:numPr>
          <w:ilvl w:val="0"/>
          <w:numId w:val="1010"/>
        </w:numPr>
        <w:pStyle w:val="Compact"/>
      </w:pPr>
      <w:r>
        <w:rPr>
          <w:bCs/>
          <w:b/>
        </w:rPr>
        <w:t xml:space="preserve">Changements</w:t>
      </w:r>
      <w:r>
        <w:t xml:space="preserve"> </w:t>
      </w:r>
      <w:r>
        <w:t xml:space="preserve">: comité de changement avec la DPAF ; fenêtres de maintenance planifiées et annoncées ; tout changement est d'abord appliqué en préproduction.</w:t>
      </w:r>
    </w:p>
    <w:p>
      <w:pPr>
        <w:numPr>
          <w:ilvl w:val="0"/>
          <w:numId w:val="1010"/>
        </w:numPr>
        <w:pStyle w:val="Compact"/>
      </w:pPr>
      <w:r>
        <w:rPr>
          <w:bCs/>
          <w:b/>
        </w:rPr>
        <w:t xml:space="preserve">Maintenance planifiée</w:t>
      </w:r>
      <w:r>
        <w:t xml:space="preserve"> </w:t>
      </w:r>
      <w:r>
        <w:t xml:space="preserve">: de préférence aux heures creuses de trafic, communiquées à l'avance aux postes, aux compagnies et au Trésor.</w:t>
      </w:r>
    </w:p>
    <w:bookmarkEnd w:id="57"/>
    <w:bookmarkStart w:id="58" w:name="matrice-des-responsabilités-raci"/>
    <w:p>
      <w:pPr>
        <w:pStyle w:val="Heading3"/>
      </w:pPr>
      <w:r>
        <w:t xml:space="preserve">Matrice des responsabilités (RACI)</w:t>
      </w:r>
    </w:p>
    <w:p>
      <w:pPr>
        <w:pStyle w:val="FirstParagraph"/>
      </w:pPr>
      <w:r>
        <w:t xml:space="preserve">R : réalise ; A : approuve et répond du résultat ; C : consulté ; I : informé. Répartition proposée,</w:t>
      </w:r>
      <w:r>
        <w:t xml:space="preserve"> </w:t>
      </w:r>
      <w:r>
        <w:rPr>
          <w:bCs/>
          <w:b/>
        </w:rPr>
        <w:t xml:space="preserve">À vérifier</w:t>
      </w:r>
      <w:r>
        <w:t xml:space="preserve"> </w:t>
      </w:r>
      <w:r>
        <w:t xml:space="preserve">dans les conventions.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Activité</w:t>
            </w:r>
          </w:p>
        </w:tc>
        <w:tc>
          <w:tcPr/>
          <w:p>
            <w:pPr>
              <w:pStyle w:val="Compact"/>
              <w:jc w:val="left"/>
            </w:pPr>
            <w:r>
              <w:t xml:space="preserve">WAW Telecom</w:t>
            </w:r>
          </w:p>
        </w:tc>
        <w:tc>
          <w:tcPr/>
          <w:p>
            <w:pPr>
              <w:pStyle w:val="Compact"/>
              <w:jc w:val="left"/>
            </w:pPr>
            <w:r>
              <w:t xml:space="preserve">DPAF</w:t>
            </w:r>
          </w:p>
        </w:tc>
        <w:tc>
          <w:tcPr/>
          <w:p>
            <w:pPr>
              <w:pStyle w:val="Compact"/>
              <w:jc w:val="left"/>
            </w:pPr>
            <w:r>
              <w:t xml:space="preserve">Sénégal Numérique</w:t>
            </w:r>
          </w:p>
        </w:tc>
        <w:tc>
          <w:tcPr/>
          <w:p>
            <w:pPr>
              <w:pStyle w:val="Compact"/>
              <w:jc w:val="left"/>
            </w:pPr>
            <w:r>
              <w:t xml:space="preserve">DC commercial</w:t>
            </w:r>
          </w:p>
        </w:tc>
        <w:tc>
          <w:tcPr/>
          <w:p>
            <w:pPr>
              <w:pStyle w:val="Compact"/>
              <w:jc w:val="left"/>
            </w:pPr>
            <w:r>
              <w:t xml:space="preserve">DGCPT</w:t>
            </w:r>
          </w:p>
        </w:tc>
        <w:tc>
          <w:tcPr/>
          <w:p>
            <w:pPr>
              <w:pStyle w:val="Compact"/>
              <w:jc w:val="left"/>
            </w:pPr>
            <w:r>
              <w:t xml:space="preserve">Compagnies</w:t>
            </w:r>
          </w:p>
        </w:tc>
      </w:tr>
      <w:tr>
        <w:tc>
          <w:tcPr/>
          <w:p>
            <w:pPr>
              <w:pStyle w:val="Compact"/>
              <w:jc w:val="left"/>
            </w:pPr>
            <w:r>
              <w:t xml:space="preserve">Hébergement du site A (énergie, salle, accès)</w:t>
            </w:r>
          </w:p>
        </w:tc>
        <w:tc>
          <w:tcPr/>
          <w:p>
            <w:pPr>
              <w:pStyle w:val="Compact"/>
              <w:jc w:val="left"/>
            </w:pPr>
            <w:r>
              <w:t xml:space="preserve">C</w:t>
            </w:r>
          </w:p>
        </w:tc>
        <w:tc>
          <w:tcPr/>
          <w:p>
            <w:pPr>
              <w:pStyle w:val="Compact"/>
              <w:jc w:val="left"/>
            </w:pPr>
            <w:r>
              <w:t xml:space="preserve">I</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Hébergement du site B</w:t>
            </w:r>
          </w:p>
        </w:tc>
        <w:tc>
          <w:tcPr/>
          <w:p>
            <w:pPr>
              <w:pStyle w:val="Compact"/>
              <w:jc w:val="left"/>
            </w:pPr>
            <w:r>
              <w:t xml:space="preserve">C</w:t>
            </w:r>
          </w:p>
        </w:tc>
        <w:tc>
          <w:tcPr/>
          <w:p>
            <w:pPr>
              <w:pStyle w:val="Compact"/>
              <w:jc w:val="left"/>
            </w:pPr>
            <w:r>
              <w:t xml:space="preserve">I</w:t>
            </w:r>
          </w:p>
        </w:tc>
        <w:tc>
          <w:tcPr/>
          <w:p>
            <w:pPr>
              <w:pStyle w:val="Compact"/>
              <w:jc w:val="left"/>
            </w:pPr>
            <w:r>
              <w:t xml:space="preserve">—</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Infrastructure et plateforme WawID</w:t>
            </w:r>
          </w:p>
        </w:tc>
        <w:tc>
          <w:tcPr/>
          <w:p>
            <w:pPr>
              <w:pStyle w:val="Compact"/>
              <w:jc w:val="left"/>
            </w:pPr>
            <w:r>
              <w:t xml:space="preserve">R/A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Sauvegardes et restaurations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Décision de bascule d'un site</w:t>
            </w:r>
          </w:p>
        </w:tc>
        <w:tc>
          <w:tcPr/>
          <w:p>
            <w:pPr>
              <w:pStyle w:val="Compact"/>
              <w:jc w:val="left"/>
            </w:pPr>
            <w:r>
              <w:t xml:space="preserve">R</w:t>
            </w:r>
          </w:p>
        </w:tc>
        <w:tc>
          <w:tcPr/>
          <w:p>
            <w:pPr>
              <w:pStyle w:val="Compact"/>
              <w:jc w:val="left"/>
            </w:pPr>
            <w:r>
              <w:t xml:space="preserve">A</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Exploitation des postes (procédures, mode dégradé)</w:t>
            </w:r>
          </w:p>
        </w:tc>
        <w:tc>
          <w:tcPr/>
          <w:p>
            <w:pPr>
              <w:pStyle w:val="Compact"/>
              <w:jc w:val="left"/>
            </w:pPr>
            <w:r>
              <w:t xml:space="preserve">C</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Sécurité (SOC, vulnérabilités)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Formalités CDP</w:t>
            </w:r>
          </w:p>
        </w:tc>
        <w:tc>
          <w:tcPr/>
          <w:p>
            <w:pPr>
              <w:pStyle w:val="Compact"/>
              <w:jc w:val="left"/>
            </w:pPr>
            <w:r>
              <w:t xml:space="preserve">C</w:t>
            </w:r>
          </w:p>
        </w:tc>
        <w:tc>
          <w:tcPr/>
          <w:p>
            <w:pPr>
              <w:pStyle w:val="Compact"/>
              <w:jc w:val="left"/>
            </w:pPr>
            <w:r>
              <w:t xml:space="preserve">R/A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Redevance de sécurité (paramètres, encaissements)</w:t>
            </w:r>
          </w:p>
        </w:tc>
        <w:tc>
          <w:tcPr/>
          <w:p>
            <w:pPr>
              <w:pStyle w:val="Compact"/>
              <w:jc w:val="left"/>
            </w:pPr>
            <w:r>
              <w:t xml:space="preserve">R</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C</w:t>
            </w:r>
          </w:p>
        </w:tc>
      </w:tr>
      <w:tr>
        <w:tc>
          <w:tcPr/>
          <w:p>
            <w:pPr>
              <w:pStyle w:val="Compact"/>
              <w:jc w:val="left"/>
            </w:pPr>
            <w:r>
              <w:t xml:space="preserve">Transmission API/PNR</w:t>
            </w:r>
          </w:p>
        </w:tc>
        <w:tc>
          <w:tcPr/>
          <w:p>
            <w:pPr>
              <w:pStyle w:val="Compact"/>
              <w:jc w:val="left"/>
            </w:pPr>
            <w:r>
              <w:t xml:space="preserve">C</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r>
      <w:tr>
        <w:tc>
          <w:tcPr/>
          <w:p>
            <w:pPr>
              <w:pStyle w:val="Compact"/>
              <w:jc w:val="left"/>
            </w:pPr>
            <w:r>
              <w:t xml:space="preserve">Exercices de reprise</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bl>
    <w:bookmarkEnd w:id="58"/>
    <w:bookmarkEnd w:id="59"/>
    <w:bookmarkStart w:id="60" w:name="X6c662014be3c70e2e4e90219ebbd7ef76f2b21f"/>
    <w:p>
      <w:pPr>
        <w:pStyle w:val="Heading2"/>
      </w:pPr>
      <w:r>
        <w:t xml:space="preserve">9. Nomenclature par site</w:t>
      </w:r>
    </w:p>
    <w:p>
      <w:pPr>
        <w:pStyle w:val="FirstParagraph"/>
      </w:pPr>
      <w:r>
        <w:t xml:space="preserve">Types d'équipements et quantités</w:t>
      </w:r>
      <w:r>
        <w:t xml:space="preserve"> </w:t>
      </w:r>
      <w:r>
        <w:rPr>
          <w:bCs/>
          <w:b/>
        </w:rPr>
        <w:t xml:space="preserve">à dimensionner</w:t>
      </w:r>
      <w:r>
        <w:t xml:space="preserve"> </w:t>
      </w:r>
      <w:r>
        <w:t xml:space="preserve">lors de l'étude détaillée ; aucun prix. Les quantités minimales indiquées découlent des principes de redondance.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Équipement</w:t>
            </w:r>
          </w:p>
        </w:tc>
        <w:tc>
          <w:tcPr/>
          <w:p>
            <w:pPr>
              <w:pStyle w:val="Compact"/>
              <w:jc w:val="left"/>
            </w:pPr>
            <w:r>
              <w:t xml:space="preserve">Site A</w:t>
            </w:r>
          </w:p>
        </w:tc>
        <w:tc>
          <w:tcPr/>
          <w:p>
            <w:pPr>
              <w:pStyle w:val="Compact"/>
              <w:jc w:val="left"/>
            </w:pPr>
            <w:r>
              <w:t xml:space="preserve">Site B</w:t>
            </w:r>
          </w:p>
        </w:tc>
        <w:tc>
          <w:tcPr/>
          <w:p>
            <w:pPr>
              <w:pStyle w:val="Compact"/>
              <w:jc w:val="left"/>
            </w:pPr>
            <w:r>
              <w:t xml:space="preserve">Site C</w:t>
            </w:r>
          </w:p>
        </w:tc>
        <w:tc>
          <w:tcPr/>
          <w:p>
            <w:pPr>
              <w:pStyle w:val="Compact"/>
              <w:jc w:val="left"/>
            </w:pPr>
            <w:r>
              <w:t xml:space="preserve">Chaque poste</w:t>
            </w:r>
          </w:p>
        </w:tc>
      </w:tr>
      <w:tr>
        <w:tc>
          <w:tcPr/>
          <w:p>
            <w:pPr>
              <w:pStyle w:val="Compact"/>
              <w:jc w:val="left"/>
            </w:pPr>
            <w:r>
              <w:t xml:space="preserve">Baies</w:t>
            </w:r>
          </w:p>
        </w:tc>
        <w:tc>
          <w:tcPr/>
          <w:p>
            <w:pPr>
              <w:pStyle w:val="Compact"/>
              <w:jc w:val="left"/>
            </w:pPr>
            <w:r>
              <w:t xml:space="preserve">À dimensionner</w:t>
            </w:r>
          </w:p>
        </w:tc>
        <w:tc>
          <w:tcPr/>
          <w:p>
            <w:pPr>
              <w:pStyle w:val="Compact"/>
              <w:jc w:val="left"/>
            </w:pPr>
            <w:r>
              <w:t xml:space="preserve">À dimensionner</w:t>
            </w:r>
          </w:p>
        </w:tc>
        <w:tc>
          <w:tcPr/>
          <w:p>
            <w:pPr>
              <w:pStyle w:val="Compact"/>
              <w:jc w:val="left"/>
            </w:pPr>
            <w:r>
              <w:t xml:space="preserve">1 ou 2</w:t>
            </w:r>
          </w:p>
        </w:tc>
        <w:tc>
          <w:tcPr/>
          <w:p>
            <w:pPr>
              <w:pStyle w:val="Compact"/>
              <w:jc w:val="left"/>
            </w:pPr>
            <w:r>
              <w:t xml:space="preserve">1 baie ou coffret</w:t>
            </w:r>
          </w:p>
        </w:tc>
      </w:tr>
      <w:tr>
        <w:tc>
          <w:tcPr/>
          <w:p>
            <w:pPr>
              <w:pStyle w:val="Compact"/>
              <w:jc w:val="left"/>
            </w:pPr>
            <w:r>
              <w:t xml:space="preserve">Routeurs (deux opérateurs)</w:t>
            </w:r>
          </w:p>
        </w:tc>
        <w:tc>
          <w:tcPr/>
          <w:p>
            <w:pPr>
              <w:pStyle w:val="Compact"/>
              <w:jc w:val="left"/>
            </w:pPr>
            <w:r>
              <w:t xml:space="preserve">2</w:t>
            </w:r>
          </w:p>
        </w:tc>
        <w:tc>
          <w:tcPr/>
          <w:p>
            <w:pPr>
              <w:pStyle w:val="Compact"/>
              <w:jc w:val="left"/>
            </w:pPr>
            <w:r>
              <w:t xml:space="preserve">2</w:t>
            </w:r>
          </w:p>
        </w:tc>
        <w:tc>
          <w:tcPr/>
          <w:p>
            <w:pPr>
              <w:pStyle w:val="Compact"/>
              <w:jc w:val="left"/>
            </w:pPr>
            <w:r>
              <w:t xml:space="preserve">1 ou 2</w:t>
            </w:r>
          </w:p>
        </w:tc>
        <w:tc>
          <w:tcPr/>
          <w:p>
            <w:pPr>
              <w:pStyle w:val="Compact"/>
              <w:jc w:val="left"/>
            </w:pPr>
            <w:r>
              <w:t xml:space="preserve">1 (+ routeur 4G/VSAT)</w:t>
            </w:r>
          </w:p>
        </w:tc>
      </w:tr>
      <w:tr>
        <w:tc>
          <w:tcPr/>
          <w:p>
            <w:pPr>
              <w:pStyle w:val="Compact"/>
              <w:jc w:val="left"/>
            </w:pPr>
            <w:r>
              <w:t xml:space="preserve">Pare-feu</w:t>
            </w:r>
          </w:p>
        </w:tc>
        <w:tc>
          <w:tcPr/>
          <w:p>
            <w:pPr>
              <w:pStyle w:val="Compact"/>
              <w:jc w:val="left"/>
            </w:pPr>
            <w:r>
              <w:t xml:space="preserve">Paire en haute disponibilité</w:t>
            </w:r>
          </w:p>
        </w:tc>
        <w:tc>
          <w:tcPr/>
          <w:p>
            <w:pPr>
              <w:pStyle w:val="Compact"/>
              <w:jc w:val="left"/>
            </w:pPr>
            <w:r>
              <w:t xml:space="preserve">Paire</w:t>
            </w:r>
          </w:p>
        </w:tc>
        <w:tc>
          <w:tcPr/>
          <w:p>
            <w:pPr>
              <w:pStyle w:val="Compact"/>
              <w:jc w:val="left"/>
            </w:pPr>
            <w:r>
              <w:t xml:space="preserve">1 ou paire</w:t>
            </w:r>
          </w:p>
        </w:tc>
        <w:tc>
          <w:tcPr/>
          <w:p>
            <w:pPr>
              <w:pStyle w:val="Compact"/>
              <w:jc w:val="left"/>
            </w:pPr>
            <w:r>
              <w:t xml:space="preserve">1</w:t>
            </w:r>
          </w:p>
        </w:tc>
      </w:tr>
      <w:tr>
        <w:tc>
          <w:tcPr/>
          <w:p>
            <w:pPr>
              <w:pStyle w:val="Compact"/>
              <w:jc w:val="left"/>
            </w:pPr>
            <w:r>
              <w:t xml:space="preserve">Commutateurs</w:t>
            </w:r>
          </w:p>
        </w:tc>
        <w:tc>
          <w:tcPr/>
          <w:p>
            <w:pPr>
              <w:pStyle w:val="Compact"/>
              <w:jc w:val="left"/>
            </w:pPr>
            <w:r>
              <w:t xml:space="preserve">Paire au minimum</w:t>
            </w:r>
          </w:p>
        </w:tc>
        <w:tc>
          <w:tcPr/>
          <w:p>
            <w:pPr>
              <w:pStyle w:val="Compact"/>
              <w:jc w:val="left"/>
            </w:pPr>
            <w:r>
              <w:t xml:space="preserve">Paire au minimum</w:t>
            </w:r>
          </w:p>
        </w:tc>
        <w:tc>
          <w:tcPr/>
          <w:p>
            <w:pPr>
              <w:pStyle w:val="Compact"/>
              <w:jc w:val="left"/>
            </w:pPr>
            <w:r>
              <w:t xml:space="preserve">1 ou 2</w:t>
            </w:r>
          </w:p>
        </w:tc>
        <w:tc>
          <w:tcPr/>
          <w:p>
            <w:pPr>
              <w:pStyle w:val="Compact"/>
              <w:jc w:val="left"/>
            </w:pPr>
            <w:r>
              <w:t xml:space="preserve">2</w:t>
            </w:r>
          </w:p>
        </w:tc>
      </w:tr>
      <w:tr>
        <w:tc>
          <w:tcPr/>
          <w:p>
            <w:pPr>
              <w:pStyle w:val="Compact"/>
              <w:jc w:val="left"/>
            </w:pPr>
            <w:r>
              <w:t xml:space="preserve">Répartiteurs de charge et WAF</w:t>
            </w:r>
          </w:p>
        </w:tc>
        <w:tc>
          <w:tcPr/>
          <w:p>
            <w:pPr>
              <w:pStyle w:val="Compact"/>
              <w:jc w:val="left"/>
            </w:pPr>
            <w:r>
              <w:t xml:space="preserve">Paire</w:t>
            </w:r>
          </w:p>
        </w:tc>
        <w:tc>
          <w:tcPr/>
          <w:p>
            <w:pPr>
              <w:pStyle w:val="Compact"/>
              <w:jc w:val="left"/>
            </w:pPr>
            <w:r>
              <w:t xml:space="preserve">Paire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Serveurs Kubernetes</w:t>
            </w:r>
          </w:p>
        </w:tc>
        <w:tc>
          <w:tcPr/>
          <w:p>
            <w:pPr>
              <w:pStyle w:val="Compact"/>
              <w:jc w:val="left"/>
            </w:pPr>
            <w:r>
              <w:t xml:space="preserve">3 nœuds de contrôle + nœuds de travail à dimensionner</w:t>
            </w:r>
          </w:p>
        </w:tc>
        <w:tc>
          <w:tcPr/>
          <w:p>
            <w:pPr>
              <w:pStyle w:val="Compact"/>
              <w:jc w:val="left"/>
            </w:pPr>
            <w:r>
              <w:t xml:space="preserve">Idem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Serveurs PostgreSQL</w:t>
            </w:r>
          </w:p>
        </w:tc>
        <w:tc>
          <w:tcPr/>
          <w:p>
            <w:pPr>
              <w:pStyle w:val="Compact"/>
              <w:jc w:val="left"/>
            </w:pPr>
            <w:r>
              <w:t xml:space="preserve">2 au minimum</w:t>
            </w:r>
          </w:p>
        </w:tc>
        <w:tc>
          <w:tcPr/>
          <w:p>
            <w:pPr>
              <w:pStyle w:val="Compact"/>
              <w:jc w:val="left"/>
            </w:pPr>
            <w:r>
              <w:t xml:space="preserve">2 au minimum (dont la préproduction séparée)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Stockage objet</w:t>
            </w:r>
          </w:p>
        </w:tc>
        <w:tc>
          <w:tcPr/>
          <w:p>
            <w:pPr>
              <w:pStyle w:val="Compact"/>
              <w:jc w:val="left"/>
            </w:pPr>
            <w:r>
              <w:t xml:space="preserve">4 nœuds au minimum (effacement codé)</w:t>
            </w:r>
          </w:p>
        </w:tc>
        <w:tc>
          <w:tcPr/>
          <w:p>
            <w:pPr>
              <w:pStyle w:val="Compact"/>
              <w:jc w:val="left"/>
            </w:pPr>
            <w:r>
              <w:t xml:space="preserve">4 nœuds au minimum</w:t>
            </w:r>
          </w:p>
        </w:tc>
        <w:tc>
          <w:tcPr/>
          <w:p>
            <w:pPr>
              <w:pStyle w:val="Compact"/>
              <w:jc w:val="left"/>
            </w:pPr>
            <w:r>
              <w:t xml:space="preserve">Stockage immuable à dimensionner</w:t>
            </w:r>
          </w:p>
        </w:tc>
        <w:tc>
          <w:tcPr/>
          <w:p>
            <w:pPr>
              <w:pStyle w:val="Compact"/>
              <w:jc w:val="left"/>
            </w:pPr>
            <w:r>
              <w:t xml:space="preserve">—</w:t>
            </w:r>
          </w:p>
        </w:tc>
      </w:tr>
      <w:tr>
        <w:tc>
          <w:tcPr/>
          <w:p>
            <w:pPr>
              <w:pStyle w:val="Compact"/>
              <w:jc w:val="left"/>
            </w:pPr>
            <w:r>
              <w:t xml:space="preserve">Bus d'événements</w:t>
            </w:r>
          </w:p>
        </w:tc>
        <w:tc>
          <w:tcPr/>
          <w:p>
            <w:pPr>
              <w:pStyle w:val="Compact"/>
              <w:jc w:val="left"/>
            </w:pPr>
            <w:r>
              <w:t xml:space="preserve">3 nœuds</w:t>
            </w:r>
          </w:p>
        </w:tc>
        <w:tc>
          <w:tcPr/>
          <w:p>
            <w:pPr>
              <w:pStyle w:val="Compact"/>
              <w:jc w:val="left"/>
            </w:pPr>
            <w:r>
              <w:t xml:space="preserve">3 nœuds</w:t>
            </w:r>
          </w:p>
        </w:tc>
        <w:tc>
          <w:tcPr/>
          <w:p>
            <w:pPr>
              <w:pStyle w:val="Compact"/>
              <w:jc w:val="left"/>
            </w:pPr>
            <w:r>
              <w:t xml:space="preserve">Arbitre éventuel</w:t>
            </w:r>
          </w:p>
        </w:tc>
        <w:tc>
          <w:tcPr/>
          <w:p>
            <w:pPr>
              <w:pStyle w:val="Compact"/>
              <w:jc w:val="left"/>
            </w:pPr>
            <w:r>
              <w:t xml:space="preserve">—</w:t>
            </w:r>
          </w:p>
        </w:tc>
      </w:tr>
      <w:tr>
        <w:tc>
          <w:tcPr/>
          <w:p>
            <w:pPr>
              <w:pStyle w:val="Compact"/>
              <w:jc w:val="left"/>
            </w:pPr>
            <w:r>
              <w:t xml:space="preserve">Serveurs ABIS (biométrie)</w:t>
            </w:r>
          </w:p>
        </w:tc>
        <w:tc>
          <w:tcPr/>
          <w:p>
            <w:pPr>
              <w:pStyle w:val="Compact"/>
              <w:jc w:val="left"/>
            </w:pPr>
            <w:r>
              <w:t xml:space="preserve">Selon le fournisseur</w:t>
            </w:r>
          </w:p>
        </w:tc>
        <w:tc>
          <w:tcPr/>
          <w:p>
            <w:pPr>
              <w:pStyle w:val="Compact"/>
              <w:jc w:val="left"/>
            </w:pPr>
            <w:r>
              <w:t xml:space="preserve">Selon le fournisseur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HSM</w:t>
            </w:r>
          </w:p>
        </w:tc>
        <w:tc>
          <w:tcPr/>
          <w:p>
            <w:pPr>
              <w:pStyle w:val="Compact"/>
              <w:jc w:val="left"/>
            </w:pPr>
            <w:r>
              <w:t xml:space="preserve">2</w:t>
            </w:r>
          </w:p>
        </w:tc>
        <w:tc>
          <w:tcPr/>
          <w:p>
            <w:pPr>
              <w:pStyle w:val="Compact"/>
              <w:jc w:val="left"/>
            </w:pPr>
            <w:r>
              <w:t xml:space="preserve">2</w:t>
            </w:r>
          </w:p>
        </w:tc>
        <w:tc>
          <w:tcPr/>
          <w:p>
            <w:pPr>
              <w:pStyle w:val="Compact"/>
              <w:jc w:val="left"/>
            </w:pPr>
            <w:r>
              <w:t xml:space="preserve">Sauvegarde des clés (coffre)</w:t>
            </w:r>
          </w:p>
        </w:tc>
        <w:tc>
          <w:tcPr/>
          <w:p>
            <w:pPr>
              <w:pStyle w:val="Compact"/>
              <w:jc w:val="left"/>
            </w:pPr>
            <w:r>
              <w:t xml:space="preserve">—</w:t>
            </w:r>
          </w:p>
        </w:tc>
      </w:tr>
      <w:tr>
        <w:tc>
          <w:tcPr/>
          <w:p>
            <w:pPr>
              <w:pStyle w:val="Compact"/>
              <w:jc w:val="left"/>
            </w:pPr>
            <w:r>
              <w:t xml:space="preserve">Sauvegarde</w:t>
            </w:r>
          </w:p>
        </w:tc>
        <w:tc>
          <w:tcPr/>
          <w:p>
            <w:pPr>
              <w:pStyle w:val="Compact"/>
              <w:jc w:val="left"/>
            </w:pPr>
            <w:r>
              <w:t xml:space="preserve">Serveur de sauvegarde</w:t>
            </w:r>
          </w:p>
        </w:tc>
        <w:tc>
          <w:tcPr/>
          <w:p>
            <w:pPr>
              <w:pStyle w:val="Compact"/>
              <w:jc w:val="left"/>
            </w:pPr>
            <w:r>
              <w:t xml:space="preserve">Serveur de sauvegarde</w:t>
            </w:r>
          </w:p>
        </w:tc>
        <w:tc>
          <w:tcPr/>
          <w:p>
            <w:pPr>
              <w:pStyle w:val="Compact"/>
              <w:jc w:val="left"/>
            </w:pPr>
            <w:r>
              <w:t xml:space="preserve">Appliance immuable + bandes ou disques hors ligne + coffre</w:t>
            </w:r>
          </w:p>
        </w:tc>
        <w:tc>
          <w:tcPr/>
          <w:p>
            <w:pPr>
              <w:pStyle w:val="Compact"/>
              <w:jc w:val="left"/>
            </w:pPr>
            <w:r>
              <w:t xml:space="preserve">—</w:t>
            </w:r>
          </w:p>
        </w:tc>
      </w:tr>
      <w:tr>
        <w:tc>
          <w:tcPr/>
          <w:p>
            <w:pPr>
              <w:pStyle w:val="Compact"/>
              <w:jc w:val="left"/>
            </w:pPr>
            <w:r>
              <w:t xml:space="preserve">Bastion et supervision</w:t>
            </w:r>
          </w:p>
        </w:tc>
        <w:tc>
          <w:tcPr/>
          <w:p>
            <w:pPr>
              <w:pStyle w:val="Compact"/>
              <w:jc w:val="left"/>
            </w:pPr>
            <w:r>
              <w:t xml:space="preserve">2 bastions, collecteurs SIEM</w:t>
            </w:r>
          </w:p>
        </w:tc>
        <w:tc>
          <w:tcPr/>
          <w:p>
            <w:pPr>
              <w:pStyle w:val="Compact"/>
              <w:jc w:val="left"/>
            </w:pPr>
            <w:r>
              <w:t xml:space="preserve">2 bastions, collecteurs SIEM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Serveurs de poste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 nœuds</w:t>
            </w:r>
          </w:p>
        </w:tc>
      </w:tr>
      <w:tr>
        <w:tc>
          <w:tcPr/>
          <w:p>
            <w:pPr>
              <w:pStyle w:val="Compact"/>
              <w:jc w:val="left"/>
            </w:pPr>
            <w:r>
              <w:t xml:space="preserve">Énergie</w:t>
            </w:r>
          </w:p>
        </w:tc>
        <w:tc>
          <w:tcPr/>
          <w:p>
            <w:pPr>
              <w:pStyle w:val="Compact"/>
              <w:jc w:val="left"/>
            </w:pPr>
            <w:r>
              <w:t xml:space="preserve">Fournie par l'hébergeur (À vérifier)</w:t>
            </w:r>
          </w:p>
        </w:tc>
        <w:tc>
          <w:tcPr/>
          <w:p>
            <w:pPr>
              <w:pStyle w:val="Compact"/>
              <w:jc w:val="left"/>
            </w:pPr>
            <w:r>
              <w:t xml:space="preserve">Fournie par l'hébergeur</w:t>
            </w:r>
          </w:p>
        </w:tc>
        <w:tc>
          <w:tcPr/>
          <w:p>
            <w:pPr>
              <w:pStyle w:val="Compact"/>
              <w:jc w:val="left"/>
            </w:pPr>
            <w:r>
              <w:t xml:space="preserve">Selon le site</w:t>
            </w:r>
          </w:p>
        </w:tc>
        <w:tc>
          <w:tcPr/>
          <w:p>
            <w:pPr>
              <w:pStyle w:val="Compact"/>
              <w:jc w:val="left"/>
            </w:pPr>
            <w:r>
              <w:t xml:space="preserve">Onduleur + groupe électrogène</w:t>
            </w:r>
          </w:p>
        </w:tc>
      </w:tr>
    </w:tbl>
    <w:bookmarkEnd w:id="60"/>
    <w:bookmarkStart w:id="61" w:name="X3b582f8c669d201523fb5828469f3eb05459dde"/>
    <w:p>
      <w:pPr>
        <w:pStyle w:val="Heading2"/>
      </w:pPr>
      <w:r>
        <w:t xml:space="preserve">10. Risques et mesures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Risque</w:t>
            </w:r>
          </w:p>
        </w:tc>
        <w:tc>
          <w:tcPr/>
          <w:p>
            <w:pPr>
              <w:pStyle w:val="Compact"/>
              <w:jc w:val="left"/>
            </w:pPr>
            <w:r>
              <w:t xml:space="preserve">Conséquence</w:t>
            </w:r>
          </w:p>
        </w:tc>
        <w:tc>
          <w:tcPr/>
          <w:p>
            <w:pPr>
              <w:pStyle w:val="Compact"/>
              <w:jc w:val="left"/>
            </w:pPr>
            <w:r>
              <w:t xml:space="preserve">Mesure</w:t>
            </w:r>
          </w:p>
        </w:tc>
      </w:tr>
      <w:tr>
        <w:tc>
          <w:tcPr/>
          <w:p>
            <w:pPr>
              <w:pStyle w:val="Compact"/>
              <w:jc w:val="left"/>
            </w:pPr>
            <w:r>
              <w:t xml:space="preserve">Certification ou capacité d'un centre de données non confirmée</w:t>
            </w:r>
          </w:p>
        </w:tc>
        <w:tc>
          <w:tcPr/>
          <w:p>
            <w:pPr>
              <w:pStyle w:val="Compact"/>
              <w:jc w:val="left"/>
            </w:pPr>
            <w:r>
              <w:t xml:space="preserve">Niveau de disponibilité réel inférieur à l'objectif</w:t>
            </w:r>
          </w:p>
        </w:tc>
        <w:tc>
          <w:tcPr/>
          <w:p>
            <w:pPr>
              <w:pStyle w:val="Compact"/>
              <w:jc w:val="left"/>
            </w:pPr>
            <w:r>
              <w:t xml:space="preserve">Audit technique avant signature ; clause de capacité ; site B certifié</w:t>
            </w:r>
          </w:p>
        </w:tc>
      </w:tr>
      <w:tr>
        <w:tc>
          <w:tcPr/>
          <w:p>
            <w:pPr>
              <w:pStyle w:val="Compact"/>
              <w:jc w:val="left"/>
            </w:pPr>
            <w:r>
              <w:t xml:space="preserve">Sites A et B trop proches (même zone, même poste électrique)</w:t>
            </w:r>
          </w:p>
        </w:tc>
        <w:tc>
          <w:tcPr/>
          <w:p>
            <w:pPr>
              <w:pStyle w:val="Compact"/>
              <w:jc w:val="left"/>
            </w:pPr>
            <w:r>
              <w:t xml:space="preserve">Perte simultanée des deux sites</w:t>
            </w:r>
          </w:p>
        </w:tc>
        <w:tc>
          <w:tcPr/>
          <w:p>
            <w:pPr>
              <w:pStyle w:val="Compact"/>
              <w:jc w:val="left"/>
            </w:pPr>
            <w:r>
              <w:t xml:space="preserve">Préférer un site B distinct (Rufisque) ; vérifier les alimentations ; site C éloigné</w:t>
            </w:r>
          </w:p>
        </w:tc>
      </w:tr>
      <w:tr>
        <w:tc>
          <w:tcPr/>
          <w:p>
            <w:pPr>
              <w:pStyle w:val="Compact"/>
              <w:jc w:val="left"/>
            </w:pPr>
            <w:r>
              <w:t xml:space="preserve">Coupure de la liaison A ↔ B</w:t>
            </w:r>
          </w:p>
        </w:tc>
        <w:tc>
          <w:tcPr/>
          <w:p>
            <w:pPr>
              <w:pStyle w:val="Compact"/>
              <w:jc w:val="left"/>
            </w:pPr>
            <w:r>
              <w:t xml:space="preserve">Réplication synchrone interrompue ; risque de deux primaires</w:t>
            </w:r>
          </w:p>
        </w:tc>
        <w:tc>
          <w:tcPr/>
          <w:p>
            <w:pPr>
              <w:pStyle w:val="Compact"/>
              <w:jc w:val="left"/>
            </w:pPr>
            <w:r>
              <w:t xml:space="preserve">Deux chemins de fibre ; arbitre au site C ; bascule manuelle si l'arbitre est injoignable</w:t>
            </w:r>
          </w:p>
        </w:tc>
      </w:tr>
      <w:tr>
        <w:tc>
          <w:tcPr/>
          <w:p>
            <w:pPr>
              <w:pStyle w:val="Compact"/>
              <w:jc w:val="left"/>
            </w:pPr>
            <w:r>
              <w:t xml:space="preserve">Dépendance à un seul opérateur</w:t>
            </w:r>
          </w:p>
        </w:tc>
        <w:tc>
          <w:tcPr/>
          <w:p>
            <w:pPr>
              <w:pStyle w:val="Compact"/>
              <w:jc w:val="left"/>
            </w:pPr>
            <w:r>
              <w:t xml:space="preserve">Panne réseau générale</w:t>
            </w:r>
          </w:p>
        </w:tc>
        <w:tc>
          <w:tcPr/>
          <w:p>
            <w:pPr>
              <w:pStyle w:val="Compact"/>
              <w:jc w:val="left"/>
            </w:pPr>
            <w:r>
              <w:t xml:space="preserve">Deux opérateurs par site et par poste</w:t>
            </w:r>
          </w:p>
        </w:tc>
      </w:tr>
      <w:tr>
        <w:tc>
          <w:tcPr/>
          <w:p>
            <w:pPr>
              <w:pStyle w:val="Compact"/>
              <w:jc w:val="left"/>
            </w:pPr>
            <w:r>
              <w:t xml:space="preserve">Retard du mode hors ligne des postes</w:t>
            </w:r>
          </w:p>
        </w:tc>
        <w:tc>
          <w:tcPr/>
          <w:p>
            <w:pPr>
              <w:pStyle w:val="Compact"/>
              <w:jc w:val="left"/>
            </w:pPr>
            <w:r>
              <w:t xml:space="preserve">Postes terrestres arrêtés en cas de coupure</w:t>
            </w:r>
          </w:p>
        </w:tc>
        <w:tc>
          <w:tcPr/>
          <w:p>
            <w:pPr>
              <w:pStyle w:val="Compact"/>
              <w:jc w:val="left"/>
            </w:pPr>
            <w:r>
              <w:t xml:space="preserve">Priorité de développement ; procédure manuelle écrite ; vague terrestre conditionnée à sa validation</w:t>
            </w:r>
          </w:p>
        </w:tc>
      </w:tr>
      <w:tr>
        <w:tc>
          <w:tcPr/>
          <w:p>
            <w:pPr>
              <w:pStyle w:val="Compact"/>
              <w:jc w:val="left"/>
            </w:pPr>
            <w:r>
              <w:t xml:space="preserve">Rançongiciel</w:t>
            </w:r>
          </w:p>
        </w:tc>
        <w:tc>
          <w:tcPr/>
          <w:p>
            <w:pPr>
              <w:pStyle w:val="Compact"/>
              <w:jc w:val="left"/>
            </w:pPr>
            <w:r>
              <w:t xml:space="preserve">Chiffrement des données de production et des sauvegardes en ligne</w:t>
            </w:r>
          </w:p>
        </w:tc>
        <w:tc>
          <w:tcPr/>
          <w:p>
            <w:pPr>
              <w:pStyle w:val="Compact"/>
              <w:jc w:val="left"/>
            </w:pPr>
            <w:r>
              <w:t xml:space="preserve">Copies immuables et hors ligne ; segmentation ; MFA administrateurs ; exercices</w:t>
            </w:r>
          </w:p>
        </w:tc>
      </w:tr>
      <w:tr>
        <w:tc>
          <w:tcPr/>
          <w:p>
            <w:pPr>
              <w:pStyle w:val="Compact"/>
              <w:jc w:val="left"/>
            </w:pPr>
            <w:r>
              <w:t xml:space="preserve">Perte ou compromission des clés</w:t>
            </w:r>
          </w:p>
        </w:tc>
        <w:tc>
          <w:tcPr/>
          <w:p>
            <w:pPr>
              <w:pStyle w:val="Compact"/>
              <w:jc w:val="left"/>
            </w:pPr>
            <w:r>
              <w:t xml:space="preserve">Impossibilité de vérifier les QR, de restaurer ou de prouver l'intégrité</w:t>
            </w:r>
          </w:p>
        </w:tc>
        <w:tc>
          <w:tcPr/>
          <w:p>
            <w:pPr>
              <w:pStyle w:val="Compact"/>
              <w:jc w:val="left"/>
            </w:pPr>
            <w:r>
              <w:t xml:space="preserve">HSM par paires ; sauvegarde des clés partagée ; cérémonies</w:t>
            </w:r>
          </w:p>
        </w:tc>
      </w:tr>
      <w:tr>
        <w:tc>
          <w:tcPr/>
          <w:p>
            <w:pPr>
              <w:pStyle w:val="Compact"/>
              <w:jc w:val="left"/>
            </w:pPr>
            <w:r>
              <w:t xml:space="preserve">Formalités CDP ou textes de la redevance non aboutis</w:t>
            </w:r>
          </w:p>
        </w:tc>
        <w:tc>
          <w:tcPr/>
          <w:p>
            <w:pPr>
              <w:pStyle w:val="Compact"/>
              <w:jc w:val="left"/>
            </w:pPr>
            <w:r>
              <w:t xml:space="preserve">Mise en production bloquée</w:t>
            </w:r>
          </w:p>
        </w:tc>
        <w:tc>
          <w:tcPr/>
          <w:p>
            <w:pPr>
              <w:pStyle w:val="Compact"/>
              <w:jc w:val="left"/>
            </w:pPr>
            <w:r>
              <w:t xml:space="preserve">Lancement en phase 0 ; circuit</w:t>
            </w:r>
            <w:r>
              <w:t xml:space="preserve"> </w:t>
            </w:r>
            <w:r>
              <w:rPr>
                <w:rStyle w:val="VerbatimChar"/>
              </w:rPr>
              <w:t xml:space="preserve">TRESOR</w:t>
            </w:r>
            <w:r>
              <w:t xml:space="preserve"> </w:t>
            </w:r>
            <w:r>
              <w:t xml:space="preserve">utilisable en attendant le texte du circuit</w:t>
            </w:r>
            <w:r>
              <w:t xml:space="preserve"> </w:t>
            </w:r>
            <w:r>
              <w:rPr>
                <w:rStyle w:val="VerbatimChar"/>
              </w:rPr>
              <w:t xml:space="preserve">OPERATEUR</w:t>
            </w:r>
          </w:p>
        </w:tc>
      </w:tr>
      <w:tr>
        <w:tc>
          <w:tcPr/>
          <w:p>
            <w:pPr>
              <w:pStyle w:val="Compact"/>
              <w:jc w:val="left"/>
            </w:pPr>
            <w:r>
              <w:t xml:space="preserve">Délais d'approvisionnement (HSM, serveurs, fibre)</w:t>
            </w:r>
          </w:p>
        </w:tc>
        <w:tc>
          <w:tcPr/>
          <w:p>
            <w:pPr>
              <w:pStyle w:val="Compact"/>
              <w:jc w:val="left"/>
            </w:pPr>
            <w:r>
              <w:t xml:space="preserve">Retard des phases 1 et 4</w:t>
            </w:r>
          </w:p>
        </w:tc>
        <w:tc>
          <w:tcPr/>
          <w:p>
            <w:pPr>
              <w:pStyle w:val="Compact"/>
              <w:jc w:val="left"/>
            </w:pPr>
            <w:r>
              <w:t xml:space="preserve">Commandes dès la fin de la phase 0 ; matériel de réserve</w:t>
            </w:r>
          </w:p>
        </w:tc>
      </w:tr>
      <w:tr>
        <w:tc>
          <w:tcPr/>
          <w:p>
            <w:pPr>
              <w:pStyle w:val="Compact"/>
              <w:jc w:val="left"/>
            </w:pPr>
            <w:r>
              <w:t xml:space="preserve">Compétences d'exploitation insuffisantes</w:t>
            </w:r>
          </w:p>
        </w:tc>
        <w:tc>
          <w:tcPr/>
          <w:p>
            <w:pPr>
              <w:pStyle w:val="Compact"/>
              <w:jc w:val="left"/>
            </w:pPr>
            <w:r>
              <w:t xml:space="preserve">Incidents mal traités</w:t>
            </w:r>
          </w:p>
        </w:tc>
        <w:tc>
          <w:tcPr/>
          <w:p>
            <w:pPr>
              <w:pStyle w:val="Compact"/>
              <w:jc w:val="left"/>
            </w:pPr>
            <w:r>
              <w:t xml:space="preserve">Formation, procédures écrites, exercices, transfert de compétences</w:t>
            </w:r>
          </w:p>
        </w:tc>
      </w:tr>
      <w:tr>
        <w:tc>
          <w:tcPr/>
          <w:p>
            <w:pPr>
              <w:pStyle w:val="Compact"/>
              <w:jc w:val="left"/>
            </w:pPr>
            <w:r>
              <w:t xml:space="preserve">Coupures électriques aux postes</w:t>
            </w:r>
          </w:p>
        </w:tc>
        <w:tc>
          <w:tcPr/>
          <w:p>
            <w:pPr>
              <w:pStyle w:val="Compact"/>
              <w:jc w:val="left"/>
            </w:pPr>
            <w:r>
              <w:t xml:space="preserve">Arrêt des équipements</w:t>
            </w:r>
          </w:p>
        </w:tc>
        <w:tc>
          <w:tcPr/>
          <w:p>
            <w:pPr>
              <w:pStyle w:val="Compact"/>
              <w:jc w:val="left"/>
            </w:pPr>
            <w:r>
              <w:t xml:space="preserve">Onduleurs, groupes électrogènes, tests réguliers</w:t>
            </w:r>
          </w:p>
        </w:tc>
      </w:tr>
      <w:tr>
        <w:tc>
          <w:tcPr/>
          <w:p>
            <w:pPr>
              <w:pStyle w:val="Compact"/>
              <w:jc w:val="left"/>
            </w:pPr>
            <w:r>
              <w:t xml:space="preserve">Charge supérieure aux hypothèses</w:t>
            </w:r>
          </w:p>
        </w:tc>
        <w:tc>
          <w:tcPr/>
          <w:p>
            <w:pPr>
              <w:pStyle w:val="Compact"/>
              <w:jc w:val="left"/>
            </w:pPr>
            <w:r>
              <w:t xml:space="preserve">Dégradation des temps de réponse</w:t>
            </w:r>
          </w:p>
        </w:tc>
        <w:tc>
          <w:tcPr/>
          <w:p>
            <w:pPr>
              <w:pStyle w:val="Compact"/>
              <w:jc w:val="left"/>
            </w:pPr>
            <w:r>
              <w:t xml:space="preserve">Marge ×5, revue trimestrielle, extension horizontale</w:t>
            </w:r>
          </w:p>
        </w:tc>
      </w:tr>
    </w:tbl>
    <w:bookmarkEnd w:id="61"/>
    <w:bookmarkStart w:id="62" w:name="X110ee3223609cd6a8ed0600e5d74219970677f1"/>
    <w:p>
      <w:pPr>
        <w:pStyle w:val="Heading2"/>
      </w:pPr>
      <w:r>
        <w:t xml:space="preserve">11. Existant, cible et à développer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Sujet</w:t>
            </w:r>
          </w:p>
        </w:tc>
        <w:tc>
          <w:tcPr/>
          <w:p>
            <w:pPr>
              <w:pStyle w:val="Compact"/>
              <w:jc w:val="left"/>
            </w:pPr>
            <w:r>
              <w:t xml:space="preserve">Existant (démonstrateur)</w:t>
            </w:r>
          </w:p>
        </w:tc>
        <w:tc>
          <w:tcPr/>
          <w:p>
            <w:pPr>
              <w:pStyle w:val="Compact"/>
              <w:jc w:val="left"/>
            </w:pPr>
            <w:r>
              <w:t xml:space="preserve">Cible</w:t>
            </w:r>
          </w:p>
        </w:tc>
        <w:tc>
          <w:tcPr/>
          <w:p>
            <w:pPr>
              <w:pStyle w:val="Compact"/>
              <w:jc w:val="left"/>
            </w:pPr>
            <w:r>
              <w:t xml:space="preserve">À développer</w:t>
            </w:r>
          </w:p>
        </w:tc>
      </w:tr>
      <w:tr>
        <w:tc>
          <w:tcPr/>
          <w:p>
            <w:pPr>
              <w:pStyle w:val="Compact"/>
              <w:jc w:val="left"/>
            </w:pPr>
            <w:r>
              <w:t xml:space="preserve">Hébergement</w:t>
            </w:r>
          </w:p>
        </w:tc>
        <w:tc>
          <w:tcPr/>
          <w:p>
            <w:pPr>
              <w:pStyle w:val="Compact"/>
              <w:jc w:val="left"/>
            </w:pPr>
            <w:r>
              <w:t xml:space="preserve">Netlify, hors du territoire</w:t>
            </w:r>
          </w:p>
        </w:tc>
        <w:tc>
          <w:tcPr/>
          <w:p>
            <w:pPr>
              <w:pStyle w:val="Compact"/>
              <w:jc w:val="left"/>
            </w:pPr>
            <w:r>
              <w:t xml:space="preserve">Sites A et B au Sénégal + coffre C</w:t>
            </w:r>
          </w:p>
        </w:tc>
        <w:tc>
          <w:tcPr/>
          <w:p>
            <w:pPr>
              <w:pStyle w:val="Compact"/>
              <w:jc w:val="left"/>
            </w:pPr>
            <w:r>
              <w:t xml:space="preserve">Construction des sites</w:t>
            </w:r>
          </w:p>
        </w:tc>
      </w:tr>
      <w:tr>
        <w:tc>
          <w:tcPr/>
          <w:p>
            <w:pPr>
              <w:pStyle w:val="Compact"/>
              <w:jc w:val="left"/>
            </w:pPr>
            <w:r>
              <w:t xml:space="preserve">Stockage</w:t>
            </w:r>
          </w:p>
        </w:tc>
        <w:tc>
          <w:tcPr/>
          <w:p>
            <w:pPr>
              <w:pStyle w:val="Compact"/>
              <w:jc w:val="left"/>
            </w:pPr>
            <w:r>
              <w:t xml:space="preserve">Netlify Blobs, une collection par document JSON</w:t>
            </w:r>
          </w:p>
        </w:tc>
        <w:tc>
          <w:tcPr/>
          <w:p>
            <w:pPr>
              <w:pStyle w:val="Compact"/>
              <w:jc w:val="left"/>
            </w:pPr>
            <w:r>
              <w:t xml:space="preserve">PostgreSQL et stockage objet répliqués</w:t>
            </w:r>
          </w:p>
        </w:tc>
        <w:tc>
          <w:tcPr/>
          <w:p>
            <w:pPr>
              <w:pStyle w:val="Compact"/>
              <w:jc w:val="left"/>
            </w:pPr>
            <w:r>
              <w:t xml:space="preserve">Couche de stockage PostgreSQL</w:t>
            </w:r>
          </w:p>
        </w:tc>
      </w:tr>
      <w:tr>
        <w:tc>
          <w:tcPr/>
          <w:p>
            <w:pPr>
              <w:pStyle w:val="Compact"/>
              <w:jc w:val="left"/>
            </w:pPr>
            <w:r>
              <w:t xml:space="preserve">Disponibilité</w:t>
            </w:r>
          </w:p>
        </w:tc>
        <w:tc>
          <w:tcPr/>
          <w:p>
            <w:pPr>
              <w:pStyle w:val="Compact"/>
              <w:jc w:val="left"/>
            </w:pPr>
            <w:r>
              <w:t xml:space="preserve">Celle de Netlify, sans engagement souverain</w:t>
            </w:r>
          </w:p>
        </w:tc>
        <w:tc>
          <w:tcPr/>
          <w:p>
            <w:pPr>
              <w:pStyle w:val="Compact"/>
              <w:jc w:val="left"/>
            </w:pPr>
            <w:r>
              <w:t xml:space="preserve">99,95 % ou plus, deux sites actifs</w:t>
            </w:r>
          </w:p>
        </w:tc>
        <w:tc>
          <w:tcPr/>
          <w:p>
            <w:pPr>
              <w:pStyle w:val="Compact"/>
              <w:jc w:val="left"/>
            </w:pPr>
            <w:r>
              <w:t xml:space="preserve">Infrastructure, procédures, exercices</w:t>
            </w:r>
          </w:p>
        </w:tc>
      </w:tr>
      <w:tr>
        <w:tc>
          <w:tcPr/>
          <w:p>
            <w:pPr>
              <w:pStyle w:val="Compact"/>
              <w:jc w:val="left"/>
            </w:pPr>
            <w:r>
              <w:t xml:space="preserve">Sauvegardes</w:t>
            </w:r>
          </w:p>
        </w:tc>
        <w:tc>
          <w:tcPr/>
          <w:p>
            <w:pPr>
              <w:pStyle w:val="Compact"/>
              <w:jc w:val="left"/>
            </w:pPr>
            <w:r>
              <w:t xml:space="preserve">Aucune sauvegarde dédiée</w:t>
            </w:r>
          </w:p>
        </w:tc>
        <w:tc>
          <w:tcPr/>
          <w:p>
            <w:pPr>
              <w:pStyle w:val="Compact"/>
              <w:jc w:val="left"/>
            </w:pPr>
            <w:r>
              <w:t xml:space="preserve">Règle 3-2-1-1-0</w:t>
            </w:r>
          </w:p>
        </w:tc>
        <w:tc>
          <w:tcPr/>
          <w:p>
            <w:pPr>
              <w:pStyle w:val="Compact"/>
              <w:jc w:val="left"/>
            </w:pPr>
            <w:r>
              <w:t xml:space="preserve">Mise en place complète</w:t>
            </w:r>
          </w:p>
        </w:tc>
      </w:tr>
      <w:tr>
        <w:tc>
          <w:tcPr/>
          <w:p>
            <w:pPr>
              <w:pStyle w:val="Compact"/>
              <w:jc w:val="left"/>
            </w:pPr>
            <w:r>
              <w:t xml:space="preserve">Clés et secrets</w:t>
            </w:r>
          </w:p>
        </w:tc>
        <w:tc>
          <w:tcPr/>
          <w:p>
            <w:pPr>
              <w:pStyle w:val="Compact"/>
              <w:jc w:val="left"/>
            </w:pPr>
            <w:r>
              <w:t xml:space="preserve">Variables d'environnement</w:t>
            </w:r>
          </w:p>
        </w:tc>
        <w:tc>
          <w:tcPr/>
          <w:p>
            <w:pPr>
              <w:pStyle w:val="Compact"/>
              <w:jc w:val="left"/>
            </w:pPr>
            <w:r>
              <w:t xml:space="preserve">HSM par paires, coffre à secrets</w:t>
            </w:r>
          </w:p>
        </w:tc>
        <w:tc>
          <w:tcPr/>
          <w:p>
            <w:pPr>
              <w:pStyle w:val="Compact"/>
              <w:jc w:val="left"/>
            </w:pPr>
            <w:r>
              <w:t xml:space="preserve">Intégration HSM</w:t>
            </w:r>
          </w:p>
        </w:tc>
      </w:tr>
      <w:tr>
        <w:tc>
          <w:tcPr/>
          <w:p>
            <w:pPr>
              <w:pStyle w:val="Compact"/>
              <w:jc w:val="left"/>
            </w:pPr>
            <w:r>
              <w:t xml:space="preserve">Identité</w:t>
            </w:r>
          </w:p>
        </w:tc>
        <w:tc>
          <w:tcPr/>
          <w:p>
            <w:pPr>
              <w:pStyle w:val="Compact"/>
              <w:jc w:val="left"/>
            </w:pPr>
            <w:r>
              <w:t xml:space="preserve">Mot de passe, session de 12 h</w:t>
            </w:r>
          </w:p>
        </w:tc>
        <w:tc>
          <w:tcPr/>
          <w:p>
            <w:pPr>
              <w:pStyle w:val="Compact"/>
              <w:jc w:val="left"/>
            </w:pPr>
            <w:r>
              <w:t xml:space="preserve">OIDC, MFA, cartes PKI</w:t>
            </w:r>
          </w:p>
        </w:tc>
        <w:tc>
          <w:tcPr/>
          <w:p>
            <w:pPr>
              <w:pStyle w:val="Compact"/>
              <w:jc w:val="left"/>
            </w:pPr>
            <w:r>
              <w:t xml:space="preserve">MFA, OIDC</w:t>
            </w:r>
          </w:p>
        </w:tc>
      </w:tr>
      <w:tr>
        <w:tc>
          <w:tcPr/>
          <w:p>
            <w:pPr>
              <w:pStyle w:val="Compact"/>
              <w:jc w:val="left"/>
            </w:pPr>
            <w:r>
              <w:t xml:space="preserve">Postes</w:t>
            </w:r>
          </w:p>
        </w:tc>
        <w:tc>
          <w:tcPr/>
          <w:p>
            <w:pPr>
              <w:pStyle w:val="Compact"/>
              <w:jc w:val="left"/>
            </w:pPr>
            <w:r>
              <w:t xml:space="preserve">Navigateur relié directement au central</w:t>
            </w:r>
          </w:p>
        </w:tc>
        <w:tc>
          <w:tcPr/>
          <w:p>
            <w:pPr>
              <w:pStyle w:val="Compact"/>
              <w:jc w:val="left"/>
            </w:pPr>
            <w:r>
              <w:t xml:space="preserve">Serveur de poste, mode hors ligne</w:t>
            </w:r>
          </w:p>
        </w:tc>
        <w:tc>
          <w:tcPr/>
          <w:p>
            <w:pPr>
              <w:pStyle w:val="Compact"/>
              <w:jc w:val="left"/>
            </w:pPr>
            <w:r>
              <w:t xml:space="preserve">Serveur de poste et resynchronisation</w:t>
            </w:r>
          </w:p>
        </w:tc>
      </w:tr>
      <w:tr>
        <w:tc>
          <w:tcPr/>
          <w:p>
            <w:pPr>
              <w:pStyle w:val="Compact"/>
              <w:jc w:val="left"/>
            </w:pPr>
            <w:r>
              <w:t xml:space="preserve">Journal d'audit</w:t>
            </w:r>
          </w:p>
        </w:tc>
        <w:tc>
          <w:tcPr/>
          <w:p>
            <w:pPr>
              <w:pStyle w:val="Compact"/>
              <w:jc w:val="left"/>
            </w:pPr>
            <w:r>
              <w:t xml:space="preserve">Chaîne SHA-256 vérifiable</w:t>
            </w:r>
          </w:p>
        </w:tc>
        <w:tc>
          <w:tcPr/>
          <w:p>
            <w:pPr>
              <w:pStyle w:val="Compact"/>
              <w:jc w:val="left"/>
            </w:pPr>
            <w:r>
              <w:t xml:space="preserve">Chaîne ancrée par HSM, exportée vers C</w:t>
            </w:r>
          </w:p>
        </w:tc>
        <w:tc>
          <w:tcPr/>
          <w:p>
            <w:pPr>
              <w:pStyle w:val="Compact"/>
              <w:jc w:val="left"/>
            </w:pPr>
            <w:r>
              <w:t xml:space="preserve">Ancrage et export</w:t>
            </w:r>
          </w:p>
        </w:tc>
      </w:tr>
      <w:tr>
        <w:tc>
          <w:tcPr/>
          <w:p>
            <w:pPr>
              <w:pStyle w:val="Compact"/>
              <w:jc w:val="left"/>
            </w:pPr>
            <w:r>
              <w:t xml:space="preserve">Passerelle des compagnies</w:t>
            </w:r>
          </w:p>
        </w:tc>
        <w:tc>
          <w:tcPr/>
          <w:p>
            <w:pPr>
              <w:pStyle w:val="Compact"/>
              <w:jc w:val="left"/>
            </w:pPr>
            <w:r>
              <w:rPr>
                <w:rStyle w:val="VerbatimChar"/>
              </w:rPr>
              <w:t xml:space="preserve">POST /api/carrier/messages</w:t>
            </w:r>
            <w:r>
              <w:t xml:space="preserve"> </w:t>
            </w:r>
            <w:r>
              <w:t xml:space="preserve">; un renvoi crée un nouveau message mais fusionne les passagers du même vol</w:t>
            </w:r>
          </w:p>
        </w:tc>
        <w:tc>
          <w:tcPr/>
          <w:p>
            <w:pPr>
              <w:pStyle w:val="Compact"/>
              <w:jc w:val="left"/>
            </w:pPr>
            <w:r>
              <w:t xml:space="preserve">Même contrat, derrière le WAF</w:t>
            </w:r>
          </w:p>
        </w:tc>
        <w:tc>
          <w:tcPr/>
          <w:p>
            <w:pPr>
              <w:pStyle w:val="Compact"/>
              <w:jc w:val="left"/>
            </w:pPr>
            <w:r>
              <w:t xml:space="preserve">Clé d'idempotence explicite et consignes de renvoi</w:t>
            </w:r>
          </w:p>
        </w:tc>
      </w:tr>
      <w:tr>
        <w:tc>
          <w:tcPr/>
          <w:p>
            <w:pPr>
              <w:pStyle w:val="Compact"/>
              <w:jc w:val="left"/>
            </w:pPr>
            <w:r>
              <w:t xml:space="preserve">Redevance</w:t>
            </w:r>
          </w:p>
        </w:tc>
        <w:tc>
          <w:tcPr/>
          <w:p>
            <w:pPr>
              <w:pStyle w:val="Compact"/>
              <w:jc w:val="left"/>
            </w:pPr>
            <w:r>
              <w:t xml:space="preserve">Circuit</w:t>
            </w:r>
            <w:r>
              <w:t xml:space="preserve"> </w:t>
            </w:r>
            <w:r>
              <w:rPr>
                <w:rStyle w:val="VerbatimChar"/>
              </w:rPr>
              <w:t xml:space="preserve">OPERATEUR</w:t>
            </w:r>
            <w:r>
              <w:t xml:space="preserve"> </w:t>
            </w:r>
            <w:r>
              <w:t xml:space="preserve">par défaut (</w:t>
            </w:r>
            <w:r>
              <w:rPr>
                <w:rStyle w:val="VerbatimChar"/>
              </w:rPr>
              <w:t xml:space="preserve">settings.redevance.circuit</w:t>
            </w:r>
            <w:r>
              <w:t xml:space="preserve">) ; circuit</w:t>
            </w:r>
            <w:r>
              <w:t xml:space="preserve"> </w:t>
            </w:r>
            <w:r>
              <w:rPr>
                <w:rStyle w:val="VerbatimChar"/>
              </w:rPr>
              <w:t xml:space="preserve">TRESOR</w:t>
            </w:r>
            <w:r>
              <w:t xml:space="preserve"> </w:t>
            </w:r>
            <w:r>
              <w:t xml:space="preserve">disponible</w:t>
            </w:r>
          </w:p>
        </w:tc>
        <w:tc>
          <w:tcPr/>
          <w:p>
            <w:pPr>
              <w:pStyle w:val="Compact"/>
              <w:jc w:val="left"/>
            </w:pPr>
            <w:r>
              <w:t xml:space="preserve">Circuit retenu par les textes</w:t>
            </w:r>
          </w:p>
        </w:tc>
        <w:tc>
          <w:tcPr/>
          <w:p>
            <w:pPr>
              <w:pStyle w:val="Compact"/>
              <w:jc w:val="left"/>
            </w:pPr>
            <w:r>
              <w:t xml:space="preserve">Factures réelles ; texte et mandat si</w:t>
            </w:r>
            <w:r>
              <w:t xml:space="preserve"> </w:t>
            </w:r>
            <w:r>
              <w:rPr>
                <w:rStyle w:val="VerbatimChar"/>
              </w:rPr>
              <w:t xml:space="preserve">OPERATEUR</w:t>
            </w:r>
          </w:p>
        </w:tc>
      </w:tr>
      <w:tr>
        <w:tc>
          <w:tcPr/>
          <w:p>
            <w:pPr>
              <w:pStyle w:val="Compact"/>
              <w:jc w:val="left"/>
            </w:pPr>
            <w:r>
              <w:t xml:space="preserve">Conservation</w:t>
            </w:r>
          </w:p>
        </w:tc>
        <w:tc>
          <w:tcPr/>
          <w:p>
            <w:pPr>
              <w:pStyle w:val="Compact"/>
              <w:jc w:val="left"/>
            </w:pPr>
            <w:r>
              <w:t xml:space="preserve">5 ans affichés, sans purge</w:t>
            </w:r>
          </w:p>
        </w:tc>
        <w:tc>
          <w:tcPr/>
          <w:p>
            <w:pPr>
              <w:pStyle w:val="Compact"/>
              <w:jc w:val="left"/>
            </w:pPr>
            <w:r>
              <w:t xml:space="preserve">Purge et archivage conformes</w:t>
            </w:r>
          </w:p>
        </w:tc>
        <w:tc>
          <w:tcPr/>
          <w:p>
            <w:pPr>
              <w:pStyle w:val="Compact"/>
              <w:jc w:val="left"/>
            </w:pPr>
            <w:r>
              <w:t xml:space="preserve">Tâche de purge</w:t>
            </w:r>
          </w:p>
        </w:tc>
      </w:tr>
    </w:tbl>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54B"/>
      <w:sz w:val="52"/>
      <w:szCs w:val="36"/>
    </w:rPr>
  </w:style>
  <w:style w:styleId="Subtitle" w:type="paragraph">
    <w:name w:val="Subtitle"/>
    <w:basedOn w:val="Title"/>
    <w:next w:val="BodyText"/>
    <w:qFormat/>
    <w:pPr>
      <w:keepNext/>
      <w:keepLines/>
      <w:spacing w:after="240" w:before="240"/>
      <w:jc w:val="center"/>
    </w:pPr>
    <w:rPr>
      <w:rFonts w:ascii="Calibri" w:hAnsi="Calibri"/>
      <w:color w:val="14254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14254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WawID — Plan de déploiement</dc:title>
  <dc:creator/>
  <dc:language>fr</dc:language>
  <cp:keywords/>
  <dcterms:created xsi:type="dcterms:W3CDTF">2026-10-19T19:39:03Z</dcterms:created>
  <dcterms:modified xsi:type="dcterms:W3CDTF">2026-10-19T19:39:03Z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Infrastructure haute disponibilité hébergée dans les datacenters au Sénégal, sauvegardes et reprise d'activité · Version 1.0 · 19/10/2026</vt:lpwstr>
  </property>
  <property fmtid="{D5CDD505-2E9C-101B-9397-08002B2CF9AE}" pid="3" name="toc-title">
    <vt:lpwstr>Sommaire</vt:lpwstr>
  </property>
</Properties>
</file>