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Guide d'installation — Sénégal</w:t>
      </w:r>
    </w:p>
    <w:p>
      <w:pPr>
        <w:pStyle w:val="Subtitle"/>
      </w:pPr>
      <w:r>
        <w:t xml:space="preserve">Déploiement de la plateforme WawID et des postes frontières au Sénégal · Version 1.0 · 19/10/2026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p>
      <w:pPr>
        <w:pStyle w:val="FirstParagraph"/>
      </w:pPr>
      <w:r>
        <w:t xml:space="preserve">Ce guide décrit la mise en place de WawID dans les postes frontière du Sénégal : phases de déploiement, hébergement, prérequis juridiques, matériel, installation des postes de travail, des kiosques eGate et de l'espace DPAF, installation logicielle de la plateforme, applications mobiles, raccordement des compagnies aériennes et du Trésor, formation, recette et mise en service. Il s'adresse aux équipes de projet de la DPAF, de l'exploitant et des intégrateurs.</w:t>
      </w:r>
    </w:p>
    <w:p>
      <w:pPr>
        <w:pStyle w:val="BodyText"/>
      </w:pPr>
      <w:r>
        <w:t xml:space="preserve">Pour les détails techniques déjà documentés, ce guide renvoie aux pages</w:t>
      </w:r>
      <w:r>
        <w:t xml:space="preserve"> </w:t>
      </w:r>
      <w:r>
        <w:rPr>
          <w:iCs/>
          <w:i/>
        </w:rPr>
        <w:t xml:space="preserve">Déploiement et configuration</w:t>
      </w:r>
      <w:r>
        <w:t xml:space="preserve">,</w:t>
      </w:r>
      <w:r>
        <w:t xml:space="preserve"> </w:t>
      </w:r>
      <w:r>
        <w:rPr>
          <w:iCs/>
          <w:i/>
        </w:rPr>
        <w:t xml:space="preserve">Sécurité, données personnelles et conformité</w:t>
      </w:r>
      <w:r>
        <w:t xml:space="preserve">,</w:t>
      </w:r>
      <w:r>
        <w:t xml:space="preserve"> </w:t>
      </w:r>
      <w:r>
        <w:rPr>
          <w:iCs/>
          <w:i/>
        </w:rPr>
        <w:t xml:space="preserve">Kiosque eGate : mise en service et parcours</w:t>
      </w:r>
      <w:r>
        <w:t xml:space="preserve"> </w:t>
      </w:r>
      <w:r>
        <w:t xml:space="preserve">et</w:t>
      </w:r>
      <w:r>
        <w:t xml:space="preserve"> </w:t>
      </w:r>
      <w:r>
        <w:rPr>
          <w:iCs/>
          <w:i/>
        </w:rPr>
        <w:t xml:space="preserve">Référence API (compagnies, équipements, connecteurs)</w:t>
      </w:r>
      <w:r>
        <w:t xml:space="preserve">.</w:t>
      </w:r>
    </w:p>
    <w:bookmarkStart w:id="20" w:name="lire-ce-guide"/>
    <w:p>
      <w:pPr>
        <w:pStyle w:val="Heading2"/>
      </w:pPr>
      <w:r>
        <w:t xml:space="preserve">Lire ce guide</w:t>
      </w:r>
    </w:p>
    <w:p>
      <w:pPr>
        <w:pStyle w:val="FirstParagraph"/>
      </w:pPr>
      <w:r>
        <w:t xml:space="preserve">Chaque élément est classé selon son état réel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Mention</w:t>
            </w:r>
          </w:p>
        </w:tc>
        <w:tc>
          <w:tcPr/>
          <w:p>
            <w:pPr>
              <w:pStyle w:val="Compact"/>
              <w:jc w:val="left"/>
            </w:pPr>
            <w:r>
              <w:t xml:space="preserve">Signification</w:t>
            </w:r>
          </w:p>
        </w:tc>
      </w:tr>
      <w:tr>
        <w:tc>
          <w:tcPr/>
          <w:p>
            <w:pPr>
              <w:pStyle w:val="Compact"/>
              <w:jc w:val="left"/>
            </w:pPr>
            <w:r>
              <w:rPr>
                <w:bCs/>
                <w:b/>
              </w:rPr>
              <w:t xml:space="preserve">Existant</w:t>
            </w:r>
          </w:p>
        </w:tc>
        <w:tc>
          <w:tcPr/>
          <w:p>
            <w:pPr>
              <w:pStyle w:val="Compact"/>
              <w:jc w:val="left"/>
            </w:pPr>
            <w:r>
              <w:t xml:space="preserve">Fonctionne aujourd'hui dans le démonstrateur (code du dépôt).</w:t>
            </w:r>
          </w:p>
        </w:tc>
      </w:tr>
      <w:tr>
        <w:tc>
          <w:tcPr/>
          <w:p>
            <w:pPr>
              <w:pStyle w:val="Compact"/>
              <w:jc w:val="left"/>
            </w:pPr>
            <w:r>
              <w:rPr>
                <w:bCs/>
                <w:b/>
              </w:rPr>
              <w:t xml:space="preserve">Recommandation</w:t>
            </w:r>
          </w:p>
        </w:tc>
        <w:tc>
          <w:tcPr/>
          <w:p>
            <w:pPr>
              <w:pStyle w:val="Compact"/>
              <w:jc w:val="left"/>
            </w:pPr>
            <w:r>
              <w:t xml:space="preserve">Pratique conseillée pour l'exploitation ; elle n'engage aucune partie tant qu'elle n'a pas été décidée.</w:t>
            </w:r>
          </w:p>
        </w:tc>
      </w:tr>
      <w:tr>
        <w:tc>
          <w:tcPr/>
          <w:p>
            <w:pPr>
              <w:pStyle w:val="Compact"/>
              <w:jc w:val="left"/>
            </w:pPr>
            <w:r>
              <w:rPr>
                <w:bCs/>
                <w:b/>
              </w:rPr>
              <w:t xml:space="preserve">À développer</w:t>
            </w:r>
          </w:p>
        </w:tc>
        <w:tc>
          <w:tcPr/>
          <w:p>
            <w:pPr>
              <w:pStyle w:val="Compact"/>
              <w:jc w:val="left"/>
            </w:pPr>
            <w:r>
              <w:t xml:space="preserve">Nécessaire pour la production nationale mais absent du code actuel.</w:t>
            </w:r>
          </w:p>
        </w:tc>
      </w:tr>
      <w:tr>
        <w:tc>
          <w:tcPr/>
          <w:p>
            <w:pPr>
              <w:pStyle w:val="Compact"/>
              <w:jc w:val="left"/>
            </w:pPr>
            <w:r>
              <w:rPr>
                <w:bCs/>
                <w:b/>
              </w:rPr>
              <w:t xml:space="preserve">À vérifier</w:t>
            </w:r>
          </w:p>
        </w:tc>
        <w:tc>
          <w:tcPr/>
          <w:p>
            <w:pPr>
              <w:pStyle w:val="Compact"/>
              <w:jc w:val="left"/>
            </w:pPr>
            <w:r>
              <w:t xml:space="preserve">Point juridique, administratif ou contractuel à confirmer auprès de l'autorité compétente avant toute décision.</w:t>
            </w:r>
          </w:p>
        </w:tc>
      </w:tr>
    </w:tbl>
    <w:bookmarkEnd w:id="20"/>
    <w:bookmarkStart w:id="21" w:name="situation-de-départ"/>
    <w:p>
      <w:pPr>
        <w:pStyle w:val="Heading2"/>
      </w:pPr>
      <w:r>
        <w:t xml:space="preserve">Situation de départ</w:t>
      </w:r>
    </w:p>
    <w:p>
      <w:pPr>
        <w:pStyle w:val="FirstParagraph"/>
      </w:pPr>
      <w:r>
        <w:t xml:space="preserve">Le déploiement actuel de WawID est un</w:t>
      </w:r>
      <w:r>
        <w:t xml:space="preserve"> </w:t>
      </w:r>
      <w:r>
        <w:rPr>
          <w:bCs/>
          <w:b/>
        </w:rPr>
        <w:t xml:space="preserve">démonstrateur</w:t>
      </w:r>
      <w:r>
        <w:t xml:space="preserve"> </w:t>
      </w:r>
      <w:r>
        <w:t xml:space="preserve">hébergé sur Netlify (Netlify Functions et Netlify Blobs). Il valide les parcours (guichet, eGate, e-Visa, WawPass, APIS/PNR, renseignement, redevance), pas la charge, la souveraineté ni la continuité de service. Une exploitation nationale exige l'architecture souveraine décrite dans</w:t>
      </w:r>
      <w:r>
        <w:t xml:space="preserve"> </w:t>
      </w:r>
      <w:r>
        <w:rPr>
          <w:rStyle w:val="VerbatimChar"/>
        </w:rPr>
        <w:t xml:space="preserve">docs/ARCHITECTURE.md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Composant</w:t>
            </w:r>
          </w:p>
        </w:tc>
        <w:tc>
          <w:tcPr/>
          <w:p>
            <w:pPr>
              <w:pStyle w:val="Compact"/>
              <w:jc w:val="left"/>
            </w:pPr>
            <w:r>
              <w:t xml:space="preserve">Aujourd'hui (Existant)</w:t>
            </w:r>
          </w:p>
        </w:tc>
        <w:tc>
          <w:tcPr/>
          <w:p>
            <w:pPr>
              <w:pStyle w:val="Compact"/>
              <w:jc w:val="left"/>
            </w:pPr>
            <w:r>
              <w:t xml:space="preserve">Cible nationale</w:t>
            </w:r>
          </w:p>
        </w:tc>
      </w:tr>
      <w:tr>
        <w:tc>
          <w:tcPr/>
          <w:p>
            <w:pPr>
              <w:pStyle w:val="Compact"/>
              <w:jc w:val="left"/>
            </w:pPr>
            <w:r>
              <w:t xml:space="preserve">Hébergement</w:t>
            </w:r>
          </w:p>
        </w:tc>
        <w:tc>
          <w:tcPr/>
          <w:p>
            <w:pPr>
              <w:pStyle w:val="Compact"/>
              <w:jc w:val="left"/>
            </w:pPr>
            <w:r>
              <w:t xml:space="preserve">Netlify, hors du territoire</w:t>
            </w:r>
          </w:p>
        </w:tc>
        <w:tc>
          <w:tcPr/>
          <w:p>
            <w:pPr>
              <w:pStyle w:val="Compact"/>
              <w:jc w:val="left"/>
            </w:pPr>
            <w:r>
              <w:t xml:space="preserve">Centre de données national + site de secours au Sénégal (À développer)</w:t>
            </w:r>
          </w:p>
        </w:tc>
      </w:tr>
      <w:tr>
        <w:tc>
          <w:tcPr/>
          <w:p>
            <w:pPr>
              <w:pStyle w:val="Compact"/>
              <w:jc w:val="left"/>
            </w:pPr>
            <w:r>
              <w:t xml:space="preserve">Stockage</w:t>
            </w:r>
          </w:p>
        </w:tc>
        <w:tc>
          <w:tcPr/>
          <w:p>
            <w:pPr>
              <w:pStyle w:val="Compact"/>
              <w:jc w:val="left"/>
            </w:pPr>
            <w:r>
              <w:t xml:space="preserve">Une collection = un document JSON (Netlify Blobs)</w:t>
            </w:r>
          </w:p>
        </w:tc>
        <w:tc>
          <w:tcPr/>
          <w:p>
            <w:pPr>
              <w:pStyle w:val="Compact"/>
              <w:jc w:val="left"/>
            </w:pPr>
            <w:r>
              <w:t xml:space="preserve">PostgreSQL partitionné + bus d'événements (À développer)</w:t>
            </w:r>
          </w:p>
        </w:tc>
      </w:tr>
      <w:tr>
        <w:tc>
          <w:tcPr/>
          <w:p>
            <w:pPr>
              <w:pStyle w:val="Compact"/>
              <w:jc w:val="left"/>
            </w:pPr>
            <w:r>
              <w:t xml:space="preserve">Identité des agents</w:t>
            </w:r>
          </w:p>
        </w:tc>
        <w:tc>
          <w:tcPr/>
          <w:p>
            <w:pPr>
              <w:pStyle w:val="Compact"/>
              <w:jc w:val="left"/>
            </w:pPr>
            <w:r>
              <w:t xml:space="preserve">Identifiant + mot de passe (scrypt), session 12 h</w:t>
            </w:r>
          </w:p>
        </w:tc>
        <w:tc>
          <w:tcPr/>
          <w:p>
            <w:pPr>
              <w:pStyle w:val="Compact"/>
              <w:jc w:val="left"/>
            </w:pPr>
            <w:r>
              <w:t xml:space="preserve">OIDC, MFA, cartes agents PKI (À développer)</w:t>
            </w:r>
          </w:p>
        </w:tc>
      </w:tr>
      <w:tr>
        <w:tc>
          <w:tcPr/>
          <w:p>
            <w:pPr>
              <w:pStyle w:val="Compact"/>
              <w:jc w:val="left"/>
            </w:pPr>
            <w:r>
              <w:t xml:space="preserve">Biométrie</w:t>
            </w:r>
          </w:p>
        </w:tc>
        <w:tc>
          <w:tcPr/>
          <w:p>
            <w:pPr>
              <w:pStyle w:val="Compact"/>
              <w:jc w:val="left"/>
            </w:pPr>
            <w:r>
              <w:t xml:space="preserve">Scores simulés</w:t>
            </w:r>
          </w:p>
        </w:tc>
        <w:tc>
          <w:tcPr/>
          <w:p>
            <w:pPr>
              <w:pStyle w:val="Compact"/>
              <w:jc w:val="left"/>
            </w:pPr>
            <w:r>
              <w:t xml:space="preserve">SDK / ABIS certifiés, détection du vivant ISO/IEC 30107-3 (À développer)</w:t>
            </w:r>
          </w:p>
        </w:tc>
      </w:tr>
      <w:tr>
        <w:tc>
          <w:tcPr/>
          <w:p>
            <w:pPr>
              <w:pStyle w:val="Compact"/>
              <w:jc w:val="left"/>
            </w:pPr>
            <w:r>
              <w:t xml:space="preserve">Lecture de puce</w:t>
            </w:r>
          </w:p>
        </w:tc>
        <w:tc>
          <w:tcPr/>
          <w:p>
            <w:pPr>
              <w:pStyle w:val="Compact"/>
              <w:jc w:val="left"/>
            </w:pPr>
            <w:r>
              <w:t xml:space="preserve">Pont NFC local, mode simulation uniquement</w:t>
            </w:r>
          </w:p>
        </w:tc>
        <w:tc>
          <w:tcPr/>
          <w:p>
            <w:pPr>
              <w:pStyle w:val="Compact"/>
              <w:jc w:val="left"/>
            </w:pPr>
            <w:r>
              <w:t xml:space="preserve">Pilote du lecteur réel, vérification CSCA via l'ICAO PKD (À développer)</w:t>
            </w:r>
          </w:p>
        </w:tc>
      </w:tr>
      <w:tr>
        <w:tc>
          <w:tcPr/>
          <w:p>
            <w:pPr>
              <w:pStyle w:val="Compact"/>
              <w:jc w:val="left"/>
            </w:pPr>
            <w:r>
              <w:t xml:space="preserve">Fichiers externes</w:t>
            </w:r>
          </w:p>
        </w:tc>
        <w:tc>
          <w:tcPr/>
          <w:p>
            <w:pPr>
              <w:pStyle w:val="Compact"/>
              <w:jc w:val="left"/>
            </w:pPr>
            <w:r>
              <w:t xml:space="preserve">Connecteurs en mode « copie locale »</w:t>
            </w:r>
          </w:p>
        </w:tc>
        <w:tc>
          <w:tcPr/>
          <w:p>
            <w:pPr>
              <w:pStyle w:val="Compact"/>
              <w:jc w:val="left"/>
            </w:pPr>
            <w:r>
              <w:t xml:space="preserve">Raccordement BCN Interpol, WAPIS, FPR, DAF (À développer, accords requis)</w:t>
            </w:r>
          </w:p>
        </w:tc>
      </w:tr>
      <w:tr>
        <w:tc>
          <w:tcPr/>
          <w:p>
            <w:pPr>
              <w:pStyle w:val="Compact"/>
              <w:jc w:val="left"/>
            </w:pPr>
            <w:r>
              <w:t xml:space="preserve">Mode hors ligne</w:t>
            </w:r>
          </w:p>
        </w:tc>
        <w:tc>
          <w:tcPr/>
          <w:p>
            <w:pPr>
              <w:pStyle w:val="Compact"/>
              <w:jc w:val="left"/>
            </w:pPr>
            <w:r>
              <w:t xml:space="preserve">Absent</w:t>
            </w:r>
          </w:p>
        </w:tc>
        <w:tc>
          <w:tcPr/>
          <w:p>
            <w:pPr>
              <w:pStyle w:val="Compact"/>
              <w:jc w:val="left"/>
            </w:pPr>
            <w:r>
              <w:t xml:space="preserve">Serveur de poste (edge) avec copie locale des listes (À développer)</w:t>
            </w:r>
          </w:p>
        </w:tc>
      </w:tr>
      <w:tr>
        <w:tc>
          <w:tcPr/>
          <w:p>
            <w:pPr>
              <w:pStyle w:val="Compact"/>
              <w:jc w:val="left"/>
            </w:pPr>
            <w:r>
              <w:t xml:space="preserve">Paiements</w:t>
            </w:r>
          </w:p>
        </w:tc>
        <w:tc>
          <w:tcPr/>
          <w:p>
            <w:pPr>
              <w:pStyle w:val="Compact"/>
              <w:jc w:val="left"/>
            </w:pPr>
            <w:r>
              <w:t xml:space="preserve">Simulés</w:t>
            </w:r>
          </w:p>
        </w:tc>
        <w:tc>
          <w:tcPr/>
          <w:p>
            <w:pPr>
              <w:pStyle w:val="Compact"/>
              <w:jc w:val="left"/>
            </w:pPr>
            <w:r>
              <w:t xml:space="preserve">Intégration des opérateurs de paiement (À développer)</w:t>
            </w:r>
          </w:p>
        </w:tc>
      </w:tr>
      <w:tr>
        <w:tc>
          <w:tcPr/>
          <w:p>
            <w:pPr>
              <w:pStyle w:val="Compact"/>
              <w:jc w:val="left"/>
            </w:pPr>
            <w:r>
              <w:t xml:space="preserve">Données de démonstration</w:t>
            </w:r>
          </w:p>
        </w:tc>
        <w:tc>
          <w:tcPr/>
          <w:p>
            <w:pPr>
              <w:pStyle w:val="Compact"/>
              <w:jc w:val="left"/>
            </w:pPr>
            <w:r>
              <w:t xml:space="preserve">Créées automatiquement au premier appel de l'API si la base est vide</w:t>
            </w:r>
          </w:p>
        </w:tc>
        <w:tc>
          <w:tcPr/>
          <w:p>
            <w:pPr>
              <w:pStyle w:val="Compact"/>
              <w:jc w:val="left"/>
            </w:pPr>
            <w:r>
              <w:t xml:space="preserve">Désactivation du jeu de démonstration en production (À développer)</w:t>
            </w:r>
          </w:p>
        </w:tc>
      </w:tr>
      <w:tr>
        <w:tc>
          <w:tcPr/>
          <w:p>
            <w:pPr>
              <w:pStyle w:val="Compact"/>
              <w:jc w:val="left"/>
            </w:pPr>
            <w:r>
              <w:t xml:space="preserve">Inventaire des postes et équipements</w:t>
            </w:r>
          </w:p>
        </w:tc>
        <w:tc>
          <w:tcPr/>
          <w:p>
            <w:pPr>
              <w:pStyle w:val="Compact"/>
              <w:jc w:val="left"/>
            </w:pPr>
            <w:r>
              <w:t xml:space="preserve">Six postes définis dans le code (</w:t>
            </w:r>
            <w:r>
              <w:rPr>
                <w:rStyle w:val="VerbatimChar"/>
              </w:rPr>
              <w:t xml:space="preserve">POSTES</w:t>
            </w:r>
            <w:r>
              <w:t xml:space="preserve"> </w:t>
            </w:r>
            <w:r>
              <w:t xml:space="preserve">de</w:t>
            </w:r>
            <w:r>
              <w:t xml:space="preserve"> </w:t>
            </w:r>
            <w:r>
              <w:rPr>
                <w:rStyle w:val="VerbatimChar"/>
              </w:rPr>
              <w:t xml:space="preserve">public/shared/engine.js</w:t>
            </w:r>
            <w:r>
              <w:t xml:space="preserve">) ; eGates et équipements issus du jeu de démonstration</w:t>
            </w:r>
          </w:p>
        </w:tc>
        <w:tc>
          <w:tcPr/>
          <w:p>
            <w:pPr>
              <w:pStyle w:val="Compact"/>
              <w:jc w:val="left"/>
            </w:pPr>
            <w:r>
              <w:t xml:space="preserve">Référentiel administrable des postes, guichets et équipements (À développer)</w:t>
            </w:r>
          </w:p>
        </w:tc>
      </w:tr>
      <w:tr>
        <w:tc>
          <w:tcPr/>
          <w:p>
            <w:pPr>
              <w:pStyle w:val="Compact"/>
              <w:jc w:val="left"/>
            </w:pPr>
            <w:r>
              <w:t xml:space="preserve">Factures de la redevance</w:t>
            </w:r>
          </w:p>
        </w:tc>
        <w:tc>
          <w:tcPr/>
          <w:p>
            <w:pPr>
              <w:pStyle w:val="Compact"/>
              <w:jc w:val="left"/>
            </w:pPr>
            <w:r>
              <w:t xml:space="preserve">Issues du jeu de démonstration ; encaissements et assiette provisoire fonctionnels</w:t>
            </w:r>
          </w:p>
        </w:tc>
        <w:tc>
          <w:tcPr/>
          <w:p>
            <w:pPr>
              <w:pStyle w:val="Compact"/>
              <w:jc w:val="left"/>
            </w:pPr>
            <w:r>
              <w:t xml:space="preserve">Émission des factures réelles à partir des déclarations et du comptage (À développer)</w:t>
            </w:r>
          </w:p>
        </w:tc>
      </w:tr>
    </w:tbl>
    <w:p>
      <w:pPr>
        <w:pStyle w:val="BlockText"/>
      </w:pPr>
      <w:r>
        <w:t xml:space="preserve">Aucune donnée personnelle réelle ne doit être saisie dans le démonstrateur. Les étapes ci-dessous qui concernent le démonstrateur servent aux essais, aux démonstrations et à la formation.</w:t>
      </w:r>
    </w:p>
    <w:bookmarkEnd w:id="21"/>
    <w:bookmarkStart w:id="22" w:name="phases-de-déploiement"/>
    <w:p>
      <w:pPr>
        <w:pStyle w:val="Heading2"/>
      </w:pPr>
      <w:r>
        <w:t xml:space="preserve">Phases de déploiement</w:t>
      </w:r>
    </w:p>
    <w:p>
      <w:pPr>
        <w:pStyle w:val="FirstParagraph"/>
      </w:pPr>
      <w:r>
        <w:t xml:space="preserve">Les postes déclarés dans WawID sont ceux de la liste</w:t>
      </w:r>
      <w:r>
        <w:t xml:space="preserve"> </w:t>
      </w:r>
      <w:r>
        <w:rPr>
          <w:rStyle w:val="VerbatimChar"/>
        </w:rPr>
        <w:t xml:space="preserve">POSTES</w:t>
      </w:r>
      <w:r>
        <w:t xml:space="preserve"> </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Poste</w:t>
            </w:r>
          </w:p>
        </w:tc>
        <w:tc>
          <w:tcPr/>
          <w:p>
            <w:pPr>
              <w:pStyle w:val="Compact"/>
              <w:jc w:val="left"/>
            </w:pPr>
            <w:r>
              <w:t xml:space="preserve">Type</w:t>
            </w:r>
          </w:p>
        </w:tc>
        <w:tc>
          <w:tcPr/>
          <w:p>
            <w:pPr>
              <w:pStyle w:val="Compact"/>
              <w:jc w:val="left"/>
            </w:pPr>
            <w:r>
              <w:t xml:space="preserve">Région</w:t>
            </w:r>
          </w:p>
        </w:tc>
      </w:tr>
      <w:tr>
        <w:tc>
          <w:tcPr/>
          <w:p>
            <w:pPr>
              <w:pStyle w:val="Compact"/>
              <w:jc w:val="left"/>
            </w:pPr>
            <w:r>
              <w:rPr>
                <w:rStyle w:val="VerbatimChar"/>
              </w:rPr>
              <w:t xml:space="preserve">AIBD</w:t>
            </w:r>
          </w:p>
        </w:tc>
        <w:tc>
          <w:tcPr/>
          <w:p>
            <w:pPr>
              <w:pStyle w:val="Compact"/>
              <w:jc w:val="left"/>
            </w:pPr>
            <w:r>
              <w:t xml:space="preserve">Aéroport International Blaise Diagne</w:t>
            </w:r>
          </w:p>
        </w:tc>
        <w:tc>
          <w:tcPr/>
          <w:p>
            <w:pPr>
              <w:pStyle w:val="Compact"/>
              <w:jc w:val="left"/>
            </w:pPr>
            <w:r>
              <w:t xml:space="preserve">Aérien</w:t>
            </w:r>
          </w:p>
        </w:tc>
        <w:tc>
          <w:tcPr/>
          <w:p>
            <w:pPr>
              <w:pStyle w:val="Compact"/>
              <w:jc w:val="left"/>
            </w:pPr>
            <w:r>
              <w:t xml:space="preserve">Thiès</w:t>
            </w:r>
          </w:p>
        </w:tc>
      </w:tr>
      <w:tr>
        <w:tc>
          <w:tcPr/>
          <w:p>
            <w:pPr>
              <w:pStyle w:val="Compact"/>
              <w:jc w:val="left"/>
            </w:pPr>
            <w:r>
              <w:rPr>
                <w:rStyle w:val="VerbatimChar"/>
              </w:rPr>
              <w:t xml:space="preserve">PDK</w:t>
            </w:r>
          </w:p>
        </w:tc>
        <w:tc>
          <w:tcPr/>
          <w:p>
            <w:pPr>
              <w:pStyle w:val="Compact"/>
              <w:jc w:val="left"/>
            </w:pPr>
            <w:r>
              <w:t xml:space="preserve">Port Autonome de Dakar</w:t>
            </w:r>
          </w:p>
        </w:tc>
        <w:tc>
          <w:tcPr/>
          <w:p>
            <w:pPr>
              <w:pStyle w:val="Compact"/>
              <w:jc w:val="left"/>
            </w:pPr>
            <w:r>
              <w:t xml:space="preserve">Maritime</w:t>
            </w:r>
          </w:p>
        </w:tc>
        <w:tc>
          <w:tcPr/>
          <w:p>
            <w:pPr>
              <w:pStyle w:val="Compact"/>
              <w:jc w:val="left"/>
            </w:pPr>
            <w:r>
              <w:t xml:space="preserve">Dakar</w:t>
            </w:r>
          </w:p>
        </w:tc>
      </w:tr>
      <w:tr>
        <w:tc>
          <w:tcPr/>
          <w:p>
            <w:pPr>
              <w:pStyle w:val="Compact"/>
              <w:jc w:val="left"/>
            </w:pPr>
            <w:r>
              <w:rPr>
                <w:rStyle w:val="VerbatimChar"/>
              </w:rPr>
              <w:t xml:space="preserve">ROS</w:t>
            </w:r>
          </w:p>
        </w:tc>
        <w:tc>
          <w:tcPr/>
          <w:p>
            <w:pPr>
              <w:pStyle w:val="Compact"/>
              <w:jc w:val="left"/>
            </w:pPr>
            <w:r>
              <w:t xml:space="preserve">Rosso</w:t>
            </w:r>
          </w:p>
        </w:tc>
        <w:tc>
          <w:tcPr/>
          <w:p>
            <w:pPr>
              <w:pStyle w:val="Compact"/>
              <w:jc w:val="left"/>
            </w:pPr>
            <w:r>
              <w:t xml:space="preserve">Terrestre</w:t>
            </w:r>
          </w:p>
        </w:tc>
        <w:tc>
          <w:tcPr/>
          <w:p>
            <w:pPr>
              <w:pStyle w:val="Compact"/>
              <w:jc w:val="left"/>
            </w:pPr>
            <w:r>
              <w:t xml:space="preserve">Saint-Louis</w:t>
            </w:r>
          </w:p>
        </w:tc>
      </w:tr>
      <w:tr>
        <w:tc>
          <w:tcPr/>
          <w:p>
            <w:pPr>
              <w:pStyle w:val="Compact"/>
              <w:jc w:val="left"/>
            </w:pPr>
            <w:r>
              <w:rPr>
                <w:rStyle w:val="VerbatimChar"/>
              </w:rPr>
              <w:t xml:space="preserve">KID</w:t>
            </w:r>
          </w:p>
        </w:tc>
        <w:tc>
          <w:tcPr/>
          <w:p>
            <w:pPr>
              <w:pStyle w:val="Compact"/>
              <w:jc w:val="left"/>
            </w:pPr>
            <w:r>
              <w:t xml:space="preserve">Kidira</w:t>
            </w:r>
          </w:p>
        </w:tc>
        <w:tc>
          <w:tcPr/>
          <w:p>
            <w:pPr>
              <w:pStyle w:val="Compact"/>
              <w:jc w:val="left"/>
            </w:pPr>
            <w:r>
              <w:t xml:space="preserve">Terrestre</w:t>
            </w:r>
          </w:p>
        </w:tc>
        <w:tc>
          <w:tcPr/>
          <w:p>
            <w:pPr>
              <w:pStyle w:val="Compact"/>
              <w:jc w:val="left"/>
            </w:pPr>
            <w:r>
              <w:t xml:space="preserve">Tambacounda</w:t>
            </w:r>
          </w:p>
        </w:tc>
      </w:tr>
      <w:tr>
        <w:tc>
          <w:tcPr/>
          <w:p>
            <w:pPr>
              <w:pStyle w:val="Compact"/>
              <w:jc w:val="left"/>
            </w:pPr>
            <w:r>
              <w:rPr>
                <w:rStyle w:val="VerbatimChar"/>
              </w:rPr>
              <w:t xml:space="preserve">KAR</w:t>
            </w:r>
          </w:p>
        </w:tc>
        <w:tc>
          <w:tcPr/>
          <w:p>
            <w:pPr>
              <w:pStyle w:val="Compact"/>
              <w:jc w:val="left"/>
            </w:pPr>
            <w:r>
              <w:t xml:space="preserve">Karang</w:t>
            </w:r>
          </w:p>
        </w:tc>
        <w:tc>
          <w:tcPr/>
          <w:p>
            <w:pPr>
              <w:pStyle w:val="Compact"/>
              <w:jc w:val="left"/>
            </w:pPr>
            <w:r>
              <w:t xml:space="preserve">Terrestre</w:t>
            </w:r>
          </w:p>
        </w:tc>
        <w:tc>
          <w:tcPr/>
          <w:p>
            <w:pPr>
              <w:pStyle w:val="Compact"/>
              <w:jc w:val="left"/>
            </w:pPr>
            <w:r>
              <w:t xml:space="preserve">Fatick</w:t>
            </w:r>
          </w:p>
        </w:tc>
      </w:tr>
      <w:tr>
        <w:tc>
          <w:tcPr/>
          <w:p>
            <w:pPr>
              <w:pStyle w:val="Compact"/>
              <w:jc w:val="left"/>
            </w:pPr>
            <w:r>
              <w:rPr>
                <w:rStyle w:val="VerbatimChar"/>
              </w:rPr>
              <w:t xml:space="preserve">ZIG</w:t>
            </w:r>
          </w:p>
        </w:tc>
        <w:tc>
          <w:tcPr/>
          <w:p>
            <w:pPr>
              <w:pStyle w:val="Compact"/>
              <w:jc w:val="left"/>
            </w:pPr>
            <w:r>
              <w:t xml:space="preserve">Aéroport de Ziguinchor</w:t>
            </w:r>
          </w:p>
        </w:tc>
        <w:tc>
          <w:tcPr/>
          <w:p>
            <w:pPr>
              <w:pStyle w:val="Compact"/>
              <w:jc w:val="left"/>
            </w:pPr>
            <w:r>
              <w:t xml:space="preserve">Aérien</w:t>
            </w:r>
          </w:p>
        </w:tc>
        <w:tc>
          <w:tcPr/>
          <w:p>
            <w:pPr>
              <w:pStyle w:val="Compact"/>
              <w:jc w:val="left"/>
            </w:pPr>
            <w:r>
              <w:t xml:space="preserve">Ziguinchor</w:t>
            </w:r>
          </w:p>
        </w:tc>
      </w:tr>
    </w:tbl>
    <w:p>
      <w:pPr>
        <w:pStyle w:val="BodyText"/>
      </w:pPr>
      <w:r>
        <w:t xml:space="preserve">Tout autre poste devra être ajouté à cette liste (modification du code, À développer) avant son raccordement.</w:t>
      </w:r>
    </w:p>
    <w:p>
      <w:pPr>
        <w:pStyle w:val="BodyText"/>
      </w:pPr>
      <w:r>
        <w:t xml:space="preserve">Le phasage ci-dessous est une</w:t>
      </w:r>
      <w:r>
        <w:t xml:space="preserve"> </w:t>
      </w:r>
      <w:r>
        <w:rPr>
          <w:bCs/>
          <w:b/>
        </w:rPr>
        <w:t xml:space="preserve">Recommandation</w:t>
      </w:r>
      <w:r>
        <w:t xml:space="preserve">. Il reprend le principe de la note de proposition (</w:t>
      </w:r>
      <w:r>
        <w:rPr>
          <w:rStyle w:val="VerbatimChar"/>
        </w:rPr>
        <w:t xml:space="preserve">docs/PROPOSITION-REMPLACEMENT-SECURIPORT.md</w:t>
      </w:r>
      <w:r>
        <w:t xml:space="preserve">) : pilote à l'AIBD en parallèle du système en place, puis bascule par vagues, sans interruption du contrôle. Les durées indiquées dans cette note sont indicatives ; aucun calendrier n'est arrêté.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Périmètre</w:t>
            </w:r>
          </w:p>
        </w:tc>
        <w:tc>
          <w:tcPr/>
          <w:p>
            <w:pPr>
              <w:pStyle w:val="Compact"/>
              <w:jc w:val="left"/>
            </w:pPr>
            <w:r>
              <w:t xml:space="preserve">Prérequis</w:t>
            </w:r>
          </w:p>
        </w:tc>
        <w:tc>
          <w:tcPr/>
          <w:p>
            <w:pPr>
              <w:pStyle w:val="Compact"/>
              <w:jc w:val="left"/>
            </w:pPr>
            <w:r>
              <w:t xml:space="preserve">Critère de sortie</w:t>
            </w:r>
          </w:p>
        </w:tc>
      </w:tr>
      <w:tr>
        <w:tc>
          <w:tcPr/>
          <w:p>
            <w:pPr>
              <w:pStyle w:val="Compact"/>
              <w:jc w:val="left"/>
            </w:pPr>
            <w:r>
              <w:t xml:space="preserve">0. Cadrage</w:t>
            </w:r>
          </w:p>
        </w:tc>
        <w:tc>
          <w:tcPr/>
          <w:p>
            <w:pPr>
              <w:pStyle w:val="Compact"/>
              <w:jc w:val="left"/>
            </w:pPr>
            <w:r>
              <w:t xml:space="preserve">Juridique, contractuel, hébergement</w:t>
            </w:r>
          </w:p>
        </w:tc>
        <w:tc>
          <w:tcPr/>
          <w:p>
            <w:pPr>
              <w:pStyle w:val="Compact"/>
              <w:jc w:val="left"/>
            </w:pPr>
            <w:r>
              <w:t xml:space="preserve">Points « À vérifier » ci-dessous traités ; choix de l'hébergement</w:t>
            </w:r>
          </w:p>
        </w:tc>
        <w:tc>
          <w:tcPr/>
          <w:p>
            <w:pPr>
              <w:pStyle w:val="Compact"/>
              <w:jc w:val="left"/>
            </w:pPr>
            <w:r>
              <w:t xml:space="preserve">Décision écrite des autorités compétentes</w:t>
            </w:r>
          </w:p>
        </w:tc>
      </w:tr>
      <w:tr>
        <w:tc>
          <w:tcPr/>
          <w:p>
            <w:pPr>
              <w:pStyle w:val="Compact"/>
              <w:jc w:val="left"/>
            </w:pPr>
            <w:r>
              <w:t xml:space="preserve">1. Pilote</w:t>
            </w:r>
          </w:p>
        </w:tc>
        <w:tc>
          <w:tcPr/>
          <w:p>
            <w:pPr>
              <w:pStyle w:val="Compact"/>
              <w:jc w:val="left"/>
            </w:pPr>
            <w:r>
              <w:t xml:space="preserve">AIBD : quelques guichets et eGates aux arrivées et aux départs, en parallèle du système en place ; passerelle API/PNR ouverte à des compagnies volontaires ; rapprochement de la redevance</w:t>
            </w:r>
          </w:p>
        </w:tc>
        <w:tc>
          <w:tcPr/>
          <w:p>
            <w:pPr>
              <w:pStyle w:val="Compact"/>
              <w:jc w:val="left"/>
            </w:pPr>
            <w:r>
              <w:t xml:space="preserve">Hébergement national opérationnel ; lecteurs et SDK certifiés intégrés ; agents pilotes formés</w:t>
            </w:r>
          </w:p>
        </w:tc>
        <w:tc>
          <w:tcPr/>
          <w:p>
            <w:pPr>
              <w:pStyle w:val="Compact"/>
              <w:jc w:val="left"/>
            </w:pPr>
            <w:r>
              <w:t xml:space="preserve">Recette du pilote validée (voir le tableau de recette) ; aucun incident bloquant sur une période d'observation convenue</w:t>
            </w:r>
          </w:p>
        </w:tc>
      </w:tr>
      <w:tr>
        <w:tc>
          <w:tcPr/>
          <w:p>
            <w:pPr>
              <w:pStyle w:val="Compact"/>
              <w:jc w:val="left"/>
            </w:pPr>
            <w:r>
              <w:t xml:space="preserve">2. Vague aérienne et maritime</w:t>
            </w:r>
          </w:p>
        </w:tc>
        <w:tc>
          <w:tcPr/>
          <w:p>
            <w:pPr>
              <w:pStyle w:val="Compact"/>
              <w:jc w:val="left"/>
            </w:pPr>
            <w:r>
              <w:t xml:space="preserve">AIBD complet, Aéroport de Ziguinchor, Port Autonome de Dakar</w:t>
            </w:r>
          </w:p>
        </w:tc>
        <w:tc>
          <w:tcPr/>
          <w:p>
            <w:pPr>
              <w:pStyle w:val="Compact"/>
              <w:jc w:val="left"/>
            </w:pPr>
            <w:r>
              <w:t xml:space="preserve">Bilan du pilote ; serveurs de poste installés ; liaisons réseau validées</w:t>
            </w:r>
          </w:p>
        </w:tc>
        <w:tc>
          <w:tcPr/>
          <w:p>
            <w:pPr>
              <w:pStyle w:val="Compact"/>
              <w:jc w:val="left"/>
            </w:pPr>
            <w:r>
              <w:t xml:space="preserve">Recette par poste</w:t>
            </w:r>
          </w:p>
        </w:tc>
      </w:tr>
      <w:tr>
        <w:tc>
          <w:tcPr/>
          <w:p>
            <w:pPr>
              <w:pStyle w:val="Compact"/>
              <w:jc w:val="left"/>
            </w:pPr>
            <w:r>
              <w:t xml:space="preserve">3. Vague terrestre</w:t>
            </w:r>
          </w:p>
        </w:tc>
        <w:tc>
          <w:tcPr/>
          <w:p>
            <w:pPr>
              <w:pStyle w:val="Compact"/>
              <w:jc w:val="left"/>
            </w:pPr>
            <w:r>
              <w:t xml:space="preserve">Rosso, Kidira, Karang (lecteurs de plaques VRS, scanners)</w:t>
            </w:r>
          </w:p>
        </w:tc>
        <w:tc>
          <w:tcPr/>
          <w:p>
            <w:pPr>
              <w:pStyle w:val="Compact"/>
              <w:jc w:val="left"/>
            </w:pPr>
            <w:r>
              <w:t xml:space="preserve">Mode hors ligne validé ; secours 4G/VSAT en place</w:t>
            </w:r>
          </w:p>
        </w:tc>
        <w:tc>
          <w:tcPr/>
          <w:p>
            <w:pPr>
              <w:pStyle w:val="Compact"/>
              <w:jc w:val="left"/>
            </w:pPr>
            <w:r>
              <w:t xml:space="preserve">Recette par poste, dont un essai de coupure de liaison</w:t>
            </w:r>
          </w:p>
        </w:tc>
      </w:tr>
      <w:tr>
        <w:tc>
          <w:tcPr/>
          <w:p>
            <w:pPr>
              <w:pStyle w:val="Compact"/>
              <w:jc w:val="left"/>
            </w:pPr>
            <w:r>
              <w:t xml:space="preserve">4. Généralisation</w:t>
            </w:r>
          </w:p>
        </w:tc>
        <w:tc>
          <w:tcPr/>
          <w:p>
            <w:pPr>
              <w:pStyle w:val="Compact"/>
              <w:jc w:val="left"/>
            </w:pPr>
            <w:r>
              <w:t xml:space="preserve">Autres postes à déclarer, arrêt du système précédent</w:t>
            </w:r>
          </w:p>
        </w:tc>
        <w:tc>
          <w:tcPr/>
          <w:p>
            <w:pPr>
              <w:pStyle w:val="Compact"/>
              <w:jc w:val="left"/>
            </w:pPr>
            <w:r>
              <w:t xml:space="preserve">Reprise des données selon les clauses contractuelles applicables</w:t>
            </w:r>
          </w:p>
        </w:tc>
        <w:tc>
          <w:tcPr/>
          <w:p>
            <w:pPr>
              <w:pStyle w:val="Compact"/>
              <w:jc w:val="left"/>
            </w:pPr>
            <w:r>
              <w:t xml:space="preserve">Procès-verbal de mise en service définitive</w:t>
            </w:r>
          </w:p>
        </w:tc>
      </w:tr>
    </w:tbl>
    <w:bookmarkEnd w:id="22"/>
    <w:bookmarkStart w:id="28" w:name="hébergement-au-sénégal"/>
    <w:p>
      <w:pPr>
        <w:pStyle w:val="Heading2"/>
      </w:pPr>
      <w:r>
        <w:t xml:space="preserve">Hébergement au Sénégal</w:t>
      </w:r>
    </w:p>
    <w:bookmarkStart w:id="23" w:name="principes"/>
    <w:p>
      <w:pPr>
        <w:pStyle w:val="Heading3"/>
      </w:pPr>
      <w:r>
        <w:t xml:space="preserve">Principes</w:t>
      </w:r>
    </w:p>
    <w:p>
      <w:pPr>
        <w:numPr>
          <w:ilvl w:val="0"/>
          <w:numId w:val="1001"/>
        </w:numPr>
        <w:pStyle w:val="Compact"/>
      </w:pPr>
      <w:r>
        <w:rPr>
          <w:bCs/>
          <w:b/>
        </w:rPr>
        <w:t xml:space="preserve">Souveraineté</w:t>
      </w:r>
      <w:r>
        <w:t xml:space="preserve"> </w:t>
      </w:r>
      <w:r>
        <w:t xml:space="preserve">: les données nominatives et biométriques sont hébergées sur le territoire national ; aucune donnée biométrique ne quitte le pays. L'hébergement actuel sur Netlify n'est pas acceptable pour des données réelles (voir</w:t>
      </w:r>
      <w:r>
        <w:t xml:space="preserve"> </w:t>
      </w:r>
      <w:r>
        <w:rPr>
          <w:iCs/>
          <w:i/>
        </w:rPr>
        <w:t xml:space="preserve">Sécurité, données personnelles et conformité</w:t>
      </w:r>
      <w:r>
        <w:t xml:space="preserve">).</w:t>
      </w:r>
    </w:p>
    <w:p>
      <w:pPr>
        <w:numPr>
          <w:ilvl w:val="0"/>
          <w:numId w:val="1001"/>
        </w:numPr>
        <w:pStyle w:val="Compact"/>
      </w:pPr>
      <w:r>
        <w:rPr>
          <w:bCs/>
          <w:b/>
        </w:rPr>
        <w:t xml:space="preserve">Centre de données principal</w:t>
      </w:r>
      <w:r>
        <w:t xml:space="preserve"> </w:t>
      </w:r>
      <w:r>
        <w:t xml:space="preserve">:</w:t>
      </w:r>
      <w:r>
        <w:t xml:space="preserve"> </w:t>
      </w:r>
      <w:r>
        <w:rPr>
          <w:rStyle w:val="VerbatimChar"/>
        </w:rPr>
        <w:t xml:space="preserve">docs/ARCHITECTURE.md</w:t>
      </w:r>
      <w:r>
        <w:t xml:space="preserve"> </w:t>
      </w:r>
      <w:r>
        <w:t xml:space="preserve">cite à titre d'exemple le centre de données national de Diamniadio, exploité pour le compte de l'État. Cette option est</w:t>
      </w:r>
      <w:r>
        <w:t xml:space="preserve"> </w:t>
      </w:r>
      <w:r>
        <w:rPr>
          <w:bCs/>
          <w:b/>
        </w:rPr>
        <w:t xml:space="preserve">À vérifier</w:t>
      </w:r>
      <w:r>
        <w:t xml:space="preserve"> </w:t>
      </w:r>
      <w:r>
        <w:t xml:space="preserve">: disponibilité de capacité, conditions d'hébergement, niveaux de service, sécurité physique et cadre conventionnel doivent être confirmés par l'opérateur du centre et par l'autorité de tutelle. Aucun engagement n'existe à ce jour.</w:t>
      </w:r>
    </w:p>
    <w:p>
      <w:pPr>
        <w:numPr>
          <w:ilvl w:val="0"/>
          <w:numId w:val="1001"/>
        </w:numPr>
        <w:pStyle w:val="Compact"/>
      </w:pPr>
      <w:r>
        <w:rPr>
          <w:bCs/>
          <w:b/>
        </w:rPr>
        <w:t xml:space="preserve">Site de secours</w:t>
      </w:r>
      <w:r>
        <w:t xml:space="preserve"> </w:t>
      </w:r>
      <w:r>
        <w:t xml:space="preserve">: un second site sur le territoire, avec la même pile logicielle (Recommandation de</w:t>
      </w:r>
      <w:r>
        <w:t xml:space="preserve"> </w:t>
      </w:r>
      <w:r>
        <w:rPr>
          <w:rStyle w:val="VerbatimChar"/>
        </w:rPr>
        <w:t xml:space="preserve">docs/ARCHITECTURE.md</w:t>
      </w:r>
      <w:r>
        <w:t xml:space="preserve">).</w:t>
      </w:r>
    </w:p>
    <w:p>
      <w:pPr>
        <w:numPr>
          <w:ilvl w:val="0"/>
          <w:numId w:val="1001"/>
        </w:numPr>
        <w:pStyle w:val="Compact"/>
      </w:pPr>
      <w:r>
        <w:rPr>
          <w:bCs/>
          <w:b/>
        </w:rPr>
        <w:t xml:space="preserve">Exposition minimale</w:t>
      </w:r>
      <w:r>
        <w:t xml:space="preserve"> </w:t>
      </w:r>
      <w:r>
        <w:t xml:space="preserve">: seuls la plateforme voyageurs (portail, aide, page des applications mobiles), la plateforme des compagnies aériennes (</w:t>
      </w:r>
      <w:r>
        <w:rPr>
          <w:rStyle w:val="VerbatimChar"/>
        </w:rPr>
        <w:t xml:space="preserve">/compagnies/</w:t>
      </w:r>
      <w:r>
        <w:t xml:space="preserve">) et la passerelle transporteurs sont exposés sur Internet, en DMZ derrière un CDN/WAF anti-DDoS ; l'espace DPAF (</w:t>
      </w:r>
      <w:r>
        <w:rPr>
          <w:rStyle w:val="VerbatimChar"/>
        </w:rPr>
        <w:t xml:space="preserve">/dpaf/</w:t>
      </w:r>
      <w:r>
        <w:t xml:space="preserve">), les kiosques et les services internes restent sur le réseau privé. Chaque plateforme peut recevoir son propre nom de domaine.</w:t>
      </w:r>
    </w:p>
    <w:bookmarkEnd w:id="23"/>
    <w:bookmarkStart w:id="24" w:name="Xc4320f2e7ea18d086ed43196d883583f6b56a0a"/>
    <w:p>
      <w:pPr>
        <w:pStyle w:val="Heading3"/>
      </w:pPr>
      <w:r>
        <w:t xml:space="preserve">Objectifs de service (cibles de l'architecture)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Indicateur</w:t>
            </w:r>
          </w:p>
        </w:tc>
        <w:tc>
          <w:tcPr/>
          <w:p>
            <w:pPr>
              <w:pStyle w:val="Compact"/>
              <w:jc w:val="left"/>
            </w:pPr>
            <w:r>
              <w:t xml:space="preserve">Cible</w:t>
            </w:r>
          </w:p>
        </w:tc>
      </w:tr>
      <w:tr>
        <w:tc>
          <w:tcPr/>
          <w:p>
            <w:pPr>
              <w:pStyle w:val="Compact"/>
              <w:jc w:val="left"/>
            </w:pPr>
            <w:r>
              <w:t xml:space="preserve">Disponibilité du central</w:t>
            </w:r>
          </w:p>
        </w:tc>
        <w:tc>
          <w:tcPr/>
          <w:p>
            <w:pPr>
              <w:pStyle w:val="Compact"/>
              <w:jc w:val="left"/>
            </w:pPr>
            <w:r>
              <w:t xml:space="preserve">99,95 %</w:t>
            </w:r>
          </w:p>
        </w:tc>
      </w:tr>
      <w:tr>
        <w:tc>
          <w:tcPr/>
          <w:p>
            <w:pPr>
              <w:pStyle w:val="Compact"/>
              <w:jc w:val="left"/>
            </w:pPr>
            <w:r>
              <w:t xml:space="preserve">Perte de données maximale (RPO)</w:t>
            </w:r>
          </w:p>
        </w:tc>
        <w:tc>
          <w:tcPr/>
          <w:p>
            <w:pPr>
              <w:pStyle w:val="Compact"/>
              <w:jc w:val="left"/>
            </w:pPr>
            <w:r>
              <w:t xml:space="preserve">Moins de 5 minutes</w:t>
            </w:r>
          </w:p>
        </w:tc>
      </w:tr>
      <w:tr>
        <w:tc>
          <w:tcPr/>
          <w:p>
            <w:pPr>
              <w:pStyle w:val="Compact"/>
              <w:jc w:val="left"/>
            </w:pPr>
            <w:r>
              <w:t xml:space="preserve">Délai de reprise (RTO)</w:t>
            </w:r>
          </w:p>
        </w:tc>
        <w:tc>
          <w:tcPr/>
          <w:p>
            <w:pPr>
              <w:pStyle w:val="Compact"/>
              <w:jc w:val="left"/>
            </w:pPr>
            <w:r>
              <w:t xml:space="preserve">Moins d'une heure</w:t>
            </w:r>
          </w:p>
        </w:tc>
      </w:tr>
      <w:tr>
        <w:tc>
          <w:tcPr/>
          <w:p>
            <w:pPr>
              <w:pStyle w:val="Compact"/>
              <w:jc w:val="left"/>
            </w:pPr>
            <w:r>
              <w:t xml:space="preserve">Capacité de contrôle au poste</w:t>
            </w:r>
          </w:p>
        </w:tc>
        <w:tc>
          <w:tcPr/>
          <w:p>
            <w:pPr>
              <w:pStyle w:val="Compact"/>
              <w:jc w:val="left"/>
            </w:pPr>
            <w:r>
              <w:t xml:space="preserve">100 %, y compris en mode dégradé</w:t>
            </w:r>
          </w:p>
        </w:tc>
      </w:tr>
      <w:tr>
        <w:tc>
          <w:tcPr/>
          <w:p>
            <w:pPr>
              <w:pStyle w:val="Compact"/>
              <w:jc w:val="left"/>
            </w:pPr>
            <w:r>
              <w:t xml:space="preserve">Tests de bascule</w:t>
            </w:r>
          </w:p>
        </w:tc>
        <w:tc>
          <w:tcPr/>
          <w:p>
            <w:pPr>
              <w:pStyle w:val="Compact"/>
              <w:jc w:val="left"/>
            </w:pPr>
            <w:r>
              <w:t xml:space="preserve">Semestriels</w:t>
            </w:r>
          </w:p>
        </w:tc>
      </w:tr>
    </w:tbl>
    <w:p>
      <w:pPr>
        <w:pStyle w:val="BodyText"/>
      </w:pPr>
      <w:r>
        <w:t xml:space="preserve">Ces valeurs sont des objectifs de conception, pas des engagements contractuels.</w:t>
      </w:r>
    </w:p>
    <w:bookmarkEnd w:id="24"/>
    <w:bookmarkStart w:id="25" w:name="X12278915665d343776aad29e2c50c6c0c183c38"/>
    <w:p>
      <w:pPr>
        <w:pStyle w:val="Heading3"/>
      </w:pPr>
      <w:r>
        <w:t xml:space="preserve">Liaisons entre les postes et le centre de données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Recommandation</w:t>
            </w:r>
          </w:p>
        </w:tc>
      </w:tr>
      <w:tr>
        <w:tc>
          <w:tcPr/>
          <w:p>
            <w:pPr>
              <w:pStyle w:val="Compact"/>
              <w:jc w:val="left"/>
            </w:pPr>
            <w:r>
              <w:t xml:space="preserve">Liaison principale</w:t>
            </w:r>
          </w:p>
        </w:tc>
        <w:tc>
          <w:tcPr/>
          <w:p>
            <w:pPr>
              <w:pStyle w:val="Compact"/>
              <w:jc w:val="left"/>
            </w:pPr>
            <w:r>
              <w:t xml:space="preserve">MPLS ou VPN chiffré entre chaque poste et le centre principal, avec bascule vers le site de secours</w:t>
            </w:r>
          </w:p>
        </w:tc>
      </w:tr>
      <w:tr>
        <w:tc>
          <w:tcPr/>
          <w:p>
            <w:pPr>
              <w:pStyle w:val="Compact"/>
              <w:jc w:val="left"/>
            </w:pPr>
            <w:r>
              <w:t xml:space="preserve">Liaison de secours</w:t>
            </w:r>
          </w:p>
        </w:tc>
        <w:tc>
          <w:tcPr/>
          <w:p>
            <w:pPr>
              <w:pStyle w:val="Compact"/>
              <w:jc w:val="left"/>
            </w:pPr>
            <w:r>
              <w:t xml:space="preserve">4G ou VSAT par poste, en particulier pour les postes terrestres éloignés (Kidira, Rosso, Karang)</w:t>
            </w:r>
          </w:p>
        </w:tc>
      </w:tr>
      <w:tr>
        <w:tc>
          <w:tcPr/>
          <w:p>
            <w:pPr>
              <w:pStyle w:val="Compact"/>
              <w:jc w:val="left"/>
            </w:pPr>
            <w:r>
              <w:t xml:space="preserve">Réseau du poste</w:t>
            </w:r>
          </w:p>
        </w:tc>
        <w:tc>
          <w:tcPr/>
          <w:p>
            <w:pPr>
              <w:pStyle w:val="Compact"/>
              <w:jc w:val="left"/>
            </w:pPr>
            <w:r>
              <w:t xml:space="preserve">Réseau local segmenté (guichets, eGates, CCTV, administration) ; aucun poste de contrôle directement exposé à Internet</w:t>
            </w:r>
          </w:p>
        </w:tc>
      </w:tr>
      <w:tr>
        <w:tc>
          <w:tcPr/>
          <w:p>
            <w:pPr>
              <w:pStyle w:val="Compact"/>
              <w:jc w:val="left"/>
            </w:pPr>
            <w:r>
              <w:t xml:space="preserve">Flux sortants des postes</w:t>
            </w:r>
          </w:p>
        </w:tc>
        <w:tc>
          <w:tcPr/>
          <w:p>
            <w:pPr>
              <w:pStyle w:val="Compact"/>
              <w:jc w:val="left"/>
            </w:pPr>
            <w:r>
              <w:t xml:space="preserve">Limités au central WawID (HTTPS) ; le pont NFC n'écoute que sur la boucle locale de chaque poste de travail</w:t>
            </w:r>
          </w:p>
        </w:tc>
      </w:tr>
      <w:tr>
        <w:tc>
          <w:tcPr/>
          <w:p>
            <w:pPr>
              <w:pStyle w:val="Compact"/>
              <w:jc w:val="left"/>
            </w:pPr>
            <w:r>
              <w:t xml:space="preserve">Supervision</w:t>
            </w:r>
          </w:p>
        </w:tc>
        <w:tc>
          <w:tcPr/>
          <w:p>
            <w:pPr>
              <w:pStyle w:val="Compact"/>
              <w:jc w:val="left"/>
            </w:pPr>
            <w:r>
              <w:t xml:space="preserve">Remontée de l'état des équipements vers</w:t>
            </w:r>
            <w:r>
              <w:t xml:space="preserve"> </w:t>
            </w:r>
            <w:r>
              <w:rPr>
                <w:bCs/>
                <w:b/>
              </w:rPr>
              <w:t xml:space="preserve">Supervision systèmes</w:t>
            </w:r>
            <w:r>
              <w:t xml:space="preserve"> </w:t>
            </w:r>
            <w:r>
              <w:t xml:space="preserve">et vers le SOC de l'exploitant</w:t>
            </w:r>
          </w:p>
        </w:tc>
      </w:tr>
    </w:tbl>
    <w:bookmarkEnd w:id="25"/>
    <w:bookmarkStart w:id="26" w:name="mode-hors-ligne-à-développer"/>
    <w:p>
      <w:pPr>
        <w:pStyle w:val="Heading3"/>
      </w:pPr>
      <w:r>
        <w:t xml:space="preserve">Mode hors ligne (À développer)</w:t>
      </w:r>
    </w:p>
    <w:p>
      <w:pPr>
        <w:pStyle w:val="FirstParagraph"/>
      </w:pPr>
      <w:r>
        <w:t xml:space="preserve">Le démonstrateur n'a</w:t>
      </w:r>
      <w:r>
        <w:t xml:space="preserve"> </w:t>
      </w:r>
      <w:r>
        <w:rPr>
          <w:bCs/>
          <w:b/>
        </w:rPr>
        <w:t xml:space="preserve">pas</w:t>
      </w:r>
      <w:r>
        <w:t xml:space="preserve"> </w:t>
      </w:r>
      <w:r>
        <w:t xml:space="preserve">de mode hors ligne : un poste qui perd sa liaison ne peut plus enregistrer de passage. L'architecture cible prévoit un</w:t>
      </w:r>
      <w:r>
        <w:t xml:space="preserve"> </w:t>
      </w:r>
      <w:r>
        <w:rPr>
          <w:bCs/>
          <w:b/>
        </w:rPr>
        <w:t xml:space="preserve">serveur de poste</w:t>
      </w:r>
      <w:r>
        <w:t xml:space="preserve"> </w:t>
      </w:r>
      <w:r>
        <w:t xml:space="preserve">(type</w:t>
      </w:r>
      <w:r>
        <w:t xml:space="preserve"> </w:t>
      </w:r>
      <w:r>
        <w:rPr>
          <w:rStyle w:val="VerbatimChar"/>
        </w:rPr>
        <w:t xml:space="preserve">SRV-</w:t>
      </w:r>
      <w:r>
        <w:t xml:space="preserve"> </w:t>
      </w:r>
      <w:r>
        <w:t xml:space="preserve">dans</w:t>
      </w:r>
      <w:r>
        <w:t xml:space="preserve"> </w:t>
      </w:r>
      <w:r>
        <w:rPr>
          <w:bCs/>
          <w:b/>
        </w:rPr>
        <w:t xml:space="preserve">Supervision systèmes</w:t>
      </w:r>
      <w:r>
        <w:t xml:space="preserve">) qui :</w:t>
      </w:r>
    </w:p>
    <w:p>
      <w:pPr>
        <w:numPr>
          <w:ilvl w:val="0"/>
          <w:numId w:val="1002"/>
        </w:numPr>
        <w:pStyle w:val="Compact"/>
      </w:pPr>
      <w:r>
        <w:t xml:space="preserve">conserve une copie chiffrée des listes de surveillance, synchronisée en moins d'une minute ;</w:t>
      </w:r>
    </w:p>
    <w:p>
      <w:pPr>
        <w:numPr>
          <w:ilvl w:val="0"/>
          <w:numId w:val="1002"/>
        </w:numPr>
        <w:pStyle w:val="Compact"/>
      </w:pPr>
      <w:r>
        <w:t xml:space="preserve">exécute le même moteur de décision que le central (</w:t>
      </w:r>
      <w:r>
        <w:rPr>
          <w:rStyle w:val="VerbatimChar"/>
        </w:rPr>
        <w:t xml:space="preserve">public/shared/engine.js</w:t>
      </w:r>
      <w:r>
        <w:t xml:space="preserve">) ;</w:t>
      </w:r>
    </w:p>
    <w:p>
      <w:pPr>
        <w:numPr>
          <w:ilvl w:val="0"/>
          <w:numId w:val="1002"/>
        </w:numPr>
        <w:pStyle w:val="Compact"/>
      </w:pPr>
      <w:r>
        <w:t xml:space="preserve">met les passages en file d'attente et les resynchronise au retour de la liaison ;</w:t>
      </w:r>
    </w:p>
    <w:p>
      <w:pPr>
        <w:numPr>
          <w:ilvl w:val="0"/>
          <w:numId w:val="1002"/>
        </w:numPr>
        <w:pStyle w:val="Compact"/>
      </w:pPr>
      <w:r>
        <w:t xml:space="preserve">déclenche une alerte locale en cas de correspondance critique.</w:t>
      </w:r>
    </w:p>
    <w:p>
      <w:pPr>
        <w:pStyle w:val="FirstParagraph"/>
      </w:pPr>
      <w:r>
        <w:t xml:space="preserve">Tant que ce serveur n'existe pas, chaque poste doit disposer d'une</w:t>
      </w:r>
      <w:r>
        <w:t xml:space="preserve"> </w:t>
      </w:r>
      <w:r>
        <w:rPr>
          <w:bCs/>
          <w:b/>
        </w:rPr>
        <w:t xml:space="preserve">procédure de contrôle manuel</w:t>
      </w:r>
      <w:r>
        <w:t xml:space="preserve"> </w:t>
      </w:r>
      <w:r>
        <w:t xml:space="preserve">écrite, validée par la DPAF.</w:t>
      </w:r>
    </w:p>
    <w:bookmarkEnd w:id="26"/>
    <w:bookmarkStart w:id="27" w:name="sauvegardes-et-reprise"/>
    <w:p>
      <w:pPr>
        <w:pStyle w:val="Heading3"/>
      </w:pPr>
      <w:r>
        <w:t xml:space="preserve">Sauvegardes et reprise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Recommandation</w:t>
            </w:r>
          </w:p>
        </w:tc>
      </w:tr>
      <w:tr>
        <w:tc>
          <w:tcPr/>
          <w:p>
            <w:pPr>
              <w:pStyle w:val="Compact"/>
              <w:jc w:val="left"/>
            </w:pPr>
            <w:r>
              <w:t xml:space="preserve">Base de données</w:t>
            </w:r>
          </w:p>
        </w:tc>
        <w:tc>
          <w:tcPr/>
          <w:p>
            <w:pPr>
              <w:pStyle w:val="Compact"/>
              <w:jc w:val="left"/>
            </w:pPr>
            <w:r>
              <w:t xml:space="preserve">Réplication vers le site de secours ; sauvegardes complètes et incrémentales chiffrées</w:t>
            </w:r>
          </w:p>
        </w:tc>
      </w:tr>
      <w:tr>
        <w:tc>
          <w:tcPr/>
          <w:p>
            <w:pPr>
              <w:pStyle w:val="Compact"/>
              <w:jc w:val="left"/>
            </w:pPr>
            <w:r>
              <w:t xml:space="preserve">Copie hors ligne</w:t>
            </w:r>
          </w:p>
        </w:tc>
        <w:tc>
          <w:tcPr/>
          <w:p>
            <w:pPr>
              <w:pStyle w:val="Compact"/>
              <w:jc w:val="left"/>
            </w:pPr>
            <w:r>
              <w:t xml:space="preserve">Sauvegarde chiffrée déconnectée du réseau, conservée sur le territoire</w:t>
            </w:r>
          </w:p>
        </w:tc>
      </w:tr>
      <w:tr>
        <w:tc>
          <w:tcPr/>
          <w:p>
            <w:pPr>
              <w:pStyle w:val="Compact"/>
              <w:jc w:val="left"/>
            </w:pPr>
            <w:r>
              <w:t xml:space="preserve">Journal d'audit</w:t>
            </w:r>
          </w:p>
        </w:tc>
        <w:tc>
          <w:tcPr/>
          <w:p>
            <w:pPr>
              <w:pStyle w:val="Compact"/>
              <w:jc w:val="left"/>
            </w:pPr>
            <w:r>
              <w:t xml:space="preserve">Archivage régulier ; ancrage périodique de la tête de chaîne par une signature HSM</w:t>
            </w:r>
          </w:p>
        </w:tc>
      </w:tr>
      <w:tr>
        <w:tc>
          <w:tcPr/>
          <w:p>
            <w:pPr>
              <w:pStyle w:val="Compact"/>
              <w:jc w:val="left"/>
            </w:pPr>
            <w:r>
              <w:t xml:space="preserve">Clés et secrets</w:t>
            </w:r>
          </w:p>
        </w:tc>
        <w:tc>
          <w:tcPr/>
          <w:p>
            <w:pPr>
              <w:pStyle w:val="Compact"/>
              <w:jc w:val="left"/>
            </w:pPr>
            <w:r>
              <w:t xml:space="preserve">Conservés dans un HSM ; procédure de séquestre validée par la sécurité</w:t>
            </w:r>
          </w:p>
        </w:tc>
      </w:tr>
      <w:tr>
        <w:tc>
          <w:tcPr/>
          <w:p>
            <w:pPr>
              <w:pStyle w:val="Compact"/>
              <w:jc w:val="left"/>
            </w:pPr>
            <w:r>
              <w:t xml:space="preserve">Essais</w:t>
            </w:r>
          </w:p>
        </w:tc>
        <w:tc>
          <w:tcPr/>
          <w:p>
            <w:pPr>
              <w:pStyle w:val="Compact"/>
              <w:jc w:val="left"/>
            </w:pPr>
            <w:r>
              <w:t xml:space="preserve">Restauration testée au moins avant chaque phase et à chaque test de bascule</w:t>
            </w:r>
          </w:p>
        </w:tc>
      </w:tr>
    </w:tbl>
    <w:bookmarkEnd w:id="27"/>
    <w:bookmarkEnd w:id="28"/>
    <w:bookmarkStart w:id="29" w:name="prérequis-juridiques-et-réglementaires"/>
    <w:p>
      <w:pPr>
        <w:pStyle w:val="Heading2"/>
      </w:pPr>
      <w:r>
        <w:t xml:space="preserve">Prérequis juridiques et réglementaires</w:t>
      </w:r>
    </w:p>
    <w:p>
      <w:pPr>
        <w:pStyle w:val="FirstParagraph"/>
      </w:pPr>
      <w:r>
        <w:t xml:space="preserve">Les vérifications suivantes sont</w:t>
      </w:r>
      <w:r>
        <w:t xml:space="preserve"> </w:t>
      </w:r>
      <w:r>
        <w:rPr>
          <w:bCs/>
          <w:b/>
        </w:rPr>
        <w:t xml:space="preserve">À vérifier</w:t>
      </w:r>
      <w:r>
        <w:t xml:space="preserve"> </w:t>
      </w:r>
      <w:r>
        <w:t xml:space="preserve">auprès des autorités compétentes. Elles ne préjugent pas des réponses ; seuls les textes déjà cités dans la documentation de WawID sont mentionnés comme références.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Autorité ou interlocuteur</w:t>
            </w:r>
          </w:p>
        </w:tc>
        <w:tc>
          <w:tcPr/>
          <w:p>
            <w:pPr>
              <w:pStyle w:val="Compact"/>
              <w:jc w:val="left"/>
            </w:pPr>
            <w:r>
              <w:t xml:space="preserve">Vérification à effectuer</w:t>
            </w:r>
          </w:p>
        </w:tc>
      </w:tr>
      <w:tr>
        <w:tc>
          <w:tcPr/>
          <w:p>
            <w:pPr>
              <w:pStyle w:val="Compact"/>
              <w:jc w:val="left"/>
            </w:pPr>
            <w:r>
              <w:t xml:space="preserve">Protection des données personnelles</w:t>
            </w:r>
          </w:p>
        </w:tc>
        <w:tc>
          <w:tcPr/>
          <w:p>
            <w:pPr>
              <w:pStyle w:val="Compact"/>
              <w:jc w:val="left"/>
            </w:pPr>
            <w:r>
              <w:t xml:space="preserve">Commission de Protection des Données Personnelles (CDP)</w:t>
            </w:r>
          </w:p>
        </w:tc>
        <w:tc>
          <w:tcPr/>
          <w:p>
            <w:pPr>
              <w:pStyle w:val="Compact"/>
              <w:jc w:val="left"/>
            </w:pPr>
            <w:r>
              <w:t xml:space="preserve">Déterminer le régime applicable au traitement au titre de la loi n° 2008-12 du 25 janvier 2008 (déclaration ou demande d'autorisation, notamment pour la biométrie et les traitements de sécurité publique) et accomplir les formalités</w:t>
            </w:r>
            <w:r>
              <w:t xml:space="preserve"> </w:t>
            </w:r>
            <w:r>
              <w:rPr>
                <w:bCs/>
                <w:b/>
              </w:rPr>
              <w:t xml:space="preserve">avant</w:t>
            </w:r>
            <w:r>
              <w:t xml:space="preserve"> </w:t>
            </w:r>
            <w:r>
              <w:t xml:space="preserve">toute mise en production ; fixer la durée de conservation (5 ans par défaut dans WawID), le point de contact pour les droits d'accès et de rectification, et les conditions d'hébergement.</w:t>
            </w:r>
          </w:p>
        </w:tc>
      </w:tr>
      <w:tr>
        <w:tc>
          <w:tcPr/>
          <w:p>
            <w:pPr>
              <w:pStyle w:val="Compact"/>
              <w:jc w:val="left"/>
            </w:pPr>
            <w:r>
              <w:t xml:space="preserve">Maîtrise d'ouvrage du contrôle frontière</w:t>
            </w:r>
          </w:p>
        </w:tc>
        <w:tc>
          <w:tcPr/>
          <w:p>
            <w:pPr>
              <w:pStyle w:val="Compact"/>
              <w:jc w:val="left"/>
            </w:pPr>
            <w:r>
              <w:t xml:space="preserve">Ministère de l'Intérieur, Direction de la Police de l'Air et des Frontières (DPAF)</w:t>
            </w:r>
          </w:p>
        </w:tc>
        <w:tc>
          <w:tcPr/>
          <w:p>
            <w:pPr>
              <w:pStyle w:val="Compact"/>
              <w:jc w:val="left"/>
            </w:pPr>
            <w:r>
              <w:t xml:space="preserve">Désignation du responsable de traitement ; validation des procédures (escalade, refus d'entrée, mode dégradé) ; vérification de la nécessité d'un acte réglementaire créant le traitement.</w:t>
            </w:r>
          </w:p>
        </w:tc>
      </w:tr>
      <w:tr>
        <w:tc>
          <w:tcPr/>
          <w:p>
            <w:pPr>
              <w:pStyle w:val="Compact"/>
              <w:jc w:val="left"/>
            </w:pPr>
            <w:r>
              <w:t xml:space="preserve">Redevance de sécurité</w:t>
            </w:r>
          </w:p>
        </w:tc>
        <w:tc>
          <w:tcPr/>
          <w:p>
            <w:pPr>
              <w:pStyle w:val="Compact"/>
              <w:jc w:val="left"/>
            </w:pPr>
            <w:r>
              <w:t xml:space="preserve">Ministère de l'Économie et des Finances, Direction générale de la Comptabilité publique et du Trésor (DGCPT)</w:t>
            </w:r>
          </w:p>
        </w:tc>
        <w:tc>
          <w:tcPr/>
          <w:p>
            <w:pPr>
              <w:pStyle w:val="Compact"/>
              <w:jc w:val="left"/>
            </w:pPr>
            <w:r>
              <w:t xml:space="preserve">Application du décret n° 2011-652 du 26 mai 2011, de l'arrêté interministériel du 3 février 2012, du décret n° 2012-519 du 18 mai 2012 et de la décision du 4 décembre 2012 ; nouvel acte de répartition si la part opérateur change ; circuit des quittances du Receveur général du Trésor. Le circuit « compagnies → WawID → Trésor public » (paramètre par défaut de WawID) diffère de ce cadre : il exige un</w:t>
            </w:r>
            <w:r>
              <w:t xml:space="preserve"> </w:t>
            </w:r>
            <w:r>
              <w:rPr>
                <w:bCs/>
                <w:b/>
              </w:rPr>
              <w:t xml:space="preserve">nouveau texte réglementaire</w:t>
            </w:r>
            <w:r>
              <w:t xml:space="preserve"> </w:t>
            </w:r>
            <w:r>
              <w:t xml:space="preserve">et une</w:t>
            </w:r>
            <w:r>
              <w:t xml:space="preserve"> </w:t>
            </w:r>
            <w:r>
              <w:rPr>
                <w:bCs/>
                <w:b/>
              </w:rPr>
              <w:t xml:space="preserve">convention de mandat d'encaissement</w:t>
            </w:r>
            <w:r>
              <w:t xml:space="preserve"> </w:t>
            </w:r>
            <w:r>
              <w:t xml:space="preserve">entre l'État et WawID avant toute mise en œuvre.</w:t>
            </w:r>
          </w:p>
        </w:tc>
      </w:tr>
      <w:tr>
        <w:tc>
          <w:tcPr/>
          <w:p>
            <w:pPr>
              <w:pStyle w:val="Compact"/>
              <w:jc w:val="left"/>
            </w:pPr>
            <w:r>
              <w:t xml:space="preserve">Données API et PNR</w:t>
            </w:r>
          </w:p>
        </w:tc>
        <w:tc>
          <w:tcPr/>
          <w:p>
            <w:pPr>
              <w:pStyle w:val="Compact"/>
              <w:jc w:val="left"/>
            </w:pPr>
            <w:r>
              <w:t xml:space="preserve">Compagnies aériennes, autorité de l'aviation civile (ANACIM), DPAF</w:t>
            </w:r>
          </w:p>
        </w:tc>
        <w:tc>
          <w:tcPr/>
          <w:p>
            <w:pPr>
              <w:pStyle w:val="Compact"/>
              <w:jc w:val="left"/>
            </w:pPr>
            <w:r>
              <w:t xml:space="preserve">Base juridique nationale imposant la transmission API/PNR (référence : OACI annexe 9) ; conditions de transmission et de conservation ; information des compagnies.</w:t>
            </w:r>
          </w:p>
        </w:tc>
      </w:tr>
      <w:tr>
        <w:tc>
          <w:tcPr/>
          <w:p>
            <w:pPr>
              <w:pStyle w:val="Compact"/>
              <w:jc w:val="left"/>
            </w:pPr>
            <w:r>
              <w:t xml:space="preserve">Fichiers de police</w:t>
            </w:r>
          </w:p>
        </w:tc>
        <w:tc>
          <w:tcPr/>
          <w:p>
            <w:pPr>
              <w:pStyle w:val="Compact"/>
              <w:jc w:val="left"/>
            </w:pPr>
            <w:r>
              <w:t xml:space="preserve">BCN Interpol, plateforme nationale WAPIS, services détenteurs du FPR et du registre des passeports (DAF)</w:t>
            </w:r>
          </w:p>
        </w:tc>
        <w:tc>
          <w:tcPr/>
          <w:p>
            <w:pPr>
              <w:pStyle w:val="Compact"/>
              <w:jc w:val="left"/>
            </w:pPr>
            <w:r>
              <w:t xml:space="preserve">Accords d'accès, conditions de raccordement, habilitations.</w:t>
            </w:r>
          </w:p>
        </w:tc>
      </w:tr>
      <w:tr>
        <w:tc>
          <w:tcPr/>
          <w:p>
            <w:pPr>
              <w:pStyle w:val="Compact"/>
              <w:jc w:val="left"/>
            </w:pPr>
            <w:r>
              <w:t xml:space="preserve">Contrat existant</w:t>
            </w:r>
          </w:p>
        </w:tc>
        <w:tc>
          <w:tcPr/>
          <w:p>
            <w:pPr>
              <w:pStyle w:val="Compact"/>
              <w:jc w:val="left"/>
            </w:pPr>
            <w:r>
              <w:t xml:space="preserve">Autorités contractantes, Agence judiciaire de l'État</w:t>
            </w:r>
          </w:p>
        </w:tc>
        <w:tc>
          <w:tcPr/>
          <w:p>
            <w:pPr>
              <w:pStyle w:val="Compact"/>
              <w:jc w:val="left"/>
            </w:pPr>
            <w:r>
              <w:t xml:space="preserve">Clauses de transfert, de réversibilité et de propriété des données du système actuellement en place (voir la note de proposition).</w:t>
            </w:r>
          </w:p>
        </w:tc>
      </w:tr>
      <w:tr>
        <w:tc>
          <w:tcPr/>
          <w:p>
            <w:pPr>
              <w:pStyle w:val="Compact"/>
              <w:jc w:val="left"/>
            </w:pPr>
            <w:r>
              <w:t xml:space="preserve">Commande publique</w:t>
            </w:r>
          </w:p>
        </w:tc>
        <w:tc>
          <w:tcPr/>
          <w:p>
            <w:pPr>
              <w:pStyle w:val="Compact"/>
              <w:jc w:val="left"/>
            </w:pPr>
            <w:r>
              <w:t xml:space="preserve">Autorités contractantes</w:t>
            </w:r>
          </w:p>
        </w:tc>
        <w:tc>
          <w:tcPr/>
          <w:p>
            <w:pPr>
              <w:pStyle w:val="Compact"/>
              <w:jc w:val="left"/>
            </w:pPr>
            <w:r>
              <w:t xml:space="preserve">Procédure conforme au Code des marchés publics ou à la loi sur les contrats de partenariat public-privé.</w:t>
            </w:r>
          </w:p>
        </w:tc>
      </w:tr>
      <w:tr>
        <w:tc>
          <w:tcPr/>
          <w:p>
            <w:pPr>
              <w:pStyle w:val="Compact"/>
              <w:jc w:val="left"/>
            </w:pPr>
            <w:r>
              <w:t xml:space="preserve">Télécommunications (option)</w:t>
            </w:r>
          </w:p>
        </w:tc>
        <w:tc>
          <w:tcPr/>
          <w:p>
            <w:pPr>
              <w:pStyle w:val="Compact"/>
              <w:jc w:val="left"/>
            </w:pPr>
            <w:r>
              <w:t xml:space="preserve">ARTP</w:t>
            </w:r>
          </w:p>
        </w:tc>
        <w:tc>
          <w:tcPr/>
          <w:p>
            <w:pPr>
              <w:pStyle w:val="Compact"/>
              <w:jc w:val="left"/>
            </w:pPr>
            <w:r>
              <w:t xml:space="preserve">À consulter seulement si le projet prévoit des moyens de télécommunication soumis à autorisation (par exemple des liaisons radio ou satellitaires privées).</w:t>
            </w:r>
          </w:p>
        </w:tc>
      </w:tr>
      <w:tr>
        <w:tc>
          <w:tcPr/>
          <w:p>
            <w:pPr>
              <w:pStyle w:val="Compact"/>
              <w:jc w:val="left"/>
            </w:pPr>
            <w:r>
              <w:t xml:space="preserve">Applications mobiles</w:t>
            </w:r>
          </w:p>
        </w:tc>
        <w:tc>
          <w:tcPr/>
          <w:p>
            <w:pPr>
              <w:pStyle w:val="Compact"/>
              <w:jc w:val="left"/>
            </w:pPr>
            <w:r>
              <w:t xml:space="preserve">Responsable de traitement</w:t>
            </w:r>
          </w:p>
        </w:tc>
        <w:tc>
          <w:tcPr/>
          <w:p>
            <w:pPr>
              <w:pStyle w:val="Compact"/>
              <w:jc w:val="left"/>
            </w:pPr>
            <w:r>
              <w:t xml:space="preserve">Mentions d'information et politique de confidentialité exigées par les magasins d'applications, cohérentes avec les formalités CDP.</w:t>
            </w:r>
          </w:p>
        </w:tc>
      </w:tr>
    </w:tbl>
    <w:bookmarkEnd w:id="29"/>
    <w:bookmarkStart w:id="33" w:name="matériel-par-type-de-poste"/>
    <w:p>
      <w:pPr>
        <w:pStyle w:val="Heading2"/>
      </w:pPr>
      <w:r>
        <w:t xml:space="preserve">Matériel par type de poste</w:t>
      </w:r>
    </w:p>
    <w:bookmarkStart w:id="30" w:name="par-poste-de-travail"/>
    <w:p>
      <w:pPr>
        <w:pStyle w:val="Heading3"/>
      </w:pPr>
      <w:r>
        <w:t xml:space="preserve">Par poste de travail</w:t>
      </w:r>
    </w:p>
    <w:p>
      <w:pPr>
        <w:pStyle w:val="FirstParagraph"/>
      </w:pPr>
      <w:r>
        <w:t xml:space="preserve">Les références de constructeurs citées dans le code (Regula, Thales/Gemalto, ARH, Innovatrics) sont des exemples, pas des choix arrêtés. Le choix du matériel relève de la procédure d'achat ; les SDK biométriques doivent être certifiés (performances NIST, ISO/IEC 30107-3).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Équipement</w:t>
            </w:r>
          </w:p>
        </w:tc>
        <w:tc>
          <w:tcPr/>
          <w:p>
            <w:pPr>
              <w:pStyle w:val="Compact"/>
              <w:jc w:val="left"/>
            </w:pPr>
            <w:r>
              <w:t xml:space="preserve">Guichet</w:t>
            </w:r>
          </w:p>
        </w:tc>
        <w:tc>
          <w:tcPr/>
          <w:p>
            <w:pPr>
              <w:pStyle w:val="Compact"/>
              <w:jc w:val="left"/>
            </w:pPr>
            <w:r>
              <w:t xml:space="preserve">Kiosque eGate / ABC</w:t>
            </w:r>
          </w:p>
        </w:tc>
        <w:tc>
          <w:tcPr/>
          <w:p>
            <w:pPr>
              <w:pStyle w:val="Compact"/>
              <w:jc w:val="left"/>
            </w:pPr>
            <w:r>
              <w:t xml:space="preserve">Espace DPAF</w:t>
            </w:r>
          </w:p>
        </w:tc>
        <w:tc>
          <w:tcPr/>
          <w:p>
            <w:pPr>
              <w:pStyle w:val="Compact"/>
              <w:jc w:val="left"/>
            </w:pPr>
            <w:r>
              <w:t xml:space="preserve">Serveur de poste</w:t>
            </w:r>
          </w:p>
        </w:tc>
      </w:tr>
      <w:tr>
        <w:tc>
          <w:tcPr/>
          <w:p>
            <w:pPr>
              <w:pStyle w:val="Compact"/>
              <w:jc w:val="left"/>
            </w:pPr>
            <w:r>
              <w:t xml:space="preserve">Ordinateur avec navigateur récent (Chrome ou Edge recommandés)</w:t>
            </w:r>
          </w:p>
        </w:tc>
        <w:tc>
          <w:tcPr/>
          <w:p>
            <w:pPr>
              <w:pStyle w:val="Compact"/>
              <w:jc w:val="left"/>
            </w:pPr>
            <w:r>
              <w:t xml:space="preserve">Oui</w:t>
            </w:r>
          </w:p>
        </w:tc>
        <w:tc>
          <w:tcPr/>
          <w:p>
            <w:pPr>
              <w:pStyle w:val="Compact"/>
              <w:jc w:val="left"/>
            </w:pPr>
            <w:r>
              <w:t xml:space="preserve">Oui (mode kiosque)</w:t>
            </w:r>
          </w:p>
        </w:tc>
        <w:tc>
          <w:tcPr/>
          <w:p>
            <w:pPr>
              <w:pStyle w:val="Compact"/>
              <w:jc w:val="left"/>
            </w:pPr>
            <w:r>
              <w:t xml:space="preserve">Oui</w:t>
            </w:r>
          </w:p>
        </w:tc>
        <w:tc>
          <w:tcPr/>
          <w:p>
            <w:pPr>
              <w:pStyle w:val="Compact"/>
              <w:jc w:val="left"/>
            </w:pPr>
            <w:r>
              <w:t xml:space="preserve">—</w:t>
            </w:r>
          </w:p>
        </w:tc>
      </w:tr>
      <w:tr>
        <w:tc>
          <w:tcPr/>
          <w:p>
            <w:pPr>
              <w:pStyle w:val="Compact"/>
              <w:jc w:val="left"/>
            </w:pPr>
            <w:r>
              <w:t xml:space="preserve">Node.js 22 (pour le pont NFC)</w:t>
            </w:r>
          </w:p>
        </w:tc>
        <w:tc>
          <w:tcPr/>
          <w:p>
            <w:pPr>
              <w:pStyle w:val="Compact"/>
              <w:jc w:val="left"/>
            </w:pPr>
            <w:r>
              <w:t xml:space="preserve">Oui</w:t>
            </w:r>
          </w:p>
        </w:tc>
        <w:tc>
          <w:tcPr/>
          <w:p>
            <w:pPr>
              <w:pStyle w:val="Compact"/>
              <w:jc w:val="left"/>
            </w:pPr>
            <w:r>
              <w:t xml:space="preserve">Oui</w:t>
            </w:r>
          </w:p>
        </w:tc>
        <w:tc>
          <w:tcPr/>
          <w:p>
            <w:pPr>
              <w:pStyle w:val="Compact"/>
              <w:jc w:val="left"/>
            </w:pPr>
            <w:r>
              <w:t xml:space="preserve">—</w:t>
            </w:r>
          </w:p>
        </w:tc>
        <w:tc>
          <w:tcPr/>
          <w:p>
            <w:pPr>
              <w:pStyle w:val="Compact"/>
              <w:jc w:val="left"/>
            </w:pPr>
            <w:r>
              <w:t xml:space="preserve">Oui</w:t>
            </w:r>
          </w:p>
        </w:tc>
      </w:tr>
      <w:tr>
        <w:tc>
          <w:tcPr/>
          <w:p>
            <w:pPr>
              <w:pStyle w:val="Compact"/>
              <w:jc w:val="left"/>
            </w:pPr>
            <w:r>
              <w:t xml:space="preserve">Lecteur de documents pleine page avec lecteur RFID/NFC (MRZ + puce ICAO 9303)</w:t>
            </w:r>
          </w:p>
        </w:tc>
        <w:tc>
          <w:tcPr/>
          <w:p>
            <w:pPr>
              <w:pStyle w:val="Compact"/>
              <w:jc w:val="left"/>
            </w:pPr>
            <w:r>
              <w:t xml:space="preserve">Oui</w:t>
            </w:r>
          </w:p>
        </w:tc>
        <w:tc>
          <w:tcPr/>
          <w:p>
            <w:pPr>
              <w:pStyle w:val="Compact"/>
              <w:jc w:val="left"/>
            </w:pPr>
            <w:r>
              <w:t xml:space="preserve">Oui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Capteur d'empreintes 4 doigts</w:t>
            </w:r>
          </w:p>
        </w:tc>
        <w:tc>
          <w:tcPr/>
          <w:p>
            <w:pPr>
              <w:pStyle w:val="Compact"/>
              <w:jc w:val="left"/>
            </w:pPr>
            <w:r>
              <w:t xml:space="preserve">Oui</w:t>
            </w:r>
          </w:p>
        </w:tc>
        <w:tc>
          <w:tcPr/>
          <w:p>
            <w:pPr>
              <w:pStyle w:val="Compact"/>
              <w:jc w:val="left"/>
            </w:pPr>
            <w:r>
              <w:t xml:space="preserve">Selon le modèle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Caméra pour la capture du visage</w:t>
            </w:r>
          </w:p>
        </w:tc>
        <w:tc>
          <w:tcPr/>
          <w:p>
            <w:pPr>
              <w:pStyle w:val="Compact"/>
              <w:jc w:val="left"/>
            </w:pPr>
            <w:r>
              <w:t xml:space="preserve">Oui</w:t>
            </w:r>
          </w:p>
        </w:tc>
        <w:tc>
          <w:tcPr/>
          <w:p>
            <w:pPr>
              <w:pStyle w:val="Compact"/>
              <w:jc w:val="left"/>
            </w:pPr>
            <w:r>
              <w:t xml:space="preserve">Oui (frontale)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Caméra iris</w:t>
            </w:r>
          </w:p>
        </w:tc>
        <w:tc>
          <w:tcPr/>
          <w:p>
            <w:pPr>
              <w:pStyle w:val="Compact"/>
              <w:jc w:val="left"/>
            </w:pPr>
            <w:r>
              <w:t xml:space="preserve">Facultatif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Douchette QR (e-Visa, WawPass)</w:t>
            </w:r>
          </w:p>
        </w:tc>
        <w:tc>
          <w:tcPr/>
          <w:p>
            <w:pPr>
              <w:pStyle w:val="Compact"/>
              <w:jc w:val="left"/>
            </w:pPr>
            <w:r>
              <w:t xml:space="preserve">Recommandée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Écran voyageur tactile</w:t>
            </w:r>
          </w:p>
        </w:tc>
        <w:tc>
          <w:tcPr/>
          <w:p>
            <w:pPr>
              <w:pStyle w:val="Compact"/>
              <w:jc w:val="left"/>
            </w:pPr>
            <w:r>
              <w:t xml:space="preserve">—</w:t>
            </w:r>
          </w:p>
        </w:tc>
        <w:tc>
          <w:tcPr/>
          <w:p>
            <w:pPr>
              <w:pStyle w:val="Compact"/>
              <w:jc w:val="left"/>
            </w:pPr>
            <w:r>
              <w:t xml:space="preserve">Oui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Contrôleur des portes</w:t>
            </w:r>
          </w:p>
        </w:tc>
        <w:tc>
          <w:tcPr/>
          <w:p>
            <w:pPr>
              <w:pStyle w:val="Compact"/>
              <w:jc w:val="left"/>
            </w:pPr>
            <w:r>
              <w:t xml:space="preserve">—</w:t>
            </w:r>
          </w:p>
        </w:tc>
        <w:tc>
          <w:tcPr/>
          <w:p>
            <w:pPr>
              <w:pStyle w:val="Compact"/>
              <w:jc w:val="left"/>
            </w:pPr>
            <w:r>
              <w:t xml:space="preserve">Oui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Onduleur</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Lien réseau</w:t>
            </w:r>
          </w:p>
        </w:tc>
        <w:tc>
          <w:tcPr/>
          <w:p>
            <w:pPr>
              <w:pStyle w:val="Compact"/>
              <w:jc w:val="left"/>
            </w:pPr>
            <w:r>
              <w:t xml:space="preserve">Réseau du poste</w:t>
            </w:r>
          </w:p>
        </w:tc>
        <w:tc>
          <w:tcPr/>
          <w:p>
            <w:pPr>
              <w:pStyle w:val="Compact"/>
              <w:jc w:val="left"/>
            </w:pPr>
            <w:r>
              <w:t xml:space="preserve">Réseau du poste</w:t>
            </w:r>
          </w:p>
        </w:tc>
        <w:tc>
          <w:tcPr/>
          <w:p>
            <w:pPr>
              <w:pStyle w:val="Compact"/>
              <w:jc w:val="left"/>
            </w:pPr>
            <w:r>
              <w:t xml:space="preserve">Réseau privé</w:t>
            </w:r>
          </w:p>
        </w:tc>
        <w:tc>
          <w:tcPr/>
          <w:p>
            <w:pPr>
              <w:pStyle w:val="Compact"/>
              <w:jc w:val="left"/>
            </w:pPr>
            <w:r>
              <w:t xml:space="preserve">Liaison principale + secours</w:t>
            </w:r>
          </w:p>
        </w:tc>
      </w:tr>
    </w:tbl>
    <w:bookmarkEnd w:id="30"/>
    <w:bookmarkStart w:id="31" w:name="par-type-de-poste"/>
    <w:p>
      <w:pPr>
        <w:pStyle w:val="Heading3"/>
      </w:pPr>
      <w:r>
        <w:t xml:space="preserve">Par type de poste</w:t>
      </w:r>
    </w:p>
    <w:p>
      <w:pPr>
        <w:pStyle w:val="FirstParagraph"/>
      </w:pPr>
      <w:r>
        <w:t xml:space="preserve">Les types d'équipements suivis dans</w:t>
      </w:r>
      <w:r>
        <w:t xml:space="preserve"> </w:t>
      </w:r>
      <w:r>
        <w:rPr>
          <w:bCs/>
          <w:b/>
        </w:rPr>
        <w:t xml:space="preserve">Supervision systèmes</w:t>
      </w:r>
      <w:r>
        <w:t xml:space="preserve"> </w:t>
      </w:r>
      <w:r>
        <w:t xml:space="preserve">sont : terminaux guichet (</w:t>
      </w:r>
      <w:r>
        <w:rPr>
          <w:rStyle w:val="VerbatimChar"/>
        </w:rPr>
        <w:t xml:space="preserve">TRM-</w:t>
      </w:r>
      <w:r>
        <w:t xml:space="preserve">), caméras CCTV (</w:t>
      </w:r>
      <w:r>
        <w:rPr>
          <w:rStyle w:val="VerbatimChar"/>
        </w:rPr>
        <w:t xml:space="preserve">CCTV-</w:t>
      </w:r>
      <w:r>
        <w:t xml:space="preserve">), scanners bagages 3D (</w:t>
      </w:r>
      <w:r>
        <w:rPr>
          <w:rStyle w:val="VerbatimChar"/>
        </w:rPr>
        <w:t xml:space="preserve">LGS-</w:t>
      </w:r>
      <w:r>
        <w:t xml:space="preserve">, postes aériens et maritime), lecteurs de plaques VRS (</w:t>
      </w:r>
      <w:r>
        <w:rPr>
          <w:rStyle w:val="VerbatimChar"/>
        </w:rPr>
        <w:t xml:space="preserve">ANPR-</w:t>
      </w:r>
      <w:r>
        <w:t xml:space="preserve">, postes terrestres) et serveurs locaux (</w:t>
      </w:r>
      <w:r>
        <w:rPr>
          <w:rStyle w:val="VerbatimChar"/>
        </w:rPr>
        <w:t xml:space="preserve">SRV-</w:t>
      </w:r>
      <w:r>
        <w:t xml:space="preserve">, un par poste).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 de poste</w:t>
            </w:r>
          </w:p>
        </w:tc>
        <w:tc>
          <w:tcPr/>
          <w:p>
            <w:pPr>
              <w:pStyle w:val="Compact"/>
              <w:jc w:val="left"/>
            </w:pPr>
            <w:r>
              <w:t xml:space="preserve">Postes</w:t>
            </w:r>
          </w:p>
        </w:tc>
        <w:tc>
          <w:tcPr/>
          <w:p>
            <w:pPr>
              <w:pStyle w:val="Compact"/>
              <w:jc w:val="left"/>
            </w:pPr>
            <w:r>
              <w:t xml:space="preserve">Équipements spécifiques</w:t>
            </w:r>
          </w:p>
        </w:tc>
        <w:tc>
          <w:tcPr/>
          <w:p>
            <w:pPr>
              <w:pStyle w:val="Compact"/>
              <w:jc w:val="left"/>
            </w:pPr>
            <w:r>
              <w:t xml:space="preserve">Points d'attention</w:t>
            </w:r>
          </w:p>
        </w:tc>
      </w:tr>
      <w:tr>
        <w:tc>
          <w:tcPr/>
          <w:p>
            <w:pPr>
              <w:pStyle w:val="Compact"/>
              <w:jc w:val="left"/>
            </w:pPr>
            <w:r>
              <w:t xml:space="preserve">Aérien</w:t>
            </w:r>
          </w:p>
        </w:tc>
        <w:tc>
          <w:tcPr/>
          <w:p>
            <w:pPr>
              <w:pStyle w:val="Compact"/>
              <w:jc w:val="left"/>
            </w:pPr>
            <w:r>
              <w:t xml:space="preserve">AIBD, Ziguinchor</w:t>
            </w:r>
          </w:p>
        </w:tc>
        <w:tc>
          <w:tcPr/>
          <w:p>
            <w:pPr>
              <w:pStyle w:val="Compact"/>
              <w:jc w:val="left"/>
            </w:pPr>
            <w:r>
              <w:t xml:space="preserve">Guichets, eGates et kiosques ABC aux arrivées et aux départs, corridor biométrique d'embarquement, CCTV, scanners bagages</w:t>
            </w:r>
          </w:p>
        </w:tc>
        <w:tc>
          <w:tcPr/>
          <w:p>
            <w:pPr>
              <w:pStyle w:val="Compact"/>
              <w:jc w:val="left"/>
            </w:pPr>
            <w:r>
              <w:t xml:space="preserve">Pointes de trafic ; passerelle API/PNR ; redevance de sécurité</w:t>
            </w:r>
          </w:p>
        </w:tc>
      </w:tr>
      <w:tr>
        <w:tc>
          <w:tcPr/>
          <w:p>
            <w:pPr>
              <w:pStyle w:val="Compact"/>
              <w:jc w:val="left"/>
            </w:pPr>
            <w:r>
              <w:t xml:space="preserve">Maritime</w:t>
            </w:r>
          </w:p>
        </w:tc>
        <w:tc>
          <w:tcPr/>
          <w:p>
            <w:pPr>
              <w:pStyle w:val="Compact"/>
              <w:jc w:val="left"/>
            </w:pPr>
            <w:r>
              <w:t xml:space="preserve">Port Autonome de Dakar</w:t>
            </w:r>
          </w:p>
        </w:tc>
        <w:tc>
          <w:tcPr/>
          <w:p>
            <w:pPr>
              <w:pStyle w:val="Compact"/>
              <w:jc w:val="left"/>
            </w:pPr>
            <w:r>
              <w:t xml:space="preserve">Guichets au terminal passagers, CCTV, scanners</w:t>
            </w:r>
          </w:p>
        </w:tc>
        <w:tc>
          <w:tcPr/>
          <w:p>
            <w:pPr>
              <w:pStyle w:val="Compact"/>
              <w:jc w:val="left"/>
            </w:pPr>
            <w:r>
              <w:t xml:space="preserve">Arrivées groupées de navires ; manifestes chargés en CSV si la compagnie n'est pas raccordée</w:t>
            </w:r>
          </w:p>
        </w:tc>
      </w:tr>
      <w:tr>
        <w:tc>
          <w:tcPr/>
          <w:p>
            <w:pPr>
              <w:pStyle w:val="Compact"/>
              <w:jc w:val="left"/>
            </w:pPr>
            <w:r>
              <w:t xml:space="preserve">Terrestre</w:t>
            </w:r>
          </w:p>
        </w:tc>
        <w:tc>
          <w:tcPr/>
          <w:p>
            <w:pPr>
              <w:pStyle w:val="Compact"/>
              <w:jc w:val="left"/>
            </w:pPr>
            <w:r>
              <w:t xml:space="preserve">Rosso, Kidira, Karang</w:t>
            </w:r>
          </w:p>
        </w:tc>
        <w:tc>
          <w:tcPr/>
          <w:p>
            <w:pPr>
              <w:pStyle w:val="Compact"/>
              <w:jc w:val="left"/>
            </w:pPr>
            <w:r>
              <w:t xml:space="preserve">Guichets, lecteurs de plaques (VRS), CCTV</w:t>
            </w:r>
          </w:p>
        </w:tc>
        <w:tc>
          <w:tcPr/>
          <w:p>
            <w:pPr>
              <w:pStyle w:val="Compact"/>
              <w:jc w:val="left"/>
            </w:pPr>
            <w:r>
              <w:t xml:space="preserve">Liaison réseau fragile ; coupures d'électricité ; mode dégradé indispensable</w:t>
            </w:r>
          </w:p>
        </w:tc>
      </w:tr>
    </w:tbl>
    <w:bookmarkEnd w:id="31"/>
    <w:bookmarkStart w:id="32" w:name="alimentation-électrique-recommandation"/>
    <w:p>
      <w:pPr>
        <w:pStyle w:val="Heading3"/>
      </w:pPr>
      <w:r>
        <w:t xml:space="preserve">Alimentation électrique (Recommandation)</w:t>
      </w:r>
    </w:p>
    <w:p>
      <w:pPr>
        <w:pStyle w:val="FirstParagraph"/>
      </w:pPr>
      <w:r>
        <w:t xml:space="preserve">Chaque guichet, kiosque, équipement réseau et serveur de poste est protégé par un</w:t>
      </w:r>
      <w:r>
        <w:t xml:space="preserve"> </w:t>
      </w:r>
      <w:r>
        <w:rPr>
          <w:bCs/>
          <w:b/>
        </w:rPr>
        <w:t xml:space="preserve">onduleur</w:t>
      </w:r>
      <w:r>
        <w:t xml:space="preserve"> </w:t>
      </w:r>
      <w:r>
        <w:t xml:space="preserve">dont l'autonomie est dimensionnée selon la fréquence et la durée des coupures observées sur le site, et, pour les postes isolés, par un groupe électrogène. Le passage sur batterie doit permettre de terminer les contrôles en cours et d'éteindre proprement les équipements.</w:t>
      </w:r>
    </w:p>
    <w:bookmarkEnd w:id="32"/>
    <w:bookmarkEnd w:id="33"/>
    <w:bookmarkStart w:id="39" w:name="Xfa39e0938c0825dc65cc1096a59a74b79eaa69c"/>
    <w:p>
      <w:pPr>
        <w:pStyle w:val="Heading2"/>
      </w:pPr>
      <w:r>
        <w:t xml:space="preserve">Installation d'un poste de travail guichet</w:t>
      </w:r>
    </w:p>
    <w:bookmarkStart w:id="34" w:name="Xccf4a8352f608c4a7c0c42a2b44e81dfc95cd92"/>
    <w:p>
      <w:pPr>
        <w:pStyle w:val="Heading3"/>
      </w:pPr>
      <w:r>
        <w:t xml:space="preserve">1. Préparer le poste</w:t>
      </w:r>
    </w:p>
    <w:p>
      <w:pPr>
        <w:numPr>
          <w:ilvl w:val="0"/>
          <w:numId w:val="1003"/>
        </w:numPr>
        <w:pStyle w:val="Compact"/>
      </w:pPr>
      <w:r>
        <w:t xml:space="preserve">Installez un système d'exploitation maintenu, avec mises à jour de sécurité, session utilisateur sans droits d'administration et verrouillage automatique de l'écran (Recommandation).</w:t>
      </w:r>
    </w:p>
    <w:p>
      <w:pPr>
        <w:numPr>
          <w:ilvl w:val="0"/>
          <w:numId w:val="1003"/>
        </w:numPr>
        <w:pStyle w:val="Compact"/>
      </w:pPr>
      <w:r>
        <w:t xml:space="preserve">Installez Chrome ou Edge dans une version récente.</w:t>
      </w:r>
    </w:p>
    <w:p>
      <w:pPr>
        <w:numPr>
          <w:ilvl w:val="0"/>
          <w:numId w:val="1003"/>
        </w:numPr>
        <w:pStyle w:val="Compact"/>
      </w:pPr>
      <w:r>
        <w:t xml:space="preserve">Installez les pilotes du lecteur de documents, du capteur d'empreintes et de la caméra fournis par le constructeur.</w:t>
      </w:r>
    </w:p>
    <w:p>
      <w:pPr>
        <w:numPr>
          <w:ilvl w:val="0"/>
          <w:numId w:val="1003"/>
        </w:numPr>
        <w:pStyle w:val="Compact"/>
      </w:pPr>
      <w:r>
        <w:t xml:space="preserve">Installez</w:t>
      </w:r>
      <w:r>
        <w:t xml:space="preserve"> </w:t>
      </w:r>
      <w:r>
        <w:rPr>
          <w:bCs/>
          <w:b/>
        </w:rPr>
        <w:t xml:space="preserve">Node.js 22</w:t>
      </w:r>
      <w:r>
        <w:t xml:space="preserve"> </w:t>
      </w:r>
      <w:r>
        <w:t xml:space="preserve">(nécessaire au pont NFC).</w:t>
      </w:r>
    </w:p>
    <w:bookmarkEnd w:id="34"/>
    <w:bookmarkStart w:id="36" w:name="X9c19df07d4c4e602f5f375ce77c958a7bd6c179"/>
    <w:p>
      <w:pPr>
        <w:pStyle w:val="Heading3"/>
      </w:pPr>
      <w:r>
        <w:t xml:space="preserve">2. Installer le pont NFC</w:t>
      </w:r>
    </w:p>
    <w:p>
      <w:pPr>
        <w:pStyle w:val="FirstParagraph"/>
      </w:pPr>
      <w:r>
        <w:t xml:space="preserve">Le pont</w:t>
      </w:r>
      <w:r>
        <w:t xml:space="preserve"> </w:t>
      </w:r>
      <w:r>
        <w:rPr>
          <w:rStyle w:val="VerbatimChar"/>
        </w:rPr>
        <w:t xml:space="preserve">tools/nfc-bridge.mjs</w:t>
      </w:r>
      <w:r>
        <w:t xml:space="preserve"> </w:t>
      </w:r>
      <w:r>
        <w:t xml:space="preserve">relie le navigateur au lecteur de documents. Il n'écoute que sur</w:t>
      </w:r>
      <w:r>
        <w:t xml:space="preserve"> </w:t>
      </w:r>
      <w:r>
        <w:rPr>
          <w:rStyle w:val="VerbatimChar"/>
        </w:rPr>
        <w:t xml:space="preserve">127.0.0.1</w:t>
      </w:r>
      <w:r>
        <w:t xml:space="preserve"> </w:t>
      </w:r>
      <w:r>
        <w:t xml:space="preserve">(Existant).</w:t>
      </w:r>
    </w:p>
    <w:p>
      <w:pPr>
        <w:pStyle w:val="BodyText"/>
      </w:pPr>
      <w:r>
        <w:t xml:space="preserve">Copiez</w:t>
      </w:r>
      <w:r>
        <w:t xml:space="preserve"> </w:t>
      </w:r>
      <w:r>
        <w:rPr>
          <w:rStyle w:val="VerbatimChar"/>
        </w:rPr>
        <w:t xml:space="preserve">tools/nfc-bridge.mjs</w:t>
      </w:r>
      <w:r>
        <w:t xml:space="preserve"> </w:t>
      </w:r>
      <w:r>
        <w:t xml:space="preserve">sur le poste, par exemple dans</w:t>
      </w:r>
      <w:r>
        <w:t xml:space="preserve"> </w:t>
      </w:r>
      <w:r>
        <w:rPr>
          <w:rStyle w:val="VerbatimChar"/>
        </w:rPr>
        <w:t xml:space="preserve">C:\WawID\</w:t>
      </w:r>
      <w:r>
        <w:t xml:space="preserve"> </w:t>
      </w:r>
      <w:r>
        <w:t xml:space="preserve">ou</w:t>
      </w:r>
      <w:r>
        <w:t xml:space="preserve"> </w:t>
      </w:r>
      <w:r>
        <w:rPr>
          <w:rStyle w:val="VerbatimChar"/>
        </w:rPr>
        <w:t xml:space="preserve">/opt/wawid/</w:t>
      </w:r>
      <w:r>
        <w:t xml:space="preserve">, puis définissez les variables du pont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Valeur pour le Sénégal</w:t>
            </w:r>
          </w:p>
        </w:tc>
      </w:tr>
      <w:tr>
        <w:tc>
          <w:tcPr/>
          <w:p>
            <w:pPr>
              <w:pStyle w:val="Compact"/>
              <w:jc w:val="left"/>
            </w:pPr>
            <w:r>
              <w:rPr>
                <w:rStyle w:val="VerbatimChar"/>
              </w:rPr>
              <w:t xml:space="preserve">NFC_BRIDGE_PORT</w:t>
            </w:r>
          </w:p>
        </w:tc>
        <w:tc>
          <w:tcPr/>
          <w:p>
            <w:pPr>
              <w:pStyle w:val="Compact"/>
              <w:jc w:val="left"/>
            </w:pPr>
            <w:r>
              <w:rPr>
                <w:rStyle w:val="VerbatimChar"/>
              </w:rPr>
              <w:t xml:space="preserve">8765</w:t>
            </w:r>
            <w:r>
              <w:t xml:space="preserve"> </w:t>
            </w:r>
            <w:r>
              <w:t xml:space="preserve">(défaut), sauf conflit sur le poste</w:t>
            </w:r>
          </w:p>
        </w:tc>
      </w:tr>
      <w:tr>
        <w:tc>
          <w:tcPr/>
          <w:p>
            <w:pPr>
              <w:pStyle w:val="Compact"/>
              <w:jc w:val="left"/>
            </w:pPr>
            <w:r>
              <w:rPr>
                <w:rStyle w:val="VerbatimChar"/>
              </w:rPr>
              <w:t xml:space="preserve">NFC_BRIDGE_MODE</w:t>
            </w:r>
          </w:p>
        </w:tc>
        <w:tc>
          <w:tcPr/>
          <w:p>
            <w:pPr>
              <w:pStyle w:val="Compact"/>
              <w:jc w:val="left"/>
            </w:pPr>
            <w:r>
              <w:rPr>
                <w:rStyle w:val="VerbatimChar"/>
              </w:rPr>
              <w:t xml:space="preserve">simulation</w:t>
            </w:r>
            <w:r>
              <w:t xml:space="preserve"> </w:t>
            </w:r>
            <w:r>
              <w:t xml:space="preserve">pour les essais ; le nom du pilote une fois le lecteur réel intégré</w:t>
            </w:r>
          </w:p>
        </w:tc>
      </w:tr>
      <w:tr>
        <w:tc>
          <w:tcPr/>
          <w:p>
            <w:pPr>
              <w:pStyle w:val="Compact"/>
              <w:jc w:val="left"/>
            </w:pPr>
            <w:r>
              <w:rPr>
                <w:rStyle w:val="VerbatimChar"/>
              </w:rPr>
              <w:t xml:space="preserve">NFC_BRIDGE_ORIGIN</w:t>
            </w:r>
          </w:p>
        </w:tc>
        <w:tc>
          <w:tcPr/>
          <w:p>
            <w:pPr>
              <w:pStyle w:val="Compact"/>
              <w:jc w:val="left"/>
            </w:pPr>
            <w:r>
              <w:t xml:space="preserve">L'adresse exacte de l'espace DPAF et du kiosque en production, par exemple</w:t>
            </w:r>
            <w:r>
              <w:t xml:space="preserve"> </w:t>
            </w:r>
            <w:r>
              <w:rPr>
                <w:rStyle w:val="VerbatimChar"/>
              </w:rPr>
              <w:t xml:space="preserve">https://&lt;domaine-wawid&gt;</w:t>
            </w:r>
            <w:r>
              <w:t xml:space="preserve"> </w:t>
            </w:r>
            <w:r>
              <w:t xml:space="preserve">; ne laissez pas les origines de démonstration ou</w:t>
            </w:r>
            <w:r>
              <w:t xml:space="preserve"> </w:t>
            </w:r>
            <w:r>
              <w:rPr>
                <w:rStyle w:val="VerbatimChar"/>
              </w:rPr>
              <w:t xml:space="preserve">localhost</w:t>
            </w:r>
            <w:r>
              <w:t xml:space="preserve"> </w:t>
            </w:r>
            <w:r>
              <w:t xml:space="preserve">en exploitation</w:t>
            </w:r>
          </w:p>
        </w:tc>
      </w:tr>
    </w:tbl>
    <w:p>
      <w:pPr>
        <w:pStyle w:val="BodyText"/>
      </w:pPr>
      <w:r>
        <w:t xml:space="preserve">Lancez ensuite le pont :</w:t>
      </w:r>
    </w:p>
    <w:p>
      <w:pPr>
        <w:pStyle w:val="SourceCode"/>
      </w:pPr>
      <w:r>
        <w:rPr>
          <w:rStyle w:val="VariableTok"/>
        </w:rPr>
        <w:t xml:space="preserve">NFC_BRIDGE_ORIGIN</w:t>
      </w:r>
      <w:r>
        <w:rPr>
          <w:rStyle w:val="OperatorTok"/>
        </w:rPr>
        <w:t xml:space="preserve">=</w:t>
      </w:r>
      <w:r>
        <w:rPr>
          <w:rStyle w:val="StringTok"/>
        </w:rPr>
        <w:t xml:space="preserve">"https://&lt;domaine-wawid&gt;"</w:t>
      </w:r>
      <w:r>
        <w:rPr>
          <w:rStyle w:val="NormalTok"/>
        </w:rPr>
        <w:t xml:space="preserve"> </w:t>
      </w:r>
      <w:r>
        <w:rPr>
          <w:rStyle w:val="ExtensionTok"/>
        </w:rPr>
        <w:t xml:space="preserve">node</w:t>
      </w:r>
      <w:r>
        <w:rPr>
          <w:rStyle w:val="NormalTok"/>
        </w:rPr>
        <w:t xml:space="preserve"> tools/nfc-bridge.mjs</w:t>
      </w:r>
    </w:p>
    <w:p>
      <w:pPr>
        <w:pStyle w:val="FirstParagraph"/>
      </w:pPr>
      <w:r>
        <w:t xml:space="preserve">Le message « Pont NFC WawID :</w:t>
      </w:r>
      <w:r>
        <w:t xml:space="preserve"> </w:t>
      </w:r>
      <w:hyperlink r:id="rId35">
        <w:r>
          <w:rPr>
            <w:rStyle w:val="Hyperlink"/>
          </w:rPr>
          <w:t xml:space="preserve">http://127.0.0.1:8765</w:t>
        </w:r>
      </w:hyperlink>
      <w:r>
        <w:t xml:space="preserve"> </w:t>
      </w:r>
      <w:r>
        <w:t xml:space="preserve">(mode …) » confirme le démarrage.</w:t>
      </w:r>
    </w:p>
    <w:p>
      <w:pPr>
        <w:pStyle w:val="BodyText"/>
      </w:pPr>
      <w:r>
        <w:t xml:space="preserve">Faites démarrer le pont automatiquement à l'ouverture du poste (service Windows ou unité systemd, Recommandation). Exemple d'unité systemd :</w:t>
      </w:r>
    </w:p>
    <w:p>
      <w:pPr>
        <w:pStyle w:val="SourceCode"/>
      </w:pPr>
      <w:r>
        <w:rPr>
          <w:rStyle w:val="VerbatimChar"/>
        </w:rPr>
        <w:t xml:space="preserve">[Unit]</w:t>
      </w:r>
      <w:r>
        <w:br/>
      </w:r>
      <w:r>
        <w:rPr>
          <w:rStyle w:val="VerbatimChar"/>
        </w:rPr>
        <w:t xml:space="preserve">Description=Pont NFC WawID</w:t>
      </w:r>
      <w:r>
        <w:br/>
      </w:r>
      <w:r>
        <w:rPr>
          <w:rStyle w:val="VerbatimChar"/>
        </w:rPr>
        <w:t xml:space="preserve">After=network.target</w:t>
      </w:r>
      <w:r>
        <w:br/>
      </w:r>
      <w:r>
        <w:br/>
      </w:r>
      <w:r>
        <w:rPr>
          <w:rStyle w:val="VerbatimChar"/>
        </w:rPr>
        <w:t xml:space="preserve">[Service]</w:t>
      </w:r>
      <w:r>
        <w:br/>
      </w:r>
      <w:r>
        <w:rPr>
          <w:rStyle w:val="VerbatimChar"/>
        </w:rPr>
        <w:t xml:space="preserve">Environment=NFC_BRIDGE_ORIGIN=https://&lt;domaine-wawid&gt;</w:t>
      </w:r>
      <w:r>
        <w:br/>
      </w:r>
      <w:r>
        <w:rPr>
          <w:rStyle w:val="VerbatimChar"/>
        </w:rPr>
        <w:t xml:space="preserve">ExecStart=/usr/bin/node /opt/wawid/nfc-bridge.mjs</w:t>
      </w:r>
      <w:r>
        <w:br/>
      </w:r>
      <w:r>
        <w:rPr>
          <w:rStyle w:val="VerbatimChar"/>
        </w:rPr>
        <w:t xml:space="preserve">Restart=always</w:t>
      </w:r>
      <w:r>
        <w:br/>
      </w:r>
      <w:r>
        <w:rPr>
          <w:rStyle w:val="VerbatimChar"/>
        </w:rPr>
        <w:t xml:space="preserve">User=&lt;compte-de-service&gt;</w:t>
      </w:r>
      <w:r>
        <w:br/>
      </w:r>
      <w:r>
        <w:br/>
      </w:r>
      <w:r>
        <w:rPr>
          <w:rStyle w:val="VerbatimChar"/>
        </w:rPr>
        <w:t xml:space="preserve">[Install]</w:t>
      </w:r>
      <w:r>
        <w:br/>
      </w:r>
      <w:r>
        <w:rPr>
          <w:rStyle w:val="VerbatimChar"/>
        </w:rPr>
        <w:t xml:space="preserve">WantedBy=multi-user.target</w:t>
      </w:r>
    </w:p>
    <w:p>
      <w:pPr>
        <w:pStyle w:val="BlockText"/>
      </w:pPr>
      <w:r>
        <w:rPr>
          <w:bCs/>
          <w:b/>
        </w:rPr>
        <w:t xml:space="preserve">À développer</w:t>
      </w:r>
      <w:r>
        <w:t xml:space="preserve"> </w:t>
      </w:r>
      <w:r>
        <w:t xml:space="preserve">: dans le code actuel, tout mode autre que</w:t>
      </w:r>
      <w:r>
        <w:t xml:space="preserve"> </w:t>
      </w:r>
      <w:r>
        <w:rPr>
          <w:rStyle w:val="VerbatimChar"/>
        </w:rPr>
        <w:t xml:space="preserve">simulation</w:t>
      </w:r>
      <w:r>
        <w:t xml:space="preserve"> </w:t>
      </w:r>
      <w:r>
        <w:t xml:space="preserve">répond « Aucun pilote de lecteur configuré ». Pour un lecteur réel, la fonction</w:t>
      </w:r>
      <w:r>
        <w:t xml:space="preserve"> </w:t>
      </w:r>
      <w:r>
        <w:rPr>
          <w:rStyle w:val="VerbatimChar"/>
        </w:rPr>
        <w:t xml:space="preserve">readFromReader()</w:t>
      </w:r>
      <w:r>
        <w:t xml:space="preserve"> </w:t>
      </w:r>
      <w:r>
        <w:t xml:space="preserve">du pont doit être remplacée par l'appel au SDK du constructeur ou par une pile PC/SC + ICAO 9303 (accès BAC/PACE, DG1, DG2, EF.SOD, authentification passive contre les certificats CSCA de l'ICAO PKD). Voir</w:t>
      </w:r>
      <w:r>
        <w:t xml:space="preserve"> </w:t>
      </w:r>
      <w:r>
        <w:rPr>
          <w:iCs/>
          <w:i/>
        </w:rPr>
        <w:t xml:space="preserve">Déploiement et configuration</w:t>
      </w:r>
      <w:r>
        <w:t xml:space="preserve">.</w:t>
      </w:r>
    </w:p>
    <w:bookmarkEnd w:id="36"/>
    <w:bookmarkStart w:id="37" w:name="Xeb9f5ecdf98d930efcf8f7d8001943a738ca717"/>
    <w:p>
      <w:pPr>
        <w:pStyle w:val="Heading3"/>
      </w:pPr>
      <w:r>
        <w:t xml:space="preserve">3. Configurer le poste dans WawID</w:t>
      </w:r>
    </w:p>
    <w:p>
      <w:pPr>
        <w:numPr>
          <w:ilvl w:val="0"/>
          <w:numId w:val="1004"/>
        </w:numPr>
        <w:pStyle w:val="Compact"/>
      </w:pPr>
      <w:r>
        <w:t xml:space="preserve">Ouvrez</w:t>
      </w:r>
      <w:r>
        <w:t xml:space="preserve"> </w:t>
      </w:r>
      <w:r>
        <w:rPr>
          <w:rStyle w:val="VerbatimChar"/>
        </w:rPr>
        <w:t xml:space="preserve">https://&lt;domaine-wawid&gt;/dpaf/</w:t>
      </w:r>
      <w:r>
        <w:t xml:space="preserve"> </w:t>
      </w:r>
      <w:r>
        <w:t xml:space="preserve">et connectez-vous avec un compte administrateur (la page</w:t>
      </w:r>
      <w:r>
        <w:t xml:space="preserve"> </w:t>
      </w:r>
      <w:r>
        <w:rPr>
          <w:bCs/>
          <w:b/>
        </w:rPr>
        <w:t xml:space="preserve">Paramètres</w:t>
      </w:r>
      <w:r>
        <w:t xml:space="preserve"> </w:t>
      </w:r>
      <w:r>
        <w:t xml:space="preserve">lui est réservée).</w:t>
      </w:r>
    </w:p>
    <w:p>
      <w:pPr>
        <w:numPr>
          <w:ilvl w:val="0"/>
          <w:numId w:val="1004"/>
        </w:numPr>
        <w:pStyle w:val="Compact"/>
      </w:pPr>
      <w:r>
        <w:t xml:space="preserve">Ouvrez</w:t>
      </w:r>
      <w:r>
        <w:t xml:space="preserve"> </w:t>
      </w:r>
      <w:r>
        <w:rPr>
          <w:bCs/>
          <w:b/>
        </w:rPr>
        <w:t xml:space="preserve">Paramètres → Lecteur NFC de ce poste</w:t>
      </w:r>
      <w:r>
        <w:t xml:space="preserve">.</w:t>
      </w:r>
    </w:p>
    <w:p>
      <w:pPr>
        <w:numPr>
          <w:ilvl w:val="0"/>
          <w:numId w:val="1004"/>
        </w:numPr>
        <w:pStyle w:val="Compact"/>
      </w:pPr>
      <w:r>
        <w:t xml:space="preserve">Saisissez l'</w:t>
      </w:r>
      <w:r>
        <w:rPr>
          <w:bCs/>
          <w:b/>
        </w:rPr>
        <w:t xml:space="preserve">Adresse du pont</w:t>
      </w:r>
      <w:r>
        <w:t xml:space="preserve"> </w:t>
      </w:r>
      <w:r>
        <w:t xml:space="preserve">(</w:t>
      </w:r>
      <w:r>
        <w:rPr>
          <w:rStyle w:val="VerbatimChar"/>
        </w:rPr>
        <w:t xml:space="preserve">http://127.0.0.1:8765</w:t>
      </w:r>
      <w:r>
        <w:t xml:space="preserve"> </w:t>
      </w:r>
      <w:r>
        <w:t xml:space="preserve">par défaut), cliquez sur</w:t>
      </w:r>
      <w:r>
        <w:t xml:space="preserve"> </w:t>
      </w:r>
      <w:r>
        <w:rPr>
          <w:bCs/>
          <w:b/>
        </w:rPr>
        <w:t xml:space="preserve">Enregistrer</w:t>
      </w:r>
      <w:r>
        <w:t xml:space="preserve"> </w:t>
      </w:r>
      <w:r>
        <w:t xml:space="preserve">puis</w:t>
      </w:r>
      <w:r>
        <w:t xml:space="preserve"> </w:t>
      </w:r>
      <w:r>
        <w:rPr>
          <w:bCs/>
          <w:b/>
        </w:rPr>
        <w:t xml:space="preserve">Tester</w:t>
      </w:r>
      <w:r>
        <w:t xml:space="preserve">. Le résultat attendu est « Connecté » suivi du nom du lecteur.</w:t>
      </w:r>
    </w:p>
    <w:p>
      <w:pPr>
        <w:numPr>
          <w:ilvl w:val="0"/>
          <w:numId w:val="1004"/>
        </w:numPr>
        <w:pStyle w:val="Compact"/>
      </w:pPr>
      <w:r>
        <w:t xml:space="preserve">Le réglage est propre au navigateur du poste : refaites-le si le navigateur ou le profil utilisateur change.</w:t>
      </w:r>
    </w:p>
    <w:p>
      <w:pPr>
        <w:numPr>
          <w:ilvl w:val="0"/>
          <w:numId w:val="1004"/>
        </w:numPr>
        <w:pStyle w:val="Compact"/>
      </w:pPr>
      <w:r>
        <w:t xml:space="preserve">Déconnectez le compte administrateur ; l'agent se connecte ensuite avec son propre compte.</w:t>
      </w:r>
    </w:p>
    <w:bookmarkEnd w:id="37"/>
    <w:bookmarkStart w:id="38" w:name="X2b32100c5bb1d3d30626b077c5aedcc93bc9ef8"/>
    <w:p>
      <w:pPr>
        <w:pStyle w:val="Heading3"/>
      </w:pPr>
      <w:r>
        <w:t xml:space="preserve">4. Tester le poste</w:t>
      </w:r>
    </w:p>
    <w:p>
      <w:pPr>
        <w:numPr>
          <w:ilvl w:val="0"/>
          <w:numId w:val="1005"/>
        </w:numPr>
        <w:pStyle w:val="Compact"/>
      </w:pPr>
      <w:r>
        <w:t xml:space="preserve">Avec un compte de formation, ouvrez</w:t>
      </w:r>
      <w:r>
        <w:t xml:space="preserve"> </w:t>
      </w:r>
      <w:r>
        <w:rPr>
          <w:bCs/>
          <w:b/>
        </w:rPr>
        <w:t xml:space="preserve">Nouveau contrôle</w:t>
      </w:r>
      <w:r>
        <w:t xml:space="preserve">.</w:t>
      </w:r>
    </w:p>
    <w:p>
      <w:pPr>
        <w:numPr>
          <w:ilvl w:val="0"/>
          <w:numId w:val="1005"/>
        </w:numPr>
        <w:pStyle w:val="Compact"/>
      </w:pPr>
      <w:r>
        <w:t xml:space="preserve">Lisez un passeport de test : la MRZ et les chiffres de contrôle s'affichent.</w:t>
      </w:r>
    </w:p>
    <w:p>
      <w:pPr>
        <w:numPr>
          <w:ilvl w:val="0"/>
          <w:numId w:val="1005"/>
        </w:numPr>
        <w:pStyle w:val="Compact"/>
      </w:pPr>
      <w:r>
        <w:t xml:space="preserve">Cliquez sur</w:t>
      </w:r>
      <w:r>
        <w:t xml:space="preserve"> </w:t>
      </w:r>
      <w:r>
        <w:rPr>
          <w:bCs/>
          <w:b/>
        </w:rPr>
        <w:t xml:space="preserve">Lire la puce</w:t>
      </w:r>
      <w:r>
        <w:t xml:space="preserve"> </w:t>
      </w:r>
      <w:r>
        <w:t xml:space="preserve">: le panneau ne doit</w:t>
      </w:r>
      <w:r>
        <w:t xml:space="preserve"> </w:t>
      </w:r>
      <w:r>
        <w:rPr>
          <w:bCs/>
          <w:b/>
        </w:rPr>
        <w:t xml:space="preserve">pas</w:t>
      </w:r>
      <w:r>
        <w:t xml:space="preserve"> </w:t>
      </w:r>
      <w:r>
        <w:t xml:space="preserve">porter la mention « (simulé) » sur un poste d'exploitation.</w:t>
      </w:r>
    </w:p>
    <w:p>
      <w:pPr>
        <w:numPr>
          <w:ilvl w:val="0"/>
          <w:numId w:val="1005"/>
        </w:numPr>
        <w:pStyle w:val="Compact"/>
      </w:pPr>
      <w:r>
        <w:t xml:space="preserve">Activez la caméra et capturez un visage ; capturez les empreintes.</w:t>
      </w:r>
    </w:p>
    <w:p>
      <w:pPr>
        <w:numPr>
          <w:ilvl w:val="0"/>
          <w:numId w:val="1005"/>
        </w:numPr>
        <w:pStyle w:val="Compact"/>
      </w:pPr>
      <w:r>
        <w:t xml:space="preserve">Lancez les vérifications sans valider la décision, ou validez sur un environnement de recette uniquement.</w:t>
      </w:r>
    </w:p>
    <w:bookmarkEnd w:id="38"/>
    <w:bookmarkEnd w:id="39"/>
    <w:bookmarkStart w:id="40" w:name="installation-dun-kiosque-egate"/>
    <w:p>
      <w:pPr>
        <w:pStyle w:val="Heading2"/>
      </w:pPr>
      <w:r>
        <w:t xml:space="preserve">Installation d'un kiosque eGate</w:t>
      </w:r>
    </w:p>
    <w:p>
      <w:pPr>
        <w:pStyle w:val="FirstParagraph"/>
      </w:pPr>
      <w:r>
        <w:t xml:space="preserve">Préparez l'ordinateur du kiosque comme un poste guichet (navigateur, pilotes, Node.js 22) et installez le pont NFC sur cette même machine (étape 2 de l'installation d'un guichet). Lancez ensuite le navigateur en</w:t>
      </w:r>
      <w:r>
        <w:t xml:space="preserve"> </w:t>
      </w:r>
      <w:r>
        <w:rPr>
          <w:bCs/>
          <w:b/>
        </w:rPr>
        <w:t xml:space="preserve">mode kiosque</w:t>
      </w:r>
      <w:r>
        <w:t xml:space="preserve"> </w:t>
      </w:r>
      <w:r>
        <w:t xml:space="preserve">sur l'adresse du kiosque, avec l'identifiant de l'équipement, par exemple :</w:t>
      </w:r>
    </w:p>
    <w:p>
      <w:pPr>
        <w:pStyle w:val="SourceCode"/>
      </w:pPr>
      <w:r>
        <w:rPr>
          <w:rStyle w:val="ExtensionTok"/>
        </w:rPr>
        <w:t xml:space="preserve">chrome</w:t>
      </w:r>
      <w:r>
        <w:rPr>
          <w:rStyle w:val="NormalTok"/>
        </w:rPr>
        <w:t xml:space="preserve"> </w:t>
      </w:r>
      <w:r>
        <w:rPr>
          <w:rStyle w:val="AttributeTok"/>
        </w:rPr>
        <w:t xml:space="preserve">--kiosk</w:t>
      </w:r>
      <w:r>
        <w:rPr>
          <w:rStyle w:val="NormalTok"/>
        </w:rPr>
        <w:t xml:space="preserve"> </w:t>
      </w:r>
      <w:r>
        <w:rPr>
          <w:rStyle w:val="StringTok"/>
        </w:rPr>
        <w:t xml:space="preserve">"https://&lt;domaine-wawid&gt;/gate/?gate=&lt;ID_EQUIPEMENT&gt;"</w:t>
      </w:r>
    </w:p>
    <w:p>
      <w:pPr>
        <w:pStyle w:val="FirstParagraph"/>
      </w:pPr>
      <w:r>
        <w:t xml:space="preserve">Puis :</w:t>
      </w:r>
    </w:p>
    <w:p>
      <w:pPr>
        <w:numPr>
          <w:ilvl w:val="0"/>
          <w:numId w:val="1006"/>
        </w:numPr>
        <w:pStyle w:val="Compact"/>
      </w:pPr>
      <w:r>
        <w:t xml:space="preserve">À l'écran</w:t>
      </w:r>
      <w:r>
        <w:t xml:space="preserve"> </w:t>
      </w:r>
      <w:r>
        <w:rPr>
          <w:bCs/>
          <w:b/>
        </w:rPr>
        <w:t xml:space="preserve">Activation de l'équipement</w:t>
      </w:r>
      <w:r>
        <w:t xml:space="preserve">, saisissez la</w:t>
      </w:r>
      <w:r>
        <w:t xml:space="preserve"> </w:t>
      </w:r>
      <w:r>
        <w:rPr>
          <w:bCs/>
          <w:b/>
        </w:rPr>
        <w:t xml:space="preserve">Clé d'équipement</w:t>
      </w:r>
      <w:r>
        <w:t xml:space="preserve"> </w:t>
      </w:r>
      <w:r>
        <w:t xml:space="preserve">(valeur de</w:t>
      </w:r>
      <w:r>
        <w:t xml:space="preserve"> </w:t>
      </w:r>
      <w:r>
        <w:rPr>
          <w:rStyle w:val="VerbatimChar"/>
        </w:rPr>
        <w:t xml:space="preserve">WAWID_GATE_KEY</w:t>
      </w:r>
      <w:r>
        <w:t xml:space="preserve">) et cliquez sur</w:t>
      </w:r>
      <w:r>
        <w:t xml:space="preserve"> </w:t>
      </w:r>
      <w:r>
        <w:rPr>
          <w:bCs/>
          <w:b/>
        </w:rPr>
        <w:t xml:space="preserve">Activer</w:t>
      </w:r>
      <w:r>
        <w:t xml:space="preserve">. La clé est mémorisée dans le navigateur du kiosque. Seul un technicien habilité la saisit ; elle n'est jamais affichée ni notée sur le kiosque.</w:t>
      </w:r>
    </w:p>
    <w:p>
      <w:pPr>
        <w:numPr>
          <w:ilvl w:val="0"/>
          <w:numId w:val="1006"/>
        </w:numPr>
        <w:pStyle w:val="Compact"/>
      </w:pPr>
      <w:r>
        <w:t xml:space="preserve">Si l'adresse ne précise pas l'équipement, choisissez-le dans</w:t>
      </w:r>
      <w:r>
        <w:t xml:space="preserve"> </w:t>
      </w:r>
      <w:r>
        <w:rPr>
          <w:bCs/>
          <w:b/>
        </w:rPr>
        <w:t xml:space="preserve">Choisir l'équipement</w:t>
      </w:r>
      <w:r>
        <w:t xml:space="preserve">. Vérifiez le nom et la zone affichés en haut à droite.</w:t>
      </w:r>
    </w:p>
    <w:p>
      <w:pPr>
        <w:numPr>
          <w:ilvl w:val="0"/>
          <w:numId w:val="1006"/>
        </w:numPr>
        <w:pStyle w:val="Compact"/>
      </w:pPr>
      <w:r>
        <w:t xml:space="preserve">Dans l'espace DPAF, ouvrez</w:t>
      </w:r>
      <w:r>
        <w:t xml:space="preserve"> </w:t>
      </w:r>
      <w:r>
        <w:rPr>
          <w:bCs/>
          <w:b/>
        </w:rPr>
        <w:t xml:space="preserve">eGates &amp; ABC</w:t>
      </w:r>
      <w:r>
        <w:t xml:space="preserve"> </w:t>
      </w:r>
      <w:r>
        <w:t xml:space="preserve">et vérifiez que la carte de l'équipement est</w:t>
      </w:r>
      <w:r>
        <w:t xml:space="preserve"> </w:t>
      </w:r>
      <w:r>
        <w:rPr>
          <w:bCs/>
          <w:b/>
        </w:rPr>
        <w:t xml:space="preserve">En service</w:t>
      </w:r>
      <w:r>
        <w:t xml:space="preserve">, en mode automatique, avec un signal de vie récent.</w:t>
      </w:r>
    </w:p>
    <w:p>
      <w:pPr>
        <w:numPr>
          <w:ilvl w:val="0"/>
          <w:numId w:val="1006"/>
        </w:numPr>
        <w:pStyle w:val="Compact"/>
      </w:pPr>
      <w:r>
        <w:t xml:space="preserve">Faites un essai de fermeture et de réouverture à distance : le kiosque doit afficher</w:t>
      </w:r>
      <w:r>
        <w:t xml:space="preserve"> </w:t>
      </w:r>
      <w:r>
        <w:rPr>
          <w:bCs/>
          <w:b/>
        </w:rPr>
        <w:t xml:space="preserve">Porte fermée</w:t>
      </w:r>
      <w:r>
        <w:t xml:space="preserve"> </w:t>
      </w:r>
      <w:r>
        <w:t xml:space="preserve">puis revenir à l'accueil en moins de 15 secondes.</w:t>
      </w:r>
    </w:p>
    <w:p>
      <w:pPr>
        <w:numPr>
          <w:ilvl w:val="0"/>
          <w:numId w:val="1006"/>
        </w:numPr>
        <w:pStyle w:val="Compact"/>
      </w:pPr>
      <w:r>
        <w:t xml:space="preserve">Réglez les paramètres de la porte (seuil facial, âge minimal, éligibilité, détection du vivant, vérification de l'autorisation de voyage) selon la politique validée par la DPAF, avec</w:t>
      </w:r>
      <w:r>
        <w:t xml:space="preserve"> </w:t>
      </w:r>
      <w:r>
        <w:rPr>
          <w:bCs/>
          <w:b/>
        </w:rPr>
        <w:t xml:space="preserve">Paramètres → Appliquer à distance</w:t>
      </w:r>
      <w:r>
        <w:t xml:space="preserve">.</w:t>
      </w:r>
    </w:p>
    <w:p>
      <w:pPr>
        <w:pStyle w:val="FirstParagraph"/>
      </w:pPr>
      <w:r>
        <w:t xml:space="preserve">Points ouverts pour la production :</w:t>
      </w:r>
    </w:p>
    <w:p>
      <w:pPr>
        <w:numPr>
          <w:ilvl w:val="0"/>
          <w:numId w:val="1007"/>
        </w:numPr>
        <w:pStyle w:val="Compact"/>
      </w:pPr>
      <w:r>
        <w:rPr>
          <w:bCs/>
          <w:b/>
        </w:rPr>
        <w:t xml:space="preserve">À développer</w:t>
      </w:r>
      <w:r>
        <w:t xml:space="preserve"> </w:t>
      </w:r>
      <w:r>
        <w:t xml:space="preserve">: le panneau</w:t>
      </w:r>
      <w:r>
        <w:t xml:space="preserve"> </w:t>
      </w:r>
      <w:r>
        <w:rPr>
          <w:bCs/>
          <w:b/>
        </w:rPr>
        <w:t xml:space="preserve">Simulateur (démonstration)</w:t>
      </w:r>
      <w:r>
        <w:t xml:space="preserve"> </w:t>
      </w:r>
      <w:r>
        <w:t xml:space="preserve">affiché sous l'écran d'accueil doit être masqué sur les kiosques d'exploitation.</w:t>
      </w:r>
    </w:p>
    <w:p>
      <w:pPr>
        <w:numPr>
          <w:ilvl w:val="0"/>
          <w:numId w:val="1007"/>
        </w:numPr>
        <w:pStyle w:val="Compact"/>
      </w:pPr>
      <w:r>
        <w:rPr>
          <w:bCs/>
          <w:b/>
        </w:rPr>
        <w:t xml:space="preserve">À développer</w:t>
      </w:r>
      <w:r>
        <w:t xml:space="preserve"> </w:t>
      </w:r>
      <w:r>
        <w:t xml:space="preserve">: il n'existe pas encore d'écran pour déclarer une nouvelle eGate ; les équipements proviennent du jeu de démonstration.</w:t>
      </w:r>
    </w:p>
    <w:p>
      <w:pPr>
        <w:numPr>
          <w:ilvl w:val="0"/>
          <w:numId w:val="1007"/>
        </w:numPr>
        <w:pStyle w:val="Compact"/>
      </w:pPr>
      <w:r>
        <w:rPr>
          <w:bCs/>
          <w:b/>
        </w:rPr>
        <w:t xml:space="preserve">Recommandation</w:t>
      </w:r>
      <w:r>
        <w:t xml:space="preserve"> </w:t>
      </w:r>
      <w:r>
        <w:t xml:space="preserve">: remplacer la clé partagée unique</w:t>
      </w:r>
      <w:r>
        <w:t xml:space="preserve"> </w:t>
      </w:r>
      <w:r>
        <w:rPr>
          <w:rStyle w:val="VerbatimChar"/>
        </w:rPr>
        <w:t xml:space="preserve">WAWID_GATE_KEY</w:t>
      </w:r>
      <w:r>
        <w:t xml:space="preserve"> </w:t>
      </w:r>
      <w:r>
        <w:t xml:space="preserve">par des certificats par équipement (mTLS), comme prévu dans</w:t>
      </w:r>
      <w:r>
        <w:t xml:space="preserve"> </w:t>
      </w:r>
      <w:r>
        <w:rPr>
          <w:iCs/>
          <w:i/>
        </w:rPr>
        <w:t xml:space="preserve">Sécurité, données personnelles et conformité</w:t>
      </w:r>
      <w:r>
        <w:t xml:space="preserve">.</w:t>
      </w:r>
    </w:p>
    <w:p>
      <w:pPr>
        <w:pStyle w:val="FirstParagraph"/>
      </w:pPr>
      <w:r>
        <w:t xml:space="preserve">Pour le parcours voyageur et les messages, voir</w:t>
      </w:r>
      <w:r>
        <w:t xml:space="preserve"> </w:t>
      </w:r>
      <w:r>
        <w:rPr>
          <w:iCs/>
          <w:i/>
        </w:rPr>
        <w:t xml:space="preserve">Kiosque eGate : mise en service et parcours</w:t>
      </w:r>
      <w:r>
        <w:t xml:space="preserve">.</w:t>
      </w:r>
    </w:p>
    <w:bookmarkEnd w:id="40"/>
    <w:bookmarkStart w:id="41" w:name="installation-de-lespace-dpaf"/>
    <w:p>
      <w:pPr>
        <w:pStyle w:val="Heading2"/>
      </w:pPr>
      <w:r>
        <w:t xml:space="preserve">Installation de l'espace DPAF</w:t>
      </w:r>
    </w:p>
    <w:p>
      <w:pPr>
        <w:pStyle w:val="FirstParagraph"/>
      </w:pPr>
      <w:r>
        <w:t xml:space="preserve">L'espace DPAF ne demande qu'un navigateur récent sur un poste du réseau privé.</w:t>
      </w:r>
    </w:p>
    <w:p>
      <w:pPr>
        <w:numPr>
          <w:ilvl w:val="0"/>
          <w:numId w:val="1008"/>
        </w:numPr>
        <w:pStyle w:val="Compact"/>
      </w:pPr>
      <w:r>
        <w:t xml:space="preserve">Fournissez aux analystes, superviseurs, administrateurs et agents du Trésor un poste maintenu, avec navigateur récent et verrouillage d'écran.</w:t>
      </w:r>
    </w:p>
    <w:p>
      <w:pPr>
        <w:numPr>
          <w:ilvl w:val="0"/>
          <w:numId w:val="1008"/>
        </w:numPr>
        <w:pStyle w:val="Compact"/>
      </w:pPr>
      <w:r>
        <w:t xml:space="preserve">Donnez l'adresse</w:t>
      </w:r>
      <w:r>
        <w:t xml:space="preserve"> </w:t>
      </w:r>
      <w:r>
        <w:rPr>
          <w:rStyle w:val="VerbatimChar"/>
        </w:rPr>
        <w:t xml:space="preserve">https://&lt;domaine-wawid&gt;/dpaf/</w:t>
      </w:r>
      <w:r>
        <w:t xml:space="preserve"> </w:t>
      </w:r>
      <w:r>
        <w:t xml:space="preserve">(l'ancienne adresse</w:t>
      </w:r>
      <w:r>
        <w:t xml:space="preserve"> </w:t>
      </w:r>
      <w:r>
        <w:rPr>
          <w:rStyle w:val="VerbatimChar"/>
        </w:rPr>
        <w:t xml:space="preserve">/admin/</w:t>
      </w:r>
      <w:r>
        <w:t xml:space="preserve"> </w:t>
      </w:r>
      <w:r>
        <w:t xml:space="preserve">reste valable) ; ajoutez-la aux favoris. Le portail voyageur ne contient aucun lien vers l'espace DPAF.</w:t>
      </w:r>
    </w:p>
    <w:p>
      <w:pPr>
        <w:numPr>
          <w:ilvl w:val="0"/>
          <w:numId w:val="1008"/>
        </w:numPr>
        <w:pStyle w:val="Compact"/>
      </w:pPr>
      <w:r>
        <w:t xml:space="preserve">En production, limitez l'accès à l'espace DPAF au réseau privé ou à un VPN (Recommandation) ; la balise</w:t>
      </w:r>
      <w:r>
        <w:t xml:space="preserve"> </w:t>
      </w:r>
      <w:r>
        <w:rPr>
          <w:rStyle w:val="VerbatimChar"/>
        </w:rPr>
        <w:t xml:space="preserve">noindex, nofollow</w:t>
      </w:r>
      <w:r>
        <w:t xml:space="preserve"> </w:t>
      </w:r>
      <w:r>
        <w:t xml:space="preserve">est déjà appliquée (Existant).</w:t>
      </w:r>
    </w:p>
    <w:p>
      <w:pPr>
        <w:numPr>
          <w:ilvl w:val="0"/>
          <w:numId w:val="1008"/>
        </w:numPr>
        <w:pStyle w:val="Compact"/>
      </w:pPr>
      <w:r>
        <w:t xml:space="preserve">Pour les agents du Trésor, prévoyez un accès depuis les locaux de la DGCPT selon la politique de sécurité retenue.</w:t>
      </w:r>
    </w:p>
    <w:bookmarkEnd w:id="41"/>
    <w:bookmarkStart w:id="48" w:name="installation-logicielle-de-la-plateforme"/>
    <w:p>
      <w:pPr>
        <w:pStyle w:val="Heading2"/>
      </w:pPr>
      <w:r>
        <w:t xml:space="preserve">Installation logicielle de la plateforme</w:t>
      </w:r>
    </w:p>
    <w:bookmarkStart w:id="42" w:name="prérequis"/>
    <w:p>
      <w:pPr>
        <w:pStyle w:val="Heading3"/>
      </w:pPr>
      <w:r>
        <w:t xml:space="preserve">Prérequis</w:t>
      </w:r>
    </w:p>
    <w:p>
      <w:pPr>
        <w:numPr>
          <w:ilvl w:val="0"/>
          <w:numId w:val="1009"/>
        </w:numPr>
        <w:pStyle w:val="Compact"/>
      </w:pPr>
      <w:r>
        <w:rPr>
          <w:bCs/>
          <w:b/>
        </w:rPr>
        <w:t xml:space="preserve">Node.js 22</w:t>
      </w:r>
      <w:r>
        <w:t xml:space="preserve">, version 22.18 ou plus récente (exécution directe des fichiers</w:t>
      </w:r>
      <w:r>
        <w:t xml:space="preserve"> </w:t>
      </w:r>
      <w:r>
        <w:rPr>
          <w:rStyle w:val="VerbatimChar"/>
        </w:rPr>
        <w:t xml:space="preserve">.mts</w:t>
      </w:r>
      <w:r>
        <w:t xml:space="preserve">).</w:t>
      </w:r>
    </w:p>
    <w:p>
      <w:pPr>
        <w:numPr>
          <w:ilvl w:val="0"/>
          <w:numId w:val="1009"/>
        </w:numPr>
        <w:pStyle w:val="Compact"/>
      </w:pPr>
      <w:r>
        <w:t xml:space="preserve">Git et un accès au dépôt.</w:t>
      </w:r>
    </w:p>
    <w:p>
      <w:pPr>
        <w:numPr>
          <w:ilvl w:val="0"/>
          <w:numId w:val="1009"/>
        </w:numPr>
        <w:pStyle w:val="Compact"/>
      </w:pPr>
      <w:r>
        <w:t xml:space="preserve">Pour le démonstrateur : un compte Netlify. Aucune base de données n'est nécessaire.</w:t>
      </w:r>
    </w:p>
    <w:bookmarkEnd w:id="42"/>
    <w:bookmarkStart w:id="43" w:name="installation-et-tests-en-local"/>
    <w:p>
      <w:pPr>
        <w:pStyle w:val="Heading3"/>
      </w:pPr>
      <w:r>
        <w:t xml:space="preserve">Installation et tests en local</w:t>
      </w:r>
    </w:p>
    <w:p>
      <w:pPr>
        <w:pStyle w:val="SourceCode"/>
      </w:pPr>
      <w:r>
        <w:rPr>
          <w:rStyle w:val="BuiltInTok"/>
        </w:rPr>
        <w:t xml:space="preserve">cd</w:t>
      </w:r>
      <w:r>
        <w:rPr>
          <w:rStyle w:val="NormalTok"/>
        </w:rPr>
        <w:t xml:space="preserve"> wawid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test           </w:t>
      </w:r>
      <w:r>
        <w:rPr>
          <w:rStyle w:val="CommentTok"/>
        </w:rPr>
        <w:t xml:space="preserve"># compile la documentation puis exécute les tests</w:t>
      </w:r>
      <w:r>
        <w:br/>
      </w:r>
      <w:r>
        <w:rPr>
          <w:rStyle w:val="ExtensionTok"/>
        </w:rPr>
        <w:t xml:space="preserve">npm</w:t>
      </w:r>
      <w:r>
        <w:rPr>
          <w:rStyle w:val="NormalTok"/>
        </w:rPr>
        <w:t xml:space="preserve"> run dev        </w:t>
      </w:r>
      <w:r>
        <w:rPr>
          <w:rStyle w:val="CommentTok"/>
        </w:rPr>
        <w:t xml:space="preserve"># http://localhost:8888</w:t>
      </w:r>
    </w:p>
    <w:p>
      <w:pPr>
        <w:numPr>
          <w:ilvl w:val="0"/>
          <w:numId w:val="1010"/>
        </w:numPr>
        <w:pStyle w:val="Compact"/>
      </w:pPr>
      <w:r>
        <w:rPr>
          <w:rStyle w:val="VerbatimChar"/>
        </w:rPr>
        <w:t xml:space="preserve">npm run build</w:t>
      </w:r>
      <w:r>
        <w:t xml:space="preserve"> </w:t>
      </w:r>
      <w:r>
        <w:t xml:space="preserve">compile la documentation (</w:t>
      </w:r>
      <w:r>
        <w:rPr>
          <w:rStyle w:val="VerbatimChar"/>
        </w:rPr>
        <w:t xml:space="preserve">docs/content</w:t>
      </w:r>
      <w:r>
        <w:t xml:space="preserve">) dans</w:t>
      </w:r>
      <w:r>
        <w:t xml:space="preserve"> </w:t>
      </w:r>
      <w:r>
        <w:rPr>
          <w:rStyle w:val="VerbatimChar"/>
        </w:rPr>
        <w:t xml:space="preserve">netlify/lib/docs-content.mjs</w:t>
      </w:r>
      <w:r>
        <w:t xml:space="preserve">.</w:t>
      </w:r>
    </w:p>
    <w:p>
      <w:pPr>
        <w:numPr>
          <w:ilvl w:val="0"/>
          <w:numId w:val="1010"/>
        </w:numPr>
        <w:pStyle w:val="Compact"/>
      </w:pPr>
      <w:r>
        <w:rPr>
          <w:rStyle w:val="VerbatimChar"/>
        </w:rPr>
        <w:t xml:space="preserve">npm test</w:t>
      </w:r>
      <w:r>
        <w:t xml:space="preserve"> </w:t>
      </w:r>
      <w:r>
        <w:t xml:space="preserve">compile la documentation puis exécute</w:t>
      </w:r>
      <w:r>
        <w:t xml:space="preserve"> </w:t>
      </w:r>
      <w:r>
        <w:rPr>
          <w:rStyle w:val="VerbatimChar"/>
        </w:rPr>
        <w:t xml:space="preserve">node --test</w:t>
      </w:r>
      <w:r>
        <w:t xml:space="preserve"> </w:t>
      </w:r>
      <w:r>
        <w:t xml:space="preserve">sur le moteur métier, l'API et le décodage PAXLST/PNR.</w:t>
      </w:r>
    </w:p>
    <w:p>
      <w:pPr>
        <w:numPr>
          <w:ilvl w:val="0"/>
          <w:numId w:val="1010"/>
        </w:numPr>
        <w:pStyle w:val="Compact"/>
      </w:pPr>
      <w:r>
        <w:rPr>
          <w:rStyle w:val="VerbatimChar"/>
        </w:rPr>
        <w:t xml:space="preserve">npm run dev</w:t>
      </w:r>
      <w:r>
        <w:t xml:space="preserve"> </w:t>
      </w:r>
      <w:r>
        <w:t xml:space="preserve">lance le serveur local ; le port se change avec</w:t>
      </w:r>
      <w:r>
        <w:t xml:space="preserve"> </w:t>
      </w:r>
      <w:r>
        <w:rPr>
          <w:rStyle w:val="VerbatimChar"/>
        </w:rPr>
        <w:t xml:space="preserve">PORT</w:t>
      </w:r>
      <w:r>
        <w:t xml:space="preserve">.</w:t>
      </w:r>
    </w:p>
    <w:p>
      <w:pPr>
        <w:numPr>
          <w:ilvl w:val="0"/>
          <w:numId w:val="1010"/>
        </w:numPr>
        <w:pStyle w:val="Compact"/>
      </w:pPr>
      <w:r>
        <w:t xml:space="preserve">En local, les données sont en mémoire et des comptes et clés de développement sont créés automatiquement (voir</w:t>
      </w:r>
      <w:r>
        <w:t xml:space="preserve"> </w:t>
      </w:r>
      <w:r>
        <w:rPr>
          <w:iCs/>
          <w:i/>
        </w:rPr>
        <w:t xml:space="preserve">Déploiement et configuration</w:t>
      </w:r>
      <w:r>
        <w:t xml:space="preserve">). Ces valeurs par défaut n'existent pas sur Netlify.</w:t>
      </w:r>
    </w:p>
    <w:bookmarkEnd w:id="43"/>
    <w:bookmarkStart w:id="44" w:name="déploiement-sur-netlify-démonstrateur"/>
    <w:p>
      <w:pPr>
        <w:pStyle w:val="Heading3"/>
      </w:pPr>
      <w:r>
        <w:t xml:space="preserve">Déploiement sur Netlify (démonstrateur)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Paramètre</w:t>
            </w:r>
          </w:p>
        </w:tc>
        <w:tc>
          <w:tcPr/>
          <w:p>
            <w:pPr>
              <w:pStyle w:val="Compact"/>
              <w:jc w:val="left"/>
            </w:pPr>
            <w:r>
              <w:t xml:space="preserve">Valeur (fichier</w:t>
            </w:r>
            <w:r>
              <w:t xml:space="preserve"> </w:t>
            </w:r>
            <w:r>
              <w:rPr>
                <w:rStyle w:val="VerbatimChar"/>
              </w:rPr>
              <w:t xml:space="preserve">netlify.toml</w:t>
            </w:r>
            <w:r>
              <w:t xml:space="preserve">)</w:t>
            </w:r>
          </w:p>
        </w:tc>
      </w:tr>
      <w:tr>
        <w:tc>
          <w:tcPr/>
          <w:p>
            <w:pPr>
              <w:pStyle w:val="Compact"/>
              <w:jc w:val="left"/>
            </w:pPr>
            <w:r>
              <w:t xml:space="preserve">Répertoire de base</w:t>
            </w:r>
          </w:p>
        </w:tc>
        <w:tc>
          <w:tcPr/>
          <w:p>
            <w:pPr>
              <w:pStyle w:val="Compact"/>
              <w:jc w:val="left"/>
            </w:pPr>
            <w:r>
              <w:rPr>
                <w:rStyle w:val="VerbatimChar"/>
              </w:rPr>
              <w:t xml:space="preserve">wawid/</w:t>
            </w:r>
          </w:p>
        </w:tc>
      </w:tr>
      <w:tr>
        <w:tc>
          <w:tcPr/>
          <w:p>
            <w:pPr>
              <w:pStyle w:val="Compact"/>
              <w:jc w:val="left"/>
            </w:pPr>
            <w:r>
              <w:t xml:space="preserve">Commande de build</w:t>
            </w:r>
          </w:p>
        </w:tc>
        <w:tc>
          <w:tcPr/>
          <w:p>
            <w:pPr>
              <w:pStyle w:val="Compact"/>
              <w:jc w:val="left"/>
            </w:pPr>
            <w:r>
              <w:rPr>
                <w:rStyle w:val="VerbatimChar"/>
              </w:rPr>
              <w:t xml:space="preserve">npm run build &amp;&amp; npm test</w:t>
            </w:r>
          </w:p>
        </w:tc>
      </w:tr>
      <w:tr>
        <w:tc>
          <w:tcPr/>
          <w:p>
            <w:pPr>
              <w:pStyle w:val="Compact"/>
              <w:jc w:val="left"/>
            </w:pPr>
            <w:r>
              <w:t xml:space="preserve">Répertoire publié</w:t>
            </w:r>
          </w:p>
        </w:tc>
        <w:tc>
          <w:tcPr/>
          <w:p>
            <w:pPr>
              <w:pStyle w:val="Compact"/>
              <w:jc w:val="left"/>
            </w:pPr>
            <w:r>
              <w:rPr>
                <w:rStyle w:val="VerbatimChar"/>
              </w:rPr>
              <w:t xml:space="preserve">public</w:t>
            </w:r>
          </w:p>
        </w:tc>
      </w:tr>
      <w:tr>
        <w:tc>
          <w:tcPr/>
          <w:p>
            <w:pPr>
              <w:pStyle w:val="Compact"/>
              <w:jc w:val="left"/>
            </w:pPr>
            <w:r>
              <w:t xml:space="preserve">Fonctions</w:t>
            </w:r>
          </w:p>
        </w:tc>
        <w:tc>
          <w:tcPr/>
          <w:p>
            <w:pPr>
              <w:pStyle w:val="Compact"/>
              <w:jc w:val="left"/>
            </w:pPr>
            <w:r>
              <w:rPr>
                <w:rStyle w:val="VerbatimChar"/>
              </w:rPr>
              <w:t xml:space="preserve">netlify/functions</w:t>
            </w:r>
            <w:r>
              <w:t xml:space="preserve"> </w:t>
            </w:r>
            <w:r>
              <w:t xml:space="preserve">(bundler esbuild)</w:t>
            </w:r>
          </w:p>
        </w:tc>
      </w:tr>
      <w:tr>
        <w:tc>
          <w:tcPr/>
          <w:p>
            <w:pPr>
              <w:pStyle w:val="Compact"/>
              <w:jc w:val="left"/>
            </w:pPr>
            <w:r>
              <w:t xml:space="preserve">Version de Node</w:t>
            </w:r>
          </w:p>
        </w:tc>
        <w:tc>
          <w:tcPr/>
          <w:p>
            <w:pPr>
              <w:pStyle w:val="Compact"/>
              <w:jc w:val="left"/>
            </w:pPr>
            <w:r>
              <w:rPr>
                <w:rStyle w:val="VerbatimChar"/>
              </w:rPr>
              <w:t xml:space="preserve">NODE_VERSION = "22"</w:t>
            </w:r>
          </w:p>
        </w:tc>
      </w:tr>
    </w:tbl>
    <w:p>
      <w:pPr>
        <w:pStyle w:val="BodyText"/>
      </w:pPr>
      <w:r>
        <w:t xml:space="preserve">Un test en échec bloque le déploiement.</w:t>
      </w:r>
    </w:p>
    <w:bookmarkEnd w:id="44"/>
    <w:bookmarkStart w:id="45" w:name="variables-denvironnement"/>
    <w:p>
      <w:pPr>
        <w:pStyle w:val="Heading3"/>
      </w:pPr>
      <w:r>
        <w:t xml:space="preserve">Variables d'environnement</w:t>
      </w:r>
    </w:p>
    <w:p>
      <w:pPr>
        <w:pStyle w:val="FirstParagraph"/>
      </w:pPr>
      <w:r>
        <w:t xml:space="preserve">Les noms ci-dessous sont ceux lus par le code (</w:t>
      </w:r>
      <w:r>
        <w:rPr>
          <w:rStyle w:val="VerbatimChar"/>
        </w:rPr>
        <w:t xml:space="preserve">netlify/lib/auth.mts</w:t>
      </w:r>
      <w:r>
        <w:t xml:space="preserve"> </w:t>
      </w:r>
      <w:r>
        <w:t xml:space="preserve">et</w:t>
      </w:r>
      <w:r>
        <w:t xml:space="preserve"> </w:t>
      </w:r>
      <w:r>
        <w:rPr>
          <w:rStyle w:val="VerbatimChar"/>
        </w:rPr>
        <w:t xml:space="preserve">netlify/lib/connectors.mts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Obligatoire</w:t>
            </w:r>
          </w:p>
        </w:tc>
        <w:tc>
          <w:tcPr/>
          <w:p>
            <w:pPr>
              <w:pStyle w:val="Compact"/>
              <w:jc w:val="left"/>
            </w:pPr>
            <w:r>
              <w:t xml:space="preserve">Rôle</w:t>
            </w:r>
          </w:p>
        </w:tc>
      </w:tr>
      <w:tr>
        <w:tc>
          <w:tcPr/>
          <w:p>
            <w:pPr>
              <w:pStyle w:val="Compact"/>
              <w:jc w:val="left"/>
            </w:pPr>
            <w:r>
              <w:rPr>
                <w:rStyle w:val="VerbatimChar"/>
              </w:rPr>
              <w:t xml:space="preserve">SESSION_SECRET</w:t>
            </w:r>
          </w:p>
        </w:tc>
        <w:tc>
          <w:tcPr/>
          <w:p>
            <w:pPr>
              <w:pStyle w:val="Compact"/>
              <w:jc w:val="left"/>
            </w:pPr>
            <w:r>
              <w:t xml:space="preserve">Oui</w:t>
            </w:r>
          </w:p>
        </w:tc>
        <w:tc>
          <w:tcPr/>
          <w:p>
            <w:pPr>
              <w:pStyle w:val="Compact"/>
              <w:jc w:val="left"/>
            </w:pPr>
            <w:r>
              <w:t xml:space="preserve">Signature des sessions et des QR codes e-Visa / WawPass. Sans elle, l'API répond par une erreur.</w:t>
            </w:r>
          </w:p>
        </w:tc>
      </w:tr>
      <w:tr>
        <w:tc>
          <w:tcPr/>
          <w:p>
            <w:pPr>
              <w:pStyle w:val="Compact"/>
              <w:jc w:val="left"/>
            </w:pPr>
            <w:r>
              <w:rPr>
                <w:rStyle w:val="VerbatimChar"/>
              </w:rPr>
              <w:t xml:space="preserve">WAWID_ADMIN_PASSWORD</w:t>
            </w:r>
          </w:p>
        </w:tc>
        <w:tc>
          <w:tcPr/>
          <w:p>
            <w:pPr>
              <w:pStyle w:val="Compact"/>
              <w:jc w:val="left"/>
            </w:pPr>
            <w:r>
              <w:t xml:space="preserve">Oui</w:t>
            </w:r>
          </w:p>
        </w:tc>
        <w:tc>
          <w:tcPr/>
          <w:p>
            <w:pPr>
              <w:pStyle w:val="Compact"/>
              <w:jc w:val="left"/>
            </w:pPr>
            <w:r>
              <w:t xml:space="preserve">Mot de passe du compte</w:t>
            </w:r>
            <w:r>
              <w:t xml:space="preserve"> </w:t>
            </w:r>
            <w:r>
              <w:rPr>
                <w:rStyle w:val="VerbatimChar"/>
              </w:rPr>
              <w:t xml:space="preserve">admin</w:t>
            </w:r>
            <w:r>
              <w:t xml:space="preserve">, créé au premier login si aucun compte n'existe.</w:t>
            </w:r>
          </w:p>
        </w:tc>
      </w:tr>
      <w:tr>
        <w:tc>
          <w:tcPr/>
          <w:p>
            <w:pPr>
              <w:pStyle w:val="Compact"/>
              <w:jc w:val="left"/>
            </w:pPr>
            <w:r>
              <w:rPr>
                <w:rStyle w:val="VerbatimChar"/>
              </w:rPr>
              <w:t xml:space="preserve">WAWID_DEMO_PASSWORD</w:t>
            </w:r>
          </w:p>
        </w:tc>
        <w:tc>
          <w:tcPr/>
          <w:p>
            <w:pPr>
              <w:pStyle w:val="Compact"/>
              <w:jc w:val="left"/>
            </w:pPr>
            <w:r>
              <w:t xml:space="preserve">Non</w:t>
            </w:r>
          </w:p>
        </w:tc>
        <w:tc>
          <w:tcPr/>
          <w:p>
            <w:pPr>
              <w:pStyle w:val="Compact"/>
              <w:jc w:val="left"/>
            </w:pPr>
            <w:r>
              <w:t xml:space="preserve">Crée les comptes de démonstration</w:t>
            </w:r>
            <w:r>
              <w:t xml:space="preserve"> </w:t>
            </w:r>
            <w:r>
              <w:rPr>
                <w:rStyle w:val="VerbatimChar"/>
              </w:rPr>
              <w:t xml:space="preserve">agent</w:t>
            </w:r>
            <w:r>
              <w:t xml:space="preserve">,</w:t>
            </w:r>
            <w:r>
              <w:t xml:space="preserve"> </w:t>
            </w:r>
            <w:r>
              <w:rPr>
                <w:rStyle w:val="VerbatimChar"/>
              </w:rPr>
              <w:t xml:space="preserve">analyste</w:t>
            </w:r>
            <w:r>
              <w:t xml:space="preserve">,</w:t>
            </w:r>
            <w:r>
              <w:t xml:space="preserve"> </w:t>
            </w:r>
            <w:r>
              <w:rPr>
                <w:rStyle w:val="VerbatimChar"/>
              </w:rPr>
              <w:t xml:space="preserve">superviseur</w:t>
            </w:r>
            <w:r>
              <w:t xml:space="preserve">,</w:t>
            </w:r>
            <w:r>
              <w:t xml:space="preserve"> </w:t>
            </w:r>
            <w:r>
              <w:rPr>
                <w:rStyle w:val="VerbatimChar"/>
              </w:rPr>
              <w:t xml:space="preserve">tresor</w:t>
            </w:r>
            <w:r>
              <w:t xml:space="preserve">.</w:t>
            </w:r>
            <w:r>
              <w:t xml:space="preserve"> </w:t>
            </w:r>
            <w:r>
              <w:rPr>
                <w:bCs/>
                <w:b/>
              </w:rPr>
              <w:t xml:space="preserve">Ne jamais définir en production.</w:t>
            </w:r>
          </w:p>
        </w:tc>
      </w:tr>
      <w:tr>
        <w:tc>
          <w:tcPr/>
          <w:p>
            <w:pPr>
              <w:pStyle w:val="Compact"/>
              <w:jc w:val="left"/>
            </w:pPr>
            <w:r>
              <w:rPr>
                <w:rStyle w:val="VerbatimChar"/>
              </w:rPr>
              <w:t xml:space="preserve">WAWID_GATE_KEY</w:t>
            </w:r>
          </w:p>
        </w:tc>
        <w:tc>
          <w:tcPr/>
          <w:p>
            <w:pPr>
              <w:pStyle w:val="Compact"/>
              <w:jc w:val="left"/>
            </w:pPr>
            <w:r>
              <w:t xml:space="preserve">Oui pour les eGates</w:t>
            </w:r>
          </w:p>
        </w:tc>
        <w:tc>
          <w:tcPr/>
          <w:p>
            <w:pPr>
              <w:pStyle w:val="Compact"/>
              <w:jc w:val="left"/>
            </w:pPr>
            <w:r>
              <w:t xml:space="preserve">Clé des eGates et kiosques (en-tête</w:t>
            </w:r>
            <w:r>
              <w:t xml:space="preserve"> </w:t>
            </w:r>
            <w:r>
              <w:rPr>
                <w:rStyle w:val="VerbatimChar"/>
              </w:rPr>
              <w:t xml:space="preserve">X-Gate-Key</w:t>
            </w:r>
            <w:r>
              <w:t xml:space="preserve">).</w:t>
            </w:r>
          </w:p>
        </w:tc>
      </w:tr>
      <w:tr>
        <w:tc>
          <w:tcPr/>
          <w:p>
            <w:pPr>
              <w:pStyle w:val="Compact"/>
              <w:jc w:val="left"/>
            </w:pPr>
            <w:r>
              <w:rPr>
                <w:rStyle w:val="VerbatimChar"/>
              </w:rPr>
              <w:t xml:space="preserve">WAWID_CARRIER_KEYS</w:t>
            </w:r>
          </w:p>
        </w:tc>
        <w:tc>
          <w:tcPr/>
          <w:p>
            <w:pPr>
              <w:pStyle w:val="Compact"/>
              <w:jc w:val="left"/>
            </w:pPr>
            <w:r>
              <w:t xml:space="preserve">Oui pour la passerelle</w:t>
            </w:r>
          </w:p>
        </w:tc>
        <w:tc>
          <w:tcPr/>
          <w:p>
            <w:pPr>
              <w:pStyle w:val="Compact"/>
              <w:jc w:val="left"/>
            </w:pPr>
            <w:r>
              <w:t xml:space="preserve">Clés des compagnies :</w:t>
            </w:r>
            <w:r>
              <w:t xml:space="preserve"> </w:t>
            </w:r>
            <w:r>
              <w:rPr>
                <w:rStyle w:val="VerbatimChar"/>
              </w:rPr>
              <w:t xml:space="preserve">CODE_IATA:clé</w:t>
            </w:r>
            <w:r>
              <w:t xml:space="preserve"> </w:t>
            </w:r>
            <w:r>
              <w:t xml:space="preserve">séparés par des virgules.</w:t>
            </w:r>
          </w:p>
        </w:tc>
      </w:tr>
      <w:tr>
        <w:tc>
          <w:tcPr/>
          <w:p>
            <w:pPr>
              <w:pStyle w:val="Compact"/>
              <w:jc w:val="left"/>
            </w:pPr>
            <w:r>
              <w:rPr>
                <w:rStyle w:val="VerbatimChar"/>
              </w:rPr>
              <w:t xml:space="preserve">WAWID_CONNECTOR_&lt;ID&gt;_URL</w:t>
            </w:r>
          </w:p>
        </w:tc>
        <w:tc>
          <w:tcPr/>
          <w:p>
            <w:pPr>
              <w:pStyle w:val="Compact"/>
              <w:jc w:val="left"/>
            </w:pPr>
            <w:r>
              <w:t xml:space="preserve">Non</w:t>
            </w:r>
          </w:p>
        </w:tc>
        <w:tc>
          <w:tcPr/>
          <w:p>
            <w:pPr>
              <w:pStyle w:val="Compact"/>
              <w:jc w:val="left"/>
            </w:pPr>
            <w:r>
              <w:t xml:space="preserve">URL d'un connecteur (</w:t>
            </w:r>
            <w:r>
              <w:rPr>
                <w:rStyle w:val="VerbatimChar"/>
              </w:rPr>
              <w:t xml:space="preserve">INTERPOL_SLTD</w:t>
            </w:r>
            <w:r>
              <w:t xml:space="preserve">,</w:t>
            </w:r>
            <w:r>
              <w:t xml:space="preserve"> </w:t>
            </w:r>
            <w:r>
              <w:rPr>
                <w:rStyle w:val="VerbatimChar"/>
              </w:rPr>
              <w:t xml:space="preserve">INTERPOL_NOM</w:t>
            </w:r>
            <w:r>
              <w:t xml:space="preserve">,</w:t>
            </w:r>
            <w:r>
              <w:t xml:space="preserve"> </w:t>
            </w:r>
            <w:r>
              <w:rPr>
                <w:rStyle w:val="VerbatimChar"/>
              </w:rPr>
              <w:t xml:space="preserve">WAPIS</w:t>
            </w:r>
            <w:r>
              <w:t xml:space="preserve">,</w:t>
            </w:r>
            <w:r>
              <w:t xml:space="preserve"> </w:t>
            </w:r>
            <w:r>
              <w:rPr>
                <w:rStyle w:val="VerbatimChar"/>
              </w:rPr>
              <w:t xml:space="preserve">FPR</w:t>
            </w:r>
            <w:r>
              <w:t xml:space="preserve">,</w:t>
            </w:r>
            <w:r>
              <w:t xml:space="preserve"> </w:t>
            </w:r>
            <w:r>
              <w:rPr>
                <w:rStyle w:val="VerbatimChar"/>
              </w:rPr>
              <w:t xml:space="preserve">JUD</w:t>
            </w:r>
            <w:r>
              <w:t xml:space="preserve">,</w:t>
            </w:r>
            <w:r>
              <w:t xml:space="preserve"> </w:t>
            </w:r>
            <w:r>
              <w:rPr>
                <w:rStyle w:val="VerbatimChar"/>
              </w:rPr>
              <w:t xml:space="preserve">ETATCIVIL</w:t>
            </w:r>
            <w:r>
              <w:t xml:space="preserve">,</w:t>
            </w:r>
            <w:r>
              <w:t xml:space="preserve"> </w:t>
            </w:r>
            <w:r>
              <w:rPr>
                <w:rStyle w:val="VerbatimChar"/>
              </w:rPr>
              <w:t xml:space="preserve">PAXLST</w:t>
            </w:r>
            <w:r>
              <w:t xml:space="preserve">).</w:t>
            </w:r>
          </w:p>
        </w:tc>
      </w:tr>
      <w:tr>
        <w:tc>
          <w:tcPr/>
          <w:p>
            <w:pPr>
              <w:pStyle w:val="Compact"/>
              <w:jc w:val="left"/>
            </w:pPr>
            <w:r>
              <w:rPr>
                <w:rStyle w:val="VerbatimChar"/>
              </w:rPr>
              <w:t xml:space="preserve">WAWID_CONNECTOR_&lt;ID&gt;_TOKEN</w:t>
            </w:r>
          </w:p>
        </w:tc>
        <w:tc>
          <w:tcPr/>
          <w:p>
            <w:pPr>
              <w:pStyle w:val="Compact"/>
              <w:jc w:val="left"/>
            </w:pPr>
            <w:r>
              <w:t xml:space="preserve">Non</w:t>
            </w:r>
          </w:p>
        </w:tc>
        <w:tc>
          <w:tcPr/>
          <w:p>
            <w:pPr>
              <w:pStyle w:val="Compact"/>
              <w:jc w:val="left"/>
            </w:pPr>
            <w:r>
              <w:t xml:space="preserve">Jeton</w:t>
            </w:r>
            <w:r>
              <w:t xml:space="preserve"> </w:t>
            </w:r>
            <w:r>
              <w:rPr>
                <w:rStyle w:val="VerbatimChar"/>
              </w:rPr>
              <w:t xml:space="preserve">Authorization: Bearer</w:t>
            </w:r>
            <w:r>
              <w:t xml:space="preserve"> </w:t>
            </w:r>
            <w:r>
              <w:t xml:space="preserve">du connecteur.</w:t>
            </w:r>
          </w:p>
        </w:tc>
      </w:tr>
    </w:tbl>
    <w:p>
      <w:pPr>
        <w:pStyle w:val="BodyText"/>
      </w:pPr>
      <w:r>
        <w:t xml:space="preserve">Variables du serveur local et du pont NFC :</w:t>
      </w:r>
      <w:r>
        <w:t xml:space="preserve"> </w:t>
      </w:r>
      <w:r>
        <w:rPr>
          <w:rStyle w:val="VerbatimChar"/>
        </w:rPr>
        <w:t xml:space="preserve">PORT</w:t>
      </w:r>
      <w:r>
        <w:t xml:space="preserve">,</w:t>
      </w:r>
      <w:r>
        <w:t xml:space="preserve"> </w:t>
      </w:r>
      <w:r>
        <w:rPr>
          <w:rStyle w:val="VerbatimChar"/>
        </w:rPr>
        <w:t xml:space="preserve">NFC_BRIDGE_PORT</w:t>
      </w:r>
      <w:r>
        <w:t xml:space="preserve">,</w:t>
      </w:r>
      <w:r>
        <w:t xml:space="preserve"> </w:t>
      </w:r>
      <w:r>
        <w:rPr>
          <w:rStyle w:val="VerbatimChar"/>
        </w:rPr>
        <w:t xml:space="preserve">NFC_BRIDGE_MODE</w:t>
      </w:r>
      <w:r>
        <w:t xml:space="preserve">,</w:t>
      </w:r>
      <w:r>
        <w:t xml:space="preserve"> </w:t>
      </w:r>
      <w:r>
        <w:rPr>
          <w:rStyle w:val="VerbatimChar"/>
        </w:rPr>
        <w:t xml:space="preserve">NFC_BRIDGE_ORIGIN</w:t>
      </w:r>
      <w:r>
        <w:t xml:space="preserve">.</w:t>
      </w:r>
    </w:p>
    <w:p>
      <w:pPr>
        <w:pStyle w:val="BodyText"/>
      </w:pPr>
      <w:r>
        <w:t xml:space="preserve">Saisie avec la CLI Netlify (valeurs remplacées par des espaces réservés) :</w:t>
      </w:r>
    </w:p>
    <w:p>
      <w:pPr>
        <w:pStyle w:val="SourceCode"/>
      </w:pPr>
      <w:r>
        <w:rPr>
          <w:rStyle w:val="ExtensionTok"/>
        </w:rPr>
        <w:t xml:space="preserve">netlify</w:t>
      </w:r>
      <w:r>
        <w:rPr>
          <w:rStyle w:val="NormalTok"/>
        </w:rPr>
        <w:t xml:space="preserve"> env:set SESSION_SECRET </w:t>
      </w:r>
      <w:r>
        <w:rPr>
          <w:rStyle w:val="StringTok"/>
        </w:rPr>
        <w:t xml:space="preserve">"&lt;SECRET_ALEATOIRE_64_CARACTERES&gt;"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WAWID_ADMIN_PASSWORD </w:t>
      </w:r>
      <w:r>
        <w:rPr>
          <w:rStyle w:val="StringTok"/>
        </w:rPr>
        <w:t xml:space="preserve">"&lt;MOT_DE_PASSE_ADMIN&gt;"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WAWID_GATE_KEY </w:t>
      </w:r>
      <w:r>
        <w:rPr>
          <w:rStyle w:val="StringTok"/>
        </w:rPr>
        <w:t xml:space="preserve">"&lt;CLE_EGATE&gt;"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WAWID_CARRIER_KEYS </w:t>
      </w:r>
      <w:r>
        <w:rPr>
          <w:rStyle w:val="StringTok"/>
        </w:rPr>
        <w:t xml:space="preserve">"HC:&lt;CLE_HC&gt;,AF:&lt;CLE_AF&gt;"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p>
    <w:p>
      <w:pPr>
        <w:pStyle w:val="FirstParagraph"/>
      </w:pPr>
      <w:r>
        <w:t xml:space="preserve">Sur Netlify, une variable secrète doit être saisie</w:t>
      </w:r>
      <w:r>
        <w:t xml:space="preserve"> </w:t>
      </w:r>
      <w:r>
        <w:rPr>
          <w:bCs/>
          <w:b/>
        </w:rPr>
        <w:t xml:space="preserve">par contexte de déploiement</w:t>
      </w:r>
      <w:r>
        <w:t xml:space="preserve"> </w:t>
      </w:r>
      <w:r>
        <w:t xml:space="preserve">(au minimum Production) avec la portée</w:t>
      </w:r>
      <w:r>
        <w:t xml:space="preserve"> </w:t>
      </w:r>
      <w:r>
        <w:rPr>
          <w:bCs/>
          <w:b/>
        </w:rPr>
        <w:t xml:space="preserve">Functions</w:t>
      </w:r>
      <w:r>
        <w:t xml:space="preserve"> </w:t>
      </w:r>
      <w:r>
        <w:t xml:space="preserve">; redéployez après chaque modification.</w:t>
      </w:r>
    </w:p>
    <w:bookmarkEnd w:id="45"/>
    <w:bookmarkStart w:id="46" w:name="gestion-des-secrets"/>
    <w:p>
      <w:pPr>
        <w:pStyle w:val="Heading3"/>
      </w:pPr>
      <w:r>
        <w:t xml:space="preserve">Gestion des secrets</w:t>
      </w:r>
    </w:p>
    <w:p>
      <w:pPr>
        <w:pStyle w:val="FirstParagraph"/>
      </w:pPr>
      <w:r>
        <w:t xml:space="preserve">Générez chaque secret et chaque clé de manière aléatoire, par exemple :</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"console.log(require('node:crypto').randomBytes(48).toString('base64url'))"</w:t>
      </w:r>
    </w:p>
    <w:p>
      <w:pPr>
        <w:pStyle w:val="FirstParagraph"/>
      </w:pPr>
      <w:r>
        <w:t xml:space="preserve">Règles à appliquer :</w:t>
      </w:r>
    </w:p>
    <w:p>
      <w:pPr>
        <w:numPr>
          <w:ilvl w:val="0"/>
          <w:numId w:val="1011"/>
        </w:numPr>
        <w:pStyle w:val="Compact"/>
      </w:pPr>
      <w:r>
        <w:t xml:space="preserve">Utilisez une valeur différente pour chaque usage (session, eGates, chaque compagnie) et pour chaque environnement (démonstration, recette, production).</w:t>
      </w:r>
    </w:p>
    <w:p>
      <w:pPr>
        <w:numPr>
          <w:ilvl w:val="0"/>
          <w:numId w:val="1011"/>
        </w:numPr>
        <w:pStyle w:val="Compact"/>
      </w:pPr>
      <w:r>
        <w:t xml:space="preserve">Ne placez jamais un secret dans le code, dans la documentation, dans un ticket ou dans une messagerie ; transmettez les clés aux compagnies et aux techniciens par un canal sûr.</w:t>
      </w:r>
    </w:p>
    <w:p>
      <w:pPr>
        <w:numPr>
          <w:ilvl w:val="0"/>
          <w:numId w:val="1011"/>
        </w:numPr>
        <w:pStyle w:val="Compact"/>
      </w:pPr>
      <w:r>
        <w:t xml:space="preserve">Tenez un registre (sans les valeurs) : qui détient quelle clé, date de création, date de renouvellement prévue.</w:t>
      </w:r>
    </w:p>
    <w:p>
      <w:pPr>
        <w:numPr>
          <w:ilvl w:val="0"/>
          <w:numId w:val="1011"/>
        </w:numPr>
        <w:pStyle w:val="Compact"/>
      </w:pPr>
      <w:r>
        <w:t xml:space="preserve">Changer</w:t>
      </w:r>
      <w:r>
        <w:t xml:space="preserve"> </w:t>
      </w:r>
      <w:r>
        <w:rPr>
          <w:rStyle w:val="VerbatimChar"/>
        </w:rPr>
        <w:t xml:space="preserve">SESSION_SECRET</w:t>
      </w:r>
      <w:r>
        <w:t xml:space="preserve"> </w:t>
      </w:r>
      <w:r>
        <w:t xml:space="preserve">déconnecte tous les utilisateurs et</w:t>
      </w:r>
      <w:r>
        <w:t xml:space="preserve"> </w:t>
      </w:r>
      <w:r>
        <w:rPr>
          <w:bCs/>
          <w:b/>
        </w:rPr>
        <w:t xml:space="preserve">invalide tous les QR codes e-Visa et WawPass déjà émis</w:t>
      </w:r>
      <w:r>
        <w:t xml:space="preserve"> </w:t>
      </w:r>
      <w:r>
        <w:t xml:space="preserve">: planifiez cette opération.</w:t>
      </w:r>
    </w:p>
    <w:p>
      <w:pPr>
        <w:numPr>
          <w:ilvl w:val="0"/>
          <w:numId w:val="1011"/>
        </w:numPr>
        <w:pStyle w:val="Compact"/>
      </w:pPr>
      <w:r>
        <w:t xml:space="preserve">En production nationale, les clés sont conservées dans un HSM (À développer).</w:t>
      </w:r>
    </w:p>
    <w:bookmarkEnd w:id="46"/>
    <w:bookmarkStart w:id="47" w:name="comptes-initiaux-et-mots-de-passe"/>
    <w:p>
      <w:pPr>
        <w:pStyle w:val="Heading3"/>
      </w:pPr>
      <w:r>
        <w:t xml:space="preserve">Comptes initiaux et mots de passe</w:t>
      </w:r>
    </w:p>
    <w:p>
      <w:pPr>
        <w:numPr>
          <w:ilvl w:val="0"/>
          <w:numId w:val="1012"/>
        </w:numPr>
        <w:pStyle w:val="Compact"/>
      </w:pPr>
      <w:r>
        <w:t xml:space="preserve">Avant le premier déploiement, définissez</w:t>
      </w:r>
      <w:r>
        <w:t xml:space="preserve"> </w:t>
      </w:r>
      <w:r>
        <w:rPr>
          <w:rStyle w:val="VerbatimChar"/>
        </w:rPr>
        <w:t xml:space="preserve">WAWID_ADMIN_PASSWORD</w:t>
      </w:r>
      <w:r>
        <w:t xml:space="preserve"> </w:t>
      </w:r>
      <w:r>
        <w:t xml:space="preserve">(et ne définissez pas</w:t>
      </w:r>
      <w:r>
        <w:t xml:space="preserve"> </w:t>
      </w:r>
      <w:r>
        <w:rPr>
          <w:rStyle w:val="VerbatimChar"/>
        </w:rPr>
        <w:t xml:space="preserve">WAWID_DEMO_PASSWORD</w:t>
      </w:r>
      <w:r>
        <w:t xml:space="preserve">).</w:t>
      </w:r>
    </w:p>
    <w:p>
      <w:pPr>
        <w:numPr>
          <w:ilvl w:val="0"/>
          <w:numId w:val="1012"/>
        </w:numPr>
        <w:pStyle w:val="Compact"/>
      </w:pPr>
      <w:r>
        <w:t xml:space="preserve">Connectez-vous une première fois avec le compte</w:t>
      </w:r>
      <w:r>
        <w:t xml:space="preserve"> </w:t>
      </w:r>
      <w:r>
        <w:rPr>
          <w:rStyle w:val="VerbatimChar"/>
        </w:rPr>
        <w:t xml:space="preserve">admin</w:t>
      </w:r>
      <w:r>
        <w:t xml:space="preserve"> </w:t>
      </w:r>
      <w:r>
        <w:t xml:space="preserve">: il est créé à ce moment, si la base ne contient aucun compte.</w:t>
      </w:r>
    </w:p>
    <w:p>
      <w:pPr>
        <w:numPr>
          <w:ilvl w:val="0"/>
          <w:numId w:val="1012"/>
        </w:numPr>
        <w:pStyle w:val="Compact"/>
      </w:pPr>
      <w:r>
        <w:t xml:space="preserve">Dans</w:t>
      </w:r>
      <w:r>
        <w:t xml:space="preserve"> </w:t>
      </w:r>
      <w:r>
        <w:rPr>
          <w:bCs/>
          <w:b/>
        </w:rPr>
        <w:t xml:space="preserve">Utilisateurs &amp; rôles</w:t>
      </w:r>
      <w:r>
        <w:t xml:space="preserve">, créez immédiatement un compte nominatif pour chaque administrateur, puis les comptes des agents, avec un mot de passe initial de 10 caractères au moins remis en main propre.</w:t>
      </w:r>
    </w:p>
    <w:p>
      <w:pPr>
        <w:numPr>
          <w:ilvl w:val="0"/>
          <w:numId w:val="1012"/>
        </w:numPr>
        <w:pStyle w:val="Compact"/>
      </w:pPr>
      <w:r>
        <w:t xml:space="preserve">Changez le mot de passe du compte</w:t>
      </w:r>
      <w:r>
        <w:t xml:space="preserve"> </w:t>
      </w:r>
      <w:r>
        <w:rPr>
          <w:rStyle w:val="VerbatimChar"/>
        </w:rPr>
        <w:t xml:space="preserve">admin</w:t>
      </w:r>
      <w:r>
        <w:t xml:space="preserve"> </w:t>
      </w:r>
      <w:r>
        <w:t xml:space="preserve">dans</w:t>
      </w:r>
      <w:r>
        <w:t xml:space="preserve"> </w:t>
      </w:r>
      <w:r>
        <w:rPr>
          <w:bCs/>
          <w:b/>
        </w:rPr>
        <w:t xml:space="preserve">Utilisateurs &amp; rôles → Modifier</w:t>
      </w:r>
      <w:r>
        <w:t xml:space="preserve"> </w:t>
      </w:r>
      <w:r>
        <w:t xml:space="preserve">: modifier ensuite</w:t>
      </w:r>
      <w:r>
        <w:t xml:space="preserve"> </w:t>
      </w:r>
      <w:r>
        <w:rPr>
          <w:rStyle w:val="VerbatimChar"/>
        </w:rPr>
        <w:t xml:space="preserve">WAWID_ADMIN_PASSWORD</w:t>
      </w:r>
      <w:r>
        <w:t xml:space="preserve"> </w:t>
      </w:r>
      <w:r>
        <w:t xml:space="preserve">n'a</w:t>
      </w:r>
      <w:r>
        <w:t xml:space="preserve"> </w:t>
      </w:r>
      <w:r>
        <w:rPr>
          <w:bCs/>
          <w:b/>
        </w:rPr>
        <w:t xml:space="preserve">aucun effet</w:t>
      </w:r>
      <w:r>
        <w:t xml:space="preserve"> </w:t>
      </w:r>
      <w:r>
        <w:t xml:space="preserve">sur un compte existant. Réservez ce compte aux opérations exceptionnelles.</w:t>
      </w:r>
    </w:p>
    <w:p>
      <w:pPr>
        <w:numPr>
          <w:ilvl w:val="0"/>
          <w:numId w:val="1012"/>
        </w:numPr>
        <w:pStyle w:val="Compact"/>
      </w:pPr>
      <w:r>
        <w:t xml:space="preserve">Les utilisateurs ne peuvent pas changer eux-mêmes leur mot de passe dans cette version : les changements passent par un administrateur.</w:t>
      </w:r>
    </w:p>
    <w:bookmarkEnd w:id="47"/>
    <w:bookmarkEnd w:id="48"/>
    <w:bookmarkStart w:id="54" w:name="applications-mobiles"/>
    <w:p>
      <w:pPr>
        <w:pStyle w:val="Heading2"/>
      </w:pPr>
      <w:r>
        <w:t xml:space="preserve">Applications mobiles</w:t>
      </w:r>
    </w:p>
    <w:p>
      <w:pPr>
        <w:pStyle w:val="FirstParagraph"/>
      </w:pPr>
      <w:r>
        <w:t xml:space="preserve">L'application</w:t>
      </w:r>
      <w:r>
        <w:t xml:space="preserve"> </w:t>
      </w:r>
      <w:r>
        <w:rPr>
          <w:bCs/>
          <w:b/>
        </w:rPr>
        <w:t xml:space="preserve">WawID e-Visa</w:t>
      </w:r>
      <w:r>
        <w:t xml:space="preserve"> </w:t>
      </w:r>
      <w:r>
        <w:t xml:space="preserve">existe en deux versions :</w:t>
      </w:r>
    </w:p>
    <w:p>
      <w:pPr>
        <w:numPr>
          <w:ilvl w:val="0"/>
          <w:numId w:val="1013"/>
        </w:numPr>
        <w:pStyle w:val="Compact"/>
      </w:pPr>
      <w:r>
        <w:rPr>
          <w:rStyle w:val="VerbatimChar"/>
        </w:rPr>
        <w:t xml:space="preserve">ios/</w:t>
      </w:r>
      <w:r>
        <w:t xml:space="preserve"> </w:t>
      </w:r>
      <w:r>
        <w:t xml:space="preserve">: application SwiftUI d'origine (iPhone), publiée par le workflow « WawID iOS → TestFlight » ;</w:t>
      </w:r>
    </w:p>
    <w:p>
      <w:pPr>
        <w:numPr>
          <w:ilvl w:val="0"/>
          <w:numId w:val="1013"/>
        </w:numPr>
        <w:pStyle w:val="Compact"/>
      </w:pPr>
      <w:r>
        <w:rPr>
          <w:rStyle w:val="VerbatimChar"/>
        </w:rPr>
        <w:t xml:space="preserve">mobile/</w:t>
      </w:r>
      <w:r>
        <w:t xml:space="preserve"> </w:t>
      </w:r>
      <w:r>
        <w:t xml:space="preserve">: nouvelle application Flutter pour</w:t>
      </w:r>
      <w:r>
        <w:t xml:space="preserve"> </w:t>
      </w:r>
      <w:r>
        <w:rPr>
          <w:bCs/>
          <w:b/>
        </w:rPr>
        <w:t xml:space="preserve">iPhone et Android</w:t>
      </w:r>
      <w:r>
        <w:t xml:space="preserve"> </w:t>
      </w:r>
      <w:r>
        <w:t xml:space="preserve">(scan de la MRZ par la caméra, lecture de la puce par NFC en BAC/PACE avec lecture DG1, DG2 et contrôle d'intégrité par rapport au SOD, saisie du séjour, paiement de démonstration, suivi avec QR code, français et anglais). Elle est en cours de finalisation.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Valeur</w:t>
            </w:r>
          </w:p>
        </w:tc>
      </w:tr>
      <w:tr>
        <w:tc>
          <w:tcPr/>
          <w:p>
            <w:pPr>
              <w:pStyle w:val="Compact"/>
              <w:jc w:val="left"/>
            </w:pPr>
            <w:r>
              <w:t xml:space="preserve">Identifiant de l'application</w:t>
            </w:r>
          </w:p>
        </w:tc>
        <w:tc>
          <w:tcPr/>
          <w:p>
            <w:pPr>
              <w:pStyle w:val="Compact"/>
              <w:jc w:val="left"/>
            </w:pPr>
            <w:r>
              <w:rPr>
                <w:rStyle w:val="VerbatimChar"/>
              </w:rPr>
              <w:t xml:space="preserve">sn.wawtelecom.wawid.visa</w:t>
            </w:r>
            <w:r>
              <w:t xml:space="preserve"> </w:t>
            </w:r>
            <w:r>
              <w:t xml:space="preserve">(iOS et Android)</w:t>
            </w:r>
          </w:p>
        </w:tc>
      </w:tr>
      <w:tr>
        <w:tc>
          <w:tcPr/>
          <w:p>
            <w:pPr>
              <w:pStyle w:val="Compact"/>
              <w:jc w:val="left"/>
            </w:pPr>
            <w:r>
              <w:t xml:space="preserve">iPhone</w:t>
            </w:r>
          </w:p>
        </w:tc>
        <w:tc>
          <w:tcPr/>
          <w:p>
            <w:pPr>
              <w:pStyle w:val="Compact"/>
              <w:jc w:val="left"/>
            </w:pPr>
            <w:r>
              <w:t xml:space="preserve">iPhone 7 ou plus récent, iOS 15.5 ou plus</w:t>
            </w:r>
          </w:p>
        </w:tc>
      </w:tr>
      <w:tr>
        <w:tc>
          <w:tcPr/>
          <w:p>
            <w:pPr>
              <w:pStyle w:val="Compact"/>
              <w:jc w:val="left"/>
            </w:pPr>
            <w:r>
              <w:t xml:space="preserve">Android</w:t>
            </w:r>
          </w:p>
        </w:tc>
        <w:tc>
          <w:tcPr/>
          <w:p>
            <w:pPr>
              <w:pStyle w:val="Compact"/>
              <w:jc w:val="left"/>
            </w:pPr>
            <w:r>
              <w:t xml:space="preserve">Android 7 (API 24) ou plus récent, avec puce NFC</w:t>
            </w:r>
          </w:p>
        </w:tc>
      </w:tr>
      <w:tr>
        <w:tc>
          <w:tcPr/>
          <w:p>
            <w:pPr>
              <w:pStyle w:val="Compact"/>
              <w:jc w:val="left"/>
            </w:pPr>
            <w:r>
              <w:t xml:space="preserve">Adresse de l'API</w:t>
            </w:r>
          </w:p>
        </w:tc>
        <w:tc>
          <w:tcPr/>
          <w:p>
            <w:pPr>
              <w:pStyle w:val="Compact"/>
              <w:jc w:val="left"/>
            </w:pPr>
            <w:r>
              <w:rPr>
                <w:rStyle w:val="VerbatimChar"/>
              </w:rPr>
              <w:t xml:space="preserve">https://wawid-waw-telecom.netlify.app</w:t>
            </w:r>
            <w:r>
              <w:t xml:space="preserve"> </w:t>
            </w:r>
            <w:r>
              <w:t xml:space="preserve">par défaut ; modifiable à la compilation avec</w:t>
            </w:r>
            <w:r>
              <w:t xml:space="preserve"> </w:t>
            </w:r>
            <w:r>
              <w:rPr>
                <w:rStyle w:val="VerbatimChar"/>
              </w:rPr>
              <w:t xml:space="preserve">--dart-define=WAWID_API=https://&lt;domaine-wawid&gt;</w:t>
            </w:r>
          </w:p>
        </w:tc>
      </w:tr>
    </w:tbl>
    <w:p>
      <w:pPr>
        <w:pStyle w:val="BodyText"/>
      </w:pPr>
      <w:r>
        <w:t xml:space="preserve">Avant toute diffusion au public pour le Sénégal, l'adresse de l'API doit pointer vers la plateforme nationale.</w:t>
      </w:r>
    </w:p>
    <w:bookmarkStart w:id="49" w:name="publication-automatisée"/>
    <w:p>
      <w:pPr>
        <w:pStyle w:val="Heading3"/>
      </w:pPr>
      <w:r>
        <w:t xml:space="preserve">Publication automatisée</w:t>
      </w:r>
    </w:p>
    <w:p>
      <w:pPr>
        <w:pStyle w:val="FirstParagraph"/>
      </w:pPr>
      <w:r>
        <w:t xml:space="preserve">Le workflow GitHub Actions « WawID mobile (Flutter) → APK / TestFlight » (</w:t>
      </w:r>
      <w:r>
        <w:rPr>
          <w:rStyle w:val="VerbatimChar"/>
        </w:rPr>
        <w:t xml:space="preserve">.github/workflows/wawid-mobile.yml</w:t>
      </w:r>
      <w:r>
        <w:t xml:space="preserve">) exécute l'analyse et les tests Flutter, produit un</w:t>
      </w:r>
      <w:r>
        <w:t xml:space="preserve"> </w:t>
      </w:r>
      <w:r>
        <w:rPr>
          <w:bCs/>
          <w:b/>
        </w:rPr>
        <w:t xml:space="preserve">APK</w:t>
      </w:r>
      <w:r>
        <w:t xml:space="preserve"> </w:t>
      </w:r>
      <w:r>
        <w:t xml:space="preserve">installable et un</w:t>
      </w:r>
      <w:r>
        <w:t xml:space="preserve"> </w:t>
      </w:r>
      <w:r>
        <w:rPr>
          <w:bCs/>
          <w:b/>
        </w:rPr>
        <w:t xml:space="preserve">AAB</w:t>
      </w:r>
      <w:r>
        <w:t xml:space="preserve"> </w:t>
      </w:r>
      <w:r>
        <w:t xml:space="preserve">pour Google Play, et envoie la version iOS sur TestFlight lorsque les secrets Apple sont présents.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Secret GitHub</w:t>
            </w:r>
          </w:p>
        </w:tc>
        <w:tc>
          <w:tcPr/>
          <w:p>
            <w:pPr>
              <w:pStyle w:val="Compact"/>
              <w:jc w:val="left"/>
            </w:pPr>
            <w:r>
              <w:t xml:space="preserve">Usage</w:t>
            </w:r>
          </w:p>
        </w:tc>
      </w:tr>
      <w:tr>
        <w:tc>
          <w:tcPr/>
          <w:p>
            <w:pPr>
              <w:pStyle w:val="Compact"/>
              <w:jc w:val="left"/>
            </w:pPr>
            <w:r>
              <w:rPr>
                <w:rStyle w:val="VerbatimChar"/>
              </w:rPr>
              <w:t xml:space="preserve">APPLE_TEAM_ID</w:t>
            </w:r>
            <w:r>
              <w:t xml:space="preserve">,</w:t>
            </w:r>
            <w:r>
              <w:t xml:space="preserve"> </w:t>
            </w:r>
            <w:r>
              <w:rPr>
                <w:rStyle w:val="VerbatimChar"/>
              </w:rPr>
              <w:t xml:space="preserve">ASC_KEY_ID</w:t>
            </w:r>
            <w:r>
              <w:t xml:space="preserve">,</w:t>
            </w:r>
            <w:r>
              <w:t xml:space="preserve"> </w:t>
            </w:r>
            <w:r>
              <w:rPr>
                <w:rStyle w:val="VerbatimChar"/>
              </w:rPr>
              <w:t xml:space="preserve">ASC_ISSUER_ID</w:t>
            </w:r>
            <w:r>
              <w:t xml:space="preserve">,</w:t>
            </w:r>
            <w:r>
              <w:t xml:space="preserve"> </w:t>
            </w:r>
            <w:r>
              <w:rPr>
                <w:rStyle w:val="VerbatimChar"/>
              </w:rPr>
              <w:t xml:space="preserve">ASC_KEY_P8_BASE64</w:t>
            </w:r>
          </w:p>
        </w:tc>
        <w:tc>
          <w:tcPr/>
          <w:p>
            <w:pPr>
              <w:pStyle w:val="Compact"/>
              <w:jc w:val="left"/>
            </w:pPr>
            <w:r>
              <w:t xml:space="preserve">Signature et envoi TestFlight (clé API App Store Connect de rôle App Manager)</w:t>
            </w:r>
          </w:p>
        </w:tc>
      </w:tr>
      <w:tr>
        <w:tc>
          <w:tcPr/>
          <w:p>
            <w:pPr>
              <w:pStyle w:val="Compact"/>
              <w:jc w:val="left"/>
            </w:pPr>
            <w:r>
              <w:rPr>
                <w:rStyle w:val="VerbatimChar"/>
              </w:rPr>
              <w:t xml:space="preserve">ANDROID_KEYSTORE_BASE64</w:t>
            </w:r>
            <w:r>
              <w:t xml:space="preserve">,</w:t>
            </w:r>
            <w:r>
              <w:t xml:space="preserve"> </w:t>
            </w:r>
            <w:r>
              <w:rPr>
                <w:rStyle w:val="VerbatimChar"/>
              </w:rPr>
              <w:t xml:space="preserve">ANDROID_KEYSTORE_PASSWORD</w:t>
            </w:r>
            <w:r>
              <w:t xml:space="preserve">,</w:t>
            </w:r>
            <w:r>
              <w:t xml:space="preserve"> </w:t>
            </w:r>
            <w:r>
              <w:rPr>
                <w:rStyle w:val="VerbatimChar"/>
              </w:rPr>
              <w:t xml:space="preserve">ANDROID_KEY_ALIAS</w:t>
            </w:r>
            <w:r>
              <w:t xml:space="preserve">,</w:t>
            </w:r>
            <w:r>
              <w:t xml:space="preserve"> </w:t>
            </w:r>
            <w:r>
              <w:rPr>
                <w:rStyle w:val="VerbatimChar"/>
              </w:rPr>
              <w:t xml:space="preserve">ANDROID_KEY_PASSWORD</w:t>
            </w:r>
          </w:p>
        </w:tc>
        <w:tc>
          <w:tcPr/>
          <w:p>
            <w:pPr>
              <w:pStyle w:val="Compact"/>
              <w:jc w:val="left"/>
            </w:pPr>
            <w:r>
              <w:t xml:space="preserve">Signature Android de production ; sans eux, l'APK est signé avec une clé de test (installation directe seulement)</w:t>
            </w:r>
          </w:p>
        </w:tc>
      </w:tr>
      <w:tr>
        <w:tc>
          <w:tcPr/>
          <w:p>
            <w:pPr>
              <w:pStyle w:val="Compact"/>
              <w:jc w:val="left"/>
            </w:pPr>
            <w:r>
              <w:rPr>
                <w:rStyle w:val="VerbatimChar"/>
              </w:rPr>
              <w:t xml:space="preserve">PLAY_SERVICE_ACCOUNT_JSON</w:t>
            </w:r>
          </w:p>
        </w:tc>
        <w:tc>
          <w:tcPr/>
          <w:p>
            <w:pPr>
              <w:pStyle w:val="Compact"/>
              <w:jc w:val="left"/>
            </w:pPr>
            <w:r>
              <w:t xml:space="preserve">Envoi automatique de l'AAB sur la piste « test interne » de Google Play</w:t>
            </w:r>
          </w:p>
        </w:tc>
      </w:tr>
    </w:tbl>
    <w:bookmarkEnd w:id="49"/>
    <w:bookmarkStart w:id="50" w:name="installer-lapplication-sur-iphone"/>
    <w:p>
      <w:pPr>
        <w:pStyle w:val="Heading3"/>
      </w:pPr>
      <w:r>
        <w:t xml:space="preserve">Installer l'application sur iPhone</w:t>
      </w:r>
    </w:p>
    <w:p>
      <w:pPr>
        <w:numPr>
          <w:ilvl w:val="0"/>
          <w:numId w:val="1014"/>
        </w:numPr>
        <w:pStyle w:val="Compact"/>
      </w:pPr>
      <w:r>
        <w:rPr>
          <w:bCs/>
          <w:b/>
        </w:rPr>
        <w:t xml:space="preserve">Aujourd'hui (TestFlight)</w:t>
      </w:r>
      <w:r>
        <w:t xml:space="preserve"> </w:t>
      </w:r>
      <w:r>
        <w:t xml:space="preserve">: le testeur reçoit une invitation TestFlight (testeurs internes jusqu'à 100, ou groupe externe après la revue « Beta App Review » d'Apple). Il installe l'application</w:t>
      </w:r>
      <w:r>
        <w:t xml:space="preserve"> </w:t>
      </w:r>
      <w:r>
        <w:rPr>
          <w:bCs/>
          <w:b/>
        </w:rPr>
        <w:t xml:space="preserve">TestFlight</w:t>
      </w:r>
      <w:r>
        <w:t xml:space="preserve"> </w:t>
      </w:r>
      <w:r>
        <w:t xml:space="preserve">depuis l'App Store, accepte l'invitation, puis installe</w:t>
      </w:r>
      <w:r>
        <w:t xml:space="preserve"> </w:t>
      </w:r>
      <w:r>
        <w:rPr>
          <w:bCs/>
          <w:b/>
        </w:rPr>
        <w:t xml:space="preserve">WawID e-Visa</w:t>
      </w:r>
      <w:r>
        <w:t xml:space="preserve">.</w:t>
      </w:r>
    </w:p>
    <w:p>
      <w:pPr>
        <w:numPr>
          <w:ilvl w:val="0"/>
          <w:numId w:val="1014"/>
        </w:numPr>
        <w:pStyle w:val="Compact"/>
      </w:pPr>
      <w:r>
        <w:rPr>
          <w:bCs/>
          <w:b/>
        </w:rPr>
        <w:t xml:space="preserve">Plus tard (App Store)</w:t>
      </w:r>
      <w:r>
        <w:t xml:space="preserve"> </w:t>
      </w:r>
      <w:r>
        <w:t xml:space="preserve">: publication après revue d'Apple, avec fiche, captures d'écran, politique de confidentialité et justification de l'usage du NFC.</w:t>
      </w:r>
    </w:p>
    <w:p>
      <w:pPr>
        <w:numPr>
          <w:ilvl w:val="0"/>
          <w:numId w:val="1014"/>
        </w:numPr>
        <w:pStyle w:val="Compact"/>
      </w:pPr>
      <w:r>
        <w:t xml:space="preserve">Le NFC ne fonctionne que sur un iPhone réel.</w:t>
      </w:r>
    </w:p>
    <w:bookmarkEnd w:id="50"/>
    <w:bookmarkStart w:id="51" w:name="installer-lapplication-sur-android"/>
    <w:p>
      <w:pPr>
        <w:pStyle w:val="Heading3"/>
      </w:pPr>
      <w:r>
        <w:t xml:space="preserve">Installer l'application sur Android</w:t>
      </w:r>
    </w:p>
    <w:p>
      <w:pPr>
        <w:numPr>
          <w:ilvl w:val="0"/>
          <w:numId w:val="1015"/>
        </w:numPr>
        <w:pStyle w:val="Compact"/>
      </w:pPr>
      <w:r>
        <w:rPr>
          <w:bCs/>
          <w:b/>
        </w:rPr>
        <w:t xml:space="preserve">Essais (APK)</w:t>
      </w:r>
      <w:r>
        <w:t xml:space="preserve"> </w:t>
      </w:r>
      <w:r>
        <w:t xml:space="preserve">: téléchargez l'APK depuis les artefacts du workflow, copiez-le sur le téléphone, autorisez l'installation depuis cette source, puis installez-le. Réservez cette méthode aux testeurs identifiés.</w:t>
      </w:r>
    </w:p>
    <w:p>
      <w:pPr>
        <w:numPr>
          <w:ilvl w:val="0"/>
          <w:numId w:val="1015"/>
        </w:numPr>
        <w:pStyle w:val="Compact"/>
      </w:pPr>
      <w:r>
        <w:rPr>
          <w:bCs/>
          <w:b/>
        </w:rPr>
        <w:t xml:space="preserve">Test interne Google Play</w:t>
      </w:r>
      <w:r>
        <w:t xml:space="preserve"> </w:t>
      </w:r>
      <w:r>
        <w:t xml:space="preserve">: avec le keystore et le compte de service configurés, l'AAB est publié sur la piste interne ; les testeurs l'installent depuis le lien d'invitation Google Play.</w:t>
      </w:r>
    </w:p>
    <w:p>
      <w:pPr>
        <w:numPr>
          <w:ilvl w:val="0"/>
          <w:numId w:val="1015"/>
        </w:numPr>
        <w:pStyle w:val="Compact"/>
      </w:pPr>
      <w:r>
        <w:rPr>
          <w:bCs/>
          <w:b/>
        </w:rPr>
        <w:t xml:space="preserve">Production</w:t>
      </w:r>
      <w:r>
        <w:t xml:space="preserve"> </w:t>
      </w:r>
      <w:r>
        <w:t xml:space="preserve">: publication sur Google Play après validation (fiche, politique de confidentialité, formulaire sur la sécurité des données).</w:t>
      </w:r>
    </w:p>
    <w:p>
      <w:pPr>
        <w:numPr>
          <w:ilvl w:val="0"/>
          <w:numId w:val="1015"/>
        </w:numPr>
        <w:pStyle w:val="Compact"/>
      </w:pPr>
      <w:r>
        <w:t xml:space="preserve">Vérifiez que le</w:t>
      </w:r>
      <w:r>
        <w:t xml:space="preserve"> </w:t>
      </w:r>
      <w:r>
        <w:rPr>
          <w:bCs/>
          <w:b/>
        </w:rPr>
        <w:t xml:space="preserve">NFC est activé</w:t>
      </w:r>
      <w:r>
        <w:t xml:space="preserve"> </w:t>
      </w:r>
      <w:r>
        <w:t xml:space="preserve">dans les réglages du téléphone.</w:t>
      </w:r>
    </w:p>
    <w:bookmarkEnd w:id="51"/>
    <w:bookmarkStart w:id="52" w:name="conseils-nfc-à-transmettre-aux-testeurs"/>
    <w:p>
      <w:pPr>
        <w:pStyle w:val="Heading3"/>
      </w:pPr>
      <w:r>
        <w:t xml:space="preserve">Conseils NFC à transmettre aux testeurs</w:t>
      </w:r>
    </w:p>
    <w:p>
      <w:pPr>
        <w:numPr>
          <w:ilvl w:val="0"/>
          <w:numId w:val="1016"/>
        </w:numPr>
        <w:pStyle w:val="Compact"/>
      </w:pPr>
      <w:r>
        <w:t xml:space="preserve">Passeport fermé, à plat, sans étui ; téléphone sans coque épaisse ; loin des surfaces métalliques.</w:t>
      </w:r>
    </w:p>
    <w:p>
      <w:pPr>
        <w:numPr>
          <w:ilvl w:val="0"/>
          <w:numId w:val="1016"/>
        </w:numPr>
        <w:pStyle w:val="Compact"/>
      </w:pPr>
      <w:r>
        <w:t xml:space="preserve">iPhone : approcher le haut du téléphone. Android : l'antenne NFC se trouve en général au dos, sa position varie selon les modèles.</w:t>
      </w:r>
    </w:p>
    <w:p>
      <w:pPr>
        <w:numPr>
          <w:ilvl w:val="0"/>
          <w:numId w:val="1016"/>
        </w:numPr>
        <w:pStyle w:val="Compact"/>
      </w:pPr>
      <w:r>
        <w:t xml:space="preserve">Ne plus bouger pendant la lecture ; si elle échoue, vérifier la MRZ (une seule erreur empêche l'ouverture de la puce).</w:t>
      </w:r>
    </w:p>
    <w:bookmarkEnd w:id="52"/>
    <w:bookmarkStart w:id="53" w:name="compte-développeur"/>
    <w:p>
      <w:pPr>
        <w:pStyle w:val="Heading3"/>
      </w:pPr>
      <w:r>
        <w:t xml:space="preserve">Compte développeur</w:t>
      </w:r>
    </w:p>
    <w:p>
      <w:pPr>
        <w:pStyle w:val="FirstParagraph"/>
      </w:pPr>
      <w:r>
        <w:rPr>
          <w:bCs/>
          <w:b/>
        </w:rPr>
        <w:t xml:space="preserve">Recommandation</w:t>
      </w:r>
      <w:r>
        <w:t xml:space="preserve"> </w:t>
      </w:r>
      <w:r>
        <w:t xml:space="preserve">: publier sous un compte développeur d'</w:t>
      </w:r>
      <w:r>
        <w:rPr>
          <w:bCs/>
          <w:b/>
        </w:rPr>
        <w:t xml:space="preserve">organisation</w:t>
      </w:r>
      <w:r>
        <w:t xml:space="preserve"> </w:t>
      </w:r>
      <w:r>
        <w:t xml:space="preserve">au nom de l'entité qui portera l'application (WAW Telecom ou l'administration sénégalaise, selon la décision prise), et non sous un compte personnel. Les conditions d'ouverture (documents d'entreprise, numéro D-U-N-S pour Apple, vérification de l'organisation pour Google) sont</w:t>
      </w:r>
      <w:r>
        <w:t xml:space="preserve"> </w:t>
      </w:r>
      <w:r>
        <w:rPr>
          <w:bCs/>
          <w:b/>
        </w:rPr>
        <w:t xml:space="preserve">À vérifier</w:t>
      </w:r>
      <w:r>
        <w:t xml:space="preserve"> </w:t>
      </w:r>
      <w:r>
        <w:t xml:space="preserve">auprès d'Apple et de Google. Conservez le keystore Android de production et les clés App Store Connect dans le registre des secrets : leur perte empêche les mises à jour.</w:t>
      </w:r>
    </w:p>
    <w:p>
      <w:pPr>
        <w:pStyle w:val="BlockText"/>
      </w:pPr>
      <w:r>
        <w:rPr>
          <w:bCs/>
          <w:b/>
        </w:rPr>
        <w:t xml:space="preserve">À vérifier</w:t>
      </w:r>
      <w:r>
        <w:t xml:space="preserve"> </w:t>
      </w:r>
      <w:r>
        <w:t xml:space="preserve">: la vérification de la signature de la puce contre les certificats CSCA (ICAO PKD) dans l'application Flutter, ainsi que la liste exacte des données transmises au serveur, doivent être confirmées à la livraison de l'application.</w:t>
      </w:r>
    </w:p>
    <w:bookmarkEnd w:id="53"/>
    <w:bookmarkEnd w:id="54"/>
    <w:bookmarkStart w:id="55" w:name="raccordement-des-compagnies-aériennes"/>
    <w:p>
      <w:pPr>
        <w:pStyle w:val="Heading2"/>
      </w:pPr>
      <w:r>
        <w:t xml:space="preserve">Raccordement des compagnies aériennes</w:t>
      </w:r>
    </w:p>
    <w:p>
      <w:pPr>
        <w:numPr>
          <w:ilvl w:val="0"/>
          <w:numId w:val="1017"/>
        </w:numPr>
        <w:pStyle w:val="Compact"/>
      </w:pPr>
      <w:r>
        <w:rPr>
          <w:bCs/>
          <w:b/>
        </w:rPr>
        <w:t xml:space="preserve">Informer</w:t>
      </w:r>
      <w:r>
        <w:t xml:space="preserve"> </w:t>
      </w:r>
      <w:r>
        <w:t xml:space="preserve">chaque compagnie desservant l'AIBD et Ziguinchor : remettre la spécification</w:t>
      </w:r>
      <w:r>
        <w:t xml:space="preserve"> </w:t>
      </w:r>
      <w:r>
        <w:rPr>
          <w:rStyle w:val="VerbatimChar"/>
        </w:rPr>
        <w:t xml:space="preserve">docs/API-TRANSPORTEURS.md</w:t>
      </w:r>
      <w:r>
        <w:t xml:space="preserve"> </w:t>
      </w:r>
      <w:r>
        <w:t xml:space="preserve">et la page</w:t>
      </w:r>
      <w:r>
        <w:t xml:space="preserve"> </w:t>
      </w:r>
      <w:r>
        <w:rPr>
          <w:iCs/>
          <w:i/>
        </w:rPr>
        <w:t xml:space="preserve">Référence API (compagnies, équipements, connecteurs)</w:t>
      </w:r>
      <w:r>
        <w:t xml:space="preserve">.</w:t>
      </w:r>
    </w:p>
    <w:p>
      <w:pPr>
        <w:numPr>
          <w:ilvl w:val="0"/>
          <w:numId w:val="1017"/>
        </w:numPr>
        <w:pStyle w:val="Compact"/>
      </w:pPr>
      <w:r>
        <w:rPr>
          <w:bCs/>
          <w:b/>
        </w:rPr>
        <w:t xml:space="preserve">Désigner</w:t>
      </w:r>
      <w:r>
        <w:t xml:space="preserve"> </w:t>
      </w:r>
      <w:r>
        <w:t xml:space="preserve">un correspondant technique et un correspondant sûreté par compagnie.</w:t>
      </w:r>
    </w:p>
    <w:p>
      <w:pPr>
        <w:numPr>
          <w:ilvl w:val="0"/>
          <w:numId w:val="1017"/>
        </w:numPr>
        <w:pStyle w:val="Compact"/>
      </w:pPr>
      <w:r>
        <w:rPr>
          <w:bCs/>
          <w:b/>
        </w:rPr>
        <w:t xml:space="preserve">Générer</w:t>
      </w:r>
      <w:r>
        <w:t xml:space="preserve"> </w:t>
      </w:r>
      <w:r>
        <w:t xml:space="preserve">une clé par compagnie et l'ajouter à</w:t>
      </w:r>
      <w:r>
        <w:t xml:space="preserve"> </w:t>
      </w:r>
      <w:r>
        <w:rPr>
          <w:rStyle w:val="VerbatimChar"/>
        </w:rPr>
        <w:t xml:space="preserve">WAWID_CARRIER_KEYS</w:t>
      </w:r>
      <w:r>
        <w:t xml:space="preserve"> </w:t>
      </w:r>
      <w:r>
        <w:t xml:space="preserve">(format</w:t>
      </w:r>
      <w:r>
        <w:t xml:space="preserve"> </w:t>
      </w:r>
      <w:r>
        <w:rPr>
          <w:rStyle w:val="VerbatimChar"/>
        </w:rPr>
        <w:t xml:space="preserve">HC:&lt;CLE_HC&gt;,AF:&lt;CLE_AF&gt;</w:t>
      </w:r>
      <w:r>
        <w:t xml:space="preserve">), puis redéployer.</w:t>
      </w:r>
    </w:p>
    <w:p>
      <w:pPr>
        <w:numPr>
          <w:ilvl w:val="0"/>
          <w:numId w:val="1017"/>
        </w:numPr>
        <w:pStyle w:val="Compact"/>
      </w:pPr>
      <w:r>
        <w:rPr>
          <w:bCs/>
          <w:b/>
        </w:rPr>
        <w:t xml:space="preserve">Transmettre</w:t>
      </w:r>
      <w:r>
        <w:t xml:space="preserve"> </w:t>
      </w:r>
      <w:r>
        <w:t xml:space="preserve">la clé par un canal sûr.</w:t>
      </w:r>
    </w:p>
    <w:p>
      <w:pPr>
        <w:numPr>
          <w:ilvl w:val="0"/>
          <w:numId w:val="1017"/>
        </w:numPr>
        <w:pStyle w:val="Compact"/>
      </w:pPr>
      <w:r>
        <w:rPr>
          <w:bCs/>
          <w:b/>
        </w:rPr>
        <w:t xml:space="preserve">Créer</w:t>
      </w:r>
      <w:r>
        <w:t xml:space="preserve"> </w:t>
      </w:r>
      <w:r>
        <w:t xml:space="preserve">les comptes nominatifs de la compagnie dans</w:t>
      </w:r>
      <w:r>
        <w:t xml:space="preserve"> </w:t>
      </w:r>
      <w:r>
        <w:rPr>
          <w:bCs/>
          <w:b/>
        </w:rPr>
        <w:t xml:space="preserve">Utilisateurs &amp; rôles</w:t>
      </w:r>
      <w:r>
        <w:t xml:space="preserve"> </w:t>
      </w:r>
      <w:r>
        <w:t xml:space="preserve">(rôle</w:t>
      </w:r>
      <w:r>
        <w:t xml:space="preserve"> </w:t>
      </w:r>
      <w:r>
        <w:rPr>
          <w:bCs/>
          <w:b/>
        </w:rPr>
        <w:t xml:space="preserve">Compagnie aérienne</w:t>
      </w:r>
      <w:r>
        <w:t xml:space="preserve">, compagnie choisie dans la liste) et communiquer l'adresse de la plateforme des compagnies (</w:t>
      </w:r>
      <w:r>
        <w:rPr>
          <w:rStyle w:val="VerbatimChar"/>
        </w:rPr>
        <w:t xml:space="preserve">https://&lt;domaine-wawid&gt;/compagnies/</w:t>
      </w:r>
      <w:r>
        <w:t xml:space="preserve">) avec la page</w:t>
      </w:r>
      <w:r>
        <w:t xml:space="preserve"> </w:t>
      </w:r>
      <w:r>
        <w:rPr>
          <w:iCs/>
          <w:i/>
        </w:rPr>
        <w:t xml:space="preserve">Plateforme des compagnies aériennes</w:t>
      </w:r>
      <w:r>
        <w:t xml:space="preserve">.</w:t>
      </w:r>
    </w:p>
    <w:p>
      <w:pPr>
        <w:numPr>
          <w:ilvl w:val="0"/>
          <w:numId w:val="1017"/>
        </w:numPr>
        <w:pStyle w:val="Compact"/>
      </w:pPr>
      <w:r>
        <w:rPr>
          <w:bCs/>
          <w:b/>
        </w:rPr>
        <w:t xml:space="preserve">Tester</w:t>
      </w:r>
      <w:r>
        <w:t xml:space="preserve"> </w:t>
      </w:r>
      <w:r>
        <w:t xml:space="preserve">sur l'environnement de recette : la compagnie envoie un PAXLST et un PNR d'essai, par exemple :</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w:t>
      </w:r>
      <w:r>
        <w:rPr>
          <w:rStyle w:val="OperatorTok"/>
        </w:rPr>
        <w:t xml:space="preserve">&lt;</w:t>
      </w:r>
      <w:r>
        <w:rPr>
          <w:rStyle w:val="NormalTok"/>
        </w:rPr>
        <w:t xml:space="preserve">domaine-wawid</w:t>
      </w:r>
      <w:r>
        <w:rPr>
          <w:rStyle w:val="OperatorTok"/>
        </w:rPr>
        <w:t xml:space="preserve">&gt;</w:t>
      </w:r>
      <w:r>
        <w:rPr>
          <w:rStyle w:val="NormalTok"/>
        </w:rPr>
        <w:t xml:space="preserve">/api/carrier/messages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"X-Carrier-Key: &lt;CLE_COMPAGNIE&gt;"</w:t>
      </w:r>
      <w:r>
        <w:rPr>
          <w:rStyle w:val="NormalTok"/>
        </w:rPr>
        <w:t xml:space="preserve"> </w:t>
      </w:r>
      <w:r>
        <w:rPr>
          <w:rStyle w:val="AttributeTok"/>
        </w:rPr>
        <w:t xml:space="preserve">-H</w:t>
      </w:r>
      <w:r>
        <w:rPr>
          <w:rStyle w:val="NormalTok"/>
        </w:rPr>
        <w:t xml:space="preserve"> </w:t>
      </w:r>
      <w:r>
        <w:rPr>
          <w:rStyle w:val="StringTok"/>
        </w:rPr>
        <w:t xml:space="preserve">"Content-Type: text/plain"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@paxlst.edi</w:t>
      </w:r>
    </w:p>
    <w:p>
      <w:pPr>
        <w:pStyle w:val="FirstParagraph"/>
      </w:pPr>
      <w:r>
        <w:t xml:space="preserve">Ensuite :</w:t>
      </w:r>
    </w:p>
    <w:p>
      <w:pPr>
        <w:numPr>
          <w:ilvl w:val="0"/>
          <w:numId w:val="1018"/>
        </w:numPr>
        <w:pStyle w:val="Compact"/>
      </w:pPr>
      <w:r>
        <w:rPr>
          <w:bCs/>
          <w:b/>
        </w:rPr>
        <w:t xml:space="preserve">Vérifier</w:t>
      </w:r>
      <w:r>
        <w:t xml:space="preserve"> </w:t>
      </w:r>
      <w:r>
        <w:t xml:space="preserve">la réponse</w:t>
      </w:r>
      <w:r>
        <w:t xml:space="preserve"> </w:t>
      </w:r>
      <w:r>
        <w:rPr>
          <w:bCs/>
          <w:b/>
        </w:rPr>
        <w:t xml:space="preserve">202</w:t>
      </w:r>
      <w:r>
        <w:t xml:space="preserve"> </w:t>
      </w:r>
      <w:r>
        <w:t xml:space="preserve">et la référence</w:t>
      </w:r>
      <w:r>
        <w:t xml:space="preserve"> </w:t>
      </w:r>
      <w:r>
        <w:rPr>
          <w:rStyle w:val="VerbatimChar"/>
        </w:rPr>
        <w:t xml:space="preserve">MSG-…</w:t>
      </w:r>
      <w:r>
        <w:t xml:space="preserve">, puis, dans</w:t>
      </w:r>
      <w:r>
        <w:t xml:space="preserve"> </w:t>
      </w:r>
      <w:r>
        <w:rPr>
          <w:bCs/>
          <w:b/>
        </w:rPr>
        <w:t xml:space="preserve">Passerelle transporteurs</w:t>
      </w:r>
      <w:r>
        <w:t xml:space="preserve">, le statut</w:t>
      </w:r>
      <w:r>
        <w:t xml:space="preserve"> </w:t>
      </w:r>
      <w:r>
        <w:rPr>
          <w:bCs/>
          <w:b/>
        </w:rPr>
        <w:t xml:space="preserve">ACCEPTÉ</w:t>
      </w:r>
      <w:r>
        <w:t xml:space="preserve"> </w:t>
      </w:r>
      <w:r>
        <w:t xml:space="preserve">et la complétude.</w:t>
      </w:r>
    </w:p>
    <w:p>
      <w:pPr>
        <w:numPr>
          <w:ilvl w:val="0"/>
          <w:numId w:val="1018"/>
        </w:numPr>
        <w:pStyle w:val="Compact"/>
      </w:pPr>
      <w:r>
        <w:rPr>
          <w:bCs/>
          <w:b/>
        </w:rPr>
        <w:t xml:space="preserve">Suivre</w:t>
      </w:r>
      <w:r>
        <w:t xml:space="preserve"> </w:t>
      </w:r>
      <w:r>
        <w:t xml:space="preserve">pendant les premières semaines l'onglet</w:t>
      </w:r>
      <w:r>
        <w:t xml:space="preserve"> </w:t>
      </w:r>
      <w:r>
        <w:rPr>
          <w:bCs/>
          <w:b/>
        </w:rPr>
        <w:t xml:space="preserve">Conformité transporteurs</w:t>
      </w:r>
      <w:r>
        <w:t xml:space="preserve"> </w:t>
      </w:r>
      <w:r>
        <w:t xml:space="preserve">(objectifs : ponctualité 95 %, complétude 98 %).</w:t>
      </w:r>
    </w:p>
    <w:p>
      <w:pPr>
        <w:pStyle w:val="FirstParagraph"/>
      </w:pPr>
      <w:r>
        <w:t xml:space="preserve">Les messages d'exemple de l'espace DPAF (</w:t>
      </w:r>
      <w:r>
        <w:rPr>
          <w:bCs/>
          <w:b/>
        </w:rPr>
        <w:t xml:space="preserve">Recevoir un message → Exemple PAXLST / Exemple PNR</w:t>
      </w:r>
      <w:r>
        <w:t xml:space="preserve">) et de la plateforme des compagnies (</w:t>
      </w:r>
      <w:r>
        <w:rPr>
          <w:bCs/>
          <w:b/>
        </w:rPr>
        <w:t xml:space="preserve">Exemple PAXLST</w:t>
      </w:r>
      <w:r>
        <w:t xml:space="preserve"> </w:t>
      </w:r>
      <w:r>
        <w:t xml:space="preserve">/</w:t>
      </w:r>
      <w:r>
        <w:t xml:space="preserve"> </w:t>
      </w:r>
      <w:r>
        <w:rPr>
          <w:bCs/>
          <w:b/>
        </w:rPr>
        <w:t xml:space="preserve">Exemple PNR</w:t>
      </w:r>
      <w:r>
        <w:t xml:space="preserve">) servent de référence de format. Les messages PNRGOV (EDIFACT) passent par un convertisseur. Une clé compromise est remplacée sans délai.</w:t>
      </w:r>
    </w:p>
    <w:bookmarkEnd w:id="55"/>
    <w:bookmarkStart w:id="56" w:name="raccordement-du-trésor-dgcpt"/>
    <w:p>
      <w:pPr>
        <w:pStyle w:val="Heading2"/>
      </w:pPr>
      <w:r>
        <w:t xml:space="preserve">Raccordement du Trésor (DGCPT)</w:t>
      </w:r>
    </w:p>
    <w:p>
      <w:pPr>
        <w:numPr>
          <w:ilvl w:val="0"/>
          <w:numId w:val="1019"/>
        </w:numPr>
        <w:pStyle w:val="Compact"/>
      </w:pPr>
      <w:r>
        <w:t xml:space="preserve">Désigner, avec la DGCPT, les agents habilités ; l'administrateur crée leurs comptes avec le rôle</w:t>
      </w:r>
      <w:r>
        <w:t xml:space="preserve"> </w:t>
      </w:r>
      <w:r>
        <w:rPr>
          <w:bCs/>
          <w:b/>
        </w:rPr>
        <w:t xml:space="preserve">Agent du Trésor (redevance)</w:t>
      </w:r>
      <w:r>
        <w:t xml:space="preserve">.</w:t>
      </w:r>
    </w:p>
    <w:p>
      <w:pPr>
        <w:numPr>
          <w:ilvl w:val="0"/>
          <w:numId w:val="1019"/>
        </w:numPr>
        <w:pStyle w:val="Compact"/>
      </w:pPr>
      <w:r>
        <w:t xml:space="preserve">L'administrateur vérifie dans</w:t>
      </w:r>
      <w:r>
        <w:t xml:space="preserve"> </w:t>
      </w:r>
      <w:r>
        <w:rPr>
          <w:bCs/>
          <w:b/>
        </w:rPr>
        <w:t xml:space="preserve">Répartition → Paramètres</w:t>
      </w:r>
      <w:r>
        <w:t xml:space="preserve"> </w:t>
      </w:r>
      <w:r>
        <w:t xml:space="preserve">le taux par passager, la part opérateur, la pénalité mensuelle et le</w:t>
      </w:r>
      <w:r>
        <w:t xml:space="preserve"> </w:t>
      </w:r>
      <w:r>
        <w:rPr>
          <w:bCs/>
          <w:b/>
        </w:rPr>
        <w:t xml:space="preserve">Circuit de recouvrement</w:t>
      </w:r>
      <w:r>
        <w:t xml:space="preserve">, et saisit chaque mois le</w:t>
      </w:r>
      <w:r>
        <w:t xml:space="preserve"> </w:t>
      </w:r>
      <w:r>
        <w:rPr>
          <w:bCs/>
          <w:b/>
        </w:rPr>
        <w:t xml:space="preserve">taux IATA du mois</w:t>
      </w:r>
      <w:r>
        <w:t xml:space="preserve">, conformément aux textes en vigueur.</w:t>
      </w:r>
    </w:p>
    <w:p>
      <w:pPr>
        <w:numPr>
          <w:ilvl w:val="0"/>
          <w:numId w:val="1019"/>
        </w:numPr>
        <w:pStyle w:val="Compact"/>
      </w:pPr>
      <w:r>
        <w:t xml:space="preserve">Choisir le circuit de recouvrement. Circuit</w:t>
      </w:r>
      <w:r>
        <w:t xml:space="preserve"> </w:t>
      </w:r>
      <w:r>
        <w:rPr>
          <w:rStyle w:val="VerbatimChar"/>
        </w:rPr>
        <w:t xml:space="preserve">OPERATEUR</w:t>
      </w:r>
      <w:r>
        <w:t xml:space="preserve"> </w:t>
      </w:r>
      <w:r>
        <w:t xml:space="preserve">(compagnies → WawID → Trésor) : ouvrir le compte de collecte WawID, communiquer ses coordonnées aux compagnies, définir qui valide les paiements déclarés (onglet</w:t>
      </w:r>
      <w:r>
        <w:t xml:space="preserve"> </w:t>
      </w:r>
      <w:r>
        <w:rPr>
          <w:bCs/>
          <w:b/>
        </w:rPr>
        <w:t xml:space="preserve">Paiements à valider</w:t>
      </w:r>
      <w:r>
        <w:t xml:space="preserve">) et le calendrier des reversements de la part de l'État au Receveur général du Trésor (onglet</w:t>
      </w:r>
      <w:r>
        <w:t xml:space="preserve"> </w:t>
      </w:r>
      <w:r>
        <w:rPr>
          <w:bCs/>
          <w:b/>
        </w:rPr>
        <w:t xml:space="preserve">Reversements à l'État</w:t>
      </w:r>
      <w:r>
        <w:t xml:space="preserve">, le 15 du mois M+2). Ce circuit n'est applicable qu'après adoption d'un nouveau texte réglementaire et signature d'une convention de mandat d'encaissement avec l'État. Circuit</w:t>
      </w:r>
      <w:r>
        <w:t xml:space="preserve"> </w:t>
      </w:r>
      <w:r>
        <w:rPr>
          <w:rStyle w:val="VerbatimChar"/>
        </w:rPr>
        <w:t xml:space="preserve">TRESOR</w:t>
      </w:r>
      <w:r>
        <w:t xml:space="preserve"> </w:t>
      </w:r>
      <w:r>
        <w:t xml:space="preserve">(décret n° 2012-519) : définir le circuit des quittances du Receveur général du Trésor (qui saisit, dans quel délai, quelle référence).</w:t>
      </w:r>
    </w:p>
    <w:p>
      <w:pPr>
        <w:numPr>
          <w:ilvl w:val="0"/>
          <w:numId w:val="1019"/>
        </w:numPr>
        <w:pStyle w:val="Compact"/>
      </w:pPr>
      <w:r>
        <w:t xml:space="preserve">Former les agents au calendrier mensuel (collecte du 1er au 9, factures le 10, échéance fin du mois suivant), à la validation des paiements déclarés et au</w:t>
      </w:r>
      <w:r>
        <w:t xml:space="preserve"> </w:t>
      </w:r>
      <w:r>
        <w:rPr>
          <w:bCs/>
          <w:b/>
        </w:rPr>
        <w:t xml:space="preserve">Rapprochement</w:t>
      </w:r>
      <w:r>
        <w:t xml:space="preserve">.</w:t>
      </w:r>
    </w:p>
    <w:p>
      <w:pPr>
        <w:numPr>
          <w:ilvl w:val="0"/>
          <w:numId w:val="1019"/>
        </w:numPr>
        <w:pStyle w:val="Compact"/>
      </w:pPr>
      <w:r>
        <w:t xml:space="preserve">Valider le format de l'export CSV (</w:t>
      </w:r>
      <w:r>
        <w:rPr>
          <w:rStyle w:val="VerbatimChar"/>
        </w:rPr>
        <w:t xml:space="preserve">wawid-redevance.csv</w:t>
      </w:r>
      <w:r>
        <w:t xml:space="preserve">) avec la comptabilité publique.</w:t>
      </w:r>
    </w:p>
    <w:p>
      <w:pPr>
        <w:pStyle w:val="BlockText"/>
      </w:pPr>
      <w:r>
        <w:rPr>
          <w:bCs/>
          <w:b/>
        </w:rPr>
        <w:t xml:space="preserve">À développer</w:t>
      </w:r>
      <w:r>
        <w:t xml:space="preserve"> </w:t>
      </w:r>
      <w:r>
        <w:t xml:space="preserve">: dans le démonstrateur, les factures proviennent du jeu de démonstration. L'émission des factures réelles (déclarations des compagnies, taux IATA, comptage WawID) doit être réalisée avant l'exploitation.</w:t>
      </w:r>
    </w:p>
    <w:bookmarkEnd w:id="56"/>
    <w:bookmarkStart w:id="57" w:name="plan-de-formation-recommandation"/>
    <w:p>
      <w:pPr>
        <w:pStyle w:val="Heading2"/>
      </w:pPr>
      <w:r>
        <w:t xml:space="preserve">Plan de formation (Recommandation)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Public</w:t>
            </w:r>
          </w:p>
        </w:tc>
        <w:tc>
          <w:tcPr/>
          <w:p>
            <w:pPr>
              <w:pStyle w:val="Compact"/>
              <w:jc w:val="left"/>
            </w:pPr>
            <w:r>
              <w:t xml:space="preserve">Contenu</w:t>
            </w:r>
          </w:p>
        </w:tc>
        <w:tc>
          <w:tcPr/>
          <w:p>
            <w:pPr>
              <w:pStyle w:val="Compact"/>
              <w:jc w:val="left"/>
            </w:pPr>
            <w:r>
              <w:t xml:space="preserve">Support</w:t>
            </w:r>
          </w:p>
        </w:tc>
      </w:tr>
      <w:tr>
        <w:tc>
          <w:tcPr/>
          <w:p>
            <w:pPr>
              <w:pStyle w:val="Compact"/>
              <w:jc w:val="left"/>
            </w:pPr>
            <w:r>
              <w:t xml:space="preserve">Agents DPAF (guichet)</w:t>
            </w:r>
          </w:p>
        </w:tc>
        <w:tc>
          <w:tcPr/>
          <w:p>
            <w:pPr>
              <w:pStyle w:val="Compact"/>
              <w:jc w:val="left"/>
            </w:pPr>
            <w:r>
              <w:t xml:space="preserve">Connexion, contrôle complet, lecture de puce, biométrie, décisions motivées, QR, situations courantes, mode dégradé</w:t>
            </w:r>
          </w:p>
        </w:tc>
        <w:tc>
          <w:tcPr/>
          <w:p>
            <w:pPr>
              <w:pStyle w:val="Compact"/>
              <w:jc w:val="left"/>
            </w:pPr>
            <w:r>
              <w:rPr>
                <w:iCs/>
                <w:i/>
              </w:rPr>
              <w:t xml:space="preserve">Guide utilisateur par profil</w:t>
            </w:r>
            <w:r>
              <w:t xml:space="preserve"> </w:t>
            </w:r>
            <w:r>
              <w:t xml:space="preserve">; scénarios de démonstration</w:t>
            </w:r>
          </w:p>
        </w:tc>
      </w:tr>
      <w:tr>
        <w:tc>
          <w:tcPr/>
          <w:p>
            <w:pPr>
              <w:pStyle w:val="Compact"/>
              <w:jc w:val="left"/>
            </w:pPr>
            <w:r>
              <w:t xml:space="preserve">Superviseurs</w:t>
            </w:r>
          </w:p>
        </w:tc>
        <w:tc>
          <w:tcPr/>
          <w:p>
            <w:pPr>
              <w:pStyle w:val="Compact"/>
              <w:jc w:val="left"/>
            </w:pPr>
            <w:r>
              <w:t xml:space="preserve">Escalades, eGates, tableau de bord, dossiers, journal d'audit</w:t>
            </w:r>
          </w:p>
        </w:tc>
        <w:tc>
          <w:tcPr/>
          <w:p>
            <w:pPr>
              <w:pStyle w:val="Compact"/>
              <w:jc w:val="left"/>
            </w:pPr>
            <w:r>
              <w:rPr>
                <w:iCs/>
                <w:i/>
              </w:rPr>
              <w:t xml:space="preserve">eGates et kiosques ABC</w:t>
            </w:r>
            <w:r>
              <w:t xml:space="preserve"> </w:t>
            </w:r>
            <w:r>
              <w:t xml:space="preserve">;</w:t>
            </w:r>
            <w:r>
              <w:t xml:space="preserve"> </w:t>
            </w:r>
            <w:r>
              <w:rPr>
                <w:iCs/>
                <w:i/>
              </w:rPr>
              <w:t xml:space="preserve">Tableau de bord</w:t>
            </w:r>
          </w:p>
        </w:tc>
      </w:tr>
      <w:tr>
        <w:tc>
          <w:tcPr/>
          <w:p>
            <w:pPr>
              <w:pStyle w:val="Compact"/>
              <w:jc w:val="left"/>
            </w:pPr>
            <w:r>
              <w:t xml:space="preserve">Analystes</w:t>
            </w:r>
          </w:p>
        </w:tc>
        <w:tc>
          <w:tcPr/>
          <w:p>
            <w:pPr>
              <w:pStyle w:val="Compact"/>
              <w:jc w:val="left"/>
            </w:pPr>
            <w:r>
              <w:t xml:space="preserve">Threat Monitor, listes, règles, APIS/PNR, e-Visa, réseau d'identités</w:t>
            </w:r>
          </w:p>
        </w:tc>
        <w:tc>
          <w:tcPr/>
          <w:p>
            <w:pPr>
              <w:pStyle w:val="Compact"/>
              <w:jc w:val="left"/>
            </w:pPr>
            <w:r>
              <w:rPr>
                <w:iCs/>
                <w:i/>
              </w:rPr>
              <w:t xml:space="preserve">Threat Monitor, dossiers, listes, règles et connecteurs</w:t>
            </w:r>
            <w:r>
              <w:t xml:space="preserve"> </w:t>
            </w:r>
            <w:r>
              <w:t xml:space="preserve">;</w:t>
            </w:r>
            <w:r>
              <w:t xml:space="preserve"> </w:t>
            </w:r>
            <w:r>
              <w:rPr>
                <w:iCs/>
                <w:i/>
              </w:rPr>
              <w:t xml:space="preserve">APIS et PNR</w:t>
            </w:r>
          </w:p>
        </w:tc>
      </w:tr>
      <w:tr>
        <w:tc>
          <w:tcPr/>
          <w:p>
            <w:pPr>
              <w:pStyle w:val="Compact"/>
              <w:jc w:val="left"/>
            </w:pPr>
            <w:r>
              <w:t xml:space="preserve">Administrateurs</w:t>
            </w:r>
          </w:p>
        </w:tc>
        <w:tc>
          <w:tcPr/>
          <w:p>
            <w:pPr>
              <w:pStyle w:val="Compact"/>
              <w:jc w:val="left"/>
            </w:pPr>
            <w:r>
              <w:t xml:space="preserve">Comptes, paramètres, pont NFC, clés, sauvegardes, incidents</w:t>
            </w:r>
          </w:p>
        </w:tc>
        <w:tc>
          <w:tcPr/>
          <w:p>
            <w:pPr>
              <w:pStyle w:val="Compact"/>
              <w:jc w:val="left"/>
            </w:pPr>
            <w:r>
              <w:t xml:space="preserve">Ce guide ;</w:t>
            </w:r>
            <w:r>
              <w:t xml:space="preserve"> </w:t>
            </w:r>
            <w:r>
              <w:rPr>
                <w:iCs/>
                <w:i/>
              </w:rPr>
              <w:t xml:space="preserve">Déploiement et configuration</w:t>
            </w:r>
          </w:p>
        </w:tc>
      </w:tr>
      <w:tr>
        <w:tc>
          <w:tcPr/>
          <w:p>
            <w:pPr>
              <w:pStyle w:val="Compact"/>
              <w:jc w:val="left"/>
            </w:pPr>
            <w:r>
              <w:t xml:space="preserve">Techniciens de poste</w:t>
            </w:r>
          </w:p>
        </w:tc>
        <w:tc>
          <w:tcPr/>
          <w:p>
            <w:pPr>
              <w:pStyle w:val="Compact"/>
              <w:jc w:val="left"/>
            </w:pPr>
            <w:r>
              <w:t xml:space="preserve">Installation des postes et kiosques, diagnostic de premier niveau</w:t>
            </w:r>
          </w:p>
        </w:tc>
        <w:tc>
          <w:tcPr/>
          <w:p>
            <w:pPr>
              <w:pStyle w:val="Compact"/>
              <w:jc w:val="left"/>
            </w:pPr>
            <w:r>
              <w:t xml:space="preserve">Ce guide ;</w:t>
            </w:r>
            <w:r>
              <w:t xml:space="preserve"> </w:t>
            </w:r>
            <w:r>
              <w:rPr>
                <w:iCs/>
                <w:i/>
              </w:rPr>
              <w:t xml:space="preserve">Kiosque eGate : mise en service et parcours</w:t>
            </w:r>
          </w:p>
        </w:tc>
      </w:tr>
      <w:tr>
        <w:tc>
          <w:tcPr/>
          <w:p>
            <w:pPr>
              <w:pStyle w:val="Compact"/>
              <w:jc w:val="left"/>
            </w:pPr>
            <w:r>
              <w:t xml:space="preserve">Agents du Trésor</w:t>
            </w:r>
          </w:p>
        </w:tc>
        <w:tc>
          <w:tcPr/>
          <w:p>
            <w:pPr>
              <w:pStyle w:val="Compact"/>
              <w:jc w:val="left"/>
            </w:pPr>
            <w:r>
              <w:t xml:space="preserve">Calendrier, validation des paiements, encaissements, reversements à l'État, rapprochement, export</w:t>
            </w:r>
          </w:p>
        </w:tc>
        <w:tc>
          <w:tcPr/>
          <w:p>
            <w:pPr>
              <w:pStyle w:val="Compact"/>
              <w:jc w:val="left"/>
            </w:pPr>
            <w:r>
              <w:rPr>
                <w:iCs/>
                <w:i/>
              </w:rPr>
              <w:t xml:space="preserve">Redevance de sécurité</w:t>
            </w:r>
          </w:p>
        </w:tc>
      </w:tr>
      <w:tr>
        <w:tc>
          <w:tcPr/>
          <w:p>
            <w:pPr>
              <w:pStyle w:val="Compact"/>
              <w:jc w:val="left"/>
            </w:pPr>
            <w:r>
              <w:t xml:space="preserve">Compagnies aériennes</w:t>
            </w:r>
          </w:p>
        </w:tc>
        <w:tc>
          <w:tcPr/>
          <w:p>
            <w:pPr>
              <w:pStyle w:val="Compact"/>
              <w:jc w:val="left"/>
            </w:pPr>
            <w:r>
              <w:t xml:space="preserve">Plateforme des compagnies, formats, calendrier, réponses, conformité, déclaration des paiements de redevance</w:t>
            </w:r>
          </w:p>
        </w:tc>
        <w:tc>
          <w:tcPr/>
          <w:p>
            <w:pPr>
              <w:pStyle w:val="Compact"/>
              <w:jc w:val="left"/>
            </w:pPr>
            <w:r>
              <w:rPr>
                <w:iCs/>
                <w:i/>
              </w:rPr>
              <w:t xml:space="preserve">Plateforme des compagnies aériennes</w:t>
            </w:r>
            <w:r>
              <w:t xml:space="preserve"> </w:t>
            </w:r>
            <w:r>
              <w:t xml:space="preserve">;</w:t>
            </w:r>
            <w:r>
              <w:t xml:space="preserve"> </w:t>
            </w:r>
            <w:r>
              <w:rPr>
                <w:rStyle w:val="VerbatimChar"/>
              </w:rPr>
              <w:t xml:space="preserve">docs/API-TRANSPORTEURS.md</w:t>
            </w:r>
          </w:p>
        </w:tc>
      </w:tr>
    </w:tbl>
    <w:p>
      <w:pPr>
        <w:pStyle w:val="BodyText"/>
      </w:pPr>
      <w:r>
        <w:t xml:space="preserve">Organisez la formation sur un environnement de démonstration distinct de la production, et désignez dans chaque poste un</w:t>
      </w:r>
      <w:r>
        <w:t xml:space="preserve"> </w:t>
      </w:r>
      <w:r>
        <w:rPr>
          <w:bCs/>
          <w:b/>
        </w:rPr>
        <w:t xml:space="preserve">référent WawID</w:t>
      </w:r>
      <w:r>
        <w:t xml:space="preserve"> </w:t>
      </w:r>
      <w:r>
        <w:t xml:space="preserve">formé au diagnostic de premier niveau.</w:t>
      </w:r>
    </w:p>
    <w:bookmarkEnd w:id="57"/>
    <w:bookmarkStart w:id="58" w:name="assistance-et-escalade-recommandation"/>
    <w:p>
      <w:pPr>
        <w:pStyle w:val="Heading2"/>
      </w:pPr>
      <w:r>
        <w:t xml:space="preserve">Assistance et escalade (Recommandation)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Acteur</w:t>
            </w:r>
          </w:p>
        </w:tc>
        <w:tc>
          <w:tcPr/>
          <w:p>
            <w:pPr>
              <w:pStyle w:val="Compact"/>
              <w:jc w:val="left"/>
            </w:pPr>
            <w:r>
              <w:t xml:space="preserve">Périmètre</w:t>
            </w:r>
          </w:p>
        </w:tc>
      </w:tr>
      <w:tr>
        <w:tc>
          <w:tcPr/>
          <w:p>
            <w:pPr>
              <w:pStyle w:val="Compact"/>
              <w:jc w:val="left"/>
            </w:pPr>
            <w:r>
              <w:t xml:space="preserve">N1</w:t>
            </w:r>
          </w:p>
        </w:tc>
        <w:tc>
          <w:tcPr/>
          <w:p>
            <w:pPr>
              <w:pStyle w:val="Compact"/>
              <w:jc w:val="left"/>
            </w:pPr>
            <w:r>
              <w:t xml:space="preserve">Référent WawID du poste</w:t>
            </w:r>
          </w:p>
        </w:tc>
        <w:tc>
          <w:tcPr/>
          <w:p>
            <w:pPr>
              <w:pStyle w:val="Compact"/>
              <w:jc w:val="left"/>
            </w:pPr>
            <w:r>
              <w:t xml:space="preserve">Postes de travail, lecteurs, caméras, kiosques, procédures d'usage</w:t>
            </w:r>
          </w:p>
        </w:tc>
      </w:tr>
      <w:tr>
        <w:tc>
          <w:tcPr/>
          <w:p>
            <w:pPr>
              <w:pStyle w:val="Compact"/>
              <w:jc w:val="left"/>
            </w:pPr>
            <w:r>
              <w:t xml:space="preserve">N2</w:t>
            </w:r>
          </w:p>
        </w:tc>
        <w:tc>
          <w:tcPr/>
          <w:p>
            <w:pPr>
              <w:pStyle w:val="Compact"/>
              <w:jc w:val="left"/>
            </w:pPr>
            <w:r>
              <w:t xml:space="preserve">Support de l'exploitant</w:t>
            </w:r>
          </w:p>
        </w:tc>
        <w:tc>
          <w:tcPr/>
          <w:p>
            <w:pPr>
              <w:pStyle w:val="Compact"/>
              <w:jc w:val="left"/>
            </w:pPr>
            <w:r>
              <w:t xml:space="preserve">Comptes, paramètres, réseau, pont NFC, connecteurs, incidents applicatifs</w:t>
            </w:r>
          </w:p>
        </w:tc>
      </w:tr>
      <w:tr>
        <w:tc>
          <w:tcPr/>
          <w:p>
            <w:pPr>
              <w:pStyle w:val="Compact"/>
              <w:jc w:val="left"/>
            </w:pPr>
            <w:r>
              <w:t xml:space="preserve">N3</w:t>
            </w:r>
          </w:p>
        </w:tc>
        <w:tc>
          <w:tcPr/>
          <w:p>
            <w:pPr>
              <w:pStyle w:val="Compact"/>
              <w:jc w:val="left"/>
            </w:pPr>
            <w:r>
              <w:t xml:space="preserve">Équipe de développement</w:t>
            </w:r>
          </w:p>
        </w:tc>
        <w:tc>
          <w:tcPr/>
          <w:p>
            <w:pPr>
              <w:pStyle w:val="Compact"/>
              <w:jc w:val="left"/>
            </w:pPr>
            <w:r>
              <w:t xml:space="preserve">Anomalies du logiciel, correctifs</w:t>
            </w:r>
          </w:p>
        </w:tc>
      </w:tr>
      <w:tr>
        <w:tc>
          <w:tcPr/>
          <w:p>
            <w:pPr>
              <w:pStyle w:val="Compact"/>
              <w:jc w:val="left"/>
            </w:pPr>
            <w:r>
              <w:t xml:space="preserve">Sécurité</w:t>
            </w:r>
          </w:p>
        </w:tc>
        <w:tc>
          <w:tcPr/>
          <w:p>
            <w:pPr>
              <w:pStyle w:val="Compact"/>
              <w:jc w:val="left"/>
            </w:pPr>
            <w:r>
              <w:t xml:space="preserve">Responsable sécurité et SOC</w:t>
            </w:r>
          </w:p>
        </w:tc>
        <w:tc>
          <w:tcPr/>
          <w:p>
            <w:pPr>
              <w:pStyle w:val="Compact"/>
              <w:jc w:val="left"/>
            </w:pPr>
            <w:r>
              <w:t xml:space="preserve">Incident de sécurité, fuite de clé, rupture de la chaîne d'audit</w:t>
            </w:r>
          </w:p>
        </w:tc>
      </w:tr>
    </w:tbl>
    <w:p>
      <w:pPr>
        <w:pStyle w:val="BodyText"/>
      </w:pPr>
      <w:r>
        <w:t xml:space="preserve">Les coordonnées, horaires et délais d'intervention de chaque niveau sont fixés avec la DPAF avant la mise en service et affichés dans chaque poste.</w:t>
      </w:r>
    </w:p>
    <w:bookmarkEnd w:id="58"/>
    <w:bookmarkStart w:id="59" w:name="recette"/>
    <w:p>
      <w:pPr>
        <w:pStyle w:val="Heading2"/>
      </w:pPr>
      <w:r>
        <w:t xml:space="preserve">Recette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Test</w:t>
            </w:r>
          </w:p>
        </w:tc>
        <w:tc>
          <w:tcPr/>
          <w:p>
            <w:pPr>
              <w:pStyle w:val="Compact"/>
              <w:jc w:val="left"/>
            </w:pPr>
            <w:r>
              <w:t xml:space="preserve">Résultat attendu</w:t>
            </w:r>
          </w:p>
        </w:tc>
      </w:tr>
      <w:tr>
        <w:tc>
          <w:tcPr/>
          <w:p>
            <w:pPr>
              <w:pStyle w:val="Compact"/>
              <w:jc w:val="left"/>
            </w:pPr>
            <w:r>
              <w:t xml:space="preserve">1</w:t>
            </w:r>
          </w:p>
        </w:tc>
        <w:tc>
          <w:tcPr/>
          <w:p>
            <w:pPr>
              <w:pStyle w:val="Compact"/>
              <w:jc w:val="left"/>
            </w:pPr>
            <w:r>
              <w:rPr>
                <w:rStyle w:val="VerbatimChar"/>
              </w:rPr>
              <w:t xml:space="preserve">npm test</w:t>
            </w:r>
            <w:r>
              <w:t xml:space="preserve"> </w:t>
            </w:r>
            <w:r>
              <w:t xml:space="preserve">sur la version livrée</w:t>
            </w:r>
          </w:p>
        </w:tc>
        <w:tc>
          <w:tcPr/>
          <w:p>
            <w:pPr>
              <w:pStyle w:val="Compact"/>
              <w:jc w:val="left"/>
            </w:pPr>
            <w:r>
              <w:t xml:space="preserve">Tous les tests réussis</w:t>
            </w:r>
          </w:p>
        </w:tc>
      </w:tr>
      <w:tr>
        <w:tc>
          <w:tcPr/>
          <w:p>
            <w:pPr>
              <w:pStyle w:val="Compact"/>
              <w:jc w:val="left"/>
            </w:pPr>
            <w:r>
              <w:t xml:space="preserve">2</w:t>
            </w:r>
          </w:p>
        </w:tc>
        <w:tc>
          <w:tcPr/>
          <w:p>
            <w:pPr>
              <w:pStyle w:val="Compact"/>
              <w:jc w:val="left"/>
            </w:pPr>
            <w:r>
              <w:t xml:space="preserve">Connexion d'un agent, déconnexion, session expirée</w:t>
            </w:r>
          </w:p>
        </w:tc>
        <w:tc>
          <w:tcPr/>
          <w:p>
            <w:pPr>
              <w:pStyle w:val="Compact"/>
              <w:jc w:val="left"/>
            </w:pPr>
            <w:r>
              <w:t xml:space="preserve">Accès conforme au rôle ; actions inscrites au journal d'audit</w:t>
            </w:r>
          </w:p>
        </w:tc>
      </w:tr>
      <w:tr>
        <w:tc>
          <w:tcPr/>
          <w:p>
            <w:pPr>
              <w:pStyle w:val="Compact"/>
              <w:jc w:val="left"/>
            </w:pPr>
            <w:r>
              <w:t xml:space="preserve">3</w:t>
            </w:r>
          </w:p>
        </w:tc>
        <w:tc>
          <w:tcPr/>
          <w:p>
            <w:pPr>
              <w:pStyle w:val="Compact"/>
              <w:jc w:val="left"/>
            </w:pPr>
            <w:r>
              <w:t xml:space="preserve">Contrôle guichet d'un passeport biométrique réel de test</w:t>
            </w:r>
          </w:p>
        </w:tc>
        <w:tc>
          <w:tcPr/>
          <w:p>
            <w:pPr>
              <w:pStyle w:val="Compact"/>
              <w:jc w:val="left"/>
            </w:pPr>
            <w:r>
              <w:t xml:space="preserve">MRZ valide ; puce lue sans mention « (simulé) » ; authentification passive valide</w:t>
            </w:r>
          </w:p>
        </w:tc>
      </w:tr>
      <w:tr>
        <w:tc>
          <w:tcPr/>
          <w:p>
            <w:pPr>
              <w:pStyle w:val="Compact"/>
              <w:jc w:val="left"/>
            </w:pPr>
            <w:r>
              <w:t xml:space="preserve">4</w:t>
            </w:r>
          </w:p>
        </w:tc>
        <w:tc>
          <w:tcPr/>
          <w:p>
            <w:pPr>
              <w:pStyle w:val="Compact"/>
              <w:jc w:val="left"/>
            </w:pPr>
            <w:r>
              <w:t xml:space="preserve">Contrôle d'une MRZ altérée (scénario</w:t>
            </w:r>
            <w:r>
              <w:t xml:space="preserve"> </w:t>
            </w:r>
            <w:r>
              <w:rPr>
                <w:bCs/>
                <w:b/>
              </w:rPr>
              <w:t xml:space="preserve">MRZ falsifiée</w:t>
            </w:r>
            <w:r>
              <w:t xml:space="preserve">)</w:t>
            </w:r>
          </w:p>
        </w:tc>
        <w:tc>
          <w:tcPr/>
          <w:p>
            <w:pPr>
              <w:pStyle w:val="Compact"/>
              <w:jc w:val="left"/>
            </w:pPr>
            <w:r>
              <w:t xml:space="preserve">Puce et MRZ différentes ; recommandation de contrôle secondaire ou plus</w:t>
            </w:r>
          </w:p>
        </w:tc>
      </w:tr>
      <w:tr>
        <w:tc>
          <w:tcPr/>
          <w:p>
            <w:pPr>
              <w:pStyle w:val="Compact"/>
              <w:jc w:val="left"/>
            </w:pPr>
            <w:r>
              <w:t xml:space="preserve">5</w:t>
            </w:r>
          </w:p>
        </w:tc>
        <w:tc>
          <w:tcPr/>
          <w:p>
            <w:pPr>
              <w:pStyle w:val="Compact"/>
              <w:jc w:val="left"/>
            </w:pPr>
            <w:r>
              <w:t xml:space="preserve">Correspondance sur liste de surveillance</w:t>
            </w:r>
          </w:p>
        </w:tc>
        <w:tc>
          <w:tcPr/>
          <w:p>
            <w:pPr>
              <w:pStyle w:val="Compact"/>
              <w:jc w:val="left"/>
            </w:pPr>
            <w:r>
              <w:t xml:space="preserve">Alerte dans le</w:t>
            </w:r>
            <w:r>
              <w:t xml:space="preserve"> </w:t>
            </w:r>
            <w:r>
              <w:rPr>
                <w:bCs/>
                <w:b/>
              </w:rPr>
              <w:t xml:space="preserve">Threat Monitor</w:t>
            </w:r>
            <w:r>
              <w:t xml:space="preserve"> </w:t>
            </w:r>
            <w:r>
              <w:t xml:space="preserve">; escalade superviseur</w:t>
            </w:r>
          </w:p>
        </w:tc>
      </w:tr>
      <w:tr>
        <w:tc>
          <w:tcPr/>
          <w:p>
            <w:pPr>
              <w:pStyle w:val="Compact"/>
              <w:jc w:val="left"/>
            </w:pPr>
            <w:r>
              <w:t xml:space="preserve">6</w:t>
            </w:r>
          </w:p>
        </w:tc>
        <w:tc>
          <w:tcPr/>
          <w:p>
            <w:pPr>
              <w:pStyle w:val="Compact"/>
              <w:jc w:val="left"/>
            </w:pPr>
            <w:r>
              <w:t xml:space="preserve">Passage eGate d'un voyageur éligible</w:t>
            </w:r>
          </w:p>
        </w:tc>
        <w:tc>
          <w:tcPr/>
          <w:p>
            <w:pPr>
              <w:pStyle w:val="Compact"/>
              <w:jc w:val="left"/>
            </w:pPr>
            <w:r>
              <w:t xml:space="preserve">Ouverture des portes ; passage enregistré au canal</w:t>
            </w:r>
            <w:r>
              <w:t xml:space="preserve"> </w:t>
            </w:r>
            <w:r>
              <w:rPr>
                <w:bCs/>
                <w:b/>
              </w:rPr>
              <w:t xml:space="preserve">eGate / ABC</w:t>
            </w:r>
          </w:p>
        </w:tc>
      </w:tr>
      <w:tr>
        <w:tc>
          <w:tcPr/>
          <w:p>
            <w:pPr>
              <w:pStyle w:val="Compact"/>
              <w:jc w:val="left"/>
            </w:pPr>
            <w:r>
              <w:t xml:space="preserve">7</w:t>
            </w:r>
          </w:p>
        </w:tc>
        <w:tc>
          <w:tcPr/>
          <w:p>
            <w:pPr>
              <w:pStyle w:val="Compact"/>
              <w:jc w:val="left"/>
            </w:pPr>
            <w:r>
              <w:t xml:space="preserve">Passage eGate d'un mineur</w:t>
            </w:r>
          </w:p>
        </w:tc>
        <w:tc>
          <w:tcPr/>
          <w:p>
            <w:pPr>
              <w:pStyle w:val="Compact"/>
              <w:jc w:val="left"/>
            </w:pPr>
            <w:r>
              <w:t xml:space="preserve">Orientation au guichet avec le motif attendu</w:t>
            </w:r>
          </w:p>
        </w:tc>
      </w:tr>
      <w:tr>
        <w:tc>
          <w:tcPr/>
          <w:p>
            <w:pPr>
              <w:pStyle w:val="Compact"/>
              <w:jc w:val="left"/>
            </w:pPr>
            <w:r>
              <w:t xml:space="preserve">8</w:t>
            </w:r>
          </w:p>
        </w:tc>
        <w:tc>
          <w:tcPr/>
          <w:p>
            <w:pPr>
              <w:pStyle w:val="Compact"/>
              <w:jc w:val="left"/>
            </w:pPr>
            <w:r>
              <w:t xml:space="preserve">Fermeture d'une eGate à distance</w:t>
            </w:r>
          </w:p>
        </w:tc>
        <w:tc>
          <w:tcPr/>
          <w:p>
            <w:pPr>
              <w:pStyle w:val="Compact"/>
              <w:jc w:val="left"/>
            </w:pPr>
            <w:r>
              <w:rPr>
                <w:bCs/>
                <w:b/>
              </w:rPr>
              <w:t xml:space="preserve">Porte fermée</w:t>
            </w:r>
            <w:r>
              <w:t xml:space="preserve"> </w:t>
            </w:r>
            <w:r>
              <w:t xml:space="preserve">affiché en moins de 15 secondes</w:t>
            </w:r>
          </w:p>
        </w:tc>
      </w:tr>
      <w:tr>
        <w:tc>
          <w:tcPr/>
          <w:p>
            <w:pPr>
              <w:pStyle w:val="Compact"/>
              <w:jc w:val="left"/>
            </w:pPr>
            <w:r>
              <w:t xml:space="preserve">9</w:t>
            </w:r>
          </w:p>
        </w:tc>
        <w:tc>
          <w:tcPr/>
          <w:p>
            <w:pPr>
              <w:pStyle w:val="Compact"/>
              <w:jc w:val="left"/>
            </w:pPr>
            <w:r>
              <w:t xml:space="preserve">Demande e-Visa sur le portail, demande d'information, réponse, approbation</w:t>
            </w:r>
          </w:p>
        </w:tc>
        <w:tc>
          <w:tcPr/>
          <w:p>
            <w:pPr>
              <w:pStyle w:val="Compact"/>
              <w:jc w:val="left"/>
            </w:pPr>
            <w:r>
              <w:t xml:space="preserve">Statuts successifs corrects ; QR signé vérifié au guichet</w:t>
            </w:r>
          </w:p>
        </w:tc>
      </w:tr>
      <w:tr>
        <w:tc>
          <w:tcPr/>
          <w:p>
            <w:pPr>
              <w:pStyle w:val="Compact"/>
              <w:jc w:val="left"/>
            </w:pPr>
            <w:r>
              <w:t xml:space="preserve">10</w:t>
            </w:r>
          </w:p>
        </w:tc>
        <w:tc>
          <w:tcPr/>
          <w:p>
            <w:pPr>
              <w:pStyle w:val="Compact"/>
              <w:jc w:val="left"/>
            </w:pPr>
            <w:r>
              <w:t xml:space="preserve">Demande e-Visa depuis l'application iPhone et Android</w:t>
            </w:r>
          </w:p>
        </w:tc>
        <w:tc>
          <w:tcPr/>
          <w:p>
            <w:pPr>
              <w:pStyle w:val="Compact"/>
              <w:jc w:val="left"/>
            </w:pPr>
            <w:r>
              <w:t xml:space="preserve">Puce lue ; demande visible dans l'espace DPAF avec le champ</w:t>
            </w:r>
            <w:r>
              <w:t xml:space="preserve"> </w:t>
            </w:r>
            <w:r>
              <w:rPr>
                <w:bCs/>
                <w:b/>
              </w:rPr>
              <w:t xml:space="preserve">Puce (NFC)</w:t>
            </w:r>
          </w:p>
        </w:tc>
      </w:tr>
      <w:tr>
        <w:tc>
          <w:tcPr/>
          <w:p>
            <w:pPr>
              <w:pStyle w:val="Compact"/>
              <w:jc w:val="left"/>
            </w:pPr>
            <w:r>
              <w:t xml:space="preserve">11</w:t>
            </w:r>
          </w:p>
        </w:tc>
        <w:tc>
          <w:tcPr/>
          <w:p>
            <w:pPr>
              <w:pStyle w:val="Compact"/>
              <w:jc w:val="left"/>
            </w:pPr>
            <w:r>
              <w:t xml:space="preserve">WawPass vérifié deux fois</w:t>
            </w:r>
          </w:p>
        </w:tc>
        <w:tc>
          <w:tcPr/>
          <w:p>
            <w:pPr>
              <w:pStyle w:val="Compact"/>
              <w:jc w:val="left"/>
            </w:pPr>
            <w:r>
              <w:t xml:space="preserve">Première vérification</w:t>
            </w:r>
            <w:r>
              <w:t xml:space="preserve"> </w:t>
            </w:r>
            <w:r>
              <w:rPr>
                <w:bCs/>
                <w:b/>
              </w:rPr>
              <w:t xml:space="preserve">Valide</w:t>
            </w:r>
            <w:r>
              <w:t xml:space="preserve">, seconde « Reçu déjà utilisé »</w:t>
            </w:r>
          </w:p>
        </w:tc>
      </w:tr>
      <w:tr>
        <w:tc>
          <w:tcPr/>
          <w:p>
            <w:pPr>
              <w:pStyle w:val="Compact"/>
              <w:jc w:val="left"/>
            </w:pPr>
            <w:r>
              <w:t xml:space="preserve">12</w:t>
            </w:r>
          </w:p>
        </w:tc>
        <w:tc>
          <w:tcPr/>
          <w:p>
            <w:pPr>
              <w:pStyle w:val="Compact"/>
              <w:jc w:val="left"/>
            </w:pPr>
            <w:r>
              <w:t xml:space="preserve">Message PAXLST et PNR d'une compagnie avec sa clé</w:t>
            </w:r>
          </w:p>
        </w:tc>
        <w:tc>
          <w:tcPr/>
          <w:p>
            <w:pPr>
              <w:pStyle w:val="Compact"/>
              <w:jc w:val="left"/>
            </w:pPr>
            <w:r>
              <w:t xml:space="preserve">202 sans résultat de pré-contrôle dans l'accusé ; fusion API + PNR ; passagers signalés visibles dans l'espace DPAF</w:t>
            </w:r>
          </w:p>
        </w:tc>
      </w:tr>
      <w:tr>
        <w:tc>
          <w:tcPr/>
          <w:p>
            <w:pPr>
              <w:pStyle w:val="Compact"/>
              <w:jc w:val="left"/>
            </w:pPr>
            <w:r>
              <w:t xml:space="preserve">13</w:t>
            </w:r>
          </w:p>
        </w:tc>
        <w:tc>
          <w:tcPr/>
          <w:p>
            <w:pPr>
              <w:pStyle w:val="Compact"/>
              <w:jc w:val="left"/>
            </w:pPr>
            <w:r>
              <w:t xml:space="preserve">Message avec la clé d'une autre compagnie</w:t>
            </w:r>
          </w:p>
        </w:tc>
        <w:tc>
          <w:tcPr/>
          <w:p>
            <w:pPr>
              <w:pStyle w:val="Compact"/>
              <w:jc w:val="left"/>
            </w:pPr>
            <w:r>
              <w:t xml:space="preserve">Rejet (422)</w:t>
            </w:r>
          </w:p>
        </w:tc>
      </w:tr>
      <w:tr>
        <w:tc>
          <w:tcPr/>
          <w:p>
            <w:pPr>
              <w:pStyle w:val="Compact"/>
              <w:jc w:val="left"/>
            </w:pPr>
            <w:r>
              <w:t xml:space="preserve">14</w:t>
            </w:r>
          </w:p>
        </w:tc>
        <w:tc>
          <w:tcPr/>
          <w:p>
            <w:pPr>
              <w:pStyle w:val="Compact"/>
              <w:jc w:val="left"/>
            </w:pPr>
            <w:r>
              <w:t xml:space="preserve">Encaissement d'une facture par un agent du Trésor</w:t>
            </w:r>
          </w:p>
        </w:tc>
        <w:tc>
          <w:tcPr/>
          <w:p>
            <w:pPr>
              <w:pStyle w:val="Compact"/>
              <w:jc w:val="left"/>
            </w:pPr>
            <w:r>
              <w:t xml:space="preserve">Statut</w:t>
            </w:r>
            <w:r>
              <w:t xml:space="preserve"> </w:t>
            </w:r>
            <w:r>
              <w:rPr>
                <w:bCs/>
                <w:b/>
              </w:rPr>
              <w:t xml:space="preserve">PARTIELLE</w:t>
            </w:r>
            <w:r>
              <w:t xml:space="preserve"> </w:t>
            </w:r>
            <w:r>
              <w:t xml:space="preserve">ou</w:t>
            </w:r>
            <w:r>
              <w:t xml:space="preserve"> </w:t>
            </w:r>
            <w:r>
              <w:rPr>
                <w:bCs/>
                <w:b/>
              </w:rPr>
              <w:t xml:space="preserve">PAYÉE</w:t>
            </w:r>
            <w:r>
              <w:t xml:space="preserve"> </w:t>
            </w:r>
            <w:r>
              <w:t xml:space="preserve">; entrée</w:t>
            </w:r>
            <w:r>
              <w:t xml:space="preserve"> </w:t>
            </w:r>
            <w:r>
              <w:rPr>
                <w:rStyle w:val="VerbatimChar"/>
              </w:rPr>
              <w:t xml:space="preserve">REDEVANCE_ENCAISSEMENT</w:t>
            </w:r>
          </w:p>
        </w:tc>
      </w:tr>
      <w:tr>
        <w:tc>
          <w:tcPr/>
          <w:p>
            <w:pPr>
              <w:pStyle w:val="Compact"/>
              <w:jc w:val="left"/>
            </w:pPr>
            <w:r>
              <w:t xml:space="preserve">15</w:t>
            </w:r>
          </w:p>
        </w:tc>
        <w:tc>
          <w:tcPr/>
          <w:p>
            <w:pPr>
              <w:pStyle w:val="Compact"/>
              <w:jc w:val="left"/>
            </w:pPr>
            <w:r>
              <w:t xml:space="preserve">Vérification du</w:t>
            </w:r>
            <w:r>
              <w:t xml:space="preserve"> </w:t>
            </w:r>
            <w:r>
              <w:rPr>
                <w:bCs/>
                <w:b/>
              </w:rPr>
              <w:t xml:space="preserve">Journal d'audit</w:t>
            </w:r>
          </w:p>
        </w:tc>
        <w:tc>
          <w:tcPr/>
          <w:p>
            <w:pPr>
              <w:pStyle w:val="Compact"/>
              <w:jc w:val="left"/>
            </w:pPr>
            <w:r>
              <w:rPr>
                <w:bCs/>
                <w:b/>
              </w:rPr>
              <w:t xml:space="preserve">Chaîne intègre</w:t>
            </w:r>
          </w:p>
        </w:tc>
      </w:tr>
      <w:tr>
        <w:tc>
          <w:tcPr/>
          <w:p>
            <w:pPr>
              <w:pStyle w:val="Compact"/>
              <w:jc w:val="left"/>
            </w:pPr>
            <w:r>
              <w:t xml:space="preserve">16</w:t>
            </w:r>
          </w:p>
        </w:tc>
        <w:tc>
          <w:tcPr/>
          <w:p>
            <w:pPr>
              <w:pStyle w:val="Compact"/>
              <w:jc w:val="left"/>
            </w:pPr>
            <w:r>
              <w:t xml:space="preserve">Connexion d'un compte compagnie sur</w:t>
            </w:r>
            <w:r>
              <w:t xml:space="preserve"> </w:t>
            </w:r>
            <w:r>
              <w:rPr>
                <w:rStyle w:val="VerbatimChar"/>
              </w:rPr>
              <w:t xml:space="preserve">/dpaf/</w:t>
            </w:r>
            <w:r>
              <w:t xml:space="preserve">, puis sur</w:t>
            </w:r>
            <w:r>
              <w:t xml:space="preserve"> </w:t>
            </w:r>
            <w:r>
              <w:rPr>
                <w:rStyle w:val="VerbatimChar"/>
              </w:rPr>
              <w:t xml:space="preserve">/compagnies/</w:t>
            </w:r>
          </w:p>
        </w:tc>
        <w:tc>
          <w:tcPr/>
          <w:p>
            <w:pPr>
              <w:pStyle w:val="Compact"/>
              <w:jc w:val="left"/>
            </w:pPr>
            <w:r>
              <w:t xml:space="preserve">Refus sur l'espace DPAF ; sur la plateforme, seules les données de sa compagnie, sans passager signalé ni score</w:t>
            </w:r>
          </w:p>
        </w:tc>
      </w:tr>
      <w:tr>
        <w:tc>
          <w:tcPr/>
          <w:p>
            <w:pPr>
              <w:pStyle w:val="Compact"/>
              <w:jc w:val="left"/>
            </w:pPr>
            <w:r>
              <w:t xml:space="preserve">17</w:t>
            </w:r>
          </w:p>
        </w:tc>
        <w:tc>
          <w:tcPr/>
          <w:p>
            <w:pPr>
              <w:pStyle w:val="Compact"/>
              <w:jc w:val="left"/>
            </w:pPr>
            <w:r>
              <w:t xml:space="preserve">Paiement déclaré par une compagnie, validé par un agent du Trésor, puis reversement de la part de l'État (circuit</w:t>
            </w:r>
            <w:r>
              <w:t xml:space="preserve"> </w:t>
            </w:r>
            <w:r>
              <w:rPr>
                <w:rStyle w:val="VerbatimChar"/>
              </w:rPr>
              <w:t xml:space="preserve">OPERATEUR</w:t>
            </w:r>
            <w:r>
              <w:t xml:space="preserve">)</w:t>
            </w:r>
          </w:p>
        </w:tc>
        <w:tc>
          <w:tcPr/>
          <w:p>
            <w:pPr>
              <w:pStyle w:val="Compact"/>
              <w:jc w:val="left"/>
            </w:pPr>
            <w:r>
              <w:t xml:space="preserve">Paiement</w:t>
            </w:r>
            <w:r>
              <w:t xml:space="preserve"> </w:t>
            </w:r>
            <w:r>
              <w:rPr>
                <w:bCs/>
                <w:b/>
              </w:rPr>
              <w:t xml:space="preserve">À valider</w:t>
            </w:r>
            <w:r>
              <w:t xml:space="preserve"> </w:t>
            </w:r>
            <w:r>
              <w:t xml:space="preserve">puis</w:t>
            </w:r>
            <w:r>
              <w:t xml:space="preserve"> </w:t>
            </w:r>
            <w:r>
              <w:rPr>
                <w:bCs/>
                <w:b/>
              </w:rPr>
              <w:t xml:space="preserve">Validé</w:t>
            </w:r>
            <w:r>
              <w:t xml:space="preserve"> </w:t>
            </w:r>
            <w:r>
              <w:t xml:space="preserve">; facture</w:t>
            </w:r>
            <w:r>
              <w:t xml:space="preserve"> </w:t>
            </w:r>
            <w:r>
              <w:rPr>
                <w:bCs/>
                <w:b/>
              </w:rPr>
              <w:t xml:space="preserve">PARTIELLE</w:t>
            </w:r>
            <w:r>
              <w:t xml:space="preserve"> </w:t>
            </w:r>
            <w:r>
              <w:t xml:space="preserve">ou</w:t>
            </w:r>
            <w:r>
              <w:t xml:space="preserve"> </w:t>
            </w:r>
            <w:r>
              <w:rPr>
                <w:bCs/>
                <w:b/>
              </w:rPr>
              <w:t xml:space="preserve">PAYÉE</w:t>
            </w:r>
            <w:r>
              <w:t xml:space="preserve"> </w:t>
            </w:r>
            <w:r>
              <w:t xml:space="preserve">; entrées</w:t>
            </w:r>
            <w:r>
              <w:t xml:space="preserve"> </w:t>
            </w:r>
            <w:r>
              <w:rPr>
                <w:rStyle w:val="VerbatimChar"/>
              </w:rPr>
              <w:t xml:space="preserve">REDEVANCE_PAIEMENT_DECLARE</w:t>
            </w:r>
            <w:r>
              <w:t xml:space="preserve">,</w:t>
            </w:r>
            <w:r>
              <w:t xml:space="preserve"> </w:t>
            </w:r>
            <w:r>
              <w:rPr>
                <w:rStyle w:val="VerbatimChar"/>
              </w:rPr>
              <w:t xml:space="preserve">REDEVANCE_PAIEMENT_CONFIRME</w:t>
            </w:r>
            <w:r>
              <w:t xml:space="preserve">,</w:t>
            </w:r>
            <w:r>
              <w:t xml:space="preserve"> </w:t>
            </w:r>
            <w:r>
              <w:rPr>
                <w:rStyle w:val="VerbatimChar"/>
              </w:rPr>
              <w:t xml:space="preserve">REDEVANCE_REVERSEMENT_ETAT</w:t>
            </w:r>
          </w:p>
        </w:tc>
      </w:tr>
      <w:tr>
        <w:tc>
          <w:tcPr/>
          <w:p>
            <w:pPr>
              <w:pStyle w:val="Compact"/>
              <w:jc w:val="left"/>
            </w:pPr>
            <w:r>
              <w:t xml:space="preserve">16</w:t>
            </w:r>
          </w:p>
        </w:tc>
        <w:tc>
          <w:tcPr/>
          <w:p>
            <w:pPr>
              <w:pStyle w:val="Compact"/>
              <w:jc w:val="left"/>
            </w:pPr>
            <w:r>
              <w:t xml:space="preserve">Coupure de la liaison d'un poste (après développement du mode hors ligne)</w:t>
            </w:r>
          </w:p>
        </w:tc>
        <w:tc>
          <w:tcPr/>
          <w:p>
            <w:pPr>
              <w:pStyle w:val="Compact"/>
              <w:jc w:val="left"/>
            </w:pPr>
            <w:r>
              <w:t xml:space="preserve">Contrôle poursuivi ; resynchronisation au retour de la liaison</w:t>
            </w:r>
          </w:p>
        </w:tc>
      </w:tr>
      <w:tr>
        <w:tc>
          <w:tcPr/>
          <w:p>
            <w:pPr>
              <w:pStyle w:val="Compact"/>
              <w:jc w:val="left"/>
            </w:pPr>
            <w:r>
              <w:t xml:space="preserve">17</w:t>
            </w:r>
          </w:p>
        </w:tc>
        <w:tc>
          <w:tcPr/>
          <w:p>
            <w:pPr>
              <w:pStyle w:val="Compact"/>
              <w:jc w:val="left"/>
            </w:pPr>
            <w:r>
              <w:t xml:space="preserve">Coupure électrique d'un guichet</w:t>
            </w:r>
          </w:p>
        </w:tc>
        <w:tc>
          <w:tcPr/>
          <w:p>
            <w:pPr>
              <w:pStyle w:val="Compact"/>
              <w:jc w:val="left"/>
            </w:pPr>
            <w:r>
              <w:t xml:space="preserve">Bascule sur onduleur ; aucun passage perdu</w:t>
            </w:r>
          </w:p>
        </w:tc>
      </w:tr>
      <w:tr>
        <w:tc>
          <w:tcPr/>
          <w:p>
            <w:pPr>
              <w:pStyle w:val="Compact"/>
              <w:jc w:val="left"/>
            </w:pPr>
            <w:r>
              <w:t xml:space="preserve">18</w:t>
            </w:r>
          </w:p>
        </w:tc>
        <w:tc>
          <w:tcPr/>
          <w:p>
            <w:pPr>
              <w:pStyle w:val="Compact"/>
              <w:jc w:val="left"/>
            </w:pPr>
            <w:r>
              <w:t xml:space="preserve">Restauration de sauvegarde et bascule vers le site de secours</w:t>
            </w:r>
          </w:p>
        </w:tc>
        <w:tc>
          <w:tcPr/>
          <w:p>
            <w:pPr>
              <w:pStyle w:val="Compact"/>
              <w:jc w:val="left"/>
            </w:pPr>
            <w:r>
              <w:t xml:space="preserve">RPO et RTO conformes aux objectifs</w:t>
            </w:r>
          </w:p>
        </w:tc>
      </w:tr>
    </w:tbl>
    <w:bookmarkEnd w:id="59"/>
    <w:bookmarkStart w:id="60" w:name="liste-de-contrôle-de-mise-en-service"/>
    <w:p>
      <w:pPr>
        <w:pStyle w:val="Heading2"/>
      </w:pPr>
      <w:r>
        <w:t xml:space="preserve">Liste de contrôle de mise en service</w:t>
      </w:r>
    </w:p>
    <w:p>
      <w:pPr>
        <w:numPr>
          <w:ilvl w:val="0"/>
          <w:numId w:val="1020"/>
        </w:numPr>
        <w:pStyle w:val="Compact"/>
      </w:pPr>
      <w:r>
        <w:t xml:space="preserve">Formalités CDP accomplies et décisions écrites des autorités compétentes obtenues.</w:t>
      </w:r>
    </w:p>
    <w:p>
      <w:pPr>
        <w:numPr>
          <w:ilvl w:val="0"/>
          <w:numId w:val="1020"/>
        </w:numPr>
        <w:pStyle w:val="Compact"/>
      </w:pPr>
      <w:r>
        <w:t xml:space="preserve">Hébergement national opérationnel ; site de secours et sauvegardes testés.</w:t>
      </w:r>
    </w:p>
    <w:p>
      <w:pPr>
        <w:numPr>
          <w:ilvl w:val="0"/>
          <w:numId w:val="1020"/>
        </w:numPr>
        <w:pStyle w:val="Compact"/>
      </w:pPr>
      <w:r>
        <w:t xml:space="preserve">Jeu de démonstration désactivé ; aucune donnée fictive dans la base de production.</w:t>
      </w:r>
    </w:p>
    <w:p>
      <w:pPr>
        <w:numPr>
          <w:ilvl w:val="0"/>
          <w:numId w:val="1020"/>
        </w:numPr>
        <w:pStyle w:val="Compact"/>
      </w:pPr>
      <w:r>
        <w:rPr>
          <w:rStyle w:val="VerbatimChar"/>
        </w:rPr>
        <w:t xml:space="preserve">SESSION_SECRET</w:t>
      </w:r>
      <w:r>
        <w:t xml:space="preserve">,</w:t>
      </w:r>
      <w:r>
        <w:t xml:space="preserve"> </w:t>
      </w:r>
      <w:r>
        <w:rPr>
          <w:rStyle w:val="VerbatimChar"/>
        </w:rPr>
        <w:t xml:space="preserve">WAWID_ADMIN_PASSWORD</w:t>
      </w:r>
      <w:r>
        <w:t xml:space="preserve">,</w:t>
      </w:r>
      <w:r>
        <w:t xml:space="preserve"> </w:t>
      </w:r>
      <w:r>
        <w:rPr>
          <w:rStyle w:val="VerbatimChar"/>
        </w:rPr>
        <w:t xml:space="preserve">WAWID_GATE_KEY</w:t>
      </w:r>
      <w:r>
        <w:t xml:space="preserve"> </w:t>
      </w:r>
      <w:r>
        <w:t xml:space="preserve">et</w:t>
      </w:r>
      <w:r>
        <w:t xml:space="preserve"> </w:t>
      </w:r>
      <w:r>
        <w:rPr>
          <w:rStyle w:val="VerbatimChar"/>
        </w:rPr>
        <w:t xml:space="preserve">WAWID_CARRIER_KEYS</w:t>
      </w:r>
      <w:r>
        <w:t xml:space="preserve"> </w:t>
      </w:r>
      <w:r>
        <w:t xml:space="preserve">définis ;</w:t>
      </w:r>
      <w:r>
        <w:t xml:space="preserve"> </w:t>
      </w:r>
      <w:r>
        <w:rPr>
          <w:rStyle w:val="VerbatimChar"/>
        </w:rPr>
        <w:t xml:space="preserve">WAWID_DEMO_PASSWORD</w:t>
      </w:r>
      <w:r>
        <w:t xml:space="preserve"> </w:t>
      </w:r>
      <w:r>
        <w:t xml:space="preserve">absent.</w:t>
      </w:r>
    </w:p>
    <w:p>
      <w:pPr>
        <w:numPr>
          <w:ilvl w:val="0"/>
          <w:numId w:val="1020"/>
        </w:numPr>
        <w:pStyle w:val="Compact"/>
      </w:pPr>
      <w:r>
        <w:t xml:space="preserve">Comptes nominatifs créés ; mot de passe du compte</w:t>
      </w:r>
      <w:r>
        <w:t xml:space="preserve"> </w:t>
      </w:r>
      <w:r>
        <w:rPr>
          <w:rStyle w:val="VerbatimChar"/>
        </w:rPr>
        <w:t xml:space="preserve">admin</w:t>
      </w:r>
      <w:r>
        <w:t xml:space="preserve"> </w:t>
      </w:r>
      <w:r>
        <w:t xml:space="preserve">changé ; revue des rôles faite.</w:t>
      </w:r>
    </w:p>
    <w:p>
      <w:pPr>
        <w:numPr>
          <w:ilvl w:val="0"/>
          <w:numId w:val="1020"/>
        </w:numPr>
        <w:pStyle w:val="Compact"/>
      </w:pPr>
      <w:r>
        <w:t xml:space="preserve">Ponts NFC installés avec</w:t>
      </w:r>
      <w:r>
        <w:t xml:space="preserve"> </w:t>
      </w:r>
      <w:r>
        <w:rPr>
          <w:rStyle w:val="VerbatimChar"/>
        </w:rPr>
        <w:t xml:space="preserve">NFC_BRIDGE_ORIGIN</w:t>
      </w:r>
      <w:r>
        <w:t xml:space="preserve"> </w:t>
      </w:r>
      <w:r>
        <w:t xml:space="preserve">limité au domaine de production ; test</w:t>
      </w:r>
      <w:r>
        <w:t xml:space="preserve"> </w:t>
      </w:r>
      <w:r>
        <w:rPr>
          <w:bCs/>
          <w:b/>
        </w:rPr>
        <w:t xml:space="preserve">Connecté</w:t>
      </w:r>
      <w:r>
        <w:t xml:space="preserve"> </w:t>
      </w:r>
      <w:r>
        <w:t xml:space="preserve">sur chaque poste.</w:t>
      </w:r>
    </w:p>
    <w:p>
      <w:pPr>
        <w:numPr>
          <w:ilvl w:val="0"/>
          <w:numId w:val="1020"/>
        </w:numPr>
        <w:pStyle w:val="Compact"/>
      </w:pPr>
      <w:r>
        <w:t xml:space="preserve">Lecteurs, SDK biométriques et kiosques intégrés et testés ; simulateur masqué sur les kiosques.</w:t>
      </w:r>
    </w:p>
    <w:p>
      <w:pPr>
        <w:numPr>
          <w:ilvl w:val="0"/>
          <w:numId w:val="1020"/>
        </w:numPr>
        <w:pStyle w:val="Compact"/>
      </w:pPr>
      <w:r>
        <w:t xml:space="preserve">Connecteurs (Interpol, WAPIS, FPR, DAF) raccordés ou, à défaut, copie locale des listes à jour et procédure validée.</w:t>
      </w:r>
    </w:p>
    <w:p>
      <w:pPr>
        <w:numPr>
          <w:ilvl w:val="0"/>
          <w:numId w:val="1020"/>
        </w:numPr>
        <w:pStyle w:val="Compact"/>
      </w:pPr>
      <w:r>
        <w:t xml:space="preserve">Compagnies raccordées et testées, comptes de la plateforme des compagnies créés ; circuit de recouvrement de la redevance arrêté avec la base juridique correspondante ; agents du Trésor formés.</w:t>
      </w:r>
    </w:p>
    <w:p>
      <w:pPr>
        <w:numPr>
          <w:ilvl w:val="0"/>
          <w:numId w:val="1020"/>
        </w:numPr>
        <w:pStyle w:val="Compact"/>
      </w:pPr>
      <w:r>
        <w:t xml:space="preserve">Applications mobiles pointant vers l'API nationale ; fiches des magasins validées.</w:t>
      </w:r>
    </w:p>
    <w:p>
      <w:pPr>
        <w:numPr>
          <w:ilvl w:val="0"/>
          <w:numId w:val="1020"/>
        </w:numPr>
        <w:pStyle w:val="Compact"/>
      </w:pPr>
      <w:r>
        <w:t xml:space="preserve">Procédure de mode dégradé affichée dans chaque poste ; onduleurs testés.</w:t>
      </w:r>
    </w:p>
    <w:p>
      <w:pPr>
        <w:numPr>
          <w:ilvl w:val="0"/>
          <w:numId w:val="1020"/>
        </w:numPr>
        <w:pStyle w:val="Compact"/>
      </w:pPr>
      <w:r>
        <w:t xml:space="preserve">Agents formés ; référents désignés ; chaîne d'escalade diffusée.</w:t>
      </w:r>
    </w:p>
    <w:p>
      <w:pPr>
        <w:numPr>
          <w:ilvl w:val="0"/>
          <w:numId w:val="1020"/>
        </w:numPr>
        <w:pStyle w:val="Compact"/>
      </w:pPr>
      <w:r>
        <w:t xml:space="preserve">Recette signée ; procès-verbal de mise en service établi.</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127.0.0.1:8765" TargetMode="External" /></Relationships>
</file>

<file path=word/_rels/footnotes.xml.rels><?xml version="1.0" encoding="UTF-8"?><Relationships xmlns="http://schemas.openxmlformats.org/package/2006/relationships"><Relationship Type="http://schemas.openxmlformats.org/officeDocument/2006/relationships/hyperlink" Id="rId35" Target="http://127.0.0.1:87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Guide d'installation — Sénégal</dc:title>
  <dc:creator/>
  <dc:language>fr</dc:language>
  <cp:keywords/>
  <dcterms:created xsi:type="dcterms:W3CDTF">2026-10-19T19:15:57Z</dcterms:created>
  <dcterms:modified xsi:type="dcterms:W3CDTF">2026-10-19T19:15:57Z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Déploiement de la plateforme WawID et des postes frontières au Sénégal · Version 1.0 · 19/10/2026</vt:lpwstr>
  </property>
  <property fmtid="{D5CDD505-2E9C-101B-9397-08002B2CF9AE}" pid="3" name="toc-title">
    <vt:lpwstr>Sommaire</vt:lpwstr>
  </property>
</Properties>
</file>