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7</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93%</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n+Pd/ls6FJ6g2ghf2fdd8YmNFA==">CgMxLjA4AHIhMTJVLWhiS1pBMDVPZmZkd2ZqVjNYdHFQSnFRMVliaGJa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