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7365D"/>
          <w:sz w:val="62"/>
        </w:rPr>
        <w:t>THE CURVATURE-MODULARITY</w:t>
        <w:br/>
        <w:t>CONSTANT</w:t>
      </w:r>
    </w:p>
    <w:p>
      <w:pPr>
        <w:jc w:val="center"/>
      </w:pPr>
      <w:r>
        <w:rPr>
          <w:color w:val="4F81BD"/>
          <w:sz w:val="32"/>
        </w:rPr>
        <w:t>A Regularization-Free Benchmark for Floating-Point Verification,</w:t>
        <w:br/>
        <w:t>High-Performance Computing, and Emerging Numerical Hardware</w:t>
      </w:r>
    </w:p>
    <w:p>
      <w:pPr>
        <w:spacing w:before="840"/>
        <w:jc w:val="center"/>
      </w:pPr>
      <w:r>
        <w:rPr>
          <w:i/>
          <w:sz w:val="26"/>
        </w:rPr>
        <w:t>A practical book for programmers and computer engineers</w:t>
      </w:r>
    </w:p>
    <w:p>
      <w:pPr>
        <w:spacing w:before="1300"/>
        <w:jc w:val="center"/>
      </w:pPr>
      <w:r>
        <w:rPr>
          <w:b/>
          <w:sz w:val="30"/>
        </w:rPr>
        <w:t>Sami I. Almuaigel</w:t>
      </w:r>
    </w:p>
    <w:p>
      <w:pPr>
        <w:jc w:val="center"/>
      </w:pPr>
      <w:r>
        <w:t>Independent Researcher</w:t>
        <w:br/>
        <w:t>ORCID: 0000-0003-3998-8733</w:t>
      </w:r>
    </w:p>
    <w:p>
      <w:r>
        <w:br w:type="page"/>
      </w:r>
    </w:p>
    <w:p>
      <w:pPr>
        <w:pStyle w:val="Heading1"/>
      </w:pPr>
      <w:r>
        <w:t>Copyright and source note</w:t>
      </w:r>
    </w:p>
    <w:p>
      <w:r>
        <w:t>Copyright © 2026 Sami I. Almuaigel. All rights reserved.</w:t>
      </w:r>
    </w:p>
    <w:p>
      <w:r>
        <w:t>This book is derived from the academic paper “A Regularization-Free Benchmark for Floating-Point Verification and Analog Quantum Simulation Using the Curvature-Modularity Constant” (FreeBenc.pdf, July 1, 2026). The definitions, analytical results, verification metric, numerical experiments, HPC analysis, and prospective quantum applications originate from that paper. Engineering examples, software organization, CI workflows, and language-specific implementations are pedagogical extensions created to make the research usable by programmers and computer engineers. They should not be interpreted as additional experimental evidence unless explicitly identified as such.</w:t>
      </w:r>
    </w:p>
    <w:p>
      <w:r>
        <w:t>The book is technical and educational. It does not certify any processor, compiler, accelerator, or quantum device. Certification requires controlled physical experiments, documented toolchains, and independent reproduction.</w:t>
      </w:r>
    </w:p>
    <w:p>
      <w:pPr>
        <w:pStyle w:val="Heading1"/>
      </w:pPr>
      <w:r>
        <w:t>Preface</w:t>
      </w:r>
    </w:p>
    <w:p>
      <w:r>
        <w:t>Modern computing no longer has one numerical environment. A single application may move among FP64 on a CPU, FP32 on a GPU, FP16 or BF16 in a tensor unit, FP8 in an inference accelerator, and approximate arithmetic in an analog or quantum device. Performance has improved rapidly, but confidence in the meaning of a numerical result has become harder to establish.</w:t>
      </w:r>
    </w:p>
    <w:p>
      <w:r>
        <w:t>This book presents the Curvature-Modularity Constant (CMC) integral as a compact accuracy benchmark. Its design is unusual: the integrand is sign-definite, smooth, absolutely convergent, free of singularities on the integration path, analytically solvable, and perfectly conditioned with respect to its scale parameter. These properties make it possible to separate errors caused by numerical representation and accumulation from errors caused by an unstable mathematical problem.</w:t>
      </w:r>
    </w:p>
    <w:p>
      <w:r>
        <w:t>The intended reader is a programmer, numerical software developer, compiler engineer, GPU or accelerator engineer, HPC practitioner, scientific-computing researcher, or advanced student. The book emphasizes implementation decisions, reproducibility, diagnostic interpretation, and integration into automated testing.</w:t>
      </w:r>
    </w:p>
    <w:p>
      <w:pPr>
        <w:pStyle w:val="Heading1"/>
      </w:pPr>
      <w:r>
        <w:t>How to use this book</w:t>
      </w:r>
    </w:p>
    <w:p>
      <w:pPr>
        <w:pStyle w:val="ListBullet"/>
      </w:pPr>
      <w:r>
        <w:t>Chapters 1-4 explain the numerical problem and the mathematical benchmark.</w:t>
      </w:r>
    </w:p>
    <w:p>
      <w:pPr>
        <w:pStyle w:val="ListBullet"/>
      </w:pPr>
      <w:r>
        <w:t>Chapters 5-8 turn the benchmark into production-quality software and a verification protocol.</w:t>
      </w:r>
    </w:p>
    <w:p>
      <w:pPr>
        <w:pStyle w:val="ListBullet"/>
      </w:pPr>
      <w:r>
        <w:t>Chapters 9-11 apply the protocol to mixed precision, AI accelerators, and distributed HPC.</w:t>
      </w:r>
    </w:p>
    <w:p>
      <w:pPr>
        <w:pStyle w:val="ListBullet"/>
      </w:pPr>
      <w:r>
        <w:t>Chapter 12 discusses analog and quantum use as a prospective research program, not a demonstrated hardware result.</w:t>
      </w:r>
    </w:p>
    <w:p>
      <w:pPr>
        <w:pStyle w:val="ListBullet"/>
      </w:pPr>
      <w:r>
        <w:t>Chapters 13-14 cover reproducibility, limitations, and extensions.</w:t>
      </w:r>
    </w:p>
    <w:p>
      <w:pPr>
        <w:pStyle w:val="ListBullet"/>
      </w:pPr>
      <w:r>
        <w:t>The appendices provide complete reference implementations and integration templates.</w:t>
      </w:r>
    </w:p>
    <w:p>
      <w:pPr>
        <w:pStyle w:val="Heading1"/>
      </w:pPr>
      <w:r>
        <w:t>Table of contents</w:t>
      </w:r>
    </w:p>
    <w:p>
      <w:pPr>
        <w:tabs>
          <w:tab w:pos="8928" w:val="right" w:leader="dot"/>
        </w:tabs>
        <w:spacing w:after="60"/>
      </w:pPr>
      <w:r>
        <w:rPr>
          <w:sz w:val="20"/>
        </w:rPr>
        <w:t>Chapter 1 - Why Numerical Verification Needs a New Benchmark</w:t>
      </w:r>
      <w:r>
        <w:rPr>
          <w:sz w:val="20"/>
        </w:rPr>
        <w:tab/>
        <w:t>6</w:t>
      </w:r>
    </w:p>
    <w:p>
      <w:pPr>
        <w:tabs>
          <w:tab w:pos="8928" w:val="right" w:leader="dot"/>
        </w:tabs>
        <w:spacing w:after="60"/>
      </w:pPr>
      <w:r>
        <w:rPr>
          <w:sz w:val="20"/>
        </w:rPr>
        <w:t>Chapter 2 - Floating-Point Behavior for Working Programmers</w:t>
      </w:r>
      <w:r>
        <w:rPr>
          <w:sz w:val="20"/>
        </w:rPr>
        <w:tab/>
        <w:t>8</w:t>
      </w:r>
    </w:p>
    <w:p>
      <w:pPr>
        <w:tabs>
          <w:tab w:pos="8928" w:val="right" w:leader="dot"/>
        </w:tabs>
        <w:spacing w:after="60"/>
      </w:pPr>
      <w:r>
        <w:rPr>
          <w:sz w:val="20"/>
        </w:rPr>
        <w:t>Chapter 3 - The CMC Integral</w:t>
      </w:r>
      <w:r>
        <w:rPr>
          <w:sz w:val="20"/>
        </w:rPr>
        <w:tab/>
        <w:t>10</w:t>
      </w:r>
    </w:p>
    <w:p>
      <w:pPr>
        <w:tabs>
          <w:tab w:pos="8928" w:val="right" w:leader="dot"/>
        </w:tabs>
        <w:spacing w:after="60"/>
      </w:pPr>
      <w:r>
        <w:rPr>
          <w:sz w:val="20"/>
        </w:rPr>
        <w:t>Chapter 4 - Conditioning and Error Isolation</w:t>
      </w:r>
      <w:r>
        <w:rPr>
          <w:sz w:val="20"/>
        </w:rPr>
        <w:tab/>
        <w:t>12</w:t>
      </w:r>
    </w:p>
    <w:p>
      <w:pPr>
        <w:tabs>
          <w:tab w:pos="8928" w:val="right" w:leader="dot"/>
        </w:tabs>
        <w:spacing w:after="60"/>
      </w:pPr>
      <w:r>
        <w:rPr>
          <w:sz w:val="20"/>
        </w:rPr>
        <w:t>Chapter 5 - A Production-Quality Python Implementation</w:t>
      </w:r>
      <w:r>
        <w:rPr>
          <w:sz w:val="20"/>
        </w:rPr>
        <w:tab/>
        <w:t>14</w:t>
      </w:r>
    </w:p>
    <w:p>
      <w:pPr>
        <w:tabs>
          <w:tab w:pos="8928" w:val="right" w:leader="dot"/>
        </w:tabs>
        <w:spacing w:after="60"/>
      </w:pPr>
      <w:r>
        <w:rPr>
          <w:sz w:val="20"/>
        </w:rPr>
        <w:t>Chapter 6 - Quadrature, Summation, and Reduced-Precision Emulation</w:t>
      </w:r>
      <w:r>
        <w:rPr>
          <w:sz w:val="20"/>
        </w:rPr>
        <w:tab/>
        <w:t>17</w:t>
      </w:r>
    </w:p>
    <w:p>
      <w:pPr>
        <w:tabs>
          <w:tab w:pos="8928" w:val="right" w:leader="dot"/>
        </w:tabs>
        <w:spacing w:after="60"/>
      </w:pPr>
      <w:r>
        <w:rPr>
          <w:sz w:val="20"/>
        </w:rPr>
        <w:t>Chapter 7 - The Verification Confidence Metric</w:t>
      </w:r>
      <w:r>
        <w:rPr>
          <w:sz w:val="20"/>
        </w:rPr>
        <w:tab/>
        <w:t>20</w:t>
      </w:r>
    </w:p>
    <w:p>
      <w:pPr>
        <w:tabs>
          <w:tab w:pos="8928" w:val="right" w:leader="dot"/>
        </w:tabs>
        <w:spacing w:after="60"/>
      </w:pPr>
      <w:r>
        <w:rPr>
          <w:sz w:val="20"/>
        </w:rPr>
        <w:t>Chapter 8 - Benchmark Harness and Continuous Integration</w:t>
      </w:r>
      <w:r>
        <w:rPr>
          <w:sz w:val="20"/>
        </w:rPr>
        <w:tab/>
        <w:t>22</w:t>
      </w:r>
    </w:p>
    <w:p>
      <w:pPr>
        <w:tabs>
          <w:tab w:pos="8928" w:val="right" w:leader="dot"/>
        </w:tabs>
        <w:spacing w:after="60"/>
      </w:pPr>
      <w:r>
        <w:rPr>
          <w:sz w:val="20"/>
        </w:rPr>
        <w:t>Chapter 9 - Mixed Precision and AI Accelerators</w:t>
      </w:r>
      <w:r>
        <w:rPr>
          <w:sz w:val="20"/>
        </w:rPr>
        <w:tab/>
        <w:t>24</w:t>
      </w:r>
    </w:p>
    <w:p>
      <w:pPr>
        <w:tabs>
          <w:tab w:pos="8928" w:val="right" w:leader="dot"/>
        </w:tabs>
        <w:spacing w:after="60"/>
      </w:pPr>
      <w:r>
        <w:rPr>
          <w:sz w:val="20"/>
        </w:rPr>
        <w:t>Chapter 10 - C++ and Systems-Level Integration</w:t>
      </w:r>
      <w:r>
        <w:rPr>
          <w:sz w:val="20"/>
        </w:rPr>
        <w:tab/>
        <w:t>26</w:t>
      </w:r>
    </w:p>
    <w:p>
      <w:pPr>
        <w:tabs>
          <w:tab w:pos="8928" w:val="right" w:leader="dot"/>
        </w:tabs>
        <w:spacing w:after="60"/>
      </w:pPr>
      <w:r>
        <w:rPr>
          <w:sz w:val="20"/>
        </w:rPr>
        <w:t>Chapter 11 - High-Performance and Distributed Computing</w:t>
      </w:r>
      <w:r>
        <w:rPr>
          <w:sz w:val="20"/>
        </w:rPr>
        <w:tab/>
        <w:t>28</w:t>
      </w:r>
    </w:p>
    <w:p>
      <w:pPr>
        <w:tabs>
          <w:tab w:pos="8928" w:val="right" w:leader="dot"/>
        </w:tabs>
        <w:spacing w:after="60"/>
      </w:pPr>
      <w:r>
        <w:rPr>
          <w:sz w:val="20"/>
        </w:rPr>
        <w:t>Chapter 12 - Analog and Quantum Numerical Verification</w:t>
      </w:r>
      <w:r>
        <w:rPr>
          <w:sz w:val="20"/>
        </w:rPr>
        <w:tab/>
        <w:t>30</w:t>
      </w:r>
    </w:p>
    <w:p>
      <w:pPr>
        <w:tabs>
          <w:tab w:pos="8928" w:val="right" w:leader="dot"/>
        </w:tabs>
        <w:spacing w:after="60"/>
      </w:pPr>
      <w:r>
        <w:rPr>
          <w:sz w:val="20"/>
        </w:rPr>
        <w:t>Chapter 13 - Reproducibility and Experimental Reporting</w:t>
      </w:r>
      <w:r>
        <w:rPr>
          <w:sz w:val="20"/>
        </w:rPr>
        <w:tab/>
        <w:t>32</w:t>
      </w:r>
    </w:p>
    <w:p>
      <w:pPr>
        <w:tabs>
          <w:tab w:pos="8928" w:val="right" w:leader="dot"/>
        </w:tabs>
        <w:spacing w:after="60"/>
      </w:pPr>
      <w:r>
        <w:rPr>
          <w:sz w:val="20"/>
        </w:rPr>
        <w:t>Chapter 14 - Limitations, Responsible Claims, and Research Directions</w:t>
      </w:r>
      <w:r>
        <w:rPr>
          <w:sz w:val="20"/>
        </w:rPr>
        <w:tab/>
        <w:t>34</w:t>
      </w:r>
    </w:p>
    <w:p>
      <w:pPr>
        <w:tabs>
          <w:tab w:pos="8928" w:val="right" w:leader="dot"/>
        </w:tabs>
        <w:spacing w:after="60"/>
      </w:pPr>
      <w:r>
        <w:rPr>
          <w:sz w:val="20"/>
        </w:rPr>
        <w:t>Appendix A - Complete Python Reference Program</w:t>
      </w:r>
      <w:r>
        <w:rPr>
          <w:sz w:val="20"/>
        </w:rPr>
        <w:tab/>
        <w:t>36</w:t>
      </w:r>
    </w:p>
    <w:p>
      <w:pPr>
        <w:tabs>
          <w:tab w:pos="8928" w:val="right" w:leader="dot"/>
        </w:tabs>
        <w:spacing w:after="60"/>
      </w:pPr>
      <w:r>
        <w:rPr>
          <w:sz w:val="20"/>
        </w:rPr>
        <w:t>Appendix B - CUDA-Oriented Kernel Skeleton</w:t>
      </w:r>
      <w:r>
        <w:rPr>
          <w:sz w:val="20"/>
        </w:rPr>
        <w:tab/>
        <w:t>38</w:t>
      </w:r>
    </w:p>
    <w:p>
      <w:pPr>
        <w:tabs>
          <w:tab w:pos="8928" w:val="right" w:leader="dot"/>
        </w:tabs>
        <w:spacing w:after="60"/>
      </w:pPr>
      <w:r>
        <w:rPr>
          <w:sz w:val="20"/>
        </w:rPr>
        <w:t>Appendix C - Diagnostic Checklist</w:t>
      </w:r>
      <w:r>
        <w:rPr>
          <w:sz w:val="20"/>
        </w:rPr>
        <w:tab/>
        <w:t>39</w:t>
      </w:r>
    </w:p>
    <w:p>
      <w:pPr>
        <w:tabs>
          <w:tab w:pos="8928" w:val="right" w:leader="dot"/>
        </w:tabs>
        <w:spacing w:after="60"/>
      </w:pPr>
      <w:r>
        <w:rPr>
          <w:sz w:val="20"/>
        </w:rPr>
        <w:t>Appendix D - Glossary</w:t>
      </w:r>
      <w:r>
        <w:rPr>
          <w:sz w:val="20"/>
        </w:rPr>
        <w:tab/>
        <w:t>40</w:t>
      </w:r>
    </w:p>
    <w:p>
      <w:pPr>
        <w:tabs>
          <w:tab w:pos="8928" w:val="right" w:leader="dot"/>
        </w:tabs>
        <w:spacing w:after="60"/>
      </w:pPr>
      <w:r>
        <w:rPr>
          <w:sz w:val="20"/>
        </w:rPr>
        <w:t>References</w:t>
      </w:r>
      <w:r>
        <w:rPr>
          <w:sz w:val="20"/>
        </w:rPr>
        <w:tab/>
        <w:t>41</w:t>
      </w:r>
    </w:p>
    <w:p>
      <w:r>
        <w:br w:type="page"/>
      </w:r>
    </w:p>
    <w:p>
      <w:pPr>
        <w:pStyle w:val="Heading1"/>
      </w:pPr>
      <w:r>
        <w:t>Chapter 1</w:t>
      </w:r>
    </w:p>
    <w:p>
      <w:pPr>
        <w:pStyle w:val="ChapterTitle"/>
      </w:pPr>
      <w:r>
        <w:t>Why Numerical Verification Needs a New Benchmark</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Understand why performance benchmarks and high-precision reference values are insufficient for verifying modern heterogeneous and reduced-precision systems.</w:t>
            </w:r>
          </w:p>
        </w:tc>
      </w:tr>
    </w:tbl>
    <w:p/>
    <w:p>
      <w:pPr>
        <w:pStyle w:val="Heading2"/>
      </w:pPr>
      <w:r>
        <w:t>1.1 The verification crisis</w:t>
      </w:r>
    </w:p>
    <w:p>
      <w:r>
        <w:t>Scientific software is increasingly executed on heterogeneous architectures with different arithmetic rules, precisions, reduction orders, compiler transformations, and exception behavior. A result that is stable on one CPU may move by several units in the last place on a GPU, collapse under FP16, or become dominated by quantization in FP8. The central engineering question is not merely whether code runs, but whether the computed value remains numerically meaningful.</w:t>
      </w:r>
    </w:p>
    <w:p>
      <w:r>
        <w:t>Traditional validation often compares a low-precision result with a value computed in a higher precision. That approach is useful, but it is not an absolute ground truth: the reference itself is the output of another algorithm, library, and architecture. A stronger benchmark begins with an exact analytic value and a mathematical problem whose sensitivity is already known.</w:t>
      </w:r>
    </w:p>
    <w:p>
      <w:pPr>
        <w:pStyle w:val="Heading2"/>
      </w:pPr>
      <w:r>
        <w:t>1.2 Four error sources that must be separated</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3341"/>
            <w:shd w:fill="1F4E78"/>
            <w:vAlign w:val="center"/>
          </w:tcPr>
          <w:p>
            <w:r>
              <w:rPr>
                <w:b/>
                <w:color w:val="FFFFFF"/>
              </w:rPr>
              <w:t>Error source</w:t>
            </w:r>
          </w:p>
        </w:tc>
        <w:tc>
          <w:tcPr>
            <w:tcW w:type="dxa" w:w="3341"/>
            <w:shd w:fill="1F4E78"/>
            <w:vAlign w:val="center"/>
          </w:tcPr>
          <w:p>
            <w:r>
              <w:rPr>
                <w:b/>
                <w:color w:val="FFFFFF"/>
              </w:rPr>
              <w:t>Typical cause</w:t>
            </w:r>
          </w:p>
        </w:tc>
        <w:tc>
          <w:tcPr>
            <w:tcW w:type="dxa" w:w="3341"/>
            <w:shd w:fill="1F4E78"/>
            <w:vAlign w:val="center"/>
          </w:tcPr>
          <w:p>
            <w:r>
              <w:rPr>
                <w:b/>
                <w:color w:val="FFFFFF"/>
              </w:rPr>
              <w:t>What it tells the engineer</w:t>
            </w:r>
          </w:p>
        </w:tc>
      </w:tr>
      <w:tr>
        <w:tc>
          <w:tcPr>
            <w:tcW w:type="dxa" w:w="3341"/>
            <w:vAlign w:val="center"/>
            <w:tcMar>
              <w:top w:w="100" w:type="dxa"/>
              <w:start w:w="120" w:type="dxa"/>
              <w:bottom w:w="100" w:type="dxa"/>
              <w:end w:w="120" w:type="dxa"/>
            </w:tcMar>
          </w:tcPr>
          <w:p>
            <w:r>
              <w:t>Model/discretization</w:t>
            </w:r>
          </w:p>
        </w:tc>
        <w:tc>
          <w:tcPr>
            <w:tcW w:type="dxa" w:w="3341"/>
            <w:vAlign w:val="center"/>
            <w:tcMar>
              <w:top w:w="100" w:type="dxa"/>
              <w:start w:w="120" w:type="dxa"/>
              <w:bottom w:w="100" w:type="dxa"/>
              <w:end w:w="120" w:type="dxa"/>
            </w:tcMar>
          </w:tcPr>
          <w:p>
            <w:r>
              <w:t>Finite grids, time steps, simplified physics</w:t>
            </w:r>
          </w:p>
        </w:tc>
        <w:tc>
          <w:tcPr>
            <w:tcW w:type="dxa" w:w="3341"/>
            <w:vAlign w:val="center"/>
            <w:tcMar>
              <w:top w:w="100" w:type="dxa"/>
              <w:start w:w="120" w:type="dxa"/>
              <w:bottom w:w="100" w:type="dxa"/>
              <w:end w:w="120" w:type="dxa"/>
            </w:tcMar>
          </w:tcPr>
          <w:p>
            <w:r>
              <w:t>Whether the computational model approximates the intended system</w:t>
            </w:r>
          </w:p>
        </w:tc>
      </w:tr>
      <w:tr>
        <w:tc>
          <w:tcPr>
            <w:tcW w:type="dxa" w:w="3341"/>
            <w:vAlign w:val="center"/>
            <w:tcMar>
              <w:top w:w="100" w:type="dxa"/>
              <w:start w:w="120" w:type="dxa"/>
              <w:bottom w:w="100" w:type="dxa"/>
              <w:end w:w="120" w:type="dxa"/>
            </w:tcMar>
          </w:tcPr>
          <w:p>
            <w:r>
              <w:t>Quadrature/truncation</w:t>
            </w:r>
          </w:p>
        </w:tc>
        <w:tc>
          <w:tcPr>
            <w:tcW w:type="dxa" w:w="3341"/>
            <w:vAlign w:val="center"/>
            <w:tcMar>
              <w:top w:w="100" w:type="dxa"/>
              <w:start w:w="120" w:type="dxa"/>
              <w:bottom w:w="100" w:type="dxa"/>
              <w:end w:w="120" w:type="dxa"/>
            </w:tcMar>
          </w:tcPr>
          <w:p>
            <w:r>
              <w:t>Finite interval, finite nodes, rule order</w:t>
            </w:r>
          </w:p>
        </w:tc>
        <w:tc>
          <w:tcPr>
            <w:tcW w:type="dxa" w:w="3341"/>
            <w:vAlign w:val="center"/>
            <w:tcMar>
              <w:top w:w="100" w:type="dxa"/>
              <w:start w:w="120" w:type="dxa"/>
              <w:bottom w:w="100" w:type="dxa"/>
              <w:end w:w="120" w:type="dxa"/>
            </w:tcMar>
          </w:tcPr>
          <w:p>
            <w:r>
              <w:t>Whether the numerical method resolves the benchmark</w:t>
            </w:r>
          </w:p>
        </w:tc>
      </w:tr>
      <w:tr>
        <w:tc>
          <w:tcPr>
            <w:tcW w:type="dxa" w:w="3341"/>
            <w:vAlign w:val="center"/>
            <w:tcMar>
              <w:top w:w="100" w:type="dxa"/>
              <w:start w:w="120" w:type="dxa"/>
              <w:bottom w:w="100" w:type="dxa"/>
              <w:end w:w="120" w:type="dxa"/>
            </w:tcMar>
          </w:tcPr>
          <w:p>
            <w:r>
              <w:t>Representation</w:t>
            </w:r>
          </w:p>
        </w:tc>
        <w:tc>
          <w:tcPr>
            <w:tcW w:type="dxa" w:w="3341"/>
            <w:vAlign w:val="center"/>
            <w:tcMar>
              <w:top w:w="100" w:type="dxa"/>
              <w:start w:w="120" w:type="dxa"/>
              <w:bottom w:w="100" w:type="dxa"/>
              <w:end w:w="120" w:type="dxa"/>
            </w:tcMar>
          </w:tcPr>
          <w:p>
            <w:r>
              <w:t>Rounding, underflow, overflow, quantization</w:t>
            </w:r>
          </w:p>
        </w:tc>
        <w:tc>
          <w:tcPr>
            <w:tcW w:type="dxa" w:w="3341"/>
            <w:vAlign w:val="center"/>
            <w:tcMar>
              <w:top w:w="100" w:type="dxa"/>
              <w:start w:w="120" w:type="dxa"/>
              <w:bottom w:w="100" w:type="dxa"/>
              <w:end w:w="120" w:type="dxa"/>
            </w:tcMar>
          </w:tcPr>
          <w:p>
            <w:r>
              <w:t>Whether the chosen format preserves the computation</w:t>
            </w:r>
          </w:p>
        </w:tc>
      </w:tr>
      <w:tr>
        <w:tc>
          <w:tcPr>
            <w:tcW w:type="dxa" w:w="3341"/>
            <w:vAlign w:val="center"/>
            <w:tcMar>
              <w:top w:w="100" w:type="dxa"/>
              <w:start w:w="120" w:type="dxa"/>
              <w:bottom w:w="100" w:type="dxa"/>
              <w:end w:w="120" w:type="dxa"/>
            </w:tcMar>
          </w:tcPr>
          <w:p>
            <w:r>
              <w:t>Implementation/hardware</w:t>
            </w:r>
          </w:p>
        </w:tc>
        <w:tc>
          <w:tcPr>
            <w:tcW w:type="dxa" w:w="3341"/>
            <w:vAlign w:val="center"/>
            <w:tcMar>
              <w:top w:w="100" w:type="dxa"/>
              <w:start w:w="120" w:type="dxa"/>
              <w:bottom w:w="100" w:type="dxa"/>
              <w:end w:w="120" w:type="dxa"/>
            </w:tcMar>
          </w:tcPr>
          <w:p>
            <w:r>
              <w:t>Compiler, reduction order, ALU fault, library defect</w:t>
            </w:r>
          </w:p>
        </w:tc>
        <w:tc>
          <w:tcPr>
            <w:tcW w:type="dxa" w:w="3341"/>
            <w:vAlign w:val="center"/>
            <w:tcMar>
              <w:top w:w="100" w:type="dxa"/>
              <w:start w:w="120" w:type="dxa"/>
              <w:bottom w:w="100" w:type="dxa"/>
              <w:end w:w="120" w:type="dxa"/>
            </w:tcMar>
          </w:tcPr>
          <w:p>
            <w:r>
              <w:t>Whether the stack executes the intended arithmetic</w:t>
            </w:r>
          </w:p>
        </w:tc>
      </w:tr>
    </w:tbl>
    <w:p/>
    <w:p>
      <w:r>
        <w:t>A benchmark is diagnostically weak when these sources are entangled. For example, an oscillatory integral may lose digits through cancellation even on flawless hardware. Observing a large error then does not identify whether the failure came from the format, the algorithm, or the benchmark itself.</w:t>
      </w:r>
    </w:p>
    <w:p>
      <w:pPr>
        <w:pStyle w:val="Heading2"/>
      </w:pPr>
      <w:r>
        <w:t>1.3 Design requirements</w:t>
      </w:r>
    </w:p>
    <w:p>
      <w:pPr>
        <w:pStyle w:val="ListNumber"/>
      </w:pPr>
      <w:r>
        <w:t>Closed-form ground truth that does not depend on a second numerical implementation.</w:t>
      </w:r>
    </w:p>
    <w:p>
      <w:pPr>
        <w:pStyle w:val="ListNumber"/>
      </w:pPr>
      <w:r>
        <w:t>Absolute convergence without analytic continuation, regularization, or counterterms.</w:t>
      </w:r>
    </w:p>
    <w:p>
      <w:pPr>
        <w:pStyle w:val="ListNumber"/>
      </w:pPr>
      <w:r>
        <w:t>A smooth and singularity-free integration path.</w:t>
      </w:r>
    </w:p>
    <w:p>
      <w:pPr>
        <w:pStyle w:val="ListNumber"/>
      </w:pPr>
      <w:r>
        <w:t>Condition number of order one, ideally exactly one.</w:t>
      </w:r>
    </w:p>
    <w:p>
      <w:pPr>
        <w:pStyle w:val="ListNumber"/>
      </w:pPr>
      <w:r>
        <w:t>A sign-definite integrand to suppress subtractive cancellation.</w:t>
      </w:r>
    </w:p>
    <w:p>
      <w:pPr>
        <w:pStyle w:val="ListNumber"/>
      </w:pPr>
      <w:r>
        <w:t>A tunable parameter that supports scale testing without changing the problem class.</w:t>
      </w:r>
    </w:p>
    <w:p>
      <w:pPr>
        <w:pStyle w:val="ListNumber"/>
      </w:pPr>
      <w:r>
        <w:t>A computational kernel simple enough to port across languages and hardware.</w:t>
      </w:r>
    </w:p>
    <w:p>
      <w:pPr>
        <w:pStyle w:val="Heading2"/>
      </w:pPr>
      <w:r>
        <w:t>1.4 What CMC is and is not</w:t>
      </w:r>
    </w:p>
    <w:p>
      <w:r>
        <w:t>CMC is an accuracy and stability benchmark built from a curvature density. It tests evaluation, quadrature, accumulation, precision conversion, reduction strategy, and cross-platform reproducibility. It does not replace LINPACK or HPCG for throughput, matrix operations, or memory-system performance. It also does not validate PDE discretizations, eigenvalue solvers, or complete application models. Its value is narrower and more diagnostic: it supplies a controlled scalar computation with an exact answer.</w:t>
      </w:r>
    </w:p>
    <w:p>
      <w:r>
        <w:br w:type="page"/>
      </w:r>
    </w:p>
    <w:p>
      <w:pPr>
        <w:pStyle w:val="Heading1"/>
      </w:pPr>
      <w:r>
        <w:t>Chapter 2</w:t>
      </w:r>
    </w:p>
    <w:p>
      <w:pPr>
        <w:pStyle w:val="ChapterTitle"/>
      </w:pPr>
      <w:r>
        <w:t>Floating-Point Behavior for Working Programmers</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Develop the minimum numerical model needed to interpret CMC results across FP64, FP32, FP16, BF16, and FP8-like formats.</w:t>
            </w:r>
          </w:p>
        </w:tc>
      </w:tr>
    </w:tbl>
    <w:p/>
    <w:p>
      <w:pPr>
        <w:pStyle w:val="Heading2"/>
      </w:pPr>
      <w:r>
        <w:t>2.1 The standard rounding model</w:t>
      </w:r>
    </w:p>
    <w:p>
      <w:r>
        <w:t>For a basic operation performed in a floating-point format, a common first-order model is fl(x op y) = (x op y)(1 + δ), where |δ| is bounded by the unit roundoff u when the exact result is normal and no exceptional condition occurs. This model is local. A program combines many such operations, conversions, and reductions, so its final error depends on both the format and the computation graph.</w:t>
      </w:r>
    </w:p>
    <w:p>
      <w:pPr>
        <w:pStyle w:val="Equation"/>
        <w:jc w:val="center"/>
      </w:pPr>
      <w:r>
        <w:t>fl(x op y) = (x op y)(1 + δ),   |δ| ≤ u</w:t>
      </w:r>
      <w:r>
        <w:t xml:space="preserve">    (2.1)</w:t>
      </w:r>
    </w:p>
    <w:p>
      <w:pPr>
        <w:pStyle w:val="Heading2"/>
      </w:pPr>
      <w:r>
        <w:t>2.2 Precision is not only mantissa width</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3341"/>
            <w:shd w:fill="1F4E78"/>
            <w:vAlign w:val="center"/>
          </w:tcPr>
          <w:p>
            <w:r>
              <w:rPr>
                <w:b/>
                <w:color w:val="FFFFFF"/>
              </w:rPr>
              <w:t>Format</w:t>
            </w:r>
          </w:p>
        </w:tc>
        <w:tc>
          <w:tcPr>
            <w:tcW w:type="dxa" w:w="3341"/>
            <w:shd w:fill="1F4E78"/>
            <w:vAlign w:val="center"/>
          </w:tcPr>
          <w:p>
            <w:r>
              <w:rPr>
                <w:b/>
                <w:color w:val="FFFFFF"/>
              </w:rPr>
              <w:t>Typical role</w:t>
            </w:r>
          </w:p>
        </w:tc>
        <w:tc>
          <w:tcPr>
            <w:tcW w:type="dxa" w:w="3341"/>
            <w:shd w:fill="1F4E78"/>
            <w:vAlign w:val="center"/>
          </w:tcPr>
          <w:p>
            <w:r>
              <w:rPr>
                <w:b/>
                <w:color w:val="FFFFFF"/>
              </w:rPr>
              <w:t>Key risk</w:t>
            </w:r>
          </w:p>
        </w:tc>
      </w:tr>
      <w:tr>
        <w:tc>
          <w:tcPr>
            <w:tcW w:type="dxa" w:w="3341"/>
            <w:vAlign w:val="center"/>
            <w:tcMar>
              <w:top w:w="100" w:type="dxa"/>
              <w:start w:w="120" w:type="dxa"/>
              <w:bottom w:w="100" w:type="dxa"/>
              <w:end w:w="120" w:type="dxa"/>
            </w:tcMar>
          </w:tcPr>
          <w:p>
            <w:r>
              <w:t>FP64</w:t>
            </w:r>
          </w:p>
        </w:tc>
        <w:tc>
          <w:tcPr>
            <w:tcW w:type="dxa" w:w="3341"/>
            <w:vAlign w:val="center"/>
            <w:tcMar>
              <w:top w:w="100" w:type="dxa"/>
              <w:start w:w="120" w:type="dxa"/>
              <w:bottom w:w="100" w:type="dxa"/>
              <w:end w:w="120" w:type="dxa"/>
            </w:tcMar>
          </w:tcPr>
          <w:p>
            <w:r>
              <w:t>Reference scientific computation</w:t>
            </w:r>
          </w:p>
        </w:tc>
        <w:tc>
          <w:tcPr>
            <w:tcW w:type="dxa" w:w="3341"/>
            <w:vAlign w:val="center"/>
            <w:tcMar>
              <w:top w:w="100" w:type="dxa"/>
              <w:start w:w="120" w:type="dxa"/>
              <w:bottom w:w="100" w:type="dxa"/>
              <w:end w:w="120" w:type="dxa"/>
            </w:tcMar>
          </w:tcPr>
          <w:p>
            <w:r>
              <w:t>Cost and reduced accelerator throughput</w:t>
            </w:r>
          </w:p>
        </w:tc>
      </w:tr>
      <w:tr>
        <w:tc>
          <w:tcPr>
            <w:tcW w:type="dxa" w:w="3341"/>
            <w:vAlign w:val="center"/>
            <w:tcMar>
              <w:top w:w="100" w:type="dxa"/>
              <w:start w:w="120" w:type="dxa"/>
              <w:bottom w:w="100" w:type="dxa"/>
              <w:end w:w="120" w:type="dxa"/>
            </w:tcMar>
          </w:tcPr>
          <w:p>
            <w:r>
              <w:t>FP32</w:t>
            </w:r>
          </w:p>
        </w:tc>
        <w:tc>
          <w:tcPr>
            <w:tcW w:type="dxa" w:w="3341"/>
            <w:vAlign w:val="center"/>
            <w:tcMar>
              <w:top w:w="100" w:type="dxa"/>
              <w:start w:w="120" w:type="dxa"/>
              <w:bottom w:w="100" w:type="dxa"/>
              <w:end w:w="120" w:type="dxa"/>
            </w:tcMar>
          </w:tcPr>
          <w:p>
            <w:r>
              <w:t>General GPU and scientific workloads</w:t>
            </w:r>
          </w:p>
        </w:tc>
        <w:tc>
          <w:tcPr>
            <w:tcW w:type="dxa" w:w="3341"/>
            <w:vAlign w:val="center"/>
            <w:tcMar>
              <w:top w:w="100" w:type="dxa"/>
              <w:start w:w="120" w:type="dxa"/>
              <w:bottom w:w="100" w:type="dxa"/>
              <w:end w:w="120" w:type="dxa"/>
            </w:tcMar>
          </w:tcPr>
          <w:p>
            <w:r>
              <w:t>Reduction-order variation and moderate dynamic range</w:t>
            </w:r>
          </w:p>
        </w:tc>
      </w:tr>
      <w:tr>
        <w:tc>
          <w:tcPr>
            <w:tcW w:type="dxa" w:w="3341"/>
            <w:vAlign w:val="center"/>
            <w:tcMar>
              <w:top w:w="100" w:type="dxa"/>
              <w:start w:w="120" w:type="dxa"/>
              <w:bottom w:w="100" w:type="dxa"/>
              <w:end w:w="120" w:type="dxa"/>
            </w:tcMar>
          </w:tcPr>
          <w:p>
            <w:r>
              <w:t>FP16</w:t>
            </w:r>
          </w:p>
        </w:tc>
        <w:tc>
          <w:tcPr>
            <w:tcW w:type="dxa" w:w="3341"/>
            <w:vAlign w:val="center"/>
            <w:tcMar>
              <w:top w:w="100" w:type="dxa"/>
              <w:start w:w="120" w:type="dxa"/>
              <w:bottom w:w="100" w:type="dxa"/>
              <w:end w:w="120" w:type="dxa"/>
            </w:tcMar>
          </w:tcPr>
          <w:p>
            <w:r>
              <w:t>Training/inference and accelerators</w:t>
            </w:r>
          </w:p>
        </w:tc>
        <w:tc>
          <w:tcPr>
            <w:tcW w:type="dxa" w:w="3341"/>
            <w:vAlign w:val="center"/>
            <w:tcMar>
              <w:top w:w="100" w:type="dxa"/>
              <w:start w:w="120" w:type="dxa"/>
              <w:bottom w:w="100" w:type="dxa"/>
              <w:end w:w="120" w:type="dxa"/>
            </w:tcMar>
          </w:tcPr>
          <w:p>
            <w:r>
              <w:t>Small exponent range; overflow/underflow</w:t>
            </w:r>
          </w:p>
        </w:tc>
      </w:tr>
      <w:tr>
        <w:tc>
          <w:tcPr>
            <w:tcW w:type="dxa" w:w="3341"/>
            <w:vAlign w:val="center"/>
            <w:tcMar>
              <w:top w:w="100" w:type="dxa"/>
              <w:start w:w="120" w:type="dxa"/>
              <w:bottom w:w="100" w:type="dxa"/>
              <w:end w:w="120" w:type="dxa"/>
            </w:tcMar>
          </w:tcPr>
          <w:p>
            <w:r>
              <w:t>BF16</w:t>
            </w:r>
          </w:p>
        </w:tc>
        <w:tc>
          <w:tcPr>
            <w:tcW w:type="dxa" w:w="3341"/>
            <w:vAlign w:val="center"/>
            <w:tcMar>
              <w:top w:w="100" w:type="dxa"/>
              <w:start w:w="120" w:type="dxa"/>
              <w:bottom w:w="100" w:type="dxa"/>
              <w:end w:w="120" w:type="dxa"/>
            </w:tcMar>
          </w:tcPr>
          <w:p>
            <w:r>
              <w:t>Training with FP32-like exponent range</w:t>
            </w:r>
          </w:p>
        </w:tc>
        <w:tc>
          <w:tcPr>
            <w:tcW w:type="dxa" w:w="3341"/>
            <w:vAlign w:val="center"/>
            <w:tcMar>
              <w:top w:w="100" w:type="dxa"/>
              <w:start w:w="120" w:type="dxa"/>
              <w:bottom w:w="100" w:type="dxa"/>
              <w:end w:w="120" w:type="dxa"/>
            </w:tcMar>
          </w:tcPr>
          <w:p>
            <w:r>
              <w:t>Low significand precision</w:t>
            </w:r>
          </w:p>
        </w:tc>
      </w:tr>
      <w:tr>
        <w:tc>
          <w:tcPr>
            <w:tcW w:type="dxa" w:w="3341"/>
            <w:vAlign w:val="center"/>
            <w:tcMar>
              <w:top w:w="100" w:type="dxa"/>
              <w:start w:w="120" w:type="dxa"/>
              <w:bottom w:w="100" w:type="dxa"/>
              <w:end w:w="120" w:type="dxa"/>
            </w:tcMar>
          </w:tcPr>
          <w:p>
            <w:r>
              <w:t>FP8 variants</w:t>
            </w:r>
          </w:p>
        </w:tc>
        <w:tc>
          <w:tcPr>
            <w:tcW w:type="dxa" w:w="3341"/>
            <w:vAlign w:val="center"/>
            <w:tcMar>
              <w:top w:w="100" w:type="dxa"/>
              <w:start w:w="120" w:type="dxa"/>
              <w:bottom w:w="100" w:type="dxa"/>
              <w:end w:w="120" w:type="dxa"/>
            </w:tcMar>
          </w:tcPr>
          <w:p>
            <w:r>
              <w:t>Inference and experimental training</w:t>
            </w:r>
          </w:p>
        </w:tc>
        <w:tc>
          <w:tcPr>
            <w:tcW w:type="dxa" w:w="3341"/>
            <w:vAlign w:val="center"/>
            <w:tcMar>
              <w:top w:w="100" w:type="dxa"/>
              <w:start w:w="120" w:type="dxa"/>
              <w:bottom w:w="100" w:type="dxa"/>
              <w:end w:w="120" w:type="dxa"/>
            </w:tcMar>
          </w:tcPr>
          <w:p>
            <w:r>
              <w:t>Severe quantization and format-dependent range</w:t>
            </w:r>
          </w:p>
        </w:tc>
      </w:tr>
    </w:tbl>
    <w:p/>
    <w:p>
      <w:r>
        <w:t>Two formats with a similar number of bits can behave very differently. BF16 preserves exponent range at the expense of significand bits, while IEEE-style FP16 offers more fraction bits but a smaller exponent range. FP8 is not one universal format; implementations differ in exponent allocation, special values, saturation, and accumulation precision.</w:t>
      </w:r>
    </w:p>
    <w:p>
      <w:pPr>
        <w:pStyle w:val="Heading2"/>
      </w:pPr>
      <w:r>
        <w:t>2.3 Catastrophic cancellation</w:t>
      </w:r>
    </w:p>
    <w:p>
      <w:r>
        <w:t>When nearly equal numbers are subtracted, leading digits cancel and previously insignificant rounding errors become significant. An oscillatory or alternating benchmark may therefore fail for mathematical reasons before it meaningfully tests the hardware. CMC avoids this failure mode because every nonzero sample of the curvature density has the same sign.</w:t>
      </w:r>
    </w:p>
    <w:p>
      <w:pPr>
        <w:pStyle w:val="Heading2"/>
      </w:pPr>
      <w:r>
        <w:t>2.4 Summation order is part of the algorithm</w:t>
      </w:r>
    </w:p>
    <w:p>
      <w:r>
        <w:t>A serial left-to-right sum, a balanced tree reduction, a GPU warp reduction, and a distributed MPI reduction generally produce different bit patterns. Floating-point addition is not associative. For verification, the reduction strategy must be recorded as part of the benchmark configuration.</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Engineering rule</w:t>
              <w:br/>
            </w:r>
            <w:r>
              <w:t>Never report “the FP32 result” without reporting the accumulator precision, evaluation precision, reduction order, compiler flags, and quadrature rule.</w:t>
            </w:r>
          </w:p>
        </w:tc>
      </w:tr>
    </w:tbl>
    <w:p/>
    <w:p>
      <w:pPr>
        <w:pStyle w:val="Heading2"/>
      </w:pPr>
      <w:r>
        <w:t>2.5 Exceptional values</w:t>
      </w:r>
    </w:p>
    <w:p>
      <w:r>
        <w:t>Overflow, underflow, subnormal flushing, saturation, NaN propagation, and fused multiply-add can alter the benchmark. A production implementation should explicitly detect non-finite samples and should expose whether the target platform flushes subnormals or accumulates into a wider type.</w:t>
      </w:r>
    </w:p>
    <w:p>
      <w:r>
        <w:br w:type="page"/>
      </w:r>
    </w:p>
    <w:p>
      <w:pPr>
        <w:pStyle w:val="Heading1"/>
      </w:pPr>
      <w:r>
        <w:t>Chapter 3</w:t>
      </w:r>
    </w:p>
    <w:p>
      <w:pPr>
        <w:pStyle w:val="ChapterTitle"/>
      </w:pPr>
      <w:r>
        <w:t>The CMC Integral</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Define the benchmark kernel, exact value, scaling law, and analytical properties used throughout the software implementation.</w:t>
            </w:r>
          </w:p>
        </w:tc>
      </w:tr>
    </w:tbl>
    <w:p/>
    <w:p>
      <w:pPr>
        <w:pStyle w:val="Heading2"/>
      </w:pPr>
      <w:r>
        <w:t>3.1 Benchmark definition</w:t>
      </w:r>
    </w:p>
    <w:p>
      <w:r>
        <w:t>Let a &gt; 0 be a scale parameter. After using translation invariance to set the center z0 to zero, the curvature density is</w:t>
      </w:r>
    </w:p>
    <w:p>
      <w:pPr>
        <w:pStyle w:val="Equation"/>
        <w:jc w:val="center"/>
      </w:pPr>
      <w:r>
        <w:t>K(t; a) = - 8 a^4 |t|^6 / (|t|^4 + a^4)^3</w:t>
      </w:r>
      <w:r>
        <w:t xml:space="preserve">    (3.1)</w:t>
      </w:r>
    </w:p>
    <w:p>
      <w:r>
        <w:t>The benchmark evaluates the improper integral over the real line:</w:t>
      </w:r>
    </w:p>
    <w:p>
      <w:pPr>
        <w:pStyle w:val="Equation"/>
        <w:jc w:val="center"/>
      </w:pPr>
      <w:r>
        <w:t>I(a) = ∫_{-∞}^{∞} K(t; a) dt = -3π√2 / (8a)</w:t>
      </w:r>
      <w:r>
        <w:t xml:space="preserve">    (3.2)</w:t>
      </w:r>
    </w:p>
    <w:p>
      <w:pPr>
        <w:pStyle w:val="Heading2"/>
      </w:pPr>
      <w:r>
        <w:t>3.2 Why the kernel is useful</w:t>
      </w:r>
    </w:p>
    <w:p>
      <w:pPr>
        <w:pStyle w:val="ListBullet"/>
      </w:pPr>
      <w:r>
        <w:t>Sign-definite: K(t; a) ≤ 0 and is strictly negative except at t = 0.</w:t>
      </w:r>
    </w:p>
    <w:p>
      <w:pPr>
        <w:pStyle w:val="ListBullet"/>
      </w:pPr>
      <w:r>
        <w:t>Smooth: the denominator is positive for every real t when a &gt; 0.</w:t>
      </w:r>
    </w:p>
    <w:p>
      <w:pPr>
        <w:pStyle w:val="ListBullet"/>
      </w:pPr>
      <w:r>
        <w:t>Absolutely integrable: the tail decays as O(|t|^-6).</w:t>
      </w:r>
    </w:p>
    <w:p>
      <w:pPr>
        <w:pStyle w:val="ListBullet"/>
      </w:pPr>
      <w:r>
        <w:t>Symmetric: K(-t; a) = K(t; a), enabling half-domain integration.</w:t>
      </w:r>
    </w:p>
    <w:p>
      <w:pPr>
        <w:pStyle w:val="ListBullet"/>
      </w:pPr>
      <w:r>
        <w:t>Scale-covariant: K(t; a) = a^-2 K(t/a; 1).</w:t>
      </w:r>
    </w:p>
    <w:p>
      <w:pPr>
        <w:pStyle w:val="ListBullet"/>
      </w:pPr>
      <w:r>
        <w:t>Closed form: the exact integral contains π and √2 and is independent of a numerical reference library.</w:t>
      </w:r>
    </w:p>
    <w:p>
      <w:pPr>
        <w:pStyle w:val="Heading2"/>
      </w:pPr>
      <w:r>
        <w:t>3.3 A dimensionless implementation</w:t>
      </w:r>
    </w:p>
    <w:p>
      <w:r>
        <w:t>Set x = t/a. Then dt = a dx and the integral becomes a scaled copy of a canonical integral. This representation is often safer because the kernel is evaluated near order-one values even when a is extremely large or small.</w:t>
      </w:r>
    </w:p>
    <w:p>
      <w:pPr>
        <w:pStyle w:val="Equation"/>
        <w:jc w:val="center"/>
      </w:pPr>
      <w:r>
        <w:t>I(a) = (1/a) ∫_{-∞}^{∞} [-8 |x|^6 / (|x|^4 + 1)^3] dx</w:t>
      </w:r>
      <w:r>
        <w:t xml:space="preserve">    (3.3)</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Preferred implementation</w:t>
              <w:br/>
            </w:r>
            <w:r>
              <w:t>Evaluate the dimensionless kernel in x and multiply the accumulated integral by 1/a. This reduces avoidable overflow and underflow from forming a^4 directly.</w:t>
            </w:r>
          </w:p>
        </w:tc>
      </w:tr>
    </w:tbl>
    <w:p/>
    <w:p>
      <w:pPr>
        <w:pStyle w:val="Heading2"/>
      </w:pPr>
      <w:r>
        <w:t>3.4 Stable kernel algebra</w:t>
      </w:r>
    </w:p>
    <w:p>
      <w:r>
        <w:t>A literal implementation computes t^4, t^6, and a^4. That can overflow even when the final ratio is finite. The dimensionless formulation avoids most of this risk. For large |x|, an alternative reciprocal form can be used: let y = 1/|x| and rewrite the kernel so powers remain bounded.</w:t>
      </w:r>
    </w:p>
    <w:p>
      <w:pPr>
        <w:pStyle w:val="CodeCaption"/>
      </w:pPr>
      <w:r>
        <w:t>Listing 3.1 - Overflow-resistant canonical kernel</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def cmc_kernel_dimensionless(x: float) -&gt; float:</w:t>
              <w:br/>
            </w:r>
            <w:r>
              <w:t xml:space="preserve">    """Canonical kernel k(x) whose integral equals -3*pi*sqrt(2)/8."""</w:t>
              <w:br/>
            </w:r>
            <w:r>
              <w:t xml:space="preserve">    ax = abs(x)</w:t>
              <w:br/>
            </w:r>
            <w:r>
              <w:t xml:space="preserve">    if ax == 0.0:</w:t>
              <w:br/>
            </w:r>
            <w:r>
              <w:t xml:space="preserve">        return 0.0</w:t>
              <w:br/>
            </w:r>
            <w:r>
              <w:t xml:space="preserve">    if ax &lt;= 1.0:</w:t>
              <w:br/>
            </w:r>
            <w:r>
              <w:t xml:space="preserve">        x2 = ax * ax</w:t>
              <w:br/>
            </w:r>
            <w:r>
              <w:t xml:space="preserve">        x4 = x2 * x2</w:t>
              <w:br/>
            </w:r>
            <w:r>
              <w:t xml:space="preserve">        x6 = x4 * x2</w:t>
              <w:br/>
            </w:r>
            <w:r>
              <w:t xml:space="preserve">        return -8.0 * x6 / ((x4 + 1.0) ** 3)</w:t>
              <w:br/>
            </w:r>
            <w:r>
              <w:t xml:space="preserve">    # Reciprocal form avoids large intermediate powers.</w:t>
              <w:br/>
            </w:r>
            <w:r>
              <w:t xml:space="preserve">    y = 1.0 / ax</w:t>
              <w:br/>
            </w:r>
            <w:r>
              <w:t xml:space="preserve">    y2 = y * y</w:t>
              <w:br/>
            </w:r>
            <w:r>
              <w:t xml:space="preserve">    y4 = y2 * y2</w:t>
              <w:br/>
            </w:r>
            <w:r>
              <w:t xml:space="preserve">    y6 = y4 * y2</w:t>
              <w:br/>
            </w:r>
            <w:r>
              <w:t xml:space="preserve">    return -8.0 * y6 / ((1.0 + y4) ** 3)</w:t>
            </w:r>
          </w:p>
        </w:tc>
      </w:tr>
    </w:tbl>
    <w:p/>
    <w:p>
      <w:pPr>
        <w:pStyle w:val="Heading2"/>
      </w:pPr>
      <w:r>
        <w:t>3.5 Exact reference value</w:t>
      </w:r>
    </w:p>
    <w:p>
      <w:pPr>
        <w:pStyle w:val="CodeCaption"/>
      </w:pPr>
      <w:r>
        <w:t>Listing 3.2 - Analytic ground truth</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from math import pi, sqrt</w:t>
              <w:br/>
            </w:r>
            <w:r>
              <w:br/>
            </w:r>
            <w:r>
              <w:t>def cmc_exact(a: float) -&gt; float:</w:t>
              <w:br/>
            </w:r>
            <w:r>
              <w:t xml:space="preserve">    if not (a &gt; 0.0):</w:t>
              <w:br/>
            </w:r>
            <w:r>
              <w:t xml:space="preserve">        raise ValueError("a must be positive")</w:t>
              <w:br/>
            </w:r>
            <w:r>
              <w:t xml:space="preserve">    return -(3.0 * pi * sqrt(2.0)) / (8.0 * a)</w:t>
            </w:r>
          </w:p>
        </w:tc>
      </w:tr>
    </w:tbl>
    <w:p/>
    <w:p>
      <w:r>
        <w:br w:type="page"/>
      </w:r>
    </w:p>
    <w:p>
      <w:pPr>
        <w:pStyle w:val="Heading1"/>
      </w:pPr>
      <w:r>
        <w:t>Chapter 4</w:t>
      </w:r>
    </w:p>
    <w:p>
      <w:pPr>
        <w:pStyle w:val="ChapterTitle"/>
      </w:pPr>
      <w:r>
        <w:t>Conditioning and Error Isolation</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Understand why κ = 1 matters and how to separate truncation, quadrature, representation, and implementation errors.</w:t>
            </w:r>
          </w:p>
        </w:tc>
      </w:tr>
    </w:tbl>
    <w:p/>
    <w:p>
      <w:pPr>
        <w:pStyle w:val="Heading2"/>
      </w:pPr>
      <w:r>
        <w:t>4.1 Scaling law</w:t>
      </w:r>
    </w:p>
    <w:p>
      <w:r>
        <w:t>From I(a) = C/a, where C = -3π√2/8, the logarithmic condition number with respect to a is exactly one in magnitude.</w:t>
      </w:r>
    </w:p>
    <w:p>
      <w:pPr>
        <w:pStyle w:val="Equation"/>
        <w:jc w:val="center"/>
      </w:pPr>
      <w:r>
        <w:t>κ(a) = |(a / I(a)) dI/da| = 1</w:t>
      </w:r>
      <w:r>
        <w:t xml:space="preserve">    (4.1)</w:t>
      </w:r>
    </w:p>
    <w:p>
      <w:r>
        <w:t>Therefore a small relative perturbation in a produces, to first order, the same relative perturbation in I. The benchmark does not amplify input uncertainty through ill-conditioning.</w:t>
      </w:r>
    </w:p>
    <w:p>
      <w:pPr>
        <w:pStyle w:val="Heading2"/>
      </w:pPr>
      <w:r>
        <w:t>4.2 Error budget</w:t>
      </w:r>
    </w:p>
    <w:p>
      <w:pPr>
        <w:pStyle w:val="Equation"/>
        <w:jc w:val="center"/>
      </w:pPr>
      <w:r>
        <w:t>ε_total ≲ ε_tail + ε_quad + ε_repr + ε_impl</w:t>
      </w:r>
      <w:r>
        <w:t xml:space="preserve">    (4.2)</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3341"/>
            <w:shd w:fill="1F4E78"/>
            <w:vAlign w:val="center"/>
          </w:tcPr>
          <w:p>
            <w:r>
              <w:rPr>
                <w:b/>
                <w:color w:val="FFFFFF"/>
              </w:rPr>
              <w:t>Term</w:t>
            </w:r>
          </w:p>
        </w:tc>
        <w:tc>
          <w:tcPr>
            <w:tcW w:type="dxa" w:w="3341"/>
            <w:shd w:fill="1F4E78"/>
            <w:vAlign w:val="center"/>
          </w:tcPr>
          <w:p>
            <w:r>
              <w:rPr>
                <w:b/>
                <w:color w:val="FFFFFF"/>
              </w:rPr>
              <w:t>Meaning</w:t>
            </w:r>
          </w:p>
        </w:tc>
        <w:tc>
          <w:tcPr>
            <w:tcW w:type="dxa" w:w="3341"/>
            <w:shd w:fill="1F4E78"/>
            <w:vAlign w:val="center"/>
          </w:tcPr>
          <w:p>
            <w:r>
              <w:rPr>
                <w:b/>
                <w:color w:val="FFFFFF"/>
              </w:rPr>
              <w:t>How to control it</w:t>
            </w:r>
          </w:p>
        </w:tc>
      </w:tr>
      <w:tr>
        <w:tc>
          <w:tcPr>
            <w:tcW w:type="dxa" w:w="3341"/>
            <w:vAlign w:val="center"/>
            <w:tcMar>
              <w:top w:w="100" w:type="dxa"/>
              <w:start w:w="120" w:type="dxa"/>
              <w:bottom w:w="100" w:type="dxa"/>
              <w:end w:w="120" w:type="dxa"/>
            </w:tcMar>
          </w:tcPr>
          <w:p>
            <w:r>
              <w:t>ε_tail</w:t>
            </w:r>
          </w:p>
        </w:tc>
        <w:tc>
          <w:tcPr>
            <w:tcW w:type="dxa" w:w="3341"/>
            <w:vAlign w:val="center"/>
            <w:tcMar>
              <w:top w:w="100" w:type="dxa"/>
              <w:start w:w="120" w:type="dxa"/>
              <w:bottom w:w="100" w:type="dxa"/>
              <w:end w:w="120" w:type="dxa"/>
            </w:tcMar>
          </w:tcPr>
          <w:p>
            <w:r>
              <w:t>Replacing the infinite domain by a finite or transformed domain</w:t>
            </w:r>
          </w:p>
        </w:tc>
        <w:tc>
          <w:tcPr>
            <w:tcW w:type="dxa" w:w="3341"/>
            <w:vAlign w:val="center"/>
            <w:tcMar>
              <w:top w:w="100" w:type="dxa"/>
              <w:start w:w="120" w:type="dxa"/>
              <w:bottom w:w="100" w:type="dxa"/>
              <w:end w:w="120" w:type="dxa"/>
            </w:tcMar>
          </w:tcPr>
          <w:p>
            <w:r>
              <w:t>Use an analytic tail bound or infinite-domain transform</w:t>
            </w:r>
          </w:p>
        </w:tc>
      </w:tr>
      <w:tr>
        <w:tc>
          <w:tcPr>
            <w:tcW w:type="dxa" w:w="3341"/>
            <w:vAlign w:val="center"/>
            <w:tcMar>
              <w:top w:w="100" w:type="dxa"/>
              <w:start w:w="120" w:type="dxa"/>
              <w:bottom w:w="100" w:type="dxa"/>
              <w:end w:w="120" w:type="dxa"/>
            </w:tcMar>
          </w:tcPr>
          <w:p>
            <w:r>
              <w:t>ε_quad</w:t>
            </w:r>
          </w:p>
        </w:tc>
        <w:tc>
          <w:tcPr>
            <w:tcW w:type="dxa" w:w="3341"/>
            <w:vAlign w:val="center"/>
            <w:tcMar>
              <w:top w:w="100" w:type="dxa"/>
              <w:start w:w="120" w:type="dxa"/>
              <w:bottom w:w="100" w:type="dxa"/>
              <w:end w:w="120" w:type="dxa"/>
            </w:tcMar>
          </w:tcPr>
          <w:p>
            <w:r>
              <w:t>Finite quadrature rule</w:t>
            </w:r>
          </w:p>
        </w:tc>
        <w:tc>
          <w:tcPr>
            <w:tcW w:type="dxa" w:w="3341"/>
            <w:vAlign w:val="center"/>
            <w:tcMar>
              <w:top w:w="100" w:type="dxa"/>
              <w:start w:w="120" w:type="dxa"/>
              <w:bottom w:w="100" w:type="dxa"/>
              <w:end w:w="120" w:type="dxa"/>
            </w:tcMar>
          </w:tcPr>
          <w:p>
            <w:r>
              <w:t>Increase order or refinement until convergence</w:t>
            </w:r>
          </w:p>
        </w:tc>
      </w:tr>
      <w:tr>
        <w:tc>
          <w:tcPr>
            <w:tcW w:type="dxa" w:w="3341"/>
            <w:vAlign w:val="center"/>
            <w:tcMar>
              <w:top w:w="100" w:type="dxa"/>
              <w:start w:w="120" w:type="dxa"/>
              <w:bottom w:w="100" w:type="dxa"/>
              <w:end w:w="120" w:type="dxa"/>
            </w:tcMar>
          </w:tcPr>
          <w:p>
            <w:r>
              <w:t>ε_repr</w:t>
            </w:r>
          </w:p>
        </w:tc>
        <w:tc>
          <w:tcPr>
            <w:tcW w:type="dxa" w:w="3341"/>
            <w:vAlign w:val="center"/>
            <w:tcMar>
              <w:top w:w="100" w:type="dxa"/>
              <w:start w:w="120" w:type="dxa"/>
              <w:bottom w:w="100" w:type="dxa"/>
              <w:end w:w="120" w:type="dxa"/>
            </w:tcMar>
          </w:tcPr>
          <w:p>
            <w:r>
              <w:t>Rounding/quantization in evaluation and accumulation</w:t>
            </w:r>
          </w:p>
        </w:tc>
        <w:tc>
          <w:tcPr>
            <w:tcW w:type="dxa" w:w="3341"/>
            <w:vAlign w:val="center"/>
            <w:tcMar>
              <w:top w:w="100" w:type="dxa"/>
              <w:start w:w="120" w:type="dxa"/>
              <w:bottom w:w="100" w:type="dxa"/>
              <w:end w:w="120" w:type="dxa"/>
            </w:tcMar>
          </w:tcPr>
          <w:p>
            <w:r>
              <w:t>Change format and accumulator precision</w:t>
            </w:r>
          </w:p>
        </w:tc>
      </w:tr>
      <w:tr>
        <w:tc>
          <w:tcPr>
            <w:tcW w:type="dxa" w:w="3341"/>
            <w:vAlign w:val="center"/>
            <w:tcMar>
              <w:top w:w="100" w:type="dxa"/>
              <w:start w:w="120" w:type="dxa"/>
              <w:bottom w:w="100" w:type="dxa"/>
              <w:end w:w="120" w:type="dxa"/>
            </w:tcMar>
          </w:tcPr>
          <w:p>
            <w:r>
              <w:t>ε_impl</w:t>
            </w:r>
          </w:p>
        </w:tc>
        <w:tc>
          <w:tcPr>
            <w:tcW w:type="dxa" w:w="3341"/>
            <w:vAlign w:val="center"/>
            <w:tcMar>
              <w:top w:w="100" w:type="dxa"/>
              <w:start w:w="120" w:type="dxa"/>
              <w:bottom w:w="100" w:type="dxa"/>
              <w:end w:w="120" w:type="dxa"/>
            </w:tcMar>
          </w:tcPr>
          <w:p>
            <w:r>
              <w:t>Compiler, library, reduction, or hardware behavior</w:t>
            </w:r>
          </w:p>
        </w:tc>
        <w:tc>
          <w:tcPr>
            <w:tcW w:type="dxa" w:w="3341"/>
            <w:vAlign w:val="center"/>
            <w:tcMar>
              <w:top w:w="100" w:type="dxa"/>
              <w:start w:w="120" w:type="dxa"/>
              <w:bottom w:w="100" w:type="dxa"/>
              <w:end w:w="120" w:type="dxa"/>
            </w:tcMar>
          </w:tcPr>
          <w:p>
            <w:r>
              <w:t>Cross-check deterministic implementations and metadata</w:t>
            </w:r>
          </w:p>
        </w:tc>
      </w:tr>
    </w:tbl>
    <w:p/>
    <w:p>
      <w:pPr>
        <w:pStyle w:val="Heading2"/>
      </w:pPr>
      <w:r>
        <w:t>4.3 Tail behavior</w:t>
      </w:r>
    </w:p>
    <w:p>
      <w:r>
        <w:t>Because the kernel decays as |t|^-6, truncation beyond a finite T decreases rapidly. A practical test should choose the dimensionless boundary L = T/a rather than a fixed T, because scaling the physical interval with a keeps the same canonical problem.</w:t>
      </w:r>
    </w:p>
    <w:p>
      <w:pPr>
        <w:pStyle w:val="Heading2"/>
      </w:pPr>
      <w:r>
        <w:t>4.4 A convergence protocol</w:t>
      </w:r>
    </w:p>
    <w:p>
      <w:pPr>
        <w:pStyle w:val="ListNumber"/>
      </w:pPr>
      <w:r>
        <w:t>Run the benchmark in FP64 with increasing domain size L.</w:t>
      </w:r>
    </w:p>
    <w:p>
      <w:pPr>
        <w:pStyle w:val="ListNumber"/>
      </w:pPr>
      <w:r>
        <w:t>At each L, increase quadrature order or panel count.</w:t>
      </w:r>
    </w:p>
    <w:p>
      <w:pPr>
        <w:pStyle w:val="ListNumber"/>
      </w:pPr>
      <w:r>
        <w:t>Identify a region where further refinement no longer changes the result materially.</w:t>
      </w:r>
    </w:p>
    <w:p>
      <w:pPr>
        <w:pStyle w:val="ListNumber"/>
      </w:pPr>
      <w:r>
        <w:t>Only then reduce evaluation and accumulation precision.</w:t>
      </w:r>
    </w:p>
    <w:p>
      <w:pPr>
        <w:pStyle w:val="ListNumber"/>
      </w:pPr>
      <w:r>
        <w:t>Attribute the difference between the stable FP64 result and the exact value to residual algorithmic error; attribute additional low-precision degradation to representation and implementation.</w:t>
      </w:r>
    </w:p>
    <w:p>
      <w:pPr>
        <w:pStyle w:val="Heading2"/>
      </w:pPr>
      <w:r>
        <w:t>4.5 Why a high-precision answer is still useful</w:t>
      </w:r>
    </w:p>
    <w:p>
      <w:r>
        <w:t>The analytic value is the authority, but an arbitrary-precision implementation remains valuable for auditing formulas, transformation code, and tail estimates. It is an independent implementation check, not the definition of truth.</w:t>
      </w:r>
    </w:p>
    <w:p>
      <w:r>
        <w:br w:type="page"/>
      </w:r>
    </w:p>
    <w:p>
      <w:pPr>
        <w:pStyle w:val="Heading1"/>
      </w:pPr>
      <w:r>
        <w:t>Chapter 5</w:t>
      </w:r>
    </w:p>
    <w:p>
      <w:pPr>
        <w:pStyle w:val="ChapterTitle"/>
      </w:pPr>
      <w:r>
        <w:t>A Production-Quality Python Implementation</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Build a reusable implementation with deterministic quadrature, precision controls, metrics, metadata, and tests.</w:t>
            </w:r>
          </w:p>
        </w:tc>
      </w:tr>
    </w:tbl>
    <w:p/>
    <w:p>
      <w:pPr>
        <w:pStyle w:val="Heading2"/>
      </w:pPr>
      <w:r>
        <w:t>5.1 API design</w:t>
      </w:r>
    </w:p>
    <w:p>
      <w:pPr>
        <w:pStyle w:val="CodeCaption"/>
      </w:pPr>
      <w:r>
        <w:t>Listing 5.1 - Public data model</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from dataclasses import dataclass</w:t>
              <w:br/>
            </w:r>
            <w:r>
              <w:br/>
            </w:r>
            <w:r>
              <w:t>@dataclass(frozen=True)</w:t>
              <w:br/>
            </w:r>
            <w:r>
              <w:t>class CMCConfig:</w:t>
              <w:br/>
            </w:r>
            <w:r>
              <w:t xml:space="preserve">    a: float = 1.0</w:t>
              <w:br/>
            </w:r>
            <w:r>
              <w:t xml:space="preserve">    panels: int = 4096</w:t>
              <w:br/>
            </w:r>
            <w:r>
              <w:t xml:space="preserve">    domain: float = 32.0      # dimensionless half-domain L</w:t>
              <w:br/>
            </w:r>
            <w:r>
              <w:t xml:space="preserve">    summation: str = "pairwise"</w:t>
              <w:br/>
            </w:r>
            <w:r>
              <w:t xml:space="preserve">    eval_dtype: str = "float64"</w:t>
              <w:br/>
            </w:r>
            <w:r>
              <w:t xml:space="preserve">    accum_dtype: str = "float64"</w:t>
              <w:br/>
            </w:r>
            <w:r>
              <w:br/>
            </w:r>
            <w:r>
              <w:t>@dataclass(frozen=True)</w:t>
              <w:br/>
            </w:r>
            <w:r>
              <w:t>class CMCResult:</w:t>
              <w:br/>
            </w:r>
            <w:r>
              <w:t xml:space="preserve">    numerical: float</w:t>
              <w:br/>
            </w:r>
            <w:r>
              <w:t xml:space="preserve">    exact: float</w:t>
              <w:br/>
            </w:r>
            <w:r>
              <w:t xml:space="preserve">    relative_error: float</w:t>
              <w:br/>
            </w:r>
            <w:r>
              <w:t xml:space="preserve">    vcm: float</w:t>
              <w:br/>
            </w:r>
            <w:r>
              <w:t xml:space="preserve">    config: CMCConfig</w:t>
            </w:r>
          </w:p>
        </w:tc>
      </w:tr>
    </w:tbl>
    <w:p/>
    <w:p>
      <w:pPr>
        <w:pStyle w:val="Heading2"/>
      </w:pPr>
      <w:r>
        <w:t>5.2 Composite Simpson reference implementation</w:t>
      </w:r>
    </w:p>
    <w:p>
      <w:pPr>
        <w:pStyle w:val="CodeCaption"/>
      </w:pPr>
      <w:r>
        <w:t>Listing 5.2 - Deterministic vectorized Simpson implementation</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import math</w:t>
              <w:br/>
            </w:r>
            <w:r>
              <w:t>import numpy as np</w:t>
              <w:br/>
            </w:r>
            <w:r>
              <w:br/>
            </w:r>
            <w:r>
              <w:t>def cmc_simpson(config: CMCConfig) -&gt; CMCResult:</w:t>
              <w:br/>
            </w:r>
            <w:r>
              <w:t xml:space="preserve">    if config.panels &lt;= 0 or config.panels % 2:</w:t>
              <w:br/>
            </w:r>
            <w:r>
              <w:t xml:space="preserve">        raise ValueError("panels must be a positive even integer")</w:t>
              <w:br/>
            </w:r>
            <w:r>
              <w:t xml:space="preserve">    if config.domain &lt;= 0 or config.a &lt;= 0:</w:t>
              <w:br/>
            </w:r>
            <w:r>
              <w:t xml:space="preserve">        raise ValueError("domain and a must be positive")</w:t>
              <w:br/>
            </w:r>
            <w:r>
              <w:br/>
            </w:r>
            <w:r>
              <w:t xml:space="preserve">    dtype = np.dtype(config.eval_dtype)</w:t>
              <w:br/>
            </w:r>
            <w:r>
              <w:t xml:space="preserve">    acc_dtype = np.dtype(config.accum_dtype)</w:t>
              <w:br/>
            </w:r>
            <w:r>
              <w:t xml:space="preserve">    n = config.panels</w:t>
              <w:br/>
            </w:r>
            <w:r>
              <w:t xml:space="preserve">    L = dtype.type(config.domain)</w:t>
              <w:br/>
            </w:r>
            <w:r>
              <w:t xml:space="preserve">    h = (2 * L) / dtype.type(n)</w:t>
              <w:br/>
            </w:r>
            <w:r>
              <w:t xml:space="preserve">    x = np.linspace(-L, L, n + 1, dtype=dtype)</w:t>
              <w:br/>
            </w:r>
            <w:r>
              <w:t xml:space="preserve">    ax = np.abs(x)</w:t>
              <w:br/>
            </w:r>
            <w:r>
              <w:t xml:space="preserve">    x2 = ax * ax</w:t>
              <w:br/>
            </w:r>
            <w:r>
              <w:t xml:space="preserve">    x4 = x2 * x2</w:t>
              <w:br/>
            </w:r>
            <w:r>
              <w:t xml:space="preserve">    values = -8 * (x4 * x2) / ((x4 + dtype.type(1)) ** 3)</w:t>
              <w:br/>
            </w:r>
            <w:r>
              <w:br/>
            </w:r>
            <w:r>
              <w:t xml:space="preserve">    weights = np.ones(n + 1, dtype=acc_dtype)</w:t>
              <w:br/>
            </w:r>
            <w:r>
              <w:t xml:space="preserve">    weights[1:-1:2] = 4</w:t>
              <w:br/>
            </w:r>
            <w:r>
              <w:t xml:space="preserve">    weights[2:-1:2] = 2</w:t>
              <w:br/>
            </w:r>
            <w:r>
              <w:t xml:space="preserve">    total = np.sum(values.astype(acc_dtype) * weights, dtype=acc_dtype)</w:t>
              <w:br/>
            </w:r>
            <w:r>
              <w:t xml:space="preserve">    numerical = float((h / dtype.type(3)) * total / dtype.type(config.a))</w:t>
              <w:br/>
            </w:r>
            <w:r>
              <w:t xml:space="preserve">    exact = cmc_exact(config.a)</w:t>
              <w:br/>
            </w:r>
            <w:r>
              <w:t xml:space="preserve">    rel = abs(numerical - exact) / abs(exact)</w:t>
              <w:br/>
            </w:r>
            <w:r>
              <w:t xml:space="preserve">    vcm = math.inf if rel == 0 else -math.log10(rel)</w:t>
              <w:br/>
            </w:r>
            <w:r>
              <w:t xml:space="preserve">    return CMCResult(numerical, exact, rel, vcm, config)</w:t>
            </w:r>
          </w:p>
        </w:tc>
      </w:tr>
    </w:tbl>
    <w:p/>
    <w:p>
      <w:pPr>
        <w:pStyle w:val="Heading2"/>
      </w:pPr>
      <w:r>
        <w:t>5.3 Input validation and failure policy</w:t>
      </w:r>
    </w:p>
    <w:p>
      <w:pPr>
        <w:pStyle w:val="ListBullet"/>
      </w:pPr>
      <w:r>
        <w:t>Reject non-positive a, non-positive domain, and invalid panel counts.</w:t>
      </w:r>
    </w:p>
    <w:p>
      <w:pPr>
        <w:pStyle w:val="ListBullet"/>
      </w:pPr>
      <w:r>
        <w:t>Detect NaN and infinity in the sampled kernel before reduction.</w:t>
      </w:r>
    </w:p>
    <w:p>
      <w:pPr>
        <w:pStyle w:val="ListBullet"/>
      </w:pPr>
      <w:r>
        <w:t>Record the exact dtype used for kernel evaluation and accumulation.</w:t>
      </w:r>
    </w:p>
    <w:p>
      <w:pPr>
        <w:pStyle w:val="ListBullet"/>
      </w:pPr>
      <w:r>
        <w:t>Do not silently promote or demote precision.</w:t>
      </w:r>
    </w:p>
    <w:p>
      <w:pPr>
        <w:pStyle w:val="ListBullet"/>
      </w:pPr>
      <w:r>
        <w:t>Return the numerical value, exact value, relative error, VCM, and full configuration together.</w:t>
      </w:r>
    </w:p>
    <w:p>
      <w:pPr>
        <w:pStyle w:val="Heading2"/>
      </w:pPr>
      <w:r>
        <w:t>5.4 Unit tests</w:t>
      </w:r>
    </w:p>
    <w:p>
      <w:pPr>
        <w:pStyle w:val="CodeCaption"/>
      </w:pPr>
      <w:r>
        <w:t>Listing 5.3 - Core correctness tests</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import math</w:t>
              <w:br/>
            </w:r>
            <w:r>
              <w:br/>
            </w:r>
            <w:r>
              <w:t>def test_exact_scaling():</w:t>
              <w:br/>
            </w:r>
            <w:r>
              <w:t xml:space="preserve">    assert math.isclose(cmc_exact(2.0), cmc_exact(1.0) / 2.0)</w:t>
              <w:br/>
            </w:r>
            <w:r>
              <w:br/>
            </w:r>
            <w:r>
              <w:t>def test_kernel_sign():</w:t>
              <w:br/>
            </w:r>
            <w:r>
              <w:t xml:space="preserve">    for x in [-100.0, -1.0, -0.1, 0.0, 0.1, 1.0, 100.0]:</w:t>
              <w:br/>
            </w:r>
            <w:r>
              <w:t xml:space="preserve">        assert cmc_kernel_dimensionless(x) &lt;= 0.0</w:t>
              <w:br/>
            </w:r>
            <w:r>
              <w:br/>
            </w:r>
            <w:r>
              <w:t>def test_simpson_fp64_accuracy():</w:t>
              <w:br/>
            </w:r>
            <w:r>
              <w:t xml:space="preserve">    result = cmc_simpson(CMCConfig(panels=16384, domain=32.0))</w:t>
              <w:br/>
            </w:r>
            <w:r>
              <w:t xml:space="preserve">    assert result.relative_error &lt; 1e-10</w:t>
              <w:br/>
            </w:r>
            <w:r>
              <w:br/>
            </w:r>
            <w:r>
              <w:t>def test_scale_invariance_numerically():</w:t>
              <w:br/>
            </w:r>
            <w:r>
              <w:t xml:space="preserve">    r1 = cmc_simpson(CMCConfig(a=1.0, panels=8192, domain=32.0))</w:t>
              <w:br/>
            </w:r>
            <w:r>
              <w:t xml:space="preserve">    r2 = cmc_simpson(CMCConfig(a=10.0, panels=8192, domain=32.0))</w:t>
              <w:br/>
            </w:r>
            <w:r>
              <w:t xml:space="preserve">    assert abs(r2.numerical * 10.0 - r1.numerical) &lt; 1e-10</w:t>
            </w:r>
          </w:p>
        </w:tc>
      </w:tr>
    </w:tbl>
    <w:p/>
    <w:p>
      <w:pPr>
        <w:pStyle w:val="Heading2"/>
      </w:pPr>
      <w:r>
        <w:t>5.5 Command-line interface</w:t>
      </w:r>
    </w:p>
    <w:p>
      <w:pPr>
        <w:pStyle w:val="CodeCaption"/>
      </w:pPr>
      <w:r>
        <w:t>Listing 5.4 - Suggested CLI</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 Example invocation</w:t>
              <w:br/>
            </w:r>
            <w:r>
              <w:t>python -m cmcbench run --a 1.0 --panels 16384 --domain 32 \</w:t>
              <w:br/>
            </w:r>
            <w:r>
              <w:t xml:space="preserve">    --eval-dtype float32 --accum-dtype float64 --summation pairwise \</w:t>
              <w:br/>
            </w:r>
            <w:r>
              <w:t xml:space="preserve">    --json result.json</w:t>
            </w:r>
          </w:p>
        </w:tc>
      </w:tr>
    </w:tbl>
    <w:p/>
    <w:p>
      <w:r>
        <w:t>A command-line implementation should write machine-readable JSON containing the benchmark configuration, result, timestamp, processor identifier, operating system, Python and NumPy versions, compiler information where available, and relevant environment variables.</w:t>
      </w:r>
    </w:p>
    <w:p>
      <w:r>
        <w:br w:type="page"/>
      </w:r>
    </w:p>
    <w:p>
      <w:pPr>
        <w:pStyle w:val="Heading1"/>
      </w:pPr>
      <w:r>
        <w:t>Chapter 6</w:t>
      </w:r>
    </w:p>
    <w:p>
      <w:pPr>
        <w:pStyle w:val="ChapterTitle"/>
      </w:pPr>
      <w:r>
        <w:t>Quadrature, Summation, and Reduced-Precision Emulation</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Compare numerical methods without confusing quadrature quality with floating-point behavior.</w:t>
            </w:r>
          </w:p>
        </w:tc>
      </w:tr>
    </w:tbl>
    <w:p/>
    <w:p>
      <w:pPr>
        <w:pStyle w:val="Heading2"/>
      </w:pPr>
      <w:r>
        <w:t>6.1 Quadrature choices</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3341"/>
            <w:shd w:fill="1F4E78"/>
            <w:vAlign w:val="center"/>
          </w:tcPr>
          <w:p>
            <w:r>
              <w:rPr>
                <w:b/>
                <w:color w:val="FFFFFF"/>
              </w:rPr>
              <w:t>Method</w:t>
            </w:r>
          </w:p>
        </w:tc>
        <w:tc>
          <w:tcPr>
            <w:tcW w:type="dxa" w:w="3341"/>
            <w:shd w:fill="1F4E78"/>
            <w:vAlign w:val="center"/>
          </w:tcPr>
          <w:p>
            <w:r>
              <w:rPr>
                <w:b/>
                <w:color w:val="FFFFFF"/>
              </w:rPr>
              <w:t>Strength</w:t>
            </w:r>
          </w:p>
        </w:tc>
        <w:tc>
          <w:tcPr>
            <w:tcW w:type="dxa" w:w="3341"/>
            <w:shd w:fill="1F4E78"/>
            <w:vAlign w:val="center"/>
          </w:tcPr>
          <w:p>
            <w:r>
              <w:rPr>
                <w:b/>
                <w:color w:val="FFFFFF"/>
              </w:rPr>
              <w:t>Risk</w:t>
            </w:r>
          </w:p>
        </w:tc>
      </w:tr>
      <w:tr>
        <w:tc>
          <w:tcPr>
            <w:tcW w:type="dxa" w:w="3341"/>
            <w:vAlign w:val="center"/>
            <w:tcMar>
              <w:top w:w="100" w:type="dxa"/>
              <w:start w:w="120" w:type="dxa"/>
              <w:bottom w:w="100" w:type="dxa"/>
              <w:end w:w="120" w:type="dxa"/>
            </w:tcMar>
          </w:tcPr>
          <w:p>
            <w:r>
              <w:t>Composite trapezoidal</w:t>
            </w:r>
          </w:p>
        </w:tc>
        <w:tc>
          <w:tcPr>
            <w:tcW w:type="dxa" w:w="3341"/>
            <w:vAlign w:val="center"/>
            <w:tcMar>
              <w:top w:w="100" w:type="dxa"/>
              <w:start w:w="120" w:type="dxa"/>
              <w:bottom w:w="100" w:type="dxa"/>
              <w:end w:w="120" w:type="dxa"/>
            </w:tcMar>
          </w:tcPr>
          <w:p>
            <w:r>
              <w:t>Simple, portable, easy to parallelize</w:t>
            </w:r>
          </w:p>
        </w:tc>
        <w:tc>
          <w:tcPr>
            <w:tcW w:type="dxa" w:w="3341"/>
            <w:vAlign w:val="center"/>
            <w:tcMar>
              <w:top w:w="100" w:type="dxa"/>
              <w:start w:w="120" w:type="dxa"/>
              <w:bottom w:w="100" w:type="dxa"/>
              <w:end w:w="120" w:type="dxa"/>
            </w:tcMar>
          </w:tcPr>
          <w:p>
            <w:r>
              <w:t>Requires many panels for high accuracy</w:t>
            </w:r>
          </w:p>
        </w:tc>
      </w:tr>
      <w:tr>
        <w:tc>
          <w:tcPr>
            <w:tcW w:type="dxa" w:w="3341"/>
            <w:vAlign w:val="center"/>
            <w:tcMar>
              <w:top w:w="100" w:type="dxa"/>
              <w:start w:w="120" w:type="dxa"/>
              <w:bottom w:w="100" w:type="dxa"/>
              <w:end w:w="120" w:type="dxa"/>
            </w:tcMar>
          </w:tcPr>
          <w:p>
            <w:r>
              <w:t>Composite Simpson</w:t>
            </w:r>
          </w:p>
        </w:tc>
        <w:tc>
          <w:tcPr>
            <w:tcW w:type="dxa" w:w="3341"/>
            <w:vAlign w:val="center"/>
            <w:tcMar>
              <w:top w:w="100" w:type="dxa"/>
              <w:start w:w="120" w:type="dxa"/>
              <w:bottom w:w="100" w:type="dxa"/>
              <w:end w:w="120" w:type="dxa"/>
            </w:tcMar>
          </w:tcPr>
          <w:p>
            <w:r>
              <w:t>Good accuracy for smooth kernels</w:t>
            </w:r>
          </w:p>
        </w:tc>
        <w:tc>
          <w:tcPr>
            <w:tcW w:type="dxa" w:w="3341"/>
            <w:vAlign w:val="center"/>
            <w:tcMar>
              <w:top w:w="100" w:type="dxa"/>
              <w:start w:w="120" w:type="dxa"/>
              <w:bottom w:w="100" w:type="dxa"/>
              <w:end w:w="120" w:type="dxa"/>
            </w:tcMar>
          </w:tcPr>
          <w:p>
            <w:r>
              <w:t>Needs an even number of panels</w:t>
            </w:r>
          </w:p>
        </w:tc>
      </w:tr>
      <w:tr>
        <w:tc>
          <w:tcPr>
            <w:tcW w:type="dxa" w:w="3341"/>
            <w:vAlign w:val="center"/>
            <w:tcMar>
              <w:top w:w="100" w:type="dxa"/>
              <w:start w:w="120" w:type="dxa"/>
              <w:bottom w:w="100" w:type="dxa"/>
              <w:end w:w="120" w:type="dxa"/>
            </w:tcMar>
          </w:tcPr>
          <w:p>
            <w:r>
              <w:t>Gauss-Legendre</w:t>
            </w:r>
          </w:p>
        </w:tc>
        <w:tc>
          <w:tcPr>
            <w:tcW w:type="dxa" w:w="3341"/>
            <w:vAlign w:val="center"/>
            <w:tcMar>
              <w:top w:w="100" w:type="dxa"/>
              <w:start w:w="120" w:type="dxa"/>
              <w:bottom w:w="100" w:type="dxa"/>
              <w:end w:w="120" w:type="dxa"/>
            </w:tcMar>
          </w:tcPr>
          <w:p>
            <w:r>
              <w:t>High order per evaluation</w:t>
            </w:r>
          </w:p>
        </w:tc>
        <w:tc>
          <w:tcPr>
            <w:tcW w:type="dxa" w:w="3341"/>
            <w:vAlign w:val="center"/>
            <w:tcMar>
              <w:top w:w="100" w:type="dxa"/>
              <w:start w:w="120" w:type="dxa"/>
              <w:bottom w:w="100" w:type="dxa"/>
              <w:end w:w="120" w:type="dxa"/>
            </w:tcMar>
          </w:tcPr>
          <w:p>
            <w:r>
              <w:t>Nodes/weights and interval transformation add complexity</w:t>
            </w:r>
          </w:p>
        </w:tc>
      </w:tr>
      <w:tr>
        <w:tc>
          <w:tcPr>
            <w:tcW w:type="dxa" w:w="3341"/>
            <w:vAlign w:val="center"/>
            <w:tcMar>
              <w:top w:w="100" w:type="dxa"/>
              <w:start w:w="120" w:type="dxa"/>
              <w:bottom w:w="100" w:type="dxa"/>
              <w:end w:w="120" w:type="dxa"/>
            </w:tcMar>
          </w:tcPr>
          <w:p>
            <w:r>
              <w:t>Adaptive quadrature</w:t>
            </w:r>
          </w:p>
        </w:tc>
        <w:tc>
          <w:tcPr>
            <w:tcW w:type="dxa" w:w="3341"/>
            <w:vAlign w:val="center"/>
            <w:tcMar>
              <w:top w:w="100" w:type="dxa"/>
              <w:start w:w="120" w:type="dxa"/>
              <w:bottom w:w="100" w:type="dxa"/>
              <w:end w:w="120" w:type="dxa"/>
            </w:tcMar>
          </w:tcPr>
          <w:p>
            <w:r>
              <w:t>Convenient high-accuracy baseline</w:t>
            </w:r>
          </w:p>
        </w:tc>
        <w:tc>
          <w:tcPr>
            <w:tcW w:type="dxa" w:w="3341"/>
            <w:vAlign w:val="center"/>
            <w:tcMar>
              <w:top w:w="100" w:type="dxa"/>
              <w:start w:w="120" w:type="dxa"/>
              <w:bottom w:w="100" w:type="dxa"/>
              <w:end w:w="120" w:type="dxa"/>
            </w:tcMar>
          </w:tcPr>
          <w:p>
            <w:r>
              <w:t>Control flow and tolerance logic vary by library</w:t>
            </w:r>
          </w:p>
        </w:tc>
      </w:tr>
      <w:tr>
        <w:tc>
          <w:tcPr>
            <w:tcW w:type="dxa" w:w="3341"/>
            <w:vAlign w:val="center"/>
            <w:tcMar>
              <w:top w:w="100" w:type="dxa"/>
              <w:start w:w="120" w:type="dxa"/>
              <w:bottom w:w="100" w:type="dxa"/>
              <w:end w:w="120" w:type="dxa"/>
            </w:tcMar>
          </w:tcPr>
          <w:p>
            <w:r>
              <w:t>Double-exponential/tanh-sinh</w:t>
            </w:r>
          </w:p>
        </w:tc>
        <w:tc>
          <w:tcPr>
            <w:tcW w:type="dxa" w:w="3341"/>
            <w:vAlign w:val="center"/>
            <w:tcMar>
              <w:top w:w="100" w:type="dxa"/>
              <w:start w:w="120" w:type="dxa"/>
              <w:bottom w:w="100" w:type="dxa"/>
              <w:end w:w="120" w:type="dxa"/>
            </w:tcMar>
          </w:tcPr>
          <w:p>
            <w:r>
              <w:t>Strong for endpoint and infinite-domain problems</w:t>
            </w:r>
          </w:p>
        </w:tc>
        <w:tc>
          <w:tcPr>
            <w:tcW w:type="dxa" w:w="3341"/>
            <w:vAlign w:val="center"/>
            <w:tcMar>
              <w:top w:w="100" w:type="dxa"/>
              <w:start w:w="120" w:type="dxa"/>
              <w:bottom w:w="100" w:type="dxa"/>
              <w:end w:w="120" w:type="dxa"/>
            </w:tcMar>
          </w:tcPr>
          <w:p>
            <w:r>
              <w:t>More complex kernel and weight evaluation</w:t>
            </w:r>
          </w:p>
        </w:tc>
      </w:tr>
    </w:tbl>
    <w:p/>
    <w:p>
      <w:r>
        <w:t>For hardware verification, deterministic fixed-node rules are often preferable because they keep the operation graph stable. Adaptive routines are valuable as independent checks, but their branching behavior can obscure direct comparisons across architectures.</w:t>
      </w:r>
    </w:p>
    <w:p>
      <w:pPr>
        <w:pStyle w:val="Heading2"/>
      </w:pPr>
      <w:r>
        <w:t>6.2 Pairwise and compensated summation</w:t>
      </w:r>
    </w:p>
    <w:p>
      <w:pPr>
        <w:pStyle w:val="CodeCaption"/>
      </w:pPr>
      <w:r>
        <w:t>Listing 6.1 - Two controlled accumulation strategies</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def kahan_sum(values):</w:t>
              <w:br/>
            </w:r>
            <w:r>
              <w:t xml:space="preserve">    total = 0.0</w:t>
              <w:br/>
            </w:r>
            <w:r>
              <w:t xml:space="preserve">    correction = 0.0</w:t>
              <w:br/>
            </w:r>
            <w:r>
              <w:t xml:space="preserve">    for value in values:</w:t>
              <w:br/>
            </w:r>
            <w:r>
              <w:t xml:space="preserve">        y = value - correction</w:t>
              <w:br/>
            </w:r>
            <w:r>
              <w:t xml:space="preserve">        t = total + y</w:t>
              <w:br/>
            </w:r>
            <w:r>
              <w:t xml:space="preserve">        correction = (t - total) - y</w:t>
              <w:br/>
            </w:r>
            <w:r>
              <w:t xml:space="preserve">        total = t</w:t>
              <w:br/>
            </w:r>
            <w:r>
              <w:t xml:space="preserve">    return total</w:t>
              <w:br/>
            </w:r>
            <w:r>
              <w:br/>
            </w:r>
            <w:r>
              <w:t>def pairwise_sum(values):</w:t>
              <w:br/>
            </w:r>
            <w:r>
              <w:t xml:space="preserve">    values = list(values)</w:t>
              <w:br/>
            </w:r>
            <w:r>
              <w:t xml:space="preserve">    while len(values) &gt; 1:</w:t>
              <w:br/>
            </w:r>
            <w:r>
              <w:t xml:space="preserve">        nxt = []</w:t>
              <w:br/>
            </w:r>
            <w:r>
              <w:t xml:space="preserve">        it = iter(values)</w:t>
              <w:br/>
            </w:r>
            <w:r>
              <w:t xml:space="preserve">        for a in it:</w:t>
              <w:br/>
            </w:r>
            <w:r>
              <w:t xml:space="preserve">            b = next(it, 0.0)</w:t>
              <w:br/>
            </w:r>
            <w:r>
              <w:t xml:space="preserve">            nxt.append(a + b)</w:t>
              <w:br/>
            </w:r>
            <w:r>
              <w:t xml:space="preserve">        values = nxt</w:t>
              <w:br/>
            </w:r>
            <w:r>
              <w:t xml:space="preserve">    return values[0] if values else 0.0</w:t>
            </w:r>
          </w:p>
        </w:tc>
      </w:tr>
    </w:tbl>
    <w:p/>
    <w:p>
      <w:r>
        <w:t>Because the CMC samples are non-positive, the benchmark removes cancellation between positive and negative terms. Rounding error remains, and the reduction algorithm still matters. Pairwise summation reduces the growth of error depth; Kahan summation compensates for low-order bits lost during repeated additions.</w:t>
      </w:r>
    </w:p>
    <w:p>
      <w:pPr>
        <w:pStyle w:val="Heading2"/>
      </w:pPr>
      <w:r>
        <w:t>6.3 Emulation is not physical hardware</w:t>
      </w:r>
    </w:p>
    <w:p>
      <w:r>
        <w:t>Casting arrays to float16 or applying software quantization is useful for algorithm development, but it does not reproduce every property of a real accelerator. Hardware may use wider products, wider accumulators, stochastic rounding, saturation, flush-to-zero, fused operations, or proprietary FP8 encodings. Results from emulation must be labeled as emulation.</w:t>
      </w:r>
    </w:p>
    <w:p>
      <w:pPr>
        <w:pStyle w:val="Heading2"/>
      </w:pPr>
      <w:r>
        <w:t>6.4 Mixed evaluation and accumulation precision</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3341"/>
            <w:shd w:fill="1F4E78"/>
            <w:vAlign w:val="center"/>
          </w:tcPr>
          <w:p>
            <w:r>
              <w:rPr>
                <w:b/>
                <w:color w:val="FFFFFF"/>
              </w:rPr>
              <w:t>Kernel evaluation</w:t>
            </w:r>
          </w:p>
        </w:tc>
        <w:tc>
          <w:tcPr>
            <w:tcW w:type="dxa" w:w="3341"/>
            <w:shd w:fill="1F4E78"/>
            <w:vAlign w:val="center"/>
          </w:tcPr>
          <w:p>
            <w:r>
              <w:rPr>
                <w:b/>
                <w:color w:val="FFFFFF"/>
              </w:rPr>
              <w:t>Accumulator</w:t>
            </w:r>
          </w:p>
        </w:tc>
        <w:tc>
          <w:tcPr>
            <w:tcW w:type="dxa" w:w="3341"/>
            <w:shd w:fill="1F4E78"/>
            <w:vAlign w:val="center"/>
          </w:tcPr>
          <w:p>
            <w:r>
              <w:rPr>
                <w:b/>
                <w:color w:val="FFFFFF"/>
              </w:rPr>
              <w:t>Interpretation</w:t>
            </w:r>
          </w:p>
        </w:tc>
      </w:tr>
      <w:tr>
        <w:tc>
          <w:tcPr>
            <w:tcW w:type="dxa" w:w="3341"/>
            <w:vAlign w:val="center"/>
            <w:tcMar>
              <w:top w:w="100" w:type="dxa"/>
              <w:start w:w="120" w:type="dxa"/>
              <w:bottom w:w="100" w:type="dxa"/>
              <w:end w:w="120" w:type="dxa"/>
            </w:tcMar>
          </w:tcPr>
          <w:p>
            <w:r>
              <w:t>FP16</w:t>
            </w:r>
          </w:p>
        </w:tc>
        <w:tc>
          <w:tcPr>
            <w:tcW w:type="dxa" w:w="3341"/>
            <w:vAlign w:val="center"/>
            <w:tcMar>
              <w:top w:w="100" w:type="dxa"/>
              <w:start w:w="120" w:type="dxa"/>
              <w:bottom w:w="100" w:type="dxa"/>
              <w:end w:w="120" w:type="dxa"/>
            </w:tcMar>
          </w:tcPr>
          <w:p>
            <w:r>
              <w:t>FP16</w:t>
            </w:r>
          </w:p>
        </w:tc>
        <w:tc>
          <w:tcPr>
            <w:tcW w:type="dxa" w:w="3341"/>
            <w:vAlign w:val="center"/>
            <w:tcMar>
              <w:top w:w="100" w:type="dxa"/>
              <w:start w:w="120" w:type="dxa"/>
              <w:bottom w:w="100" w:type="dxa"/>
              <w:end w:w="120" w:type="dxa"/>
            </w:tcMar>
          </w:tcPr>
          <w:p>
            <w:r>
              <w:t>Aggressive low-precision path; tests range and accumulation</w:t>
            </w:r>
          </w:p>
        </w:tc>
      </w:tr>
      <w:tr>
        <w:tc>
          <w:tcPr>
            <w:tcW w:type="dxa" w:w="3341"/>
            <w:vAlign w:val="center"/>
            <w:tcMar>
              <w:top w:w="100" w:type="dxa"/>
              <w:start w:w="120" w:type="dxa"/>
              <w:bottom w:w="100" w:type="dxa"/>
              <w:end w:w="120" w:type="dxa"/>
            </w:tcMar>
          </w:tcPr>
          <w:p>
            <w:r>
              <w:t>FP16</w:t>
            </w:r>
          </w:p>
        </w:tc>
        <w:tc>
          <w:tcPr>
            <w:tcW w:type="dxa" w:w="3341"/>
            <w:vAlign w:val="center"/>
            <w:tcMar>
              <w:top w:w="100" w:type="dxa"/>
              <w:start w:w="120" w:type="dxa"/>
              <w:bottom w:w="100" w:type="dxa"/>
              <w:end w:w="120" w:type="dxa"/>
            </w:tcMar>
          </w:tcPr>
          <w:p>
            <w:r>
              <w:t>FP32</w:t>
            </w:r>
          </w:p>
        </w:tc>
        <w:tc>
          <w:tcPr>
            <w:tcW w:type="dxa" w:w="3341"/>
            <w:vAlign w:val="center"/>
            <w:tcMar>
              <w:top w:w="100" w:type="dxa"/>
              <w:start w:w="120" w:type="dxa"/>
              <w:bottom w:w="100" w:type="dxa"/>
              <w:end w:w="120" w:type="dxa"/>
            </w:tcMar>
          </w:tcPr>
          <w:p>
            <w:r>
              <w:t>Common accelerator pattern; separates low-precision samples from wider reduction</w:t>
            </w:r>
          </w:p>
        </w:tc>
      </w:tr>
      <w:tr>
        <w:tc>
          <w:tcPr>
            <w:tcW w:type="dxa" w:w="3341"/>
            <w:vAlign w:val="center"/>
            <w:tcMar>
              <w:top w:w="100" w:type="dxa"/>
              <w:start w:w="120" w:type="dxa"/>
              <w:bottom w:w="100" w:type="dxa"/>
              <w:end w:w="120" w:type="dxa"/>
            </w:tcMar>
          </w:tcPr>
          <w:p>
            <w:r>
              <w:t>FP32</w:t>
            </w:r>
          </w:p>
        </w:tc>
        <w:tc>
          <w:tcPr>
            <w:tcW w:type="dxa" w:w="3341"/>
            <w:vAlign w:val="center"/>
            <w:tcMar>
              <w:top w:w="100" w:type="dxa"/>
              <w:start w:w="120" w:type="dxa"/>
              <w:bottom w:w="100" w:type="dxa"/>
              <w:end w:w="120" w:type="dxa"/>
            </w:tcMar>
          </w:tcPr>
          <w:p>
            <w:r>
              <w:t>FP32</w:t>
            </w:r>
          </w:p>
        </w:tc>
        <w:tc>
          <w:tcPr>
            <w:tcW w:type="dxa" w:w="3341"/>
            <w:vAlign w:val="center"/>
            <w:tcMar>
              <w:top w:w="100" w:type="dxa"/>
              <w:start w:w="120" w:type="dxa"/>
              <w:bottom w:w="100" w:type="dxa"/>
              <w:end w:w="120" w:type="dxa"/>
            </w:tcMar>
          </w:tcPr>
          <w:p>
            <w:r>
              <w:t>Standard GPU baseline</w:t>
            </w:r>
          </w:p>
        </w:tc>
      </w:tr>
      <w:tr>
        <w:tc>
          <w:tcPr>
            <w:tcW w:type="dxa" w:w="3341"/>
            <w:vAlign w:val="center"/>
            <w:tcMar>
              <w:top w:w="100" w:type="dxa"/>
              <w:start w:w="120" w:type="dxa"/>
              <w:bottom w:w="100" w:type="dxa"/>
              <w:end w:w="120" w:type="dxa"/>
            </w:tcMar>
          </w:tcPr>
          <w:p>
            <w:r>
              <w:t>FP32</w:t>
            </w:r>
          </w:p>
        </w:tc>
        <w:tc>
          <w:tcPr>
            <w:tcW w:type="dxa" w:w="3341"/>
            <w:vAlign w:val="center"/>
            <w:tcMar>
              <w:top w:w="100" w:type="dxa"/>
              <w:start w:w="120" w:type="dxa"/>
              <w:bottom w:w="100" w:type="dxa"/>
              <w:end w:w="120" w:type="dxa"/>
            </w:tcMar>
          </w:tcPr>
          <w:p>
            <w:r>
              <w:t>FP64</w:t>
            </w:r>
          </w:p>
        </w:tc>
        <w:tc>
          <w:tcPr>
            <w:tcW w:type="dxa" w:w="3341"/>
            <w:vAlign w:val="center"/>
            <w:tcMar>
              <w:top w:w="100" w:type="dxa"/>
              <w:start w:w="120" w:type="dxa"/>
              <w:bottom w:w="100" w:type="dxa"/>
              <w:end w:w="120" w:type="dxa"/>
            </w:tcMar>
          </w:tcPr>
          <w:p>
            <w:r>
              <w:t>Tests evaluation error while suppressing accumulation error</w:t>
            </w:r>
          </w:p>
        </w:tc>
      </w:tr>
      <w:tr>
        <w:tc>
          <w:tcPr>
            <w:tcW w:type="dxa" w:w="3341"/>
            <w:vAlign w:val="center"/>
            <w:tcMar>
              <w:top w:w="100" w:type="dxa"/>
              <w:start w:w="120" w:type="dxa"/>
              <w:bottom w:w="100" w:type="dxa"/>
              <w:end w:w="120" w:type="dxa"/>
            </w:tcMar>
          </w:tcPr>
          <w:p>
            <w:r>
              <w:t>FP64</w:t>
            </w:r>
          </w:p>
        </w:tc>
        <w:tc>
          <w:tcPr>
            <w:tcW w:type="dxa" w:w="3341"/>
            <w:vAlign w:val="center"/>
            <w:tcMar>
              <w:top w:w="100" w:type="dxa"/>
              <w:start w:w="120" w:type="dxa"/>
              <w:bottom w:w="100" w:type="dxa"/>
              <w:end w:w="120" w:type="dxa"/>
            </w:tcMar>
          </w:tcPr>
          <w:p>
            <w:r>
              <w:t>FP64</w:t>
            </w:r>
          </w:p>
        </w:tc>
        <w:tc>
          <w:tcPr>
            <w:tcW w:type="dxa" w:w="3341"/>
            <w:vAlign w:val="center"/>
            <w:tcMar>
              <w:top w:w="100" w:type="dxa"/>
              <w:start w:w="120" w:type="dxa"/>
              <w:bottom w:w="100" w:type="dxa"/>
              <w:end w:w="120" w:type="dxa"/>
            </w:tcMar>
          </w:tcPr>
          <w:p>
            <w:r>
              <w:t>Algorithmic reference path</w:t>
            </w:r>
          </w:p>
        </w:tc>
      </w:tr>
    </w:tbl>
    <w:p/>
    <w:p>
      <w:pPr>
        <w:pStyle w:val="Heading2"/>
      </w:pPr>
      <w:r>
        <w:t>6.5 Parameter sweep</w:t>
      </w:r>
    </w:p>
    <w:p>
      <w:pPr>
        <w:pStyle w:val="CodeCaption"/>
      </w:pPr>
      <w:r>
        <w:t>Listing 6.2 - Scale sweep</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def sweep_a(values, base_config):</w:t>
              <w:br/>
            </w:r>
            <w:r>
              <w:t xml:space="preserve">    rows = []</w:t>
              <w:br/>
            </w:r>
            <w:r>
              <w:t xml:space="preserve">    for a in values:</w:t>
              <w:br/>
            </w:r>
            <w:r>
              <w:t xml:space="preserve">        cfg = CMCConfig(**{**base_config.__dict__, "a": float(a)})</w:t>
              <w:br/>
            </w:r>
            <w:r>
              <w:t xml:space="preserve">        r = cmc_simpson(cfg)</w:t>
              <w:br/>
            </w:r>
            <w:r>
              <w:t xml:space="preserve">        rows.append({"a": a, "value": r.numerical,</w:t>
              <w:br/>
            </w:r>
            <w:r>
              <w:t xml:space="preserve">                     "relative_error": r.relative_error, "vcm": r.vcm})</w:t>
              <w:br/>
            </w:r>
            <w:r>
              <w:t xml:space="preserve">    return rows</w:t>
            </w:r>
          </w:p>
        </w:tc>
      </w:tr>
    </w:tbl>
    <w:p/>
    <w:p>
      <w:r>
        <w:t>The dimensionless implementation should produce nearly scale-independent relative error over the safe range of the chosen format. A systematic dependence on a can reveal avoidable overflow, underflow, fixed physical truncation, or a failure to normalize the kernel.</w:t>
      </w:r>
    </w:p>
    <w:p>
      <w:r>
        <w:br w:type="page"/>
      </w:r>
    </w:p>
    <w:p>
      <w:pPr>
        <w:pStyle w:val="Heading1"/>
      </w:pPr>
      <w:r>
        <w:t>Chapter 7</w:t>
      </w:r>
    </w:p>
    <w:p>
      <w:pPr>
        <w:pStyle w:val="ChapterTitle"/>
      </w:pPr>
      <w:r>
        <w:t>The Verification Confidence Metric</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Convert relative error into an interpretable count of verified decimal digits and define diagnostic thresholds.</w:t>
            </w:r>
          </w:p>
        </w:tc>
      </w:tr>
    </w:tbl>
    <w:p/>
    <w:p>
      <w:pPr>
        <w:pStyle w:val="Heading2"/>
      </w:pPr>
      <w:r>
        <w:t>7.1 Definition</w:t>
      </w:r>
    </w:p>
    <w:p>
      <w:pPr>
        <w:pStyle w:val="Equation"/>
        <w:jc w:val="center"/>
      </w:pPr>
      <w:r>
        <w:t>VCM = -log10(|I_num - I_exact| / |I_exact|)</w:t>
      </w:r>
      <w:r>
        <w:t xml:space="preserve">    (7.1)</w:t>
      </w:r>
    </w:p>
    <w:p>
      <w:r>
        <w:t>VCM is the number of correct decimal digits implied by the relative error. A VCM near 6 corresponds to roughly one part in a million; a VCM near 3 corresponds to roughly one part in a thousand. Infinite VCM from exact floating-point equality should be reported separately rather than treated as unlimited physical accuracy.</w:t>
      </w:r>
    </w:p>
    <w:p>
      <w:pPr>
        <w:pStyle w:val="Heading2"/>
      </w:pPr>
      <w:r>
        <w:t>7.2 Expected value</w:t>
      </w:r>
    </w:p>
    <w:p>
      <w:r>
        <w:t>The paper compares observed VCM with an expected precision-dependent level. In practice, the expected value should be treated as a range because the result also depends on quadrature order, the number of accumulated terms, reduction strategy, evaluation precision, and whether the hardware uses wider internal arithmetic.</w:t>
      </w:r>
    </w:p>
    <w:p>
      <w:pPr>
        <w:pStyle w:val="Heading2"/>
      </w:pPr>
      <w:r>
        <w:t>7.3 Interpretation cases</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3341"/>
            <w:shd w:fill="1F4E78"/>
            <w:vAlign w:val="center"/>
          </w:tcPr>
          <w:p>
            <w:r>
              <w:rPr>
                <w:b/>
                <w:color w:val="FFFFFF"/>
              </w:rPr>
              <w:t>Observation</w:t>
            </w:r>
          </w:p>
        </w:tc>
        <w:tc>
          <w:tcPr>
            <w:tcW w:type="dxa" w:w="3341"/>
            <w:shd w:fill="1F4E78"/>
            <w:vAlign w:val="center"/>
          </w:tcPr>
          <w:p>
            <w:r>
              <w:rPr>
                <w:b/>
                <w:color w:val="FFFFFF"/>
              </w:rPr>
              <w:t>Likely interpretation</w:t>
            </w:r>
          </w:p>
        </w:tc>
        <w:tc>
          <w:tcPr>
            <w:tcW w:type="dxa" w:w="3341"/>
            <w:shd w:fill="1F4E78"/>
            <w:vAlign w:val="center"/>
          </w:tcPr>
          <w:p>
            <w:r>
              <w:rPr>
                <w:b/>
                <w:color w:val="FFFFFF"/>
              </w:rPr>
              <w:t>Next action</w:t>
            </w:r>
          </w:p>
        </w:tc>
      </w:tr>
      <w:tr>
        <w:tc>
          <w:tcPr>
            <w:tcW w:type="dxa" w:w="3341"/>
            <w:vAlign w:val="center"/>
            <w:tcMar>
              <w:top w:w="100" w:type="dxa"/>
              <w:start w:w="120" w:type="dxa"/>
              <w:bottom w:w="100" w:type="dxa"/>
              <w:end w:w="120" w:type="dxa"/>
            </w:tcMar>
          </w:tcPr>
          <w:p>
            <w:r>
              <w:t>VCM near expected</w:t>
            </w:r>
          </w:p>
        </w:tc>
        <w:tc>
          <w:tcPr>
            <w:tcW w:type="dxa" w:w="3341"/>
            <w:vAlign w:val="center"/>
            <w:tcMar>
              <w:top w:w="100" w:type="dxa"/>
              <w:start w:w="120" w:type="dxa"/>
              <w:bottom w:w="100" w:type="dxa"/>
              <w:end w:w="120" w:type="dxa"/>
            </w:tcMar>
          </w:tcPr>
          <w:p>
            <w:r>
              <w:t>Stack operates within the modeled numerical envelope</w:t>
            </w:r>
          </w:p>
        </w:tc>
        <w:tc>
          <w:tcPr>
            <w:tcW w:type="dxa" w:w="3341"/>
            <w:vAlign w:val="center"/>
            <w:tcMar>
              <w:top w:w="100" w:type="dxa"/>
              <w:start w:w="120" w:type="dxa"/>
              <w:bottom w:w="100" w:type="dxa"/>
              <w:end w:w="120" w:type="dxa"/>
            </w:tcMar>
          </w:tcPr>
          <w:p>
            <w:r>
              <w:t>Repeat across seeds, sizes, and systems</w:t>
            </w:r>
          </w:p>
        </w:tc>
      </w:tr>
      <w:tr>
        <w:tc>
          <w:tcPr>
            <w:tcW w:type="dxa" w:w="3341"/>
            <w:vAlign w:val="center"/>
            <w:tcMar>
              <w:top w:w="100" w:type="dxa"/>
              <w:start w:w="120" w:type="dxa"/>
              <w:bottom w:w="100" w:type="dxa"/>
              <w:end w:w="120" w:type="dxa"/>
            </w:tcMar>
          </w:tcPr>
          <w:p>
            <w:r>
              <w:t>VCM much lower</w:t>
            </w:r>
          </w:p>
        </w:tc>
        <w:tc>
          <w:tcPr>
            <w:tcW w:type="dxa" w:w="3341"/>
            <w:vAlign w:val="center"/>
            <w:tcMar>
              <w:top w:w="100" w:type="dxa"/>
              <w:start w:w="120" w:type="dxa"/>
              <w:bottom w:w="100" w:type="dxa"/>
              <w:end w:w="120" w:type="dxa"/>
            </w:tcMar>
          </w:tcPr>
          <w:p>
            <w:r>
              <w:t>Quantization, overflow, bad reduction, compiler issue, or hardware degradation</w:t>
            </w:r>
          </w:p>
        </w:tc>
        <w:tc>
          <w:tcPr>
            <w:tcW w:type="dxa" w:w="3341"/>
            <w:vAlign w:val="center"/>
            <w:tcMar>
              <w:top w:w="100" w:type="dxa"/>
              <w:start w:w="120" w:type="dxa"/>
              <w:bottom w:w="100" w:type="dxa"/>
              <w:end w:w="120" w:type="dxa"/>
            </w:tcMar>
          </w:tcPr>
          <w:p>
            <w:r>
              <w:t>Inspect exceptions, accumulator type, and scale sweep</w:t>
            </w:r>
          </w:p>
        </w:tc>
      </w:tr>
      <w:tr>
        <w:tc>
          <w:tcPr>
            <w:tcW w:type="dxa" w:w="3341"/>
            <w:vAlign w:val="center"/>
            <w:tcMar>
              <w:top w:w="100" w:type="dxa"/>
              <w:start w:w="120" w:type="dxa"/>
              <w:bottom w:w="100" w:type="dxa"/>
              <w:end w:w="120" w:type="dxa"/>
            </w:tcMar>
          </w:tcPr>
          <w:p>
            <w:r>
              <w:t>VCM unexpectedly higher</w:t>
            </w:r>
          </w:p>
        </w:tc>
        <w:tc>
          <w:tcPr>
            <w:tcW w:type="dxa" w:w="3341"/>
            <w:vAlign w:val="center"/>
            <w:tcMar>
              <w:top w:w="100" w:type="dxa"/>
              <w:start w:w="120" w:type="dxa"/>
              <w:bottom w:w="100" w:type="dxa"/>
              <w:end w:w="120" w:type="dxa"/>
            </w:tcMar>
          </w:tcPr>
          <w:p>
            <w:r>
              <w:t>Wider internal precision, reference leakage, constant folding, or result reuse</w:t>
            </w:r>
          </w:p>
        </w:tc>
        <w:tc>
          <w:tcPr>
            <w:tcW w:type="dxa" w:w="3341"/>
            <w:vAlign w:val="center"/>
            <w:tcMar>
              <w:top w:w="100" w:type="dxa"/>
              <w:start w:w="120" w:type="dxa"/>
              <w:bottom w:w="100" w:type="dxa"/>
              <w:end w:w="120" w:type="dxa"/>
            </w:tcMar>
          </w:tcPr>
          <w:p>
            <w:r>
              <w:t>Disable optimizations selectively and inspect generated code</w:t>
            </w:r>
          </w:p>
        </w:tc>
      </w:tr>
      <w:tr>
        <w:tc>
          <w:tcPr>
            <w:tcW w:type="dxa" w:w="3341"/>
            <w:vAlign w:val="center"/>
            <w:tcMar>
              <w:top w:w="100" w:type="dxa"/>
              <w:start w:w="120" w:type="dxa"/>
              <w:bottom w:w="100" w:type="dxa"/>
              <w:end w:w="120" w:type="dxa"/>
            </w:tcMar>
          </w:tcPr>
          <w:p>
            <w:r>
              <w:t>VCM unstable across runs</w:t>
            </w:r>
          </w:p>
        </w:tc>
        <w:tc>
          <w:tcPr>
            <w:tcW w:type="dxa" w:w="3341"/>
            <w:vAlign w:val="center"/>
            <w:tcMar>
              <w:top w:w="100" w:type="dxa"/>
              <w:start w:w="120" w:type="dxa"/>
              <w:bottom w:w="100" w:type="dxa"/>
              <w:end w:w="120" w:type="dxa"/>
            </w:tcMar>
          </w:tcPr>
          <w:p>
            <w:r>
              <w:t>Non-deterministic reduction, race, stochastic rounding, or noisy hardware</w:t>
            </w:r>
          </w:p>
        </w:tc>
        <w:tc>
          <w:tcPr>
            <w:tcW w:type="dxa" w:w="3341"/>
            <w:vAlign w:val="center"/>
            <w:tcMar>
              <w:top w:w="100" w:type="dxa"/>
              <w:start w:w="120" w:type="dxa"/>
              <w:bottom w:w="100" w:type="dxa"/>
              <w:end w:w="120" w:type="dxa"/>
            </w:tcMar>
          </w:tcPr>
          <w:p>
            <w:r>
              <w:t>Capture run distribution and execution metadata</w:t>
            </w:r>
          </w:p>
        </w:tc>
      </w:tr>
    </w:tbl>
    <w:p/>
    <w:p>
      <w:pPr>
        <w:pStyle w:val="Heading2"/>
      </w:pPr>
      <w:r>
        <w:t>7.4 Do not reduce verification to one number</w:t>
      </w:r>
    </w:p>
    <w:p>
      <w:r>
        <w:t>VCM is a compact summary, not a complete diagnosis. Always retain the signed error, relative error, absolute error, result value, exact value, scale parameter, operation count, and configuration. A useful report includes a VCM curve over problem size and parameter scale, not only one scalar.</w:t>
      </w:r>
    </w:p>
    <w:p>
      <w:pPr>
        <w:pStyle w:val="Heading2"/>
      </w:pPr>
      <w:r>
        <w:t>7.5 Suggested pass/fail policy</w:t>
      </w:r>
    </w:p>
    <w:p>
      <w:pPr>
        <w:pStyle w:val="ListNumber"/>
      </w:pPr>
      <w:r>
        <w:t>Establish an FP64 algorithmic baseline with a documented quadrature configuration.</w:t>
      </w:r>
    </w:p>
    <w:p>
      <w:pPr>
        <w:pStyle w:val="ListNumber"/>
      </w:pPr>
      <w:r>
        <w:t>Estimate the expected VCM band for each target precision and reduction mode.</w:t>
      </w:r>
    </w:p>
    <w:p>
      <w:pPr>
        <w:pStyle w:val="ListNumber"/>
      </w:pPr>
      <w:r>
        <w:t>Require repeatability within a specified tolerance or distribution.</w:t>
      </w:r>
    </w:p>
    <w:p>
      <w:pPr>
        <w:pStyle w:val="ListNumber"/>
      </w:pPr>
      <w:r>
        <w:t>Fail on non-finite values, unexplained scale dependence, or VCM below the validated band.</w:t>
      </w:r>
    </w:p>
    <w:p>
      <w:pPr>
        <w:pStyle w:val="ListNumber"/>
      </w:pPr>
      <w:r>
        <w:t>Flag unexpectedly high VCM for investigation rather than automatically passing it.</w:t>
      </w:r>
    </w:p>
    <w:p>
      <w:r>
        <w:br w:type="page"/>
      </w:r>
    </w:p>
    <w:p>
      <w:pPr>
        <w:pStyle w:val="Heading1"/>
      </w:pPr>
      <w:r>
        <w:t>Chapter 8</w:t>
      </w:r>
    </w:p>
    <w:p>
      <w:pPr>
        <w:pStyle w:val="ChapterTitle"/>
      </w:pPr>
      <w:r>
        <w:t>Benchmark Harness and Continuous Integration</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Package CMC as an automated test that can be reproduced across machines, compilers, and software releases.</w:t>
            </w:r>
          </w:p>
        </w:tc>
      </w:tr>
    </w:tbl>
    <w:p/>
    <w:p>
      <w:pPr>
        <w:pStyle w:val="Heading2"/>
      </w:pPr>
      <w:r>
        <w:t>8.1 Result schema</w:t>
      </w:r>
    </w:p>
    <w:p>
      <w:pPr>
        <w:pStyle w:val="CodeCaption"/>
      </w:pPr>
      <w:r>
        <w:t>Listing 8.1 - Machine-readable result</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w:t>
              <w:br/>
            </w:r>
            <w:r>
              <w:t xml:space="preserve">  "benchmark": "cmc-integral",</w:t>
              <w:br/>
            </w:r>
            <w:r>
              <w:t xml:space="preserve">  "version": "1.0",</w:t>
              <w:br/>
            </w:r>
            <w:r>
              <w:t xml:space="preserve">  "a": 1.0,</w:t>
              <w:br/>
            </w:r>
            <w:r>
              <w:t xml:space="preserve">  "domain": 32.0,</w:t>
              <w:br/>
            </w:r>
            <w:r>
              <w:t xml:space="preserve">  "panels": 16384,</w:t>
              <w:br/>
            </w:r>
            <w:r>
              <w:t xml:space="preserve">  "quadrature": "composite-simpson",</w:t>
              <w:br/>
            </w:r>
            <w:r>
              <w:t xml:space="preserve">  "evaluation_format": "float32",</w:t>
              <w:br/>
            </w:r>
            <w:r>
              <w:t xml:space="preserve">  "accumulation_format": "float64",</w:t>
              <w:br/>
            </w:r>
            <w:r>
              <w:t xml:space="preserve">  "reduction": "pairwise",</w:t>
              <w:br/>
            </w:r>
            <w:r>
              <w:t xml:space="preserve">  "numerical": -1.6660811018,</w:t>
              <w:br/>
            </w:r>
            <w:r>
              <w:t xml:space="preserve">  "exact": -1.6660811018,</w:t>
              <w:br/>
            </w:r>
            <w:r>
              <w:t xml:space="preserve">  "relative_error": 0.0,</w:t>
              <w:br/>
            </w:r>
            <w:r>
              <w:t xml:space="preserve">  "vcm": null,</w:t>
              <w:br/>
            </w:r>
            <w:r>
              <w:t xml:space="preserve">  "platform": {"os": "...", "cpu": "...", "compiler": "..."}</w:t>
              <w:br/>
            </w:r>
            <w:r>
              <w:t>}</w:t>
            </w:r>
          </w:p>
        </w:tc>
      </w:tr>
    </w:tbl>
    <w:p/>
    <w:p>
      <w:pPr>
        <w:pStyle w:val="Heading2"/>
      </w:pPr>
      <w:r>
        <w:t>8.2 CI workflow</w:t>
      </w:r>
    </w:p>
    <w:p>
      <w:pPr>
        <w:pStyle w:val="CodeCaption"/>
      </w:pPr>
      <w:r>
        <w:t>Listing 8.2 - Example CI matrix</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name: cmc-numerical-verification</w:t>
              <w:br/>
            </w:r>
            <w:r>
              <w:t>on: [push, pull_request]</w:t>
              <w:br/>
            </w:r>
            <w:r>
              <w:t>jobs:</w:t>
              <w:br/>
            </w:r>
            <w:r>
              <w:t xml:space="preserve">  verify:</w:t>
              <w:br/>
            </w:r>
            <w:r>
              <w:t xml:space="preserve">    strategy:</w:t>
              <w:br/>
            </w:r>
            <w:r>
              <w:t xml:space="preserve">      matrix:</w:t>
              <w:br/>
            </w:r>
            <w:r>
              <w:t xml:space="preserve">        os: [ubuntu-latest, windows-latest, macos-latest]</w:t>
              <w:br/>
            </w:r>
            <w:r>
              <w:t xml:space="preserve">        python: ["3.11", "3.12"]</w:t>
              <w:br/>
            </w:r>
            <w:r>
              <w:t xml:space="preserve">    runs-on: ${{ matrix.os }}</w:t>
              <w:br/>
            </w:r>
            <w:r>
              <w:t xml:space="preserve">    steps:</w:t>
              <w:br/>
            </w:r>
            <w:r>
              <w:t xml:space="preserve">      - uses: actions/checkout@v4</w:t>
              <w:br/>
            </w:r>
            <w:r>
              <w:t xml:space="preserve">      - uses: actions/setup-python@v5</w:t>
              <w:br/>
            </w:r>
            <w:r>
              <w:t xml:space="preserve">        with:</w:t>
              <w:br/>
            </w:r>
            <w:r>
              <w:t xml:space="preserve">          python-version: ${{ matrix.python }}</w:t>
              <w:br/>
            </w:r>
            <w:r>
              <w:t xml:space="preserve">      - run: pip install -e .[test]</w:t>
              <w:br/>
            </w:r>
            <w:r>
              <w:t xml:space="preserve">      - run: pytest -q</w:t>
              <w:br/>
            </w:r>
            <w:r>
              <w:t xml:space="preserve">      - run: cmcbench run --preset fp64-reference --json cmc-result.json</w:t>
              <w:br/>
            </w:r>
            <w:r>
              <w:t xml:space="preserve">      - uses: actions/upload-artifact@v4</w:t>
              <w:br/>
            </w:r>
            <w:r>
              <w:t xml:space="preserve">        with:</w:t>
              <w:br/>
            </w:r>
            <w:r>
              <w:t xml:space="preserve">          name: cmc-${{ matrix.os }}-${{ matrix.python }}</w:t>
              <w:br/>
            </w:r>
            <w:r>
              <w:t xml:space="preserve">          path: cmc-result.json</w:t>
            </w:r>
          </w:p>
        </w:tc>
      </w:tr>
    </w:tbl>
    <w:p/>
    <w:p>
      <w:pPr>
        <w:pStyle w:val="Heading2"/>
      </w:pPr>
      <w:r>
        <w:t>8.3 Regression testing</w:t>
      </w:r>
    </w:p>
    <w:p>
      <w:r>
        <w:t>A regression test should compare both accuracy and behavior. Store historical VCM, runtime, non-finite counts, and scale-sweep curves. Use tolerances rather than bitwise equality unless deterministic arithmetic is an explicit requirement. A compiler or library upgrade that changes reduction order may alter the last bits without representing a defect; a systematic VCM loss is more significant.</w:t>
      </w:r>
    </w:p>
    <w:p>
      <w:pPr>
        <w:pStyle w:val="Heading2"/>
      </w:pPr>
      <w:r>
        <w:t>8.4 Detecting constant folding and benchmark cheating</w:t>
      </w:r>
    </w:p>
    <w:p>
      <w:pPr>
        <w:pStyle w:val="ListBullet"/>
      </w:pPr>
      <w:r>
        <w:t>Generate a at runtime from input rather than compiling one fixed value.</w:t>
      </w:r>
    </w:p>
    <w:p>
      <w:pPr>
        <w:pStyle w:val="ListBullet"/>
      </w:pPr>
      <w:r>
        <w:t>Sweep several values of a and optionally z0.</w:t>
      </w:r>
    </w:p>
    <w:p>
      <w:pPr>
        <w:pStyle w:val="ListBullet"/>
      </w:pPr>
      <w:r>
        <w:t>Prevent the exact formula from being used by the numerical kernel.</w:t>
      </w:r>
    </w:p>
    <w:p>
      <w:pPr>
        <w:pStyle w:val="ListBullet"/>
      </w:pPr>
      <w:r>
        <w:t>Inspect optimized assembly or intermediate representation for suspicious replacement.</w:t>
      </w:r>
    </w:p>
    <w:p>
      <w:pPr>
        <w:pStyle w:val="ListBullet"/>
      </w:pPr>
      <w:r>
        <w:t>Randomize harmless execution details while preserving a reproducible seed.</w:t>
      </w:r>
    </w:p>
    <w:p>
      <w:pPr>
        <w:pStyle w:val="ListBullet"/>
      </w:pPr>
      <w:r>
        <w:t>Keep the exact-value function isolated from the code path under test.</w:t>
      </w:r>
    </w:p>
    <w:p>
      <w:pPr>
        <w:pStyle w:val="Heading2"/>
      </w:pPr>
      <w:r>
        <w:t>8.5 Security and integrity</w:t>
      </w:r>
    </w:p>
    <w:p>
      <w:r>
        <w:t>In regulated or adversarial settings, sign the benchmark binary and result files, record hashes of dependencies, and preserve raw logs. CMC can detect numerical anomalies, but it does not by itself establish provenance or prevent manipulation.</w:t>
      </w:r>
    </w:p>
    <w:p>
      <w:r>
        <w:br w:type="page"/>
      </w:r>
    </w:p>
    <w:p>
      <w:pPr>
        <w:pStyle w:val="Heading1"/>
      </w:pPr>
      <w:r>
        <w:t>Chapter 9</w:t>
      </w:r>
    </w:p>
    <w:p>
      <w:pPr>
        <w:pStyle w:val="ChapterTitle"/>
      </w:pPr>
      <w:r>
        <w:t>Mixed Precision and AI Accelerators</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Use CMC to audit low-precision kernels, tensor hardware, compiler lowering, and mixed-precision pipelines.</w:t>
            </w:r>
          </w:p>
        </w:tc>
      </w:tr>
    </w:tbl>
    <w:p/>
    <w:p>
      <w:pPr>
        <w:pStyle w:val="Heading2"/>
      </w:pPr>
      <w:r>
        <w:t>9.1 What to test</w:t>
      </w:r>
    </w:p>
    <w:p>
      <w:pPr>
        <w:pStyle w:val="ListBullet"/>
      </w:pPr>
      <w:r>
        <w:t>Kernel evaluation precision.</w:t>
      </w:r>
    </w:p>
    <w:p>
      <w:pPr>
        <w:pStyle w:val="ListBullet"/>
      </w:pPr>
      <w:r>
        <w:t>Multiplication and division precision.</w:t>
      </w:r>
    </w:p>
    <w:p>
      <w:pPr>
        <w:pStyle w:val="ListBullet"/>
      </w:pPr>
      <w:r>
        <w:t>Accumulator precision.</w:t>
      </w:r>
    </w:p>
    <w:p>
      <w:pPr>
        <w:pStyle w:val="ListBullet"/>
      </w:pPr>
      <w:r>
        <w:t>Conversion and quantization rules.</w:t>
      </w:r>
    </w:p>
    <w:p>
      <w:pPr>
        <w:pStyle w:val="ListBullet"/>
      </w:pPr>
      <w:r>
        <w:t>Fused multiply-add behavior.</w:t>
      </w:r>
    </w:p>
    <w:p>
      <w:pPr>
        <w:pStyle w:val="ListBullet"/>
      </w:pPr>
      <w:r>
        <w:t>Parallel reduction order.</w:t>
      </w:r>
    </w:p>
    <w:p>
      <w:pPr>
        <w:pStyle w:val="ListBullet"/>
      </w:pPr>
      <w:r>
        <w:t>Overflow, underflow, and saturation behavior.</w:t>
      </w:r>
    </w:p>
    <w:p>
      <w:pPr>
        <w:pStyle w:val="ListBullet"/>
      </w:pPr>
      <w:r>
        <w:t>Compiler fast-math transformations.</w:t>
      </w:r>
    </w:p>
    <w:p>
      <w:pPr>
        <w:pStyle w:val="Heading2"/>
      </w:pPr>
      <w:r>
        <w:t>9.2 A test matrix</w:t>
      </w:r>
    </w:p>
    <w:tbl>
      <w:tblPr>
        <w:tblStyle w:val="TableGrid"/>
        <w:tblW w:type="auto" w:w="0"/>
        <w:jc w:val="center"/>
        <w:tblLook w:firstColumn="1" w:firstRow="1" w:lastColumn="0" w:lastRow="0" w:noHBand="0" w:noVBand="1" w:val="04A0"/>
      </w:tblPr>
      <w:tblGrid>
        <w:gridCol w:w="2505"/>
        <w:gridCol w:w="2505"/>
        <w:gridCol w:w="2505"/>
        <w:gridCol w:w="2505"/>
      </w:tblGrid>
      <w:tr>
        <w:trPr>
          <w:tblHeader w:val="true"/>
        </w:trPr>
        <w:tc>
          <w:tcPr>
            <w:tcW w:type="dxa" w:w="2505"/>
            <w:shd w:fill="1F4E78"/>
            <w:vAlign w:val="center"/>
          </w:tcPr>
          <w:p>
            <w:r>
              <w:rPr>
                <w:b/>
                <w:color w:val="FFFFFF"/>
              </w:rPr>
              <w:t>Variant</w:t>
            </w:r>
          </w:p>
        </w:tc>
        <w:tc>
          <w:tcPr>
            <w:tcW w:type="dxa" w:w="2505"/>
            <w:shd w:fill="1F4E78"/>
            <w:vAlign w:val="center"/>
          </w:tcPr>
          <w:p>
            <w:r>
              <w:rPr>
                <w:b/>
                <w:color w:val="FFFFFF"/>
              </w:rPr>
              <w:t>Evaluate</w:t>
            </w:r>
          </w:p>
        </w:tc>
        <w:tc>
          <w:tcPr>
            <w:tcW w:type="dxa" w:w="2505"/>
            <w:shd w:fill="1F4E78"/>
            <w:vAlign w:val="center"/>
          </w:tcPr>
          <w:p>
            <w:r>
              <w:rPr>
                <w:b/>
                <w:color w:val="FFFFFF"/>
              </w:rPr>
              <w:t>Accumulate</w:t>
            </w:r>
          </w:p>
        </w:tc>
        <w:tc>
          <w:tcPr>
            <w:tcW w:type="dxa" w:w="2505"/>
            <w:shd w:fill="1F4E78"/>
            <w:vAlign w:val="center"/>
          </w:tcPr>
          <w:p>
            <w:r>
              <w:rPr>
                <w:b/>
                <w:color w:val="FFFFFF"/>
              </w:rPr>
              <w:t>Purpose</w:t>
            </w:r>
          </w:p>
        </w:tc>
      </w:tr>
      <w:tr>
        <w:tc>
          <w:tcPr>
            <w:tcW w:type="dxa" w:w="2505"/>
            <w:vAlign w:val="center"/>
            <w:tcMar>
              <w:top w:w="100" w:type="dxa"/>
              <w:start w:w="120" w:type="dxa"/>
              <w:bottom w:w="100" w:type="dxa"/>
              <w:end w:w="120" w:type="dxa"/>
            </w:tcMar>
          </w:tcPr>
          <w:p>
            <w:r>
              <w:t>A</w:t>
            </w:r>
          </w:p>
        </w:tc>
        <w:tc>
          <w:tcPr>
            <w:tcW w:type="dxa" w:w="2505"/>
            <w:vAlign w:val="center"/>
            <w:tcMar>
              <w:top w:w="100" w:type="dxa"/>
              <w:start w:w="120" w:type="dxa"/>
              <w:bottom w:w="100" w:type="dxa"/>
              <w:end w:w="120" w:type="dxa"/>
            </w:tcMar>
          </w:tcPr>
          <w:p>
            <w:r>
              <w:t>FP64</w:t>
            </w:r>
          </w:p>
        </w:tc>
        <w:tc>
          <w:tcPr>
            <w:tcW w:type="dxa" w:w="2505"/>
            <w:vAlign w:val="center"/>
            <w:tcMar>
              <w:top w:w="100" w:type="dxa"/>
              <w:start w:w="120" w:type="dxa"/>
              <w:bottom w:w="100" w:type="dxa"/>
              <w:end w:w="120" w:type="dxa"/>
            </w:tcMar>
          </w:tcPr>
          <w:p>
            <w:r>
              <w:t>FP64</w:t>
            </w:r>
          </w:p>
        </w:tc>
        <w:tc>
          <w:tcPr>
            <w:tcW w:type="dxa" w:w="2505"/>
            <w:vAlign w:val="center"/>
            <w:tcMar>
              <w:top w:w="100" w:type="dxa"/>
              <w:start w:w="120" w:type="dxa"/>
              <w:bottom w:w="100" w:type="dxa"/>
              <w:end w:w="120" w:type="dxa"/>
            </w:tcMar>
          </w:tcPr>
          <w:p>
            <w:r>
              <w:t>Algorithmic baseline</w:t>
            </w:r>
          </w:p>
        </w:tc>
      </w:tr>
      <w:tr>
        <w:tc>
          <w:tcPr>
            <w:tcW w:type="dxa" w:w="2505"/>
            <w:vAlign w:val="center"/>
            <w:tcMar>
              <w:top w:w="100" w:type="dxa"/>
              <w:start w:w="120" w:type="dxa"/>
              <w:bottom w:w="100" w:type="dxa"/>
              <w:end w:w="120" w:type="dxa"/>
            </w:tcMar>
          </w:tcPr>
          <w:p>
            <w:r>
              <w:t>B</w:t>
            </w:r>
          </w:p>
        </w:tc>
        <w:tc>
          <w:tcPr>
            <w:tcW w:type="dxa" w:w="2505"/>
            <w:vAlign w:val="center"/>
            <w:tcMar>
              <w:top w:w="100" w:type="dxa"/>
              <w:start w:w="120" w:type="dxa"/>
              <w:bottom w:w="100" w:type="dxa"/>
              <w:end w:w="120" w:type="dxa"/>
            </w:tcMar>
          </w:tcPr>
          <w:p>
            <w:r>
              <w:t>FP32</w:t>
            </w:r>
          </w:p>
        </w:tc>
        <w:tc>
          <w:tcPr>
            <w:tcW w:type="dxa" w:w="2505"/>
            <w:vAlign w:val="center"/>
            <w:tcMar>
              <w:top w:w="100" w:type="dxa"/>
              <w:start w:w="120" w:type="dxa"/>
              <w:bottom w:w="100" w:type="dxa"/>
              <w:end w:w="120" w:type="dxa"/>
            </w:tcMar>
          </w:tcPr>
          <w:p>
            <w:r>
              <w:t>FP32</w:t>
            </w:r>
          </w:p>
        </w:tc>
        <w:tc>
          <w:tcPr>
            <w:tcW w:type="dxa" w:w="2505"/>
            <w:vAlign w:val="center"/>
            <w:tcMar>
              <w:top w:w="100" w:type="dxa"/>
              <w:start w:w="120" w:type="dxa"/>
              <w:bottom w:w="100" w:type="dxa"/>
              <w:end w:w="120" w:type="dxa"/>
            </w:tcMar>
          </w:tcPr>
          <w:p>
            <w:r>
              <w:t>General accelerator baseline</w:t>
            </w:r>
          </w:p>
        </w:tc>
      </w:tr>
      <w:tr>
        <w:tc>
          <w:tcPr>
            <w:tcW w:type="dxa" w:w="2505"/>
            <w:vAlign w:val="center"/>
            <w:tcMar>
              <w:top w:w="100" w:type="dxa"/>
              <w:start w:w="120" w:type="dxa"/>
              <w:bottom w:w="100" w:type="dxa"/>
              <w:end w:w="120" w:type="dxa"/>
            </w:tcMar>
          </w:tcPr>
          <w:p>
            <w:r>
              <w:t>C</w:t>
            </w:r>
          </w:p>
        </w:tc>
        <w:tc>
          <w:tcPr>
            <w:tcW w:type="dxa" w:w="2505"/>
            <w:vAlign w:val="center"/>
            <w:tcMar>
              <w:top w:w="100" w:type="dxa"/>
              <w:start w:w="120" w:type="dxa"/>
              <w:bottom w:w="100" w:type="dxa"/>
              <w:end w:w="120" w:type="dxa"/>
            </w:tcMar>
          </w:tcPr>
          <w:p>
            <w:r>
              <w:t>FP16/BF16</w:t>
            </w:r>
          </w:p>
        </w:tc>
        <w:tc>
          <w:tcPr>
            <w:tcW w:type="dxa" w:w="2505"/>
            <w:vAlign w:val="center"/>
            <w:tcMar>
              <w:top w:w="100" w:type="dxa"/>
              <w:start w:w="120" w:type="dxa"/>
              <w:bottom w:w="100" w:type="dxa"/>
              <w:end w:w="120" w:type="dxa"/>
            </w:tcMar>
          </w:tcPr>
          <w:p>
            <w:r>
              <w:t>FP32</w:t>
            </w:r>
          </w:p>
        </w:tc>
        <w:tc>
          <w:tcPr>
            <w:tcW w:type="dxa" w:w="2505"/>
            <w:vAlign w:val="center"/>
            <w:tcMar>
              <w:top w:w="100" w:type="dxa"/>
              <w:start w:w="120" w:type="dxa"/>
              <w:bottom w:w="100" w:type="dxa"/>
              <w:end w:w="120" w:type="dxa"/>
            </w:tcMar>
          </w:tcPr>
          <w:p>
            <w:r>
              <w:t>Common mixed-precision path</w:t>
            </w:r>
          </w:p>
        </w:tc>
      </w:tr>
      <w:tr>
        <w:tc>
          <w:tcPr>
            <w:tcW w:type="dxa" w:w="2505"/>
            <w:vAlign w:val="center"/>
            <w:tcMar>
              <w:top w:w="100" w:type="dxa"/>
              <w:start w:w="120" w:type="dxa"/>
              <w:bottom w:w="100" w:type="dxa"/>
              <w:end w:w="120" w:type="dxa"/>
            </w:tcMar>
          </w:tcPr>
          <w:p>
            <w:r>
              <w:t>D</w:t>
            </w:r>
          </w:p>
        </w:tc>
        <w:tc>
          <w:tcPr>
            <w:tcW w:type="dxa" w:w="2505"/>
            <w:vAlign w:val="center"/>
            <w:tcMar>
              <w:top w:w="100" w:type="dxa"/>
              <w:start w:w="120" w:type="dxa"/>
              <w:bottom w:w="100" w:type="dxa"/>
              <w:end w:w="120" w:type="dxa"/>
            </w:tcMar>
          </w:tcPr>
          <w:p>
            <w:r>
              <w:t>FP16/BF16</w:t>
            </w:r>
          </w:p>
        </w:tc>
        <w:tc>
          <w:tcPr>
            <w:tcW w:type="dxa" w:w="2505"/>
            <w:vAlign w:val="center"/>
            <w:tcMar>
              <w:top w:w="100" w:type="dxa"/>
              <w:start w:w="120" w:type="dxa"/>
              <w:bottom w:w="100" w:type="dxa"/>
              <w:end w:w="120" w:type="dxa"/>
            </w:tcMar>
          </w:tcPr>
          <w:p>
            <w:r>
              <w:t>same low precision</w:t>
            </w:r>
          </w:p>
        </w:tc>
        <w:tc>
          <w:tcPr>
            <w:tcW w:type="dxa" w:w="2505"/>
            <w:vAlign w:val="center"/>
            <w:tcMar>
              <w:top w:w="100" w:type="dxa"/>
              <w:start w:w="120" w:type="dxa"/>
              <w:bottom w:w="100" w:type="dxa"/>
              <w:end w:w="120" w:type="dxa"/>
            </w:tcMar>
          </w:tcPr>
          <w:p>
            <w:r>
              <w:t>Stress accumulation</w:t>
            </w:r>
          </w:p>
        </w:tc>
      </w:tr>
      <w:tr>
        <w:tc>
          <w:tcPr>
            <w:tcW w:type="dxa" w:w="2505"/>
            <w:vAlign w:val="center"/>
            <w:tcMar>
              <w:top w:w="100" w:type="dxa"/>
              <w:start w:w="120" w:type="dxa"/>
              <w:bottom w:w="100" w:type="dxa"/>
              <w:end w:w="120" w:type="dxa"/>
            </w:tcMar>
          </w:tcPr>
          <w:p>
            <w:r>
              <w:t>E</w:t>
            </w:r>
          </w:p>
        </w:tc>
        <w:tc>
          <w:tcPr>
            <w:tcW w:type="dxa" w:w="2505"/>
            <w:vAlign w:val="center"/>
            <w:tcMar>
              <w:top w:w="100" w:type="dxa"/>
              <w:start w:w="120" w:type="dxa"/>
              <w:bottom w:w="100" w:type="dxa"/>
              <w:end w:w="120" w:type="dxa"/>
            </w:tcMar>
          </w:tcPr>
          <w:p>
            <w:r>
              <w:t>FP8-like</w:t>
            </w:r>
          </w:p>
        </w:tc>
        <w:tc>
          <w:tcPr>
            <w:tcW w:type="dxa" w:w="2505"/>
            <w:vAlign w:val="center"/>
            <w:tcMar>
              <w:top w:w="100" w:type="dxa"/>
              <w:start w:w="120" w:type="dxa"/>
              <w:bottom w:w="100" w:type="dxa"/>
              <w:end w:w="120" w:type="dxa"/>
            </w:tcMar>
          </w:tcPr>
          <w:p>
            <w:r>
              <w:t>FP16/FP32</w:t>
            </w:r>
          </w:p>
        </w:tc>
        <w:tc>
          <w:tcPr>
            <w:tcW w:type="dxa" w:w="2505"/>
            <w:vAlign w:val="center"/>
            <w:tcMar>
              <w:top w:w="100" w:type="dxa"/>
              <w:start w:w="120" w:type="dxa"/>
              <w:bottom w:w="100" w:type="dxa"/>
              <w:end w:w="120" w:type="dxa"/>
            </w:tcMar>
          </w:tcPr>
          <w:p>
            <w:r>
              <w:t>Quantized input with wider reduction</w:t>
            </w:r>
          </w:p>
        </w:tc>
      </w:tr>
    </w:tbl>
    <w:p/>
    <w:p>
      <w:pPr>
        <w:pStyle w:val="Heading2"/>
      </w:pPr>
      <w:r>
        <w:t>9.3 Compiler safety</w:t>
      </w:r>
    </w:p>
    <w:p>
      <w:r>
        <w:t>Compile the same source under strict IEEE settings and fast-math settings. A change in VCM is not automatically a compiler bug: reassociation is often allowed under fast-math. The benchmark makes the numerical cost of those transformations visible. For each build, record flags, compiler version, target architecture, and generated instruction class.</w:t>
      </w:r>
    </w:p>
    <w:p>
      <w:pPr>
        <w:pStyle w:val="Heading2"/>
      </w:pPr>
      <w:r>
        <w:t>9.4 Framework integration</w:t>
      </w:r>
    </w:p>
    <w:p>
      <w:pPr>
        <w:pStyle w:val="CodeCaption"/>
      </w:pPr>
      <w:r>
        <w:t>Listing 9.1 - Device benchmark pattern</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 Framework-neutral pseudocode</w:t>
              <w:br/>
            </w:r>
            <w:r>
              <w:t>x = linspace(-L, L, N + 1, dtype=target_dtype)</w:t>
              <w:br/>
            </w:r>
            <w:r>
              <w:t>y = cmc_kernel(x)                     # execute on target device</w:t>
              <w:br/>
            </w:r>
            <w:r>
              <w:t>weighted = y * simpson_weights</w:t>
              <w:br/>
            </w:r>
            <w:r>
              <w:t>s = reduce(weighted, accumulator_dtype)</w:t>
              <w:br/>
            </w:r>
            <w:r>
              <w:t>value = (h / 3) * s / a</w:t>
              <w:br/>
            </w:r>
            <w:r>
              <w:t>copy value to host</w:t>
              <w:br/>
            </w:r>
            <w:r>
              <w:t>compare with analytic exact value</w:t>
            </w:r>
          </w:p>
        </w:tc>
      </w:tr>
    </w:tbl>
    <w:p/>
    <w:p>
      <w:pPr>
        <w:pStyle w:val="Heading2"/>
      </w:pPr>
      <w:r>
        <w:t>9.5 Interpreting unexpectedly good results</w:t>
      </w:r>
    </w:p>
    <w:p>
      <w:r>
        <w:t>A low-precision path may report more digits than the nominal format suggests because products or sums are performed in a wider internal format. This is useful information. It should be verified by changing accumulator settings, disabling fusion where possible, and using operation-level microbenchmarks.</w:t>
      </w:r>
    </w:p>
    <w:p>
      <w:pPr>
        <w:pStyle w:val="Heading2"/>
      </w:pPr>
      <w:r>
        <w:t>9.6 What the source paper supports</w:t>
      </w:r>
    </w:p>
    <w:p>
      <w:r>
        <w:t>FreeBenc.pdf reports software-stack and reduced-precision studies, including FP64, FP32, FP16, BF16, and FP8-oriented analysis. Hardware-specific certification of named physical accelerators is identified as future work. Therefore this chapter provides a deployment method, not a claim that any particular commercial accelerator has already been validated.</w:t>
      </w:r>
    </w:p>
    <w:p>
      <w:r>
        <w:br w:type="page"/>
      </w:r>
    </w:p>
    <w:p>
      <w:pPr>
        <w:pStyle w:val="Heading1"/>
      </w:pPr>
      <w:r>
        <w:t>Chapter 10</w:t>
      </w:r>
    </w:p>
    <w:p>
      <w:pPr>
        <w:pStyle w:val="ChapterTitle"/>
      </w:pPr>
      <w:r>
        <w:t>C++ and Systems-Level Integration</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Implement the benchmark without Python dependencies and expose it to production software, test frameworks, and embedded environments.</w:t>
            </w:r>
          </w:p>
        </w:tc>
      </w:tr>
    </w:tbl>
    <w:p/>
    <w:p>
      <w:pPr>
        <w:pStyle w:val="Heading2"/>
      </w:pPr>
      <w:r>
        <w:t>10.1 Portable C++ implementation</w:t>
      </w:r>
    </w:p>
    <w:p>
      <w:pPr>
        <w:pStyle w:val="CodeCaption"/>
      </w:pPr>
      <w:r>
        <w:t>Listing 10.1 - Header-only C++ kernel</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#include &lt;cmath&gt;</w:t>
              <w:br/>
            </w:r>
            <w:r>
              <w:t>#include &lt;cstddef&gt;</w:t>
              <w:br/>
            </w:r>
            <w:r>
              <w:t>#include &lt;stdexcept&gt;</w:t>
              <w:br/>
            </w:r>
            <w:r>
              <w:t>#include &lt;vector&gt;</w:t>
              <w:br/>
            </w:r>
            <w:r>
              <w:br/>
            </w:r>
            <w:r>
              <w:t>long double cmc_exact(long double a) {</w:t>
              <w:br/>
            </w:r>
            <w:r>
              <w:t xml:space="preserve">    if (!(a &gt; 0.0L)) throw std::invalid_argument("a must be positive");</w:t>
              <w:br/>
            </w:r>
            <w:r>
              <w:t xml:space="preserve">    const long double pi = std::acos(-1.0L);</w:t>
              <w:br/>
            </w:r>
            <w:r>
              <w:t xml:space="preserve">    return -(3.0L * pi * std::sqrt(2.0L)) / (8.0L * a);</w:t>
              <w:br/>
            </w:r>
            <w:r>
              <w:t>}</w:t>
              <w:br/>
            </w:r>
            <w:r>
              <w:br/>
            </w:r>
            <w:r>
              <w:t>template&lt;class Real, class Accum = long double&gt;</w:t>
              <w:br/>
            </w:r>
            <w:r>
              <w:t>Accum cmc_simpson(Real a, std::size_t panels, Real L) {</w:t>
              <w:br/>
            </w:r>
            <w:r>
              <w:t xml:space="preserve">    if (!(a &gt; Real(0)) || !(L &gt; Real(0)) || panels == 0 || panels % 2)</w:t>
              <w:br/>
            </w:r>
            <w:r>
              <w:t xml:space="preserve">        throw std::invalid_argument("invalid CMC configuration");</w:t>
              <w:br/>
            </w:r>
            <w:r>
              <w:t xml:space="preserve">    const Real h = (Real(2) * L) / static_cast&lt;Real&gt;(panels);</w:t>
              <w:br/>
            </w:r>
            <w:r>
              <w:t xml:space="preserve">    Accum sum = 0;</w:t>
              <w:br/>
            </w:r>
            <w:r>
              <w:t xml:space="preserve">    for (std::size_t i = 0; i &lt;= panels; ++i) {</w:t>
              <w:br/>
            </w:r>
            <w:r>
              <w:t xml:space="preserve">        const Real x = -L + static_cast&lt;Real&gt;(i) * h;</w:t>
              <w:br/>
            </w:r>
            <w:r>
              <w:t xml:space="preserve">        const Real ax = std::abs(x);</w:t>
              <w:br/>
            </w:r>
            <w:r>
              <w:t xml:space="preserve">        const Real x2 = ax * ax;</w:t>
              <w:br/>
            </w:r>
            <w:r>
              <w:t xml:space="preserve">        const Real x4 = x2 * x2;</w:t>
              <w:br/>
            </w:r>
            <w:r>
              <w:t xml:space="preserve">        const Real k = -Real(8) * (x4 * x2) /</w:t>
              <w:br/>
            </w:r>
            <w:r>
              <w:t xml:space="preserve">                       ((x4 + Real(1)) * (x4 + Real(1)) * (x4 + Real(1)));</w:t>
              <w:br/>
            </w:r>
            <w:r>
              <w:t xml:space="preserve">        const int w = (i == 0 || i == panels) ? 1 : (i % 2 ? 4 : 2);</w:t>
              <w:br/>
            </w:r>
            <w:r>
              <w:t xml:space="preserve">        sum += static_cast&lt;Accum&gt;(w) * static_cast&lt;Accum&gt;(k);</w:t>
              <w:br/>
            </w:r>
            <w:r>
              <w:t xml:space="preserve">    }</w:t>
              <w:br/>
            </w:r>
            <w:r>
              <w:t xml:space="preserve">    return (static_cast&lt;Accum&gt;(h) / Accum(3)) * sum / static_cast&lt;Accum&gt;(a);</w:t>
              <w:br/>
            </w:r>
            <w:r>
              <w:t>}</w:t>
            </w:r>
          </w:p>
        </w:tc>
      </w:tr>
    </w:tbl>
    <w:p/>
    <w:p>
      <w:pPr>
        <w:pStyle w:val="Heading2"/>
      </w:pPr>
      <w:r>
        <w:t>10.2 Build variants</w:t>
      </w:r>
    </w:p>
    <w:p>
      <w:pPr>
        <w:pStyle w:val="CodeCaption"/>
      </w:pPr>
      <w:r>
        <w:t>Listing 10.2 - Compiler comparison</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 Strict build</w:t>
              <w:br/>
            </w:r>
            <w:r>
              <w:t>c++ -O3 -std=c++20 -fno-fast-math -ffp-contract=off cmc.cpp -o cmc_strict</w:t>
              <w:br/>
            </w:r>
            <w:r>
              <w:br/>
            </w:r>
            <w:r>
              <w:t># Optimized/reassociated build for comparison</w:t>
              <w:br/>
            </w:r>
            <w:r>
              <w:t>c++ -O3 -std=c++20 -ffast-math cmc.cpp -o cmc_fast</w:t>
            </w:r>
          </w:p>
        </w:tc>
      </w:tr>
    </w:tbl>
    <w:p/>
    <w:p>
      <w:pPr>
        <w:pStyle w:val="Heading2"/>
      </w:pPr>
      <w:r>
        <w:t>10.3 API boundary</w:t>
      </w:r>
    </w:p>
    <w:p>
      <w:r>
        <w:t>Expose a small C ABI when the benchmark must be called from Rust, Go, Java, or a test harness. Keep exact-value computation and numerical integration in separate symbols. Return structured status codes for invalid parameters, overflow, non-finite samples, and failed convergence checks.</w:t>
      </w:r>
    </w:p>
    <w:p>
      <w:pPr>
        <w:pStyle w:val="Heading2"/>
      </w:pPr>
      <w:r>
        <w:t>10.4 Embedded and firmware considerations</w:t>
      </w:r>
    </w:p>
    <w:p>
      <w:pPr>
        <w:pStyle w:val="ListBullet"/>
      </w:pPr>
      <w:r>
        <w:t>Avoid dynamic allocation by streaming samples into the accumulator.</w:t>
      </w:r>
    </w:p>
    <w:p>
      <w:pPr>
        <w:pStyle w:val="ListBullet"/>
      </w:pPr>
      <w:r>
        <w:t>Use fixed panel counts and a precomputed weight pattern.</w:t>
      </w:r>
    </w:p>
    <w:p>
      <w:pPr>
        <w:pStyle w:val="ListBullet"/>
      </w:pPr>
      <w:r>
        <w:t>Report cycle count separately from numerical accuracy.</w:t>
      </w:r>
    </w:p>
    <w:p>
      <w:pPr>
        <w:pStyle w:val="ListBullet"/>
      </w:pPr>
      <w:r>
        <w:t>Guard against implementations where double and long double have the same precision.</w:t>
      </w:r>
    </w:p>
    <w:p>
      <w:pPr>
        <w:pStyle w:val="ListBullet"/>
      </w:pPr>
      <w:r>
        <w:t>Test with and without hardware FMA when the platform allows control.</w:t>
      </w:r>
    </w:p>
    <w:p>
      <w:r>
        <w:br w:type="page"/>
      </w:r>
    </w:p>
    <w:p>
      <w:pPr>
        <w:pStyle w:val="Heading1"/>
      </w:pPr>
      <w:r>
        <w:t>Chapter 11</w:t>
      </w:r>
    </w:p>
    <w:p>
      <w:pPr>
        <w:pStyle w:val="ChapterTitle"/>
      </w:pPr>
      <w:r>
        <w:t>High-Performance and Distributed Computing</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Scale the benchmark while retaining a meaningful and reproducible numerical interpretation.</w:t>
            </w:r>
          </w:p>
        </w:tc>
      </w:tr>
    </w:tbl>
    <w:p/>
    <w:p>
      <w:pPr>
        <w:pStyle w:val="Heading2"/>
      </w:pPr>
      <w:r>
        <w:t>11.1 Domain decomposition</w:t>
      </w:r>
    </w:p>
    <w:p>
      <w:r>
        <w:t>Partition the dimensionless interval [-L, L] into subdomains. Each rank or device computes a local weighted quadrature sum. The global result is a reduction of local sums followed by the common scale factor 1/a. The benchmark is computationally light per sample, so it is useful for studying reduction accuracy, vectorization, and communication effects, but it is not a comprehensive performance benchmark.</w:t>
      </w:r>
    </w:p>
    <w:p>
      <w:pPr>
        <w:pStyle w:val="Heading2"/>
      </w:pPr>
      <w:r>
        <w:t>11.2 MPI-style pseudocode</w:t>
      </w:r>
    </w:p>
    <w:p>
      <w:pPr>
        <w:pStyle w:val="CodeCaption"/>
      </w:pPr>
      <w:r>
        <w:t>Listing 11.1 - Distributed benchmark flow</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local_interval = partition([-L, L], rank, world_size)</w:t>
              <w:br/>
            </w:r>
            <w:r>
              <w:t>local_sum = evaluate_weighted_cmc_nodes(local_interval)</w:t>
              <w:br/>
            </w:r>
            <w:r>
              <w:t># Use a documented reduction mode:</w:t>
              <w:br/>
            </w:r>
            <w:r>
              <w:t>global_sum = MPI_Reduce(local_sum, operation=SUM, root=0)</w:t>
              <w:br/>
            </w:r>
            <w:r>
              <w:t>if rank == 0:</w:t>
              <w:br/>
            </w:r>
            <w:r>
              <w:t xml:space="preserve">    value = common_factor * global_sum / a</w:t>
              <w:br/>
            </w:r>
            <w:r>
              <w:t xml:space="preserve">    report(value, exact(a), relative_error, vcm)</w:t>
            </w:r>
          </w:p>
        </w:tc>
      </w:tr>
    </w:tbl>
    <w:p/>
    <w:p>
      <w:pPr>
        <w:pStyle w:val="Heading2"/>
      </w:pPr>
      <w:r>
        <w:t>11.3 Reproducible reductions</w:t>
      </w:r>
    </w:p>
    <w:p>
      <w:r>
        <w:t>A standard MPI reduction is allowed to use different trees depending on process count and implementation. For bitwise reproducibility, use a fixed reduction tree, long accumulator, binned or superaccumulator method, or reproducible BLAS-style library. For normal engineering validation, report the distribution of results over process counts and reduction modes.</w:t>
      </w:r>
    </w:p>
    <w:p>
      <w:pPr>
        <w:pStyle w:val="Heading2"/>
      </w:pPr>
      <w:r>
        <w:t>11.4 Strong and weak scaling</w:t>
      </w:r>
    </w:p>
    <w:p>
      <w:r>
        <w:t>Strong scaling keeps the total panel count fixed while increasing workers. Weak scaling increases panels with workers. The accuracy interpretation differs: strong scaling primarily exposes reduction-order changes, while weak scaling changes both operation count and quadrature resolution. Performance and VCM should be plotted separately.</w:t>
      </w:r>
    </w:p>
    <w:p>
      <w:pPr>
        <w:pStyle w:val="Heading2"/>
      </w:pPr>
      <w:r>
        <w:t>11.5 Roofline interpretation</w:t>
      </w:r>
    </w:p>
    <w:p>
      <w:r>
        <w:t>The canonical kernel performs a modest number of arithmetic operations per sample and streams regular arrays if vectorized. A fused implementation that generates points and accumulates on the fly reduces memory traffic and better isolates arithmetic and reduction behavior. The benchmark can illuminate compiler vectorization and reduction costs, but its arithmetic intensity does not represent every HPC workload.</w:t>
      </w:r>
    </w:p>
    <w:p>
      <w:pPr>
        <w:pStyle w:val="Heading2"/>
      </w:pPr>
      <w:r>
        <w:t>11.6 Fault-injection experiments</w:t>
      </w:r>
    </w:p>
    <w:p>
      <w:pPr>
        <w:pStyle w:val="ListBullet"/>
      </w:pPr>
      <w:r>
        <w:t>Flip low-order bits in a controlled fraction of samples.</w:t>
      </w:r>
    </w:p>
    <w:p>
      <w:pPr>
        <w:pStyle w:val="ListBullet"/>
      </w:pPr>
      <w:r>
        <w:t>Perturb one local partial sum before the global reduction.</w:t>
      </w:r>
    </w:p>
    <w:p>
      <w:pPr>
        <w:pStyle w:val="ListBullet"/>
      </w:pPr>
      <w:r>
        <w:t>Drop or duplicate a subdomain contribution.</w:t>
      </w:r>
    </w:p>
    <w:p>
      <w:pPr>
        <w:pStyle w:val="ListBullet"/>
      </w:pPr>
      <w:r>
        <w:t>Force a lower-precision accumulator on one rank.</w:t>
      </w:r>
    </w:p>
    <w:p>
      <w:pPr>
        <w:pStyle w:val="ListBullet"/>
      </w:pPr>
      <w:r>
        <w:t>Compare the resulting VCM and scale-sweep signature.</w:t>
      </w:r>
    </w:p>
    <w:p>
      <w:r>
        <w:t>These experiments are engineering extensions. They demonstrate how CMC may be used diagnostically; they are not part of the empirical evidence reported in FreeBenc.pdf unless separately executed and documented.</w:t>
      </w:r>
    </w:p>
    <w:p>
      <w:r>
        <w:br w:type="page"/>
      </w:r>
    </w:p>
    <w:p>
      <w:pPr>
        <w:pStyle w:val="Heading1"/>
      </w:pPr>
      <w:r>
        <w:t>Chapter 12</w:t>
      </w:r>
    </w:p>
    <w:p>
      <w:pPr>
        <w:pStyle w:val="ChapterTitle"/>
      </w:pPr>
      <w:r>
        <w:t>Analog and Quantum Numerical Verification</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Translate the source paper’s proposed quantum and analog applications into a cautious engineering roadmap.</w:t>
            </w:r>
          </w:p>
        </w:tc>
      </w:tr>
    </w:tbl>
    <w:p/>
    <w:p>
      <w:pPr>
        <w:pStyle w:val="Heading2"/>
      </w:pPr>
      <w:r>
        <w:t>12.1 Status of the proposal</w:t>
      </w:r>
    </w:p>
    <w:p>
      <w:r>
        <w:t>The source paper discusses continuous-variable mappings, discrete qubit mappings, variational cost functions, noise models, NISQ considerations, and analog calibration. These are potential applications. The paper does not establish a completed universal quantum advantage or a hardware certification result. This distinction is essential.</w:t>
      </w:r>
    </w:p>
    <w:p>
      <w:pPr>
        <w:pStyle w:val="Heading2"/>
      </w:pPr>
      <w:r>
        <w:t>12.2 Observable mapping idea</w:t>
      </w:r>
    </w:p>
    <w:p>
      <w:r>
        <w:t>A quantum or analog implementation must encode either the integration variable, the kernel, or a probability distribution from which the integral can be estimated. The exact classical result then provides the reference. Any mapping introduces state-preparation, discretization, measurement, and readout errors that must be accounted for separately.</w:t>
      </w:r>
    </w:p>
    <w:p>
      <w:pPr>
        <w:pStyle w:val="Heading2"/>
      </w:pPr>
      <w:r>
        <w:t>12.3 Noise-floor calibration</w:t>
      </w:r>
    </w:p>
    <w:p>
      <w:r>
        <w:t>Because the classical target is known and well-conditioned, repeated estimates can be used to characterize bias and variance. The observed distribution can reveal a combined noise floor, but identifying individual physical noise mechanisms requires additional calibration experiments.</w:t>
      </w:r>
    </w:p>
    <w:p>
      <w:pPr>
        <w:pStyle w:val="Heading2"/>
      </w:pPr>
      <w:r>
        <w:t>12.4 Required evidence for a credible hardware study</w:t>
      </w:r>
    </w:p>
    <w:p>
      <w:pPr>
        <w:pStyle w:val="ListNumber"/>
      </w:pPr>
      <w:r>
        <w:t>An explicit encoding and circuit or analog protocol.</w:t>
      </w:r>
    </w:p>
    <w:p>
      <w:pPr>
        <w:pStyle w:val="ListNumber"/>
      </w:pPr>
      <w:r>
        <w:t>A resource count and classical preprocessing cost.</w:t>
      </w:r>
    </w:p>
    <w:p>
      <w:pPr>
        <w:pStyle w:val="ListNumber"/>
      </w:pPr>
      <w:r>
        <w:t>A discretization and truncation analysis.</w:t>
      </w:r>
    </w:p>
    <w:p>
      <w:pPr>
        <w:pStyle w:val="ListNumber"/>
      </w:pPr>
      <w:r>
        <w:t>Raw measurement counts or analog traces.</w:t>
      </w:r>
    </w:p>
    <w:p>
      <w:pPr>
        <w:pStyle w:val="ListNumber"/>
      </w:pPr>
      <w:r>
        <w:t>Error-mitigation settings and results before and after mitigation.</w:t>
      </w:r>
    </w:p>
    <w:p>
      <w:pPr>
        <w:pStyle w:val="ListNumber"/>
      </w:pPr>
      <w:r>
        <w:t>Repeated runs and uncertainty intervals.</w:t>
      </w:r>
    </w:p>
    <w:p>
      <w:pPr>
        <w:pStyle w:val="ListNumber"/>
      </w:pPr>
      <w:r>
        <w:t>Comparison with the exact CMC value and a matched classical implementation.</w:t>
      </w:r>
    </w:p>
    <w:p>
      <w:pPr>
        <w:pStyle w:val="ListNumber"/>
      </w:pPr>
      <w:r>
        <w:t>A clear statement of what is being verified: arithmetic, integration, state preparation, or the entire stack.</w:t>
      </w:r>
    </w:p>
    <w:p>
      <w:pPr>
        <w:pStyle w:val="Heading2"/>
      </w:pPr>
      <w:r>
        <w:t>12.5 No automatic quantum advantage</w:t>
      </w:r>
    </w:p>
    <w:p>
      <w:r>
        <w:t>The current CMC benchmark is one-dimensional and classically inexpensive. It is therefore well suited to calibration and correctness studies, but not by itself to demonstrating computational speedup. High-dimensional generalizations are identified by the source paper as future research.</w:t>
      </w:r>
    </w:p>
    <w:p>
      <w:r>
        <w:br w:type="page"/>
      </w:r>
    </w:p>
    <w:p>
      <w:pPr>
        <w:pStyle w:val="Heading1"/>
      </w:pPr>
      <w:r>
        <w:t>Chapter 13</w:t>
      </w:r>
    </w:p>
    <w:p>
      <w:pPr>
        <w:pStyle w:val="ChapterTitle"/>
      </w:pPr>
      <w:r>
        <w:t>Reproducibility and Experimental Reporting</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Produce evidence that another team can rerun, audit, and interpret.</w:t>
            </w:r>
          </w:p>
        </w:tc>
      </w:tr>
    </w:tbl>
    <w:p/>
    <w:p>
      <w:pPr>
        <w:pStyle w:val="Heading2"/>
      </w:pPr>
      <w:r>
        <w:t>13.1 Minimum metadata</w:t>
      </w:r>
    </w:p>
    <w:tbl>
      <w:tblPr>
        <w:tblStyle w:val="TableGrid"/>
        <w:tblW w:type="auto" w:w="0"/>
        <w:jc w:val="center"/>
        <w:tblLook w:firstColumn="1" w:firstRow="1" w:lastColumn="0" w:lastRow="0" w:noHBand="0" w:noVBand="1" w:val="04A0"/>
      </w:tblPr>
      <w:tblGrid>
        <w:gridCol w:w="5011"/>
        <w:gridCol w:w="5011"/>
      </w:tblGrid>
      <w:tr>
        <w:trPr>
          <w:tblHeader w:val="true"/>
        </w:trPr>
        <w:tc>
          <w:tcPr>
            <w:tcW w:type="dxa" w:w="5011"/>
            <w:shd w:fill="1F4E78"/>
            <w:vAlign w:val="center"/>
          </w:tcPr>
          <w:p>
            <w:r>
              <w:rPr>
                <w:b/>
                <w:color w:val="FFFFFF"/>
              </w:rPr>
              <w:t>Category</w:t>
            </w:r>
          </w:p>
        </w:tc>
        <w:tc>
          <w:tcPr>
            <w:tcW w:type="dxa" w:w="5011"/>
            <w:shd w:fill="1F4E78"/>
            <w:vAlign w:val="center"/>
          </w:tcPr>
          <w:p>
            <w:r>
              <w:rPr>
                <w:b/>
                <w:color w:val="FFFFFF"/>
              </w:rPr>
              <w:t>Required fields</w:t>
            </w:r>
          </w:p>
        </w:tc>
      </w:tr>
      <w:tr>
        <w:tc>
          <w:tcPr>
            <w:tcW w:type="dxa" w:w="5011"/>
            <w:vAlign w:val="center"/>
            <w:tcMar>
              <w:top w:w="100" w:type="dxa"/>
              <w:start w:w="120" w:type="dxa"/>
              <w:bottom w:w="100" w:type="dxa"/>
              <w:end w:w="120" w:type="dxa"/>
            </w:tcMar>
          </w:tcPr>
          <w:p>
            <w:r>
              <w:t>Benchmark</w:t>
            </w:r>
          </w:p>
        </w:tc>
        <w:tc>
          <w:tcPr>
            <w:tcW w:type="dxa" w:w="5011"/>
            <w:vAlign w:val="center"/>
            <w:tcMar>
              <w:top w:w="100" w:type="dxa"/>
              <w:start w:w="120" w:type="dxa"/>
              <w:bottom w:w="100" w:type="dxa"/>
              <w:end w:w="120" w:type="dxa"/>
            </w:tcMar>
          </w:tcPr>
          <w:p>
            <w:r>
              <w:t>Version, a, domain L, panels/nodes, transformation, quadrature</w:t>
            </w:r>
          </w:p>
        </w:tc>
      </w:tr>
      <w:tr>
        <w:tc>
          <w:tcPr>
            <w:tcW w:type="dxa" w:w="5011"/>
            <w:vAlign w:val="center"/>
            <w:tcMar>
              <w:top w:w="100" w:type="dxa"/>
              <w:start w:w="120" w:type="dxa"/>
              <w:bottom w:w="100" w:type="dxa"/>
              <w:end w:w="120" w:type="dxa"/>
            </w:tcMar>
          </w:tcPr>
          <w:p>
            <w:r>
              <w:t>Arithmetic</w:t>
            </w:r>
          </w:p>
        </w:tc>
        <w:tc>
          <w:tcPr>
            <w:tcW w:type="dxa" w:w="5011"/>
            <w:vAlign w:val="center"/>
            <w:tcMar>
              <w:top w:w="100" w:type="dxa"/>
              <w:start w:w="120" w:type="dxa"/>
              <w:bottom w:w="100" w:type="dxa"/>
              <w:end w:w="120" w:type="dxa"/>
            </w:tcMar>
          </w:tcPr>
          <w:p>
            <w:r>
              <w:t>Evaluation format, accumulator format, rounding mode, FMA, subnormal policy</w:t>
            </w:r>
          </w:p>
        </w:tc>
      </w:tr>
      <w:tr>
        <w:tc>
          <w:tcPr>
            <w:tcW w:type="dxa" w:w="5011"/>
            <w:vAlign w:val="center"/>
            <w:tcMar>
              <w:top w:w="100" w:type="dxa"/>
              <w:start w:w="120" w:type="dxa"/>
              <w:bottom w:w="100" w:type="dxa"/>
              <w:end w:w="120" w:type="dxa"/>
            </w:tcMar>
          </w:tcPr>
          <w:p>
            <w:r>
              <w:t>Software</w:t>
            </w:r>
          </w:p>
        </w:tc>
        <w:tc>
          <w:tcPr>
            <w:tcW w:type="dxa" w:w="5011"/>
            <w:vAlign w:val="center"/>
            <w:tcMar>
              <w:top w:w="100" w:type="dxa"/>
              <w:start w:w="120" w:type="dxa"/>
              <w:bottom w:w="100" w:type="dxa"/>
              <w:end w:w="120" w:type="dxa"/>
            </w:tcMar>
          </w:tcPr>
          <w:p>
            <w:r>
              <w:t>Source commit, compiler/interpreter, flags, libraries, driver/runtime</w:t>
            </w:r>
          </w:p>
        </w:tc>
      </w:tr>
      <w:tr>
        <w:tc>
          <w:tcPr>
            <w:tcW w:type="dxa" w:w="5011"/>
            <w:vAlign w:val="center"/>
            <w:tcMar>
              <w:top w:w="100" w:type="dxa"/>
              <w:start w:w="120" w:type="dxa"/>
              <w:bottom w:w="100" w:type="dxa"/>
              <w:end w:w="120" w:type="dxa"/>
            </w:tcMar>
          </w:tcPr>
          <w:p>
            <w:r>
              <w:t>Hardware</w:t>
            </w:r>
          </w:p>
        </w:tc>
        <w:tc>
          <w:tcPr>
            <w:tcW w:type="dxa" w:w="5011"/>
            <w:vAlign w:val="center"/>
            <w:tcMar>
              <w:top w:w="100" w:type="dxa"/>
              <w:start w:w="120" w:type="dxa"/>
              <w:bottom w:w="100" w:type="dxa"/>
              <w:end w:w="120" w:type="dxa"/>
            </w:tcMar>
          </w:tcPr>
          <w:p>
            <w:r>
              <w:t>CPU/GPU/accelerator model, device count, clock policy when relevant</w:t>
            </w:r>
          </w:p>
        </w:tc>
      </w:tr>
      <w:tr>
        <w:tc>
          <w:tcPr>
            <w:tcW w:type="dxa" w:w="5011"/>
            <w:vAlign w:val="center"/>
            <w:tcMar>
              <w:top w:w="100" w:type="dxa"/>
              <w:start w:w="120" w:type="dxa"/>
              <w:bottom w:w="100" w:type="dxa"/>
              <w:end w:w="120" w:type="dxa"/>
            </w:tcMar>
          </w:tcPr>
          <w:p>
            <w:r>
              <w:t>Execution</w:t>
            </w:r>
          </w:p>
        </w:tc>
        <w:tc>
          <w:tcPr>
            <w:tcW w:type="dxa" w:w="5011"/>
            <w:vAlign w:val="center"/>
            <w:tcMar>
              <w:top w:w="100" w:type="dxa"/>
              <w:start w:w="120" w:type="dxa"/>
              <w:bottom w:w="100" w:type="dxa"/>
              <w:end w:w="120" w:type="dxa"/>
            </w:tcMar>
          </w:tcPr>
          <w:p>
            <w:r>
              <w:t>Thread/process count, reduction algorithm, determinism settings</w:t>
            </w:r>
          </w:p>
        </w:tc>
      </w:tr>
      <w:tr>
        <w:tc>
          <w:tcPr>
            <w:tcW w:type="dxa" w:w="5011"/>
            <w:vAlign w:val="center"/>
            <w:tcMar>
              <w:top w:w="100" w:type="dxa"/>
              <w:start w:w="120" w:type="dxa"/>
              <w:bottom w:w="100" w:type="dxa"/>
              <w:end w:w="120" w:type="dxa"/>
            </w:tcMar>
          </w:tcPr>
          <w:p>
            <w:r>
              <w:t>Results</w:t>
            </w:r>
          </w:p>
        </w:tc>
        <w:tc>
          <w:tcPr>
            <w:tcW w:type="dxa" w:w="5011"/>
            <w:vAlign w:val="center"/>
            <w:tcMar>
              <w:top w:w="100" w:type="dxa"/>
              <w:start w:w="120" w:type="dxa"/>
              <w:bottom w:w="100" w:type="dxa"/>
              <w:end w:w="120" w:type="dxa"/>
            </w:tcMar>
          </w:tcPr>
          <w:p>
            <w:r>
              <w:t>Numerical value, exact value, signed/absolute/relative error, VCM, runtime</w:t>
            </w:r>
          </w:p>
        </w:tc>
      </w:tr>
      <w:tr>
        <w:tc>
          <w:tcPr>
            <w:tcW w:type="dxa" w:w="5011"/>
            <w:vAlign w:val="center"/>
            <w:tcMar>
              <w:top w:w="100" w:type="dxa"/>
              <w:start w:w="120" w:type="dxa"/>
              <w:bottom w:w="100" w:type="dxa"/>
              <w:end w:w="120" w:type="dxa"/>
            </w:tcMar>
          </w:tcPr>
          <w:p>
            <w:r>
              <w:t>Statistics</w:t>
            </w:r>
          </w:p>
        </w:tc>
        <w:tc>
          <w:tcPr>
            <w:tcW w:type="dxa" w:w="5011"/>
            <w:vAlign w:val="center"/>
            <w:tcMar>
              <w:top w:w="100" w:type="dxa"/>
              <w:start w:w="120" w:type="dxa"/>
              <w:bottom w:w="100" w:type="dxa"/>
              <w:end w:w="120" w:type="dxa"/>
            </w:tcMar>
          </w:tcPr>
          <w:p>
            <w:r>
              <w:t>Number of runs, mean, standard deviation, minimum, maximum</w:t>
            </w:r>
          </w:p>
        </w:tc>
      </w:tr>
    </w:tbl>
    <w:p/>
    <w:p>
      <w:pPr>
        <w:pStyle w:val="Heading2"/>
      </w:pPr>
      <w:r>
        <w:t>13.2 Reproducibility checklist</w:t>
      </w:r>
    </w:p>
    <w:p>
      <w:pPr>
        <w:pStyle w:val="ListBullet"/>
      </w:pPr>
      <w:r>
        <w:t>The exact formula is stated and tested independently.</w:t>
      </w:r>
    </w:p>
    <w:p>
      <w:pPr>
        <w:pStyle w:val="ListBullet"/>
      </w:pPr>
      <w:r>
        <w:t>The numerical path cannot call the exact-value function.</w:t>
      </w:r>
    </w:p>
    <w:p>
      <w:pPr>
        <w:pStyle w:val="ListBullet"/>
      </w:pPr>
      <w:r>
        <w:t>The finite-domain and quadrature errors are bounded or empirically converged.</w:t>
      </w:r>
    </w:p>
    <w:p>
      <w:pPr>
        <w:pStyle w:val="ListBullet"/>
      </w:pPr>
      <w:r>
        <w:t>Every precision conversion is explicit.</w:t>
      </w:r>
    </w:p>
    <w:p>
      <w:pPr>
        <w:pStyle w:val="ListBullet"/>
      </w:pPr>
      <w:r>
        <w:t>The reduction strategy is named.</w:t>
      </w:r>
    </w:p>
    <w:p>
      <w:pPr>
        <w:pStyle w:val="ListBullet"/>
      </w:pPr>
      <w:r>
        <w:t>Raw machine-readable results are preserved.</w:t>
      </w:r>
    </w:p>
    <w:p>
      <w:pPr>
        <w:pStyle w:val="ListBullet"/>
      </w:pPr>
      <w:r>
        <w:t>Plots can be regenerated from raw data.</w:t>
      </w:r>
    </w:p>
    <w:p>
      <w:pPr>
        <w:pStyle w:val="ListBullet"/>
      </w:pPr>
      <w:r>
        <w:t>Emulation and physical-hardware results are clearly separated.</w:t>
      </w:r>
    </w:p>
    <w:p>
      <w:pPr>
        <w:pStyle w:val="Heading2"/>
      </w:pPr>
      <w:r>
        <w:t>13.3 Recommended figures</w:t>
      </w:r>
    </w:p>
    <w:p>
      <w:pPr>
        <w:pStyle w:val="ListNumber"/>
      </w:pPr>
      <w:r>
        <w:t>VCM versus precision format.</w:t>
      </w:r>
    </w:p>
    <w:p>
      <w:pPr>
        <w:pStyle w:val="ListNumber"/>
      </w:pPr>
      <w:r>
        <w:t>VCM versus panel count for each quadrature rule.</w:t>
      </w:r>
    </w:p>
    <w:p>
      <w:pPr>
        <w:pStyle w:val="ListNumber"/>
      </w:pPr>
      <w:r>
        <w:t>Relative error versus a on a logarithmic scale.</w:t>
      </w:r>
    </w:p>
    <w:p>
      <w:pPr>
        <w:pStyle w:val="ListNumber"/>
      </w:pPr>
      <w:r>
        <w:t>VCM versus process or device count.</w:t>
      </w:r>
    </w:p>
    <w:p>
      <w:pPr>
        <w:pStyle w:val="ListNumber"/>
      </w:pPr>
      <w:r>
        <w:t>Run-to-run distribution under nondeterministic execution.</w:t>
      </w:r>
    </w:p>
    <w:p>
      <w:pPr>
        <w:pStyle w:val="ListNumber"/>
      </w:pPr>
      <w:r>
        <w:t>Strict-math versus fast-math compiler comparison.</w:t>
      </w:r>
    </w:p>
    <w:p>
      <w:pPr>
        <w:pStyle w:val="Heading2"/>
      </w:pPr>
      <w:r>
        <w:t>13.4 Reproducibility statement template</w:t>
      </w:r>
    </w:p>
    <w:p>
      <w:r>
        <w:t>All source code, configuration files, raw benchmark outputs, environment metadata, and plotting scripts should be archived together. The report should identify whether each low-precision format was executed natively or emulated. Physical hardware results should include the exact device and runtime versions. Any deviations from the reference algorithm should be listed.</w:t>
      </w:r>
    </w:p>
    <w:p>
      <w:r>
        <w:br w:type="page"/>
      </w:r>
    </w:p>
    <w:p>
      <w:pPr>
        <w:pStyle w:val="Heading1"/>
      </w:pPr>
      <w:r>
        <w:t>Chapter 14</w:t>
      </w:r>
    </w:p>
    <w:p>
      <w:pPr>
        <w:pStyle w:val="ChapterTitle"/>
      </w:pPr>
      <w:r>
        <w:t>Limitations, Responsible Claims, and Research Directions</w:t>
      </w:r>
    </w:p>
    <w:tbl>
      <w:tblPr>
        <w:tblW w:type="auto" w:w="0"/>
        <w:jc w:val="center"/>
        <w:tblLook w:firstColumn="1" w:firstRow="1" w:lastColumn="0" w:lastRow="0" w:noHBand="0" w:noVBand="1" w:val="04A0"/>
      </w:tblPr>
      <w:tblGrid>
        <w:gridCol w:w="10022"/>
      </w:tblGrid>
      <w:tr>
        <w:tc>
          <w:tcPr>
            <w:tcW w:type="dxa" w:w="10022"/>
            <w:shd w:fill="EAF2F8"/>
            <w:tcMar>
              <w:top w:w="150" w:type="dxa"/>
              <w:start w:w="180" w:type="dxa"/>
              <w:bottom w:w="150" w:type="dxa"/>
              <w:end w:w="180" w:type="dxa"/>
            </w:tcMar>
          </w:tcPr>
          <w:p>
            <w:r>
              <w:rPr>
                <w:b/>
              </w:rPr>
              <w:t>Chapter objective</w:t>
              <w:br/>
            </w:r>
            <w:r>
              <w:t>State precisely what CMC establishes, what it does not establish, and which extensions remain open.</w:t>
            </w:r>
          </w:p>
        </w:tc>
      </w:tr>
    </w:tbl>
    <w:p/>
    <w:p>
      <w:pPr>
        <w:pStyle w:val="Heading2"/>
      </w:pPr>
      <w:r>
        <w:t>14.1 Current limitations</w:t>
      </w:r>
    </w:p>
    <w:p>
      <w:pPr>
        <w:pStyle w:val="ListBullet"/>
      </w:pPr>
      <w:r>
        <w:t>The benchmark is a one-dimensional integral.</w:t>
      </w:r>
    </w:p>
    <w:p>
      <w:pPr>
        <w:pStyle w:val="ListBullet"/>
      </w:pPr>
      <w:r>
        <w:t>It does not test dense or sparse linear algebra.</w:t>
      </w:r>
    </w:p>
    <w:p>
      <w:pPr>
        <w:pStyle w:val="ListBullet"/>
      </w:pPr>
      <w:r>
        <w:t>It does not validate PDE discretization, meshes, or boundary conditions.</w:t>
      </w:r>
    </w:p>
    <w:p>
      <w:pPr>
        <w:pStyle w:val="ListBullet"/>
      </w:pPr>
      <w:r>
        <w:t>It measures accuracy and stability, not overall application performance.</w:t>
      </w:r>
    </w:p>
    <w:p>
      <w:pPr>
        <w:pStyle w:val="ListBullet"/>
      </w:pPr>
      <w:r>
        <w:t>Quadrature and domain truncation must be controlled before hardware conclusions are drawn.</w:t>
      </w:r>
    </w:p>
    <w:p>
      <w:pPr>
        <w:pStyle w:val="ListBullet"/>
      </w:pPr>
      <w:r>
        <w:t>One scalar benchmark cannot diagnose every arithmetic defect.</w:t>
      </w:r>
    </w:p>
    <w:p>
      <w:pPr>
        <w:pStyle w:val="ListBullet"/>
      </w:pPr>
      <w:r>
        <w:t>Software emulation does not fully reproduce physical accelerator behavior.</w:t>
      </w:r>
    </w:p>
    <w:p>
      <w:pPr>
        <w:pStyle w:val="Heading2"/>
      </w:pPr>
      <w:r>
        <w:t>14.2 Complementary benchmarks</w:t>
      </w:r>
    </w:p>
    <w:p>
      <w:r>
        <w:t>CMC should be combined with performance benchmarks, linear-algebra tests, transcendental-function test suites, randomized arithmetic tests, and application-specific validation. Its role is to fill a specific gap: a sign-definite, regularization-free, closed-form, perfectly conditioned integration benchmark.</w:t>
      </w:r>
    </w:p>
    <w:p>
      <w:pPr>
        <w:pStyle w:val="Heading2"/>
      </w:pPr>
      <w:r>
        <w:t>14.3 Open research directions from the source paper</w:t>
      </w:r>
    </w:p>
    <w:p>
      <w:pPr>
        <w:pStyle w:val="ListNumber"/>
      </w:pPr>
      <w:r>
        <w:t>Higher-dimensional CMC-like integrals.</w:t>
      </w:r>
    </w:p>
    <w:p>
      <w:pPr>
        <w:pStyle w:val="ListNumber"/>
      </w:pPr>
      <w:r>
        <w:t>Matrix-valued benchmarks for mixed-precision linear algebra.</w:t>
      </w:r>
    </w:p>
    <w:p>
      <w:pPr>
        <w:pStyle w:val="ListNumber"/>
      </w:pPr>
      <w:r>
        <w:t>Closed-form, well-conditioned PDE analogues.</w:t>
      </w:r>
    </w:p>
    <w:p>
      <w:pPr>
        <w:pStyle w:val="ListNumber"/>
      </w:pPr>
      <w:r>
        <w:t>Validation on physical AI accelerators and diverse compiler stacks.</w:t>
      </w:r>
    </w:p>
    <w:p>
      <w:pPr>
        <w:pStyle w:val="ListNumber"/>
      </w:pPr>
      <w:r>
        <w:t>Implementation on NISQ and analog quantum devices.</w:t>
      </w:r>
    </w:p>
    <w:p>
      <w:pPr>
        <w:pStyle w:val="ListNumber"/>
      </w:pPr>
      <w:r>
        <w:t>Formal standards for interpreting VCM across formats and operation counts.</w:t>
      </w:r>
    </w:p>
    <w:p>
      <w:pPr>
        <w:pStyle w:val="Heading2"/>
      </w:pPr>
      <w:r>
        <w:t>14.4 Additional engineering directions</w:t>
      </w:r>
    </w:p>
    <w:p>
      <w:pPr>
        <w:pStyle w:val="ListBullet"/>
      </w:pPr>
      <w:r>
        <w:t>A portable conformance suite with JSON schemas and signed result bundles.</w:t>
      </w:r>
    </w:p>
    <w:p>
      <w:pPr>
        <w:pStyle w:val="ListBullet"/>
      </w:pPr>
      <w:r>
        <w:t>Reproducible reduction backends for CPU, GPU, and MPI.</w:t>
      </w:r>
    </w:p>
    <w:p>
      <w:pPr>
        <w:pStyle w:val="ListBullet"/>
      </w:pPr>
      <w:r>
        <w:t>Property-based testing over a, domain, and quadrature configuration.</w:t>
      </w:r>
    </w:p>
    <w:p>
      <w:pPr>
        <w:pStyle w:val="ListBullet"/>
      </w:pPr>
      <w:r>
        <w:t>Fault-injection libraries that generate recognizable VCM signatures.</w:t>
      </w:r>
    </w:p>
    <w:p>
      <w:pPr>
        <w:pStyle w:val="ListBullet"/>
      </w:pPr>
      <w:r>
        <w:t>Integration with compiler validation and continuous numerical quality monitoring.</w:t>
      </w:r>
    </w:p>
    <w:p>
      <w:pPr>
        <w:pStyle w:val="Heading2"/>
      </w:pPr>
      <w:r>
        <w:t>14.5 Final perspective</w:t>
      </w:r>
    </w:p>
    <w:p>
      <w:r>
        <w:t>The strongest feature of CMC is not that it replaces existing benchmarks, but that its mathematical structure makes error attribution unusually clean. For programmers and computer engineers, that creates a practical bridge between rigorous analysis and repeatable software testing. The benchmark is most credible when its scope is kept precise, its algorithmic errors are controlled first, and every hardware claim is supported by reproducible physical measurements.</w:t>
      </w:r>
    </w:p>
    <w:p>
      <w:r>
        <w:br w:type="page"/>
      </w:r>
    </w:p>
    <w:p>
      <w:pPr>
        <w:pStyle w:val="Heading1"/>
      </w:pPr>
      <w:r>
        <w:t>Appendix A - Complete Python Reference Program</w:t>
      </w:r>
    </w:p>
    <w:p>
      <w:pPr>
        <w:pStyle w:val="CodeCaption"/>
      </w:pPr>
      <w:r>
        <w:t>Listing A.1 - Standalone program</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"""cmcbench.py - compact reference implementation."""</w:t>
              <w:br/>
            </w:r>
            <w:r>
              <w:t>from __future__ import annotations</w:t>
              <w:br/>
            </w:r>
            <w:r>
              <w:t>from dataclasses import dataclass, asdict</w:t>
              <w:br/>
            </w:r>
            <w:r>
              <w:t>import argparse, json, math, platform</w:t>
              <w:br/>
            </w:r>
            <w:r>
              <w:t>import numpy as np</w:t>
              <w:br/>
            </w:r>
            <w:r>
              <w:br/>
            </w:r>
            <w:r>
              <w:t>@dataclass(frozen=True)</w:t>
              <w:br/>
            </w:r>
            <w:r>
              <w:t>class Config:</w:t>
              <w:br/>
            </w:r>
            <w:r>
              <w:t xml:space="preserve">    a: float = 1.0</w:t>
              <w:br/>
            </w:r>
            <w:r>
              <w:t xml:space="preserve">    domain: float = 32.0</w:t>
              <w:br/>
            </w:r>
            <w:r>
              <w:t xml:space="preserve">    panels: int = 16384</w:t>
              <w:br/>
            </w:r>
            <w:r>
              <w:t xml:space="preserve">    eval_dtype: str = "float64"</w:t>
              <w:br/>
            </w:r>
            <w:r>
              <w:t xml:space="preserve">    accum_dtype: str = "float64"</w:t>
              <w:br/>
            </w:r>
            <w:r>
              <w:br/>
            </w:r>
            <w:r>
              <w:br/>
            </w:r>
            <w:r>
              <w:t>def exact(a: float) -&gt; float:</w:t>
              <w:br/>
            </w:r>
            <w:r>
              <w:t xml:space="preserve">    if not math.isfinite(a) or a &lt;= 0:</w:t>
              <w:br/>
            </w:r>
            <w:r>
              <w:t xml:space="preserve">        raise ValueError("a must be finite and positive")</w:t>
              <w:br/>
            </w:r>
            <w:r>
              <w:t xml:space="preserve">    return -(3.0 * math.pi * math.sqrt(2.0)) / (8.0 * a)</w:t>
              <w:br/>
            </w:r>
            <w:r>
              <w:br/>
            </w:r>
            <w:r>
              <w:br/>
            </w:r>
            <w:r>
              <w:t>def run(cfg: Config) -&gt; dict:</w:t>
              <w:br/>
            </w:r>
            <w:r>
              <w:t xml:space="preserve">    if cfg.panels &lt;= 0 or cfg.panels % 2:</w:t>
              <w:br/>
            </w:r>
            <w:r>
              <w:t xml:space="preserve">        raise ValueError("panels must be a positive even integer")</w:t>
              <w:br/>
            </w:r>
            <w:r>
              <w:t xml:space="preserve">    if cfg.domain &lt;= 0:</w:t>
              <w:br/>
            </w:r>
            <w:r>
              <w:t xml:space="preserve">        raise ValueError("domain must be positive")</w:t>
              <w:br/>
            </w:r>
            <w:r>
              <w:t xml:space="preserve">    dt = np.dtype(cfg.eval_dtype)</w:t>
              <w:br/>
            </w:r>
            <w:r>
              <w:t xml:space="preserve">    at = np.dtype(cfg.accum_dtype)</w:t>
              <w:br/>
            </w:r>
            <w:r>
              <w:t xml:space="preserve">    L = dt.type(cfg.domain)</w:t>
              <w:br/>
            </w:r>
            <w:r>
              <w:t xml:space="preserve">    x = np.linspace(-L, L, cfg.panels + 1, dtype=dt)</w:t>
              <w:br/>
            </w:r>
            <w:r>
              <w:t xml:space="preserve">    ax = np.abs(x)</w:t>
              <w:br/>
            </w:r>
            <w:r>
              <w:t xml:space="preserve">    x2 = ax * ax</w:t>
              <w:br/>
            </w:r>
            <w:r>
              <w:t xml:space="preserve">    x4 = x2 * x2</w:t>
              <w:br/>
            </w:r>
            <w:r>
              <w:t xml:space="preserve">    k = -dt.type(8) * (x4 * x2) / ((x4 + dt.type(1)) ** 3)</w:t>
              <w:br/>
            </w:r>
            <w:r>
              <w:t xml:space="preserve">    if not np.all(np.isfinite(k)):</w:t>
              <w:br/>
            </w:r>
            <w:r>
              <w:t xml:space="preserve">        raise FloatingPointError("non-finite kernel sample")</w:t>
              <w:br/>
            </w:r>
            <w:r>
              <w:t xml:space="preserve">    w = np.ones(cfg.panels + 1, dtype=at)</w:t>
              <w:br/>
            </w:r>
            <w:r>
              <w:t xml:space="preserve">    w[1:-1:2] = 4</w:t>
              <w:br/>
            </w:r>
            <w:r>
              <w:t xml:space="preserve">    w[2:-1:2] = 2</w:t>
              <w:br/>
            </w:r>
            <w:r>
              <w:t xml:space="preserve">    h = (dt.type(2) * L) / dt.type(cfg.panels)</w:t>
              <w:br/>
            </w:r>
            <w:r>
              <w:t xml:space="preserve">    s = np.sum(k.astype(at) * w, dtype=at)</w:t>
              <w:br/>
            </w:r>
            <w:r>
              <w:t xml:space="preserve">    numerical = float((at.type(h) / at.type(3)) * s / at.type(cfg.a))</w:t>
              <w:br/>
            </w:r>
            <w:r>
              <w:t xml:space="preserve">    target = exact(cfg.a)</w:t>
              <w:br/>
            </w:r>
            <w:r>
              <w:t xml:space="preserve">    absolute = abs(numerical - target)</w:t>
              <w:br/>
            </w:r>
            <w:r>
              <w:t xml:space="preserve">    relative = absolute / abs(target)</w:t>
              <w:br/>
            </w:r>
            <w:r>
              <w:t xml:space="preserve">    vcm = None if relative == 0 else -math.log10(relative)</w:t>
              <w:br/>
            </w:r>
            <w:r>
              <w:t xml:space="preserve">    return {</w:t>
              <w:br/>
            </w:r>
            <w:r>
              <w:t xml:space="preserve">        "benchmark": "cmc-integral",</w:t>
              <w:br/>
            </w:r>
            <w:r>
              <w:t xml:space="preserve">        "config": asdict(cfg),</w:t>
              <w:br/>
            </w:r>
            <w:r>
              <w:t xml:space="preserve">        "numerical": numerical,</w:t>
              <w:br/>
            </w:r>
            <w:r>
              <w:t xml:space="preserve">        "exact": target,</w:t>
              <w:br/>
            </w:r>
            <w:r>
              <w:t xml:space="preserve">        "absolute_error": absolute,</w:t>
              <w:br/>
            </w:r>
            <w:r>
              <w:t xml:space="preserve">        "relative_error": relative,</w:t>
              <w:br/>
            </w:r>
            <w:r>
              <w:t xml:space="preserve">        "vcm": vcm,</w:t>
              <w:br/>
            </w:r>
            <w:r>
              <w:t xml:space="preserve">        "platform": {</w:t>
              <w:br/>
            </w:r>
            <w:r>
              <w:t xml:space="preserve">            "python": platform.python_version(),</w:t>
              <w:br/>
            </w:r>
            <w:r>
              <w:t xml:space="preserve">            "numpy": np.__version__,</w:t>
              <w:br/>
            </w:r>
            <w:r>
              <w:t xml:space="preserve">            "system": platform.platform(),</w:t>
              <w:br/>
            </w:r>
            <w:r>
              <w:t xml:space="preserve">            "processor": platform.processor(),</w:t>
              <w:br/>
            </w:r>
            <w:r>
              <w:t xml:space="preserve">        },</w:t>
              <w:br/>
            </w:r>
            <w:r>
              <w:t xml:space="preserve">    }</w:t>
              <w:br/>
            </w:r>
            <w:r>
              <w:br/>
            </w:r>
            <w:r>
              <w:br/>
            </w:r>
            <w:r>
              <w:t>def main() -&gt; None:</w:t>
              <w:br/>
            </w:r>
            <w:r>
              <w:t xml:space="preserve">    p = argparse.ArgumentParser()</w:t>
              <w:br/>
            </w:r>
            <w:r>
              <w:t xml:space="preserve">    p.add_argument("--a", type=float, default=1.0)</w:t>
              <w:br/>
            </w:r>
            <w:r>
              <w:t xml:space="preserve">    p.add_argument("--domain", type=float, default=32.0)</w:t>
              <w:br/>
            </w:r>
            <w:r>
              <w:t xml:space="preserve">    p.add_argument("--panels", type=int, default=16384)</w:t>
              <w:br/>
            </w:r>
            <w:r>
              <w:t xml:space="preserve">    p.add_argument("--eval-dtype", default="float64")</w:t>
              <w:br/>
            </w:r>
            <w:r>
              <w:t xml:space="preserve">    p.add_argument("--accum-dtype", default="float64")</w:t>
              <w:br/>
            </w:r>
            <w:r>
              <w:t xml:space="preserve">    p.add_argument("--json")</w:t>
              <w:br/>
            </w:r>
            <w:r>
              <w:t xml:space="preserve">    args = p.parse_args()</w:t>
              <w:br/>
            </w:r>
            <w:r>
              <w:t xml:space="preserve">    result = run(Config(args.a, args.domain, args.panels,</w:t>
              <w:br/>
            </w:r>
            <w:r>
              <w:t xml:space="preserve">                        args.eval_dtype, args.accum_dtype))</w:t>
              <w:br/>
            </w:r>
            <w:r>
              <w:t xml:space="preserve">    text = json.dumps(result, indent=2, sort_keys=True)</w:t>
              <w:br/>
            </w:r>
            <w:r>
              <w:t xml:space="preserve">    print(text)</w:t>
              <w:br/>
            </w:r>
            <w:r>
              <w:t xml:space="preserve">    if args.json:</w:t>
              <w:br/>
            </w:r>
            <w:r>
              <w:t xml:space="preserve">        with open(args.json, "w", encoding="utf-8") as f:</w:t>
              <w:br/>
            </w:r>
            <w:r>
              <w:t xml:space="preserve">            f.write(text + "\n")</w:t>
              <w:br/>
            </w:r>
            <w:r>
              <w:br/>
            </w:r>
            <w:r>
              <w:t>if __name__ == "__main__":</w:t>
              <w:br/>
            </w:r>
            <w:r>
              <w:t xml:space="preserve">    main()</w:t>
            </w:r>
          </w:p>
        </w:tc>
      </w:tr>
    </w:tbl>
    <w:p/>
    <w:p>
      <w:r>
        <w:br w:type="page"/>
      </w:r>
    </w:p>
    <w:p>
      <w:pPr>
        <w:pStyle w:val="Heading1"/>
      </w:pPr>
      <w:r>
        <w:t>Appendix B - CUDA-Oriented Kernel Skeleton</w:t>
      </w:r>
    </w:p>
    <w:p>
      <w:r>
        <w:t>The following is an implementation skeleton rather than a validated optimized CUDA benchmark. It illustrates separation of device evaluation, reduction, and host-side comparison.</w:t>
      </w:r>
    </w:p>
    <w:p>
      <w:pPr>
        <w:pStyle w:val="CodeCaption"/>
      </w:pPr>
      <w:r>
        <w:t>Listing B.1 - Device kernel skeleton</w:t>
      </w:r>
    </w:p>
    <w:tbl>
      <w:tblPr>
        <w:tblW w:type="auto" w:w="0"/>
        <w:jc w:val="center"/>
        <w:tblLook w:firstColumn="1" w:firstRow="1" w:lastColumn="0" w:lastRow="0" w:noHBand="0" w:noVBand="1" w:val="04A0"/>
      </w:tblPr>
      <w:tblGrid>
        <w:gridCol w:w="10022"/>
      </w:tblGrid>
      <w:tr>
        <w:tc>
          <w:tcPr>
            <w:tcW w:type="dxa" w:w="10022"/>
            <w:shd w:fill="F3F5F7"/>
            <w:tcMar>
              <w:top w:w="150" w:type="dxa"/>
              <w:start w:w="180" w:type="dxa"/>
              <w:bottom w:w="150" w:type="dxa"/>
              <w:end w:w="180" w:type="dxa"/>
            </w:tcMar>
          </w:tcPr>
          <w:p>
            <w:pPr>
              <w:pStyle w:val="CodeBlock"/>
            </w:pPr>
            <w:r>
              <w:t>__global__ void cmc_samples(const float* x, float* out, int n) {</w:t>
              <w:br/>
            </w:r>
            <w:r>
              <w:t xml:space="preserve">    int i = blockIdx.x * blockDim.x + threadIdx.x;</w:t>
              <w:br/>
            </w:r>
            <w:r>
              <w:t xml:space="preserve">    if (i &gt;= n) return;</w:t>
              <w:br/>
            </w:r>
            <w:r>
              <w:t xml:space="preserve">    float ax = fabsf(x[i]);</w:t>
              <w:br/>
            </w:r>
            <w:r>
              <w:t xml:space="preserve">    float x2 = ax * ax;</w:t>
              <w:br/>
            </w:r>
            <w:r>
              <w:t xml:space="preserve">    float x4 = x2 * x2;</w:t>
              <w:br/>
            </w:r>
            <w:r>
              <w:t xml:space="preserve">    out[i] = -8.0f * (x4 * x2) / ((x4 + 1.0f) * (x4 + 1.0f) * (x4 + 1.0f));</w:t>
              <w:br/>
            </w:r>
            <w:r>
              <w:t>}</w:t>
              <w:br/>
            </w:r>
            <w:r>
              <w:br/>
            </w:r>
            <w:r>
              <w:t>// Recommended experiment variants:</w:t>
              <w:br/>
            </w:r>
            <w:r>
              <w:t>// 1. float evaluation + float accumulation</w:t>
              <w:br/>
            </w:r>
            <w:r>
              <w:t>// 2. half evaluation + float accumulation</w:t>
              <w:br/>
            </w:r>
            <w:r>
              <w:t>// 3. float evaluation + double accumulation</w:t>
              <w:br/>
            </w:r>
            <w:r>
              <w:t>// Keep the quadrature weights and reduction tree documented.</w:t>
            </w:r>
          </w:p>
        </w:tc>
      </w:tr>
    </w:tbl>
    <w:p/>
    <w:p>
      <w:r>
        <w:br w:type="page"/>
      </w:r>
    </w:p>
    <w:p>
      <w:pPr>
        <w:pStyle w:val="Heading1"/>
      </w:pPr>
      <w:r>
        <w:t>Appendix C - Diagnostic Checklist</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3341"/>
            <w:shd w:fill="1F4E78"/>
            <w:vAlign w:val="center"/>
          </w:tcPr>
          <w:p>
            <w:r>
              <w:rPr>
                <w:b/>
                <w:color w:val="FFFFFF"/>
              </w:rPr>
              <w:t>Symptom</w:t>
            </w:r>
          </w:p>
        </w:tc>
        <w:tc>
          <w:tcPr>
            <w:tcW w:type="dxa" w:w="3341"/>
            <w:shd w:fill="1F4E78"/>
            <w:vAlign w:val="center"/>
          </w:tcPr>
          <w:p>
            <w:r>
              <w:rPr>
                <w:b/>
                <w:color w:val="FFFFFF"/>
              </w:rPr>
              <w:t>Probable causes</w:t>
            </w:r>
          </w:p>
        </w:tc>
        <w:tc>
          <w:tcPr>
            <w:tcW w:type="dxa" w:w="3341"/>
            <w:shd w:fill="1F4E78"/>
            <w:vAlign w:val="center"/>
          </w:tcPr>
          <w:p>
            <w:r>
              <w:rPr>
                <w:b/>
                <w:color w:val="FFFFFF"/>
              </w:rPr>
              <w:t>Checks</w:t>
            </w:r>
          </w:p>
        </w:tc>
      </w:tr>
      <w:tr>
        <w:tc>
          <w:tcPr>
            <w:tcW w:type="dxa" w:w="3341"/>
            <w:vAlign w:val="center"/>
            <w:tcMar>
              <w:top w:w="100" w:type="dxa"/>
              <w:start w:w="120" w:type="dxa"/>
              <w:bottom w:w="100" w:type="dxa"/>
              <w:end w:w="120" w:type="dxa"/>
            </w:tcMar>
          </w:tcPr>
          <w:p>
            <w:r>
              <w:t>Error grows with a</w:t>
            </w:r>
          </w:p>
        </w:tc>
        <w:tc>
          <w:tcPr>
            <w:tcW w:type="dxa" w:w="3341"/>
            <w:vAlign w:val="center"/>
            <w:tcMar>
              <w:top w:w="100" w:type="dxa"/>
              <w:start w:w="120" w:type="dxa"/>
              <w:bottom w:w="100" w:type="dxa"/>
              <w:end w:w="120" w:type="dxa"/>
            </w:tcMar>
          </w:tcPr>
          <w:p>
            <w:r>
              <w:t>Physical domain not scaled; powers overflow/underflow</w:t>
            </w:r>
          </w:p>
        </w:tc>
        <w:tc>
          <w:tcPr>
            <w:tcW w:type="dxa" w:w="3341"/>
            <w:vAlign w:val="center"/>
            <w:tcMar>
              <w:top w:w="100" w:type="dxa"/>
              <w:start w:w="120" w:type="dxa"/>
              <w:bottom w:w="100" w:type="dxa"/>
              <w:end w:w="120" w:type="dxa"/>
            </w:tcMar>
          </w:tcPr>
          <w:p>
            <w:r>
              <w:t>Use dimensionless x=t/a and fixed L</w:t>
            </w:r>
          </w:p>
        </w:tc>
      </w:tr>
      <w:tr>
        <w:tc>
          <w:tcPr>
            <w:tcW w:type="dxa" w:w="3341"/>
            <w:vAlign w:val="center"/>
            <w:tcMar>
              <w:top w:w="100" w:type="dxa"/>
              <w:start w:w="120" w:type="dxa"/>
              <w:bottom w:w="100" w:type="dxa"/>
              <w:end w:w="120" w:type="dxa"/>
            </w:tcMar>
          </w:tcPr>
          <w:p>
            <w:r>
              <w:t>Large low-precision failure</w:t>
            </w:r>
          </w:p>
        </w:tc>
        <w:tc>
          <w:tcPr>
            <w:tcW w:type="dxa" w:w="3341"/>
            <w:vAlign w:val="center"/>
            <w:tcMar>
              <w:top w:w="100" w:type="dxa"/>
              <w:start w:w="120" w:type="dxa"/>
              <w:bottom w:w="100" w:type="dxa"/>
              <w:end w:w="120" w:type="dxa"/>
            </w:tcMar>
          </w:tcPr>
          <w:p>
            <w:r>
              <w:t>Range collapse or low-precision accumulation</w:t>
            </w:r>
          </w:p>
        </w:tc>
        <w:tc>
          <w:tcPr>
            <w:tcW w:type="dxa" w:w="3341"/>
            <w:vAlign w:val="center"/>
            <w:tcMar>
              <w:top w:w="100" w:type="dxa"/>
              <w:start w:w="120" w:type="dxa"/>
              <w:bottom w:w="100" w:type="dxa"/>
              <w:end w:w="120" w:type="dxa"/>
            </w:tcMar>
          </w:tcPr>
          <w:p>
            <w:r>
              <w:t>Use wider accumulator; inspect non-finite values</w:t>
            </w:r>
          </w:p>
        </w:tc>
      </w:tr>
      <w:tr>
        <w:tc>
          <w:tcPr>
            <w:tcW w:type="dxa" w:w="3341"/>
            <w:vAlign w:val="center"/>
            <w:tcMar>
              <w:top w:w="100" w:type="dxa"/>
              <w:start w:w="120" w:type="dxa"/>
              <w:bottom w:w="100" w:type="dxa"/>
              <w:end w:w="120" w:type="dxa"/>
            </w:tcMar>
          </w:tcPr>
          <w:p>
            <w:r>
              <w:t>Different result each run</w:t>
            </w:r>
          </w:p>
        </w:tc>
        <w:tc>
          <w:tcPr>
            <w:tcW w:type="dxa" w:w="3341"/>
            <w:vAlign w:val="center"/>
            <w:tcMar>
              <w:top w:w="100" w:type="dxa"/>
              <w:start w:w="120" w:type="dxa"/>
              <w:bottom w:w="100" w:type="dxa"/>
              <w:end w:w="120" w:type="dxa"/>
            </w:tcMar>
          </w:tcPr>
          <w:p>
            <w:r>
              <w:t>Nondeterministic reduction or noisy hardware</w:t>
            </w:r>
          </w:p>
        </w:tc>
        <w:tc>
          <w:tcPr>
            <w:tcW w:type="dxa" w:w="3341"/>
            <w:vAlign w:val="center"/>
            <w:tcMar>
              <w:top w:w="100" w:type="dxa"/>
              <w:start w:w="120" w:type="dxa"/>
              <w:bottom w:w="100" w:type="dxa"/>
              <w:end w:w="120" w:type="dxa"/>
            </w:tcMar>
          </w:tcPr>
          <w:p>
            <w:r>
              <w:t>Fix tree or collect a distribution</w:t>
            </w:r>
          </w:p>
        </w:tc>
      </w:tr>
      <w:tr>
        <w:tc>
          <w:tcPr>
            <w:tcW w:type="dxa" w:w="3341"/>
            <w:vAlign w:val="center"/>
            <w:tcMar>
              <w:top w:w="100" w:type="dxa"/>
              <w:start w:w="120" w:type="dxa"/>
              <w:bottom w:w="100" w:type="dxa"/>
              <w:end w:w="120" w:type="dxa"/>
            </w:tcMar>
          </w:tcPr>
          <w:p>
            <w:r>
              <w:t>Fast-math loses VCM</w:t>
            </w:r>
          </w:p>
        </w:tc>
        <w:tc>
          <w:tcPr>
            <w:tcW w:type="dxa" w:w="3341"/>
            <w:vAlign w:val="center"/>
            <w:tcMar>
              <w:top w:w="100" w:type="dxa"/>
              <w:start w:w="120" w:type="dxa"/>
              <w:bottom w:w="100" w:type="dxa"/>
              <w:end w:w="120" w:type="dxa"/>
            </w:tcMar>
          </w:tcPr>
          <w:p>
            <w:r>
              <w:t>Reassociation, reciprocal approximation, contraction</w:t>
            </w:r>
          </w:p>
        </w:tc>
        <w:tc>
          <w:tcPr>
            <w:tcW w:type="dxa" w:w="3341"/>
            <w:vAlign w:val="center"/>
            <w:tcMar>
              <w:top w:w="100" w:type="dxa"/>
              <w:start w:w="120" w:type="dxa"/>
              <w:bottom w:w="100" w:type="dxa"/>
              <w:end w:w="120" w:type="dxa"/>
            </w:tcMar>
          </w:tcPr>
          <w:p>
            <w:r>
              <w:t>Compare strict flags and generated instructions</w:t>
            </w:r>
          </w:p>
        </w:tc>
      </w:tr>
      <w:tr>
        <w:tc>
          <w:tcPr>
            <w:tcW w:type="dxa" w:w="3341"/>
            <w:vAlign w:val="center"/>
            <w:tcMar>
              <w:top w:w="100" w:type="dxa"/>
              <w:start w:w="120" w:type="dxa"/>
              <w:bottom w:w="100" w:type="dxa"/>
              <w:end w:w="120" w:type="dxa"/>
            </w:tcMar>
          </w:tcPr>
          <w:p>
            <w:r>
              <w:t>VCM too high</w:t>
            </w:r>
          </w:p>
        </w:tc>
        <w:tc>
          <w:tcPr>
            <w:tcW w:type="dxa" w:w="3341"/>
            <w:vAlign w:val="center"/>
            <w:tcMar>
              <w:top w:w="100" w:type="dxa"/>
              <w:start w:w="120" w:type="dxa"/>
              <w:bottom w:w="100" w:type="dxa"/>
              <w:end w:w="120" w:type="dxa"/>
            </w:tcMar>
          </w:tcPr>
          <w:p>
            <w:r>
              <w:t>Wider internal arithmetic or constant folding</w:t>
            </w:r>
          </w:p>
        </w:tc>
        <w:tc>
          <w:tcPr>
            <w:tcW w:type="dxa" w:w="3341"/>
            <w:vAlign w:val="center"/>
            <w:tcMar>
              <w:top w:w="100" w:type="dxa"/>
              <w:start w:w="120" w:type="dxa"/>
              <w:bottom w:w="100" w:type="dxa"/>
              <w:end w:w="120" w:type="dxa"/>
            </w:tcMar>
          </w:tcPr>
          <w:p>
            <w:r>
              <w:t>Vary a at runtime; isolate exact function</w:t>
            </w:r>
          </w:p>
        </w:tc>
      </w:tr>
      <w:tr>
        <w:tc>
          <w:tcPr>
            <w:tcW w:type="dxa" w:w="3341"/>
            <w:vAlign w:val="center"/>
            <w:tcMar>
              <w:top w:w="100" w:type="dxa"/>
              <w:start w:w="120" w:type="dxa"/>
              <w:bottom w:w="100" w:type="dxa"/>
              <w:end w:w="120" w:type="dxa"/>
            </w:tcMar>
          </w:tcPr>
          <w:p>
            <w:r>
              <w:t>FP64 stops improving</w:t>
            </w:r>
          </w:p>
        </w:tc>
        <w:tc>
          <w:tcPr>
            <w:tcW w:type="dxa" w:w="3341"/>
            <w:vAlign w:val="center"/>
            <w:tcMar>
              <w:top w:w="100" w:type="dxa"/>
              <w:start w:w="120" w:type="dxa"/>
              <w:bottom w:w="100" w:type="dxa"/>
              <w:end w:w="120" w:type="dxa"/>
            </w:tcMar>
          </w:tcPr>
          <w:p>
            <w:r>
              <w:t>Quadrature or truncation floor</w:t>
            </w:r>
          </w:p>
        </w:tc>
        <w:tc>
          <w:tcPr>
            <w:tcW w:type="dxa" w:w="3341"/>
            <w:vAlign w:val="center"/>
            <w:tcMar>
              <w:top w:w="100" w:type="dxa"/>
              <w:start w:w="120" w:type="dxa"/>
              <w:bottom w:w="100" w:type="dxa"/>
              <w:end w:w="120" w:type="dxa"/>
            </w:tcMar>
          </w:tcPr>
          <w:p>
            <w:r>
              <w:t>Increase L and quadrature resolution separately</w:t>
            </w:r>
          </w:p>
        </w:tc>
      </w:tr>
    </w:tbl>
    <w:p/>
    <w:p>
      <w:r>
        <w:br w:type="page"/>
      </w:r>
    </w:p>
    <w:p>
      <w:pPr>
        <w:pStyle w:val="Heading1"/>
      </w:pPr>
      <w:r>
        <w:t>Appendix D - Glossary</w:t>
      </w:r>
    </w:p>
    <w:p>
      <w:r>
        <w:rPr>
          <w:b/>
        </w:rPr>
        <w:t xml:space="preserve">Absolute convergence: </w:t>
      </w:r>
      <w:r>
        <w:t>Convergence of the integral of the absolute value; it eliminates dependence on cancellation or summation order for mathematical existence.</w:t>
      </w:r>
    </w:p>
    <w:p>
      <w:r>
        <w:rPr>
          <w:b/>
        </w:rPr>
        <w:t xml:space="preserve">Accumulator precision: </w:t>
      </w:r>
      <w:r>
        <w:t>The format used to add partial results, which may be wider than the input or product format.</w:t>
      </w:r>
    </w:p>
    <w:p>
      <w:r>
        <w:rPr>
          <w:b/>
        </w:rPr>
        <w:t xml:space="preserve">Catastrophic cancellation: </w:t>
      </w:r>
      <w:r>
        <w:t>Loss of significant digits when nearly equal quantities are subtracted.</w:t>
      </w:r>
    </w:p>
    <w:p>
      <w:r>
        <w:rPr>
          <w:b/>
        </w:rPr>
        <w:t xml:space="preserve">Condition number: </w:t>
      </w:r>
      <w:r>
        <w:t>A measure of how input perturbations can change the exact mathematical output.</w:t>
      </w:r>
    </w:p>
    <w:p>
      <w:r>
        <w:rPr>
          <w:b/>
        </w:rPr>
        <w:t xml:space="preserve">FP8/FP16/BF16/FP32/FP64: </w:t>
      </w:r>
      <w:r>
        <w:t>Families of floating-point formats with different exponent and significand allocations.</w:t>
      </w:r>
    </w:p>
    <w:p>
      <w:r>
        <w:rPr>
          <w:b/>
        </w:rPr>
        <w:t xml:space="preserve">HPC: </w:t>
      </w:r>
      <w:r>
        <w:t>High-performance computing, typically involving parallel processors, accelerators, and distributed memory.</w:t>
      </w:r>
    </w:p>
    <w:p>
      <w:r>
        <w:rPr>
          <w:b/>
        </w:rPr>
        <w:t xml:space="preserve">Regularization-free: </w:t>
      </w:r>
      <w:r>
        <w:t>The benchmark converges without analytic continuation, subtraction of divergent terms, or external counterterms.</w:t>
      </w:r>
    </w:p>
    <w:p>
      <w:r>
        <w:rPr>
          <w:b/>
        </w:rPr>
        <w:t xml:space="preserve">Sign-definite: </w:t>
      </w:r>
      <w:r>
        <w:t>All nonzero values of the integrand have the same sign.</w:t>
      </w:r>
    </w:p>
    <w:p>
      <w:r>
        <w:rPr>
          <w:b/>
        </w:rPr>
        <w:t xml:space="preserve">Unit roundoff: </w:t>
      </w:r>
      <w:r>
        <w:t>A bound used in first-order floating-point error models.</w:t>
      </w:r>
    </w:p>
    <w:p>
      <w:r>
        <w:rPr>
          <w:b/>
        </w:rPr>
        <w:t xml:space="preserve">VCM: </w:t>
      </w:r>
      <w:r>
        <w:t>Verification Confidence Metric, defined as the negative base-10 logarithm of relative error.</w:t>
      </w:r>
    </w:p>
    <w:p>
      <w:r>
        <w:br w:type="page"/>
      </w:r>
    </w:p>
    <w:p>
      <w:pPr>
        <w:pStyle w:val="Heading1"/>
      </w:pPr>
      <w:r>
        <w:t>References</w:t>
      </w:r>
    </w:p>
    <w:p>
      <w:pPr>
        <w:pStyle w:val="ListNumber"/>
      </w:pPr>
      <w:r>
        <w:t>S. I. Almuaigel, “A Regularization-Free Benchmark for Floating-Point Verification and Analog Quantum Simulation Using the Curvature-Modularity Constant,” 2026. Source manuscript: FreeBenc.pdf.</w:t>
      </w:r>
    </w:p>
    <w:p>
      <w:pPr>
        <w:pStyle w:val="ListNumber"/>
      </w:pPr>
      <w:r>
        <w:t>S. I. Almuaigel, “Curvature-Modularity Correspondence for Affine (1,1)-Curves,” preprint, 2026.</w:t>
      </w:r>
    </w:p>
    <w:p>
      <w:pPr>
        <w:pStyle w:val="ListNumber"/>
      </w:pPr>
      <w:r>
        <w:t>N. J. Higham, Accuracy and Stability of Numerical Algorithms, 2nd ed., SIAM, 2002.</w:t>
      </w:r>
    </w:p>
    <w:p>
      <w:pPr>
        <w:pStyle w:val="ListNumber"/>
      </w:pPr>
      <w:r>
        <w:t>L. N. Trefethen and D. Bau, Numerical Linear Algebra, SIAM, 1997.</w:t>
      </w:r>
    </w:p>
    <w:p>
      <w:pPr>
        <w:pStyle w:val="ListNumber"/>
      </w:pPr>
      <w:r>
        <w:t>J. Dongarra et al., “The LINPACK Benchmark: Past, Present, and Future,” Concurrency and Computation: Practice and Experience, vol. 33, no. 17, 2021.</w:t>
      </w:r>
    </w:p>
    <w:p>
      <w:pPr>
        <w:pStyle w:val="ListNumber"/>
      </w:pPr>
      <w:r>
        <w:t>J. Preskill, “Quantum Computing in the NISQ Era and Beyond,” Quantum, vol. 2, p. 79, 2018.</w:t>
      </w:r>
    </w:p>
    <w:p>
      <w:pPr>
        <w:pStyle w:val="ListNumber"/>
      </w:pPr>
      <w:r>
        <w:t>H. Iwaniec, Topics in Classical Automorphic Forms, AMS, 1997.</w:t>
      </w:r>
    </w:p>
    <w:p>
      <w:pPr>
        <w:pStyle w:val="ListNumber"/>
      </w:pPr>
      <w:r>
        <w:t>D. Zagier, “The Rankin-Selberg Method for Automorphic Functions Which Are Not of Rapid Decay,” J. Fac. Sci. Univ. Tokyo, vol. 28, pp. 415-437, 1981.</w:t>
      </w:r>
    </w:p>
    <w:p>
      <w:pPr>
        <w:pStyle w:val="ListNumber"/>
      </w:pPr>
      <w:r>
        <w:t>L. V. Ahlfors, Conformal Invariants: Topics in Geometric Function Theory, McGraw-Hill, 1973.</w:t>
      </w:r>
    </w:p>
    <w:p>
      <w:pPr>
        <w:pStyle w:val="ListNumber"/>
      </w:pPr>
      <w:r>
        <w:t>B. O’Neill, Elementary Differential Geometry, 2nd ed., Academic Press, 1997.</w:t>
      </w:r>
    </w:p>
    <w:p>
      <w:pPr>
        <w:pStyle w:val="ListNumber"/>
      </w:pPr>
      <w:r>
        <w:t>W. Gautschi, “On the condition of the Hilbert matrix,” SIAM Review, vol. 21, no. 4, pp. 533-534, 1979.</w:t>
      </w:r>
    </w:p>
    <w:sectPr w:rsidR="00FC693F" w:rsidRPr="0006063C" w:rsidSect="00034616">
      <w:headerReference w:type="default" r:id="rId9"/>
      <w:footerReference w:type="default" r:id="rId10"/>
      <w:pgSz w:w="12240" w:h="15840"/>
      <w:pgMar w:top="1123" w:right="1037"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D"/>
        <w:sz w:val="16"/>
      </w:rPr>
      <w:t>THE CURVATURE-MODULARITY CONSTANT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ptos Display" w:hAnsi="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4F81B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360"/>
    </w:pPr>
    <w:rPr>
      <w:rFonts w:ascii="Aptos Display" w:hAnsi="Aptos Display"/>
      <w:b/>
      <w:color w:val="1F4E78"/>
      <w:sz w:val="48"/>
    </w:rPr>
  </w:style>
  <w:style w:type="paragraph" w:customStyle="1" w:styleId="CodeBlock">
    <w:name w:val="Code Block"/>
    <w:pPr>
      <w:spacing w:after="0" w:line="240" w:lineRule="auto"/>
    </w:pPr>
    <w:rPr>
      <w:rFonts w:ascii="Consolas" w:hAnsi="Consolas"/>
      <w:sz w:val="16"/>
    </w:rPr>
  </w:style>
  <w:style w:type="paragraph" w:customStyle="1" w:styleId="CodeCaption">
    <w:name w:val="Code Caption"/>
    <w:rPr>
      <w:rFonts w:ascii="Aptos" w:hAnsi="Aptos"/>
      <w:b/>
      <w:color w:val="44546A"/>
      <w:sz w:val="18"/>
    </w:rPr>
  </w:style>
  <w:style w:type="paragraph" w:customStyle="1" w:styleId="Equation">
    <w:name w:val="Equation"/>
    <w:pPr>
      <w:spacing w:before="100" w:after="140"/>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Curvature-Modularity Constant: A Practical Benchmark for Programmers and Computer Engineers</dc:title>
  <dc:subject>Floating-point verification, HPC, mixed precision, and numerical testing</dc:subject>
  <dc:creator>Sami I. Almuaigel</dc:creator>
  <cp:keywords>CMC, floating point, numerical verification, HPC, FP16, FP8, VCM</cp:keywords>
  <dc:description>generated by python-docx</dc:description>
  <cp:lastModifiedBy/>
  <cp:revision>1</cp:revision>
  <dcterms:created xsi:type="dcterms:W3CDTF">2013-12-23T23:15:00Z</dcterms:created>
  <dcterms:modified xsi:type="dcterms:W3CDTF">2013-12-23T23:15:00Z</dcterms:modified>
  <cp:category/>
</cp:coreProperties>
</file>