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160"/>
        <w:jc w:val="center"/>
      </w:pPr>
      <w:r>
        <w:drawing>
          <wp:inline xmlns:a="http://schemas.openxmlformats.org/drawingml/2006/main" xmlns:pic="http://schemas.openxmlformats.org/drawingml/2006/picture">
            <wp:extent cx="9777730" cy="1839434"/>
            <wp:docPr id="9001" name="Picture 9001"/>
            <wp:cNvGraphicFramePr>
              <a:graphicFrameLocks noChangeAspect="1"/>
            </wp:cNvGraphicFramePr>
            <a:graphic>
              <a:graphicData uri="http://schemas.openxmlformats.org/drawingml/2006/picture">
                <pic:pic>
                  <pic:nvPicPr>
                    <pic:cNvPr id="0" name="school_badge.jpg"/>
                    <pic:cNvPicPr/>
                  </pic:nvPicPr>
                  <pic:blipFill>
                    <a:blip r:embed="rId11"/>
                    <a:stretch>
                      <a:fillRect/>
                    </a:stretch>
                  </pic:blipFill>
                  <pic:spPr>
                    <a:xfrm>
                      <a:off x="0" y="0"/>
                      <a:ext cx="9777730" cy="1839434"/>
                    </a:xfrm>
                    <a:prstGeom prst="rect"/>
                  </pic:spPr>
                </pic:pic>
              </a:graphicData>
            </a:graphic>
          </wp:inline>
        </w:drawing>
      </w:r>
    </w:p>
    <w:p>
      <w:pPr>
        <w:bidi/>
        <w:spacing w:before="0" w:after="80" w:line="240" w:lineRule="auto"/>
        <w:jc w:val="center"/>
        <w:rPr>
          <w:rFonts w:ascii="Times New Roman" w:hAnsi="Times New Roman" w:cs="Times New Roman"/>
          <w:b/>
          <w:bCs/>
          <w:color w:val="1F4E79"/>
          <w:sz w:val="36"/>
          <w:szCs w:val="36"/>
          <w:rtl/>
        </w:rPr>
      </w:pPr>
      <w:r>
        <w:rPr>
          <w:rFonts w:ascii="Times New Roman" w:hAnsi="Times New Roman" w:cs="Times New Roman"/>
          <w:b/>
          <w:bCs/>
          <w:color w:val="1F4E79"/>
          <w:sz w:val="36"/>
          <w:szCs w:val="36"/>
          <w:rtl/>
        </w:rPr>
        <w:t xml:space="preserve">خطة دروس تلاوة القرآن الكريم — الصف الثاني</w:t>
      </w:r>
    </w:p>
    <w:p>
      <w:pPr>
        <w:bidi/>
        <w:spacing w:before="0" w:after="40" w:line="240" w:lineRule="auto"/>
        <w:jc w:val="center"/>
        <w:rPr>
          <w:rFonts w:ascii="Times New Roman" w:hAnsi="Times New Roman" w:cs="Times New Roman"/>
          <w:b/>
          <w:bCs/>
          <w:sz w:val="28"/>
          <w:szCs w:val="28"/>
          <w:rtl/>
        </w:rPr>
      </w:pPr>
      <w:r>
        <w:rPr>
          <w:rFonts w:ascii="Times New Roman" w:hAnsi="Times New Roman" w:cs="Times New Roman"/>
          <w:b/>
          <w:bCs/>
          <w:sz w:val="28"/>
          <w:szCs w:val="28"/>
          <w:rtl/>
        </w:rPr>
        <w:t xml:space="preserve">مادة التربية الإسلامية — الصف الثاني الابتدائي</w:t>
      </w:r>
    </w:p>
    <w:p>
      <w:pPr>
        <w:bidi/>
        <w:spacing w:before="0" w:after="120" w:line="240" w:lineRule="auto"/>
        <w:jc w:val="center"/>
        <w:rPr>
          <w:rFonts w:ascii="Times New Roman" w:hAnsi="Times New Roman" w:cs="Times New Roman"/>
          <w:b/>
          <w:bCs/>
          <w:sz w:val="26"/>
          <w:szCs w:val="26"/>
          <w:rtl/>
        </w:rPr>
      </w:pPr>
      <w:r>
        <w:rPr>
          <w:rFonts w:ascii="Times New Roman" w:hAnsi="Times New Roman" w:cs="Times New Roman"/>
          <w:b/>
          <w:bCs/>
          <w:sz w:val="26"/>
          <w:szCs w:val="26"/>
          <w:rtl/>
        </w:rPr>
        <w:t xml:space="preserve">الفصل الدراسي الأول — العام الدراسي 2026/2027م</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1700"/>
        <w:gridCol w:w="3500"/>
        <w:gridCol w:w="1500"/>
        <w:gridCol w:w="4200"/>
        <w:gridCol w:w="1700"/>
        <w:gridCol w:w="2798"/>
      </w:tblGrid>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المعلم</w:t>
            </w:r>
          </w:p>
        </w:tc>
        <w:tc>
          <w:tcPr>
            <w:tcW w:w="3500" w:type="dxa"/>
            <w:vAlign w:val="center"/>
          </w:tcPr>
          <w:p>
            <w:pPr>
              <w:jc w:val="center"/>
            </w:pPr>
            <w:r>
              <w:t xml:space="preserve"/>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المدرسة</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مدرسة ابن رشد الإعدادية للبنين</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العام الدراسي</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2026/2027م</w:t>
            </w:r>
          </w:p>
        </w:tc>
      </w:tr>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المادة</w:t>
            </w:r>
          </w:p>
        </w:tc>
        <w:tc>
          <w:tcPr>
            <w:tcW w:w="35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التربية الإسلامية</w:t>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الصف</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الثاني</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زمن الحصة</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45 دقيقة</w:t>
            </w:r>
          </w:p>
        </w:tc>
      </w:tr>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الكتاب المقرر</w:t>
            </w:r>
          </w:p>
        </w:tc>
        <w:tc>
          <w:tcPr>
            <w:tcW w:w="35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تلاوة القرآن الكريم للصف الثاني (الجزء الأول)</w:t>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أيام الدوام</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الأحد – الخميس</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العطلة الأسبوعية</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الجمعة والسبت</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أولًا: أبرز محطات الفصل الدراسي</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101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البيان</w:t>
            </w:r>
          </w:p>
        </w:tc>
        <w:tc>
          <w:tcPr>
            <w:tcW w:w="10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عودة الهيئات التعليمية والإدارية</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الثلاثاء 1 سبتمبر 2026م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بدء الفصل الدراسي الأول لجميع المراحل</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3 سبتمبر 2026م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امتحانات نهاية الفصل الأول لصفوف النقل</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الخميس 31 ديسمبر 2026م إلى الثلاثاء 12 يناير 2027م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آخر يوم دراسي لجميع الطلبة</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14 يناير 2027م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منتصف العام الدراسي</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الأحد 17 يناير إلى الخميس 28 يناير 2027م</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ثانيًا: العطلات الرسمية والمناسبات خلال الفصل (روعيت في توزيع الدروس)</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5200"/>
        <w:gridCol w:w="49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المناسبة</w:t>
            </w:r>
          </w:p>
        </w:tc>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w:t>
            </w:r>
          </w:p>
        </w:tc>
        <w:tc>
          <w:tcPr>
            <w:tcW w:w="49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الأثر على الدوام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يوم المعلم</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الاثنين 5 أكتوبر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مناسبة — دوام عادي</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أسبوع الشجرة</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الأحد 18 أكتوبر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مناسبة — دوام عادي</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العيد الوطني المجيد وذكرى تولي جلالة الملك المعظم مقاليد الحكم</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الأربعاء والخميس 16–17 ديسمبر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رسمية (يومان)</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رأس السنة الميلادية</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الجمعة 1 يناير 2027م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تصادف العطلة الأسبوعية</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ثالثًا: الخطة الزمنية لدروس التلاوة (مطابقة لكتاب التلاوة والعرض التقديمي)</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1150"/>
        <w:gridCol w:w="2450"/>
        <w:gridCol w:w="1900"/>
        <w:gridCol w:w="5450"/>
        <w:gridCol w:w="1250"/>
        <w:gridCol w:w="3198"/>
      </w:tblGrid>
      <w:tr>
        <w:trPr>
          <w:cantSplit/>
          <w:tblHeader/>
        </w:trPr>
        <w:tc>
          <w:tcPr>
            <w:tcW w:w="11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الأسبوع</w:t>
            </w:r>
          </w:p>
        </w:tc>
        <w:tc>
          <w:tcPr>
            <w:tcW w:w="24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 (الأحد – الخميس)</w:t>
            </w:r>
          </w:p>
        </w:tc>
        <w:tc>
          <w:tcPr>
            <w:tcW w:w="19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المجال (الوحدة)</w:t>
            </w:r>
          </w:p>
        </w:tc>
        <w:tc>
          <w:tcPr>
            <w:tcW w:w="54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الدرس / الموضوع</w:t>
            </w:r>
          </w:p>
        </w:tc>
        <w:tc>
          <w:tcPr>
            <w:tcW w:w="12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الصفحات</w:t>
            </w:r>
          </w:p>
        </w:tc>
        <w:tc>
          <w:tcPr>
            <w:tcW w:w="3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ملاحظات</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الأول</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6 – 10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الأول: سورة التكاثر — الآيات 1–8</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12–13</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3–9</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الأول</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6 – 10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الثاني: سورة البيّنة (1) — الآيات 1–5</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14–15</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10–16</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الثاني</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13 – 17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الثالث: سورة البيّنة (2) — الآيات 6–8</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16–17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17–23</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الثالث</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 – 24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الرابع: سورة العلق (1) — الآيات 1–8</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18–19</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24–30</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الثالث</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 – 24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الخامس: سورة العلق (2) — الآيات 9–19</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20–21</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31–37</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الرابع</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27 سبتمبر – 1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السادس: سورة التين — الآيات 1–8</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22–23</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38–44</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الخامس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 – 8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السابع: سورة الليل (1) — الآيات 1–11</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24–25</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45–51</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الخامس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 – 8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الثامن: سورة الليل (2) — الآيات 12–21</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26–27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52–58</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السادس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11 – 15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التاسع: سورة الفجر (1) — الآيات 1–14</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28–29</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59–65</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الثامن</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25 – 29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العاشر: سورة الفجر (2) — الآيات 15–20</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30–31</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66–72</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الثامن</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25 – 29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الحادي عشر: سورة الفجر (3) — الآيات 21–30</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32–33</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73–79</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التاسع</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 – 5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الثاني عشر: سورة النجم (1) — الآيات 1–15</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34–35</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3–9</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العاشر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8 – 12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الثالث عشر: سورة النجم (2) — الآيات 16–23</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36–37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10–16</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العاشر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8 – 12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الرابع عشر: سورة النجم (3) — الآيات 24–29</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38–39</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17–23</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الحادي عشر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15 – 19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الخامس عشر: سورة النجم (4) — الآيات 30–32</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40–41</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24–30</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الثاني عشر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22 – 26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السادس عشر: سورة النجم (5) — الآيات 33–41</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42–43</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31–37</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الثاني عشر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22 – 26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السابع عشر: سورة النجم (6) — الآيات 42–51</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44–45</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38–44</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الثالث عشر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29 نوفمبر – 3 ديسمبر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الثامن عشر: سورة النجم (7) — الآيات 52–62</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46–47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45–51</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رابعًا: المراجعة والوقفة التقويمية والامتحانات</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101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الفترة</w:t>
            </w:r>
          </w:p>
        </w:tc>
        <w:tc>
          <w:tcPr>
            <w:tcW w:w="10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البيان</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14: 6 – 10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عامة للوحدات + وقفة تقويمية (تُحدَّد وفق ضوابط الجهة المعنية)</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15: 13 – 17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وتقويم شفوي للتلاوة والحفظ — 3 أيام دراسية (عطلة العيد الوطني الأربعاء والخميس 16–17 ديسمبر)</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16: 20 – 24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نهائية شاملة واستعداد للامتحانات</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17: 27 – 31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استكمال المراجعة؛ بدء امتحانات صفوف النقل الخميس 31 ديسمبر</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31 ديسمبر 2026م إلى 12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امتحانات نهاية الفصل الدراسي الأول لصفوف النقل</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14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آخر يوم دراسي للطلبة</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17 – 28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منتصف العام الدراسي</w:t>
            </w:r>
          </w:p>
        </w:tc>
      </w:tr>
    </w:tbl>
    <w:p>
      <w:pPr>
        <w:bidi/>
        <w:spacing w:before="160" w:after="40" w:line="240" w:lineRule="auto"/>
        <w:jc w:val="right"/>
        <w:rPr>
          <w:rFonts w:ascii="Times New Roman" w:hAnsi="Times New Roman" w:cs="Times New Roman"/>
          <w:b/>
          <w:bCs/>
          <w:sz w:val="24"/>
          <w:szCs w:val="24"/>
          <w:rtl/>
        </w:rPr>
      </w:pPr>
      <w:r>
        <w:rPr>
          <w:rFonts w:ascii="Times New Roman" w:hAnsi="Times New Roman" w:cs="Times New Roman"/>
          <w:b/>
          <w:bCs/>
          <w:sz w:val="24"/>
          <w:szCs w:val="24"/>
          <w:rtl/>
        </w:rPr>
        <w:t xml:space="preserve">ملاحظات عامة:</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1) أُعدّت هذه الخطة وفق دليل التقويم الأكاديمي للعام الدراسي 2026/2027م الصادر عن وزارة التربية والتعليم، وخطة المحتوى الدراسي المقرّرة لمادة التربية الإسلامية (الحلقة الثالثة).</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2) العطلة الأسبوعية يوما الجمعة والسبت، وقد رُوعيت العطلات الرسمية والمناسبات في توزيع الأسابيع، ولا تُجدول أي دروس فيها.</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3) تُحدَّد الوقفات التقويمية وفق الضوابط المعمول بها في المدرسة، والخطة مرنة قابلة لإعادة التوزيع عند أي طارئ.</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4) اعتُمد تقسيم الآيات وأرقام الصفحات وفق كتاب «تلاوة القرآن الكريم للصف الثاني — الجزء الأول» (السور: التكاثر، البيّنة، العلق، التين، الليل، الفجر، النجم)، وهو التقسيم نفسه المعتمد في العرض التقديمي.</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5) العرض التقديمي في ملفين: العرض الأول (الدروس 1–11) والعرض الثاني (الدروس 12–18)، وأرقام الشرائح مذكورة في الجدول وفي إجراءات كل درس. يلي ذلك نماذج التحضير اليومي لدروس التلاوة مرتّبة بحسب تسلسل الكتاب.</w:t>
      </w:r>
    </w:p>
    <w:p>
      <w:r>
        <w:br w:type="page"/>
      </w:r>
    </w:p>
    <w:p>
      <w:pPr>
        <w:shd w:val="clear" w:color="auto" w:fill="D5E8F0"/>
        <w:bidi/>
        <w:spacing w:before="0" w:after="120" w:line="240" w:lineRule="auto"/>
        <w:jc w:val="center"/>
        <w:rPr>
          <w:rFonts w:ascii="Times New Roman" w:hAnsi="Times New Roman" w:cs="Times New Roman"/>
          <w:b/>
          <w:bCs/>
          <w:sz w:val="28"/>
          <w:szCs w:val="28"/>
          <w:rtl/>
        </w:rPr>
      </w:pPr>
      <w:r>
        <w:rPr>
          <w:rFonts w:ascii="Times New Roman" w:hAnsi="Times New Roman" w:cs="Times New Roman"/>
          <w:b/>
          <w:bCs/>
          <w:sz w:val="28"/>
          <w:szCs w:val="28"/>
          <w:rtl/>
        </w:rPr>
        <w:t xml:space="preserve">نماذج التحضير اليومي لدروس التلاوة — مرتّبة بحسب تسلسل كتاب التلاوة</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4" name="Picture 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التكاثر — الآيات 1–8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12–13 — العرض الأول (الدروس 1–11): الشرائح 3–9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التكاثر (الآيات 1–8)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1–8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نطق الحروف والحركات — يُعالَج بالمحاكاة الجماعية والتصويب الفوري.</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 وحديثًا في فضل القرآن الكريم (ش 4) وشريحة أهداف الدرس (ش 5)، ويعرّف بالمقطع: سورة التكاثر الآيات 1–8، ثم يُسمِع الطلاب تلاوة خاشعة للمقطع من أحد أزرار القرّاء في شريحة الآيات (ش 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ما حفظه الطالب من قصار السور، ويمهّد للدرس اللاحق: سورة البيّنة (1) الآيات 1–5.</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1–8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7–9) المأخوذة من كتاب التلاوة ص 12–13: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1–8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1–8)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8" name="Picture 8"/>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البيّنة (1) — الآيات 1–5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14–15 — العرض الأول (الدروس 1–11): الشرائح 10–16</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البيّنة (1) (الآيات 1–5)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1–5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التكاثر الآيات 1–8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10) وحديثًا في فضل القرآن الكريم (ش 11) وشريحة أهداف الدرس (ش 12)، ويعرّف بالمقطع: سورة البيّنة (1) الآيات 1–5، ثم يُسمِع الطلاب تلاوة خاشعة للمقطع من أحد أزرار القرّاء في شريحة الآيات (ش 13)،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التكاثر الآيات 1–8، ويمهّد للدرس اللاحق: سورة البيّنة (2) الآيات 6–8.</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1–5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13)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14–16) المأخوذة من كتاب التلاوة ص 14–15: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1–5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1–5)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0" name="Picture 10"/>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البيّنة (2) — الآيات 6–8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16–17 — العرض الأول (الدروس 1–11): الشرائح 17–23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البيّنة (2) (الآيات 6–8)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6–8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البيّنة (1) الآيات 1–5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17) وحديثًا في فضل القرآن الكريم (ش 18) وشريحة أهداف الدرس (ش 19)، ويعرّف بالمقطع: سورة البيّنة (2) الآيات 6–8، ثم يُسمِع الطلاب تلاوة خاشعة للمقطع من أحد أزرار القرّاء في شريحة الآيات (ش 20)،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البيّنة (1) الآيات 1–5، ويمهّد للدرس اللاحق: سورة العلق (1) الآيات 1–8.</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6–8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20)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21–23) المأخوذة من كتاب التلاوة ص 16–17: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6–8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6–8)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2" name="Picture 12"/>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العلق (1) — الآيات 1–8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18–19 — العرض الأول (الدروس 1–11): الشرائح 24–30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العلق (1) (الآيات 1–8)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1–8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البيّنة (2) الآيات 6–8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24) وحديثًا في فضل القرآن الكريم (ش 25) وشريحة أهداف الدرس (ش 26)، ويعرّف بالمقطع: سورة العلق (1) الآيات 1–8، ثم يُسمِع الطلاب تلاوة خاشعة للمقطع من أحد أزرار القرّاء في شريحة الآيات (ش 27)،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البيّنة (2) الآيات 6–8، ويمهّد للدرس اللاحق: سورة العلق (2) الآيات 9–19.</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1–8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27)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28–30) المأخوذة من كتاب التلاوة ص 18–19: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1–8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1–8)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4" name="Picture 1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العلق (2) — الآيات 9–19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20–21 — العرض الأول (الدروس 1–11): الشرائح 31–37</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العلق (2) (الآيات 9–19)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9–19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العلق (1) الآيات 1–8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31) وحديثًا في فضل القرآن الكريم (ش 32) وشريحة أهداف الدرس (ش 33)، ويعرّف بالمقطع: سورة العلق (2) الآيات 9–19، ثم يُسمِع الطلاب تلاوة خاشعة للمقطع من أحد أزرار القرّاء في شريحة الآيات (ش 34)،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العلق (1) الآيات 1–8، ويمهّد للدرس اللاحق: سورة التين الآيات 1–8.</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9–19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34)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35–37) المأخوذة من كتاب التلاوة ص 20–21: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9–19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9–19)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7" name="Picture 1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التين — الآيات 1–8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22–23 — العرض الأول (الدروس 1–11): الشرائح 38–44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التين (الآيات 1–8)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1–8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العلق (2) الآيات 9–19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38) وحديثًا في فضل القرآن الكريم (ش 39) وشريحة أهداف الدرس (ش 40)، ويعرّف بالمقطع: سورة التين الآيات 1–8، ثم يُسمِع الطلاب تلاوة خاشعة للمقطع من أحد أزرار القرّاء في شريحة الآيات (ش 41)،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العلق (2) الآيات 9–19، ويمهّد للدرس اللاحق: سورة الليل (1) الآيات 1–11.</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1–8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41)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42–44) المأخوذة من كتاب التلاوة ص 22–23: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1–8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1–8)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0" name="Picture 20"/>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الليل (1) — الآيات 1–11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24–25 — العرض الأول (الدروس 1–11): الشرائح 45–51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الليل (1) (الآيات 1–11)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1–11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التين الآيات 1–8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45) وحديثًا في فضل القرآن الكريم (ش 46) وشريحة أهداف الدرس (ش 47)، ويعرّف بالمقطع: سورة الليل (1) الآيات 1–11، ثم يُسمِع الطلاب تلاوة خاشعة للمقطع من أحد أزرار القرّاء في شريحة الآيات (ش 48)،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التين الآيات 1–8، ويمهّد للدرس اللاحق: سورة الليل (2) الآيات 12–21.</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1–11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48)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49–51) المأخوذة من كتاب التلاوة ص 24–25: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1–11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1–11)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2" name="Picture 22"/>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الليل (2) — الآيات 12–21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26–27 — العرض الأول (الدروس 1–11): الشرائح 52–58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الليل (2) (الآيات 12–21)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12–21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الليل (1) الآيات 1–11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52) وحديثًا في فضل القرآن الكريم (ش 53) وشريحة أهداف الدرس (ش 54)، ويعرّف بالمقطع: سورة الليل (2) الآيات 12–21، ثم يُسمِع الطلاب تلاوة خاشعة للمقطع من أحد أزرار القرّاء في شريحة الآيات (ش 55)،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الليل (1) الآيات 1–11، ويمهّد للدرس اللاحق: سورة الفجر (1) الآيات 1–14.</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12–21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55)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56–58) المأخوذة من كتاب التلاوة ص 26–27: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12–21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12–21)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4" name="Picture 2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الفجر (1) — الآيات 1–14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28–29 — العرض الأول (الدروس 1–11): الشرائح 59–65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الفجر (1) (الآيات 1–14)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1–14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الليل (2) الآيات 12–21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59) وحديثًا في فضل القرآن الكريم (ش 60) وشريحة أهداف الدرس (ش 61)، ويعرّف بالمقطع: سورة الفجر (1) الآيات 1–14، ثم يُسمِع الطلاب تلاوة خاشعة للمقطع من أحد أزرار القرّاء في شريحة الآيات (ش 62)،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الليل (2) الآيات 12–21، ويمهّد للدرس اللاحق: سورة الفجر (2) الآيات 15–20.</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1–14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62)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63–65) المأخوذة من كتاب التلاوة ص 28–29: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1–14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1–14)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الفجر (2) — الآيات 15–20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30–31 — العرض الأول (الدروس 1–11): الشرائح 66–72</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الفجر (2) (الآيات 15–20)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15–20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الفجر (1) الآيات 1–14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66) وحديثًا في فضل القرآن الكريم (ش 67) وشريحة أهداف الدرس (ش 68)، ويعرّف بالمقطع: سورة الفجر (2) الآيات 15–20، ثم يُسمِع الطلاب تلاوة خاشعة للمقطع من أحد أزرار القرّاء في شريحة الآيات (ش 69)،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الفجر (1) الآيات 1–14، ويمهّد للدرس اللاحق: سورة الفجر (3) الآيات 21–30.</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15–20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69)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70–72) المأخوذة من كتاب التلاوة ص 30–31: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15–20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15–20)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الفجر (3) — الآيات 21–30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32–33 — العرض الأول (الدروس 1–11): الشرائح 73–79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الفجر (3) (الآيات 21–30)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21–30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الفجر (2) الآيات 15–20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73) وحديثًا في فضل القرآن الكريم (ش 74) وشريحة أهداف الدرس (ش 75)، ويعرّف بالمقطع: سورة الفجر (3) الآيات 21–30، ثم يُسمِع الطلاب تلاوة خاشعة للمقطع من أحد أزرار القرّاء في شريحة الآيات (ش 76)،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الفجر (2) الآيات 15–20، ويمهّد للدرس اللاحق: سورة النجم (1) الآيات 1–15.</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21–30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76)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77–79) المأخوذة من كتاب التلاوة ص 32–33: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21–30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21–30)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النجم (1) — الآيات 1–15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34–35 — العرض الثاني (الدروس 12–18): الشرائح 3–9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النجم (1) (الآيات 1–15)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1–15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الفجر (3) الآيات 21–30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 وحديثًا في فضل القرآن الكريم (ش 4) وشريحة أهداف الدرس (ش 5)، ويعرّف بالمقطع: سورة النجم (1) الآيات 1–15، ثم يُسمِع الطلاب تلاوة خاشعة للمقطع من أحد أزرار القرّاء في شريحة الآيات (ش 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الفجر (3) الآيات 21–30، ويمهّد للدرس اللاحق: سورة النجم (2) الآيات 16–23.</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1–15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7–9) المأخوذة من كتاب التلاوة ص 34–35: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1–15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1–15)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النجم (2) — الآيات 16–23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36–37 — العرض الثاني (الدروس 12–18): الشرائح 10–16</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النجم (2) (الآيات 16–23)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16–23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النجم (1) الآيات 1–15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10) وحديثًا في فضل القرآن الكريم (ش 11) وشريحة أهداف الدرس (ش 12)، ويعرّف بالمقطع: سورة النجم (2) الآيات 16–23، ثم يُسمِع الطلاب تلاوة خاشعة للمقطع من أحد أزرار القرّاء في شريحة الآيات (ش 13)،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النجم (1) الآيات 1–15، ويمهّد للدرس اللاحق: سورة النجم (3) الآيات 24–29.</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16–23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13)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14–16) المأخوذة من كتاب التلاوة ص 36–37: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16–23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16–23)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النجم (3) — الآيات 24–29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38–39 — العرض الثاني (الدروس 12–18): الشرائح 17–23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النجم (3) (الآيات 24–29)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24–29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النجم (2) الآيات 16–23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17) وحديثًا في فضل القرآن الكريم (ش 18) وشريحة أهداف الدرس (ش 19)، ويعرّف بالمقطع: سورة النجم (3) الآيات 24–29، ثم يُسمِع الطلاب تلاوة خاشعة للمقطع من أحد أزرار القرّاء في شريحة الآيات (ش 20)،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النجم (2) الآيات 16–23، ويمهّد للدرس اللاحق: سورة النجم (4) الآيات 30–32.</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24–29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20)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21–23) المأخوذة من كتاب التلاوة ص 38–39: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24–29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24–29)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النجم (4) — الآيات 30–32</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40–41 — العرض الثاني (الدروس 12–18): الشرائح 24–30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النجم (4) (الآيات 30–32)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30–32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النجم (3) الآيات 24–29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24) وحديثًا في فضل القرآن الكريم (ش 25) وشريحة أهداف الدرس (ش 26)، ويعرّف بالمقطع: سورة النجم (4) الآيات 30–32، ثم يُسمِع الطلاب تلاوة خاشعة للمقطع من أحد أزرار القرّاء في شريحة الآيات (ش 27)،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النجم (3) الآيات 24–29، ويمهّد للدرس اللاحق: سورة النجم (5) الآيات 33–41.</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30–32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27)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28–30) المأخوذة من كتاب التلاوة ص 40–41: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30–32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30–32)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النجم (5) — الآيات 33–41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42–43 — العرض الثاني (الدروس 12–18): الشرائح 31–37</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النجم (5) (الآيات 33–41)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33–41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النجم (4) الآيات 30–32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31) وحديثًا في فضل القرآن الكريم (ش 32) وشريحة أهداف الدرس (ش 33)، ويعرّف بالمقطع: سورة النجم (5) الآيات 33–41، ثم يُسمِع الطلاب تلاوة خاشعة للمقطع من أحد أزرار القرّاء في شريحة الآيات (ش 34)،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النجم (4) الآيات 30–32، ويمهّد للدرس اللاحق: سورة النجم (6) الآيات 42–51.</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33–41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34)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35–37) المأخوذة من كتاب التلاوة ص 42–43: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33–41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33–41)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النجم (6) — الآيات 42–51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44–45 — العرض الثاني (الدروس 12–18): الشرائح 38–44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النجم (6) (الآيات 42–51)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42–51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النجم (5) الآيات 33–41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38) وحديثًا في فضل القرآن الكريم (ش 39) وشريحة أهداف الدرس (ش 40)، ويعرّف بالمقطع: سورة النجم (6) الآيات 42–51، ثم يُسمِع الطلاب تلاوة خاشعة للمقطع من أحد أزرار القرّاء في شريحة الآيات (ش 41)،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النجم (5) الآيات 33–41، ويمهّد للدرس اللاحق: سورة النجم (7) الآيات 52–62.</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42–51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41)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42–44) المأخوذة من كتاب التلاوة ص 44–45: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42–51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42–51)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النجم (7) — الآيات 52–62</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46–47 — العرض الثاني (الدروس 12–18): الشرائح 45–51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النجم (7) (الآيات 52–62)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52–62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النجم (6) الآيات 42–51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45) وحديثًا في فضل القرآن الكريم (ش 46) وشريحة أهداف الدرس (ش 47)، ويعرّف بالمقطع: سورة النجم (7) الآيات 52–62، ثم يُسمِع الطلاب تلاوة خاشعة للمقطع من أحد أزرار القرّاء في شريحة الآيات (ش 48)،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النجم (6) الآيات 42–51، ويختم دروس التلاوة تمهيدًا للتسميع الشامل.</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52–62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48)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49–51) المأخوذة من كتاب التلاوة ص 46–47: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52–62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52–62)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sectPr w:rsidR="0077219F">
      <w:footerReference w:type="default" r:id="rId7"/>
      <w:headerReference w:type="default" r:id="rId10"/>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6333CD" w14:textId="77777777" w:rsidR="00B61843" w:rsidRDefault="00B61843">
      <w:r>
        <w:separator/>
      </w:r>
    </w:p>
  </w:endnote>
  <w:endnote w:type="continuationSeparator" w:id="0">
    <w:p w14:paraId="1034D100" w14:textId="77777777" w:rsidR="00B61843" w:rsidRDefault="00B61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38E83" w14:textId="77777777" w:rsidR="0077219F" w:rsidRDefault="00000000">
    <w:pPr>
      <w:bidi/>
      <w:jc w:val="center"/>
    </w:pPr>
    <w:r>
      <w:rPr>
        <w:color w:val="5C7077"/>
        <w:sz w:val="16"/>
        <w:szCs w:val="16"/>
        <w:rtl/>
      </w:rPr>
      <w:t xml:space="preserve">صفحة </w:t>
    </w:r>
    <w:r>
      <w:rPr>
        <w:color w:val="5C7077"/>
        <w:sz w:val="16"/>
        <w:szCs w:val="16"/>
      </w:rPr>
      <w:fldChar w:fldCharType="begin"/>
    </w:r>
    <w:r>
      <w:rPr>
        <w:color w:val="5C7077"/>
        <w:sz w:val="16"/>
        <w:szCs w:val="16"/>
      </w:rPr>
      <w:instrText>PAGE</w:instrText>
    </w:r>
    <w:r>
      <w:rPr>
        <w:color w:val="5C7077"/>
        <w:sz w:val="16"/>
        <w:szCs w:val="16"/>
      </w:rPr>
      <w:fldChar w:fldCharType="separate"/>
    </w:r>
    <w:r w:rsidR="00465C80">
      <w:rPr>
        <w:noProof/>
        <w:color w:val="5C7077"/>
        <w:sz w:val="16"/>
        <w:szCs w:val="16"/>
        <w:rtl/>
      </w:rPr>
      <w:t>1</w:t>
    </w:r>
    <w:r>
      <w:rPr>
        <w:color w:val="5C70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403E9" w14:textId="77777777" w:rsidR="00B61843" w:rsidRDefault="00B61843">
      <w:r>
        <w:separator/>
      </w:r>
    </w:p>
  </w:footnote>
  <w:footnote w:type="continuationSeparator" w:id="0">
    <w:p w14:paraId="558CA0F4" w14:textId="77777777" w:rsidR="00B61843" w:rsidRDefault="00B6184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7E3E68"/>
    <w:multiLevelType w:val="hybridMultilevel"/>
    <w:tmpl w:val="BD5E7756"/>
    <w:lvl w:ilvl="0" w:tplc="8A9A99A2">
      <w:start w:val="1"/>
      <w:numFmt w:val="bullet"/>
      <w:lvlText w:val="•"/>
      <w:lvlJc w:val="right"/>
      <w:pPr>
        <w:ind w:right="420" w:hanging="240"/>
      </w:pPr>
    </w:lvl>
    <w:lvl w:ilvl="1" w:tplc="58E60C02">
      <w:numFmt w:val="decimal"/>
      <w:lvlText w:val=""/>
      <w:lvlJc w:val="left"/>
    </w:lvl>
    <w:lvl w:ilvl="2" w:tplc="126044A0">
      <w:numFmt w:val="decimal"/>
      <w:lvlText w:val=""/>
      <w:lvlJc w:val="left"/>
    </w:lvl>
    <w:lvl w:ilvl="3" w:tplc="13504F3C">
      <w:numFmt w:val="decimal"/>
      <w:lvlText w:val=""/>
      <w:lvlJc w:val="left"/>
    </w:lvl>
    <w:lvl w:ilvl="4" w:tplc="0AF84492">
      <w:numFmt w:val="decimal"/>
      <w:lvlText w:val=""/>
      <w:lvlJc w:val="left"/>
    </w:lvl>
    <w:lvl w:ilvl="5" w:tplc="F732C102">
      <w:numFmt w:val="decimal"/>
      <w:lvlText w:val=""/>
      <w:lvlJc w:val="left"/>
    </w:lvl>
    <w:lvl w:ilvl="6" w:tplc="ED6A8088">
      <w:numFmt w:val="decimal"/>
      <w:lvlText w:val=""/>
      <w:lvlJc w:val="left"/>
    </w:lvl>
    <w:lvl w:ilvl="7" w:tplc="4F5A9D8E">
      <w:numFmt w:val="decimal"/>
      <w:lvlText w:val=""/>
      <w:lvlJc w:val="left"/>
    </w:lvl>
    <w:lvl w:ilvl="8" w:tplc="F57424AC">
      <w:numFmt w:val="decimal"/>
      <w:lvlText w:val=""/>
      <w:lvlJc w:val="left"/>
    </w:lvl>
  </w:abstractNum>
  <w:abstractNum w:abstractNumId="1" w15:restartNumberingAfterBreak="0">
    <w:nsid w:val="2FF92222"/>
    <w:multiLevelType w:val="hybridMultilevel"/>
    <w:tmpl w:val="226E364E"/>
    <w:lvl w:ilvl="0" w:tplc="CBBEC86C">
      <w:start w:val="1"/>
      <w:numFmt w:val="bullet"/>
      <w:lvlText w:val="●"/>
      <w:lvlJc w:val="left"/>
      <w:pPr>
        <w:ind w:left="720" w:hanging="360"/>
      </w:pPr>
    </w:lvl>
    <w:lvl w:ilvl="1" w:tplc="674417B0">
      <w:start w:val="1"/>
      <w:numFmt w:val="bullet"/>
      <w:lvlText w:val="○"/>
      <w:lvlJc w:val="left"/>
      <w:pPr>
        <w:ind w:left="1440" w:hanging="360"/>
      </w:pPr>
    </w:lvl>
    <w:lvl w:ilvl="2" w:tplc="1FBCD7F8">
      <w:start w:val="1"/>
      <w:numFmt w:val="bullet"/>
      <w:lvlText w:val="■"/>
      <w:lvlJc w:val="left"/>
      <w:pPr>
        <w:ind w:left="2160" w:hanging="360"/>
      </w:pPr>
    </w:lvl>
    <w:lvl w:ilvl="3" w:tplc="EA847C04">
      <w:start w:val="1"/>
      <w:numFmt w:val="bullet"/>
      <w:lvlText w:val="●"/>
      <w:lvlJc w:val="left"/>
      <w:pPr>
        <w:ind w:left="2880" w:hanging="360"/>
      </w:pPr>
    </w:lvl>
    <w:lvl w:ilvl="4" w:tplc="31447280">
      <w:start w:val="1"/>
      <w:numFmt w:val="bullet"/>
      <w:lvlText w:val="○"/>
      <w:lvlJc w:val="left"/>
      <w:pPr>
        <w:ind w:left="3600" w:hanging="360"/>
      </w:pPr>
    </w:lvl>
    <w:lvl w:ilvl="5" w:tplc="32EE4D30">
      <w:start w:val="1"/>
      <w:numFmt w:val="bullet"/>
      <w:lvlText w:val="■"/>
      <w:lvlJc w:val="left"/>
      <w:pPr>
        <w:ind w:left="4320" w:hanging="360"/>
      </w:pPr>
    </w:lvl>
    <w:lvl w:ilvl="6" w:tplc="910A916E">
      <w:start w:val="1"/>
      <w:numFmt w:val="bullet"/>
      <w:lvlText w:val="●"/>
      <w:lvlJc w:val="left"/>
      <w:pPr>
        <w:ind w:left="5040" w:hanging="360"/>
      </w:pPr>
    </w:lvl>
    <w:lvl w:ilvl="7" w:tplc="B22CF262">
      <w:start w:val="1"/>
      <w:numFmt w:val="bullet"/>
      <w:lvlText w:val="●"/>
      <w:lvlJc w:val="left"/>
      <w:pPr>
        <w:ind w:left="5760" w:hanging="360"/>
      </w:pPr>
    </w:lvl>
    <w:lvl w:ilvl="8" w:tplc="1A62AA56">
      <w:start w:val="1"/>
      <w:numFmt w:val="bullet"/>
      <w:lvlText w:val="●"/>
      <w:lvlJc w:val="left"/>
      <w:pPr>
        <w:ind w:left="6480" w:hanging="360"/>
      </w:pPr>
    </w:lvl>
  </w:abstractNum>
  <w:num w:numId="1" w16cid:durableId="103449843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19F"/>
    <w:rsid w:val="00271FD8"/>
    <w:rsid w:val="00465C80"/>
    <w:rsid w:val="007638E2"/>
    <w:rsid w:val="0077219F"/>
    <w:rsid w:val="009D4BC6"/>
    <w:rsid w:val="00A94F89"/>
    <w:rsid w:val="00B61843"/>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decimalSymbol w:val="."/>
  <w:listSeparator w:val=","/>
  <w14:docId w14:val="1692B265"/>
  <w15:docId w15:val="{8C955661-201F-E841-A659-80047E9C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B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Latifa Al-Kuwaiti</cp:lastModifiedBy>
  <cp:revision>2</cp:revision>
  <dcterms:created xsi:type="dcterms:W3CDTF">2026-06-20T23:06:00Z</dcterms:created>
  <dcterms:modified xsi:type="dcterms:W3CDTF">2026-06-20T23:06:00Z</dcterms:modified>
</cp:coreProperties>
</file>