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Arial" w:hAnsi="Arial" w:eastAsia="Arial"/>
          <w:b/>
          <w:color w:val="000000"/>
          <w:sz w:val="46"/>
        </w:rPr>
        <w:t>Managementvergleich</w:t>
      </w:r>
    </w:p>
    <w:p>
      <w:pPr>
        <w:spacing w:after="20"/>
      </w:pPr>
      <w:r>
        <w:rPr>
          <w:rFonts w:ascii="Arial" w:hAnsi="Arial" w:eastAsia="Arial"/>
          <w:b w:val="0"/>
          <w:color w:val="526576"/>
          <w:sz w:val="21"/>
        </w:rPr>
        <w:t>Nationaler ARTEMIS-Auftritt und regionaler Pilot</w:t>
      </w:r>
    </w:p>
    <w:p>
      <w:pPr>
        <w:spacing w:after="120"/>
      </w:pPr>
      <w:r>
        <w:rPr>
          <w:rFonts w:ascii="Arial" w:hAnsi="Arial" w:eastAsia="Arial"/>
          <w:b w:val="0"/>
          <w:color w:val="526576"/>
          <w:sz w:val="19"/>
        </w:rPr>
        <w:t>Leverkusen und Opladen</w:t>
      </w:r>
    </w:p>
    <w:p>
      <w:pPr>
        <w:keepLines/>
        <w:widowControl/>
        <w:spacing w:line="250" w:lineRule="auto"/>
      </w:pPr>
      <w:r>
        <w:rPr>
          <w:rFonts w:ascii="Arial" w:hAnsi="Arial" w:eastAsia="Arial"/>
          <w:b/>
          <w:color w:val="172A3B"/>
          <w:sz w:val="18"/>
        </w:rPr>
        <w:t>Empfehlung:</w:t>
      </w:r>
      <w:r>
        <w:rPr>
          <w:rFonts w:ascii="Arial" w:hAnsi="Arial" w:eastAsia="Arial"/>
          <w:b w:val="0"/>
          <w:i w:val="0"/>
          <w:color w:val="172A3B"/>
          <w:sz w:val="18"/>
        </w:rPr>
        <w:t xml:space="preserve"> Den regionalen Entwurf als begrenzten Pilot bewerten. Er bündelt die örtliche Orientierung und nutzt die bestehende nationale Plattform und ihre Terminprozesse als Grundlage.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808"/>
        <w:gridCol w:w="3992"/>
        <w:gridCol w:w="4519"/>
      </w:tblGrid>
      <w:tr>
        <w:trPr>
          <w:cantSplit/>
          <w:tblHeader w:val="true"/>
        </w:trPr>
        <w:tc>
          <w:tcPr>
            <w:tcW w:type="dxa" w:w="18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4365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Kriterium</w:t>
            </w:r>
          </w:p>
        </w:tc>
        <w:tc>
          <w:tcPr>
            <w:tcW w:type="dxa" w:w="39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4365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Nationale Website heute</w:t>
            </w:r>
          </w:p>
        </w:tc>
        <w:tc>
          <w:tcPr>
            <w:tcW w:type="dxa" w:w="45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4365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Regionaler Pilot als Lieferziel</w:t>
            </w:r>
          </w:p>
        </w:tc>
      </w:tr>
      <w:tr>
        <w:trPr>
          <w:cantSplit/>
        </w:trPr>
        <w:tc>
          <w:tcPr>
            <w:tcW w:type="dxa" w:w="18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5"/>
              </w:rPr>
              <w:t>Patientenkomfort</w:t>
            </w:r>
          </w:p>
        </w:tc>
        <w:tc>
          <w:tcPr>
            <w:tcW w:type="dxa" w:w="39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5"/>
              </w:rPr>
              <w:t>Bundesweite Standortsuche und breites Informationsangebot. [1]</w:t>
            </w:r>
          </w:p>
        </w:tc>
        <w:tc>
          <w:tcPr>
            <w:tcW w:type="dxa" w:w="45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5"/>
              </w:rPr>
              <w:t>Direkter Einstieg in zwei Standorte mit zugeordneten nächsten Schritten.</w:t>
            </w:r>
          </w:p>
        </w:tc>
      </w:tr>
      <w:tr>
        <w:trPr>
          <w:cantSplit/>
        </w:trPr>
        <w:tc>
          <w:tcPr>
            <w:tcW w:type="dxa" w:w="18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1F5F8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5"/>
              </w:rPr>
              <w:t>Lokale Informationen</w:t>
            </w:r>
          </w:p>
        </w:tc>
        <w:tc>
          <w:tcPr>
            <w:tcW w:type="dxa" w:w="39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1F5F8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5"/>
              </w:rPr>
              <w:t>Standortseiten mit Kontakt, Zeiten, Leistungen und Team. [2, 3]</w:t>
            </w:r>
          </w:p>
        </w:tc>
        <w:tc>
          <w:tcPr>
            <w:tcW w:type="dxa" w:w="45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1F5F8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5"/>
              </w:rPr>
              <w:t>Leverkusen und Opladen gemeinsam auffindbar; einheitliche Kontaktkarten.</w:t>
            </w:r>
          </w:p>
        </w:tc>
      </w:tr>
      <w:tr>
        <w:trPr>
          <w:cantSplit/>
        </w:trPr>
        <w:tc>
          <w:tcPr>
            <w:tcW w:type="dxa" w:w="18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5"/>
              </w:rPr>
              <w:t>Mobile Nutzung</w:t>
            </w:r>
          </w:p>
        </w:tc>
        <w:tc>
          <w:tcPr>
            <w:tcW w:type="dxa" w:w="39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5"/>
              </w:rPr>
              <w:t>Öffentliche Inhalte geprüft; keine vergleichende Geräte- oder Leistungsmessung.</w:t>
            </w:r>
          </w:p>
        </w:tc>
        <w:tc>
          <w:tcPr>
            <w:tcW w:type="dxa" w:w="45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5"/>
              </w:rPr>
              <w:t>Kompakte Navigation und Standortaktionen; dokumentierte mobile Abnahme.</w:t>
            </w:r>
          </w:p>
        </w:tc>
      </w:tr>
      <w:tr>
        <w:trPr>
          <w:cantSplit/>
        </w:trPr>
        <w:tc>
          <w:tcPr>
            <w:tcW w:type="dxa" w:w="18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1F5F8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5"/>
              </w:rPr>
              <w:t>Terminweg</w:t>
            </w:r>
          </w:p>
        </w:tc>
        <w:tc>
          <w:tcPr>
            <w:tcW w:type="dxa" w:w="39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1F5F8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5"/>
              </w:rPr>
              <w:t>Leverkusen verlinkt die Onlinebuchung; Opladen nennt den telefonischen Kontakt. [2, 3]</w:t>
            </w:r>
          </w:p>
        </w:tc>
        <w:tc>
          <w:tcPr>
            <w:tcW w:type="dxa" w:w="45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1F5F8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5"/>
              </w:rPr>
              <w:t>Bestehende Wege erklären und standortbezogen hervorheben; keine neue Buchungsplattform.</w:t>
            </w:r>
          </w:p>
        </w:tc>
      </w:tr>
      <w:tr>
        <w:trPr>
          <w:cantSplit/>
        </w:trPr>
        <w:tc>
          <w:tcPr>
            <w:tcW w:type="dxa" w:w="18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5"/>
              </w:rPr>
              <w:t>Geschäftlicher Nutzen</w:t>
            </w:r>
          </w:p>
        </w:tc>
        <w:tc>
          <w:tcPr>
            <w:tcW w:type="dxa" w:w="39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5"/>
              </w:rPr>
              <w:t>Gemeinsame Marken- und Informationsplattform für das Netzwerk. [1]</w:t>
            </w:r>
          </w:p>
        </w:tc>
        <w:tc>
          <w:tcPr>
            <w:tcW w:type="dxa" w:w="45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5"/>
              </w:rPr>
              <w:t>Begrenzter Rahmen zur Bewertung lokaler Orientierung. Nutzungseffekt noch zu bestätigen.</w:t>
            </w:r>
          </w:p>
        </w:tc>
      </w:tr>
      <w:tr>
        <w:trPr>
          <w:cantSplit/>
        </w:trPr>
        <w:tc>
          <w:tcPr>
            <w:tcW w:type="dxa" w:w="18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1F5F8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5"/>
              </w:rPr>
              <w:t>Technische Weiterentwicklung</w:t>
            </w:r>
          </w:p>
        </w:tc>
        <w:tc>
          <w:tcPr>
            <w:tcW w:type="dxa" w:w="39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1F5F8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5"/>
              </w:rPr>
              <w:t>Bestehende Standort-URLs; interne Architektur und Qualität nicht bewertet.</w:t>
            </w:r>
          </w:p>
        </w:tc>
        <w:tc>
          <w:tcPr>
            <w:tcW w:type="dxa" w:w="45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1F5F8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B"/>
                <w:sz w:val="15"/>
              </w:rPr>
              <w:t>Regional abgestimmte Metadaten, abrufbare Seiten, dokumentierte Bedien- und Betriebsprüfung.</w:t>
            </w:r>
          </w:p>
        </w:tc>
      </w:tr>
    </w:tbl>
    <w:p>
      <w:pPr>
        <w:spacing w:before="0" w:after="40" w:line="72" w:lineRule="auto"/>
      </w:pPr>
    </w:p>
    <w:p>
      <w:pPr>
        <w:pStyle w:val="SmallNote"/>
        <w:spacing w:line="250" w:lineRule="auto"/>
      </w:pPr>
      <w:r>
        <w:rPr>
          <w:rFonts w:ascii="Arial" w:hAnsi="Arial" w:eastAsia="Arial"/>
          <w:b w:val="0"/>
          <w:i w:val="0"/>
          <w:color w:val="172A3B"/>
          <w:sz w:val="17"/>
        </w:rPr>
        <w:t>Investition: 4.950 EUR · Dauer: 3-4 Wochen ab vollständigen Startvoraussetzungen. Zuzüglich gesetzlicher Umsatzsteuer, sofern anwendbar. Gültig bis 24.10.2026.</w:t>
      </w:r>
    </w:p>
    <w:p>
      <w:pPr>
        <w:pStyle w:val="Heading2"/>
      </w:pPr>
      <w:r>
        <w:rPr>
          <w:rFonts w:ascii="Arial" w:hAnsi="Arial" w:eastAsia="Arial"/>
          <w:b/>
          <w:i w:val="0"/>
          <w:color w:val="000000"/>
          <w:sz w:val="21"/>
        </w:rPr>
        <w:t>Entscheidung im nächsten Gespräch</w:t>
      </w:r>
    </w:p>
    <w:p>
      <w:pPr>
        <w:keepLines/>
        <w:widowControl/>
        <w:spacing w:line="250" w:lineRule="auto"/>
      </w:pPr>
      <w:r>
        <w:rPr>
          <w:rFonts w:ascii="Arial" w:hAnsi="Arial" w:eastAsia="Arial"/>
          <w:b w:val="0"/>
          <w:i w:val="0"/>
          <w:color w:val="172A3B"/>
          <w:sz w:val="17"/>
        </w:rPr>
        <w:t xml:space="preserve">Die öffentliche Projektvorschau </w:t>
      </w:r>
      <w:hyperlink r:id="rId11">
        <w:r>
          <w:rPr>
            <w:rFonts w:ascii="Arial" w:hAnsi="Arial"/>
            <w:color w:val="0988B5"/>
            <w:u w:val="single"/>
            <w:sz w:val="18"/>
          </w:rPr>
          <w:t>artemiskliniken-de.vercel.app</w:t>
        </w:r>
      </w:hyperlink>
      <w:r>
        <w:rPr>
          <w:rFonts w:ascii="Arial" w:hAnsi="Arial" w:eastAsia="Arial"/>
          <w:b w:val="0"/>
          <w:i w:val="0"/>
          <w:color w:val="172A3B"/>
          <w:sz w:val="17"/>
        </w:rPr>
        <w:t xml:space="preserve"> ist zur Abstimmung erreichbar. Sie ist kein ARTEMIS-Produktivauftritt; Inhalte, Marke und Veröffentlichung benötigen ARTEMIS-Freigabe. Pilotumfang, Ansprechpartner und Zielsystem werden im Gespräch bestätigt.</w:t>
      </w:r>
    </w:p>
    <w:p>
      <w:pPr>
        <w:pStyle w:val="SmallNote"/>
        <w:spacing w:line="250" w:lineRule="auto"/>
      </w:pPr>
      <w:r>
        <w:rPr>
          <w:rFonts w:ascii="Arial" w:hAnsi="Arial" w:eastAsia="Arial"/>
          <w:b w:val="0"/>
          <w:i w:val="0"/>
          <w:color w:val="172A3B"/>
          <w:sz w:val="17"/>
        </w:rPr>
        <w:t>Quellen der Einordnung: [1] ARTEMIS Hauptauftritt · [2] Leverkusen · [3] Opladen. Öffentliche Text- und Linkinhalte, abgerufen am 09.10.2026. Kein Vergleich von Nutzungsdaten, Ladezeiten oder internen Systemen.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794" w:bottom="709" w:left="79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b w:val="0"/>
        <w:color w:val="526576"/>
        <w:sz w:val="14"/>
      </w:rPr>
      <w:t xml:space="preserve">WSS ART 2026 1010 · 10.10.2026 · Seite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0" w:lineRule="auto"/>
    </w:pPr>
    <w:rPr>
      <w:rFonts w:ascii="Arial" w:hAnsi="Arial" w:eastAsia="Arial"/>
      <w:color w:val="172A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 w:line="240" w:lineRule="auto"/>
    </w:pPr>
    <w:rPr>
      <w:rFonts w:ascii="Arial" w:hAnsi="Arial" w:eastAsia="Arial"/>
      <w:color w:val="52657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temiskliniken-d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Managementvergleich</dc:title>
  <dc:subject>ARTEMIS Leverkusen und Opladen</dc:subject>
  <dc:creator>Moyen Uddin | WebDev Software Solutions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