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Arial" w:hAnsi="Arial" w:eastAsia="Arial"/>
          <w:b/>
          <w:color w:val="000000"/>
          <w:sz w:val="44"/>
        </w:rPr>
        <w:t>Regionale Website für ARTEMIS</w:t>
      </w:r>
    </w:p>
    <w:p>
      <w:pPr>
        <w:spacing w:after="40"/>
      </w:pPr>
      <w:r>
        <w:rPr>
          <w:rFonts w:ascii="Arial" w:hAnsi="Arial" w:eastAsia="Arial"/>
          <w:b w:val="0"/>
          <w:color w:val="526576"/>
          <w:sz w:val="20"/>
        </w:rPr>
        <w:t>Leverkusen und Opladen | Entscheidungsvorlage für einen regionalen Pilot</w:t>
      </w:r>
    </w:p>
    <w:p>
      <w:pPr>
        <w:spacing w:after="100"/>
      </w:pPr>
      <w:r>
        <w:rPr>
          <w:rFonts w:ascii="Arial" w:hAnsi="Arial" w:eastAsia="Arial"/>
          <w:b w:val="0"/>
          <w:color w:val="526576"/>
          <w:sz w:val="17"/>
        </w:rPr>
        <w:t>Angebot WSS ART 2026 1010 · 10.10.2026 · gültig bis 24.10.2026</w:t>
      </w:r>
    </w:p>
    <w:p>
      <w:pPr>
        <w:pStyle w:val="Heading2"/>
      </w:pPr>
      <w:r>
        <w:rPr>
          <w:rFonts w:ascii="Arial" w:hAnsi="Arial" w:eastAsia="Arial"/>
          <w:b/>
          <w:i w:val="0"/>
          <w:color w:val="000000"/>
          <w:sz w:val="21"/>
        </w:rPr>
        <w:t>Patientenweg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cantSplit/>
          <w:tblHeader w:val="true"/>
        </w:trPr>
        <w:tc>
          <w:tcPr>
            <w:tcW w:type="dxa" w:w="17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1 Standort</w:t>
            </w:r>
          </w:p>
        </w:tc>
        <w:tc>
          <w:tcPr>
            <w:tcW w:type="dxa" w:w="17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2 Behandlung</w:t>
            </w:r>
          </w:p>
        </w:tc>
        <w:tc>
          <w:tcPr>
            <w:tcW w:type="dxa" w:w="17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3 Ärzteteam</w:t>
            </w:r>
          </w:p>
        </w:tc>
        <w:tc>
          <w:tcPr>
            <w:tcW w:type="dxa" w:w="17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4 Kontakt</w:t>
            </w:r>
          </w:p>
        </w:tc>
        <w:tc>
          <w:tcPr>
            <w:tcW w:type="dxa" w:w="17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5 Termin</w:t>
            </w:r>
          </w:p>
        </w:tc>
        <w:tc>
          <w:tcPr>
            <w:tcW w:type="dxa" w:w="17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6 Akutfall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Passende Praxis finden</w:t>
            </w:r>
          </w:p>
        </w:tc>
        <w:tc>
          <w:tcPr>
            <w:tcW w:type="dxa" w:w="17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Freigegebene Infos lesen</w:t>
            </w:r>
          </w:p>
        </w:tc>
        <w:tc>
          <w:tcPr>
            <w:tcW w:type="dxa" w:w="17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Team vor Ort kennenlernen</w:t>
            </w:r>
          </w:p>
        </w:tc>
        <w:tc>
          <w:tcPr>
            <w:tcW w:type="dxa" w:w="17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Praxis direkt erreichen</w:t>
            </w:r>
          </w:p>
        </w:tc>
        <w:tc>
          <w:tcPr>
            <w:tcW w:type="dxa" w:w="17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Bestehenden Weg nutzen</w:t>
            </w:r>
          </w:p>
        </w:tc>
        <w:tc>
          <w:tcPr>
            <w:tcW w:type="dxa" w:w="17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Freigegebene Hinweise öffnen</w:t>
            </w:r>
          </w:p>
        </w:tc>
      </w:tr>
    </w:tbl>
    <w:p>
      <w:pPr>
        <w:spacing w:before="0" w:after="40" w:line="72" w:lineRule="auto"/>
      </w:pPr>
    </w:p>
    <w:p>
      <w:pPr>
        <w:pStyle w:val="Heading2"/>
      </w:pPr>
      <w:r>
        <w:rPr>
          <w:rFonts w:ascii="Arial" w:hAnsi="Arial" w:eastAsia="Arial"/>
          <w:b/>
          <w:i w:val="0"/>
          <w:color w:val="000000"/>
          <w:sz w:val="21"/>
        </w:rPr>
        <w:t>Enthalten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826"/>
        <w:gridCol w:w="8492"/>
      </w:tblGrid>
      <w:tr>
        <w:trPr>
          <w:cantSplit/>
          <w:tblHeader w:val="true"/>
        </w:trPr>
        <w:tc>
          <w:tcPr>
            <w:tcW w:type="dxa" w:w="182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Bereich</w:t>
            </w:r>
          </w:p>
        </w:tc>
        <w:tc>
          <w:tcPr>
            <w:tcW w:type="dxa" w:w="84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Geplanter Umfang</w:t>
            </w:r>
          </w:p>
        </w:tc>
      </w:tr>
      <w:tr>
        <w:trPr>
          <w:cantSplit/>
        </w:trPr>
        <w:tc>
          <w:tcPr>
            <w:tcW w:type="dxa" w:w="182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Seiten</w:t>
            </w:r>
          </w:p>
        </w:tc>
        <w:tc>
          <w:tcPr>
            <w:tcW w:type="dxa" w:w="84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Bis zu 35 Ansichten, darunter Standorte, Behandlungen, Diagnostik, Team und Patienteninformation</w:t>
            </w:r>
          </w:p>
        </w:tc>
      </w:tr>
      <w:tr>
        <w:trPr>
          <w:cantSplit/>
        </w:trPr>
        <w:tc>
          <w:tcPr>
            <w:tcW w:type="dxa" w:w="182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1F5F8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Funktionen</w:t>
            </w:r>
          </w:p>
        </w:tc>
        <w:tc>
          <w:tcPr>
            <w:tcW w:type="dxa" w:w="84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1F5F8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Seitensuche, mobile Navigation, Kontaktkarten, Terminverweise und direkt erreichbare Akuthinweise</w:t>
            </w:r>
          </w:p>
        </w:tc>
      </w:tr>
      <w:tr>
        <w:trPr>
          <w:cantSplit/>
        </w:trPr>
        <w:tc>
          <w:tcPr>
            <w:tcW w:type="dxa" w:w="182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Qualität</w:t>
            </w:r>
          </w:p>
        </w:tc>
        <w:tc>
          <w:tcPr>
            <w:tcW w:type="dxa" w:w="84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Responsive Entwicklung, vereinbarte Browser- und Bedienprüfung, technische SEO-Grundlage und Übergabe</w:t>
            </w:r>
          </w:p>
        </w:tc>
      </w:tr>
    </w:tbl>
    <w:p>
      <w:pPr>
        <w:spacing w:before="0" w:after="4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739"/>
        <w:gridCol w:w="3424"/>
        <w:gridCol w:w="4155"/>
      </w:tblGrid>
      <w:tr>
        <w:trPr>
          <w:cantSplit/>
          <w:tblHeader w:val="true"/>
        </w:trPr>
        <w:tc>
          <w:tcPr>
            <w:tcW w:type="dxa" w:w="27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Investition</w:t>
            </w:r>
          </w:p>
        </w:tc>
        <w:tc>
          <w:tcPr>
            <w:tcW w:type="dxa" w:w="34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Zeitraum</w:t>
            </w:r>
          </w:p>
        </w:tc>
        <w:tc>
          <w:tcPr>
            <w:tcW w:type="dxa" w:w="41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Zahlungsmeilensteine</w:t>
            </w:r>
          </w:p>
        </w:tc>
      </w:tr>
      <w:tr>
        <w:trPr>
          <w:cantSplit/>
        </w:trPr>
        <w:tc>
          <w:tcPr>
            <w:tcW w:type="dxa" w:w="27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4.950 EUR zzgl. Umsatzsteuer, sofern anwendbar</w:t>
            </w:r>
          </w:p>
        </w:tc>
        <w:tc>
          <w:tcPr>
            <w:tcW w:type="dxa" w:w="34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3-4 Wochen ab vollständigen Startvoraussetzungen</w:t>
            </w:r>
          </w:p>
        </w:tc>
        <w:tc>
          <w:tcPr>
            <w:tcW w:type="dxa" w:w="41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6"/>
              </w:rPr>
              <w:t>30 / 40 / 30 % 1.485 / 1.980 / 1.485 EUR</w:t>
            </w:r>
          </w:p>
        </w:tc>
      </w:tr>
    </w:tbl>
    <w:p>
      <w:pPr>
        <w:spacing w:before="0" w:after="40" w:line="72" w:lineRule="auto"/>
      </w:pPr>
    </w:p>
    <w:p>
      <w:pPr>
        <w:keepLines/>
        <w:widowControl/>
        <w:spacing w:line="250" w:lineRule="auto"/>
      </w:pPr>
      <w:r>
        <w:rPr>
          <w:rFonts w:ascii="Arial" w:hAnsi="Arial" w:eastAsia="Arial"/>
          <w:b w:val="0"/>
          <w:i w:val="0"/>
          <w:color w:val="172A3B"/>
          <w:sz w:val="16"/>
        </w:rPr>
        <w:t xml:space="preserve">Bestehende nationale Website und externe Terminprozesse bleiben die Grundlage. Die öffentliche Projektvorschau </w:t>
      </w:r>
      <w:hyperlink r:id="rId11">
        <w:r>
          <w:rPr>
            <w:rFonts w:ascii="Arial" w:hAnsi="Arial"/>
            <w:color w:val="0988B5"/>
            <w:u w:val="single"/>
            <w:sz w:val="17"/>
          </w:rPr>
          <w:t>artemiskliniken-de.vercel.app</w:t>
        </w:r>
      </w:hyperlink>
      <w:r>
        <w:rPr>
          <w:rFonts w:ascii="Arial" w:hAnsi="Arial" w:eastAsia="Arial"/>
          <w:b w:val="0"/>
          <w:i w:val="0"/>
          <w:color w:val="172A3B"/>
          <w:sz w:val="16"/>
        </w:rPr>
        <w:t xml:space="preserve"> dient der Abstimmung und ist kein freigegebener ARTEMIS-Produktivauftritt. Inhalt und finale Umsetzung benötigen ARTEMIS-Freigabe; die vorgesehene Orientierung ist keine Ergebnisgarantie.</w:t>
      </w:r>
    </w:p>
    <w:p>
      <w:pPr>
        <w:keepLines/>
        <w:widowControl/>
        <w:spacing w:line="250" w:lineRule="auto"/>
      </w:pPr>
      <w:r>
        <w:rPr>
          <w:rFonts w:ascii="Arial" w:hAnsi="Arial" w:eastAsia="Arial"/>
          <w:b/>
          <w:color w:val="172A3B"/>
          <w:sz w:val="16"/>
        </w:rPr>
        <w:t>Nächster Schritt:</w:t>
      </w:r>
      <w:r>
        <w:rPr>
          <w:rFonts w:ascii="Arial" w:hAnsi="Arial" w:eastAsia="Arial"/>
          <w:b w:val="0"/>
          <w:i w:val="0"/>
          <w:color w:val="172A3B"/>
          <w:sz w:val="16"/>
        </w:rPr>
        <w:t xml:space="preserve"> Einen 30-minütigen Vorstellungstermin vereinbaren und Zielsystem, Ansprechpartner sowie Freigabeweg bestätigen. Angebot gültig bis 24.10.2026. </w:t>
      </w:r>
      <w:hyperlink r:id="rId12">
        <w:r>
          <w:rPr>
            <w:rFonts w:ascii="Arial" w:hAnsi="Arial"/>
            <w:color w:val="0988B5"/>
            <w:u w:val="single"/>
            <w:sz w:val="17"/>
          </w:rPr>
          <w:t>info@webdevsoftwaresolutions.com</w:t>
        </w:r>
      </w:hyperlink>
      <w:r>
        <w:rPr>
          <w:rFonts w:ascii="Arial" w:hAnsi="Arial" w:eastAsia="Arial"/>
          <w:b w:val="0"/>
          <w:i w:val="0"/>
          <w:color w:val="172A3B"/>
          <w:sz w:val="16"/>
        </w:rPr>
        <w:t xml:space="preserve"> · +49 172 9766016 · webdevss.tech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794" w:bottom="709" w:left="79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b w:val="0"/>
        <w:color w:val="526576"/>
        <w:sz w:val="14"/>
      </w:rPr>
      <w:t xml:space="preserve">WSS ART 2026 1010 · 10.10.2026 · Seite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0" w:lineRule="auto"/>
    </w:pPr>
    <w:rPr>
      <w:rFonts w:ascii="Arial" w:hAnsi="Arial" w:eastAsia="Arial"/>
      <w:color w:val="172A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40" w:lineRule="auto"/>
    </w:pPr>
    <w:rPr>
      <w:rFonts w:ascii="Arial" w:hAnsi="Arial" w:eastAsia="Arial"/>
      <w:color w:val="52657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temiskliniken-de.vercel.app/" TargetMode="External"/><Relationship Id="rId12" Type="http://schemas.openxmlformats.org/officeDocument/2006/relationships/hyperlink" Target="mailto:info@webdevsoftwaresolutio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Regionale Website für ARTEMIS</dc:title>
  <dc:subject>ARTEMIS Leverkusen und Opladen</dc:subject>
  <dc:creator>Moyen Uddin | WebDev Software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