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08760" cy="1192973"/>
            <wp:docPr id="1" name="Picture 1"/>
            <wp:cNvGraphicFramePr>
              <a:graphicFrameLocks noChangeAspect="1"/>
            </wp:cNvGraphicFramePr>
            <a:graphic>
              <a:graphicData uri="http://schemas.openxmlformats.org/drawingml/2006/picture">
                <pic:pic>
                  <pic:nvPicPr>
                    <pic:cNvPr id="0" name="webdevss-logo.png"/>
                    <pic:cNvPicPr/>
                  </pic:nvPicPr>
                  <pic:blipFill>
                    <a:blip r:embed="rId11"/>
                    <a:stretch>
                      <a:fillRect/>
                    </a:stretch>
                  </pic:blipFill>
                  <pic:spPr>
                    <a:xfrm>
                      <a:off x="0" y="0"/>
                      <a:ext cx="1508760" cy="1192973"/>
                    </a:xfrm>
                    <a:prstGeom prst="rect"/>
                  </pic:spPr>
                </pic:pic>
              </a:graphicData>
            </a:graphic>
          </wp:inline>
        </w:drawing>
      </w:r>
    </w:p>
    <w:p>
      <w:pPr>
        <w:pStyle w:val="Title"/>
        <w:jc w:val="left"/>
      </w:pPr>
      <w:r>
        <w:t>Projektangebot</w:t>
      </w:r>
    </w:p>
    <w:p>
      <w:pPr>
        <w:pStyle w:val="Subtitle"/>
      </w:pPr>
      <w:r>
        <w:rPr>
          <w:color w:val="12365B"/>
        </w:rPr>
        <w:t>Regionale Website für ARTEMIS Leverkusen und Opladen</w:t>
      </w:r>
    </w:p>
    <w:p>
      <w:r>
        <w:rPr>
          <w:b/>
          <w:color w:val="008FC9"/>
        </w:rPr>
        <w:t>Angebotsnummer WSS ART 2026 1009  |  Stand 09.10.2026  |  Gültig bis 23.10.2026</w:t>
      </w:r>
    </w:p>
    <w:p>
      <w:r>
        <w:t>Entscheidungsvorlage für eine fokussierte, mobile und freigabefähige Patient Journey.</w:t>
      </w:r>
    </w:p>
    <w:p>
      <w:pPr>
        <w:pStyle w:val="Heading1"/>
      </w:pPr>
      <w:r>
        <w:t>Projektziel</w:t>
      </w:r>
    </w:p>
    <w:p>
      <w:r>
        <w:t>Für Leverkusen und Opladen liegt ein fokussiertes Website-Konzept vor, das die häufigsten Patientenaufgaben direkt erreichbar macht: Standort wählen, Leistungen verstehen, Kontakt aufnehmen, Terminweg finden und im Notfall richtig handeln.</w:t>
      </w:r>
    </w:p>
    <w:p>
      <w:r>
        <w:t>Der nationale ARTEMIS-Auftritt bleibt die maßgebliche Unternehmensplattform. Das vorgeschlagene regionale Konzept ergänzt diese Stärke durch kurze Wege für zwei konkrete Standorte und kann nach fachlicher, rechtlicher und technischer Freigabe als Pilot umgesetzt werden.</w:t>
      </w:r>
    </w:p>
    <w:p>
      <w:pPr>
        <w:pStyle w:val="Heading1"/>
      </w:pPr>
      <w:r>
        <w:t>Management Summary</w:t>
      </w:r>
    </w:p>
    <w:p>
      <w:r>
        <w:t>Die Entscheidungsvorlage verbindet ein fertig ausgearbeitetes Frontend mit einem klar begrenzten Einführungsprojekt. Der aktuelle lokale Produktionsbuild wurde auf 16 Routen in vier Viewportbreiten geprüft. 64 von 64 Layoutprüfungen sowie 19 von 19 Prüfungen für mobile Interaktionen und vergrößerte Schrift verliefen ohne festgestellten Fehler.</w:t>
      </w:r>
    </w:p>
    <w:p>
      <w:r>
        <w:t>Das Angebot umfasst Konzeption, deutsche Inhalte, responsive Entwicklung, technische SEO-Grundlagen, Qualitätssicherung und Übergabe. Medizinische Aussagen, Markenmaterial, Datenschutztexte, Tracking, Terminziele und Produktionszugänge werden vor Veröffentlichung von ARTEMIS freigegeben.</w:t>
      </w:r>
    </w:p>
    <w:p>
      <w:pPr>
        <w:pStyle w:val="Heading2"/>
      </w:pPr>
      <w:r>
        <w:t>Entscheidung</w:t>
      </w:r>
    </w:p>
    <w:p>
      <w:r>
        <w:t>Freigabe des beschriebenen Pilotprojekts zu 4.950 EUR und Benennung der fachlichen, rechtlichen und technischen Ansprechpartner.</w:t>
      </w:r>
    </w:p>
    <w:p>
      <w:pPr>
        <w:pStyle w:val="Heading1"/>
      </w:pPr>
      <w:r>
        <w:t>Ausgangslage und Nutzen</w:t>
      </w:r>
    </w:p>
    <w:p>
      <w:r>
        <w:t>Der bestehende ARTEMIS-Webauftritt deckt ein großes Standortnetz und ein breites medizinisches Angebot ab. Für Menschen mit einem konkreten Anliegen in Leverkusen oder Opladen entsteht dadurch ein zusätzlicher Auswahl- und Orientierungsschritt.</w:t>
      </w:r>
    </w:p>
    <w:p>
      <w:r>
        <w:t>Das regionale Konzept bündelt beide Standorte, unterscheidet ihre Leistungen und Kontaktdaten und hält relevante Aktionen am jeweiligen Inhalt bereit. So bleibt die Nutzerführung auch auf kleinen Displays verständlich.</w:t>
      </w:r>
    </w:p>
    <w:p>
      <w:pPr>
        <w:pStyle w:val="Heading1"/>
      </w:pPr>
      <w:r>
        <w:t>Gelöste Nutzerprobleme</w:t>
      </w:r>
    </w:p>
    <w:p>
      <w:pPr>
        <w:pStyle w:val="ListBullet"/>
      </w:pPr>
      <w:r>
        <w:t>Standortklarheit: Adresse, Telefon, Sprechzeiten, Anfahrt und Terminweg sind je Standort eindeutig zugeordnet.</w:t>
      </w:r>
    </w:p>
    <w:p>
      <w:pPr>
        <w:pStyle w:val="ListBullet"/>
      </w:pPr>
      <w:r>
        <w:t>Mobile Bedienung: Navigation, Dialoge, Kontaktkarten und Aktionsflächen passen sich an schmale Displays und vergrößerte Schrift an.</w:t>
      </w:r>
    </w:p>
    <w:p>
      <w:pPr>
        <w:pStyle w:val="ListBullet"/>
      </w:pPr>
      <w:r>
        <w:t>Behandlungsorientierung: Behandlungen, Augenkrankheiten, Diagnostik, Ärzte und Patienteninformationen sind getrennt auffindbar und intern verknüpft.</w:t>
      </w:r>
    </w:p>
    <w:p>
      <w:pPr>
        <w:pStyle w:val="ListBullet"/>
      </w:pPr>
      <w:r>
        <w:t>Notfallorientierung: 116117 und 112 werden kontextbezogen erklärt; die Standortkarten bleiben auf Mobilgeräten vollständig lesbar.</w:t>
      </w:r>
    </w:p>
    <w:p>
      <w:pPr>
        <w:pStyle w:val="ListBullet"/>
      </w:pPr>
      <w:r>
        <w:t>Datenschutzfreundliche Karte: Google Maps wird erst nach aktiver Auswahl geladen. Vorher bleibt eine klare Standort- und Routenansicht verfügbar.</w:t>
      </w:r>
    </w:p>
    <w:p>
      <w:pPr>
        <w:pStyle w:val="ListBullet"/>
      </w:pPr>
      <w:r>
        <w:t>Wiedererkennbarkeit: Logo, Favicon, Social Links und Footer bilden einen konsistenten Abschluss auf Desktop und Mobilgeräten.</w:t>
      </w:r>
    </w:p>
    <w:p>
      <w:pPr>
        <w:pStyle w:val="Heading1"/>
      </w:pPr>
      <w:r>
        <w:t>Leistungsumfang</w:t>
      </w:r>
    </w:p>
    <w:p>
      <w:pPr>
        <w:pStyle w:val="ListBullet"/>
      </w:pPr>
      <w:r>
        <w:t>Responsive Website für Startseite, Standorte, Behandlungen, Augenkrankheiten, Diagnostik, Ärzte, Patienteninformationen, Notfallseite sowie Impressum und Datenschutz.</w:t>
      </w:r>
    </w:p>
    <w:p>
      <w:pPr>
        <w:pStyle w:val="ListBullet"/>
      </w:pPr>
      <w:r>
        <w:t>Standortbezogene Kontakt- und Terminwege für Leverkusen und Opladen einschließlich Telefon, Routenlink und Sprechzeiten.</w:t>
      </w:r>
    </w:p>
    <w:p>
      <w:pPr>
        <w:pStyle w:val="ListBullet"/>
      </w:pPr>
      <w:r>
        <w:t>Suche, mobile Navigation, Termin-Dialog, Skeleton-Ladezustand, reduzierte Bewegung und Tastaturbedienung zentraler Dialoge.</w:t>
      </w:r>
    </w:p>
    <w:p>
      <w:pPr>
        <w:pStyle w:val="ListBullet"/>
      </w:pPr>
      <w:r>
        <w:t>Saubere URLs, Seitentitel, Beschreibungen, Canonical URLs, strukturierte Daten, Sitemap, robots.txt, Manifest und SPA-Rewrites.</w:t>
      </w:r>
    </w:p>
    <w:p>
      <w:pPr>
        <w:pStyle w:val="ListBullet"/>
      </w:pPr>
      <w:r>
        <w:t>Click-to-load-Karten, grundlegende Sicherheitsheader, produktionsfähiger Build und dokumentierte Abnahme.</w:t>
      </w:r>
    </w:p>
    <w:p>
      <w:pPr>
        <w:pStyle w:val="Heading1"/>
      </w:pPr>
      <w:r>
        <w:t>Qualität und Prüfnachweis</w:t>
      </w:r>
    </w:p>
    <w:p>
      <w:pPr>
        <w:pStyle w:val="ListBullet"/>
      </w:pPr>
      <w:r>
        <w:t>Produktionsbuild, Lint-Prüfung und Diff-Prüfung wurden am 09.10.2026 erfolgreich ausgeführt.</w:t>
      </w:r>
    </w:p>
    <w:p>
      <w:pPr>
        <w:pStyle w:val="ListBullet"/>
      </w:pPr>
      <w:r>
        <w:t>Responsive Audit: 16 Routen × 4 Breiten (320, 375, 768 und 1440 px) = 64 Prüfungen, ohne festgestellten horizontalen Überlauf, Route-Fehler oder Laufzeitfehler.</w:t>
      </w:r>
    </w:p>
    <w:p>
      <w:pPr>
        <w:pStyle w:val="ListBullet"/>
      </w:pPr>
      <w:r>
        <w:t>Interaktionsaudit: 16 Routen bei 320 px mit vergrößerter Schrift plus mobile Navigation, Termin- und Suchdialog = 19 Prüfungen, ohne festgestellten horizontalen Überlauf.</w:t>
      </w:r>
    </w:p>
    <w:p>
      <w:pPr>
        <w:pStyle w:val="ListBullet"/>
      </w:pPr>
      <w:r>
        <w:t>Diese Prüfungen dokumentieren den aktuellen lokalen Build. Die finale Abnahme erfolgt zusätzlich in der späteren Hosting-, Browser-, Geräte- und Inhaltsumgebung von ARTEMIS.</w:t>
      </w:r>
    </w:p>
    <w:p>
      <w:pPr>
        <w:pStyle w:val="Heading1"/>
      </w:pPr>
      <w:r>
        <w:t>Projektablauf</w:t>
      </w:r>
    </w:p>
    <w:p>
      <w:pPr>
        <w:pStyle w:val="ListBullet"/>
      </w:pPr>
      <w:r>
        <w:t>1. Kick-off und Verantwortlichkeiten: Vertragspartei, Ansprechpartner, Hosting, Datenschutz und Freigabeweg bestätigen.</w:t>
      </w:r>
    </w:p>
    <w:p>
      <w:pPr>
        <w:pStyle w:val="ListBullet"/>
      </w:pPr>
      <w:r>
        <w:t>2. Inhaltsabnahme: Standortdaten, medizinische Aussagen, Ärzte, Bilder, Logos, Termin- und Notfallhinweise freigeben.</w:t>
      </w:r>
    </w:p>
    <w:p>
      <w:pPr>
        <w:pStyle w:val="ListBullet"/>
      </w:pPr>
      <w:r>
        <w:t>3. Technische Integration: Zielsystem, Domain, Formulare, Tracking und Terminziele konfigurieren.</w:t>
      </w:r>
    </w:p>
    <w:p>
      <w:pPr>
        <w:pStyle w:val="ListBullet"/>
      </w:pPr>
      <w:r>
        <w:t>4. Abnahmerunde: ARTEMIS prüft Inhalte und Funktionen; vereinbarte Korrekturen werden eingearbeitet.</w:t>
      </w:r>
    </w:p>
    <w:p>
      <w:pPr>
        <w:pStyle w:val="ListBullet"/>
      </w:pPr>
      <w:r>
        <w:t>5. Veröffentlichung und Übergabe: Go-live nach schriftlicher Freigabe, Übergabedokumentation und Sicherung des freigegebenen Stands.</w:t>
      </w:r>
    </w:p>
    <w:p>
      <w:pPr>
        <w:pStyle w:val="Heading1"/>
      </w:pPr>
      <w:r>
        <w:t>Abnahmekriterien</w:t>
      </w:r>
    </w:p>
    <w:p>
      <w:pPr>
        <w:pStyle w:val="ListBullet"/>
      </w:pPr>
      <w:r>
        <w:t>Alle vereinbarten Seiten und Navigationseinträge sind erreichbar; interne Links und Standortaktionen führen zum freigegebenen Ziel.</w:t>
      </w:r>
    </w:p>
    <w:p>
      <w:pPr>
        <w:pStyle w:val="ListBullet"/>
      </w:pPr>
      <w:r>
        <w:t>Leverkusen und Opladen zeigen die schriftlich bestätigten Adressen, Telefonangaben, Sprechzeiten und Terminwege.</w:t>
      </w:r>
    </w:p>
    <w:p>
      <w:pPr>
        <w:pStyle w:val="ListBullet"/>
      </w:pPr>
      <w:r>
        <w:t>Die freigegebenen Kernabläufe funktionieren in den vereinbarten aktuellen Browsern und auf den festgelegten Referenzbreiten.</w:t>
      </w:r>
    </w:p>
    <w:p>
      <w:pPr>
        <w:pStyle w:val="ListBullet"/>
      </w:pPr>
      <w:r>
        <w:t>Impressum, Datenschutz, Consent, Tracking und medizinische Inhalte wurden durch die zuständigen ARTEMIS-Stellen freigegeben.</w:t>
      </w:r>
    </w:p>
    <w:p>
      <w:pPr>
        <w:pStyle w:val="ListBullet"/>
      </w:pPr>
      <w:r>
        <w:t>Keine offenen Fehler der vereinbarten Priorität verhindern Veröffentlichung oder Kernaufgaben.</w:t>
      </w:r>
    </w:p>
    <w:p>
      <w:pPr>
        <w:pStyle w:val="Heading1"/>
      </w:pPr>
      <w:r>
        <w:t>Verantwortlichkeiten und Annahmen</w:t>
      </w:r>
    </w:p>
    <w:p>
      <w:pPr>
        <w:pStyle w:val="ListBullet"/>
      </w:pPr>
      <w:r>
        <w:t>ARTEMIS stellt verbindliche Inhalte, Markenfreigaben, Bildrechte, rechtliche Texte, Terminziele sowie Hosting- und Domainzugänge bereit.</w:t>
      </w:r>
    </w:p>
    <w:p>
      <w:pPr>
        <w:pStyle w:val="ListBullet"/>
      </w:pPr>
      <w:r>
        <w:t>WebDev Software Solutions setzt den beschriebenen Umfang um, dokumentiert Prüfungen und behebt reproduzierbare Abweichungen innerhalb des vereinbarten Umfangs.</w:t>
      </w:r>
    </w:p>
    <w:p>
      <w:pPr>
        <w:pStyle w:val="ListBullet"/>
      </w:pPr>
      <w:r>
        <w:t>Nicht enthalten sind medizinische oder rechtliche Beratung, externe Lizenzkosten, Hostinggebühren, kostenpflichtige Dienste, umfangreiche CMS-Migration, Mehrsprachigkeit und nachträglich erweiterter Funktionsumfang.</w:t>
      </w:r>
    </w:p>
    <w:p>
      <w:pPr>
        <w:pStyle w:val="Heading1"/>
      </w:pPr>
      <w:r>
        <w:t>Optionale Betreuung</w:t>
      </w:r>
    </w:p>
    <w:p>
      <w:r>
        <w:t>Wartung und kleine Inhaltsanpassungen können nach Veröffentlichung für 95 EUR pro Monat vereinbart werden. Enthaltene Stunden, Reaktionszeiten und technische Zuständigkeiten werden vor Abschluss in einer separaten Leistungsbeschreibung festgehalten.</w:t>
      </w:r>
    </w:p>
    <w:p>
      <w:pPr>
        <w:pStyle w:val="Heading1"/>
      </w:pPr>
      <w:r>
        <w:t>Investition</w:t>
      </w:r>
    </w:p>
    <w:tbl>
      <w:tblPr>
        <w:tblStyle w:val="TableGrid"/>
        <w:tblW w:type="auto" w:w="0"/>
        <w:jc w:val="center"/>
        <w:tblLook w:firstColumn="1" w:firstRow="1" w:lastColumn="0" w:lastRow="0" w:noHBand="0" w:noVBand="1" w:val="04A0"/>
      </w:tblPr>
      <w:tblGrid>
        <w:gridCol w:w="4986"/>
        <w:gridCol w:w="4986"/>
      </w:tblGrid>
      <w:tr>
        <w:tc>
          <w:tcPr>
            <w:tcW w:type="dxa" w:w="4986"/>
            <w:shd w:fill="12365B"/>
            <w:vAlign w:val="center"/>
            <w:tcMar>
              <w:top w:w="100" w:type="dxa"/>
              <w:start w:w="110" w:type="dxa"/>
              <w:bottom w:w="100" w:type="dxa"/>
              <w:end w:w="110" w:type="dxa"/>
            </w:tcMar>
          </w:tcPr>
          <w:p>
            <w:r>
              <w:rPr>
                <w:b/>
                <w:color w:val="FFFFFF"/>
              </w:rPr>
              <w:t>Leistung</w:t>
            </w:r>
          </w:p>
        </w:tc>
        <w:tc>
          <w:tcPr>
            <w:tcW w:type="dxa" w:w="4986"/>
            <w:shd w:fill="12365B"/>
            <w:vAlign w:val="center"/>
            <w:tcMar>
              <w:top w:w="100" w:type="dxa"/>
              <w:start w:w="110" w:type="dxa"/>
              <w:bottom w:w="100" w:type="dxa"/>
              <w:end w:w="110" w:type="dxa"/>
            </w:tcMar>
          </w:tcPr>
          <w:p>
            <w:r>
              <w:rPr>
                <w:b/>
                <w:color w:val="FFFFFF"/>
              </w:rPr>
              <w:t>Betrag</w:t>
            </w:r>
          </w:p>
        </w:tc>
      </w:tr>
      <w:tr>
        <w:tc>
          <w:tcPr>
            <w:tcW w:type="dxa" w:w="4986"/>
            <w:shd w:fill="EEF6FA"/>
            <w:vAlign w:val="center"/>
            <w:tcMar>
              <w:top w:w="100" w:type="dxa"/>
              <w:start w:w="110" w:type="dxa"/>
              <w:bottom w:w="100" w:type="dxa"/>
              <w:end w:w="110" w:type="dxa"/>
            </w:tcMar>
          </w:tcPr>
          <w:p>
            <w:r>
              <w:t>Projektklärung und Inhaltsinventar</w:t>
            </w:r>
          </w:p>
        </w:tc>
        <w:tc>
          <w:tcPr>
            <w:tcW w:type="dxa" w:w="4986"/>
            <w:shd w:fill="EEF6FA"/>
            <w:vAlign w:val="center"/>
            <w:tcMar>
              <w:top w:w="100" w:type="dxa"/>
              <w:start w:w="110" w:type="dxa"/>
              <w:bottom w:w="100" w:type="dxa"/>
              <w:end w:w="110" w:type="dxa"/>
            </w:tcMar>
          </w:tcPr>
          <w:p>
            <w:pPr>
              <w:jc w:val="right"/>
            </w:pPr>
            <w:r>
              <w:t>450 EUR</w:t>
            </w:r>
          </w:p>
        </w:tc>
      </w:tr>
      <w:tr>
        <w:tc>
          <w:tcPr>
            <w:tcW w:type="dxa" w:w="4986"/>
            <w:vAlign w:val="center"/>
            <w:tcMar>
              <w:top w:w="100" w:type="dxa"/>
              <w:start w:w="110" w:type="dxa"/>
              <w:bottom w:w="100" w:type="dxa"/>
              <w:end w:w="110" w:type="dxa"/>
            </w:tcMar>
          </w:tcPr>
          <w:p>
            <w:r>
              <w:t>Webdesign und Nutzerführung</w:t>
            </w:r>
          </w:p>
        </w:tc>
        <w:tc>
          <w:tcPr>
            <w:tcW w:type="dxa" w:w="4986"/>
            <w:vAlign w:val="center"/>
            <w:tcMar>
              <w:top w:w="100" w:type="dxa"/>
              <w:start w:w="110" w:type="dxa"/>
              <w:bottom w:w="100" w:type="dxa"/>
              <w:end w:w="110" w:type="dxa"/>
            </w:tcMar>
          </w:tcPr>
          <w:p>
            <w:pPr>
              <w:jc w:val="right"/>
            </w:pPr>
            <w:r>
              <w:t>1.100 EUR</w:t>
            </w:r>
          </w:p>
        </w:tc>
      </w:tr>
      <w:tr>
        <w:tc>
          <w:tcPr>
            <w:tcW w:type="dxa" w:w="4986"/>
            <w:shd w:fill="EEF6FA"/>
            <w:vAlign w:val="center"/>
            <w:tcMar>
              <w:top w:w="100" w:type="dxa"/>
              <w:start w:w="110" w:type="dxa"/>
              <w:bottom w:w="100" w:type="dxa"/>
              <w:end w:w="110" w:type="dxa"/>
            </w:tcMar>
          </w:tcPr>
          <w:p>
            <w:r>
              <w:t>Deutsche Inhalte und Standortdaten</w:t>
            </w:r>
          </w:p>
        </w:tc>
        <w:tc>
          <w:tcPr>
            <w:tcW w:type="dxa" w:w="4986"/>
            <w:shd w:fill="EEF6FA"/>
            <w:vAlign w:val="center"/>
            <w:tcMar>
              <w:top w:w="100" w:type="dxa"/>
              <w:start w:w="110" w:type="dxa"/>
              <w:bottom w:w="100" w:type="dxa"/>
              <w:end w:w="110" w:type="dxa"/>
            </w:tcMar>
          </w:tcPr>
          <w:p>
            <w:pPr>
              <w:jc w:val="right"/>
            </w:pPr>
            <w:r>
              <w:t>750 EUR</w:t>
            </w:r>
          </w:p>
        </w:tc>
      </w:tr>
      <w:tr>
        <w:tc>
          <w:tcPr>
            <w:tcW w:type="dxa" w:w="4986"/>
            <w:vAlign w:val="center"/>
            <w:tcMar>
              <w:top w:w="100" w:type="dxa"/>
              <w:start w:w="110" w:type="dxa"/>
              <w:bottom w:w="100" w:type="dxa"/>
              <w:end w:w="110" w:type="dxa"/>
            </w:tcMar>
          </w:tcPr>
          <w:p>
            <w:r>
              <w:t>Webentwicklung und Terminwege</w:t>
            </w:r>
          </w:p>
        </w:tc>
        <w:tc>
          <w:tcPr>
            <w:tcW w:type="dxa" w:w="4986"/>
            <w:vAlign w:val="center"/>
            <w:tcMar>
              <w:top w:w="100" w:type="dxa"/>
              <w:start w:w="110" w:type="dxa"/>
              <w:bottom w:w="100" w:type="dxa"/>
              <w:end w:w="110" w:type="dxa"/>
            </w:tcMar>
          </w:tcPr>
          <w:p>
            <w:pPr>
              <w:jc w:val="right"/>
            </w:pPr>
            <w:r>
              <w:t>1.100 EUR</w:t>
            </w:r>
          </w:p>
        </w:tc>
      </w:tr>
      <w:tr>
        <w:tc>
          <w:tcPr>
            <w:tcW w:type="dxa" w:w="4986"/>
            <w:shd w:fill="EEF6FA"/>
            <w:vAlign w:val="center"/>
            <w:tcMar>
              <w:top w:w="100" w:type="dxa"/>
              <w:start w:w="110" w:type="dxa"/>
              <w:bottom w:w="100" w:type="dxa"/>
              <w:end w:w="110" w:type="dxa"/>
            </w:tcMar>
          </w:tcPr>
          <w:p>
            <w:r>
              <w:t>Seitenstruktur und technische SEO</w:t>
            </w:r>
          </w:p>
        </w:tc>
        <w:tc>
          <w:tcPr>
            <w:tcW w:type="dxa" w:w="4986"/>
            <w:shd w:fill="EEF6FA"/>
            <w:vAlign w:val="center"/>
            <w:tcMar>
              <w:top w:w="100" w:type="dxa"/>
              <w:start w:w="110" w:type="dxa"/>
              <w:bottom w:w="100" w:type="dxa"/>
              <w:end w:w="110" w:type="dxa"/>
            </w:tcMar>
          </w:tcPr>
          <w:p>
            <w:pPr>
              <w:jc w:val="right"/>
            </w:pPr>
            <w:r>
              <w:t>650 EUR</w:t>
            </w:r>
          </w:p>
        </w:tc>
      </w:tr>
      <w:tr>
        <w:tc>
          <w:tcPr>
            <w:tcW w:type="dxa" w:w="4986"/>
            <w:vAlign w:val="center"/>
            <w:tcMar>
              <w:top w:w="100" w:type="dxa"/>
              <w:start w:w="110" w:type="dxa"/>
              <w:bottom w:w="100" w:type="dxa"/>
              <w:end w:w="110" w:type="dxa"/>
            </w:tcMar>
          </w:tcPr>
          <w:p>
            <w:r>
              <w:t>Qualitätssicherung und Abnahme</w:t>
            </w:r>
          </w:p>
        </w:tc>
        <w:tc>
          <w:tcPr>
            <w:tcW w:type="dxa" w:w="4986"/>
            <w:vAlign w:val="center"/>
            <w:tcMar>
              <w:top w:w="100" w:type="dxa"/>
              <w:start w:w="110" w:type="dxa"/>
              <w:bottom w:w="100" w:type="dxa"/>
              <w:end w:w="110" w:type="dxa"/>
            </w:tcMar>
          </w:tcPr>
          <w:p>
            <w:pPr>
              <w:jc w:val="right"/>
            </w:pPr>
            <w:r>
              <w:t>550 EUR</w:t>
            </w:r>
          </w:p>
        </w:tc>
      </w:tr>
      <w:tr>
        <w:tc>
          <w:tcPr>
            <w:tcW w:type="dxa" w:w="4986"/>
            <w:shd w:fill="EEF6FA"/>
            <w:vAlign w:val="center"/>
            <w:tcMar>
              <w:top w:w="100" w:type="dxa"/>
              <w:start w:w="110" w:type="dxa"/>
              <w:bottom w:w="100" w:type="dxa"/>
              <w:end w:w="110" w:type="dxa"/>
            </w:tcMar>
          </w:tcPr>
          <w:p>
            <w:r>
              <w:t>Veröffentlichung und Übergabe</w:t>
            </w:r>
          </w:p>
        </w:tc>
        <w:tc>
          <w:tcPr>
            <w:tcW w:type="dxa" w:w="4986"/>
            <w:shd w:fill="EEF6FA"/>
            <w:vAlign w:val="center"/>
            <w:tcMar>
              <w:top w:w="100" w:type="dxa"/>
              <w:start w:w="110" w:type="dxa"/>
              <w:bottom w:w="100" w:type="dxa"/>
              <w:end w:w="110" w:type="dxa"/>
            </w:tcMar>
          </w:tcPr>
          <w:p>
            <w:pPr>
              <w:jc w:val="right"/>
            </w:pPr>
            <w:r>
              <w:t>350 EUR</w:t>
            </w:r>
          </w:p>
        </w:tc>
      </w:tr>
      <w:tr>
        <w:tc>
          <w:tcPr>
            <w:tcW w:type="dxa" w:w="4986"/>
            <w:shd w:fill="DCEEF7"/>
            <w:vAlign w:val="center"/>
            <w:tcMar>
              <w:top w:w="100" w:type="dxa"/>
              <w:start w:w="110" w:type="dxa"/>
              <w:bottom w:w="100" w:type="dxa"/>
              <w:end w:w="110" w:type="dxa"/>
            </w:tcMar>
          </w:tcPr>
          <w:p>
            <w:r>
              <w:rPr>
                <w:b/>
              </w:rPr>
              <w:t>Gesamt</w:t>
            </w:r>
          </w:p>
        </w:tc>
        <w:tc>
          <w:tcPr>
            <w:tcW w:type="dxa" w:w="4986"/>
            <w:shd w:fill="DCEEF7"/>
            <w:vAlign w:val="center"/>
            <w:tcMar>
              <w:top w:w="100" w:type="dxa"/>
              <w:start w:w="110" w:type="dxa"/>
              <w:bottom w:w="100" w:type="dxa"/>
              <w:end w:w="110" w:type="dxa"/>
            </w:tcMar>
          </w:tcPr>
          <w:p>
            <w:pPr>
              <w:jc w:val="right"/>
            </w:pPr>
            <w:r>
              <w:rPr>
                <w:b/>
              </w:rPr>
              <w:t>4.950 EUR</w:t>
            </w:r>
          </w:p>
        </w:tc>
      </w:tr>
    </w:tbl>
    <w:p>
      <w:r>
        <w:rPr>
          <w:i/>
        </w:rPr>
        <w:t>zzgl. gesetzlicher Umsatzsteuer, sofern anwendbar; steuerliche Behandlung vor Beauftragung bestätigen</w:t>
      </w:r>
    </w:p>
    <w:p>
      <w:pPr>
        <w:pStyle w:val="Heading2"/>
      </w:pPr>
      <w:r>
        <w:t>Zahlungsplan</w:t>
      </w:r>
    </w:p>
    <w:p>
      <w:pPr>
        <w:pStyle w:val="ListBullet"/>
      </w:pPr>
      <w:r>
        <w:t>30 % bei Beauftragung: 1.485 EUR</w:t>
      </w:r>
    </w:p>
    <w:p>
      <w:pPr>
        <w:pStyle w:val="ListBullet"/>
      </w:pPr>
      <w:r>
        <w:t>40 % nach Design- und Inhaltsfreigabe: 1.980 EUR</w:t>
      </w:r>
    </w:p>
    <w:p>
      <w:pPr>
        <w:pStyle w:val="ListBullet"/>
      </w:pPr>
      <w:r>
        <w:t>30 % nach Abnahme vor Veröffentlichung: 1.485 EUR</w:t>
      </w:r>
    </w:p>
    <w:p>
      <w:r>
        <w:t>Voraussichtliche Dauer: 3–4 Wochen ab Projektstart und vollständiger Bereitstellung der Freigaben und Zugänge.</w:t>
      </w:r>
    </w:p>
    <w:p>
      <w:pPr>
        <w:pStyle w:val="Heading1"/>
      </w:pPr>
      <w:r>
        <w:t>Gültigkeit und Beauftragung</w:t>
      </w:r>
    </w:p>
    <w:p>
      <w:r>
        <w:t>Dieses Angebot ist bis 23.10.2026 gültig. Änderungen an Umfang, Zielsystem oder Integrationen werden vor Umsetzung schriftlich bewertet und angeboten.</w:t>
      </w:r>
    </w:p>
    <w:p>
      <w:r>
        <w:t>Auftraggeber / Vertragspartei: ______________________________________________</w:t>
      </w:r>
    </w:p>
    <w:p>
      <w:r>
        <w:t>Name und Funktion: ________________________________________________________</w:t>
      </w:r>
    </w:p>
    <w:p>
      <w:r>
        <w:t>Ort, Datum und Unterschrift: _______________________________________________</w:t>
      </w:r>
    </w:p>
    <w:p>
      <w:pPr>
        <w:pStyle w:val="Heading1"/>
      </w:pPr>
      <w:r>
        <w:t>Kontakt</w:t>
      </w:r>
    </w:p>
    <w:p>
      <w:r>
        <w:t>WebDev Software Solutions</w:t>
        <w:br/>
        <w:t>https://webdevss.tech/</w:t>
        <w:br/>
        <w:t>info@webdevsoftwaresolutions.com</w:t>
        <w:br/>
        <w:t>Deutschland +49 172 9766016  |  Bangladesh +880 1722 301927</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779"/>
        <w:sz w:val="16"/>
      </w:rPr>
      <w:t xml:space="preserve">WebDev Software Solutions  •  WSS ART 2026 1009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779"/>
        <w:sz w:val="16"/>
      </w:rPr>
      <w:t>WEBDEV SOFTWARE SOLUTIONS  |  ARTEMIS LEVERKUSEN UND OPLADEN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Projektangebot ARTEMIS Leverkusen und Opladen</dc:title>
  <dc:subject/>
  <dc:creator>WebDev Software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