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508760" cy="1192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devs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19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Managementvergleich</w:t>
      </w:r>
    </w:p>
    <w:p>
      <w:pPr>
        <w:pStyle w:val="Subtitle"/>
      </w:pPr>
      <w:r>
        <w:rPr>
          <w:color w:val="12365B"/>
        </w:rPr>
        <w:t>Nationaler ARTEMIS-Auftritt und regionales Zwei-Standorte-Konzept</w:t>
      </w:r>
    </w:p>
    <w:p>
      <w:r>
        <w:rPr>
          <w:b/>
          <w:color w:val="008FC9"/>
        </w:rPr>
        <w:t>Angebotsnummer WSS ART 2026 1009  |  Stand 09.10.2026  |  Gültig bis 23.10.2026</w:t>
      </w:r>
    </w:p>
    <w:p>
      <w:pPr>
        <w:pStyle w:val="Heading1"/>
      </w:pPr>
      <w:r>
        <w:t>Einordnung</w:t>
      </w:r>
    </w:p>
    <w:p>
      <w:r>
        <w:t>Der Vergleich bewertet unterschiedliche Aufgaben. Der bestehende Webauftritt vermittelt die Breite der ARTEMIS-Gruppe. Das regionale Konzept verdichtet die wichtigsten Patientenwege für Leverkusen und Opladen.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2365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b/>
                <w:color w:val="FFFFFF"/>
              </w:rPr>
              <w:t>Thema</w:t>
            </w:r>
          </w:p>
        </w:tc>
        <w:tc>
          <w:tcPr>
            <w:tcW w:type="dxa" w:w="3324"/>
            <w:shd w:fill="12365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b/>
                <w:color w:val="FFFFFF"/>
              </w:rPr>
              <w:t>Bestehende nationale Plattform</w:t>
            </w:r>
          </w:p>
        </w:tc>
        <w:tc>
          <w:tcPr>
            <w:tcW w:type="dxa" w:w="3324"/>
            <w:shd w:fill="12365B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b/>
                <w:color w:val="FFFFFF"/>
              </w:rPr>
              <w:t>Regionales Konzept Leverkusen und Opladen</w:t>
            </w:r>
          </w:p>
        </w:tc>
      </w:tr>
      <w:tr>
        <w:tc>
          <w:tcPr>
            <w:tcW w:type="dxa" w:w="3324"/>
            <w:shd w:fill="EE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Aufgabe</w:t>
            </w:r>
          </w:p>
        </w:tc>
        <w:tc>
          <w:tcPr>
            <w:tcW w:type="dxa" w:w="3324"/>
            <w:shd w:fill="EE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Unternehmensweite Information und Standortnetz</w:t>
            </w:r>
          </w:p>
        </w:tc>
        <w:tc>
          <w:tcPr>
            <w:tcW w:type="dxa" w:w="3324"/>
            <w:shd w:fill="EE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Direkte Orientierung für zwei konkrete Standorte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Einstieg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Breites Leistungs- und Standortangebot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Leverkusen, Opladen und häufige Patientenwege im ersten Blick</w:t>
            </w:r>
          </w:p>
        </w:tc>
      </w:tr>
      <w:tr>
        <w:tc>
          <w:tcPr>
            <w:tcW w:type="dxa" w:w="3324"/>
            <w:shd w:fill="EE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Kontakt</w:t>
            </w:r>
          </w:p>
        </w:tc>
        <w:tc>
          <w:tcPr>
            <w:tcW w:type="dxa" w:w="3324"/>
            <w:shd w:fill="EE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Standortsuche führt zu den jeweiligen Detailseiten</w:t>
            </w:r>
          </w:p>
        </w:tc>
        <w:tc>
          <w:tcPr>
            <w:tcW w:type="dxa" w:w="3324"/>
            <w:shd w:fill="EE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Telefon, Adresse, Sprechzeit, Route und Terminweg am relevanten Inhalt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Mobil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Unternehmensweite Navigation mit umfangreicher Tiefe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Kompakte Navigation und geprüfte Kontaktkarten ab 320 px</w:t>
            </w:r>
          </w:p>
        </w:tc>
      </w:tr>
      <w:tr>
        <w:tc>
          <w:tcPr>
            <w:tcW w:type="dxa" w:w="3324"/>
            <w:shd w:fill="EE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Karte</w:t>
            </w:r>
          </w:p>
        </w:tc>
        <w:tc>
          <w:tcPr>
            <w:tcW w:type="dxa" w:w="3324"/>
            <w:shd w:fill="EE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Externe Kartenfunktionen im Standortkontext</w:t>
            </w:r>
          </w:p>
        </w:tc>
        <w:tc>
          <w:tcPr>
            <w:tcW w:type="dxa" w:w="3324"/>
            <w:shd w:fill="EE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Click-to-load mit vorher sichtbarer Adresse und Routenlink</w:t>
            </w:r>
          </w:p>
        </w:tc>
      </w:tr>
      <w:tr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Technik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Zentrale Plattform und bestehende Systemlandschaft</w:t>
            </w:r>
          </w:p>
        </w:tc>
        <w:tc>
          <w:tcPr>
            <w:tcW w:type="dxa" w:w="3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Saubere Slugs, Canonical, strukturierte Daten, Sitemap und Sicherheitsheader</w:t>
            </w:r>
          </w:p>
        </w:tc>
      </w:tr>
      <w:tr>
        <w:tc>
          <w:tcPr>
            <w:tcW w:type="dxa" w:w="3324"/>
            <w:shd w:fill="EE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Rolle</w:t>
            </w:r>
          </w:p>
        </w:tc>
        <w:tc>
          <w:tcPr>
            <w:tcW w:type="dxa" w:w="3324"/>
            <w:shd w:fill="EE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Verbindlicher ARTEMIS-Hauptauftritt</w:t>
            </w:r>
          </w:p>
        </w:tc>
        <w:tc>
          <w:tcPr>
            <w:tcW w:type="dxa" w:w="3324"/>
            <w:shd w:fill="EEF6FA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Freigabepflichtiger regionaler Pilot und möglicher Ergänzungsbaustein</w:t>
            </w:r>
          </w:p>
        </w:tc>
      </w:tr>
    </w:tbl>
    <w:p>
      <w:pPr>
        <w:pStyle w:val="Heading1"/>
      </w:pPr>
      <w:r>
        <w:t>Messbarer Entwicklungsstand</w:t>
      </w:r>
    </w:p>
    <w:p>
      <w:pPr>
        <w:pStyle w:val="ListBullet"/>
      </w:pPr>
      <w:r>
        <w:t>64 von 64 responsive Layoutprüfungen ohne festgestellten Fehler.</w:t>
      </w:r>
    </w:p>
    <w:p>
      <w:pPr>
        <w:pStyle w:val="ListBullet"/>
      </w:pPr>
      <w:r>
        <w:t>19 von 19 Prüfungen für mobile Interaktion und vergrößerte Schrift ohne festgestellten Fehler.</w:t>
      </w:r>
    </w:p>
    <w:p>
      <w:pPr>
        <w:pStyle w:val="ListBullet"/>
      </w:pPr>
      <w:r>
        <w:t>Produktionsbuild, Lint-Prüfung und Diff-Prüfung erfolgreich.</w:t>
      </w:r>
    </w:p>
    <w:p>
      <w:pPr>
        <w:pStyle w:val="ListBullet"/>
      </w:pPr>
      <w:r>
        <w:t>Produktionsfreigabe bleibt abhängig von ARTEMIS-Inhalts-, Rechts-, Marken- und Systemfreigaben.</w:t>
      </w:r>
    </w:p>
    <w:p>
      <w:pPr>
        <w:pStyle w:val="Heading1"/>
      </w:pPr>
      <w:r>
        <w:t>Empfohlene Entscheidung</w:t>
      </w:r>
    </w:p>
    <w:p>
      <w:r>
        <w:t>Den regionalen Aufbau als klar abgegrenzten Pilot freigeben, Verantwortlichkeiten benennen und den finalen Integrations- und Abnahmelauf im ARTEMIS-Zielsystem starten.</w:t>
      </w:r>
    </w:p>
    <w:p>
      <w:pPr>
        <w:pStyle w:val="Heading1"/>
      </w:pPr>
      <w:r>
        <w:t>Quellenbasis</w:t>
      </w:r>
    </w:p>
    <w:p>
      <w:r>
        <w:t>Öffentlicher ARTEMIS-Hauptauftritt und die Standortseiten Leverkusen und Opladen, geprüft am 09.10.2026. Der Vergleich enthält keine Aussage über interne Kennzahlen, Conversion oder Systemqualität.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779"/>
        <w:sz w:val="16"/>
      </w:rPr>
      <w:t xml:space="preserve">WebDev Software Solutions  •  WSS ART 2026 1009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26779"/>
        <w:sz w:val="16"/>
      </w:rPr>
      <w:t>WEBDEV SOFTWARE SOLUTIONS  |  ARTEMIS LEVERKUSEN UND OPLADEN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72B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