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133856" cy="896537"/>
            <wp:docPr id="1" name="Picture 1"/>
            <wp:cNvGraphicFramePr>
              <a:graphicFrameLocks noChangeAspect="1"/>
            </wp:cNvGraphicFramePr>
            <a:graphic>
              <a:graphicData uri="http://schemas.openxmlformats.org/drawingml/2006/picture">
                <pic:pic>
                  <pic:nvPicPr>
                    <pic:cNvPr id="0" name="webdevss-logo.png"/>
                    <pic:cNvPicPr/>
                  </pic:nvPicPr>
                  <pic:blipFill>
                    <a:blip r:embed="rId11"/>
                    <a:stretch>
                      <a:fillRect/>
                    </a:stretch>
                  </pic:blipFill>
                  <pic:spPr>
                    <a:xfrm>
                      <a:off x="0" y="0"/>
                      <a:ext cx="1133856" cy="896537"/>
                    </a:xfrm>
                    <a:prstGeom prst="rect"/>
                  </pic:spPr>
                </pic:pic>
              </a:graphicData>
            </a:graphic>
          </wp:inline>
        </w:drawing>
      </w:r>
    </w:p>
    <w:p>
      <w:pPr>
        <w:pStyle w:val="Title"/>
      </w:pPr>
      <w:r>
        <w:t>Angebot für das Standortprojekt</w:t>
      </w:r>
    </w:p>
    <w:p>
      <w:pPr>
        <w:pStyle w:val="Subtitle"/>
      </w:pPr>
      <w:r>
        <w:t>ARTEMIS Leverkusen und Opladen</w:t>
      </w:r>
    </w:p>
    <w:p>
      <w:r>
        <w:rPr>
          <w:b w:val="0"/>
          <w:sz w:val="18"/>
        </w:rPr>
        <w:t>Angebotsentwurf WSS ART 2026 1008  |  08.10.2026  |  Preisvorschlag gültig bis 22.10.2026</w:t>
      </w:r>
    </w:p>
    <w:p>
      <w:r>
        <w:rPr>
          <w:b/>
        </w:rPr>
        <w:t>Für die Standortverantwortlichen und das Digitalteam von ARTEMIS</w:t>
      </w:r>
    </w:p>
    <w:p>
      <w:r>
        <w:rPr>
          <w:b w:val="0"/>
        </w:rPr>
        <w:t>Wir schlagen ein begrenztes Webprojekt für Leverkusen und Opladen vor. Patienten sollen den passenden Standort, die Erreichbarkeit und den richtigen Terminweg verständlich finden. Das vorbereitete Konzept bildet die Arbeitsgrundlage für die gemeinsame Abstimmung.</w:t>
      </w:r>
    </w:p>
    <w:p>
      <w:r>
        <w:rPr>
          <w:b w:val="0"/>
        </w:rPr>
        <w:t>Ihre bestehende Website bedient das bundesweite Netzwerk. Unser Angebot konzentriert sich auf zwei Standorte und kann als regionaler Pilot bewertet werden. Die spätere Übernahme in die zentrale Plattform wird mit Ihrem technischen Team abgestimmt.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747"/>
      </w:tblGrid>
      <w:tr>
        <w:trPr>
          <w:tblHeader/>
          <w:cantSplit/>
        </w:trPr>
        <w:tc>
          <w:tcPr>
            <w:tcW w:type="dxa" w:w="2477"/>
            <w:vAlign w:val="center"/>
            <w:tcMar>
              <w:top w:w="95" w:type="dxa"/>
              <w:left w:w="95" w:type="dxa"/>
              <w:bottom w:w="95" w:type="dxa"/>
              <w:right w:w="95" w:type="dxa"/>
            </w:tcMar>
            <w:shd w:fill="173448"/>
          </w:tcPr>
          <w:p>
            <w:pPr>
              <w:spacing w:after="0" w:line="264" w:lineRule="auto"/>
              <w:jc w:val="left"/>
            </w:pPr>
            <w:r>
              <w:rPr>
                <w:rFonts w:ascii="Arial" w:hAnsi="Arial"/>
                <w:b/>
                <w:color w:val="FFFFFF"/>
                <w:sz w:val="19"/>
              </w:rPr>
              <w:t>Projektmerkmal</w:t>
            </w:r>
          </w:p>
        </w:tc>
        <w:tc>
          <w:tcPr>
            <w:tcW w:type="dxa" w:w="7747"/>
            <w:vAlign w:val="center"/>
            <w:tcMar>
              <w:top w:w="95" w:type="dxa"/>
              <w:left w:w="95" w:type="dxa"/>
              <w:bottom w:w="95" w:type="dxa"/>
              <w:right w:w="95" w:type="dxa"/>
            </w:tcMar>
            <w:shd w:fill="173448"/>
          </w:tcPr>
          <w:p>
            <w:pPr>
              <w:spacing w:after="0" w:line="264" w:lineRule="auto"/>
              <w:jc w:val="left"/>
            </w:pPr>
            <w:r>
              <w:rPr>
                <w:rFonts w:ascii="Arial" w:hAnsi="Arial"/>
                <w:b/>
                <w:color w:val="FFFFFF"/>
                <w:sz w:val="19"/>
              </w:rPr>
              <w:t>Vorgeschlagener Umfang</w:t>
            </w:r>
          </w:p>
        </w:tc>
      </w:tr>
      <w:tr>
        <w:trPr>
          <w:cantSplit/>
        </w:trPr>
        <w:tc>
          <w:tcPr>
            <w:tcW w:type="dxa" w:w="2477"/>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Standorte</w:t>
            </w:r>
          </w:p>
        </w:tc>
        <w:tc>
          <w:tcPr>
            <w:tcW w:type="dxa" w:w="7747"/>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Leverkusen und Opladen</w:t>
            </w:r>
          </w:p>
        </w:tc>
      </w:tr>
      <w:tr>
        <w:trPr>
          <w:cantSplit/>
        </w:trPr>
        <w:tc>
          <w:tcPr>
            <w:tcW w:type="dxa" w:w="2477"/>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Projektpreis</w:t>
            </w:r>
          </w:p>
        </w:tc>
        <w:tc>
          <w:tcPr>
            <w:tcW w:type="dxa" w:w="7747"/>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4.950 EUR vor gegebenenfalls anfallenden Steuern</w:t>
            </w:r>
          </w:p>
        </w:tc>
      </w:tr>
      <w:tr>
        <w:trPr>
          <w:cantSplit/>
        </w:trPr>
        <w:tc>
          <w:tcPr>
            <w:tcW w:type="dxa" w:w="2477"/>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Zeitrahmen</w:t>
            </w:r>
          </w:p>
        </w:tc>
        <w:tc>
          <w:tcPr>
            <w:tcW w:type="dxa" w:w="7747"/>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3 bis 4 Wochen ab vollständigen Startvoraussetzungen</w:t>
            </w:r>
          </w:p>
        </w:tc>
      </w:tr>
      <w:tr>
        <w:trPr>
          <w:cantSplit/>
        </w:trPr>
        <w:tc>
          <w:tcPr>
            <w:tcW w:type="dxa" w:w="2477"/>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Abstimmung</w:t>
            </w:r>
          </w:p>
        </w:tc>
        <w:tc>
          <w:tcPr>
            <w:tcW w:type="dxa" w:w="7747"/>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Zwei gebündelte Korrekturrunden und eine finale Abnahme</w:t>
            </w:r>
          </w:p>
        </w:tc>
      </w:tr>
    </w:tbl>
    <w:p>
      <w:pPr>
        <w:spacing w:after="20"/>
      </w:pPr>
    </w:p>
    <w:p>
      <w:pPr>
        <w:pStyle w:val="Heading2"/>
      </w:pPr>
      <w:r>
        <w:t>Ergebnis für Ihr Team</w:t>
      </w:r>
    </w:p>
    <w:p>
      <w:r>
        <w:rPr>
          <w:b w:val="0"/>
        </w:rPr>
        <w:t>Sie erhalten eine abgestimmte deutsche Standortdarstellung mit klaren Kontaktwegen, produktionsfähigen Seiten-URLs, dokumentierter Qualitätsprüfung und vollständiger Übergabe. Die bestehenden Terminprozesse bleiben die Grundlage. Medizinische Angaben und Veröffentlichung werden durch ARTEMIS freigegeben.</w:t>
      </w:r>
    </w:p>
    <w:p>
      <w:pPr>
        <w:pStyle w:val="Heading2"/>
      </w:pPr>
      <w:r>
        <w:t>Persönliche Vorstellung</w:t>
      </w:r>
    </w:p>
    <w:p>
      <w:r>
        <w:rPr>
          <w:b w:val="0"/>
        </w:rPr>
        <w:t>Gern führen wir Sie in zwölf Minuten durch den Vergleich und das lokale Konzept. Anschließend bestätigen wir Umfang, technische Einbindung und Projektstart.</w:t>
      </w:r>
    </w:p>
    <w:p>
      <w:r>
        <w:rPr>
          <w:b w:val="0"/>
          <w:sz w:val="19"/>
        </w:rPr>
        <w:t>WebDev Software Solutions  |  webdevss.tech</w:t>
        <w:br/>
        <w:t>info@webdevsoftwaresolutions.com  |  Deutschland +49 172 9766016</w:t>
      </w:r>
    </w:p>
    <w:p>
      <w:r>
        <w:br w:type="page"/>
      </w:r>
    </w:p>
    <w:p>
      <w:pPr>
        <w:pStyle w:val="Heading1"/>
      </w:pPr>
      <w:r>
        <w:t>Bestehende Website und regionales Konzept</w:t>
      </w:r>
    </w:p>
    <w:p>
      <w:r>
        <w:rPr>
          <w:b w:val="0"/>
        </w:rPr>
        <w:t>Der Vergleich bewertet den regionalen Anwendungsfall. Die nationale Website besitzt bereits Standortinformationen und funktionale Terminverweise. Die vorgeschlagene Verbesserung liegt in der örtlichen Zuordnung, redaktionellen Einheitlichkeit und einer kompakteren Nutzerführung.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3960"/>
        <w:gridCol w:w="4824"/>
      </w:tblGrid>
      <w:tr>
        <w:trPr>
          <w:tblHeader/>
          <w:cantSplit/>
        </w:trPr>
        <w:tc>
          <w:tcPr>
            <w:tcW w:type="dxa" w:w="1440"/>
            <w:vAlign w:val="center"/>
            <w:tcMar>
              <w:top w:w="95" w:type="dxa"/>
              <w:left w:w="95" w:type="dxa"/>
              <w:bottom w:w="95" w:type="dxa"/>
              <w:right w:w="95" w:type="dxa"/>
            </w:tcMar>
            <w:shd w:fill="173448"/>
          </w:tcPr>
          <w:p>
            <w:pPr>
              <w:spacing w:after="0" w:line="264" w:lineRule="auto"/>
              <w:jc w:val="left"/>
            </w:pPr>
            <w:r>
              <w:rPr>
                <w:rFonts w:ascii="Arial" w:hAnsi="Arial"/>
                <w:b/>
                <w:color w:val="FFFFFF"/>
                <w:sz w:val="19"/>
              </w:rPr>
              <w:t>Bereich</w:t>
            </w:r>
          </w:p>
        </w:tc>
        <w:tc>
          <w:tcPr>
            <w:tcW w:type="dxa" w:w="3960"/>
            <w:vAlign w:val="center"/>
            <w:tcMar>
              <w:top w:w="95" w:type="dxa"/>
              <w:left w:w="95" w:type="dxa"/>
              <w:bottom w:w="95" w:type="dxa"/>
              <w:right w:w="95" w:type="dxa"/>
            </w:tcMar>
            <w:shd w:fill="173448"/>
          </w:tcPr>
          <w:p>
            <w:pPr>
              <w:spacing w:after="0" w:line="264" w:lineRule="auto"/>
              <w:jc w:val="left"/>
            </w:pPr>
            <w:r>
              <w:rPr>
                <w:rFonts w:ascii="Arial" w:hAnsi="Arial"/>
                <w:b/>
                <w:color w:val="FFFFFF"/>
                <w:sz w:val="19"/>
              </w:rPr>
              <w:t>Bestehende Website</w:t>
            </w:r>
          </w:p>
        </w:tc>
        <w:tc>
          <w:tcPr>
            <w:tcW w:type="dxa" w:w="4824"/>
            <w:vAlign w:val="center"/>
            <w:tcMar>
              <w:top w:w="95" w:type="dxa"/>
              <w:left w:w="95" w:type="dxa"/>
              <w:bottom w:w="95" w:type="dxa"/>
              <w:right w:w="95" w:type="dxa"/>
            </w:tcMar>
            <w:shd w:fill="173448"/>
          </w:tcPr>
          <w:p>
            <w:pPr>
              <w:spacing w:after="0" w:line="264" w:lineRule="auto"/>
              <w:jc w:val="left"/>
            </w:pPr>
            <w:r>
              <w:rPr>
                <w:rFonts w:ascii="Arial" w:hAnsi="Arial"/>
                <w:b/>
                <w:color w:val="FFFFFF"/>
                <w:sz w:val="19"/>
              </w:rPr>
              <w:t>Regionaler Entwurf und Lieferziel</w:t>
            </w:r>
          </w:p>
        </w:tc>
      </w:tr>
      <w:tr>
        <w:trPr>
          <w:cantSplit/>
        </w:trPr>
        <w:tc>
          <w:tcPr>
            <w:tcW w:type="dxa" w:w="1440"/>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Projektumfang</w:t>
            </w:r>
          </w:p>
        </w:tc>
        <w:tc>
          <w:tcPr>
            <w:tcW w:type="dxa" w:w="3960"/>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Bundesweite Website mit Standortsuche und umfangreichem Informationsangebot. [1]</w:t>
            </w:r>
          </w:p>
        </w:tc>
        <w:tc>
          <w:tcPr>
            <w:tcW w:type="dxa" w:w="4824"/>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Regionaler Entwurf für Leverkusen und Opladen. Ein begrenzter Pilot lässt sich konkret abstimmen.</w:t>
            </w:r>
          </w:p>
        </w:tc>
      </w:tr>
      <w:tr>
        <w:trPr>
          <w:cantSplit/>
        </w:trPr>
        <w:tc>
          <w:tcPr>
            <w:tcW w:type="dxa" w:w="1440"/>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Orientierung</w:t>
            </w:r>
          </w:p>
        </w:tc>
        <w:tc>
          <w:tcPr>
            <w:tcW w:type="dxa" w:w="3960"/>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Breites Menü und viele medizinische Themen unterstützen unterschiedliche Anliegen. [1]</w:t>
            </w:r>
          </w:p>
        </w:tc>
        <w:tc>
          <w:tcPr>
            <w:tcW w:type="dxa" w:w="4824"/>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Die Startseite führt zu Standort, Kontakt und Terminweg. Die Verständlichkeit wird vor Abnahme geprüft.</w:t>
            </w:r>
          </w:p>
        </w:tc>
      </w:tr>
      <w:tr>
        <w:trPr>
          <w:cantSplit/>
        </w:trPr>
        <w:tc>
          <w:tcPr>
            <w:tcW w:type="dxa" w:w="1440"/>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Terminweg</w:t>
            </w:r>
          </w:p>
        </w:tc>
        <w:tc>
          <w:tcPr>
            <w:tcW w:type="dxa" w:w="3960"/>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Leverkusen verlinkt bereits samedi; Opladen bietet telefonischen Kontakt. [2, 3]</w:t>
            </w:r>
          </w:p>
        </w:tc>
        <w:tc>
          <w:tcPr>
            <w:tcW w:type="dxa" w:w="4824"/>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Bestehende Terminwege werden je Standort erklärt. Ein eigenes Buchungssystem ist nicht erforderlich.</w:t>
            </w:r>
          </w:p>
        </w:tc>
      </w:tr>
      <w:tr>
        <w:trPr>
          <w:cantSplit/>
        </w:trPr>
        <w:tc>
          <w:tcPr>
            <w:tcW w:type="dxa" w:w="1440"/>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Inhalte und Vertrauen</w:t>
            </w:r>
          </w:p>
        </w:tc>
        <w:tc>
          <w:tcPr>
            <w:tcW w:type="dxa" w:w="3960"/>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Die Standortseiten zeigen Leistungen, Team und weitere Praxisinformationen. [2, 3]</w:t>
            </w:r>
          </w:p>
        </w:tc>
        <w:tc>
          <w:tcPr>
            <w:tcW w:type="dxa" w:w="4824"/>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Kürzere deutsche Texte und einheitliche Kontaktkarten sind vorbereitet. ARTEMIS bestätigt Inhalte und Bildmaterial.</w:t>
            </w:r>
          </w:p>
        </w:tc>
      </w:tr>
      <w:tr>
        <w:trPr>
          <w:cantSplit/>
        </w:trPr>
        <w:tc>
          <w:tcPr>
            <w:tcW w:type="dxa" w:w="1440"/>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Mobile Nutzung</w:t>
            </w:r>
          </w:p>
        </w:tc>
        <w:tc>
          <w:tcPr>
            <w:tcW w:type="dxa" w:w="3960"/>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Im Rahmen dieser Inhaltsprüfung nicht visuell oder auf Geräten bewertet.</w:t>
            </w:r>
          </w:p>
        </w:tc>
        <w:tc>
          <w:tcPr>
            <w:tcW w:type="dxa" w:w="4824"/>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Responsive Layouts und Fokuszustände sind im Code angelegt. Browser- und Tastaturtests gehören zur Lieferung.</w:t>
            </w:r>
          </w:p>
        </w:tc>
      </w:tr>
      <w:tr>
        <w:trPr>
          <w:cantSplit/>
        </w:trPr>
        <w:tc>
          <w:tcPr>
            <w:tcW w:type="dxa" w:w="1440"/>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SEO und Betrieb</w:t>
            </w:r>
          </w:p>
        </w:tc>
        <w:tc>
          <w:tcPr>
            <w:tcW w:type="dxa" w:w="3960"/>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Bestehende Standortseiten besitzen eigene Pfad-URLs. [2, 3]</w:t>
            </w:r>
          </w:p>
        </w:tc>
        <w:tc>
          <w:tcPr>
            <w:tcW w:type="dxa" w:w="4824"/>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Der Entwurf nutzt derzeit Hash-URLs. Produktions-URLs, Indexierung, Abnahme und Deployment werden im Projekt umgesetzt.</w:t>
            </w:r>
          </w:p>
        </w:tc>
      </w:tr>
    </w:tbl>
    <w:p>
      <w:pPr>
        <w:spacing w:after="20"/>
      </w:pPr>
    </w:p>
    <w:p>
      <w:pPr>
        <w:pStyle w:val="Heading2"/>
      </w:pPr>
      <w:r>
        <w:t>Redaktionelle Punkte zur gemeinsamen Klärung</w:t>
      </w:r>
    </w:p>
    <w:p>
      <w:pPr>
        <w:pStyle w:val="ListBullet"/>
      </w:pPr>
      <w:r>
        <w:rPr>
          <w:b w:val="0"/>
        </w:rPr>
        <w:t>Die Startseite verwendet in zwei Abschnitten die Zahlen 120 und 115 für die Standorte. ARTEMIS sollte einen einheitlichen aktuellen Stand bestätigen. [1]</w:t>
      </w:r>
    </w:p>
    <w:p>
      <w:pPr>
        <w:pStyle w:val="ListBullet"/>
      </w:pPr>
      <w:r>
        <w:rPr>
          <w:b w:val="0"/>
        </w:rPr>
        <w:t>Die Leverkusener Einleitung nennt eine andere Leitungsangabe als der Teamabschnitt. Namen, Rollen und Zuständigkeiten werden vor Veröffentlichung gemeinsam abgeglichen. [2]</w:t>
      </w:r>
    </w:p>
    <w:p>
      <w:r>
        <w:rPr>
          <w:b w:val="0"/>
          <w:sz w:val="18"/>
        </w:rPr>
        <w:t>Prüfstand: öffentliche Text- und Linkinhalte vom 08.10.2026; keine Messung von Ladezeit, Conversion oder tatsächlicher Nutzung. Quellen [1] bis [3] sind auf der letzten Seite aufgeführt.</w:t>
      </w:r>
    </w:p>
    <w:p>
      <w:r>
        <w:br w:type="page"/>
      </w:r>
    </w:p>
    <w:p>
      <w:pPr>
        <w:pStyle w:val="Heading1"/>
      </w:pPr>
      <w:r>
        <w:t>Leistungsumfang und Ablauf</w:t>
      </w:r>
    </w:p>
    <w:p>
      <w:pPr>
        <w:pStyle w:val="Heading2"/>
      </w:pPr>
      <w:r>
        <w:t>Seiten und Inhalte</w:t>
      </w:r>
    </w:p>
    <w:p>
      <w:r>
        <w:rPr>
          <w:b w:val="0"/>
        </w:rPr>
        <w:t>Der Festpreisvorschlag umfasst die vorhandenen Inhaltsmodule in deutscher Sprache mit bis zu 35 Seitenansichten:</w:t>
      </w:r>
    </w:p>
    <w:p>
      <w:pPr>
        <w:pStyle w:val="ListBullet"/>
      </w:pPr>
      <w:r>
        <w:rPr>
          <w:b w:val="0"/>
        </w:rPr>
        <w:t>Startseite sowie Standortübersicht und zwei Standortdetails mit Kontakt, Öffnungszeiten, Leistungen und Anfahrt.</w:t>
      </w:r>
    </w:p>
    <w:p>
      <w:pPr>
        <w:pStyle w:val="ListBullet"/>
      </w:pPr>
      <w:r>
        <w:rPr>
          <w:b w:val="0"/>
        </w:rPr>
        <w:t>Teamübersicht und bis zu fünf Profile; sechs Behandlungsthemen, drei Diagnostikthemen und neun kurze Krankheitsinformationen mit den jeweiligen Übersichten.</w:t>
      </w:r>
    </w:p>
    <w:p>
      <w:pPr>
        <w:pStyle w:val="ListBullet"/>
      </w:pPr>
      <w:r>
        <w:rPr>
          <w:b w:val="0"/>
        </w:rPr>
        <w:t>Patienteninformationen, Akuthinweise und zwei Einstiege zu den freigegebenen rechtlichen Informationen; Seitensuche und Standortauswahl für die Terminvereinbarung.</w:t>
      </w:r>
    </w:p>
    <w:p>
      <w:pPr>
        <w:pStyle w:val="ListBullet"/>
      </w:pPr>
      <w:r>
        <w:rPr>
          <w:b w:val="0"/>
        </w:rPr>
        <w:t>Einbau von bis zu zehn durch ARTEMIS bereitgestellten und freigegebenen Bildern; keine Fotoproduktion.</w:t>
      </w:r>
    </w:p>
    <w:p>
      <w:pPr>
        <w:pStyle w:val="Heading2"/>
      </w:pPr>
      <w:r>
        <w:t>Technische Lieferung</w:t>
      </w:r>
    </w:p>
    <w:p>
      <w:r>
        <w:rPr>
          <w:b w:val="0"/>
        </w:rPr>
        <w:t>Wir finalisieren die responsive Oberfläche, übernehmen bestätigte Standortdaten und binden die vorhandenen externen Termin- und Kontaktwege ein. Zum Produktionsumfang gehören indexierbare Pfad-URLs, geeignete Seitenausgabe, Metadaten, Canonicals, Sitemap, Fehlerseite und strukturierte Standortdaten. Für tatsächlich ersetzte Seiten wird eine Weiterleitungsliste erstellt und auf dem freigegebenen Host umgesetzt.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2"/>
        <w:gridCol w:w="7272"/>
        <w:gridCol w:w="2160"/>
      </w:tblGrid>
      <w:tr>
        <w:trPr>
          <w:tblHeader/>
          <w:cantSplit/>
        </w:trPr>
        <w:tc>
          <w:tcPr>
            <w:tcW w:type="dxa" w:w="792"/>
            <w:vAlign w:val="center"/>
            <w:tcMar>
              <w:top w:w="95" w:type="dxa"/>
              <w:left w:w="95" w:type="dxa"/>
              <w:bottom w:w="95" w:type="dxa"/>
              <w:right w:w="95" w:type="dxa"/>
            </w:tcMar>
            <w:shd w:fill="173448"/>
          </w:tcPr>
          <w:p>
            <w:pPr>
              <w:spacing w:after="0" w:line="264" w:lineRule="auto"/>
              <w:jc w:val="left"/>
            </w:pPr>
            <w:r>
              <w:rPr>
                <w:rFonts w:ascii="Arial" w:hAnsi="Arial"/>
                <w:b/>
                <w:color w:val="FFFFFF"/>
                <w:sz w:val="19"/>
              </w:rPr>
              <w:t>Phase</w:t>
            </w:r>
          </w:p>
        </w:tc>
        <w:tc>
          <w:tcPr>
            <w:tcW w:type="dxa" w:w="7272"/>
            <w:vAlign w:val="center"/>
            <w:tcMar>
              <w:top w:w="95" w:type="dxa"/>
              <w:left w:w="95" w:type="dxa"/>
              <w:bottom w:w="95" w:type="dxa"/>
              <w:right w:w="95" w:type="dxa"/>
            </w:tcMar>
            <w:shd w:fill="173448"/>
          </w:tcPr>
          <w:p>
            <w:pPr>
              <w:spacing w:after="0" w:line="264" w:lineRule="auto"/>
              <w:jc w:val="left"/>
            </w:pPr>
            <w:r>
              <w:rPr>
                <w:rFonts w:ascii="Arial" w:hAnsi="Arial"/>
                <w:b/>
                <w:color w:val="FFFFFF"/>
                <w:sz w:val="19"/>
              </w:rPr>
              <w:t>Arbeit und Freigabe</w:t>
            </w:r>
          </w:p>
        </w:tc>
        <w:tc>
          <w:tcPr>
            <w:tcW w:type="dxa" w:w="2160"/>
            <w:vAlign w:val="center"/>
            <w:tcMar>
              <w:top w:w="95" w:type="dxa"/>
              <w:left w:w="95" w:type="dxa"/>
              <w:bottom w:w="95" w:type="dxa"/>
              <w:right w:w="95" w:type="dxa"/>
            </w:tcMar>
            <w:shd w:fill="173448"/>
          </w:tcPr>
          <w:p>
            <w:pPr>
              <w:spacing w:after="0" w:line="264" w:lineRule="auto"/>
              <w:jc w:val="left"/>
            </w:pPr>
            <w:r>
              <w:rPr>
                <w:rFonts w:ascii="Arial" w:hAnsi="Arial"/>
                <w:b/>
                <w:color w:val="FFFFFF"/>
                <w:sz w:val="19"/>
              </w:rPr>
              <w:t>Planung</w:t>
            </w:r>
          </w:p>
        </w:tc>
      </w:tr>
      <w:tr>
        <w:trPr>
          <w:cantSplit/>
        </w:trPr>
        <w:tc>
          <w:tcPr>
            <w:tcW w:type="dxa" w:w="792"/>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1</w:t>
            </w:r>
          </w:p>
        </w:tc>
        <w:tc>
          <w:tcPr>
            <w:tcW w:type="dxa" w:w="7272"/>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Inhalte, Verantwortliche, Hosting und Einbindung bestätigen</w:t>
            </w:r>
          </w:p>
        </w:tc>
        <w:tc>
          <w:tcPr>
            <w:tcW w:type="dxa" w:w="2160"/>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Woche 1</w:t>
            </w:r>
          </w:p>
        </w:tc>
      </w:tr>
      <w:tr>
        <w:trPr>
          <w:cantSplit/>
        </w:trPr>
        <w:tc>
          <w:tcPr>
            <w:tcW w:type="dxa" w:w="792"/>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2</w:t>
            </w:r>
          </w:p>
        </w:tc>
        <w:tc>
          <w:tcPr>
            <w:tcW w:type="dxa" w:w="7272"/>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Gestaltung und Inhalte finalisieren; erste Korrekturrunde</w:t>
            </w:r>
          </w:p>
        </w:tc>
        <w:tc>
          <w:tcPr>
            <w:tcW w:type="dxa" w:w="2160"/>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Woche 1 bis 2</w:t>
            </w:r>
          </w:p>
        </w:tc>
      </w:tr>
      <w:tr>
        <w:trPr>
          <w:cantSplit/>
        </w:trPr>
        <w:tc>
          <w:tcPr>
            <w:tcW w:type="dxa" w:w="792"/>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3</w:t>
            </w:r>
          </w:p>
        </w:tc>
        <w:tc>
          <w:tcPr>
            <w:tcW w:type="dxa" w:w="7272"/>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Seitenstruktur, Terminwege und zweite Korrekturrunde</w:t>
            </w:r>
          </w:p>
        </w:tc>
        <w:tc>
          <w:tcPr>
            <w:tcW w:type="dxa" w:w="2160"/>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Woche 2 bis 3</w:t>
            </w:r>
          </w:p>
        </w:tc>
      </w:tr>
      <w:tr>
        <w:trPr>
          <w:cantSplit/>
        </w:trPr>
        <w:tc>
          <w:tcPr>
            <w:tcW w:type="dxa" w:w="792"/>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4</w:t>
            </w:r>
          </w:p>
        </w:tc>
        <w:tc>
          <w:tcPr>
            <w:tcW w:type="dxa" w:w="7272"/>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Browserprüfung, Abnahme, Veröffentlichung und Übergabe</w:t>
            </w:r>
          </w:p>
        </w:tc>
        <w:tc>
          <w:tcPr>
            <w:tcW w:type="dxa" w:w="2160"/>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Woche 3 bis 4</w:t>
            </w:r>
          </w:p>
        </w:tc>
      </w:tr>
    </w:tbl>
    <w:p>
      <w:pPr>
        <w:spacing w:after="20"/>
      </w:pPr>
    </w:p>
    <w:p>
      <w:pPr>
        <w:pStyle w:val="Heading2"/>
      </w:pPr>
      <w:r>
        <w:t>Technische Basis und Grenzen</w:t>
      </w:r>
    </w:p>
    <w:p>
      <w:r>
        <w:rPr>
          <w:b w:val="0"/>
          <w:sz w:val="20"/>
        </w:rPr>
        <w:t>Kalkuliert ist ein eigenständiger regionaler Auftritt auf einem freigegebenen Host. Der Einbau in ein bestehendes zentrales CMS wird vor der finalen Preisbestätigung geprüft. Ein nationaler Relaunch, ein CMS, ein Patientenportal, eigene Formularverarbeitung, ein Buchungsbackend, Übersetzungen und laufende Kampagnen sind zusätzliche Aufträge.</w:t>
      </w:r>
    </w:p>
    <w:p>
      <w:r>
        <w:rPr>
          <w:b w:val="0"/>
          <w:sz w:val="20"/>
        </w:rPr>
        <w:t>Die Zeitplanung beginnt nach schriftlicher Beauftragung, Startzahlung sowie Bereitstellung der erforderlichen Zugänge und freigegebenen Materialien. Wartezeiten auf Freigaben oder externe Dienstleister verschieben die Termine entsprechend.</w:t>
      </w:r>
    </w:p>
    <w:p>
      <w:r>
        <w:br w:type="page"/>
      </w:r>
    </w:p>
    <w:p>
      <w:pPr>
        <w:pStyle w:val="Heading1"/>
      </w:pPr>
      <w:r>
        <w:t>Investition und Zahlungsplan</w:t>
      </w:r>
    </w:p>
    <w:p>
      <w:r>
        <w:rPr>
          <w:b w:val="0"/>
        </w:rPr>
        <w:t>Der folgende Preis ist ein Vorschlag für den auf Seite 3 beschriebenen Standortumfang. Zusätzliche Anforderungen werden vor Umsetzung mit Aufwand und Preis schriftlich abgestimmt.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6696"/>
        <w:gridCol w:w="1080"/>
      </w:tblGrid>
      <w:tr>
        <w:trPr>
          <w:tblHeader/>
          <w:cantSplit/>
        </w:trPr>
        <w:tc>
          <w:tcPr>
            <w:tcW w:type="dxa" w:w="2448"/>
            <w:vAlign w:val="center"/>
            <w:tcMar>
              <w:top w:w="95" w:type="dxa"/>
              <w:left w:w="95" w:type="dxa"/>
              <w:bottom w:w="95" w:type="dxa"/>
              <w:right w:w="95" w:type="dxa"/>
            </w:tcMar>
            <w:shd w:fill="173448"/>
          </w:tcPr>
          <w:p>
            <w:pPr>
              <w:spacing w:after="0" w:line="264" w:lineRule="auto"/>
              <w:jc w:val="left"/>
            </w:pPr>
            <w:r>
              <w:rPr>
                <w:rFonts w:ascii="Arial" w:hAnsi="Arial"/>
                <w:b/>
                <w:color w:val="FFFFFF"/>
                <w:sz w:val="19"/>
              </w:rPr>
              <w:t>Leistung</w:t>
            </w:r>
          </w:p>
        </w:tc>
        <w:tc>
          <w:tcPr>
            <w:tcW w:type="dxa" w:w="6696"/>
            <w:vAlign w:val="center"/>
            <w:tcMar>
              <w:top w:w="95" w:type="dxa"/>
              <w:left w:w="95" w:type="dxa"/>
              <w:bottom w:w="95" w:type="dxa"/>
              <w:right w:w="95" w:type="dxa"/>
            </w:tcMar>
            <w:shd w:fill="173448"/>
          </w:tcPr>
          <w:p>
            <w:pPr>
              <w:spacing w:after="0" w:line="264" w:lineRule="auto"/>
              <w:jc w:val="left"/>
            </w:pPr>
            <w:r>
              <w:rPr>
                <w:rFonts w:ascii="Arial" w:hAnsi="Arial"/>
                <w:b/>
                <w:color w:val="FFFFFF"/>
                <w:sz w:val="19"/>
              </w:rPr>
              <w:t>Enthaltene Arbeit</w:t>
            </w:r>
          </w:p>
        </w:tc>
        <w:tc>
          <w:tcPr>
            <w:tcW w:type="dxa" w:w="1080"/>
            <w:vAlign w:val="center"/>
            <w:tcMar>
              <w:top w:w="95" w:type="dxa"/>
              <w:left w:w="95" w:type="dxa"/>
              <w:bottom w:w="95" w:type="dxa"/>
              <w:right w:w="95" w:type="dxa"/>
            </w:tcMar>
            <w:shd w:fill="173448"/>
          </w:tcPr>
          <w:p>
            <w:pPr>
              <w:spacing w:after="0" w:line="264" w:lineRule="auto"/>
              <w:jc w:val="right"/>
            </w:pPr>
            <w:r>
              <w:rPr>
                <w:rFonts w:ascii="Arial" w:hAnsi="Arial"/>
                <w:b/>
                <w:color w:val="FFFFFF"/>
                <w:sz w:val="19"/>
              </w:rPr>
              <w:t>EUR</w:t>
            </w:r>
          </w:p>
        </w:tc>
      </w:tr>
      <w:tr>
        <w:trPr>
          <w:cantSplit/>
        </w:trPr>
        <w:tc>
          <w:tcPr>
            <w:tcW w:type="dxa" w:w="2448"/>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Projektklärung und Inhaltsinventar</w:t>
            </w:r>
          </w:p>
        </w:tc>
        <w:tc>
          <w:tcPr>
            <w:tcW w:type="dxa" w:w="6696"/>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Standorte, Seitenumfang, Verantwortlichkeiten und technische Einbindung festlegen.</w:t>
            </w:r>
          </w:p>
        </w:tc>
        <w:tc>
          <w:tcPr>
            <w:tcW w:type="dxa" w:w="1080"/>
            <w:vAlign w:val="center"/>
            <w:tcMar>
              <w:top w:w="95" w:type="dxa"/>
              <w:left w:w="95" w:type="dxa"/>
              <w:bottom w:w="95" w:type="dxa"/>
              <w:right w:w="95" w:type="dxa"/>
            </w:tcMar>
            <w:shd w:fill="F2F6F8"/>
          </w:tcPr>
          <w:p>
            <w:pPr>
              <w:spacing w:after="0" w:line="264" w:lineRule="auto"/>
              <w:jc w:val="right"/>
            </w:pPr>
            <w:r>
              <w:rPr>
                <w:rFonts w:ascii="Arial" w:hAnsi="Arial"/>
                <w:b w:val="0"/>
                <w:color w:val="000000"/>
                <w:sz w:val="19"/>
              </w:rPr>
              <w:t>450</w:t>
            </w:r>
          </w:p>
        </w:tc>
      </w:tr>
      <w:tr>
        <w:trPr>
          <w:cantSplit/>
        </w:trPr>
        <w:tc>
          <w:tcPr>
            <w:tcW w:type="dxa" w:w="2448"/>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Gestaltung und Nutzerführung</w:t>
            </w:r>
          </w:p>
        </w:tc>
        <w:tc>
          <w:tcPr>
            <w:tcW w:type="dxa" w:w="6696"/>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Responsive Seitentemplates, Navigation, Kontaktwege und zwei gebündelte Korrekturrunden.</w:t>
            </w:r>
          </w:p>
        </w:tc>
        <w:tc>
          <w:tcPr>
            <w:tcW w:type="dxa" w:w="1080"/>
            <w:vAlign w:val="center"/>
            <w:tcMar>
              <w:top w:w="95" w:type="dxa"/>
              <w:left w:w="95" w:type="dxa"/>
              <w:bottom w:w="95" w:type="dxa"/>
              <w:right w:w="95" w:type="dxa"/>
            </w:tcMar>
            <w:shd w:fill="FFFFFF"/>
          </w:tcPr>
          <w:p>
            <w:pPr>
              <w:spacing w:after="0" w:line="264" w:lineRule="auto"/>
              <w:jc w:val="right"/>
            </w:pPr>
            <w:r>
              <w:rPr>
                <w:rFonts w:ascii="Arial" w:hAnsi="Arial"/>
                <w:b w:val="0"/>
                <w:color w:val="000000"/>
                <w:sz w:val="19"/>
              </w:rPr>
              <w:t>1.100</w:t>
            </w:r>
          </w:p>
        </w:tc>
      </w:tr>
      <w:tr>
        <w:trPr>
          <w:cantSplit/>
        </w:trPr>
        <w:tc>
          <w:tcPr>
            <w:tcW w:type="dxa" w:w="2448"/>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Deutsche Inhalte und Standortdaten</w:t>
            </w:r>
          </w:p>
        </w:tc>
        <w:tc>
          <w:tcPr>
            <w:tcW w:type="dxa" w:w="6696"/>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Vorhandene Texte redaktionell bearbeiten und Freigaben zu Leistungen und Team einarbeiten.</w:t>
            </w:r>
          </w:p>
        </w:tc>
        <w:tc>
          <w:tcPr>
            <w:tcW w:type="dxa" w:w="1080"/>
            <w:vAlign w:val="center"/>
            <w:tcMar>
              <w:top w:w="95" w:type="dxa"/>
              <w:left w:w="95" w:type="dxa"/>
              <w:bottom w:w="95" w:type="dxa"/>
              <w:right w:w="95" w:type="dxa"/>
            </w:tcMar>
            <w:shd w:fill="F2F6F8"/>
          </w:tcPr>
          <w:p>
            <w:pPr>
              <w:spacing w:after="0" w:line="264" w:lineRule="auto"/>
              <w:jc w:val="right"/>
            </w:pPr>
            <w:r>
              <w:rPr>
                <w:rFonts w:ascii="Arial" w:hAnsi="Arial"/>
                <w:b w:val="0"/>
                <w:color w:val="000000"/>
                <w:sz w:val="19"/>
              </w:rPr>
              <w:t>750</w:t>
            </w:r>
          </w:p>
        </w:tc>
      </w:tr>
      <w:tr>
        <w:trPr>
          <w:cantSplit/>
        </w:trPr>
        <w:tc>
          <w:tcPr>
            <w:tcW w:type="dxa" w:w="2448"/>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Frontend und Terminwege</w:t>
            </w:r>
          </w:p>
        </w:tc>
        <w:tc>
          <w:tcPr>
            <w:tcW w:type="dxa" w:w="6696"/>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Vereinbarte Seiten umsetzen; vorhandenen samedi-Link, Telefon und Routenlinks einbinden.</w:t>
            </w:r>
          </w:p>
        </w:tc>
        <w:tc>
          <w:tcPr>
            <w:tcW w:type="dxa" w:w="1080"/>
            <w:vAlign w:val="center"/>
            <w:tcMar>
              <w:top w:w="95" w:type="dxa"/>
              <w:left w:w="95" w:type="dxa"/>
              <w:bottom w:w="95" w:type="dxa"/>
              <w:right w:w="95" w:type="dxa"/>
            </w:tcMar>
            <w:shd w:fill="FFFFFF"/>
          </w:tcPr>
          <w:p>
            <w:pPr>
              <w:spacing w:after="0" w:line="264" w:lineRule="auto"/>
              <w:jc w:val="right"/>
            </w:pPr>
            <w:r>
              <w:rPr>
                <w:rFonts w:ascii="Arial" w:hAnsi="Arial"/>
                <w:b w:val="0"/>
                <w:color w:val="000000"/>
                <w:sz w:val="19"/>
              </w:rPr>
              <w:t>1.100</w:t>
            </w:r>
          </w:p>
        </w:tc>
      </w:tr>
      <w:tr>
        <w:trPr>
          <w:cantSplit/>
        </w:trPr>
        <w:tc>
          <w:tcPr>
            <w:tcW w:type="dxa" w:w="2448"/>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Seitenstruktur und technische SEO</w:t>
            </w:r>
          </w:p>
        </w:tc>
        <w:tc>
          <w:tcPr>
            <w:tcW w:type="dxa" w:w="6696"/>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Pfad-URLs, Rendering, Metadaten, Canonicals, Sitemap und vereinbarte Weiterleitungen.</w:t>
            </w:r>
          </w:p>
        </w:tc>
        <w:tc>
          <w:tcPr>
            <w:tcW w:type="dxa" w:w="1080"/>
            <w:vAlign w:val="center"/>
            <w:tcMar>
              <w:top w:w="95" w:type="dxa"/>
              <w:left w:w="95" w:type="dxa"/>
              <w:bottom w:w="95" w:type="dxa"/>
              <w:right w:w="95" w:type="dxa"/>
            </w:tcMar>
            <w:shd w:fill="F2F6F8"/>
          </w:tcPr>
          <w:p>
            <w:pPr>
              <w:spacing w:after="0" w:line="264" w:lineRule="auto"/>
              <w:jc w:val="right"/>
            </w:pPr>
            <w:r>
              <w:rPr>
                <w:rFonts w:ascii="Arial" w:hAnsi="Arial"/>
                <w:b w:val="0"/>
                <w:color w:val="000000"/>
                <w:sz w:val="19"/>
              </w:rPr>
              <w:t>650</w:t>
            </w:r>
          </w:p>
        </w:tc>
      </w:tr>
      <w:tr>
        <w:trPr>
          <w:cantSplit/>
        </w:trPr>
        <w:tc>
          <w:tcPr>
            <w:tcW w:type="dxa" w:w="2448"/>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Qualitätssicherung und Abnahme</w:t>
            </w:r>
          </w:p>
        </w:tc>
        <w:tc>
          <w:tcPr>
            <w:tcW w:type="dxa" w:w="6696"/>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Browser-, Mobil- und Tastaturprüfung, Linkkontrolle sowie Korrektur dokumentierter Fehler.</w:t>
            </w:r>
          </w:p>
        </w:tc>
        <w:tc>
          <w:tcPr>
            <w:tcW w:type="dxa" w:w="1080"/>
            <w:vAlign w:val="center"/>
            <w:tcMar>
              <w:top w:w="95" w:type="dxa"/>
              <w:left w:w="95" w:type="dxa"/>
              <w:bottom w:w="95" w:type="dxa"/>
              <w:right w:w="95" w:type="dxa"/>
            </w:tcMar>
            <w:shd w:fill="FFFFFF"/>
          </w:tcPr>
          <w:p>
            <w:pPr>
              <w:spacing w:after="0" w:line="264" w:lineRule="auto"/>
              <w:jc w:val="right"/>
            </w:pPr>
            <w:r>
              <w:rPr>
                <w:rFonts w:ascii="Arial" w:hAnsi="Arial"/>
                <w:b w:val="0"/>
                <w:color w:val="000000"/>
                <w:sz w:val="19"/>
              </w:rPr>
              <w:t>550</w:t>
            </w:r>
          </w:p>
        </w:tc>
      </w:tr>
      <w:tr>
        <w:trPr>
          <w:cantSplit/>
        </w:trPr>
        <w:tc>
          <w:tcPr>
            <w:tcW w:type="dxa" w:w="2448"/>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Veröffentlichung und Übergabe</w:t>
            </w:r>
          </w:p>
        </w:tc>
        <w:tc>
          <w:tcPr>
            <w:tcW w:type="dxa" w:w="6696"/>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Ein freigegebenes Deployment, Quellcode, Dokumentation und Übergabegespräch.</w:t>
            </w:r>
          </w:p>
        </w:tc>
        <w:tc>
          <w:tcPr>
            <w:tcW w:type="dxa" w:w="1080"/>
            <w:vAlign w:val="center"/>
            <w:tcMar>
              <w:top w:w="95" w:type="dxa"/>
              <w:left w:w="95" w:type="dxa"/>
              <w:bottom w:w="95" w:type="dxa"/>
              <w:right w:w="95" w:type="dxa"/>
            </w:tcMar>
            <w:shd w:fill="F2F6F8"/>
          </w:tcPr>
          <w:p>
            <w:pPr>
              <w:spacing w:after="0" w:line="264" w:lineRule="auto"/>
              <w:jc w:val="right"/>
            </w:pPr>
            <w:r>
              <w:rPr>
                <w:rFonts w:ascii="Arial" w:hAnsi="Arial"/>
                <w:b w:val="0"/>
                <w:color w:val="000000"/>
                <w:sz w:val="19"/>
              </w:rPr>
              <w:t>350</w:t>
            </w:r>
          </w:p>
        </w:tc>
      </w:tr>
      <w:tr>
        <w:trPr>
          <w:cantSplit/>
        </w:trPr>
        <w:tc>
          <w:tcPr>
            <w:tcW w:type="dxa" w:w="2448"/>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Projektgesamtpreis</w:t>
            </w:r>
          </w:p>
        </w:tc>
        <w:tc>
          <w:tcPr>
            <w:tcW w:type="dxa" w:w="6696"/>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Vorgeschlagener Festpreis</w:t>
            </w:r>
          </w:p>
        </w:tc>
        <w:tc>
          <w:tcPr>
            <w:tcW w:type="dxa" w:w="1080"/>
            <w:vAlign w:val="center"/>
            <w:tcMar>
              <w:top w:w="95" w:type="dxa"/>
              <w:left w:w="95" w:type="dxa"/>
              <w:bottom w:w="95" w:type="dxa"/>
              <w:right w:w="95" w:type="dxa"/>
            </w:tcMar>
            <w:shd w:fill="FFFFFF"/>
          </w:tcPr>
          <w:p>
            <w:pPr>
              <w:spacing w:after="0" w:line="264" w:lineRule="auto"/>
              <w:jc w:val="right"/>
            </w:pPr>
            <w:r>
              <w:rPr>
                <w:rFonts w:ascii="Arial" w:hAnsi="Arial"/>
                <w:b w:val="0"/>
                <w:color w:val="000000"/>
                <w:sz w:val="19"/>
              </w:rPr>
              <w:t>4.950</w:t>
            </w:r>
          </w:p>
        </w:tc>
      </w:tr>
    </w:tbl>
    <w:p>
      <w:pPr>
        <w:spacing w:after="20"/>
      </w:pPr>
    </w:p>
    <w:p>
      <w:pPr>
        <w:pStyle w:val="Heading2"/>
      </w:pPr>
      <w:r>
        <w:t>Zahlung nach Meilensteinen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704"/>
        <w:gridCol w:w="1152"/>
        <w:gridCol w:w="1368"/>
      </w:tblGrid>
      <w:tr>
        <w:trPr>
          <w:tblHeader/>
          <w:cantSplit/>
        </w:trPr>
        <w:tc>
          <w:tcPr>
            <w:tcW w:type="dxa" w:w="7704"/>
            <w:vAlign w:val="center"/>
            <w:tcMar>
              <w:top w:w="95" w:type="dxa"/>
              <w:left w:w="95" w:type="dxa"/>
              <w:bottom w:w="95" w:type="dxa"/>
              <w:right w:w="95" w:type="dxa"/>
            </w:tcMar>
            <w:shd w:fill="173448"/>
          </w:tcPr>
          <w:p>
            <w:pPr>
              <w:spacing w:after="0" w:line="264" w:lineRule="auto"/>
              <w:jc w:val="left"/>
            </w:pPr>
            <w:r>
              <w:rPr>
                <w:rFonts w:ascii="Arial" w:hAnsi="Arial"/>
                <w:b/>
                <w:color w:val="FFFFFF"/>
                <w:sz w:val="19"/>
              </w:rPr>
              <w:t>Meilenstein</w:t>
            </w:r>
          </w:p>
        </w:tc>
        <w:tc>
          <w:tcPr>
            <w:tcW w:type="dxa" w:w="1152"/>
            <w:vAlign w:val="center"/>
            <w:tcMar>
              <w:top w:w="95" w:type="dxa"/>
              <w:left w:w="95" w:type="dxa"/>
              <w:bottom w:w="95" w:type="dxa"/>
              <w:right w:w="95" w:type="dxa"/>
            </w:tcMar>
            <w:shd w:fill="173448"/>
          </w:tcPr>
          <w:p>
            <w:pPr>
              <w:spacing w:after="0" w:line="264" w:lineRule="auto"/>
              <w:jc w:val="right"/>
            </w:pPr>
            <w:r>
              <w:rPr>
                <w:rFonts w:ascii="Arial" w:hAnsi="Arial"/>
                <w:b/>
                <w:color w:val="FFFFFF"/>
                <w:sz w:val="19"/>
              </w:rPr>
              <w:t>Anteil</w:t>
            </w:r>
          </w:p>
        </w:tc>
        <w:tc>
          <w:tcPr>
            <w:tcW w:type="dxa" w:w="1368"/>
            <w:vAlign w:val="center"/>
            <w:tcMar>
              <w:top w:w="95" w:type="dxa"/>
              <w:left w:w="95" w:type="dxa"/>
              <w:bottom w:w="95" w:type="dxa"/>
              <w:right w:w="95" w:type="dxa"/>
            </w:tcMar>
            <w:shd w:fill="173448"/>
          </w:tcPr>
          <w:p>
            <w:pPr>
              <w:spacing w:after="0" w:line="264" w:lineRule="auto"/>
              <w:jc w:val="right"/>
            </w:pPr>
            <w:r>
              <w:rPr>
                <w:rFonts w:ascii="Arial" w:hAnsi="Arial"/>
                <w:b/>
                <w:color w:val="FFFFFF"/>
                <w:sz w:val="19"/>
              </w:rPr>
              <w:t>EUR</w:t>
            </w:r>
          </w:p>
        </w:tc>
      </w:tr>
      <w:tr>
        <w:trPr>
          <w:cantSplit/>
        </w:trPr>
        <w:tc>
          <w:tcPr>
            <w:tcW w:type="dxa" w:w="7704"/>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Schriftliche Beauftragung und Projektstart</w:t>
            </w:r>
          </w:p>
        </w:tc>
        <w:tc>
          <w:tcPr>
            <w:tcW w:type="dxa" w:w="1152"/>
            <w:vAlign w:val="center"/>
            <w:tcMar>
              <w:top w:w="95" w:type="dxa"/>
              <w:left w:w="95" w:type="dxa"/>
              <w:bottom w:w="95" w:type="dxa"/>
              <w:right w:w="95" w:type="dxa"/>
            </w:tcMar>
            <w:shd w:fill="F2F6F8"/>
          </w:tcPr>
          <w:p>
            <w:pPr>
              <w:spacing w:after="0" w:line="264" w:lineRule="auto"/>
              <w:jc w:val="right"/>
            </w:pPr>
            <w:r>
              <w:rPr>
                <w:rFonts w:ascii="Arial" w:hAnsi="Arial"/>
                <w:b w:val="0"/>
                <w:color w:val="000000"/>
                <w:sz w:val="19"/>
              </w:rPr>
              <w:t>30 %</w:t>
            </w:r>
          </w:p>
        </w:tc>
        <w:tc>
          <w:tcPr>
            <w:tcW w:type="dxa" w:w="1368"/>
            <w:vAlign w:val="center"/>
            <w:tcMar>
              <w:top w:w="95" w:type="dxa"/>
              <w:left w:w="95" w:type="dxa"/>
              <w:bottom w:w="95" w:type="dxa"/>
              <w:right w:w="95" w:type="dxa"/>
            </w:tcMar>
            <w:shd w:fill="F2F6F8"/>
          </w:tcPr>
          <w:p>
            <w:pPr>
              <w:spacing w:after="0" w:line="264" w:lineRule="auto"/>
              <w:jc w:val="right"/>
            </w:pPr>
            <w:r>
              <w:rPr>
                <w:rFonts w:ascii="Arial" w:hAnsi="Arial"/>
                <w:b w:val="0"/>
                <w:color w:val="000000"/>
                <w:sz w:val="19"/>
              </w:rPr>
              <w:t>1.485</w:t>
            </w:r>
          </w:p>
        </w:tc>
      </w:tr>
      <w:tr>
        <w:trPr>
          <w:cantSplit/>
        </w:trPr>
        <w:tc>
          <w:tcPr>
            <w:tcW w:type="dxa" w:w="7704"/>
            <w:vAlign w:val="center"/>
            <w:tcMar>
              <w:top w:w="95" w:type="dxa"/>
              <w:left w:w="95" w:type="dxa"/>
              <w:bottom w:w="95" w:type="dxa"/>
              <w:right w:w="95" w:type="dxa"/>
            </w:tcMar>
            <w:shd w:fill="FFFFFF"/>
          </w:tcPr>
          <w:p>
            <w:pPr>
              <w:spacing w:after="0" w:line="264" w:lineRule="auto"/>
              <w:jc w:val="left"/>
            </w:pPr>
            <w:r>
              <w:rPr>
                <w:rFonts w:ascii="Arial" w:hAnsi="Arial"/>
                <w:b w:val="0"/>
                <w:color w:val="000000"/>
                <w:sz w:val="19"/>
              </w:rPr>
              <w:t>Freigabe der vereinbarten Umsetzung auf der Testumgebung</w:t>
            </w:r>
          </w:p>
        </w:tc>
        <w:tc>
          <w:tcPr>
            <w:tcW w:type="dxa" w:w="1152"/>
            <w:vAlign w:val="center"/>
            <w:tcMar>
              <w:top w:w="95" w:type="dxa"/>
              <w:left w:w="95" w:type="dxa"/>
              <w:bottom w:w="95" w:type="dxa"/>
              <w:right w:w="95" w:type="dxa"/>
            </w:tcMar>
            <w:shd w:fill="FFFFFF"/>
          </w:tcPr>
          <w:p>
            <w:pPr>
              <w:spacing w:after="0" w:line="264" w:lineRule="auto"/>
              <w:jc w:val="right"/>
            </w:pPr>
            <w:r>
              <w:rPr>
                <w:rFonts w:ascii="Arial" w:hAnsi="Arial"/>
                <w:b w:val="0"/>
                <w:color w:val="000000"/>
                <w:sz w:val="19"/>
              </w:rPr>
              <w:t>40 %</w:t>
            </w:r>
          </w:p>
        </w:tc>
        <w:tc>
          <w:tcPr>
            <w:tcW w:type="dxa" w:w="1368"/>
            <w:vAlign w:val="center"/>
            <w:tcMar>
              <w:top w:w="95" w:type="dxa"/>
              <w:left w:w="95" w:type="dxa"/>
              <w:bottom w:w="95" w:type="dxa"/>
              <w:right w:w="95" w:type="dxa"/>
            </w:tcMar>
            <w:shd w:fill="FFFFFF"/>
          </w:tcPr>
          <w:p>
            <w:pPr>
              <w:spacing w:after="0" w:line="264" w:lineRule="auto"/>
              <w:jc w:val="right"/>
            </w:pPr>
            <w:r>
              <w:rPr>
                <w:rFonts w:ascii="Arial" w:hAnsi="Arial"/>
                <w:b w:val="0"/>
                <w:color w:val="000000"/>
                <w:sz w:val="19"/>
              </w:rPr>
              <w:t>1.980</w:t>
            </w:r>
          </w:p>
        </w:tc>
      </w:tr>
      <w:tr>
        <w:trPr>
          <w:cantSplit/>
        </w:trPr>
        <w:tc>
          <w:tcPr>
            <w:tcW w:type="dxa" w:w="7704"/>
            <w:vAlign w:val="center"/>
            <w:tcMar>
              <w:top w:w="95" w:type="dxa"/>
              <w:left w:w="95" w:type="dxa"/>
              <w:bottom w:w="95" w:type="dxa"/>
              <w:right w:w="95" w:type="dxa"/>
            </w:tcMar>
            <w:shd w:fill="F2F6F8"/>
          </w:tcPr>
          <w:p>
            <w:pPr>
              <w:spacing w:after="0" w:line="264" w:lineRule="auto"/>
              <w:jc w:val="left"/>
            </w:pPr>
            <w:r>
              <w:rPr>
                <w:rFonts w:ascii="Arial" w:hAnsi="Arial"/>
                <w:b w:val="0"/>
                <w:color w:val="000000"/>
                <w:sz w:val="19"/>
              </w:rPr>
              <w:t>Finale Abnahme und Übergabe</w:t>
            </w:r>
          </w:p>
        </w:tc>
        <w:tc>
          <w:tcPr>
            <w:tcW w:type="dxa" w:w="1152"/>
            <w:vAlign w:val="center"/>
            <w:tcMar>
              <w:top w:w="95" w:type="dxa"/>
              <w:left w:w="95" w:type="dxa"/>
              <w:bottom w:w="95" w:type="dxa"/>
              <w:right w:w="95" w:type="dxa"/>
            </w:tcMar>
            <w:shd w:fill="F2F6F8"/>
          </w:tcPr>
          <w:p>
            <w:pPr>
              <w:spacing w:after="0" w:line="264" w:lineRule="auto"/>
              <w:jc w:val="right"/>
            </w:pPr>
            <w:r>
              <w:rPr>
                <w:rFonts w:ascii="Arial" w:hAnsi="Arial"/>
                <w:b w:val="0"/>
                <w:color w:val="000000"/>
                <w:sz w:val="19"/>
              </w:rPr>
              <w:t>30 %</w:t>
            </w:r>
          </w:p>
        </w:tc>
        <w:tc>
          <w:tcPr>
            <w:tcW w:type="dxa" w:w="1368"/>
            <w:vAlign w:val="center"/>
            <w:tcMar>
              <w:top w:w="95" w:type="dxa"/>
              <w:left w:w="95" w:type="dxa"/>
              <w:bottom w:w="95" w:type="dxa"/>
              <w:right w:w="95" w:type="dxa"/>
            </w:tcMar>
            <w:shd w:fill="F2F6F8"/>
          </w:tcPr>
          <w:p>
            <w:pPr>
              <w:spacing w:after="0" w:line="264" w:lineRule="auto"/>
              <w:jc w:val="right"/>
            </w:pPr>
            <w:r>
              <w:rPr>
                <w:rFonts w:ascii="Arial" w:hAnsi="Arial"/>
                <w:b w:val="0"/>
                <w:color w:val="000000"/>
                <w:sz w:val="19"/>
              </w:rPr>
              <w:t>1.485</w:t>
            </w:r>
          </w:p>
        </w:tc>
      </w:tr>
    </w:tbl>
    <w:p>
      <w:pPr>
        <w:spacing w:after="20"/>
      </w:pPr>
    </w:p>
    <w:p>
      <w:r>
        <w:rPr>
          <w:b w:val="0"/>
          <w:sz w:val="19"/>
        </w:rPr>
        <w:t>Rechnungen sind innerhalb von 14 Kalendertagen zahlbar. Alle Beträge sind in EUR und vor gegebenenfalls anfallenden Steuern angegeben. Rechtlicher Rechnungssteller, Rechnungsanschrift und steuerliche Behandlung werden vor der finalen Auftragsbestätigung festgelegt.</w:t>
      </w:r>
    </w:p>
    <w:p>
      <w:pPr>
        <w:pStyle w:val="Heading2"/>
      </w:pPr>
      <w:r>
        <w:t>Betrieb und Betreuung</w:t>
      </w:r>
    </w:p>
    <w:p>
      <w:r>
        <w:rPr>
          <w:b w:val="0"/>
          <w:sz w:val="20"/>
        </w:rPr>
        <w:t>Enthalten sind 30 Tage Unterstützung nach Veröffentlichung für technische Fehler im abgenommenen Leistungsumfang. Hosting, Domain, kostenpflichtige Dienste und Lizenzen werden gesondert getragen.</w:t>
      </w:r>
    </w:p>
    <w:p>
      <w:r>
        <w:rPr>
          <w:b w:val="0"/>
          <w:sz w:val="20"/>
        </w:rPr>
        <w:t>Optional: Betreuung für 95 EUR pro Monat mit monatlichem Link- und Updatecheck sowie bis zu 60 Minuten Inhaltsänderungen. Gesonderte Beauftragung; externe Kosten und zusätzliche Entwicklung sind nicht enthalten. Keine Rund-um-die-Uhr-Bereitschaft.</w:t>
      </w:r>
    </w:p>
    <w:p>
      <w:r>
        <w:br w:type="page"/>
      </w:r>
    </w:p>
    <w:p>
      <w:pPr>
        <w:pStyle w:val="Heading1"/>
      </w:pPr>
      <w:r>
        <w:t>Qualitätssicherung und Abnahme</w:t>
      </w:r>
    </w:p>
    <w:p>
      <w:r>
        <w:rPr>
          <w:b w:val="0"/>
        </w:rPr>
        <w:t>Die Freigabe erfolgt anhand konkreter Ergebnisse. Das lokale Konzept ist die Ausgangsbasis; die folgenden Prüfungen und Korrekturen gehören zur angebotenen Umsetzung.</w:t>
      </w:r>
    </w:p>
    <w:p>
      <w:pPr>
        <w:pStyle w:val="Heading2"/>
      </w:pPr>
      <w:r>
        <w:t>Prüfkriterien vor Veröffentlichung</w:t>
      </w:r>
    </w:p>
    <w:p>
      <w:pPr>
        <w:pStyle w:val="ListBullet"/>
      </w:pPr>
      <w:r>
        <w:rPr>
          <w:b w:val="0"/>
        </w:rPr>
        <w:t>Vereinbarte Seiten sind über eigene URLs aufrufbar. Titel, Beschreibungen, Canonicals, Sitemap und die Fehlerseite passen zur endgültigen Domain.</w:t>
      </w:r>
    </w:p>
    <w:p>
      <w:pPr>
        <w:pStyle w:val="ListBullet"/>
      </w:pPr>
      <w:r>
        <w:rPr>
          <w:b w:val="0"/>
        </w:rPr>
        <w:t>Kontakt-, Routen- und Terminlinks führen zum richtigen Standort. Die Leverkusener Onlinebuchung verwendet den freigegebenen externen Dienst; Opladen zeigt den bestätigten Kontaktweg.</w:t>
      </w:r>
    </w:p>
    <w:p>
      <w:pPr>
        <w:pStyle w:val="ListBullet"/>
      </w:pPr>
      <w:r>
        <w:rPr>
          <w:b w:val="0"/>
        </w:rPr>
        <w:t>Darstellung bei 360, 390, 768, 1280 und 1440 Pixeln Breite prüfen: keine abgeschnittenen Texte, überlagerten Bedienelemente oder ungewollten horizontalen Seitenbewegungen.</w:t>
      </w:r>
    </w:p>
    <w:p>
      <w:pPr>
        <w:pStyle w:val="ListBullet"/>
      </w:pPr>
      <w:r>
        <w:rPr>
          <w:b w:val="0"/>
        </w:rPr>
        <w:t>Prüfung in den zum Testzeitpunkt aktuellen Versionen von Chrome, Edge, Firefox und Safari. Tastaturbedienung, sichtbarer Fokus, Sprunglink, Zoom und Dialogführung werden kontrolliert.</w:t>
      </w:r>
    </w:p>
    <w:p>
      <w:pPr>
        <w:pStyle w:val="ListBullet"/>
      </w:pPr>
      <w:r>
        <w:rPr>
          <w:b w:val="0"/>
        </w:rPr>
        <w:t>Standortzeiten, Kontaktdaten, Leistungen, ärztliche Rollen und Bildrechte sind durch die benannten ARTEMIS-Verantwortlichen bestätigt.</w:t>
      </w:r>
    </w:p>
    <w:p>
      <w:pPr>
        <w:pStyle w:val="ListBullet"/>
      </w:pPr>
      <w:r>
        <w:rPr>
          <w:b w:val="0"/>
        </w:rPr>
        <w:t>Build, Linkprüfung und Browserbefunde werden protokolliert. Wesentliche Fehler aus dem vereinbarten Umfang werden vor der Abnahme behoben.</w:t>
      </w:r>
    </w:p>
    <w:p>
      <w:pPr>
        <w:pStyle w:val="ListBullet"/>
      </w:pPr>
      <w:r>
        <w:rPr>
          <w:b w:val="0"/>
        </w:rPr>
        <w:t>Quellcode, freigegebene Assets, Betriebsanleitung und eine 60-minütige Übergabe werden bereitgestellt.</w:t>
      </w:r>
    </w:p>
    <w:p>
      <w:pPr>
        <w:pStyle w:val="Heading2"/>
      </w:pPr>
      <w:r>
        <w:t>Zusammenarbeit und Verantwortung</w:t>
      </w:r>
    </w:p>
    <w:p>
      <w:r>
        <w:rPr>
          <w:b w:val="0"/>
        </w:rPr>
        <w:t>ARTEMIS benennt eine zentrale Ansprechperson sowie Verantwortliche für medizinische Inhalte, Datenschutz, Markenfreigabe und Technik. Wir liefern Entwürfe und Rückfragen gebündelt. Zwei konsolidierte Korrekturrunden sind enthalten; neue Funktionen und ein erweiterter Seitenumfang werden separat vereinbart.</w:t>
      </w:r>
    </w:p>
    <w:p>
      <w:r>
        <w:rPr>
          <w:b w:val="0"/>
          <w:sz w:val="20"/>
        </w:rPr>
        <w:t>Die konkreten Drittanbieterdienste und Datenflüsse werden vor dem Start festgelegt. Datenschutztexte und die rechtliche Einordnung werden von den zuständigen Stellen des Auftraggebers freigegeben. Dieses Angebot enthält keine rechtliche oder medizinische Zertifizierung.</w:t>
      </w:r>
    </w:p>
    <w:p>
      <w:pPr>
        <w:pStyle w:val="Heading2"/>
      </w:pPr>
      <w:r>
        <w:t>Übergabe und Nutzung</w:t>
      </w:r>
    </w:p>
    <w:p>
      <w:r>
        <w:rPr>
          <w:b w:val="0"/>
          <w:sz w:val="20"/>
        </w:rPr>
        <w:t>Nach vollständiger Zahlung erhält der Auftraggeber die individuell für das Projekt erstellten Arbeitsergebnisse und den vollständigen Projektquellcode. Rechte und Lizenzbedingungen von Drittanbietern bleiben bestehen. Eine öffentliche Referenznennung durch WebDev Software Solutions erfolgt nur nach gesonderter Zustimmung.</w:t>
      </w:r>
    </w:p>
    <w:p>
      <w:r>
        <w:br w:type="page"/>
      </w:r>
    </w:p>
    <w:p>
      <w:pPr>
        <w:pStyle w:val="Heading1"/>
      </w:pPr>
      <w:r>
        <w:t>Projektstart und Quellen</w:t>
      </w:r>
    </w:p>
    <w:p>
      <w:pPr>
        <w:pStyle w:val="Heading2"/>
      </w:pPr>
      <w:r>
        <w:t>So kommen wir zur Beauftragung</w:t>
      </w:r>
    </w:p>
    <w:p>
      <w:r>
        <w:rPr>
          <w:b w:val="0"/>
        </w:rPr>
        <w:t>In einer kurzen Vorstellung prüfen wir den Standortumfang und die technische Ausgangslage. Anschließend ergänzen wir die rechtlichen Vertragsparteien, den zuständigen Kontakt und die Rechnungsdaten in der finalen Auftragsbestätigung. Der Projektpreisvorschlag gilt bis zum 22.10.2026.</w:t>
      </w:r>
    </w:p>
    <w:p>
      <w:r>
        <w:rPr>
          <w:b w:val="0"/>
        </w:rPr>
        <w:t>Für die Abstimmung benötigen wir:</w:t>
      </w:r>
    </w:p>
    <w:p>
      <w:pPr>
        <w:pStyle w:val="ListBullet"/>
      </w:pPr>
      <w:r>
        <w:rPr>
          <w:b w:val="0"/>
        </w:rPr>
        <w:t>Zuständige Kontaktperson und rechtlicher Auftraggeber</w:t>
      </w:r>
    </w:p>
    <w:p>
      <w:pPr>
        <w:pStyle w:val="ListBullet"/>
      </w:pPr>
      <w:r>
        <w:rPr>
          <w:b w:val="0"/>
        </w:rPr>
        <w:t>Ansprechperson für Technik und Inhalte</w:t>
      </w:r>
    </w:p>
    <w:p>
      <w:pPr>
        <w:pStyle w:val="ListBullet"/>
      </w:pPr>
      <w:r>
        <w:rPr>
          <w:b w:val="0"/>
        </w:rPr>
        <w:t>Freigegebenes Hosting oder bestehender Dienstleister</w:t>
      </w:r>
    </w:p>
    <w:p>
      <w:pPr>
        <w:pStyle w:val="ListBullet"/>
      </w:pPr>
      <w:r>
        <w:rPr>
          <w:b w:val="0"/>
        </w:rPr>
        <w:t>Gewünschter Starttermin und verfügbare Freigabetermine</w:t>
      </w:r>
    </w:p>
    <w:p>
      <w:pPr>
        <w:pStyle w:val="Heading2"/>
      </w:pPr>
      <w:r>
        <w:t>Aktueller Stand des Konzeptes</w:t>
      </w:r>
    </w:p>
    <w:p>
      <w:r>
        <w:rPr>
          <w:b w:val="0"/>
          <w:sz w:val="20"/>
        </w:rPr>
        <w:t>Der lokale Entwurf enthält die beschriebenen Standort- und Informationsansichten. Typecheck und Produktionsbuild wurden im Entwicklungsprojekt erfolgreich ausgeführt. Die vollständige visuelle Browserprüfung, die Produktions-URLs und die Veröffentlichung stehen noch aus und sind Bestandteil des angebotenen Projekts. Das Konzept ist noch nicht live veröffentlicht.</w:t>
      </w:r>
    </w:p>
    <w:p>
      <w:r>
        <w:rPr>
          <w:b w:val="0"/>
          <w:sz w:val="20"/>
        </w:rPr>
        <w:t>Es wurden keine vergleichbaren Ladezeit- oder Nutzungsdaten erhoben. Eine Zunahme von Terminen oder Umsätzen wird deshalb nicht zugesagt. Eine spätere Erfolgsmessung kann mit abgestimmten Zielen und zulässigen Messverfahren ergänzt werden.</w:t>
      </w:r>
    </w:p>
    <w:p>
      <w:pPr>
        <w:pStyle w:val="Heading2"/>
      </w:pPr>
      <w:r>
        <w:t>Nachvollziehbare Quellen</w:t>
      </w:r>
    </w:p>
    <w:p>
      <w:r>
        <w:rPr>
          <w:b/>
          <w:sz w:val="19"/>
        </w:rPr>
        <w:t>[1] ARTEMIS Startseite</w:t>
      </w:r>
    </w:p>
    <w:p>
      <w:pPr>
        <w:spacing w:after="120"/>
      </w:pPr>
      <w:hyperlink r:id="rId12">
        <w:r>
          <w:rPr>
            <w:color w:val="173448"/>
            <w:sz w:val="17"/>
          </w:rPr>
          <w:t>https://www.artemiskliniken.de/</w:t>
        </w:r>
      </w:hyperlink>
    </w:p>
    <w:p>
      <w:r>
        <w:rPr>
          <w:b/>
          <w:sz w:val="19"/>
        </w:rPr>
        <w:t>[2] ARTEMIS Augenzentrum Leverkusen</w:t>
      </w:r>
    </w:p>
    <w:p>
      <w:pPr>
        <w:spacing w:after="120"/>
      </w:pPr>
      <w:hyperlink r:id="rId13">
        <w:r>
          <w:rPr>
            <w:color w:val="173448"/>
            <w:sz w:val="17"/>
          </w:rPr>
          <w:t>https://www.artemiskliniken.de/standorte/artemis-augenzentrum-leverkusen/</w:t>
        </w:r>
      </w:hyperlink>
    </w:p>
    <w:p>
      <w:r>
        <w:rPr>
          <w:b/>
          <w:sz w:val="19"/>
        </w:rPr>
        <w:t>[3] ARTEMIS Augenarzt Praxis Opladen</w:t>
      </w:r>
    </w:p>
    <w:p>
      <w:pPr>
        <w:spacing w:after="120"/>
      </w:pPr>
      <w:hyperlink r:id="rId14">
        <w:r>
          <w:rPr>
            <w:color w:val="173448"/>
            <w:sz w:val="17"/>
          </w:rPr>
          <w:t>https://www.artemiskliniken.de/standorte/artemis-augenarzt-praxis-opladen/</w:t>
        </w:r>
      </w:hyperlink>
    </w:p>
    <w:p>
      <w:r>
        <w:rPr>
          <w:b/>
          <w:sz w:val="19"/>
        </w:rPr>
        <w:t>[4] WebDev Software Solutions</w:t>
      </w:r>
    </w:p>
    <w:p>
      <w:pPr>
        <w:spacing w:after="120"/>
      </w:pPr>
      <w:hyperlink r:id="rId15">
        <w:r>
          <w:rPr>
            <w:color w:val="173448"/>
            <w:sz w:val="17"/>
          </w:rPr>
          <w:t>https://webdevss.tech/</w:t>
        </w:r>
      </w:hyperlink>
    </w:p>
    <w:p>
      <w:r>
        <w:rPr>
          <w:b w:val="0"/>
          <w:sz w:val="17"/>
        </w:rPr>
        <w:t>Recherche am 08.10.2026. ARTEMIS-Inhalte wurden als öffentliche Text- und Linkquellen geprüft; die Opladener Web-Auslesung war als Crawl der Vorwoche gekennzeichnet. Agenturname, Logo und Geschäftskontakte stammen aus dem direkten Abruf von webdevss.tech. Medizinische und betriebliche Angaben bestätigt ARTEMIS vor Veröffentlichung.</w:t>
      </w:r>
    </w:p>
    <w:p>
      <w:pPr>
        <w:pStyle w:val="Heading2"/>
        <w:spacing w:before="360"/>
      </w:pPr>
      <w:r>
        <w:t>Kontakt für die Angebotsabstimmung</w:t>
      </w:r>
    </w:p>
    <w:p>
      <w:r>
        <w:rPr>
          <w:b w:val="0"/>
          <w:sz w:val="20"/>
        </w:rPr>
        <w:t>WebDev Software Solutions</w:t>
        <w:br/>
        <w:t>https://webdevss.tech/</w:t>
        <w:br/>
        <w:t>info@webdevsoftwaresolutions.com</w:t>
        <w:br/>
        <w:t>Deutschland: +49 172 9766016  |  Bangladesch: +880 1722 301927</w:t>
      </w:r>
    </w:p>
    <w:p>
      <w:r>
        <w:rPr>
          <w:b w:val="0"/>
          <w:sz w:val="18"/>
        </w:rPr>
        <w:t>Dieses Dokument ist ein Angebotsentwurf zur Abstimmung. Eine Beauftragung setzt die schriftliche Bestätigung der finalen Leistungs- und Vertragsdaten voraus.</w:t>
      </w:r>
    </w:p>
    <w:sectPr w:rsidR="00FC693F" w:rsidRPr="0006063C" w:rsidSect="00034616">
      <w:headerReference w:type="default" r:id="rId9"/>
      <w:footerReference w:type="default" r:id="rId10"/>
      <w:pgSz w:w="12240" w:h="15840"/>
      <w:pgMar w:top="893" w:right="1008" w:bottom="893" w:left="1008"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webdevss.tech  |  WSS ART 2026 1008  |  Seite </w:t>
    </w:r>
    <w:fldSimple w:instr="PAGE"/>
    <w:r>
      <w:rPr>
        <w:rFonts w:ascii="Arial" w:hAnsi="Arial"/>
        <w:sz w:val="16"/>
      </w:rPr>
      <w:t xml:space="preserve"> von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WEBDEV SOFTWARE SOLUTIONS    |    ARTEMIS Standortprojekt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14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14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artemiskliniken.de/" TargetMode="External"/><Relationship Id="rId13" Type="http://schemas.openxmlformats.org/officeDocument/2006/relationships/hyperlink" Target="https://www.artemiskliniken.de/standorte/artemis-augenzentrum-leverkusen/" TargetMode="External"/><Relationship Id="rId14" Type="http://schemas.openxmlformats.org/officeDocument/2006/relationships/hyperlink" Target="https://www.artemiskliniken.de/standorte/artemis-augenarzt-praxis-opladen/" TargetMode="External"/><Relationship Id="rId15" Type="http://schemas.openxmlformats.org/officeDocument/2006/relationships/hyperlink" Target="https://webdevs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für das ARTEMIS Standortprojekt Leverkusen und Opladen</dc:title>
  <dc:subject>Projektumfang, Vergleich, Preis und Abnahme</dc:subject>
  <dc:creator>WebDev Software Solutions</dc:creator>
  <cp:keywords>ARTEMIS, WebDev Software Solutions, Standortprojekt, Angebot</cp:keywords>
  <dc:description>generated by python-docx</dc:description>
  <cp:lastModifiedBy/>
  <cp:revision>1</cp:revision>
  <dcterms:created xsi:type="dcterms:W3CDTF">2013-12-23T23:15:00Z</dcterms:created>
  <dcterms:modified xsi:type="dcterms:W3CDTF">2013-12-23T23:15:00Z</dcterms:modified>
  <cp:category/>
</cp:coreProperties>
</file>