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7E8F" w14:textId="148AFBDC" w:rsidR="00223280" w:rsidRPr="001170C0" w:rsidRDefault="00883FC8" w:rsidP="001170C0">
      <w:pPr>
        <w:jc w:val="center"/>
        <w:rPr>
          <w:color w:val="0070C0"/>
          <w:sz w:val="40"/>
          <w:szCs w:val="40"/>
        </w:rPr>
      </w:pPr>
      <w:r w:rsidRPr="001170C0">
        <w:rPr>
          <w:color w:val="0070C0"/>
          <w:sz w:val="40"/>
          <w:szCs w:val="40"/>
        </w:rPr>
        <w:t>VHA Prostate Measures</w:t>
      </w:r>
    </w:p>
    <w:p w14:paraId="3F2FFECD" w14:textId="77777777" w:rsidR="00883FC8" w:rsidRPr="00683C41" w:rsidRDefault="00883F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5449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81E58" w14:textId="65512599" w:rsidR="001F5657" w:rsidRDefault="001F5657">
          <w:pPr>
            <w:pStyle w:val="TOCHeading"/>
          </w:pPr>
          <w:r>
            <w:t>Table of Contents</w:t>
          </w:r>
        </w:p>
        <w:p w14:paraId="3FD97764" w14:textId="6F6FFC67" w:rsidR="0062726A" w:rsidRDefault="001F5657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66476" w:history="1">
            <w:r w:rsidR="0062726A" w:rsidRPr="00CA615D">
              <w:rPr>
                <w:rStyle w:val="Hyperlink"/>
                <w:b/>
                <w:bCs/>
                <w:noProof/>
              </w:rPr>
              <w:t>Consultation and Work-Up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_Toc75166476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 w:rsidR="00E55CB1">
              <w:rPr>
                <w:noProof/>
                <w:webHidden/>
              </w:rPr>
              <w:t>2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14C61F68" w14:textId="4539FF8D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77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Initial Evaluation (#A-1)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_Toc75166477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0FAF97B9" w14:textId="6E44BFAE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78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Bone Imaging for High-Risk Disease (#A-2)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_Toc75166478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E5C5DDC" w14:textId="1A0C7E78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79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 xml:space="preserve">Pelvic MRI Imaging (#A-3) 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>ASPIRATIONAL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_Toc75166479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1889AFF8" w14:textId="33209869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0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 xml:space="preserve">PET Imaging (#A-4) 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>SURVEILLANCE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_Toc75166480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753077E9" w14:textId="4BCD78E5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1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*Discussion of Treatment Options for Intermediate-Risk Disease (#A-5)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_Toc75166481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F751609" w14:textId="3C01BE9C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2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Multidisciplinary Consult Documentation (#A-6)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_Toc75166482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29DB42CB" w14:textId="001C782E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3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Quality of Life Assessment at Consult (#A-7)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_Toc75166483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B9E3252" w14:textId="7D1BEE74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4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 xml:space="preserve">Active Surveillance (#A-8) 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>SURVEILLANCE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_Toc75166484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EFD660E" w14:textId="606DDB14" w:rsidR="0062726A" w:rsidRDefault="00E55CB1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75166485" w:history="1">
            <w:r w:rsidR="0062726A" w:rsidRPr="00CA615D">
              <w:rPr>
                <w:rStyle w:val="Hyperlink"/>
                <w:b/>
                <w:bCs/>
                <w:noProof/>
              </w:rPr>
              <w:t>Simulation, Treatment Planning, and Treatment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_Toc75166485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3A410100" w14:textId="050ECAE6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6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Pre-Treatment Preparation (#B-1)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_Toc75166486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6AD035A3" w14:textId="173427DB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7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*Daily Target Localization (#B-2)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_Toc75166487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0A6A9D9" w14:textId="0DBCDED3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8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*Long term Androgen Deprivation Therapy for High-Risk Disease (#B-3)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_Toc75166488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24CEB895" w14:textId="6ABE4DB1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89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*Regional Nodal Radiation for High-Risk Disease (#B-4)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_Toc75166489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298C024C" w14:textId="141CB225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0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Acceptable Dose for Intact Prostate (#B-5)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_Toc75166490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7B40F319" w14:textId="72182173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1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*Patient Selection – Moderately Hypofractionated or Ultrahypofractionated  (#B-6)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_Toc75166491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05BB0FF4" w14:textId="731FAAE1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2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Dose for Post-Prostatectomy (#B-7)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_Toc75166492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745FBF81" w14:textId="04E2C207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3" w:history="1"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 xml:space="preserve">Genomic Classification (#B-8) 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>SURVEILLANCE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_Toc75166493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1842BD17" w14:textId="77BF38C0" w:rsidR="0062726A" w:rsidRDefault="00E55CB1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75166494" w:history="1">
            <w:r w:rsidR="0062726A" w:rsidRPr="00CA615D">
              <w:rPr>
                <w:rStyle w:val="Hyperlink"/>
                <w:b/>
                <w:bCs/>
                <w:noProof/>
              </w:rPr>
              <w:t>Follow-up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_Toc75166494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535CCD55" w14:textId="26814687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5" w:history="1">
            <w:r w:rsidR="0062726A" w:rsidRPr="00CA615D">
              <w:rPr>
                <w:rStyle w:val="Hyperlink"/>
                <w:rFonts w:eastAsia="Calibri" w:cs="Times New Roman"/>
                <w:bCs/>
                <w:iCs/>
                <w:noProof/>
              </w:rPr>
              <w:t>Quality of Life Assessment at Follow-up (#C-1)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 xml:space="preserve"> ASPIRATIONAL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_Toc75166495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2A3E15A4" w14:textId="456FE8BD" w:rsidR="0062726A" w:rsidRDefault="00E55CB1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75166496" w:history="1">
            <w:r w:rsidR="0062726A" w:rsidRPr="00CA615D">
              <w:rPr>
                <w:rStyle w:val="Hyperlink"/>
                <w:rFonts w:eastAsia="Calibri" w:cs="Times New Roman"/>
                <w:bCs/>
                <w:iCs/>
                <w:noProof/>
              </w:rPr>
              <w:t>Baseline</w:t>
            </w:r>
            <w:r w:rsidR="0062726A" w:rsidRPr="00CA615D">
              <w:rPr>
                <w:rStyle w:val="Hyperlink"/>
                <w:rFonts w:eastAsia="Calibri" w:cs="Times New Roman"/>
                <w:b/>
                <w:bCs/>
                <w:iCs/>
                <w:noProof/>
              </w:rPr>
              <w:t xml:space="preserve"> </w:t>
            </w:r>
            <w:r w:rsidR="0062726A" w:rsidRPr="00CA615D">
              <w:rPr>
                <w:rStyle w:val="Hyperlink"/>
                <w:rFonts w:eastAsia="Calibri" w:cs="Times New Roman"/>
                <w:iCs/>
                <w:noProof/>
              </w:rPr>
              <w:t>Bone Health Assessment (#C-2)</w:t>
            </w:r>
            <w:r w:rsidR="0062726A">
              <w:rPr>
                <w:noProof/>
                <w:webHidden/>
              </w:rPr>
              <w:tab/>
            </w:r>
            <w:r w:rsidR="0062726A">
              <w:rPr>
                <w:noProof/>
                <w:webHidden/>
              </w:rPr>
              <w:fldChar w:fldCharType="begin"/>
            </w:r>
            <w:r w:rsidR="0062726A">
              <w:rPr>
                <w:noProof/>
                <w:webHidden/>
              </w:rPr>
              <w:instrText xml:space="preserve"> PAGEREF _Toc75166496 \h </w:instrText>
            </w:r>
            <w:r w:rsidR="0062726A">
              <w:rPr>
                <w:noProof/>
                <w:webHidden/>
              </w:rPr>
            </w:r>
            <w:r w:rsidR="006272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2726A">
              <w:rPr>
                <w:noProof/>
                <w:webHidden/>
              </w:rPr>
              <w:fldChar w:fldCharType="end"/>
            </w:r>
          </w:hyperlink>
        </w:p>
        <w:p w14:paraId="4B10D249" w14:textId="2AD0ED4D" w:rsidR="001F5657" w:rsidRDefault="001F5657">
          <w:r>
            <w:rPr>
              <w:b/>
              <w:bCs/>
              <w:noProof/>
            </w:rPr>
            <w:fldChar w:fldCharType="end"/>
          </w:r>
        </w:p>
      </w:sdtContent>
    </w:sdt>
    <w:p w14:paraId="07858414" w14:textId="7D234451" w:rsidR="00A65835" w:rsidRDefault="00A65835" w:rsidP="001170C0">
      <w:pPr>
        <w:widowControl/>
        <w:spacing w:after="160" w:line="259" w:lineRule="auto"/>
      </w:pPr>
    </w:p>
    <w:p w14:paraId="1E7EB850" w14:textId="74BDC855" w:rsidR="0094056A" w:rsidRDefault="0062726A" w:rsidP="0062726A">
      <w:pPr>
        <w:widowControl/>
        <w:spacing w:after="160" w:line="259" w:lineRule="auto"/>
      </w:pPr>
      <w:r>
        <w:t xml:space="preserve">*High </w:t>
      </w:r>
      <w:r w:rsidR="004D4FEB">
        <w:t>Potential Impact</w:t>
      </w:r>
      <w:r>
        <w:t xml:space="preserve"> Measure</w:t>
      </w:r>
    </w:p>
    <w:p w14:paraId="6846C2DA" w14:textId="7DAE0806" w:rsidR="0094056A" w:rsidRPr="00683C41" w:rsidRDefault="001F44B7" w:rsidP="001170C0">
      <w:pPr>
        <w:widowControl/>
        <w:spacing w:after="160" w:line="259" w:lineRule="auto"/>
      </w:pPr>
      <w:r>
        <w:br w:type="page"/>
      </w:r>
    </w:p>
    <w:p w14:paraId="44AD1E03" w14:textId="6582FA2F" w:rsidR="00A102FC" w:rsidRDefault="00070B69" w:rsidP="00070B69">
      <w:pPr>
        <w:pStyle w:val="Heading1"/>
        <w:rPr>
          <w:b/>
          <w:bCs/>
          <w:sz w:val="40"/>
          <w:szCs w:val="40"/>
          <w:u w:val="single"/>
        </w:rPr>
      </w:pPr>
      <w:bookmarkStart w:id="0" w:name="_Toc37847577"/>
      <w:bookmarkStart w:id="1" w:name="_Toc75166476"/>
      <w:r w:rsidRPr="009B418F">
        <w:rPr>
          <w:b/>
          <w:bCs/>
          <w:sz w:val="40"/>
          <w:szCs w:val="40"/>
          <w:u w:val="single"/>
        </w:rPr>
        <w:lastRenderedPageBreak/>
        <w:t>Consultation and Work-Up</w:t>
      </w:r>
      <w:bookmarkEnd w:id="0"/>
      <w:bookmarkEnd w:id="1"/>
    </w:p>
    <w:p w14:paraId="6CC4C8D2" w14:textId="77777777" w:rsidR="00B64F47" w:rsidRPr="00B64F47" w:rsidRDefault="00B64F47" w:rsidP="00B64F47"/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710072" w:rsidRPr="00683C41" w14:paraId="4BAB59AD" w14:textId="77777777" w:rsidTr="00B76B99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BEF7013" w14:textId="7855DDF5" w:rsidR="00710072" w:rsidRPr="00B76B99" w:rsidRDefault="00E94D63" w:rsidP="00C662F9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r>
              <w:br w:type="page"/>
            </w:r>
            <w:bookmarkStart w:id="2" w:name="_Toc75166477"/>
            <w:r w:rsidR="00710072" w:rsidRPr="001F5657">
              <w:rPr>
                <w:rFonts w:asciiTheme="minorHAnsi" w:eastAsia="Calibri" w:hAnsiTheme="minorHAnsi" w:cs="Times New Roman"/>
                <w:i w:val="0"/>
                <w:iCs/>
              </w:rPr>
              <w:t>Initial</w:t>
            </w:r>
            <w:r w:rsidR="00710072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Evaluatio</w:t>
            </w:r>
            <w:r w:rsidR="00C662F9" w:rsidRPr="00B76B99">
              <w:rPr>
                <w:rFonts w:asciiTheme="minorHAnsi" w:eastAsia="Calibri" w:hAnsiTheme="minorHAnsi" w:cs="Times New Roman"/>
                <w:i w:val="0"/>
                <w:iCs/>
              </w:rPr>
              <w:t>n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B76B99" w:rsidRPr="00B76B99">
              <w:rPr>
                <w:rFonts w:asciiTheme="minorHAnsi" w:eastAsia="Calibri" w:hAnsiTheme="minorHAnsi" w:cs="Times New Roman"/>
                <w:i w:val="0"/>
                <w:iCs/>
              </w:rPr>
              <w:t>A-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1)</w:t>
            </w:r>
            <w:bookmarkEnd w:id="2"/>
          </w:p>
        </w:tc>
      </w:tr>
      <w:tr w:rsidR="00710072" w:rsidRPr="00683C41" w14:paraId="6A58475F" w14:textId="77777777" w:rsidTr="00BA1251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79C1459" w14:textId="77777777" w:rsidR="00710072" w:rsidRPr="00683C41" w:rsidRDefault="00710072" w:rsidP="00710072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  <w:p w14:paraId="09C54D49" w14:textId="77777777" w:rsidR="00710072" w:rsidRPr="00683C41" w:rsidRDefault="00710072" w:rsidP="00710072">
            <w:pPr>
              <w:pStyle w:val="Heading5"/>
              <w:spacing w:before="72"/>
              <w:rPr>
                <w:rFonts w:asciiTheme="minorHAnsi" w:hAnsiTheme="minorHAnsi"/>
                <w:w w:val="95"/>
              </w:rPr>
            </w:pP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A874051" w14:textId="5B1CDBDC" w:rsidR="006E3515" w:rsidRPr="00683C41" w:rsidRDefault="00710072" w:rsidP="00710072">
            <w:pPr>
              <w:ind w:left="67" w:right="479"/>
              <w:rPr>
                <w:rFonts w:eastAsia="Calibri" w:cs="Times New Roman"/>
              </w:rPr>
            </w:pPr>
            <w:r w:rsidRPr="00683C41">
              <w:rPr>
                <w:rFonts w:eastAsia="Calibri" w:cs="Times New Roman"/>
              </w:rPr>
              <w:t>Patient</w:t>
            </w:r>
            <w:r w:rsidR="006E3515" w:rsidRPr="00683C41">
              <w:rPr>
                <w:rFonts w:eastAsia="Calibri" w:cs="Times New Roman"/>
              </w:rPr>
              <w:t>s with document</w:t>
            </w:r>
            <w:r w:rsidR="00BA1251">
              <w:rPr>
                <w:rFonts w:eastAsia="Calibri" w:cs="Times New Roman"/>
              </w:rPr>
              <w:t>ed evaluation, at the time of consult, that includes:</w:t>
            </w:r>
          </w:p>
          <w:p w14:paraId="13BB55DC" w14:textId="259D94B4" w:rsidR="006E3515" w:rsidRPr="00683C41" w:rsidRDefault="006E3515" w:rsidP="007555E4">
            <w:pPr>
              <w:pStyle w:val="ListParagraph"/>
              <w:numPr>
                <w:ilvl w:val="0"/>
                <w:numId w:val="5"/>
              </w:numPr>
              <w:ind w:right="479"/>
              <w:rPr>
                <w:rFonts w:eastAsia="Calibri" w:cs="Times New Roman"/>
              </w:rPr>
            </w:pPr>
            <w:r w:rsidRPr="00683C41">
              <w:rPr>
                <w:rFonts w:eastAsia="Calibri" w:cs="Times New Roman"/>
              </w:rPr>
              <w:t>P</w:t>
            </w:r>
            <w:r w:rsidR="00710072" w:rsidRPr="00683C41">
              <w:rPr>
                <w:rFonts w:eastAsia="Calibri" w:cs="Times New Roman"/>
              </w:rPr>
              <w:t>rost</w:t>
            </w:r>
            <w:r w:rsidRPr="00683C41">
              <w:rPr>
                <w:rFonts w:eastAsia="Calibri" w:cs="Times New Roman"/>
              </w:rPr>
              <w:t xml:space="preserve">ate-specific antigen (PSA), </w:t>
            </w:r>
            <w:r w:rsidRPr="00EC59F5">
              <w:rPr>
                <w:rFonts w:eastAsia="Calibri" w:cs="Times New Roman"/>
                <w:b/>
              </w:rPr>
              <w:t>AND</w:t>
            </w:r>
          </w:p>
          <w:p w14:paraId="5E552C63" w14:textId="421ED5B6" w:rsidR="00C43E7B" w:rsidRPr="00683C41" w:rsidRDefault="00A36679" w:rsidP="007555E4">
            <w:pPr>
              <w:pStyle w:val="ListParagraph"/>
              <w:numPr>
                <w:ilvl w:val="0"/>
                <w:numId w:val="5"/>
              </w:numPr>
              <w:ind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Primary </w:t>
            </w:r>
            <w:r w:rsidRPr="006042FB">
              <w:rPr>
                <w:rFonts w:eastAsia="Calibri" w:cs="Times New Roman"/>
                <w:b/>
                <w:bCs/>
              </w:rPr>
              <w:t xml:space="preserve">AND </w:t>
            </w:r>
            <w:r>
              <w:rPr>
                <w:rFonts w:eastAsia="Calibri" w:cs="Times New Roman"/>
              </w:rPr>
              <w:t xml:space="preserve">Secondary </w:t>
            </w:r>
            <w:r w:rsidR="00710072" w:rsidRPr="00683C41">
              <w:rPr>
                <w:rFonts w:eastAsia="Calibri" w:cs="Times New Roman"/>
              </w:rPr>
              <w:t>Gleason score</w:t>
            </w:r>
            <w:r>
              <w:rPr>
                <w:rFonts w:eastAsia="Calibri" w:cs="Times New Roman"/>
              </w:rPr>
              <w:t xml:space="preserve"> </w:t>
            </w:r>
            <w:r w:rsidRPr="006042FB">
              <w:rPr>
                <w:rFonts w:eastAsia="Calibri" w:cs="Times New Roman"/>
                <w:b/>
                <w:bCs/>
              </w:rPr>
              <w:t>OR</w:t>
            </w:r>
            <w:r>
              <w:rPr>
                <w:rFonts w:eastAsia="Calibri" w:cs="Times New Roman"/>
              </w:rPr>
              <w:t xml:space="preserve"> Gleason Grade Group</w:t>
            </w:r>
            <w:r w:rsidR="00C43E7B" w:rsidRPr="00683C41">
              <w:rPr>
                <w:rFonts w:eastAsia="Calibri" w:cs="Times New Roman"/>
              </w:rPr>
              <w:t xml:space="preserve">, </w:t>
            </w:r>
            <w:r w:rsidR="00C43E7B" w:rsidRPr="00EC59F5">
              <w:rPr>
                <w:rFonts w:eastAsia="Calibri" w:cs="Times New Roman"/>
                <w:b/>
              </w:rPr>
              <w:t>AND</w:t>
            </w:r>
          </w:p>
          <w:p w14:paraId="5C5FB2B5" w14:textId="77777777" w:rsidR="004D7862" w:rsidRPr="006F5894" w:rsidRDefault="006E3515" w:rsidP="00BA1251">
            <w:pPr>
              <w:pStyle w:val="ListParagraph"/>
              <w:numPr>
                <w:ilvl w:val="0"/>
                <w:numId w:val="5"/>
              </w:numPr>
              <w:ind w:right="479"/>
            </w:pPr>
            <w:r w:rsidRPr="00683C41">
              <w:rPr>
                <w:rFonts w:eastAsia="Calibri" w:cs="Times New Roman"/>
              </w:rPr>
              <w:t>NCCN risk group</w:t>
            </w:r>
            <w:r w:rsidR="004D7862">
              <w:rPr>
                <w:rFonts w:eastAsia="Calibri" w:cs="Times New Roman"/>
              </w:rPr>
              <w:t xml:space="preserve"> </w:t>
            </w:r>
            <w:r w:rsidR="004D7862" w:rsidRPr="006F5894">
              <w:rPr>
                <w:rFonts w:eastAsia="Calibri" w:cs="Times New Roman"/>
                <w:b/>
                <w:bCs/>
              </w:rPr>
              <w:t>AND</w:t>
            </w:r>
          </w:p>
          <w:p w14:paraId="40B4922B" w14:textId="46624891" w:rsidR="00BA1251" w:rsidRPr="00683C41" w:rsidRDefault="004D7862" w:rsidP="00BA1251">
            <w:pPr>
              <w:pStyle w:val="ListParagraph"/>
              <w:numPr>
                <w:ilvl w:val="0"/>
                <w:numId w:val="5"/>
              </w:numPr>
              <w:ind w:right="479"/>
            </w:pPr>
            <w:r>
              <w:rPr>
                <w:rFonts w:eastAsia="Calibri" w:cs="Times New Roman"/>
              </w:rPr>
              <w:t>Nodal status</w:t>
            </w:r>
            <w:r w:rsidR="00BA1251">
              <w:rPr>
                <w:rFonts w:eastAsia="Calibri" w:cs="Times New Roman"/>
              </w:rPr>
              <w:t>.</w:t>
            </w:r>
          </w:p>
        </w:tc>
      </w:tr>
      <w:tr w:rsidR="00710072" w:rsidRPr="00683C41" w14:paraId="187664AA" w14:textId="77777777" w:rsidTr="00BA1251">
        <w:trPr>
          <w:trHeight w:val="386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19C0114" w14:textId="3E121704" w:rsidR="00710072" w:rsidRPr="00070B69" w:rsidRDefault="00710072" w:rsidP="00070B69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78E230C8" w14:textId="723B5C5B" w:rsidR="00710072" w:rsidRPr="00683C41" w:rsidRDefault="00781F9B" w:rsidP="00781F9B">
            <w:pPr>
              <w:ind w:left="67" w:right="479"/>
              <w:rPr>
                <w:rFonts w:eastAsia="Times New Roman"/>
              </w:rPr>
            </w:pPr>
            <w:r w:rsidRPr="00781F9B">
              <w:rPr>
                <w:rFonts w:eastAsia="Times New Roman"/>
              </w:rPr>
              <w:t xml:space="preserve">All patients, regardless of age, with a diagnosis </w:t>
            </w:r>
            <w:r w:rsidRPr="006F5894">
              <w:rPr>
                <w:rFonts w:eastAsia="Times New Roman"/>
              </w:rPr>
              <w:t xml:space="preserve">of </w:t>
            </w:r>
            <w:r w:rsidR="00D93CDE" w:rsidRPr="006F5894">
              <w:rPr>
                <w:rFonts w:eastAsia="Times New Roman"/>
              </w:rPr>
              <w:t xml:space="preserve">prostate </w:t>
            </w:r>
            <w:r w:rsidRPr="006F5894">
              <w:rPr>
                <w:rFonts w:eastAsia="Times New Roman"/>
              </w:rPr>
              <w:t>cancer</w:t>
            </w:r>
            <w:r w:rsidR="0003038D" w:rsidRPr="006F5894">
              <w:rPr>
                <w:rFonts w:eastAsia="Times New Roman"/>
              </w:rPr>
              <w:t>.</w:t>
            </w:r>
          </w:p>
        </w:tc>
      </w:tr>
      <w:tr w:rsidR="00710072" w:rsidRPr="00683C41" w14:paraId="76CDA1D8" w14:textId="77777777" w:rsidTr="00C2569F">
        <w:trPr>
          <w:trHeight w:val="692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EF7039A" w14:textId="6E59C4D2" w:rsidR="00710072" w:rsidRPr="00683C41" w:rsidRDefault="00710072" w:rsidP="00664D64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69BB7EF" w14:textId="090A6782" w:rsidR="00153FEB" w:rsidRPr="00153FEB" w:rsidRDefault="00153FEB" w:rsidP="004D5AA4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>
              <w:rPr>
                <w:rFonts w:eastAsia="Times New Roman"/>
              </w:rPr>
              <w:t>Patients with metastatic disease.</w:t>
            </w:r>
          </w:p>
          <w:p w14:paraId="4552066F" w14:textId="6C355F73" w:rsidR="00710072" w:rsidRPr="004D5AA4" w:rsidRDefault="004D5AA4" w:rsidP="004D5AA4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>
              <w:t xml:space="preserve">Patients </w:t>
            </w:r>
            <w:r w:rsidRPr="006F5894">
              <w:t>receiving palliative care.</w:t>
            </w:r>
          </w:p>
        </w:tc>
      </w:tr>
      <w:tr w:rsidR="00710072" w:rsidRPr="00683C41" w14:paraId="55A35F56" w14:textId="77777777" w:rsidTr="00F3450B">
        <w:trPr>
          <w:trHeight w:val="557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9C6CD49" w14:textId="46D0F111" w:rsidR="00710072" w:rsidRPr="00683C41" w:rsidRDefault="009B32D4" w:rsidP="00710072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65D556F" w14:textId="0268C455" w:rsidR="00710072" w:rsidRPr="00683C41" w:rsidRDefault="00070B69" w:rsidP="001D4E2F">
            <w:pPr>
              <w:pStyle w:val="ListParagraph"/>
              <w:keepNext/>
              <w:numPr>
                <w:ilvl w:val="0"/>
                <w:numId w:val="1"/>
              </w:numPr>
            </w:pPr>
            <w:r>
              <w:t>Previously Prostate Measure #2</w:t>
            </w:r>
            <w:r w:rsidR="00833CF9">
              <w:t xml:space="preserve"> (GU QM 2)</w:t>
            </w:r>
            <w:r w:rsidR="000F0B09">
              <w:t>.</w:t>
            </w:r>
          </w:p>
        </w:tc>
      </w:tr>
      <w:tr w:rsidR="00710072" w:rsidRPr="00683C41" w14:paraId="4469F373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78D422D" w14:textId="77777777" w:rsidR="00710072" w:rsidRPr="00683C41" w:rsidRDefault="00710072" w:rsidP="00710072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4AD3F07" w14:textId="06BFAE3B" w:rsidR="00586BF6" w:rsidRDefault="00586BF6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0F0B09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0F0B09">
              <w:rPr>
                <w:rFonts w:asciiTheme="minorHAnsi" w:hAnsiTheme="minorHAnsi"/>
              </w:rPr>
              <w:t>.</w:t>
            </w:r>
          </w:p>
          <w:p w14:paraId="0130B3AF" w14:textId="0242205C" w:rsidR="00710072" w:rsidRPr="00683C41" w:rsidRDefault="00E83BAB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Expected Performance Rate: 90% </w:t>
            </w:r>
          </w:p>
        </w:tc>
      </w:tr>
      <w:tr w:rsidR="00B76B99" w:rsidRPr="00683C41" w14:paraId="1111CFB2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8461A87" w14:textId="25D53F15" w:rsidR="00B76B99" w:rsidRPr="00683C41" w:rsidRDefault="00B76B99" w:rsidP="00B76B9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3AE934A" w14:textId="20241B4C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045561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Quality Measure</w:t>
            </w:r>
          </w:p>
          <w:p w14:paraId="0B557D44" w14:textId="05DE17CC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35557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547469F5" w14:textId="69B350A0" w:rsidR="00B76B99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358862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32446E7B" w14:textId="1F27922A" w:rsidR="00A102FC" w:rsidRDefault="00A102FC">
      <w:pPr>
        <w:widowControl/>
        <w:spacing w:after="160" w:line="259" w:lineRule="auto"/>
      </w:pPr>
    </w:p>
    <w:p w14:paraId="4CFDF124" w14:textId="4032C354" w:rsidR="00CF7CB0" w:rsidRDefault="00CF7CB0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CC0169" w:rsidRPr="00683C41" w14:paraId="6A1C3529" w14:textId="77777777" w:rsidTr="00B76B99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65C5A372" w14:textId="347C47BE" w:rsidR="00CC0169" w:rsidRPr="00B76B99" w:rsidRDefault="00833CF9" w:rsidP="00CC0169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3" w:name="_Toc75166478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Bone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E83BAB">
              <w:rPr>
                <w:rFonts w:asciiTheme="minorHAnsi" w:eastAsia="Calibri" w:hAnsiTheme="minorHAnsi" w:cs="Times New Roman"/>
                <w:i w:val="0"/>
                <w:iCs/>
              </w:rPr>
              <w:t>Imaging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for</w:t>
            </w:r>
            <w:r w:rsidR="00CC0169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High</w:t>
            </w:r>
            <w:r w:rsidR="00D24B32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CC0169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Risk </w:t>
            </w:r>
            <w:r w:rsidR="00D24B32">
              <w:rPr>
                <w:rFonts w:asciiTheme="minorHAnsi" w:eastAsia="Calibri" w:hAnsiTheme="minorHAnsi" w:cs="Times New Roman"/>
                <w:i w:val="0"/>
                <w:iCs/>
              </w:rPr>
              <w:t xml:space="preserve">Disease 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(#A-</w:t>
            </w:r>
            <w:r w:rsidR="003037D4">
              <w:rPr>
                <w:rFonts w:asciiTheme="minorHAnsi" w:eastAsia="Calibri" w:hAnsiTheme="minorHAnsi" w:cs="Times New Roman"/>
                <w:i w:val="0"/>
                <w:iCs/>
              </w:rPr>
              <w:t>2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3"/>
          </w:p>
        </w:tc>
      </w:tr>
      <w:tr w:rsidR="00CC0169" w:rsidRPr="00683C41" w14:paraId="3C5B1B45" w14:textId="77777777" w:rsidTr="004D5AA4">
        <w:trPr>
          <w:trHeight w:val="530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667E326" w14:textId="1DF8D880" w:rsidR="00CC0169" w:rsidRPr="004D5AA4" w:rsidRDefault="00CC0169" w:rsidP="004D5AA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A821B39" w14:textId="20CD5EA9" w:rsidR="00CC0169" w:rsidRPr="00833CF9" w:rsidRDefault="00781F9B" w:rsidP="00833CF9">
            <w:pPr>
              <w:pStyle w:val="BodyText"/>
              <w:ind w:left="67" w:right="479"/>
              <w:rPr>
                <w:rFonts w:asciiTheme="minorHAnsi" w:eastAsia="Calibri" w:hAnsiTheme="minorHAnsi" w:cs="Times New Roman"/>
              </w:rPr>
            </w:pPr>
            <w:r w:rsidRPr="00781F9B">
              <w:rPr>
                <w:rFonts w:asciiTheme="minorHAnsi" w:eastAsia="Calibri" w:hAnsiTheme="minorHAnsi" w:cs="Times New Roman"/>
              </w:rPr>
              <w:t>Patients with</w:t>
            </w:r>
            <w:r w:rsidR="00833CF9">
              <w:rPr>
                <w:rFonts w:asciiTheme="minorHAnsi" w:eastAsia="Calibri" w:hAnsiTheme="minorHAnsi" w:cs="Times New Roman"/>
              </w:rPr>
              <w:t xml:space="preserve"> bone </w:t>
            </w:r>
            <w:r w:rsidR="00E83BAB">
              <w:rPr>
                <w:rFonts w:asciiTheme="minorHAnsi" w:eastAsia="Calibri" w:hAnsiTheme="minorHAnsi" w:cs="Times New Roman"/>
              </w:rPr>
              <w:t>imaging</w:t>
            </w:r>
            <w:r w:rsidR="00833CF9">
              <w:rPr>
                <w:rFonts w:asciiTheme="minorHAnsi" w:eastAsia="Calibri" w:hAnsiTheme="minorHAnsi" w:cs="Times New Roman"/>
              </w:rPr>
              <w:t xml:space="preserve"> performed p</w:t>
            </w:r>
            <w:r w:rsidRPr="00781F9B">
              <w:rPr>
                <w:rFonts w:asciiTheme="minorHAnsi" w:eastAsia="Calibri" w:hAnsiTheme="minorHAnsi" w:cs="Times New Roman"/>
              </w:rPr>
              <w:t>rior to the initiation of treatment</w:t>
            </w:r>
            <w:r w:rsidR="00833CF9">
              <w:rPr>
                <w:rFonts w:asciiTheme="minorHAnsi" w:eastAsia="Calibri" w:hAnsiTheme="minorHAnsi" w:cs="Times New Roman"/>
              </w:rPr>
              <w:t xml:space="preserve">. </w:t>
            </w:r>
          </w:p>
        </w:tc>
      </w:tr>
      <w:tr w:rsidR="00CC0169" w:rsidRPr="00683C41" w14:paraId="24091BA4" w14:textId="77777777" w:rsidTr="00BA1251">
        <w:trPr>
          <w:trHeight w:val="715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E31FD70" w14:textId="1E550840" w:rsidR="00CC0169" w:rsidRPr="00683C41" w:rsidRDefault="00CC0169" w:rsidP="00526335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ED45D39" w14:textId="5617041C" w:rsidR="00EC59F5" w:rsidRPr="006F5894" w:rsidRDefault="00EC59F5" w:rsidP="00EC59F5">
            <w:pPr>
              <w:pStyle w:val="BodyText"/>
              <w:ind w:left="90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/>
              </w:rPr>
              <w:t xml:space="preserve">All patients, regardless of age, with a diagnosis of </w:t>
            </w:r>
            <w:r w:rsidR="004F5619" w:rsidRPr="006F5894">
              <w:rPr>
                <w:rFonts w:asciiTheme="minorHAnsi" w:hAnsiTheme="minorHAnsi"/>
              </w:rPr>
              <w:t xml:space="preserve">high-risk </w:t>
            </w:r>
            <w:r w:rsidR="004F5619" w:rsidRPr="006F5894">
              <w:rPr>
                <w:rFonts w:asciiTheme="minorHAnsi" w:hAnsiTheme="minorHAnsi"/>
                <w:b/>
              </w:rPr>
              <w:t>OR</w:t>
            </w:r>
            <w:r w:rsidR="004F5619" w:rsidRPr="006F5894">
              <w:rPr>
                <w:rFonts w:asciiTheme="minorHAnsi" w:hAnsiTheme="minorHAnsi"/>
              </w:rPr>
              <w:t xml:space="preserve"> very high-risk </w:t>
            </w:r>
            <w:r w:rsidRPr="006F5894">
              <w:rPr>
                <w:rFonts w:asciiTheme="minorHAnsi" w:hAnsiTheme="minorHAnsi"/>
              </w:rPr>
              <w:t>prostate cancer, as defined by NCCN, receiving radiation therapy</w:t>
            </w:r>
            <w:r w:rsidR="00A765AC" w:rsidRPr="006F5894">
              <w:rPr>
                <w:rFonts w:asciiTheme="minorHAnsi" w:hAnsiTheme="minorHAnsi"/>
              </w:rPr>
              <w:t xml:space="preserve"> to the primary disease site</w:t>
            </w:r>
            <w:r w:rsidR="000F0B09" w:rsidRPr="006F5894">
              <w:rPr>
                <w:rFonts w:asciiTheme="minorHAnsi" w:hAnsiTheme="minorHAnsi"/>
              </w:rPr>
              <w:t>.</w:t>
            </w:r>
          </w:p>
        </w:tc>
      </w:tr>
      <w:tr w:rsidR="00CC0169" w:rsidRPr="00683C41" w14:paraId="3C159EE0" w14:textId="77777777" w:rsidTr="00BA1251">
        <w:trPr>
          <w:trHeight w:val="467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C762472" w14:textId="324C8EB3" w:rsidR="00CC0169" w:rsidRPr="00683C41" w:rsidRDefault="00CC0169" w:rsidP="00526335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B60CFEE" w14:textId="243A92F5" w:rsidR="00E83BAB" w:rsidRPr="006F5894" w:rsidRDefault="001D6E82" w:rsidP="00D24B32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6F5894">
              <w:t xml:space="preserve">Patients </w:t>
            </w:r>
            <w:r w:rsidR="00866CCD" w:rsidRPr="006F5894">
              <w:t xml:space="preserve">receiving </w:t>
            </w:r>
            <w:r w:rsidR="008E6A50" w:rsidRPr="006F5894">
              <w:t>post-prostatectomy</w:t>
            </w:r>
            <w:r w:rsidR="00866CCD" w:rsidRPr="006F5894">
              <w:t xml:space="preserve"> care.</w:t>
            </w:r>
          </w:p>
        </w:tc>
      </w:tr>
      <w:tr w:rsidR="00CC0169" w:rsidRPr="00683C41" w14:paraId="4F192EAE" w14:textId="77777777" w:rsidTr="00BA1251">
        <w:trPr>
          <w:trHeight w:val="50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47CC0CF" w14:textId="61A74A70" w:rsidR="00CC0169" w:rsidRPr="00683C41" w:rsidRDefault="009B32D4" w:rsidP="00526335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76C089F" w14:textId="66F6CFFC" w:rsidR="00C2569F" w:rsidRDefault="00C2569F" w:rsidP="00070B69">
            <w:pPr>
              <w:pStyle w:val="ListParagraph"/>
              <w:numPr>
                <w:ilvl w:val="0"/>
                <w:numId w:val="1"/>
              </w:numPr>
            </w:pPr>
            <w:r>
              <w:t>Examples of appropriate bone imaging are</w:t>
            </w:r>
            <w:r w:rsidRPr="009B32D4">
              <w:rPr>
                <w:rFonts w:eastAsia="Calibri" w:cs="Times New Roman"/>
              </w:rPr>
              <w:t xml:space="preserve"> T</w:t>
            </w:r>
            <w:r w:rsidRPr="009B32D4">
              <w:rPr>
                <w:rFonts w:eastAsia="Calibri" w:cs="Times New Roman"/>
                <w:vertAlign w:val="superscript"/>
              </w:rPr>
              <w:t>99</w:t>
            </w:r>
            <w:r w:rsidRPr="009B32D4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and</w:t>
            </w:r>
            <w:r w:rsidRPr="009B32D4">
              <w:rPr>
                <w:rFonts w:eastAsia="Calibri" w:cs="Times New Roman"/>
              </w:rPr>
              <w:t xml:space="preserve"> </w:t>
            </w:r>
            <w:proofErr w:type="spellStart"/>
            <w:r w:rsidRPr="009B32D4">
              <w:rPr>
                <w:rFonts w:eastAsia="Calibri" w:cs="Times New Roman"/>
              </w:rPr>
              <w:t>NaF</w:t>
            </w:r>
            <w:proofErr w:type="spellEnd"/>
            <w:r w:rsidRPr="009B32D4">
              <w:rPr>
                <w:rFonts w:eastAsia="Calibri" w:cs="Times New Roman"/>
              </w:rPr>
              <w:t xml:space="preserve"> PET</w:t>
            </w:r>
            <w:r>
              <w:rPr>
                <w:rFonts w:eastAsia="Calibri" w:cs="Times New Roman"/>
              </w:rPr>
              <w:t xml:space="preserve">. </w:t>
            </w:r>
          </w:p>
          <w:p w14:paraId="0977AC49" w14:textId="046DF0F6" w:rsidR="00070B69" w:rsidRPr="00683C41" w:rsidRDefault="00070B69" w:rsidP="00D24B32">
            <w:pPr>
              <w:pStyle w:val="ListParagraph"/>
              <w:numPr>
                <w:ilvl w:val="0"/>
                <w:numId w:val="1"/>
              </w:numPr>
            </w:pPr>
            <w:r w:rsidRPr="00070B69">
              <w:t xml:space="preserve">Previously </w:t>
            </w:r>
            <w:r w:rsidR="000F0B09">
              <w:t xml:space="preserve">a component of </w:t>
            </w:r>
            <w:r w:rsidRPr="00070B69">
              <w:t>Prostate Measure #</w:t>
            </w:r>
            <w:r>
              <w:t>3</w:t>
            </w:r>
            <w:r w:rsidR="000F0B09">
              <w:t xml:space="preserve"> (GU QM 3).</w:t>
            </w:r>
          </w:p>
        </w:tc>
      </w:tr>
      <w:tr w:rsidR="00CC0169" w:rsidRPr="00683C41" w14:paraId="5C447B52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420B1F7" w14:textId="77777777" w:rsidR="00CC0169" w:rsidRPr="00683C41" w:rsidRDefault="00CC0169" w:rsidP="00526335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4EDB528D" w14:textId="33740C99" w:rsidR="00586BF6" w:rsidRDefault="00586BF6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0F0B09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0F0B09">
              <w:rPr>
                <w:rFonts w:asciiTheme="minorHAnsi" w:hAnsiTheme="minorHAnsi"/>
              </w:rPr>
              <w:t>.</w:t>
            </w:r>
          </w:p>
          <w:p w14:paraId="3FBBBFB8" w14:textId="77777777" w:rsidR="005A0A86" w:rsidRDefault="005A0A86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Expected Performance Rate: 90% </w:t>
            </w:r>
          </w:p>
          <w:p w14:paraId="455801A9" w14:textId="1B484CEC" w:rsidR="00A65835" w:rsidRPr="00683C41" w:rsidRDefault="00A65835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CMS </w:t>
            </w:r>
            <w:r w:rsidR="00833CF9">
              <w:rPr>
                <w:rFonts w:asciiTheme="minorHAnsi" w:hAnsiTheme="minorHAnsi"/>
              </w:rPr>
              <w:t>QPP</w:t>
            </w:r>
            <w:r>
              <w:rPr>
                <w:rFonts w:asciiTheme="minorHAnsi" w:hAnsiTheme="minorHAnsi"/>
              </w:rPr>
              <w:t xml:space="preserve"> Measure #102 (Avoidance of Overuse of Bone Scan for Staging Low-Risk Prostate Cancer Patients). </w:t>
            </w:r>
          </w:p>
        </w:tc>
      </w:tr>
      <w:tr w:rsidR="00B76B99" w:rsidRPr="00683C41" w14:paraId="1C4A7619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EA1FCE4" w14:textId="6E965C4C" w:rsidR="00B76B99" w:rsidRPr="00683C41" w:rsidRDefault="00B76B99" w:rsidP="00B76B9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4281E39" w14:textId="77777777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8273148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Quality Measure</w:t>
            </w:r>
          </w:p>
          <w:p w14:paraId="721C6E36" w14:textId="77777777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62188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476F84E7" w14:textId="47BCF0F9" w:rsidR="00B76B99" w:rsidRPr="00781F9B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907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5C685C07" w14:textId="58BAAF98" w:rsidR="00A102FC" w:rsidRDefault="00A102FC">
      <w:pPr>
        <w:widowControl/>
        <w:spacing w:after="160" w:line="259" w:lineRule="auto"/>
      </w:pPr>
    </w:p>
    <w:p w14:paraId="15991801" w14:textId="558E1466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833CF9" w:rsidRPr="00683C41" w14:paraId="3E971830" w14:textId="77777777" w:rsidTr="00833CF9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9DA8117" w14:textId="163E78E3" w:rsidR="00833CF9" w:rsidRPr="00B76B99" w:rsidRDefault="000F0B09" w:rsidP="00833CF9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4" w:name="_Toc75166479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Pelvic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MRI Imaging</w:t>
            </w:r>
            <w:r w:rsidR="00833CF9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(#A-</w:t>
            </w:r>
            <w:r w:rsidR="00F46754">
              <w:rPr>
                <w:rFonts w:asciiTheme="minorHAnsi" w:eastAsia="Calibri" w:hAnsiTheme="minorHAnsi" w:cs="Times New Roman"/>
                <w:i w:val="0"/>
                <w:iCs/>
              </w:rPr>
              <w:t>3</w:t>
            </w:r>
            <w:r w:rsidR="00833CF9"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r w:rsidR="006042FB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6042FB" w:rsidRPr="006042FB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ASPIRATIONAL</w:t>
            </w:r>
            <w:bookmarkEnd w:id="4"/>
          </w:p>
        </w:tc>
      </w:tr>
      <w:tr w:rsidR="00833CF9" w:rsidRPr="00683C41" w14:paraId="39146764" w14:textId="77777777" w:rsidTr="005A0A86">
        <w:trPr>
          <w:trHeight w:val="494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1CBE9F5" w14:textId="6DF4DA2B" w:rsidR="00833CF9" w:rsidRPr="005A0A86" w:rsidRDefault="00833CF9" w:rsidP="005A0A86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0DC9386" w14:textId="02058C1E" w:rsidR="00833CF9" w:rsidRPr="009B32D4" w:rsidRDefault="00833CF9" w:rsidP="00E83BAB">
            <w:pPr>
              <w:pStyle w:val="BodyText"/>
              <w:ind w:left="67" w:right="479"/>
              <w:rPr>
                <w:rFonts w:asciiTheme="minorHAnsi" w:eastAsia="Calibri" w:hAnsiTheme="minorHAnsi" w:cs="Times New Roman"/>
              </w:rPr>
            </w:pPr>
            <w:r w:rsidRPr="00781F9B">
              <w:rPr>
                <w:rFonts w:asciiTheme="minorHAnsi" w:eastAsia="Calibri" w:hAnsiTheme="minorHAnsi" w:cs="Times New Roman"/>
              </w:rPr>
              <w:t>Patients with</w:t>
            </w:r>
            <w:r>
              <w:rPr>
                <w:rFonts w:asciiTheme="minorHAnsi" w:eastAsia="Calibri" w:hAnsiTheme="minorHAnsi" w:cs="Times New Roman"/>
              </w:rPr>
              <w:t xml:space="preserve"> </w:t>
            </w:r>
            <w:r w:rsidR="00E83BAB">
              <w:rPr>
                <w:rFonts w:asciiTheme="minorHAnsi" w:eastAsia="Calibri" w:hAnsiTheme="minorHAnsi" w:cs="Times New Roman"/>
              </w:rPr>
              <w:t xml:space="preserve">a </w:t>
            </w:r>
            <w:r w:rsidR="000F0B09">
              <w:rPr>
                <w:rFonts w:asciiTheme="minorHAnsi" w:eastAsia="Calibri" w:hAnsiTheme="minorHAnsi" w:cs="Times New Roman"/>
              </w:rPr>
              <w:t>pelvic MRI performed</w:t>
            </w:r>
            <w:r w:rsidRPr="00781F9B">
              <w:rPr>
                <w:rFonts w:asciiTheme="minorHAnsi" w:eastAsia="Calibri" w:hAnsiTheme="minorHAnsi" w:cs="Times New Roman"/>
              </w:rPr>
              <w:t xml:space="preserve"> prior to the initiation of treatmen</w:t>
            </w:r>
            <w:r w:rsidR="000F0B09">
              <w:rPr>
                <w:rFonts w:asciiTheme="minorHAnsi" w:eastAsia="Calibri" w:hAnsiTheme="minorHAnsi" w:cs="Times New Roman"/>
              </w:rPr>
              <w:t>t.</w:t>
            </w:r>
          </w:p>
        </w:tc>
      </w:tr>
      <w:tr w:rsidR="00833CF9" w:rsidRPr="00683C41" w14:paraId="2A77529D" w14:textId="77777777" w:rsidTr="00833CF9">
        <w:trPr>
          <w:trHeight w:val="71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ECF321B" w14:textId="77777777" w:rsidR="00833CF9" w:rsidRPr="00683C41" w:rsidRDefault="00833CF9" w:rsidP="00833CF9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DC21A49" w14:textId="6424A2B0" w:rsidR="00833CF9" w:rsidRPr="006F5894" w:rsidRDefault="00833CF9" w:rsidP="00833CF9">
            <w:pPr>
              <w:pStyle w:val="BodyText"/>
              <w:ind w:left="90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/>
              </w:rPr>
              <w:t>All patients, regardless of age, with a diagnosis of prostate cancer receiving radiation therapy</w:t>
            </w:r>
            <w:r w:rsidR="00A765AC" w:rsidRPr="006F5894">
              <w:rPr>
                <w:rFonts w:asciiTheme="minorHAnsi" w:hAnsiTheme="minorHAnsi"/>
              </w:rPr>
              <w:t xml:space="preserve"> to the primary disease site</w:t>
            </w:r>
            <w:r w:rsidR="0003038D" w:rsidRPr="006F5894">
              <w:rPr>
                <w:rFonts w:asciiTheme="minorHAnsi" w:hAnsiTheme="minorHAnsi"/>
              </w:rPr>
              <w:t>.</w:t>
            </w:r>
          </w:p>
        </w:tc>
      </w:tr>
      <w:tr w:rsidR="00833CF9" w:rsidRPr="00683C41" w14:paraId="3506559F" w14:textId="77777777" w:rsidTr="00BA1251">
        <w:trPr>
          <w:trHeight w:val="602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EA920AF" w14:textId="77777777" w:rsidR="00833CF9" w:rsidRPr="00683C41" w:rsidRDefault="00833CF9" w:rsidP="00833CF9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19D099B" w14:textId="77777777" w:rsidR="00F46754" w:rsidRPr="006F5894" w:rsidRDefault="00F46754" w:rsidP="00833CF9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6F5894">
              <w:t>Patients with low-risk prostate cancer.</w:t>
            </w:r>
          </w:p>
          <w:p w14:paraId="6B00EB78" w14:textId="7113B327" w:rsidR="00833CF9" w:rsidRPr="006F5894" w:rsidRDefault="00833CF9" w:rsidP="00833CF9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6F5894">
              <w:t>Patients</w:t>
            </w:r>
            <w:r w:rsidR="003037D4" w:rsidRPr="006F5894">
              <w:t xml:space="preserve"> receiving</w:t>
            </w:r>
            <w:r w:rsidRPr="006F5894">
              <w:t xml:space="preserve"> </w:t>
            </w:r>
            <w:r w:rsidR="008E6A50" w:rsidRPr="006F5894">
              <w:t>post-prostatectomy</w:t>
            </w:r>
            <w:r w:rsidR="003037D4" w:rsidRPr="006F5894">
              <w:t xml:space="preserve"> care</w:t>
            </w:r>
            <w:r w:rsidR="000F0B09" w:rsidRPr="006F5894">
              <w:t>.</w:t>
            </w:r>
          </w:p>
          <w:p w14:paraId="7957B6A2" w14:textId="1A97FF20" w:rsidR="007C4298" w:rsidRPr="006F5894" w:rsidRDefault="007C4298" w:rsidP="007C4298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6F5894">
              <w:t>Patients with</w:t>
            </w:r>
            <w:r w:rsidR="00566AEC" w:rsidRPr="006F5894">
              <w:t xml:space="preserve"> a</w:t>
            </w:r>
            <w:r w:rsidRPr="006F5894">
              <w:t xml:space="preserve"> contraindication to MRI.</w:t>
            </w:r>
          </w:p>
        </w:tc>
      </w:tr>
      <w:tr w:rsidR="00833CF9" w:rsidRPr="00683C41" w14:paraId="2858CB9C" w14:textId="77777777" w:rsidTr="000F0B09">
        <w:trPr>
          <w:trHeight w:val="54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F0F7679" w14:textId="77777777" w:rsidR="00833CF9" w:rsidRPr="00683C41" w:rsidRDefault="00833CF9" w:rsidP="00833CF9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02A4625" w14:textId="3EA917E4" w:rsidR="007C4298" w:rsidRDefault="007C4298" w:rsidP="007C4298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C2569F">
              <w:rPr>
                <w:rFonts w:eastAsia="Times New Roman"/>
              </w:rPr>
              <w:t>Contraindication to MRI includes, but is not limited to:</w:t>
            </w:r>
          </w:p>
          <w:p w14:paraId="10D1CA4B" w14:textId="77777777" w:rsidR="007C4298" w:rsidRDefault="007C4298" w:rsidP="007C4298">
            <w:pPr>
              <w:pStyle w:val="ListParagraph"/>
              <w:numPr>
                <w:ilvl w:val="1"/>
                <w:numId w:val="1"/>
              </w:numPr>
              <w:ind w:right="479"/>
              <w:rPr>
                <w:rFonts w:eastAsia="Times New Roman"/>
              </w:rPr>
            </w:pPr>
            <w:r w:rsidRPr="00C2569F">
              <w:rPr>
                <w:rFonts w:eastAsia="Times New Roman"/>
              </w:rPr>
              <w:t>Patients with a cardiovascular implantable electronic device</w:t>
            </w:r>
            <w:r>
              <w:rPr>
                <w:rFonts w:eastAsia="Times New Roman"/>
              </w:rPr>
              <w:t xml:space="preserve"> </w:t>
            </w:r>
            <w:r w:rsidRPr="00C2569F">
              <w:rPr>
                <w:rFonts w:eastAsia="Times New Roman"/>
              </w:rPr>
              <w:t>(CIED) (e.g., pacemaker).</w:t>
            </w:r>
          </w:p>
          <w:p w14:paraId="5B4A5259" w14:textId="77777777" w:rsidR="007C4298" w:rsidRDefault="007C4298" w:rsidP="007C4298">
            <w:pPr>
              <w:pStyle w:val="ListParagraph"/>
              <w:numPr>
                <w:ilvl w:val="1"/>
                <w:numId w:val="1"/>
              </w:numPr>
              <w:ind w:right="479"/>
              <w:rPr>
                <w:rFonts w:eastAsia="Times New Roman"/>
              </w:rPr>
            </w:pPr>
            <w:r>
              <w:rPr>
                <w:rFonts w:eastAsia="Times New Roman"/>
              </w:rPr>
              <w:t>Patients with metal objects in their body.</w:t>
            </w:r>
          </w:p>
          <w:p w14:paraId="218FFE48" w14:textId="77777777" w:rsidR="007C4298" w:rsidRDefault="007C4298" w:rsidP="007C4298">
            <w:pPr>
              <w:pStyle w:val="ListParagraph"/>
              <w:numPr>
                <w:ilvl w:val="1"/>
                <w:numId w:val="1"/>
              </w:numPr>
              <w:ind w:right="479"/>
              <w:rPr>
                <w:rFonts w:eastAsia="Times New Roman"/>
              </w:rPr>
            </w:pPr>
            <w:r w:rsidRPr="00C2569F">
              <w:rPr>
                <w:rFonts w:eastAsia="Times New Roman"/>
              </w:rPr>
              <w:t>Patients with claustrophobia or PTSD.</w:t>
            </w:r>
          </w:p>
          <w:p w14:paraId="3C4073E9" w14:textId="77777777" w:rsidR="00C2569F" w:rsidRDefault="007C4298" w:rsidP="007C4298">
            <w:pPr>
              <w:pStyle w:val="ListParagraph"/>
              <w:numPr>
                <w:ilvl w:val="1"/>
                <w:numId w:val="1"/>
              </w:numPr>
              <w:ind w:right="479"/>
              <w:rPr>
                <w:rFonts w:eastAsia="Times New Roman"/>
              </w:rPr>
            </w:pPr>
            <w:r w:rsidRPr="007C4298">
              <w:rPr>
                <w:rFonts w:eastAsia="Times New Roman"/>
              </w:rPr>
              <w:t>Patients with severe obesity.</w:t>
            </w:r>
          </w:p>
          <w:p w14:paraId="23D47352" w14:textId="15E9D16C" w:rsidR="007C4298" w:rsidRPr="007C4298" w:rsidRDefault="007C4298" w:rsidP="007C4298">
            <w:pPr>
              <w:pStyle w:val="ListParagraph"/>
              <w:numPr>
                <w:ilvl w:val="0"/>
                <w:numId w:val="1"/>
              </w:numPr>
              <w:ind w:right="479"/>
              <w:rPr>
                <w:rFonts w:eastAsia="Times New Roman"/>
              </w:rPr>
            </w:pPr>
            <w:r w:rsidRPr="00070B69">
              <w:t xml:space="preserve">Previously </w:t>
            </w:r>
            <w:r>
              <w:t xml:space="preserve">a component of </w:t>
            </w:r>
            <w:r w:rsidRPr="00070B69">
              <w:t>Prostate Measure #</w:t>
            </w:r>
            <w:r>
              <w:t>3 (GU QM 3).</w:t>
            </w:r>
          </w:p>
        </w:tc>
      </w:tr>
      <w:tr w:rsidR="00833CF9" w:rsidRPr="00683C41" w14:paraId="374F9EAE" w14:textId="77777777" w:rsidTr="00833CF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187E9B3" w14:textId="77777777" w:rsidR="00833CF9" w:rsidRPr="00683C41" w:rsidRDefault="00833CF9" w:rsidP="00833CF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61D638E" w14:textId="412A24C9" w:rsidR="00833CF9" w:rsidRDefault="00833CF9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0F0B09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0F0B09">
              <w:rPr>
                <w:rFonts w:asciiTheme="minorHAnsi" w:hAnsiTheme="minorHAnsi"/>
              </w:rPr>
              <w:t>.</w:t>
            </w:r>
          </w:p>
          <w:p w14:paraId="5BD9383F" w14:textId="4E59AB07" w:rsidR="00833CF9" w:rsidRPr="00683C41" w:rsidRDefault="005A0A86" w:rsidP="005075D6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Expected Performance Rate: </w:t>
            </w:r>
            <w:r w:rsidR="008040E0">
              <w:rPr>
                <w:rFonts w:asciiTheme="minorHAnsi" w:hAnsiTheme="minorHAnsi"/>
              </w:rPr>
              <w:t>75</w:t>
            </w:r>
            <w:r>
              <w:rPr>
                <w:rFonts w:asciiTheme="minorHAnsi" w:hAnsiTheme="minorHAnsi"/>
              </w:rPr>
              <w:t xml:space="preserve">% </w:t>
            </w:r>
          </w:p>
        </w:tc>
      </w:tr>
      <w:tr w:rsidR="00833CF9" w:rsidRPr="00683C41" w14:paraId="1C701641" w14:textId="77777777" w:rsidTr="00833CF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0487523B" w14:textId="77777777" w:rsidR="00833CF9" w:rsidRPr="00683C41" w:rsidRDefault="00833CF9" w:rsidP="00833CF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66A4CD1" w14:textId="6102FA97" w:rsidR="00833CF9" w:rsidRPr="00B33785" w:rsidRDefault="00E55CB1" w:rsidP="00833CF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73118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0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CF9" w:rsidRPr="00B33785">
              <w:rPr>
                <w:rFonts w:asciiTheme="minorHAnsi" w:hAnsiTheme="minorHAnsi"/>
              </w:rPr>
              <w:t xml:space="preserve"> Quality Measure</w:t>
            </w:r>
          </w:p>
          <w:p w14:paraId="4711CE49" w14:textId="4A5464E5" w:rsidR="00833CF9" w:rsidRPr="00B33785" w:rsidRDefault="00E55CB1" w:rsidP="00833CF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311486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0E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CF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112390A0" w14:textId="18D31CF2" w:rsidR="00833CF9" w:rsidRPr="00781F9B" w:rsidRDefault="00E55CB1" w:rsidP="00833CF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85449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0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CF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7E7D9392" w14:textId="32934EE9" w:rsidR="005A0A86" w:rsidRDefault="005A0A86"/>
    <w:p w14:paraId="584718AF" w14:textId="714E1B27" w:rsidR="005A0A86" w:rsidRDefault="005A0A86"/>
    <w:p w14:paraId="186AA413" w14:textId="4E252805" w:rsidR="004D5AA4" w:rsidRDefault="004D5AA4"/>
    <w:p w14:paraId="39B0F580" w14:textId="650DABFB" w:rsidR="0029057C" w:rsidRDefault="00CA72B8" w:rsidP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992B25" w:rsidRPr="00683C41" w14:paraId="5D2C63C2" w14:textId="77777777" w:rsidTr="00992B25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C3BCCCB" w14:textId="386848E3" w:rsidR="00992B25" w:rsidRPr="00B76B99" w:rsidRDefault="00A102FC" w:rsidP="00992B25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r w:rsidRPr="00683C41">
              <w:lastRenderedPageBreak/>
              <w:br w:type="page"/>
            </w:r>
            <w:bookmarkStart w:id="5" w:name="_Toc75166480"/>
            <w:bookmarkStart w:id="6" w:name="_Hlk66786327"/>
            <w:r w:rsidR="00992B25">
              <w:rPr>
                <w:rFonts w:asciiTheme="minorHAnsi" w:eastAsia="Calibri" w:hAnsiTheme="minorHAnsi" w:cs="Times New Roman"/>
                <w:i w:val="0"/>
                <w:iCs/>
              </w:rPr>
              <w:t xml:space="preserve">PET </w:t>
            </w:r>
            <w:r w:rsidR="006D5793" w:rsidRPr="001F5657">
              <w:rPr>
                <w:rFonts w:asciiTheme="minorHAnsi" w:eastAsia="Calibri" w:hAnsiTheme="minorHAnsi" w:cs="Times New Roman"/>
                <w:i w:val="0"/>
                <w:iCs/>
              </w:rPr>
              <w:t>Imaging</w:t>
            </w:r>
            <w:r w:rsidR="00992B25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(#A-</w:t>
            </w:r>
            <w:r w:rsidR="00F46754">
              <w:rPr>
                <w:rFonts w:asciiTheme="minorHAnsi" w:eastAsia="Calibri" w:hAnsiTheme="minorHAnsi" w:cs="Times New Roman"/>
                <w:i w:val="0"/>
                <w:iCs/>
              </w:rPr>
              <w:t>4</w:t>
            </w:r>
            <w:r w:rsidR="00992B25"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r w:rsidR="00AC6BC7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6D5793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SURVEILLANCE</w:t>
            </w:r>
            <w:bookmarkEnd w:id="5"/>
          </w:p>
        </w:tc>
      </w:tr>
      <w:tr w:rsidR="00992B25" w:rsidRPr="00683C41" w14:paraId="5ACBB9EF" w14:textId="77777777" w:rsidTr="006F5894">
        <w:trPr>
          <w:trHeight w:val="36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C9CE879" w14:textId="1F8B7219" w:rsidR="00992B25" w:rsidRPr="006F5894" w:rsidRDefault="00992B25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A8F6969" w14:textId="6F457987" w:rsidR="00992B25" w:rsidRPr="009B32D4" w:rsidRDefault="00992B25" w:rsidP="00992B25">
            <w:pPr>
              <w:pStyle w:val="BodyText"/>
              <w:ind w:left="67" w:right="479"/>
              <w:rPr>
                <w:rFonts w:asciiTheme="minorHAnsi" w:eastAsia="Calibri" w:hAnsiTheme="minorHAnsi" w:cs="Times New Roman"/>
              </w:rPr>
            </w:pPr>
            <w:r w:rsidRPr="00781F9B">
              <w:rPr>
                <w:rFonts w:asciiTheme="minorHAnsi" w:eastAsia="Calibri" w:hAnsiTheme="minorHAnsi" w:cs="Times New Roman"/>
              </w:rPr>
              <w:t>Patients with</w:t>
            </w:r>
            <w:r>
              <w:rPr>
                <w:rFonts w:asciiTheme="minorHAnsi" w:eastAsia="Calibri" w:hAnsiTheme="minorHAnsi" w:cs="Times New Roman"/>
              </w:rPr>
              <w:t xml:space="preserve"> a PET scan performed</w:t>
            </w:r>
            <w:r w:rsidRPr="00781F9B">
              <w:rPr>
                <w:rFonts w:asciiTheme="minorHAnsi" w:eastAsia="Calibri" w:hAnsiTheme="minorHAnsi" w:cs="Times New Roman"/>
              </w:rPr>
              <w:t xml:space="preserve"> prior to the initiation of treatmen</w:t>
            </w:r>
            <w:r>
              <w:rPr>
                <w:rFonts w:asciiTheme="minorHAnsi" w:eastAsia="Calibri" w:hAnsiTheme="minorHAnsi" w:cs="Times New Roman"/>
              </w:rPr>
              <w:t>t.</w:t>
            </w:r>
          </w:p>
        </w:tc>
      </w:tr>
      <w:tr w:rsidR="00992B25" w:rsidRPr="00683C41" w14:paraId="05C45FB0" w14:textId="77777777" w:rsidTr="00992B25">
        <w:trPr>
          <w:trHeight w:val="71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4A8E907" w14:textId="77777777" w:rsidR="00992B25" w:rsidRPr="00683C41" w:rsidRDefault="00992B25" w:rsidP="00992B25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F009E43" w14:textId="1BED24EB" w:rsidR="00992B25" w:rsidRPr="00683C41" w:rsidRDefault="00992B25" w:rsidP="00992B25">
            <w:pPr>
              <w:pStyle w:val="BodyText"/>
              <w:ind w:left="90" w:right="479"/>
              <w:rPr>
                <w:rFonts w:asciiTheme="minorHAnsi" w:hAnsiTheme="minorHAnsi"/>
              </w:rPr>
            </w:pPr>
            <w:r w:rsidRPr="00EC59F5">
              <w:rPr>
                <w:rFonts w:asciiTheme="minorHAnsi" w:hAnsiTheme="minorHAnsi"/>
              </w:rPr>
              <w:t>All patients, regardl</w:t>
            </w:r>
            <w:r>
              <w:rPr>
                <w:rFonts w:asciiTheme="minorHAnsi" w:hAnsiTheme="minorHAnsi"/>
              </w:rPr>
              <w:t>ess of age, with a diagnosis of prostate cancer</w:t>
            </w:r>
            <w:r w:rsidR="00AC6BC7">
              <w:rPr>
                <w:rFonts w:asciiTheme="minorHAnsi" w:hAnsiTheme="minorHAnsi"/>
              </w:rPr>
              <w:t xml:space="preserve"> </w:t>
            </w:r>
            <w:r w:rsidR="00AC6BC7" w:rsidRPr="00AC6BC7">
              <w:rPr>
                <w:rFonts w:asciiTheme="minorHAnsi" w:hAnsiTheme="minorHAnsi"/>
                <w:b/>
                <w:bCs/>
              </w:rPr>
              <w:t>AND</w:t>
            </w:r>
            <w:r w:rsidR="008040E0">
              <w:rPr>
                <w:rFonts w:asciiTheme="minorHAnsi" w:hAnsiTheme="minorHAnsi"/>
                <w:b/>
                <w:bCs/>
              </w:rPr>
              <w:t xml:space="preserve"> </w:t>
            </w:r>
            <w:r w:rsidR="008E6A50">
              <w:rPr>
                <w:rFonts w:asciiTheme="minorHAnsi" w:hAnsiTheme="minorHAnsi"/>
              </w:rPr>
              <w:t>post-prostatectomy</w:t>
            </w:r>
            <w:r w:rsidR="008040E0" w:rsidRPr="006042FB">
              <w:rPr>
                <w:rFonts w:asciiTheme="minorHAnsi" w:hAnsiTheme="minorHAnsi"/>
              </w:rPr>
              <w:t xml:space="preserve"> </w:t>
            </w:r>
            <w:r w:rsidR="008040E0">
              <w:rPr>
                <w:rFonts w:asciiTheme="minorHAnsi" w:hAnsiTheme="minorHAnsi"/>
                <w:b/>
                <w:bCs/>
              </w:rPr>
              <w:t>AND</w:t>
            </w:r>
            <w:r w:rsidR="00AC6BC7">
              <w:rPr>
                <w:rFonts w:asciiTheme="minorHAnsi" w:hAnsiTheme="minorHAnsi"/>
              </w:rPr>
              <w:t xml:space="preserve"> biochemical failure</w:t>
            </w:r>
            <w:r>
              <w:rPr>
                <w:rFonts w:asciiTheme="minorHAnsi" w:hAnsiTheme="minorHAnsi"/>
              </w:rPr>
              <w:t xml:space="preserve"> </w:t>
            </w:r>
            <w:r w:rsidRPr="00EC59F5">
              <w:rPr>
                <w:rFonts w:asciiTheme="minorHAnsi" w:hAnsiTheme="minorHAnsi"/>
              </w:rPr>
              <w:t xml:space="preserve">receiving </w:t>
            </w:r>
            <w:r w:rsidRPr="006F5894">
              <w:rPr>
                <w:rFonts w:asciiTheme="minorHAnsi" w:hAnsiTheme="minorHAnsi"/>
              </w:rPr>
              <w:t>radiation therapy.</w:t>
            </w:r>
          </w:p>
        </w:tc>
      </w:tr>
      <w:tr w:rsidR="00992B25" w:rsidRPr="00683C41" w14:paraId="773998F4" w14:textId="77777777" w:rsidTr="00992B25">
        <w:trPr>
          <w:trHeight w:val="602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997936A" w14:textId="77777777" w:rsidR="00992B25" w:rsidRPr="00683C41" w:rsidRDefault="00992B25" w:rsidP="00992B25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BB91A7B" w14:textId="250CB245" w:rsidR="008040E0" w:rsidRPr="007119FD" w:rsidRDefault="00C35CDB" w:rsidP="007119FD">
            <w:pPr>
              <w:pStyle w:val="ListParagraph"/>
              <w:numPr>
                <w:ilvl w:val="0"/>
                <w:numId w:val="28"/>
              </w:numPr>
              <w:ind w:right="479"/>
              <w:rPr>
                <w:rFonts w:eastAsia="Times New Roman"/>
              </w:rPr>
            </w:pPr>
            <w:r w:rsidRPr="007119FD">
              <w:rPr>
                <w:rFonts w:eastAsia="Times New Roman"/>
              </w:rPr>
              <w:t>Patients with known metastatic disease based on conventional imaging.</w:t>
            </w:r>
          </w:p>
        </w:tc>
      </w:tr>
      <w:tr w:rsidR="00992B25" w:rsidRPr="00683C41" w14:paraId="02F1F533" w14:textId="77777777" w:rsidTr="00992B25">
        <w:trPr>
          <w:trHeight w:val="54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7ADB249" w14:textId="77777777" w:rsidR="00992B25" w:rsidRPr="00683C41" w:rsidRDefault="00992B25" w:rsidP="00992B25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D9D9F37" w14:textId="3DE9064C" w:rsidR="00992B25" w:rsidRPr="00683C41" w:rsidRDefault="00CF48D0" w:rsidP="004D5AA4">
            <w:r>
              <w:t xml:space="preserve"> None.</w:t>
            </w:r>
          </w:p>
        </w:tc>
      </w:tr>
      <w:tr w:rsidR="00992B25" w:rsidRPr="00683C41" w14:paraId="6AAD0C53" w14:textId="77777777" w:rsidTr="00992B25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7584E71" w14:textId="77777777" w:rsidR="00992B25" w:rsidRPr="00683C41" w:rsidRDefault="00992B25" w:rsidP="00992B25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31C5FF46" w14:textId="4C3D2499" w:rsidR="00992B25" w:rsidRDefault="00992B25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= Better.</w:t>
            </w:r>
          </w:p>
          <w:p w14:paraId="13DEF015" w14:textId="72492F26" w:rsidR="00992B25" w:rsidRPr="00683C41" w:rsidRDefault="004F6A44" w:rsidP="004F6A44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Expected Performance Rate:</w:t>
            </w:r>
            <w:r w:rsidR="006D5793">
              <w:rPr>
                <w:rFonts w:asciiTheme="minorHAnsi" w:hAnsiTheme="minorHAnsi"/>
              </w:rPr>
              <w:t xml:space="preserve"> N/A</w:t>
            </w:r>
          </w:p>
        </w:tc>
      </w:tr>
      <w:tr w:rsidR="00992B25" w:rsidRPr="00683C41" w14:paraId="66C47420" w14:textId="77777777" w:rsidTr="00992B25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0BBEBCEC" w14:textId="77777777" w:rsidR="00992B25" w:rsidRPr="00683C41" w:rsidRDefault="00992B25" w:rsidP="00992B25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F626B5F" w14:textId="08D5677B" w:rsidR="00992B25" w:rsidRPr="00B33785" w:rsidRDefault="00E55CB1" w:rsidP="00992B25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36178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B25" w:rsidRPr="00B33785">
              <w:rPr>
                <w:rFonts w:asciiTheme="minorHAnsi" w:hAnsiTheme="minorHAnsi"/>
              </w:rPr>
              <w:t xml:space="preserve"> Quality Measure</w:t>
            </w:r>
          </w:p>
          <w:p w14:paraId="6DBDF9D8" w14:textId="7B4B3BEB" w:rsidR="00992B25" w:rsidRPr="00B33785" w:rsidRDefault="00E55CB1" w:rsidP="00992B25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211026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7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B25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2C26C79C" w14:textId="6B2FED5E" w:rsidR="00992B25" w:rsidRPr="00781F9B" w:rsidRDefault="00E55CB1" w:rsidP="00992B25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87414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79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2B25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  <w:bookmarkEnd w:id="6"/>
    </w:tbl>
    <w:p w14:paraId="6370A5D9" w14:textId="5B99F094" w:rsidR="00CA72B8" w:rsidRDefault="00CA72B8">
      <w:pPr>
        <w:widowControl/>
        <w:spacing w:after="160" w:line="259" w:lineRule="auto"/>
      </w:pPr>
    </w:p>
    <w:p w14:paraId="3BAF3BCD" w14:textId="77777777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710072" w:rsidRPr="00683C41" w14:paraId="2347BD65" w14:textId="77777777" w:rsidTr="00B76B99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B8BF520" w14:textId="4BD1765C" w:rsidR="00710072" w:rsidRPr="00B76B99" w:rsidRDefault="004735B3" w:rsidP="00C662F9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7" w:name="_Toc75166481"/>
            <w:r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*</w:t>
            </w:r>
            <w:r w:rsidR="00C662F9" w:rsidRPr="001F5657">
              <w:rPr>
                <w:rFonts w:asciiTheme="minorHAnsi" w:eastAsia="Calibri" w:hAnsiTheme="minorHAnsi" w:cs="Times New Roman"/>
                <w:i w:val="0"/>
                <w:iCs/>
              </w:rPr>
              <w:t>Discussion</w:t>
            </w:r>
            <w:r w:rsidR="00C662F9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of </w:t>
            </w:r>
            <w:r w:rsidR="00710072" w:rsidRPr="00B76B99">
              <w:rPr>
                <w:rFonts w:asciiTheme="minorHAnsi" w:eastAsia="Calibri" w:hAnsiTheme="minorHAnsi" w:cs="Times New Roman"/>
                <w:i w:val="0"/>
                <w:iCs/>
              </w:rPr>
              <w:t>Treatment Options</w:t>
            </w:r>
            <w:r w:rsidR="00621B52"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for </w:t>
            </w:r>
            <w:r w:rsidR="008E6A50">
              <w:rPr>
                <w:rFonts w:asciiTheme="minorHAnsi" w:eastAsia="Calibri" w:hAnsiTheme="minorHAnsi" w:cs="Times New Roman"/>
                <w:i w:val="0"/>
                <w:iCs/>
              </w:rPr>
              <w:t>Intermediate-</w:t>
            </w:r>
            <w:r w:rsidR="00F75683">
              <w:rPr>
                <w:rFonts w:asciiTheme="minorHAnsi" w:eastAsia="Calibri" w:hAnsiTheme="minorHAnsi" w:cs="Times New Roman"/>
                <w:i w:val="0"/>
                <w:iCs/>
              </w:rPr>
              <w:t>R</w:t>
            </w:r>
            <w:r w:rsidR="008E6A50">
              <w:rPr>
                <w:rFonts w:asciiTheme="minorHAnsi" w:eastAsia="Calibri" w:hAnsiTheme="minorHAnsi" w:cs="Times New Roman"/>
                <w:i w:val="0"/>
                <w:iCs/>
              </w:rPr>
              <w:t>isk</w:t>
            </w:r>
            <w:r w:rsidR="009E0D74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8E6A50">
              <w:rPr>
                <w:rFonts w:asciiTheme="minorHAnsi" w:eastAsia="Calibri" w:hAnsiTheme="minorHAnsi" w:cs="Times New Roman"/>
                <w:i w:val="0"/>
                <w:iCs/>
              </w:rPr>
              <w:t xml:space="preserve">Disease 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(</w:t>
            </w:r>
            <w:r w:rsidR="00B25C9C">
              <w:rPr>
                <w:rFonts w:asciiTheme="minorHAnsi" w:eastAsia="Calibri" w:hAnsiTheme="minorHAnsi" w:cs="Times New Roman"/>
                <w:i w:val="0"/>
                <w:iCs/>
              </w:rPr>
              <w:t>#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A-</w:t>
            </w:r>
            <w:r w:rsidR="003A1328">
              <w:rPr>
                <w:rFonts w:asciiTheme="minorHAnsi" w:eastAsia="Calibri" w:hAnsiTheme="minorHAnsi" w:cs="Times New Roman"/>
                <w:i w:val="0"/>
                <w:iCs/>
              </w:rPr>
              <w:t>5</w:t>
            </w:r>
            <w:r w:rsidR="00070B69"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7"/>
          </w:p>
        </w:tc>
      </w:tr>
      <w:tr w:rsidR="00710072" w:rsidRPr="00683C41" w14:paraId="43B3A921" w14:textId="77777777" w:rsidTr="00BA1251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2398D55" w14:textId="77777777" w:rsidR="00710072" w:rsidRPr="00683C41" w:rsidRDefault="00710072" w:rsidP="00710072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  <w:p w14:paraId="44EFADDA" w14:textId="77777777" w:rsidR="00710072" w:rsidRPr="00683C41" w:rsidRDefault="00710072" w:rsidP="00710072">
            <w:pPr>
              <w:pStyle w:val="Heading5"/>
              <w:spacing w:before="72"/>
              <w:rPr>
                <w:rFonts w:asciiTheme="minorHAnsi" w:hAnsiTheme="minorHAnsi"/>
                <w:w w:val="95"/>
              </w:rPr>
            </w:pP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872F53E" w14:textId="626769E3" w:rsidR="00A102FC" w:rsidRPr="00683C41" w:rsidRDefault="00710072" w:rsidP="00710072">
            <w:pPr>
              <w:ind w:left="67" w:right="479"/>
              <w:rPr>
                <w:rFonts w:eastAsia="Calibri" w:cs="Times New Roman"/>
              </w:rPr>
            </w:pPr>
            <w:r w:rsidRPr="00683C41">
              <w:rPr>
                <w:rFonts w:eastAsia="Calibri" w:cs="Times New Roman"/>
              </w:rPr>
              <w:t>Patients who received counseling on treatment options</w:t>
            </w:r>
            <w:r w:rsidR="00A14056">
              <w:rPr>
                <w:rFonts w:eastAsia="Calibri" w:cs="Times New Roman"/>
              </w:rPr>
              <w:t>,</w:t>
            </w:r>
            <w:r w:rsidRPr="00683C41">
              <w:rPr>
                <w:rFonts w:eastAsia="Calibri" w:cs="Times New Roman"/>
              </w:rPr>
              <w:t xml:space="preserve"> prior to initiation of treatment</w:t>
            </w:r>
            <w:r w:rsidR="00BA1251">
              <w:rPr>
                <w:rFonts w:eastAsia="Calibri" w:cs="Times New Roman"/>
              </w:rPr>
              <w:t>, tha</w:t>
            </w:r>
            <w:r w:rsidR="00D32980">
              <w:rPr>
                <w:rFonts w:eastAsia="Calibri" w:cs="Times New Roman"/>
              </w:rPr>
              <w:t>t</w:t>
            </w:r>
            <w:r w:rsidR="00BA1251">
              <w:rPr>
                <w:rFonts w:eastAsia="Calibri" w:cs="Times New Roman"/>
              </w:rPr>
              <w:t xml:space="preserve"> includes</w:t>
            </w:r>
            <w:r w:rsidR="00A102FC" w:rsidRPr="00683C41">
              <w:rPr>
                <w:rFonts w:eastAsia="Calibri" w:cs="Times New Roman"/>
              </w:rPr>
              <w:t>:</w:t>
            </w:r>
          </w:p>
          <w:p w14:paraId="6B764DD1" w14:textId="77777777" w:rsidR="000F0B09" w:rsidRPr="00683C41" w:rsidRDefault="000F0B09" w:rsidP="000F0B09">
            <w:pPr>
              <w:pStyle w:val="ListParagraph"/>
              <w:numPr>
                <w:ilvl w:val="0"/>
                <w:numId w:val="6"/>
              </w:numPr>
              <w:ind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</w:t>
            </w:r>
            <w:r w:rsidRPr="00683C41">
              <w:rPr>
                <w:rFonts w:eastAsia="Calibri" w:cs="Times New Roman"/>
              </w:rPr>
              <w:t xml:space="preserve">xternal beam radiotherapy, </w:t>
            </w:r>
            <w:r w:rsidRPr="00EC59F5">
              <w:rPr>
                <w:rFonts w:eastAsia="Calibri" w:cs="Times New Roman"/>
                <w:b/>
              </w:rPr>
              <w:t xml:space="preserve">AND </w:t>
            </w:r>
          </w:p>
          <w:p w14:paraId="1C3E3CA6" w14:textId="5FF20670" w:rsidR="00A102FC" w:rsidRPr="00683C41" w:rsidRDefault="005075D6" w:rsidP="007555E4">
            <w:pPr>
              <w:pStyle w:val="ListParagraph"/>
              <w:numPr>
                <w:ilvl w:val="0"/>
                <w:numId w:val="6"/>
              </w:numPr>
              <w:ind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</w:t>
            </w:r>
            <w:r w:rsidR="00710072" w:rsidRPr="00683C41">
              <w:rPr>
                <w:rFonts w:eastAsia="Calibri" w:cs="Times New Roman"/>
              </w:rPr>
              <w:t>rachytherapy</w:t>
            </w:r>
            <w:r w:rsidR="00BA1251">
              <w:rPr>
                <w:rFonts w:eastAsia="Calibri" w:cs="Times New Roman"/>
              </w:rPr>
              <w:t>,</w:t>
            </w:r>
            <w:r w:rsidR="000F0B09">
              <w:rPr>
                <w:rFonts w:eastAsia="Calibri" w:cs="Times New Roman"/>
              </w:rPr>
              <w:t xml:space="preserve"> </w:t>
            </w:r>
            <w:r w:rsidR="00710072" w:rsidRPr="00EC59F5">
              <w:rPr>
                <w:rFonts w:eastAsia="Calibri" w:cs="Times New Roman"/>
                <w:b/>
              </w:rPr>
              <w:t xml:space="preserve">AND </w:t>
            </w:r>
          </w:p>
          <w:p w14:paraId="0B0E6E8C" w14:textId="09DAC82B" w:rsidR="000F0B09" w:rsidRPr="000F0B09" w:rsidRDefault="00FA137A" w:rsidP="000F0B09">
            <w:pPr>
              <w:pStyle w:val="ListParagraph"/>
              <w:numPr>
                <w:ilvl w:val="0"/>
                <w:numId w:val="6"/>
              </w:numPr>
              <w:ind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</w:t>
            </w:r>
            <w:r w:rsidR="00710072" w:rsidRPr="00683C41">
              <w:rPr>
                <w:rFonts w:eastAsia="Calibri" w:cs="Times New Roman"/>
              </w:rPr>
              <w:t>adical prostatectomy</w:t>
            </w:r>
            <w:r w:rsidR="00A102FC" w:rsidRPr="00683C41">
              <w:rPr>
                <w:rFonts w:eastAsia="Calibri" w:cs="Times New Roman"/>
              </w:rPr>
              <w:t>.</w:t>
            </w:r>
          </w:p>
        </w:tc>
      </w:tr>
      <w:tr w:rsidR="00710072" w:rsidRPr="00683C41" w14:paraId="1B11EA87" w14:textId="77777777" w:rsidTr="00BA1251">
        <w:trPr>
          <w:trHeight w:val="791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9F88B66" w14:textId="7D60B400" w:rsidR="00710072" w:rsidRPr="00EC59F5" w:rsidRDefault="00710072" w:rsidP="00EC59F5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F08AE42" w14:textId="21F889E6" w:rsidR="00EC59F5" w:rsidRPr="00EC59F5" w:rsidRDefault="00EC59F5" w:rsidP="00EC59F5">
            <w:pPr>
              <w:ind w:left="90" w:right="479"/>
            </w:pPr>
            <w:r w:rsidRPr="00EC59F5">
              <w:t>All patients, regardl</w:t>
            </w:r>
            <w:r>
              <w:t xml:space="preserve">ess of age, with a diagnosis of </w:t>
            </w:r>
            <w:r w:rsidR="00C35CDB">
              <w:t xml:space="preserve">intermediate-risk </w:t>
            </w:r>
            <w:r>
              <w:t xml:space="preserve">prostate cancer, as defined by NCCN, </w:t>
            </w:r>
            <w:r w:rsidRPr="00EC59F5">
              <w:t>receiving radiation therapy</w:t>
            </w:r>
            <w:r w:rsidR="00A14056">
              <w:t xml:space="preserve"> to the </w:t>
            </w:r>
            <w:r w:rsidR="00A14056" w:rsidRPr="006F5894">
              <w:t>primary disease site</w:t>
            </w:r>
            <w:r w:rsidR="000F0B09" w:rsidRPr="006F5894">
              <w:t>.</w:t>
            </w:r>
          </w:p>
        </w:tc>
      </w:tr>
      <w:tr w:rsidR="00710072" w:rsidRPr="00683C41" w14:paraId="37CD2192" w14:textId="77777777" w:rsidTr="00BA1251">
        <w:trPr>
          <w:trHeight w:val="395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6BC1FE87" w14:textId="37D37574" w:rsidR="00710072" w:rsidRPr="00EC59F5" w:rsidRDefault="00710072" w:rsidP="00EC59F5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C4E6D8B" w14:textId="04FD33E3" w:rsidR="00710072" w:rsidRPr="00CF48D0" w:rsidRDefault="00CF48D0" w:rsidP="00CF48D0">
            <w:pPr>
              <w:pStyle w:val="BodyText"/>
              <w:ind w:left="0" w:right="479"/>
              <w:rPr>
                <w:rFonts w:asciiTheme="minorHAnsi" w:hAnsiTheme="minorHAnsi"/>
              </w:rPr>
            </w:pPr>
            <w:r w:rsidRPr="00CF48D0">
              <w:rPr>
                <w:rFonts w:asciiTheme="minorHAnsi" w:hAnsiTheme="minorHAnsi"/>
              </w:rPr>
              <w:t xml:space="preserve"> N</w:t>
            </w:r>
            <w:r w:rsidRPr="00CF48D0">
              <w:rPr>
                <w:rFonts w:asciiTheme="minorHAnsi" w:hAnsiTheme="minorHAnsi"/>
                <w:w w:val="95"/>
              </w:rPr>
              <w:t>one.</w:t>
            </w:r>
          </w:p>
        </w:tc>
      </w:tr>
      <w:tr w:rsidR="00710072" w:rsidRPr="00683C41" w14:paraId="25BD8B3A" w14:textId="77777777" w:rsidTr="00BA1251">
        <w:trPr>
          <w:trHeight w:val="1178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38DC118" w14:textId="3FFA348F" w:rsidR="00710072" w:rsidRPr="00683C41" w:rsidRDefault="009B32D4" w:rsidP="00710072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2728DE1" w14:textId="016D7DB4" w:rsidR="005C1F8A" w:rsidRDefault="00AD6C03" w:rsidP="00452C7F">
            <w:pPr>
              <w:pStyle w:val="ListParagraph"/>
              <w:keepNext/>
              <w:numPr>
                <w:ilvl w:val="0"/>
                <w:numId w:val="14"/>
              </w:numPr>
            </w:pPr>
            <w:r>
              <w:t xml:space="preserve">Counseling on “radical </w:t>
            </w:r>
            <w:r w:rsidR="004B26E0">
              <w:t>prostatectomy</w:t>
            </w:r>
            <w:r>
              <w:t xml:space="preserve">” may be documented as discussion of </w:t>
            </w:r>
            <w:r w:rsidR="00C23903">
              <w:t>surgery</w:t>
            </w:r>
            <w:r>
              <w:t>. This numerator requirement would be automatically met if</w:t>
            </w:r>
            <w:r w:rsidR="00452C7F">
              <w:t xml:space="preserve"> </w:t>
            </w:r>
            <w:r w:rsidR="00A14056">
              <w:t xml:space="preserve">the </w:t>
            </w:r>
            <w:r w:rsidR="00C23903">
              <w:t xml:space="preserve">patient </w:t>
            </w:r>
            <w:proofErr w:type="gramStart"/>
            <w:r w:rsidR="00C23903">
              <w:t>was</w:t>
            </w:r>
            <w:proofErr w:type="gramEnd"/>
            <w:r w:rsidR="00C23903">
              <w:t xml:space="preserve"> previously seen by a </w:t>
            </w:r>
            <w:r w:rsidR="006F27C3">
              <w:t xml:space="preserve">urologist </w:t>
            </w:r>
            <w:r w:rsidR="00C23903">
              <w:t>for prostatectomy consult/procedure</w:t>
            </w:r>
            <w:r>
              <w:t>.</w:t>
            </w:r>
          </w:p>
          <w:p w14:paraId="718D5C39" w14:textId="77777777" w:rsidR="00710072" w:rsidRDefault="00070B69" w:rsidP="00A74A86">
            <w:pPr>
              <w:pStyle w:val="ListParagraph"/>
              <w:numPr>
                <w:ilvl w:val="0"/>
                <w:numId w:val="14"/>
              </w:numPr>
            </w:pPr>
            <w:r w:rsidRPr="00070B69">
              <w:t>Previously Prostate Measure #</w:t>
            </w:r>
            <w:r>
              <w:t>4</w:t>
            </w:r>
            <w:r w:rsidR="000F0B09">
              <w:t xml:space="preserve"> (GU QM 4)</w:t>
            </w:r>
            <w:r w:rsidRPr="00070B69">
              <w:t>.</w:t>
            </w:r>
          </w:p>
          <w:p w14:paraId="31D078F8" w14:textId="5717FC14" w:rsidR="004D4FEB" w:rsidRPr="00683C41" w:rsidRDefault="004D4FEB" w:rsidP="00A74A86">
            <w:pPr>
              <w:pStyle w:val="ListParagraph"/>
              <w:numPr>
                <w:ilvl w:val="0"/>
                <w:numId w:val="14"/>
              </w:numPr>
            </w:pPr>
            <w:r w:rsidRPr="004D4FEB">
              <w:rPr>
                <w:b/>
                <w:bCs/>
              </w:rPr>
              <w:t>*High Potential Impact Measure</w:t>
            </w:r>
          </w:p>
        </w:tc>
      </w:tr>
      <w:tr w:rsidR="00710072" w:rsidRPr="00683C41" w14:paraId="0F372234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392EE55" w14:textId="166DF5E6" w:rsidR="00710072" w:rsidRPr="00683C41" w:rsidRDefault="00710072" w:rsidP="00710072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30B066B2" w14:textId="110F1BC8" w:rsidR="005C1F8A" w:rsidRDefault="00586BF6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0F0B09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0F0B09">
              <w:rPr>
                <w:rFonts w:asciiTheme="minorHAnsi" w:hAnsiTheme="minorHAnsi"/>
              </w:rPr>
              <w:t>.</w:t>
            </w:r>
          </w:p>
          <w:p w14:paraId="66CE30E8" w14:textId="39768A06" w:rsidR="004D4FEB" w:rsidRPr="004D4FEB" w:rsidRDefault="00EE7542" w:rsidP="004D4FEB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Expected Performance Rate: 90%</w:t>
            </w:r>
          </w:p>
        </w:tc>
      </w:tr>
      <w:tr w:rsidR="00B76B99" w:rsidRPr="00683C41" w14:paraId="4D21D277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FE571E3" w14:textId="05A76F28" w:rsidR="00B76B99" w:rsidRPr="00683C41" w:rsidRDefault="00B76B99" w:rsidP="00B76B9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153CD472" w14:textId="77777777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527331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Quality Measure</w:t>
            </w:r>
          </w:p>
          <w:p w14:paraId="59AED3B5" w14:textId="77777777" w:rsidR="00B76B99" w:rsidRPr="00B33785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33067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604EE130" w14:textId="22FCACBC" w:rsidR="00B76B99" w:rsidRPr="00D93CDE" w:rsidRDefault="00E55CB1" w:rsidP="00B76B9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36913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B9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2916342F" w14:textId="1D923E42" w:rsidR="00CA72B8" w:rsidRDefault="00CA72B8">
      <w:pPr>
        <w:widowControl/>
        <w:spacing w:after="160" w:line="259" w:lineRule="auto"/>
      </w:pPr>
    </w:p>
    <w:p w14:paraId="0E6B1CEE" w14:textId="77777777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0F0B09" w:rsidRPr="00683C41" w14:paraId="719ABCE7" w14:textId="77777777" w:rsidTr="00BA1251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D160A6D" w14:textId="3456185C" w:rsidR="000F0B09" w:rsidRPr="00B76B99" w:rsidRDefault="000F0B09" w:rsidP="00BA1251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8" w:name="_Toc75166482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Multi</w:t>
            </w:r>
            <w:r w:rsidR="00EE7542" w:rsidRPr="001F5657">
              <w:rPr>
                <w:rFonts w:asciiTheme="minorHAnsi" w:eastAsia="Calibri" w:hAnsiTheme="minorHAnsi" w:cs="Times New Roman"/>
                <w:i w:val="0"/>
                <w:iCs/>
              </w:rPr>
              <w:t>disciplinary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Consult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B25C9C">
              <w:rPr>
                <w:rFonts w:asciiTheme="minorHAnsi" w:eastAsia="Calibri" w:hAnsiTheme="minorHAnsi" w:cs="Times New Roman"/>
                <w:i w:val="0"/>
                <w:iCs/>
              </w:rPr>
              <w:t>Documentation</w:t>
            </w:r>
            <w:r w:rsidR="00FE2D47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>(</w:t>
            </w:r>
            <w:r w:rsidR="00B25C9C">
              <w:rPr>
                <w:rFonts w:asciiTheme="minorHAnsi" w:eastAsia="Calibri" w:hAnsiTheme="minorHAnsi" w:cs="Times New Roman"/>
                <w:i w:val="0"/>
                <w:iCs/>
              </w:rPr>
              <w:t>#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>A-</w:t>
            </w:r>
            <w:r w:rsidR="003A1328">
              <w:rPr>
                <w:rFonts w:asciiTheme="minorHAnsi" w:eastAsia="Calibri" w:hAnsiTheme="minorHAnsi" w:cs="Times New Roman"/>
                <w:i w:val="0"/>
                <w:iCs/>
              </w:rPr>
              <w:t>6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8"/>
          </w:p>
        </w:tc>
      </w:tr>
      <w:tr w:rsidR="000F0B09" w:rsidRPr="00683C41" w14:paraId="437DD6AA" w14:textId="77777777" w:rsidTr="00BA1251">
        <w:trPr>
          <w:trHeight w:val="73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84DEACB" w14:textId="77777777" w:rsidR="000F0B09" w:rsidRPr="00683C41" w:rsidRDefault="000F0B09" w:rsidP="00BA1251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  <w:p w14:paraId="403557C5" w14:textId="77777777" w:rsidR="000F0B09" w:rsidRPr="00683C41" w:rsidRDefault="000F0B09" w:rsidP="00BA1251">
            <w:pPr>
              <w:pStyle w:val="Heading5"/>
              <w:spacing w:before="72"/>
              <w:rPr>
                <w:rFonts w:asciiTheme="minorHAnsi" w:hAnsiTheme="minorHAnsi"/>
                <w:w w:val="95"/>
              </w:rPr>
            </w:pP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342D7B1" w14:textId="45595D3F" w:rsidR="00B25C9C" w:rsidRDefault="000F0B09" w:rsidP="00BA1251">
            <w:pPr>
              <w:ind w:left="67" w:right="479"/>
              <w:rPr>
                <w:rFonts w:eastAsia="Calibri" w:cs="Times New Roman"/>
              </w:rPr>
            </w:pPr>
            <w:r w:rsidRPr="00683C41">
              <w:rPr>
                <w:rFonts w:eastAsia="Calibri" w:cs="Times New Roman"/>
              </w:rPr>
              <w:t xml:space="preserve">Patients </w:t>
            </w:r>
            <w:r w:rsidR="00BA1251">
              <w:rPr>
                <w:rFonts w:eastAsia="Calibri" w:cs="Times New Roman"/>
              </w:rPr>
              <w:t>with</w:t>
            </w:r>
            <w:r w:rsidRPr="00683C41">
              <w:rPr>
                <w:rFonts w:eastAsia="Calibri" w:cs="Times New Roman"/>
              </w:rPr>
              <w:t xml:space="preserve"> </w:t>
            </w:r>
            <w:r w:rsidR="00B25C9C">
              <w:rPr>
                <w:rFonts w:eastAsia="Calibri" w:cs="Times New Roman"/>
              </w:rPr>
              <w:t>multidisciplinary consult</w:t>
            </w:r>
            <w:r w:rsidR="00BA1251">
              <w:rPr>
                <w:rFonts w:eastAsia="Calibri" w:cs="Times New Roman"/>
              </w:rPr>
              <w:t>,</w:t>
            </w:r>
            <w:r w:rsidR="00B25C9C">
              <w:rPr>
                <w:rFonts w:eastAsia="Calibri" w:cs="Times New Roman"/>
              </w:rPr>
              <w:t xml:space="preserve"> prior to the </w:t>
            </w:r>
            <w:r w:rsidR="00EE7542">
              <w:rPr>
                <w:rFonts w:eastAsia="Calibri" w:cs="Times New Roman"/>
              </w:rPr>
              <w:t>initiation</w:t>
            </w:r>
            <w:r w:rsidR="00B25C9C">
              <w:rPr>
                <w:rFonts w:eastAsia="Calibri" w:cs="Times New Roman"/>
              </w:rPr>
              <w:t xml:space="preserve"> of radiation treatment, demonstrated by: </w:t>
            </w:r>
          </w:p>
          <w:p w14:paraId="78CA2D9B" w14:textId="0D3247DA" w:rsidR="00B25C9C" w:rsidRDefault="00B25C9C" w:rsidP="00B25C9C">
            <w:pPr>
              <w:ind w:left="720"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1. Discussion at multidisciplinary tumor board</w:t>
            </w:r>
          </w:p>
          <w:p w14:paraId="5CFB3B47" w14:textId="40A6CC58" w:rsidR="00B25C9C" w:rsidRPr="00863C28" w:rsidRDefault="00B25C9C" w:rsidP="00B25C9C">
            <w:pPr>
              <w:ind w:left="1695" w:right="479"/>
              <w:rPr>
                <w:rFonts w:eastAsia="Calibri" w:cs="Times New Roman"/>
                <w:b/>
                <w:bCs/>
              </w:rPr>
            </w:pPr>
            <w:r w:rsidRPr="00863C28">
              <w:rPr>
                <w:rFonts w:eastAsia="Calibri" w:cs="Times New Roman"/>
                <w:b/>
                <w:bCs/>
              </w:rPr>
              <w:t>OR</w:t>
            </w:r>
          </w:p>
          <w:p w14:paraId="6116D1DC" w14:textId="65F154AA" w:rsidR="000F0B09" w:rsidRPr="00B25C9C" w:rsidRDefault="00B25C9C" w:rsidP="00B25C9C">
            <w:pPr>
              <w:ind w:left="705" w:right="479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2. </w:t>
            </w:r>
            <w:r w:rsidR="00766BCC">
              <w:rPr>
                <w:rFonts w:eastAsia="Calibri" w:cs="Times New Roman"/>
              </w:rPr>
              <w:t xml:space="preserve">Discussion </w:t>
            </w:r>
            <w:r>
              <w:rPr>
                <w:rFonts w:eastAsia="Calibri" w:cs="Times New Roman"/>
              </w:rPr>
              <w:t>with a</w:t>
            </w:r>
            <w:r w:rsidR="005075D6">
              <w:rPr>
                <w:rFonts w:eastAsia="Calibri" w:cs="Times New Roman"/>
              </w:rPr>
              <w:t xml:space="preserve"> urologist</w:t>
            </w:r>
            <w:r>
              <w:rPr>
                <w:rFonts w:eastAsia="Calibri" w:cs="Times New Roman"/>
              </w:rPr>
              <w:t>.</w:t>
            </w:r>
          </w:p>
        </w:tc>
      </w:tr>
      <w:tr w:rsidR="000F0B09" w:rsidRPr="00683C41" w14:paraId="5F7B3E17" w14:textId="77777777" w:rsidTr="00BA1251">
        <w:trPr>
          <w:trHeight w:val="791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DA10742" w14:textId="77777777" w:rsidR="000F0B09" w:rsidRPr="00EC59F5" w:rsidRDefault="000F0B09" w:rsidP="00BA1251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35A03E1A" w14:textId="5E55CE5B" w:rsidR="000F0B09" w:rsidRPr="006F5894" w:rsidRDefault="000F0B09" w:rsidP="00BA1251">
            <w:pPr>
              <w:ind w:left="90" w:right="479"/>
            </w:pPr>
            <w:r w:rsidRPr="006F5894">
              <w:t xml:space="preserve">All patients, regardless of age, with a diagnosis of </w:t>
            </w:r>
            <w:r w:rsidR="00C35CDB" w:rsidRPr="006F5894">
              <w:t xml:space="preserve">clinically </w:t>
            </w:r>
            <w:r w:rsidR="00DE461F" w:rsidRPr="006F5894">
              <w:t xml:space="preserve">localized </w:t>
            </w:r>
            <w:r w:rsidRPr="006F5894">
              <w:t>prostate cancer</w:t>
            </w:r>
            <w:r w:rsidR="009C2B32" w:rsidRPr="006F5894">
              <w:t xml:space="preserve"> </w:t>
            </w:r>
            <w:r w:rsidRPr="006F5894">
              <w:t>receiving radiation therapy</w:t>
            </w:r>
            <w:r w:rsidR="00AD6C03" w:rsidRPr="006F5894">
              <w:t xml:space="preserve"> to the primary disease site</w:t>
            </w:r>
            <w:r w:rsidRPr="006F5894">
              <w:t>.</w:t>
            </w:r>
          </w:p>
        </w:tc>
      </w:tr>
      <w:tr w:rsidR="000F0B09" w:rsidRPr="00683C41" w14:paraId="4C438A8F" w14:textId="77777777" w:rsidTr="00BA1251">
        <w:trPr>
          <w:trHeight w:val="39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609DF9C" w14:textId="77777777" w:rsidR="000F0B09" w:rsidRPr="00EC59F5" w:rsidRDefault="000F0B09" w:rsidP="00BA1251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3D422B1" w14:textId="1D2DCA25" w:rsidR="000F0B09" w:rsidRPr="006F5894" w:rsidRDefault="00766BCC" w:rsidP="00B25C9C">
            <w:pPr>
              <w:pStyle w:val="BodyText"/>
              <w:numPr>
                <w:ilvl w:val="0"/>
                <w:numId w:val="21"/>
              </w:numPr>
              <w:ind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/>
              </w:rPr>
              <w:t>Patients receiving post-prostatectomy care.</w:t>
            </w:r>
          </w:p>
        </w:tc>
      </w:tr>
      <w:tr w:rsidR="000F0B09" w:rsidRPr="00683C41" w14:paraId="3DE8D3AE" w14:textId="77777777" w:rsidTr="000F0B09">
        <w:trPr>
          <w:trHeight w:val="45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6277ADF" w14:textId="77777777" w:rsidR="000F0B09" w:rsidRPr="00683C41" w:rsidRDefault="000F0B09" w:rsidP="00BA1251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7825380" w14:textId="77777777" w:rsidR="000F0B09" w:rsidRDefault="00AD6C03" w:rsidP="00A14056">
            <w:pPr>
              <w:pStyle w:val="ListParagraph"/>
              <w:keepNext/>
              <w:numPr>
                <w:ilvl w:val="0"/>
                <w:numId w:val="27"/>
              </w:numPr>
            </w:pPr>
            <w:r>
              <w:t xml:space="preserve">The “discussion with the urologist” may take place when reviewing test results for prostate cancer. The discussion must be related to the prostate cancer diagnosis and </w:t>
            </w:r>
            <w:proofErr w:type="spellStart"/>
            <w:r>
              <w:t>not</w:t>
            </w:r>
            <w:proofErr w:type="spellEnd"/>
            <w:r>
              <w:t xml:space="preserve"> other urinary issues (e.g., incontinence). </w:t>
            </w:r>
          </w:p>
          <w:p w14:paraId="4791C2BE" w14:textId="658502FF" w:rsidR="00C35CDB" w:rsidRPr="00683C41" w:rsidRDefault="00C35CDB" w:rsidP="00A14056">
            <w:pPr>
              <w:pStyle w:val="ListParagraph"/>
              <w:keepNext/>
              <w:numPr>
                <w:ilvl w:val="0"/>
                <w:numId w:val="27"/>
              </w:numPr>
            </w:pPr>
            <w:r>
              <w:t>Clinically localized is defined as N0M0</w:t>
            </w:r>
            <w:r w:rsidR="007119FD">
              <w:t xml:space="preserve"> disease</w:t>
            </w:r>
            <w:r>
              <w:t>.</w:t>
            </w:r>
          </w:p>
        </w:tc>
      </w:tr>
      <w:tr w:rsidR="000F0B09" w:rsidRPr="00683C41" w14:paraId="731D08B3" w14:textId="77777777" w:rsidTr="00BA1251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80DA031" w14:textId="77777777" w:rsidR="000F0B09" w:rsidRPr="00683C41" w:rsidRDefault="000F0B09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DC73372" w14:textId="77777777" w:rsidR="000F0B09" w:rsidRDefault="000F0B09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= Better.</w:t>
            </w:r>
          </w:p>
          <w:p w14:paraId="4E0D665E" w14:textId="4D6B6CC4" w:rsidR="000F0B09" w:rsidRPr="005C1F8A" w:rsidRDefault="00EE7542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Expected Performance Rate: 90%</w:t>
            </w:r>
          </w:p>
        </w:tc>
      </w:tr>
      <w:tr w:rsidR="000F0B09" w:rsidRPr="00683C41" w14:paraId="0D1A940E" w14:textId="77777777" w:rsidTr="00BA1251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BE3B217" w14:textId="77777777" w:rsidR="000F0B09" w:rsidRPr="00683C41" w:rsidRDefault="000F0B09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933E7F6" w14:textId="77777777" w:rsidR="000F0B09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5140366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B0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F0B09" w:rsidRPr="00B33785">
              <w:rPr>
                <w:rFonts w:asciiTheme="minorHAnsi" w:hAnsiTheme="minorHAnsi"/>
              </w:rPr>
              <w:t xml:space="preserve"> Quality Measure</w:t>
            </w:r>
          </w:p>
          <w:p w14:paraId="47568668" w14:textId="77777777" w:rsidR="000F0B09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82558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B0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5D6F2CE7" w14:textId="77777777" w:rsidR="000F0B09" w:rsidRPr="00D93CDE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62875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B0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1A11C47E" w14:textId="3C80648A" w:rsidR="00E94D63" w:rsidRDefault="00E94D63">
      <w:pPr>
        <w:widowControl/>
        <w:spacing w:after="160" w:line="259" w:lineRule="auto"/>
      </w:pPr>
    </w:p>
    <w:p w14:paraId="0B45F852" w14:textId="77777777" w:rsidR="009C2B32" w:rsidRDefault="009C2B32">
      <w:pPr>
        <w:widowControl/>
        <w:spacing w:after="160" w:line="259" w:lineRule="auto"/>
      </w:pPr>
    </w:p>
    <w:p w14:paraId="45FCD3AE" w14:textId="6CCD3D72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E94D63" w:rsidRPr="00683C41" w14:paraId="779A5066" w14:textId="77777777" w:rsidTr="00070B69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7D73F0A" w14:textId="65B69E3C" w:rsidR="00E94D63" w:rsidRPr="00070B69" w:rsidRDefault="00E94D63" w:rsidP="006C122C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r w:rsidRPr="00683C41">
              <w:rPr>
                <w:rFonts w:asciiTheme="minorHAnsi" w:hAnsiTheme="minorHAnsi"/>
                <w:sz w:val="22"/>
                <w:szCs w:val="22"/>
              </w:rPr>
              <w:lastRenderedPageBreak/>
              <w:br w:type="page"/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bookmarkStart w:id="9" w:name="_Toc75166483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t>Quality</w:t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 of Life Assessment at Consult</w:t>
            </w:r>
            <w:r w:rsidR="00070B69"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 (</w:t>
            </w:r>
            <w:r w:rsidR="00070B69">
              <w:rPr>
                <w:rFonts w:asciiTheme="minorHAnsi" w:eastAsia="Calibri" w:hAnsiTheme="minorHAnsi" w:cs="Times New Roman"/>
                <w:i w:val="0"/>
                <w:iCs/>
              </w:rPr>
              <w:t>#</w:t>
            </w:r>
            <w:r w:rsidR="00070B69" w:rsidRPr="00070B69">
              <w:rPr>
                <w:rFonts w:asciiTheme="minorHAnsi" w:eastAsia="Calibri" w:hAnsiTheme="minorHAnsi" w:cs="Times New Roman"/>
                <w:i w:val="0"/>
                <w:iCs/>
              </w:rPr>
              <w:t>A-</w:t>
            </w:r>
            <w:r w:rsidR="003A1328">
              <w:rPr>
                <w:rFonts w:asciiTheme="minorHAnsi" w:eastAsia="Calibri" w:hAnsiTheme="minorHAnsi" w:cs="Times New Roman"/>
                <w:i w:val="0"/>
                <w:iCs/>
              </w:rPr>
              <w:t>7</w:t>
            </w:r>
            <w:r w:rsidR="00070B69" w:rsidRPr="00070B6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9"/>
            <w:r w:rsidR="00070B69"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</w:p>
        </w:tc>
      </w:tr>
      <w:tr w:rsidR="00E94D63" w:rsidRPr="00683C41" w14:paraId="5A570481" w14:textId="77777777" w:rsidTr="00070B69">
        <w:trPr>
          <w:trHeight w:val="73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D0463CC" w14:textId="43A4E759" w:rsidR="00E94D63" w:rsidRPr="006F5894" w:rsidRDefault="00E94D63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C7547FA" w14:textId="16A782AA" w:rsidR="00E94D63" w:rsidRPr="00EC6A69" w:rsidRDefault="00E94D63" w:rsidP="006270D5">
            <w:pPr>
              <w:pStyle w:val="BodyText"/>
              <w:ind w:left="67" w:right="479"/>
            </w:pPr>
            <w:r w:rsidRPr="00683C41">
              <w:rPr>
                <w:rFonts w:asciiTheme="minorHAnsi" w:eastAsia="Calibri" w:hAnsiTheme="minorHAnsi" w:cs="Times New Roman"/>
              </w:rPr>
              <w:t xml:space="preserve">Patients with </w:t>
            </w:r>
            <w:r w:rsidR="00BB066B">
              <w:rPr>
                <w:rFonts w:asciiTheme="minorHAnsi" w:eastAsia="Calibri" w:hAnsiTheme="minorHAnsi" w:cs="Times New Roman"/>
              </w:rPr>
              <w:t xml:space="preserve">assessment of </w:t>
            </w:r>
            <w:r>
              <w:rPr>
                <w:rFonts w:asciiTheme="minorHAnsi" w:eastAsia="Calibri" w:hAnsiTheme="minorHAnsi" w:cs="Times New Roman"/>
              </w:rPr>
              <w:t>urinary</w:t>
            </w:r>
            <w:r w:rsidRPr="00621B52">
              <w:rPr>
                <w:rFonts w:asciiTheme="minorHAnsi" w:eastAsia="Calibri" w:hAnsiTheme="minorHAnsi" w:cs="Times New Roman"/>
                <w:b/>
              </w:rPr>
              <w:t xml:space="preserve"> OR</w:t>
            </w:r>
            <w:r>
              <w:rPr>
                <w:rFonts w:asciiTheme="minorHAnsi" w:eastAsia="Calibri" w:hAnsiTheme="minorHAnsi" w:cs="Times New Roman"/>
              </w:rPr>
              <w:t xml:space="preserve"> bowel </w:t>
            </w:r>
            <w:r w:rsidRPr="00621B52">
              <w:rPr>
                <w:rFonts w:asciiTheme="minorHAnsi" w:eastAsia="Calibri" w:hAnsiTheme="minorHAnsi" w:cs="Times New Roman"/>
                <w:b/>
              </w:rPr>
              <w:t>OR</w:t>
            </w:r>
            <w:r>
              <w:rPr>
                <w:rFonts w:asciiTheme="minorHAnsi" w:eastAsia="Calibri" w:hAnsiTheme="minorHAnsi" w:cs="Times New Roman"/>
              </w:rPr>
              <w:t xml:space="preserve"> sexual </w:t>
            </w:r>
            <w:r w:rsidRPr="00621B52">
              <w:rPr>
                <w:rFonts w:asciiTheme="minorHAnsi" w:eastAsia="Calibri" w:hAnsiTheme="minorHAnsi" w:cs="Times New Roman"/>
                <w:b/>
              </w:rPr>
              <w:t xml:space="preserve">OR </w:t>
            </w:r>
            <w:r w:rsidRPr="00683C41">
              <w:rPr>
                <w:rFonts w:asciiTheme="minorHAnsi" w:eastAsia="Calibri" w:hAnsiTheme="minorHAnsi" w:cs="Times New Roman"/>
              </w:rPr>
              <w:t xml:space="preserve">hormonal </w:t>
            </w:r>
            <w:r w:rsidR="00CC096B">
              <w:rPr>
                <w:rFonts w:asciiTheme="minorHAnsi" w:eastAsia="Calibri" w:hAnsiTheme="minorHAnsi" w:cs="Times New Roman"/>
              </w:rPr>
              <w:t xml:space="preserve">domains </w:t>
            </w:r>
            <w:r w:rsidR="00BB066B">
              <w:rPr>
                <w:rFonts w:asciiTheme="minorHAnsi" w:eastAsia="Calibri" w:hAnsiTheme="minorHAnsi" w:cs="Times New Roman"/>
              </w:rPr>
              <w:t xml:space="preserve">using </w:t>
            </w:r>
            <w:r>
              <w:rPr>
                <w:rFonts w:asciiTheme="minorHAnsi" w:eastAsia="Calibri" w:hAnsiTheme="minorHAnsi" w:cs="Times New Roman"/>
              </w:rPr>
              <w:t xml:space="preserve">a validated instrument </w:t>
            </w:r>
            <w:r w:rsidR="00863C28">
              <w:rPr>
                <w:rFonts w:asciiTheme="minorHAnsi" w:eastAsia="Calibri" w:hAnsiTheme="minorHAnsi" w:cs="Times New Roman"/>
              </w:rPr>
              <w:t xml:space="preserve">at the time of consult. </w:t>
            </w:r>
            <w:r>
              <w:rPr>
                <w:rFonts w:asciiTheme="minorHAnsi" w:eastAsia="Calibri" w:hAnsiTheme="minorHAnsi" w:cs="Times New Roman"/>
              </w:rPr>
              <w:t xml:space="preserve"> </w:t>
            </w:r>
          </w:p>
        </w:tc>
      </w:tr>
      <w:tr w:rsidR="00E94D63" w:rsidRPr="00683C41" w14:paraId="64AAFF3F" w14:textId="77777777" w:rsidTr="00070B69">
        <w:trPr>
          <w:trHeight w:val="706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754BC07" w14:textId="77777777" w:rsidR="00E94D63" w:rsidRPr="00683C41" w:rsidRDefault="00E94D63" w:rsidP="00E94D63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8BE3959" w14:textId="0CEA5FEF" w:rsidR="00E94D63" w:rsidRPr="00683C41" w:rsidRDefault="00E94D63" w:rsidP="00E94D63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83C41">
              <w:rPr>
                <w:rFonts w:asciiTheme="minorHAnsi" w:hAnsiTheme="minorHAnsi"/>
              </w:rPr>
              <w:t xml:space="preserve">All patients, regardless of age, with a diagnosis </w:t>
            </w:r>
            <w:r w:rsidRPr="006F5894">
              <w:rPr>
                <w:rFonts w:asciiTheme="minorHAnsi" w:hAnsiTheme="minorHAnsi"/>
              </w:rPr>
              <w:t>of prostate cancer</w:t>
            </w:r>
            <w:r w:rsidR="00DE461F" w:rsidRPr="006F5894">
              <w:rPr>
                <w:rFonts w:asciiTheme="minorHAnsi" w:hAnsiTheme="minorHAnsi"/>
              </w:rPr>
              <w:t xml:space="preserve"> receiving radiation therapy to the </w:t>
            </w:r>
            <w:r w:rsidR="007B7CF0" w:rsidRPr="006F5894">
              <w:rPr>
                <w:rFonts w:asciiTheme="minorHAnsi" w:hAnsiTheme="minorHAnsi"/>
              </w:rPr>
              <w:t>prostate or prostate resection bed</w:t>
            </w:r>
            <w:r w:rsidR="00BB7A30" w:rsidRPr="006F5894">
              <w:rPr>
                <w:rFonts w:asciiTheme="minorHAnsi" w:hAnsiTheme="minorHAnsi"/>
              </w:rPr>
              <w:t>.</w:t>
            </w:r>
          </w:p>
        </w:tc>
      </w:tr>
      <w:tr w:rsidR="00E94D63" w:rsidRPr="00683C41" w14:paraId="3F8F1C06" w14:textId="77777777" w:rsidTr="00070B69">
        <w:trPr>
          <w:trHeight w:val="59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F0EEDA7" w14:textId="464DBF61" w:rsidR="00E94D63" w:rsidRPr="009F4ABA" w:rsidRDefault="00E94D63" w:rsidP="00E94D63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ABFEA5F" w14:textId="138DCB14" w:rsidR="00E94D63" w:rsidRPr="00683C41" w:rsidRDefault="00CF48D0" w:rsidP="009C2B32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None.</w:t>
            </w:r>
          </w:p>
        </w:tc>
      </w:tr>
      <w:tr w:rsidR="00E94D63" w:rsidRPr="00683C41" w14:paraId="6A061A64" w14:textId="77777777" w:rsidTr="00070B69">
        <w:trPr>
          <w:trHeight w:val="837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032E007" w14:textId="77777777" w:rsidR="00E94D63" w:rsidRPr="00683C41" w:rsidRDefault="00E94D63" w:rsidP="00E94D63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1DB99D71" w14:textId="3356F886" w:rsidR="001A7910" w:rsidRDefault="005C1F8A" w:rsidP="001A7910">
            <w:pPr>
              <w:pStyle w:val="ListParagraph"/>
              <w:keepNext/>
              <w:numPr>
                <w:ilvl w:val="0"/>
                <w:numId w:val="1"/>
              </w:numPr>
            </w:pPr>
            <w:r>
              <w:t xml:space="preserve">A </w:t>
            </w:r>
            <w:r w:rsidR="00E94D63">
              <w:t>validat</w:t>
            </w:r>
            <w:r>
              <w:t>ed instrument need</w:t>
            </w:r>
            <w:r w:rsidR="00127023">
              <w:t>s</w:t>
            </w:r>
            <w:r>
              <w:t xml:space="preserve"> to be used (i.e.</w:t>
            </w:r>
            <w:r w:rsidR="00D32980">
              <w:t>,</w:t>
            </w:r>
            <w:r>
              <w:t xml:space="preserve"> </w:t>
            </w:r>
            <w:r w:rsidR="00E94D63">
              <w:t>an internal assessment would not be sufficient)</w:t>
            </w:r>
            <w:r w:rsidR="001A7910">
              <w:t>, f</w:t>
            </w:r>
            <w:r w:rsidR="001A7910" w:rsidRPr="001A7910">
              <w:rPr>
                <w:rFonts w:eastAsia="Calibri" w:cs="Times New Roman"/>
              </w:rPr>
              <w:t>or exampl</w:t>
            </w:r>
            <w:r w:rsidR="001A7910">
              <w:rPr>
                <w:rFonts w:eastAsia="Calibri" w:cs="Times New Roman"/>
              </w:rPr>
              <w:t>e, acceptable instruments include:</w:t>
            </w:r>
            <w:r w:rsidR="001A7910" w:rsidRPr="001A7910">
              <w:rPr>
                <w:rFonts w:eastAsia="Calibri" w:cs="Times New Roman"/>
              </w:rPr>
              <w:t xml:space="preserve"> AUA, </w:t>
            </w:r>
            <w:r w:rsidR="00AD40BA">
              <w:rPr>
                <w:rFonts w:eastAsia="Calibri" w:cs="Times New Roman"/>
              </w:rPr>
              <w:t xml:space="preserve">EPIC-CP, </w:t>
            </w:r>
            <w:r w:rsidR="001A7910" w:rsidRPr="001A7910">
              <w:rPr>
                <w:rFonts w:eastAsia="Calibri" w:cs="Times New Roman"/>
              </w:rPr>
              <w:t>EPIC-26, IIEF/SHIM</w:t>
            </w:r>
            <w:r w:rsidR="001A7910">
              <w:rPr>
                <w:rFonts w:eastAsia="Calibri" w:cs="Times New Roman"/>
              </w:rPr>
              <w:t xml:space="preserve">, PRO CTCAE, etc. </w:t>
            </w:r>
            <w:r w:rsidR="001A7910" w:rsidRPr="001A7910">
              <w:rPr>
                <w:rFonts w:eastAsia="Calibri" w:cs="Times New Roman"/>
              </w:rPr>
              <w:t xml:space="preserve"> </w:t>
            </w:r>
          </w:p>
          <w:p w14:paraId="04025F13" w14:textId="69AF2087" w:rsidR="00C35CDB" w:rsidRPr="00683C41" w:rsidRDefault="00070B69" w:rsidP="00E94D63">
            <w:pPr>
              <w:pStyle w:val="ListParagraph"/>
              <w:keepNext/>
              <w:numPr>
                <w:ilvl w:val="0"/>
                <w:numId w:val="1"/>
              </w:numPr>
            </w:pPr>
            <w:r>
              <w:t>Previously Prostate Measure #5</w:t>
            </w:r>
            <w:r w:rsidR="00863C28">
              <w:t xml:space="preserve"> (GU QM 5)</w:t>
            </w:r>
            <w:r>
              <w:t>.</w:t>
            </w:r>
          </w:p>
        </w:tc>
      </w:tr>
      <w:tr w:rsidR="00E94D63" w:rsidRPr="00683C41" w14:paraId="22728F22" w14:textId="77777777" w:rsidTr="00070B6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072F5AE7" w14:textId="77777777" w:rsidR="00E94D63" w:rsidRPr="00683C41" w:rsidRDefault="00E94D63" w:rsidP="00E94D63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2830D12" w14:textId="7DD123CE" w:rsidR="00586BF6" w:rsidRDefault="00586BF6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Score = Better</w:t>
            </w:r>
            <w:r w:rsidR="00B25C9C">
              <w:rPr>
                <w:rFonts w:asciiTheme="minorHAnsi" w:hAnsiTheme="minorHAnsi"/>
              </w:rPr>
              <w:t>.</w:t>
            </w:r>
          </w:p>
          <w:p w14:paraId="42145E4D" w14:textId="29E142A8" w:rsidR="00E94D63" w:rsidRPr="00683C41" w:rsidRDefault="00586BF6" w:rsidP="005C1F8A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EE7542">
              <w:rPr>
                <w:rFonts w:asciiTheme="minorHAnsi" w:hAnsiTheme="minorHAnsi"/>
              </w:rPr>
              <w:t xml:space="preserve"> Expected Performance Rate: </w:t>
            </w:r>
            <w:r w:rsidR="00AD40BA">
              <w:rPr>
                <w:rFonts w:asciiTheme="minorHAnsi" w:hAnsiTheme="minorHAnsi"/>
              </w:rPr>
              <w:t>9</w:t>
            </w:r>
            <w:r w:rsidR="00EE7542">
              <w:rPr>
                <w:rFonts w:asciiTheme="minorHAnsi" w:hAnsiTheme="minorHAnsi"/>
              </w:rPr>
              <w:t>0%</w:t>
            </w:r>
          </w:p>
        </w:tc>
      </w:tr>
      <w:tr w:rsidR="00070B69" w:rsidRPr="00683C41" w14:paraId="77B6F09B" w14:textId="77777777" w:rsidTr="00070B6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D19396A" w14:textId="38A2FF22" w:rsidR="00070B69" w:rsidRPr="00683C41" w:rsidRDefault="00070B69" w:rsidP="00070B6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0229364" w14:textId="41C6FF39" w:rsidR="00070B69" w:rsidRPr="00B33785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721333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0BA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Quality Measure</w:t>
            </w:r>
          </w:p>
          <w:p w14:paraId="297D4D94" w14:textId="0A39FF88" w:rsidR="00070B69" w:rsidRPr="00B33785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52743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0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2BBC73E5" w14:textId="3E22A1D9" w:rsidR="00070B69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477302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B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06ECFC85" w14:textId="4CA04146" w:rsidR="009C2B32" w:rsidRDefault="009C2B32">
      <w:pPr>
        <w:widowControl/>
        <w:spacing w:after="160" w:line="259" w:lineRule="auto"/>
      </w:pPr>
    </w:p>
    <w:p w14:paraId="3AF4F4CB" w14:textId="625FEBD5" w:rsidR="009C2B32" w:rsidRDefault="009C2B32">
      <w:pPr>
        <w:widowControl/>
        <w:spacing w:after="160" w:line="259" w:lineRule="auto"/>
      </w:pPr>
    </w:p>
    <w:p w14:paraId="14E72D4A" w14:textId="48F5638E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B25C9C" w:rsidRPr="00683C41" w14:paraId="6E5BF3BE" w14:textId="77777777" w:rsidTr="00BA1251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8624E1F" w14:textId="019D0E02" w:rsidR="00B25C9C" w:rsidRPr="00070B69" w:rsidRDefault="00B25C9C" w:rsidP="00BA1251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r w:rsidRPr="00683C41">
              <w:rPr>
                <w:rFonts w:asciiTheme="minorHAnsi" w:hAnsiTheme="minorHAnsi"/>
                <w:sz w:val="22"/>
                <w:szCs w:val="22"/>
              </w:rPr>
              <w:lastRenderedPageBreak/>
              <w:br w:type="page"/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bookmarkStart w:id="10" w:name="_Toc75166484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t>Active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Surveillance </w:t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>(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>#</w:t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>A-</w:t>
            </w:r>
            <w:r w:rsidR="003A1328">
              <w:rPr>
                <w:rFonts w:asciiTheme="minorHAnsi" w:eastAsia="Calibri" w:hAnsiTheme="minorHAnsi" w:cs="Times New Roman"/>
                <w:i w:val="0"/>
                <w:iCs/>
              </w:rPr>
              <w:t>8</w:t>
            </w:r>
            <w:r w:rsidRPr="00070B69">
              <w:rPr>
                <w:rFonts w:asciiTheme="minorHAnsi" w:eastAsia="Calibri" w:hAnsiTheme="minorHAnsi" w:cs="Times New Roman"/>
                <w:i w:val="0"/>
                <w:iCs/>
              </w:rPr>
              <w:t xml:space="preserve">) </w:t>
            </w:r>
            <w:r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SURVE</w:t>
            </w:r>
            <w:r w:rsidR="00F44994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I</w:t>
            </w:r>
            <w:r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LLANCE</w:t>
            </w:r>
            <w:bookmarkEnd w:id="10"/>
            <w:r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 xml:space="preserve"> </w:t>
            </w:r>
          </w:p>
        </w:tc>
      </w:tr>
      <w:tr w:rsidR="00B25C9C" w:rsidRPr="00683C41" w14:paraId="51893EE2" w14:textId="77777777" w:rsidTr="00BA1251">
        <w:trPr>
          <w:trHeight w:val="73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7283DA4" w14:textId="284C1900" w:rsidR="00B25C9C" w:rsidRPr="006F5894" w:rsidRDefault="00B25C9C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DD1B7E9" w14:textId="16B7CA6D" w:rsidR="00B25C9C" w:rsidRPr="00EC6A69" w:rsidRDefault="00B25C9C" w:rsidP="00BA1251">
            <w:pPr>
              <w:pStyle w:val="BodyText"/>
              <w:ind w:left="67" w:right="479"/>
            </w:pPr>
            <w:r w:rsidRPr="00683C41">
              <w:rPr>
                <w:rFonts w:asciiTheme="minorHAnsi" w:eastAsia="Calibri" w:hAnsiTheme="minorHAnsi" w:cs="Times New Roman"/>
              </w:rPr>
              <w:t xml:space="preserve">Patients </w:t>
            </w:r>
            <w:r>
              <w:rPr>
                <w:rFonts w:asciiTheme="minorHAnsi" w:eastAsia="Calibri" w:hAnsiTheme="minorHAnsi" w:cs="Times New Roman"/>
              </w:rPr>
              <w:t xml:space="preserve">with </w:t>
            </w:r>
            <w:r w:rsidR="0003038D">
              <w:rPr>
                <w:rFonts w:asciiTheme="minorHAnsi" w:eastAsia="Calibri" w:hAnsiTheme="minorHAnsi" w:cs="Times New Roman"/>
              </w:rPr>
              <w:t xml:space="preserve">documentation of </w:t>
            </w:r>
            <w:r>
              <w:rPr>
                <w:rFonts w:asciiTheme="minorHAnsi" w:eastAsia="Calibri" w:hAnsiTheme="minorHAnsi" w:cs="Times New Roman"/>
              </w:rPr>
              <w:t>active</w:t>
            </w:r>
            <w:r w:rsidR="0003038D">
              <w:rPr>
                <w:rFonts w:asciiTheme="minorHAnsi" w:eastAsia="Calibri" w:hAnsiTheme="minorHAnsi" w:cs="Times New Roman"/>
              </w:rPr>
              <w:t xml:space="preserve"> surveillance as the treatment plan at the time of consult. </w:t>
            </w:r>
            <w:r>
              <w:rPr>
                <w:rFonts w:asciiTheme="minorHAnsi" w:eastAsia="Calibri" w:hAnsiTheme="minorHAnsi" w:cs="Times New Roman"/>
              </w:rPr>
              <w:t xml:space="preserve">  </w:t>
            </w:r>
          </w:p>
        </w:tc>
      </w:tr>
      <w:tr w:rsidR="00B25C9C" w:rsidRPr="00683C41" w14:paraId="3045D767" w14:textId="77777777" w:rsidTr="00BA1251">
        <w:trPr>
          <w:trHeight w:val="706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93E4AC2" w14:textId="77777777" w:rsidR="00B25C9C" w:rsidRPr="00683C41" w:rsidRDefault="00B25C9C" w:rsidP="00BA1251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5C6A21D" w14:textId="6D64AB77" w:rsidR="00B25C9C" w:rsidRPr="00683C41" w:rsidRDefault="00B25C9C" w:rsidP="00BA1251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83C41">
              <w:rPr>
                <w:rFonts w:asciiTheme="minorHAnsi" w:hAnsiTheme="minorHAnsi"/>
              </w:rPr>
              <w:t xml:space="preserve">All patients, regardless of age, with a </w:t>
            </w:r>
            <w:r w:rsidRPr="006F5894">
              <w:rPr>
                <w:rFonts w:asciiTheme="minorHAnsi" w:hAnsiTheme="minorHAnsi"/>
              </w:rPr>
              <w:t xml:space="preserve">diagnosis of </w:t>
            </w:r>
            <w:r w:rsidR="00BB066B" w:rsidRPr="006F5894">
              <w:rPr>
                <w:rFonts w:asciiTheme="minorHAnsi" w:hAnsiTheme="minorHAnsi"/>
              </w:rPr>
              <w:t xml:space="preserve">very low-risk </w:t>
            </w:r>
            <w:r w:rsidR="00BB066B" w:rsidRPr="006F5894">
              <w:rPr>
                <w:rFonts w:asciiTheme="minorHAnsi" w:hAnsiTheme="minorHAnsi"/>
                <w:b/>
                <w:bCs/>
              </w:rPr>
              <w:t>OR</w:t>
            </w:r>
            <w:r w:rsidR="00BB066B" w:rsidRPr="006F5894">
              <w:rPr>
                <w:rFonts w:asciiTheme="minorHAnsi" w:hAnsiTheme="minorHAnsi"/>
              </w:rPr>
              <w:t xml:space="preserve"> low-risk </w:t>
            </w:r>
            <w:r w:rsidR="00BB066B" w:rsidRPr="006F5894">
              <w:rPr>
                <w:rFonts w:asciiTheme="minorHAnsi" w:hAnsiTheme="minorHAnsi"/>
                <w:b/>
                <w:bCs/>
              </w:rPr>
              <w:t>OR</w:t>
            </w:r>
            <w:r w:rsidR="00BB066B" w:rsidRPr="006F5894">
              <w:rPr>
                <w:rFonts w:asciiTheme="minorHAnsi" w:hAnsiTheme="minorHAnsi"/>
              </w:rPr>
              <w:t xml:space="preserve"> favorable intermediate-risk </w:t>
            </w:r>
            <w:r w:rsidRPr="006F5894">
              <w:rPr>
                <w:rFonts w:asciiTheme="minorHAnsi" w:hAnsiTheme="minorHAnsi"/>
              </w:rPr>
              <w:t>prostate cancer, as defined by NCCN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B25C9C" w:rsidRPr="00683C41" w14:paraId="1894FA20" w14:textId="77777777" w:rsidTr="00BA1251">
        <w:trPr>
          <w:trHeight w:val="59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2654BFC" w14:textId="77777777" w:rsidR="00B25C9C" w:rsidRPr="009F4ABA" w:rsidRDefault="00B25C9C" w:rsidP="00BA1251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320B38E" w14:textId="1C5E180C" w:rsidR="00B25C9C" w:rsidRPr="00683C41" w:rsidRDefault="00CF48D0" w:rsidP="00BA1251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None.</w:t>
            </w:r>
          </w:p>
        </w:tc>
      </w:tr>
      <w:tr w:rsidR="00B25C9C" w:rsidRPr="00683C41" w14:paraId="625E009E" w14:textId="77777777" w:rsidTr="00B25C9C">
        <w:trPr>
          <w:trHeight w:val="57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64C5631" w14:textId="77777777" w:rsidR="00B25C9C" w:rsidRPr="00683C41" w:rsidRDefault="00B25C9C" w:rsidP="00BA1251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D787CF2" w14:textId="632C9E73" w:rsidR="00B25C9C" w:rsidRPr="00683C41" w:rsidRDefault="00CF48D0" w:rsidP="00B25C9C">
            <w:pPr>
              <w:keepNext/>
            </w:pPr>
            <w:r>
              <w:t xml:space="preserve"> None.</w:t>
            </w:r>
          </w:p>
        </w:tc>
      </w:tr>
      <w:tr w:rsidR="00B25C9C" w:rsidRPr="00683C41" w14:paraId="4BB32EAF" w14:textId="77777777" w:rsidTr="00BA1251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B4A89C9" w14:textId="77777777" w:rsidR="00B25C9C" w:rsidRPr="00683C41" w:rsidRDefault="00B25C9C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0086D96" w14:textId="22A2DFAE" w:rsidR="0003038D" w:rsidRDefault="0003038D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Score = Better.</w:t>
            </w:r>
          </w:p>
          <w:p w14:paraId="360DD50D" w14:textId="37413C0E" w:rsidR="00B25C9C" w:rsidRPr="00683C41" w:rsidRDefault="0003038D" w:rsidP="0003038D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Expected Performance Rate: N/A (S</w:t>
            </w:r>
            <w:r w:rsidR="00B25C9C">
              <w:rPr>
                <w:rFonts w:asciiTheme="minorHAnsi" w:hAnsiTheme="minorHAnsi"/>
              </w:rPr>
              <w:t>urveillance Measure</w:t>
            </w:r>
            <w:r>
              <w:rPr>
                <w:rFonts w:asciiTheme="minorHAnsi" w:hAnsiTheme="minorHAnsi"/>
              </w:rPr>
              <w:t>)</w:t>
            </w:r>
            <w:r w:rsidR="00B25C9C">
              <w:rPr>
                <w:rFonts w:asciiTheme="minorHAnsi" w:hAnsiTheme="minorHAnsi"/>
              </w:rPr>
              <w:t xml:space="preserve">. </w:t>
            </w:r>
          </w:p>
        </w:tc>
      </w:tr>
      <w:tr w:rsidR="00B25C9C" w:rsidRPr="00683C41" w14:paraId="4D90CEEA" w14:textId="77777777" w:rsidTr="00BA1251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412DD0C" w14:textId="77777777" w:rsidR="00B25C9C" w:rsidRPr="00683C41" w:rsidRDefault="00B25C9C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2B6D74C" w14:textId="77777777" w:rsidR="00B25C9C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41227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C9C" w:rsidRPr="00B3378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25C9C" w:rsidRPr="00B33785">
              <w:rPr>
                <w:rFonts w:asciiTheme="minorHAnsi" w:hAnsiTheme="minorHAnsi"/>
              </w:rPr>
              <w:t xml:space="preserve"> Quality Measure</w:t>
            </w:r>
          </w:p>
          <w:p w14:paraId="4B6E5274" w14:textId="41855C83" w:rsidR="00B25C9C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37130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9C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625E0FCB" w14:textId="53DB6C7A" w:rsidR="00B25C9C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346399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C9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25C9C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7C5A715F" w14:textId="77777777" w:rsidR="00E94D63" w:rsidRDefault="00E94D63">
      <w:pPr>
        <w:widowControl/>
        <w:spacing w:after="160" w:line="259" w:lineRule="auto"/>
      </w:pPr>
    </w:p>
    <w:p w14:paraId="47A90FA5" w14:textId="77777777" w:rsidR="009C2B32" w:rsidRDefault="009C2B32">
      <w:pPr>
        <w:widowControl/>
        <w:spacing w:after="160" w:line="259" w:lineRule="auto"/>
      </w:pPr>
    </w:p>
    <w:p w14:paraId="6D5E240D" w14:textId="54E91943" w:rsidR="00CA72B8" w:rsidRDefault="00CA72B8">
      <w:pPr>
        <w:widowControl/>
        <w:spacing w:after="160" w:line="259" w:lineRule="auto"/>
      </w:pPr>
      <w:r>
        <w:br w:type="page"/>
      </w:r>
    </w:p>
    <w:p w14:paraId="56811355" w14:textId="74575C63" w:rsidR="00893C62" w:rsidRDefault="00893C62" w:rsidP="00893C62">
      <w:pPr>
        <w:pStyle w:val="Heading1"/>
        <w:rPr>
          <w:b/>
          <w:bCs/>
          <w:u w:val="single"/>
        </w:rPr>
      </w:pPr>
      <w:bookmarkStart w:id="11" w:name="_Toc37847595"/>
      <w:bookmarkStart w:id="12" w:name="_Toc75166485"/>
      <w:r w:rsidRPr="00EA0908">
        <w:rPr>
          <w:b/>
          <w:bCs/>
          <w:u w:val="single"/>
        </w:rPr>
        <w:lastRenderedPageBreak/>
        <w:t>Simulation</w:t>
      </w:r>
      <w:r w:rsidR="00863C28">
        <w:rPr>
          <w:b/>
          <w:bCs/>
          <w:u w:val="single"/>
        </w:rPr>
        <w:t xml:space="preserve">, </w:t>
      </w:r>
      <w:r w:rsidRPr="00EA0908">
        <w:rPr>
          <w:b/>
          <w:bCs/>
          <w:u w:val="single"/>
        </w:rPr>
        <w:t>T</w:t>
      </w:r>
      <w:bookmarkEnd w:id="11"/>
      <w:r w:rsidR="00863C28">
        <w:rPr>
          <w:b/>
          <w:bCs/>
          <w:u w:val="single"/>
        </w:rPr>
        <w:t>reatment Planning, and Treatment</w:t>
      </w:r>
      <w:bookmarkEnd w:id="12"/>
    </w:p>
    <w:p w14:paraId="30CF9087" w14:textId="77777777" w:rsidR="00893C62" w:rsidRPr="00893C62" w:rsidRDefault="00893C62" w:rsidP="00893C62"/>
    <w:tbl>
      <w:tblPr>
        <w:tblW w:w="9630" w:type="dxa"/>
        <w:tblInd w:w="-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863C28" w:rsidRPr="00683C41" w14:paraId="40998FA8" w14:textId="77777777" w:rsidTr="00BA1251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CA77DFF" w14:textId="0D3F0D03" w:rsidR="00863C28" w:rsidRPr="00A40880" w:rsidRDefault="005221DA" w:rsidP="00BA1251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13" w:name="_Toc75166486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t>Pre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863C28">
              <w:rPr>
                <w:rFonts w:asciiTheme="minorHAnsi" w:eastAsia="Calibri" w:hAnsiTheme="minorHAnsi" w:cs="Times New Roman"/>
                <w:i w:val="0"/>
                <w:iCs/>
              </w:rPr>
              <w:t xml:space="preserve">Treatment 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>Preparation</w:t>
            </w:r>
            <w:r w:rsidR="00863C28" w:rsidRPr="00A40880">
              <w:rPr>
                <w:rFonts w:asciiTheme="minorHAnsi" w:eastAsia="Calibri" w:hAnsiTheme="minorHAnsi" w:cs="Times New Roman"/>
                <w:i w:val="0"/>
                <w:iCs/>
              </w:rPr>
              <w:t xml:space="preserve"> (#B-</w:t>
            </w:r>
            <w:r w:rsidR="002B5A20">
              <w:rPr>
                <w:rFonts w:asciiTheme="minorHAnsi" w:eastAsia="Calibri" w:hAnsiTheme="minorHAnsi" w:cs="Times New Roman"/>
                <w:i w:val="0"/>
                <w:iCs/>
              </w:rPr>
              <w:t>1</w:t>
            </w:r>
            <w:r w:rsidR="00863C28" w:rsidRPr="00A40880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3"/>
          </w:p>
        </w:tc>
      </w:tr>
      <w:tr w:rsidR="00863C28" w:rsidRPr="00683C41" w14:paraId="2705E6BA" w14:textId="77777777" w:rsidTr="00BA1251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E28E8C9" w14:textId="77777777" w:rsidR="00863C28" w:rsidRPr="00683C41" w:rsidRDefault="00863C28" w:rsidP="00BA1251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  <w:p w14:paraId="62774F2B" w14:textId="77777777" w:rsidR="00863C28" w:rsidRPr="00683C41" w:rsidRDefault="00863C28" w:rsidP="00BA1251">
            <w:pPr>
              <w:pStyle w:val="Heading5"/>
              <w:spacing w:before="72"/>
              <w:rPr>
                <w:rFonts w:asciiTheme="minorHAnsi" w:hAnsiTheme="minorHAnsi"/>
                <w:w w:val="95"/>
              </w:rPr>
            </w:pP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B23797E" w14:textId="2E8839FE" w:rsidR="00863C28" w:rsidRDefault="00863C28" w:rsidP="002B5A20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683C41">
              <w:rPr>
                <w:rFonts w:asciiTheme="minorHAnsi" w:hAnsiTheme="minorHAnsi" w:cs="Times New Roman"/>
              </w:rPr>
              <w:t xml:space="preserve">Patients </w:t>
            </w:r>
            <w:r w:rsidR="002B5A20">
              <w:rPr>
                <w:rFonts w:asciiTheme="minorHAnsi" w:hAnsiTheme="minorHAnsi" w:cs="Times New Roman"/>
              </w:rPr>
              <w:t>with documentation of the following instructions prior to</w:t>
            </w:r>
            <w:r w:rsidR="005221DA">
              <w:rPr>
                <w:rFonts w:asciiTheme="minorHAnsi" w:hAnsiTheme="minorHAnsi" w:cs="Times New Roman"/>
              </w:rPr>
              <w:t xml:space="preserve"> performing the simulation procedure</w:t>
            </w:r>
            <w:r w:rsidR="002B5A20">
              <w:rPr>
                <w:rFonts w:asciiTheme="minorHAnsi" w:hAnsiTheme="minorHAnsi" w:cs="Times New Roman"/>
              </w:rPr>
              <w:t>:</w:t>
            </w:r>
          </w:p>
          <w:p w14:paraId="7550324C" w14:textId="0F6E8B1B" w:rsidR="00AD0E36" w:rsidRPr="00AD0E36" w:rsidRDefault="002B5A20" w:rsidP="002B5A20">
            <w:pPr>
              <w:pStyle w:val="BodyText"/>
              <w:numPr>
                <w:ilvl w:val="0"/>
                <w:numId w:val="22"/>
              </w:numPr>
              <w:ind w:right="479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Rectal emptying </w:t>
            </w:r>
            <w:r w:rsidR="00AD0E36" w:rsidRPr="002B5A20">
              <w:rPr>
                <w:rFonts w:asciiTheme="minorHAnsi" w:hAnsiTheme="minorHAnsi" w:cs="Times New Roman"/>
                <w:b/>
                <w:bCs/>
              </w:rPr>
              <w:t>AND</w:t>
            </w:r>
          </w:p>
          <w:p w14:paraId="162510E5" w14:textId="7928E4EA" w:rsidR="002B5A20" w:rsidRPr="002B5A20" w:rsidRDefault="005221DA" w:rsidP="002B5A20">
            <w:pPr>
              <w:pStyle w:val="BodyText"/>
              <w:numPr>
                <w:ilvl w:val="0"/>
                <w:numId w:val="22"/>
              </w:numPr>
              <w:ind w:right="479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Bladder filling.  </w:t>
            </w:r>
          </w:p>
        </w:tc>
      </w:tr>
      <w:tr w:rsidR="00863C28" w:rsidRPr="00683C41" w14:paraId="0F387BCF" w14:textId="77777777" w:rsidTr="00BA1251">
        <w:trPr>
          <w:trHeight w:val="580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87136A1" w14:textId="77777777" w:rsidR="00863C28" w:rsidRPr="00683C41" w:rsidRDefault="00863C28" w:rsidP="00BA1251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A4975CA" w14:textId="55A935A1" w:rsidR="00863C28" w:rsidRPr="00683C41" w:rsidRDefault="00863C28" w:rsidP="00BA1251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D93CDE">
              <w:rPr>
                <w:rFonts w:asciiTheme="minorHAnsi" w:hAnsiTheme="minorHAnsi" w:cs="Times New Roman"/>
              </w:rPr>
              <w:t>All patients, regardle</w:t>
            </w:r>
            <w:r>
              <w:rPr>
                <w:rFonts w:asciiTheme="minorHAnsi" w:hAnsiTheme="minorHAnsi" w:cs="Times New Roman"/>
              </w:rPr>
              <w:t xml:space="preserve">ss of age, with a diagnosis of </w:t>
            </w:r>
            <w:r w:rsidRPr="00D93CDE">
              <w:rPr>
                <w:rFonts w:asciiTheme="minorHAnsi" w:hAnsiTheme="minorHAnsi" w:cs="Times New Roman"/>
              </w:rPr>
              <w:t xml:space="preserve">prostate cancer receiving </w:t>
            </w:r>
            <w:r w:rsidR="005221DA" w:rsidRPr="005221DA">
              <w:rPr>
                <w:rFonts w:asciiTheme="minorHAnsi" w:hAnsiTheme="minorHAnsi" w:cs="Times New Roman"/>
              </w:rPr>
              <w:t xml:space="preserve">external beam </w:t>
            </w:r>
            <w:r w:rsidR="002B5A20">
              <w:rPr>
                <w:rFonts w:asciiTheme="minorHAnsi" w:hAnsiTheme="minorHAnsi" w:cs="Times New Roman"/>
              </w:rPr>
              <w:t>radiation therapy</w:t>
            </w:r>
            <w:r w:rsidR="00F8496D">
              <w:rPr>
                <w:rFonts w:asciiTheme="minorHAnsi" w:hAnsiTheme="minorHAnsi" w:cs="Times New Roman"/>
              </w:rPr>
              <w:t xml:space="preserve"> to the </w:t>
            </w:r>
            <w:r w:rsidR="00F8496D" w:rsidRPr="006F5894">
              <w:rPr>
                <w:rFonts w:asciiTheme="minorHAnsi" w:hAnsiTheme="minorHAnsi" w:cs="Times New Roman"/>
              </w:rPr>
              <w:t>primary disease site</w:t>
            </w:r>
            <w:r w:rsidR="002B5A20" w:rsidRPr="006F5894">
              <w:rPr>
                <w:rFonts w:asciiTheme="minorHAnsi" w:hAnsiTheme="minorHAnsi" w:cs="Times New Roman"/>
              </w:rPr>
              <w:t>.</w:t>
            </w:r>
          </w:p>
        </w:tc>
      </w:tr>
      <w:tr w:rsidR="00863C28" w:rsidRPr="00683C41" w14:paraId="578FA22B" w14:textId="77777777" w:rsidTr="00322BA7">
        <w:trPr>
          <w:trHeight w:val="566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4F27B3C" w14:textId="77777777" w:rsidR="00863C28" w:rsidRPr="00683C41" w:rsidRDefault="00863C28" w:rsidP="00BA1251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56E67C3" w14:textId="6AEABE36" w:rsidR="00863C28" w:rsidRPr="00683C41" w:rsidRDefault="00CF48D0" w:rsidP="00574A9F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None.</w:t>
            </w:r>
          </w:p>
        </w:tc>
      </w:tr>
      <w:tr w:rsidR="00863C28" w:rsidRPr="00683C41" w14:paraId="5519A359" w14:textId="77777777" w:rsidTr="002B5A20">
        <w:trPr>
          <w:trHeight w:val="341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C4D2EE7" w14:textId="77777777" w:rsidR="00863C28" w:rsidRPr="00683C41" w:rsidRDefault="00863C28" w:rsidP="00BA1251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4128CD1B" w14:textId="77777777" w:rsidR="00863C28" w:rsidRDefault="00574A9F" w:rsidP="00574A9F">
            <w:pPr>
              <w:pStyle w:val="ListParagraph"/>
              <w:keepNext/>
              <w:numPr>
                <w:ilvl w:val="0"/>
                <w:numId w:val="1"/>
              </w:numPr>
            </w:pPr>
            <w:r w:rsidRPr="00574A9F">
              <w:t xml:space="preserve">This measure is inclusive of patients receiving radiation to the prostate or prostate bed. </w:t>
            </w:r>
          </w:p>
          <w:p w14:paraId="224F3E66" w14:textId="2AA75B23" w:rsidR="00FB6C7B" w:rsidRPr="00683C41" w:rsidRDefault="00322BA7" w:rsidP="00574A9F">
            <w:pPr>
              <w:pStyle w:val="ListParagraph"/>
              <w:keepNext/>
              <w:numPr>
                <w:ilvl w:val="0"/>
                <w:numId w:val="1"/>
              </w:numPr>
            </w:pPr>
            <w:r>
              <w:t>Pre-treatment preparation instructions</w:t>
            </w:r>
            <w:r w:rsidR="00FB6C7B">
              <w:t xml:space="preserve"> could be documented</w:t>
            </w:r>
            <w:r>
              <w:t xml:space="preserve"> in a variety of locations, including but not limited to the simulation order, simulation instructions, or prescription. </w:t>
            </w:r>
            <w:r w:rsidR="00FB6C7B">
              <w:t xml:space="preserve"> </w:t>
            </w:r>
          </w:p>
        </w:tc>
      </w:tr>
      <w:tr w:rsidR="00863C28" w:rsidRPr="00683C41" w14:paraId="08504112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39C746F" w14:textId="77777777" w:rsidR="00863C28" w:rsidRPr="00683C41" w:rsidRDefault="00863C28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A262A1C" w14:textId="77777777" w:rsidR="00AC7EEB" w:rsidRPr="00AC7EEB" w:rsidRDefault="00863C28" w:rsidP="00AC7EEB">
            <w:pPr>
              <w:pStyle w:val="BodyText"/>
              <w:ind w:left="9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AC7EEB" w:rsidRPr="00AC7EEB">
              <w:rPr>
                <w:rFonts w:asciiTheme="minorHAnsi" w:hAnsiTheme="minorHAnsi"/>
              </w:rPr>
              <w:t>Higher = Better.</w:t>
            </w:r>
          </w:p>
          <w:p w14:paraId="342B9DC4" w14:textId="252A76EC" w:rsidR="00863C28" w:rsidRPr="00683C41" w:rsidRDefault="00AC7EEB" w:rsidP="00AC7EEB">
            <w:pPr>
              <w:pStyle w:val="BodyText"/>
              <w:ind w:left="90" w:right="479"/>
              <w:rPr>
                <w:rFonts w:asciiTheme="minorHAnsi" w:hAnsiTheme="minorHAnsi"/>
              </w:rPr>
            </w:pPr>
            <w:r w:rsidRPr="00AC7EEB">
              <w:rPr>
                <w:rFonts w:asciiTheme="minorHAnsi" w:hAnsiTheme="minorHAnsi"/>
              </w:rPr>
              <w:t xml:space="preserve"> Expected Performance Rate: 90%</w:t>
            </w:r>
          </w:p>
        </w:tc>
      </w:tr>
      <w:tr w:rsidR="00863C28" w:rsidRPr="00683C41" w14:paraId="0171D2F3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09DD135A" w14:textId="77777777" w:rsidR="00863C28" w:rsidRPr="00683C41" w:rsidRDefault="00863C28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13C25F0" w14:textId="0A7089EB" w:rsidR="00863C28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806903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A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63C28" w:rsidRPr="00B33785">
              <w:rPr>
                <w:rFonts w:asciiTheme="minorHAnsi" w:hAnsiTheme="minorHAnsi"/>
              </w:rPr>
              <w:t xml:space="preserve"> Quality Measure</w:t>
            </w:r>
          </w:p>
          <w:p w14:paraId="7B880B2D" w14:textId="05676CE1" w:rsidR="00863C28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786073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A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3C28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2D21B6E2" w14:textId="77777777" w:rsidR="00863C28" w:rsidRDefault="00863C28" w:rsidP="00BA1251">
            <w:pPr>
              <w:pStyle w:val="BodyText"/>
              <w:ind w:left="9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15706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5F0BA94E" w14:textId="08B315B9" w:rsidR="00CA72B8" w:rsidRDefault="00A40880" w:rsidP="00893C62">
      <w:pPr>
        <w:widowControl/>
        <w:spacing w:after="160" w:line="259" w:lineRule="auto"/>
      </w:pPr>
      <w:r>
        <w:t xml:space="preserve"> </w:t>
      </w:r>
    </w:p>
    <w:p w14:paraId="59551BEB" w14:textId="77777777" w:rsidR="00CA72B8" w:rsidRDefault="00CA72B8">
      <w:pPr>
        <w:widowControl/>
        <w:spacing w:after="160" w:line="259" w:lineRule="auto"/>
      </w:pPr>
      <w:r>
        <w:br w:type="page"/>
      </w:r>
    </w:p>
    <w:tbl>
      <w:tblPr>
        <w:tblW w:w="9720" w:type="dxa"/>
        <w:tblInd w:w="-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380"/>
      </w:tblGrid>
      <w:tr w:rsidR="002B5A20" w:rsidRPr="00683C41" w14:paraId="1DD94347" w14:textId="77777777" w:rsidTr="00BA1251">
        <w:trPr>
          <w:trHeight w:val="477"/>
        </w:trPr>
        <w:tc>
          <w:tcPr>
            <w:tcW w:w="972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625A935" w14:textId="2E2AA181" w:rsidR="002B5A20" w:rsidRPr="00893C62" w:rsidRDefault="0062726A" w:rsidP="00BA1251">
            <w:pPr>
              <w:pStyle w:val="Heading2"/>
              <w:ind w:left="0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14" w:name="_Toc75166487"/>
            <w:r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*</w:t>
            </w:r>
            <w:r w:rsidR="002B5A20" w:rsidRPr="001F5657">
              <w:rPr>
                <w:rFonts w:asciiTheme="minorHAnsi" w:eastAsia="Calibri" w:hAnsiTheme="minorHAnsi" w:cs="Times New Roman"/>
                <w:i w:val="0"/>
                <w:iCs/>
              </w:rPr>
              <w:t>Daily</w:t>
            </w:r>
            <w:r w:rsidR="002B5A20" w:rsidRPr="00893C62">
              <w:rPr>
                <w:rFonts w:asciiTheme="minorHAnsi" w:eastAsia="Calibri" w:hAnsiTheme="minorHAnsi" w:cs="Times New Roman"/>
                <w:i w:val="0"/>
                <w:iCs/>
              </w:rPr>
              <w:t xml:space="preserve"> Target Localization (</w:t>
            </w:r>
            <w:r w:rsidR="002B5A20">
              <w:rPr>
                <w:rFonts w:asciiTheme="minorHAnsi" w:eastAsia="Calibri" w:hAnsiTheme="minorHAnsi" w:cs="Times New Roman"/>
                <w:i w:val="0"/>
                <w:iCs/>
              </w:rPr>
              <w:t>#B-</w:t>
            </w:r>
            <w:r w:rsidR="00574A9F">
              <w:rPr>
                <w:rFonts w:asciiTheme="minorHAnsi" w:eastAsia="Calibri" w:hAnsiTheme="minorHAnsi" w:cs="Times New Roman"/>
                <w:i w:val="0"/>
                <w:iCs/>
              </w:rPr>
              <w:t>2</w:t>
            </w:r>
            <w:r w:rsidR="002B5A20" w:rsidRPr="00893C62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4"/>
          </w:p>
        </w:tc>
      </w:tr>
      <w:tr w:rsidR="002B5A20" w:rsidRPr="00683C41" w14:paraId="24EA6FE6" w14:textId="77777777" w:rsidTr="00BA1251">
        <w:trPr>
          <w:trHeight w:val="445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2F6B95C" w14:textId="77777777" w:rsidR="002B5A20" w:rsidRPr="00683C41" w:rsidRDefault="002B5A20" w:rsidP="00BA1251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3C83BCB0" w14:textId="0A67DC69" w:rsidR="002B5A20" w:rsidRPr="006F5894" w:rsidRDefault="002B5A20" w:rsidP="006F5894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683C41">
              <w:rPr>
                <w:rFonts w:asciiTheme="minorHAnsi" w:hAnsiTheme="minorHAnsi" w:cs="Times New Roman"/>
              </w:rPr>
              <w:t xml:space="preserve">Patients </w:t>
            </w:r>
            <w:r w:rsidR="00260E05">
              <w:rPr>
                <w:rFonts w:asciiTheme="minorHAnsi" w:hAnsiTheme="minorHAnsi" w:cs="Times New Roman"/>
              </w:rPr>
              <w:t xml:space="preserve">prescribed </w:t>
            </w:r>
            <w:r w:rsidR="00E027C6">
              <w:rPr>
                <w:rFonts w:asciiTheme="minorHAnsi" w:hAnsiTheme="minorHAnsi" w:cs="Times New Roman"/>
              </w:rPr>
              <w:t xml:space="preserve">a </w:t>
            </w:r>
            <w:r w:rsidRPr="00683C41">
              <w:rPr>
                <w:rFonts w:asciiTheme="minorHAnsi" w:hAnsiTheme="minorHAnsi" w:cs="Times New Roman"/>
              </w:rPr>
              <w:t>daily target localization method</w:t>
            </w:r>
            <w:r w:rsidR="00260E05">
              <w:rPr>
                <w:rFonts w:asciiTheme="minorHAnsi" w:hAnsiTheme="minorHAnsi" w:cs="Times New Roman"/>
              </w:rPr>
              <w:t xml:space="preserve"> before the start of </w:t>
            </w:r>
            <w:r w:rsidR="00941994">
              <w:rPr>
                <w:rFonts w:asciiTheme="minorHAnsi" w:hAnsiTheme="minorHAnsi" w:cs="Times New Roman"/>
              </w:rPr>
              <w:t xml:space="preserve">radiation </w:t>
            </w:r>
            <w:r w:rsidR="00260E05">
              <w:rPr>
                <w:rFonts w:asciiTheme="minorHAnsi" w:hAnsiTheme="minorHAnsi" w:cs="Times New Roman"/>
              </w:rPr>
              <w:t>treatment</w:t>
            </w:r>
            <w:r w:rsidR="00E027C6">
              <w:rPr>
                <w:rFonts w:asciiTheme="minorHAnsi" w:hAnsiTheme="minorHAnsi" w:cs="Times New Roman"/>
              </w:rPr>
              <w:t>.</w:t>
            </w:r>
          </w:p>
        </w:tc>
      </w:tr>
      <w:tr w:rsidR="002B5A20" w:rsidRPr="00683C41" w14:paraId="5488EF6A" w14:textId="77777777" w:rsidTr="00BA1251">
        <w:trPr>
          <w:trHeight w:val="418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0D39ABA" w14:textId="77777777" w:rsidR="002B5A20" w:rsidRPr="00683C41" w:rsidRDefault="002B5A20" w:rsidP="00BA1251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B3ED548" w14:textId="49665274" w:rsidR="002B5A20" w:rsidRPr="006F5894" w:rsidRDefault="002B5A20" w:rsidP="006F5894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683C41">
              <w:rPr>
                <w:rFonts w:asciiTheme="minorHAnsi" w:hAnsiTheme="minorHAnsi" w:cs="Times New Roman"/>
              </w:rPr>
              <w:t xml:space="preserve">All patients, regardless of age, with a diagnosis of prostate cancer, receiving </w:t>
            </w:r>
            <w:r>
              <w:rPr>
                <w:rFonts w:asciiTheme="minorHAnsi" w:hAnsiTheme="minorHAnsi" w:cs="Times New Roman"/>
              </w:rPr>
              <w:t xml:space="preserve">external beam radiation therapy </w:t>
            </w:r>
            <w:r w:rsidR="00574A9F">
              <w:rPr>
                <w:rFonts w:asciiTheme="minorHAnsi" w:hAnsiTheme="minorHAnsi" w:cs="Times New Roman"/>
              </w:rPr>
              <w:t>to t</w:t>
            </w:r>
            <w:r w:rsidR="00574A9F" w:rsidRPr="006F5894">
              <w:rPr>
                <w:rFonts w:asciiTheme="minorHAnsi" w:hAnsiTheme="minorHAnsi" w:cs="Times New Roman"/>
              </w:rPr>
              <w:t>he primary disease site</w:t>
            </w:r>
            <w:r w:rsidRPr="006F5894">
              <w:rPr>
                <w:rFonts w:asciiTheme="minorHAnsi" w:hAnsiTheme="minorHAnsi" w:cs="Times New Roman"/>
              </w:rPr>
              <w:t>.</w:t>
            </w:r>
          </w:p>
        </w:tc>
      </w:tr>
      <w:tr w:rsidR="002B5A20" w:rsidRPr="00683C41" w14:paraId="57A1B19C" w14:textId="77777777" w:rsidTr="002B5A20">
        <w:trPr>
          <w:trHeight w:val="431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455A18E" w14:textId="77777777" w:rsidR="002B5A20" w:rsidRPr="00683C41" w:rsidRDefault="002B5A20" w:rsidP="00BA1251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 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514522F" w14:textId="0A0220AA" w:rsidR="002A1549" w:rsidRPr="002B5A20" w:rsidRDefault="00CF48D0" w:rsidP="00CF48D0">
            <w:pPr>
              <w:pStyle w:val="BodyText"/>
              <w:ind w:right="479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None.</w:t>
            </w:r>
          </w:p>
        </w:tc>
      </w:tr>
      <w:tr w:rsidR="002B5A20" w:rsidRPr="00683C41" w14:paraId="24328E29" w14:textId="77777777" w:rsidTr="002B5A20">
        <w:trPr>
          <w:trHeight w:val="68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1279405" w14:textId="77777777" w:rsidR="002B5A20" w:rsidRPr="00683C41" w:rsidRDefault="002B5A20" w:rsidP="00BA1251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1BEFE17A" w14:textId="5E0D1569" w:rsidR="00BB066B" w:rsidRDefault="00BB066B" w:rsidP="00BB066B">
            <w:pPr>
              <w:pStyle w:val="ListParagraph"/>
              <w:keepNext/>
              <w:numPr>
                <w:ilvl w:val="0"/>
                <w:numId w:val="4"/>
              </w:numPr>
            </w:pPr>
            <w:r w:rsidRPr="00574A9F">
              <w:t xml:space="preserve">This measure is inclusive of patients receiving radiation to the prostate or prostate bed. </w:t>
            </w:r>
          </w:p>
          <w:p w14:paraId="623DCC58" w14:textId="787AD951" w:rsidR="002B5A20" w:rsidRDefault="00E027C6" w:rsidP="00BB066B">
            <w:pPr>
              <w:pStyle w:val="ListParagraph"/>
              <w:keepNext/>
              <w:numPr>
                <w:ilvl w:val="0"/>
                <w:numId w:val="4"/>
              </w:numPr>
            </w:pPr>
            <w:r>
              <w:t>Examples of daily target localization include</w:t>
            </w:r>
            <w:r w:rsidR="00CA72B8">
              <w:t xml:space="preserve"> c</w:t>
            </w:r>
            <w:r>
              <w:t xml:space="preserve">one </w:t>
            </w:r>
            <w:r w:rsidR="00CA72B8">
              <w:t>b</w:t>
            </w:r>
            <w:r>
              <w:t>eam CT, CT on rails</w:t>
            </w:r>
            <w:r w:rsidR="005D6153">
              <w:t>, f</w:t>
            </w:r>
            <w:r>
              <w:t>iducial markers with portal imaging</w:t>
            </w:r>
            <w:r w:rsidR="005D6153">
              <w:t xml:space="preserve"> (includes </w:t>
            </w:r>
            <w:r w:rsidR="005D6153" w:rsidRPr="00FD25D3">
              <w:t>orthogonal/stereoscopic KV-KV or KV-MV imaging</w:t>
            </w:r>
            <w:r w:rsidR="005D6153">
              <w:t>)</w:t>
            </w:r>
            <w:r>
              <w:t xml:space="preserve">, </w:t>
            </w:r>
            <w:r w:rsidR="005D6153">
              <w:t>e</w:t>
            </w:r>
            <w:r>
              <w:t>lectromagnetic transponder,</w:t>
            </w:r>
            <w:r w:rsidR="005D6153">
              <w:t xml:space="preserve"> t</w:t>
            </w:r>
            <w:r>
              <w:t>ransabdominal ultrasound</w:t>
            </w:r>
            <w:r w:rsidR="005D6153">
              <w:t xml:space="preserve">, and </w:t>
            </w:r>
            <w:proofErr w:type="spellStart"/>
            <w:r w:rsidR="005D6153">
              <w:t>t</w:t>
            </w:r>
            <w:r>
              <w:t>ransperineal</w:t>
            </w:r>
            <w:proofErr w:type="spellEnd"/>
            <w:r>
              <w:t xml:space="preserve"> ultrasound.</w:t>
            </w:r>
            <w:r>
              <w:tab/>
            </w:r>
            <w:r w:rsidR="002B5A20">
              <w:t xml:space="preserve"> </w:t>
            </w:r>
          </w:p>
          <w:p w14:paraId="11302F1D" w14:textId="77777777" w:rsidR="002B5A20" w:rsidRDefault="002B5A20" w:rsidP="00BB066B">
            <w:pPr>
              <w:pStyle w:val="ListParagraph"/>
              <w:keepNext/>
              <w:numPr>
                <w:ilvl w:val="0"/>
                <w:numId w:val="4"/>
              </w:numPr>
            </w:pPr>
            <w:r>
              <w:t>Previously Prostate Measure #11 (GU QM 11).</w:t>
            </w:r>
          </w:p>
          <w:p w14:paraId="69956AE4" w14:textId="008C1EDE" w:rsidR="004D4FEB" w:rsidRPr="00683C41" w:rsidRDefault="004D4FEB" w:rsidP="00BB066B">
            <w:pPr>
              <w:pStyle w:val="ListParagraph"/>
              <w:keepNext/>
              <w:numPr>
                <w:ilvl w:val="0"/>
                <w:numId w:val="4"/>
              </w:numPr>
            </w:pPr>
            <w:r w:rsidRPr="004D4FEB">
              <w:rPr>
                <w:b/>
                <w:bCs/>
              </w:rPr>
              <w:t>*High Potential Impact Measure</w:t>
            </w:r>
          </w:p>
        </w:tc>
      </w:tr>
      <w:tr w:rsidR="002B5A20" w:rsidRPr="00683C41" w14:paraId="363457F5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28492DC" w14:textId="77777777" w:rsidR="002B5A20" w:rsidRPr="00683C41" w:rsidRDefault="002B5A20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11FC937" w14:textId="04759244" w:rsidR="002B5A20" w:rsidRDefault="002B5A20" w:rsidP="002B5A20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Better. </w:t>
            </w:r>
          </w:p>
          <w:p w14:paraId="4B772E34" w14:textId="023138DD" w:rsidR="004D4FEB" w:rsidRPr="004D4FEB" w:rsidRDefault="00AC7EEB" w:rsidP="004D4FEB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AC7EEB">
              <w:rPr>
                <w:rFonts w:asciiTheme="minorHAnsi" w:hAnsiTheme="minorHAnsi"/>
              </w:rPr>
              <w:t>Expected Performance Rate: 90%</w:t>
            </w:r>
          </w:p>
        </w:tc>
      </w:tr>
      <w:tr w:rsidR="002B5A20" w14:paraId="2DCA7C76" w14:textId="77777777" w:rsidTr="00BA1251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11F2E65" w14:textId="77777777" w:rsidR="002B5A20" w:rsidRPr="00683C41" w:rsidRDefault="002B5A20" w:rsidP="00BA1251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4438ABE" w14:textId="77777777" w:rsidR="002B5A20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711913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A20" w:rsidRPr="00893C62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="002B5A20" w:rsidRPr="00B33785">
              <w:rPr>
                <w:rFonts w:asciiTheme="minorHAnsi" w:hAnsiTheme="minorHAnsi"/>
              </w:rPr>
              <w:t xml:space="preserve"> Quality Measure</w:t>
            </w:r>
          </w:p>
          <w:p w14:paraId="5E2E81C0" w14:textId="77777777" w:rsidR="002B5A20" w:rsidRPr="00B33785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139765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A20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B5A20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39347DCA" w14:textId="77777777" w:rsidR="002B5A20" w:rsidRDefault="00E55CB1" w:rsidP="00BA1251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73111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A20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B5A20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7E8038B5" w14:textId="27EADD00" w:rsidR="00863C28" w:rsidRDefault="00863C28" w:rsidP="00893C62">
      <w:pPr>
        <w:widowControl/>
        <w:spacing w:after="160" w:line="259" w:lineRule="auto"/>
      </w:pPr>
    </w:p>
    <w:p w14:paraId="362D5504" w14:textId="27462E35" w:rsidR="005D6153" w:rsidRDefault="005D6153">
      <w:pPr>
        <w:widowControl/>
        <w:spacing w:after="160" w:line="259" w:lineRule="auto"/>
      </w:pPr>
      <w: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6C57AE" w:rsidRPr="00683C41" w14:paraId="1B89EF4C" w14:textId="77777777" w:rsidTr="004D41EF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60258C73" w14:textId="3482A8B5" w:rsidR="004D41EF" w:rsidRPr="006C57AE" w:rsidRDefault="0062726A" w:rsidP="004D41EF">
            <w:pPr>
              <w:pStyle w:val="Heading2"/>
              <w:tabs>
                <w:tab w:val="left" w:pos="8915"/>
              </w:tabs>
              <w:rPr>
                <w:rFonts w:asciiTheme="minorHAnsi" w:eastAsia="Calibri" w:hAnsiTheme="minorHAnsi" w:cs="Times New Roman"/>
                <w:bCs/>
                <w:i w:val="0"/>
                <w:iCs/>
                <w:shd w:val="clear" w:color="auto" w:fill="B4C6E7"/>
              </w:rPr>
            </w:pPr>
            <w:bookmarkStart w:id="15" w:name="_Toc75166488"/>
            <w:r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*</w:t>
            </w:r>
            <w:r w:rsidR="005B032E" w:rsidRPr="00D24B32">
              <w:rPr>
                <w:rFonts w:asciiTheme="minorHAnsi" w:eastAsia="Calibri" w:hAnsiTheme="minorHAnsi" w:cs="Times New Roman"/>
                <w:i w:val="0"/>
                <w:iCs/>
              </w:rPr>
              <w:t xml:space="preserve">Long term </w:t>
            </w:r>
            <w:r w:rsidR="004D41EF" w:rsidRPr="00D24B32">
              <w:rPr>
                <w:rFonts w:asciiTheme="minorHAnsi" w:eastAsia="Calibri" w:hAnsiTheme="minorHAnsi" w:cs="Times New Roman"/>
                <w:i w:val="0"/>
                <w:iCs/>
              </w:rPr>
              <w:t>Androgen Deprivation</w:t>
            </w:r>
            <w:r w:rsidR="004D41EF">
              <w:rPr>
                <w:rFonts w:asciiTheme="minorHAnsi" w:eastAsia="Calibri" w:hAnsiTheme="minorHAnsi" w:cs="Times New Roman"/>
                <w:i w:val="0"/>
                <w:iCs/>
              </w:rPr>
              <w:t xml:space="preserve"> Therapy for </w:t>
            </w:r>
            <w:r w:rsidR="00127023">
              <w:rPr>
                <w:rFonts w:asciiTheme="minorHAnsi" w:eastAsia="Calibri" w:hAnsiTheme="minorHAnsi" w:cs="Times New Roman"/>
                <w:i w:val="0"/>
                <w:iCs/>
              </w:rPr>
              <w:t>High-Risk</w:t>
            </w:r>
            <w:r w:rsidR="004D41EF">
              <w:rPr>
                <w:rFonts w:asciiTheme="minorHAnsi" w:eastAsia="Calibri" w:hAnsiTheme="minorHAnsi" w:cs="Times New Roman"/>
                <w:i w:val="0"/>
                <w:iCs/>
              </w:rPr>
              <w:t xml:space="preserve"> Disease (#</w:t>
            </w:r>
            <w:r w:rsidR="00F02480">
              <w:rPr>
                <w:rFonts w:asciiTheme="minorHAnsi" w:eastAsia="Calibri" w:hAnsiTheme="minorHAnsi" w:cs="Times New Roman"/>
                <w:i w:val="0"/>
                <w:iCs/>
              </w:rPr>
              <w:t>B</w:t>
            </w:r>
            <w:r w:rsidR="004D41EF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1F5657">
              <w:rPr>
                <w:rFonts w:asciiTheme="minorHAnsi" w:eastAsia="Calibri" w:hAnsiTheme="minorHAnsi" w:cs="Times New Roman"/>
                <w:i w:val="0"/>
                <w:iCs/>
              </w:rPr>
              <w:t>3</w:t>
            </w:r>
            <w:r w:rsidR="004D41EF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5"/>
          </w:p>
        </w:tc>
      </w:tr>
      <w:tr w:rsidR="00224A0E" w:rsidRPr="00683C41" w14:paraId="372F9AD5" w14:textId="77777777" w:rsidTr="00070B69">
        <w:trPr>
          <w:trHeight w:val="620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6D7961E" w14:textId="77777777" w:rsidR="00224A0E" w:rsidRPr="00C107CB" w:rsidRDefault="00224A0E" w:rsidP="00224A0E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7A6DB15" w14:textId="1C21BFE2" w:rsidR="00224A0E" w:rsidRPr="00683C41" w:rsidRDefault="00224A0E" w:rsidP="00224A0E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83C41">
              <w:rPr>
                <w:rFonts w:asciiTheme="minorHAnsi" w:hAnsiTheme="minorHAnsi" w:cs="Times New Roman"/>
              </w:rPr>
              <w:t xml:space="preserve">Patients who </w:t>
            </w:r>
            <w:r w:rsidR="005B032E">
              <w:rPr>
                <w:rFonts w:asciiTheme="minorHAnsi" w:hAnsiTheme="minorHAnsi" w:cs="Times New Roman"/>
              </w:rPr>
              <w:t>are prescribed long term</w:t>
            </w:r>
            <w:r w:rsidR="005B032E" w:rsidRPr="00683C41">
              <w:rPr>
                <w:rFonts w:asciiTheme="minorHAnsi" w:hAnsiTheme="minorHAnsi" w:cs="Times New Roman"/>
              </w:rPr>
              <w:t xml:space="preserve"> </w:t>
            </w:r>
            <w:r w:rsidRPr="00683C41">
              <w:rPr>
                <w:rFonts w:asciiTheme="minorHAnsi" w:hAnsiTheme="minorHAnsi" w:cs="Times New Roman"/>
              </w:rPr>
              <w:t>androgen deprivation therapy (ADT)</w:t>
            </w:r>
            <w:r w:rsidR="00DE626D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neoadjuv</w:t>
            </w:r>
            <w:r w:rsidR="00DE626D">
              <w:rPr>
                <w:rFonts w:asciiTheme="minorHAnsi" w:hAnsiTheme="minorHAnsi" w:cs="Times New Roman"/>
              </w:rPr>
              <w:t>a</w:t>
            </w:r>
            <w:r>
              <w:rPr>
                <w:rFonts w:asciiTheme="minorHAnsi" w:hAnsiTheme="minorHAnsi" w:cs="Times New Roman"/>
              </w:rPr>
              <w:t xml:space="preserve">nt to </w:t>
            </w:r>
            <w:r w:rsidRPr="00EC59F5">
              <w:rPr>
                <w:rFonts w:asciiTheme="minorHAnsi" w:hAnsiTheme="minorHAnsi" w:cs="Times New Roman"/>
                <w:b/>
              </w:rPr>
              <w:t>OR</w:t>
            </w:r>
            <w:r>
              <w:rPr>
                <w:rFonts w:asciiTheme="minorHAnsi" w:hAnsiTheme="minorHAnsi" w:cs="Times New Roman"/>
              </w:rPr>
              <w:t xml:space="preserve"> concurrent with radiation therapy</w:t>
            </w:r>
            <w:r w:rsidR="00CD3E6B">
              <w:rPr>
                <w:rFonts w:asciiTheme="minorHAnsi" w:hAnsiTheme="minorHAnsi" w:cs="Times New Roman"/>
              </w:rPr>
              <w:t>.</w:t>
            </w:r>
            <w:r w:rsidR="00B3526F">
              <w:rPr>
                <w:rFonts w:asciiTheme="minorHAnsi" w:hAnsiTheme="minorHAnsi" w:cs="Times New Roman"/>
              </w:rPr>
              <w:t xml:space="preserve"> </w:t>
            </w:r>
          </w:p>
        </w:tc>
      </w:tr>
      <w:tr w:rsidR="00224A0E" w:rsidRPr="00683C41" w14:paraId="3E807567" w14:textId="77777777" w:rsidTr="00070B69">
        <w:trPr>
          <w:trHeight w:val="59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853ADED" w14:textId="77777777" w:rsidR="00224A0E" w:rsidRPr="00683C41" w:rsidRDefault="00224A0E" w:rsidP="00224A0E">
            <w:pPr>
              <w:pStyle w:val="Heading5"/>
              <w:spacing w:before="72"/>
              <w:ind w:left="0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>
              <w:rPr>
                <w:rFonts w:asciiTheme="minorHAnsi" w:hAnsiTheme="minorHAnsi"/>
                <w:w w:val="99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7D44410C" w14:textId="019F44AE" w:rsidR="00224A0E" w:rsidRPr="006F5894" w:rsidRDefault="00224A0E" w:rsidP="0094056A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 w:cs="Times New Roman"/>
              </w:rPr>
              <w:t xml:space="preserve">All patients, regardless of age, with a diagnosis of </w:t>
            </w:r>
            <w:r w:rsidR="00BB066B" w:rsidRPr="006F5894">
              <w:rPr>
                <w:rFonts w:asciiTheme="minorHAnsi" w:eastAsia="Calibri" w:hAnsiTheme="minorHAnsi" w:cs="Times New Roman"/>
              </w:rPr>
              <w:t xml:space="preserve">high </w:t>
            </w:r>
            <w:r w:rsidR="00BB066B" w:rsidRPr="006F5894">
              <w:rPr>
                <w:rFonts w:asciiTheme="minorHAnsi" w:eastAsia="Calibri" w:hAnsiTheme="minorHAnsi" w:cs="Times New Roman"/>
                <w:b/>
              </w:rPr>
              <w:t>OR</w:t>
            </w:r>
            <w:r w:rsidR="00BB066B" w:rsidRPr="006F5894">
              <w:rPr>
                <w:rFonts w:asciiTheme="minorHAnsi" w:eastAsia="Calibri" w:hAnsiTheme="minorHAnsi" w:cs="Times New Roman"/>
              </w:rPr>
              <w:t xml:space="preserve"> very high-risk </w:t>
            </w:r>
            <w:r w:rsidRPr="006F5894">
              <w:rPr>
                <w:rFonts w:asciiTheme="minorHAnsi" w:hAnsiTheme="minorHAnsi" w:cs="Times New Roman"/>
              </w:rPr>
              <w:t xml:space="preserve">prostate cancer, </w:t>
            </w:r>
            <w:r w:rsidRPr="006F5894">
              <w:rPr>
                <w:rFonts w:asciiTheme="minorHAnsi" w:eastAsia="Calibri" w:hAnsiTheme="minorHAnsi" w:cs="Times New Roman"/>
              </w:rPr>
              <w:t>as defined by NCCN</w:t>
            </w:r>
            <w:r w:rsidR="002D266C">
              <w:rPr>
                <w:rFonts w:asciiTheme="minorHAnsi" w:eastAsia="Calibri" w:hAnsiTheme="minorHAnsi" w:cs="Times New Roman"/>
              </w:rPr>
              <w:t>,</w:t>
            </w:r>
            <w:r w:rsidR="004D5AA4" w:rsidRPr="006F5894">
              <w:rPr>
                <w:rFonts w:asciiTheme="minorHAnsi" w:eastAsia="Calibri" w:hAnsiTheme="minorHAnsi" w:cs="Times New Roman"/>
              </w:rPr>
              <w:t xml:space="preserve"> </w:t>
            </w:r>
            <w:r w:rsidRPr="006F5894">
              <w:rPr>
                <w:rFonts w:asciiTheme="minorHAnsi" w:eastAsia="Calibri" w:hAnsiTheme="minorHAnsi" w:cs="Times New Roman"/>
              </w:rPr>
              <w:t xml:space="preserve">receiving </w:t>
            </w:r>
            <w:r w:rsidR="000A5C4A" w:rsidRPr="006F5894">
              <w:rPr>
                <w:rFonts w:asciiTheme="minorHAnsi" w:eastAsia="Calibri" w:hAnsiTheme="minorHAnsi" w:cs="Times New Roman"/>
              </w:rPr>
              <w:t xml:space="preserve">definitive </w:t>
            </w:r>
            <w:r w:rsidRPr="006F5894">
              <w:rPr>
                <w:rFonts w:asciiTheme="minorHAnsi" w:eastAsia="Calibri" w:hAnsiTheme="minorHAnsi" w:cs="Times New Roman"/>
              </w:rPr>
              <w:t>radiation therapy</w:t>
            </w:r>
            <w:r w:rsidR="00E027C6" w:rsidRPr="006F5894">
              <w:rPr>
                <w:rFonts w:asciiTheme="minorHAnsi" w:eastAsia="Calibri" w:hAnsiTheme="minorHAnsi" w:cs="Times New Roman"/>
              </w:rPr>
              <w:t xml:space="preserve"> to the primary disease site</w:t>
            </w:r>
            <w:r w:rsidR="00A661CF" w:rsidRPr="006F5894">
              <w:rPr>
                <w:rFonts w:asciiTheme="minorHAnsi" w:eastAsia="Calibri" w:hAnsiTheme="minorHAnsi" w:cs="Times New Roman"/>
              </w:rPr>
              <w:t>.</w:t>
            </w:r>
          </w:p>
        </w:tc>
      </w:tr>
      <w:tr w:rsidR="00224A0E" w:rsidRPr="00683C41" w14:paraId="7327329E" w14:textId="77777777" w:rsidTr="00070B69">
        <w:trPr>
          <w:trHeight w:val="48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87EF988" w14:textId="7F8F28B1" w:rsidR="00224A0E" w:rsidRPr="00F17152" w:rsidRDefault="00224A0E" w:rsidP="00F17152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D6191E8" w14:textId="2CEAD41F" w:rsidR="00B3526F" w:rsidRPr="006F5894" w:rsidRDefault="00843218" w:rsidP="006F5894">
            <w:pPr>
              <w:pStyle w:val="BodyText"/>
              <w:numPr>
                <w:ilvl w:val="0"/>
                <w:numId w:val="3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</w:t>
            </w:r>
            <w:r w:rsidR="00866CCD" w:rsidRPr="006F5894">
              <w:rPr>
                <w:rFonts w:asciiTheme="minorHAnsi" w:hAnsiTheme="minorHAnsi"/>
              </w:rPr>
              <w:t xml:space="preserve"> receiving </w:t>
            </w:r>
            <w:r w:rsidR="008E6A50" w:rsidRPr="006F5894">
              <w:rPr>
                <w:rFonts w:asciiTheme="minorHAnsi" w:hAnsiTheme="minorHAnsi"/>
              </w:rPr>
              <w:t>post-prostatectomy</w:t>
            </w:r>
            <w:r w:rsidR="00866CCD" w:rsidRPr="006F5894">
              <w:rPr>
                <w:rFonts w:asciiTheme="minorHAnsi" w:hAnsiTheme="minorHAnsi"/>
              </w:rPr>
              <w:t xml:space="preserve"> care.</w:t>
            </w:r>
          </w:p>
        </w:tc>
      </w:tr>
      <w:tr w:rsidR="00224A0E" w:rsidRPr="00683C41" w14:paraId="44D56C3C" w14:textId="77777777" w:rsidTr="00070B69">
        <w:trPr>
          <w:trHeight w:val="836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1CDC039" w14:textId="77777777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419B1892" w14:textId="3C1580D8" w:rsidR="00E027C6" w:rsidRPr="00CD3E6B" w:rsidRDefault="00E027C6" w:rsidP="005D6153">
            <w:pPr>
              <w:pStyle w:val="ListParagraph"/>
              <w:keepNext/>
              <w:numPr>
                <w:ilvl w:val="0"/>
                <w:numId w:val="15"/>
              </w:numPr>
              <w:ind w:right="73"/>
            </w:pPr>
            <w:r>
              <w:rPr>
                <w:rFonts w:cs="Times New Roman"/>
              </w:rPr>
              <w:t>ADT examples include gonadotropin-releasing hormone [GnRH] a</w:t>
            </w:r>
            <w:r>
              <w:rPr>
                <w:rFonts w:eastAsia="Calibri" w:cs="Times New Roman"/>
              </w:rPr>
              <w:t xml:space="preserve">gonist or antagonist. </w:t>
            </w:r>
          </w:p>
          <w:p w14:paraId="1FFCAB59" w14:textId="3295B8D2" w:rsidR="00B3526F" w:rsidRDefault="005B032E" w:rsidP="005D6153">
            <w:pPr>
              <w:pStyle w:val="ListParagraph"/>
              <w:keepNext/>
              <w:numPr>
                <w:ilvl w:val="0"/>
                <w:numId w:val="15"/>
              </w:numPr>
              <w:ind w:right="73"/>
            </w:pPr>
            <w:r>
              <w:rPr>
                <w:rFonts w:cs="Times New Roman"/>
              </w:rPr>
              <w:t>Long term</w:t>
            </w:r>
            <w:r w:rsidR="00B3526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is defined</w:t>
            </w:r>
            <w:r w:rsidR="00B3526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greater than or equal to 18 months.</w:t>
            </w:r>
          </w:p>
          <w:p w14:paraId="0AE84556" w14:textId="05D0FD85" w:rsidR="001B49A5" w:rsidRDefault="00DE626D" w:rsidP="001B49A5">
            <w:pPr>
              <w:pStyle w:val="ListParagraph"/>
              <w:keepNext/>
              <w:numPr>
                <w:ilvl w:val="0"/>
                <w:numId w:val="15"/>
              </w:numPr>
            </w:pPr>
            <w:r>
              <w:t xml:space="preserve">“Concurrent” is defined as </w:t>
            </w:r>
            <w:r w:rsidR="000A5C4A">
              <w:t xml:space="preserve">+/- </w:t>
            </w:r>
            <w:r>
              <w:t>2 weeks of the start of radiation therapy</w:t>
            </w:r>
            <w:r w:rsidR="001B49A5">
              <w:t xml:space="preserve">. </w:t>
            </w:r>
          </w:p>
          <w:p w14:paraId="1E6A742C" w14:textId="77777777" w:rsidR="00A81CF3" w:rsidRDefault="00070B69" w:rsidP="004D41EF">
            <w:pPr>
              <w:pStyle w:val="ListParagraph"/>
              <w:numPr>
                <w:ilvl w:val="0"/>
                <w:numId w:val="15"/>
              </w:numPr>
            </w:pPr>
            <w:r w:rsidRPr="00070B69">
              <w:t>Previously Prostate Measure #</w:t>
            </w:r>
            <w:r>
              <w:t>9</w:t>
            </w:r>
            <w:r w:rsidR="00711967">
              <w:t xml:space="preserve"> (GU QM 9)</w:t>
            </w:r>
            <w:r w:rsidRPr="00070B69">
              <w:t>.</w:t>
            </w:r>
          </w:p>
          <w:p w14:paraId="70B758C5" w14:textId="74F780EA" w:rsidR="004D4FEB" w:rsidRPr="00683C41" w:rsidRDefault="004D4FEB" w:rsidP="004D41EF">
            <w:pPr>
              <w:pStyle w:val="ListParagraph"/>
              <w:numPr>
                <w:ilvl w:val="0"/>
                <w:numId w:val="15"/>
              </w:numPr>
            </w:pPr>
            <w:r w:rsidRPr="004D4FEB">
              <w:rPr>
                <w:b/>
                <w:bCs/>
              </w:rPr>
              <w:t>*High Potential Impact Measure</w:t>
            </w:r>
          </w:p>
        </w:tc>
      </w:tr>
      <w:tr w:rsidR="00224A0E" w:rsidRPr="00683C41" w14:paraId="487EB2E4" w14:textId="77777777" w:rsidTr="00070B6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AA61E93" w14:textId="37B6DD56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0BBA632" w14:textId="5A2D8133" w:rsidR="00586BF6" w:rsidRDefault="00586BF6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F756E0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F756E0">
              <w:rPr>
                <w:rFonts w:asciiTheme="minorHAnsi" w:hAnsiTheme="minorHAnsi"/>
              </w:rPr>
              <w:t>.</w:t>
            </w:r>
          </w:p>
          <w:p w14:paraId="1EC27A3D" w14:textId="7F883CEB" w:rsidR="00F756E0" w:rsidRDefault="00F756E0" w:rsidP="00AE2642">
            <w:pPr>
              <w:pStyle w:val="BodyText"/>
              <w:ind w:right="479"/>
              <w:rPr>
                <w:rFonts w:asciiTheme="minorHAnsi" w:hAnsiTheme="minorHAnsi"/>
              </w:rPr>
            </w:pPr>
            <w:r w:rsidRPr="00F756E0">
              <w:rPr>
                <w:rFonts w:asciiTheme="minorHAnsi" w:hAnsiTheme="minorHAnsi"/>
              </w:rPr>
              <w:t>Expected Performance Rate: 90%</w:t>
            </w:r>
          </w:p>
          <w:p w14:paraId="61EFD301" w14:textId="0C16844A" w:rsidR="004D4FEB" w:rsidRPr="00683C41" w:rsidRDefault="00224A0E" w:rsidP="004D4FEB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CMS PQRS Measure #104 (</w:t>
            </w:r>
            <w:r w:rsidRPr="004D46BE">
              <w:rPr>
                <w:rFonts w:ascii="Calibri" w:hAnsi="Calibri" w:cs="Calibri"/>
                <w:bCs/>
                <w:color w:val="000000"/>
              </w:rPr>
              <w:t xml:space="preserve">Adjuvant Hormonal Therapy for </w:t>
            </w:r>
            <w:r w:rsidR="00127023" w:rsidRPr="004D46BE">
              <w:rPr>
                <w:rFonts w:ascii="Calibri" w:hAnsi="Calibri" w:cs="Calibri"/>
                <w:bCs/>
                <w:color w:val="000000"/>
              </w:rPr>
              <w:t>High-Risk</w:t>
            </w:r>
            <w:r w:rsidRPr="004D46BE">
              <w:rPr>
                <w:rFonts w:ascii="Calibri" w:hAnsi="Calibri" w:cs="Calibri"/>
                <w:bCs/>
                <w:color w:val="000000"/>
              </w:rPr>
              <w:t xml:space="preserve"> Prostate Cancer Patients</w:t>
            </w:r>
            <w:r>
              <w:rPr>
                <w:rFonts w:asciiTheme="minorHAnsi" w:hAnsiTheme="minorHAnsi"/>
              </w:rPr>
              <w:t xml:space="preserve">). </w:t>
            </w:r>
          </w:p>
        </w:tc>
      </w:tr>
      <w:tr w:rsidR="00070B69" w:rsidRPr="00683C41" w14:paraId="49B45D5C" w14:textId="77777777" w:rsidTr="00070B69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D4C50E0" w14:textId="6145A988" w:rsidR="00070B69" w:rsidRPr="00683C41" w:rsidRDefault="00070B69" w:rsidP="00070B69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4885B693" w14:textId="40DEC2F5" w:rsidR="00070B69" w:rsidRPr="00B33785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58973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B6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Quality Measure</w:t>
            </w:r>
          </w:p>
          <w:p w14:paraId="4CB9FC05" w14:textId="7A27B949" w:rsidR="00070B69" w:rsidRPr="00B33785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489626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B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73C78E8B" w14:textId="160624C2" w:rsidR="00070B69" w:rsidRDefault="00E55CB1" w:rsidP="00070B69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07701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B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B69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4FDE2E4F" w14:textId="3D257445" w:rsidR="00224A0E" w:rsidRDefault="00224A0E" w:rsidP="00FA3F1A">
      <w:pPr>
        <w:widowControl/>
        <w:spacing w:after="160" w:line="259" w:lineRule="auto"/>
      </w:pPr>
    </w:p>
    <w:p w14:paraId="276A6727" w14:textId="2A9D7C78" w:rsidR="00DE626D" w:rsidRDefault="00DE626D" w:rsidP="00FA3F1A">
      <w:pPr>
        <w:widowControl/>
        <w:spacing w:after="160" w:line="259" w:lineRule="auto"/>
      </w:pP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5A0A86" w:rsidRPr="00683C41" w14:paraId="14E53498" w14:textId="77777777" w:rsidTr="005A0A86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BD71248" w14:textId="138EEF3D" w:rsidR="005A0A86" w:rsidRPr="00843218" w:rsidRDefault="0062726A" w:rsidP="005A0A86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16" w:name="_Toc75166489"/>
            <w:r>
              <w:rPr>
                <w:rFonts w:asciiTheme="minorHAnsi" w:eastAsia="Calibri" w:hAnsiTheme="minorHAnsi" w:cs="Times New Roman"/>
                <w:i w:val="0"/>
                <w:iCs/>
              </w:rPr>
              <w:t>*</w:t>
            </w:r>
            <w:r w:rsidR="00086713" w:rsidRPr="00601AE0">
              <w:rPr>
                <w:rFonts w:asciiTheme="minorHAnsi" w:eastAsia="Calibri" w:hAnsiTheme="minorHAnsi" w:cs="Times New Roman"/>
                <w:i w:val="0"/>
                <w:iCs/>
              </w:rPr>
              <w:t xml:space="preserve">Regional Nodal </w:t>
            </w:r>
            <w:r w:rsidR="005A0A86" w:rsidRPr="00601AE0">
              <w:rPr>
                <w:rFonts w:asciiTheme="minorHAnsi" w:eastAsia="Calibri" w:hAnsiTheme="minorHAnsi" w:cs="Times New Roman"/>
                <w:i w:val="0"/>
                <w:iCs/>
              </w:rPr>
              <w:t>Radiation for High</w:t>
            </w:r>
            <w:r w:rsidR="005A0A86">
              <w:rPr>
                <w:rFonts w:asciiTheme="minorHAnsi" w:eastAsia="Calibri" w:hAnsiTheme="minorHAnsi" w:cs="Times New Roman"/>
                <w:i w:val="0"/>
                <w:iCs/>
              </w:rPr>
              <w:t>-Risk</w:t>
            </w:r>
            <w:r w:rsidR="00CF48D0">
              <w:rPr>
                <w:rFonts w:asciiTheme="minorHAnsi" w:eastAsia="Calibri" w:hAnsiTheme="minorHAnsi" w:cs="Times New Roman"/>
                <w:i w:val="0"/>
                <w:iCs/>
              </w:rPr>
              <w:t xml:space="preserve"> Disease</w:t>
            </w:r>
            <w:r w:rsidR="005A0A86" w:rsidRPr="00843218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5A0A86">
              <w:rPr>
                <w:rFonts w:asciiTheme="minorHAnsi" w:eastAsia="Calibri" w:hAnsiTheme="minorHAnsi" w:cs="Times New Roman"/>
                <w:i w:val="0"/>
                <w:iCs/>
              </w:rPr>
              <w:t>B</w:t>
            </w:r>
            <w:r w:rsidR="005A0A86" w:rsidRPr="00843218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1F5657">
              <w:rPr>
                <w:rFonts w:asciiTheme="minorHAnsi" w:eastAsia="Calibri" w:hAnsiTheme="minorHAnsi" w:cs="Times New Roman"/>
                <w:i w:val="0"/>
                <w:iCs/>
              </w:rPr>
              <w:t>4</w:t>
            </w:r>
            <w:r w:rsidR="005A0A86" w:rsidRPr="00843218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6"/>
          </w:p>
        </w:tc>
      </w:tr>
      <w:tr w:rsidR="005A0A86" w:rsidRPr="00683C41" w14:paraId="49FEEB6C" w14:textId="77777777" w:rsidTr="005A0A86">
        <w:trPr>
          <w:trHeight w:val="535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81F55EE" w14:textId="77777777" w:rsidR="005A0A86" w:rsidRPr="00EC59F5" w:rsidRDefault="005A0A86" w:rsidP="005A0A86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5305378" w14:textId="7EE1A08A" w:rsidR="005A0A86" w:rsidRPr="00CF48D0" w:rsidRDefault="00AC7EEB" w:rsidP="00CF48D0">
            <w:pPr>
              <w:pStyle w:val="BodyText"/>
              <w:ind w:left="67" w:right="479"/>
            </w:pPr>
            <w:r w:rsidRPr="00E9703E">
              <w:rPr>
                <w:rFonts w:asciiTheme="minorHAnsi" w:hAnsiTheme="minorHAnsi" w:cs="Times New Roman"/>
              </w:rPr>
              <w:t xml:space="preserve">Patients receiving </w:t>
            </w:r>
            <w:r w:rsidR="00086713">
              <w:rPr>
                <w:rFonts w:asciiTheme="minorHAnsi" w:hAnsiTheme="minorHAnsi" w:cs="Times New Roman"/>
              </w:rPr>
              <w:t>regional pelvic nodal</w:t>
            </w:r>
            <w:r w:rsidRPr="00E9703E">
              <w:rPr>
                <w:rFonts w:asciiTheme="minorHAnsi" w:hAnsiTheme="minorHAnsi" w:cs="Times New Roman"/>
              </w:rPr>
              <w:t xml:space="preserve"> radiation</w:t>
            </w:r>
            <w:r>
              <w:rPr>
                <w:rFonts w:asciiTheme="minorHAnsi" w:hAnsiTheme="minorHAnsi"/>
              </w:rPr>
              <w:t>.</w:t>
            </w:r>
            <w:r>
              <w:t xml:space="preserve"> </w:t>
            </w:r>
          </w:p>
        </w:tc>
      </w:tr>
      <w:tr w:rsidR="005A0A86" w:rsidRPr="00683C41" w14:paraId="5430C3BD" w14:textId="77777777" w:rsidTr="005A0A86">
        <w:trPr>
          <w:trHeight w:val="715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39A7D5A" w14:textId="77777777" w:rsidR="005A0A86" w:rsidRPr="00683C41" w:rsidRDefault="005A0A86" w:rsidP="005A0A86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8C7CDD8" w14:textId="4A429652" w:rsidR="005A0A86" w:rsidRPr="006F5894" w:rsidRDefault="00AC7EEB" w:rsidP="005A0A86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 w:cs="Times New Roman"/>
              </w:rPr>
              <w:t xml:space="preserve">All patients, regardless of age, with a diagnosis of </w:t>
            </w:r>
            <w:r w:rsidR="00BB066B" w:rsidRPr="006F5894">
              <w:rPr>
                <w:rFonts w:asciiTheme="minorHAnsi" w:eastAsia="Calibri" w:hAnsiTheme="minorHAnsi" w:cs="Times New Roman"/>
              </w:rPr>
              <w:t xml:space="preserve">high </w:t>
            </w:r>
            <w:r w:rsidR="00BB066B" w:rsidRPr="006F5894">
              <w:rPr>
                <w:rFonts w:asciiTheme="minorHAnsi" w:eastAsia="Calibri" w:hAnsiTheme="minorHAnsi" w:cs="Times New Roman"/>
                <w:b/>
              </w:rPr>
              <w:t>OR</w:t>
            </w:r>
            <w:r w:rsidR="00BB066B" w:rsidRPr="006F5894">
              <w:rPr>
                <w:rFonts w:asciiTheme="minorHAnsi" w:eastAsia="Calibri" w:hAnsiTheme="minorHAnsi" w:cs="Times New Roman"/>
              </w:rPr>
              <w:t xml:space="preserve"> very high-risk</w:t>
            </w:r>
            <w:r w:rsidR="00BB066B" w:rsidRPr="006F5894">
              <w:rPr>
                <w:rFonts w:asciiTheme="minorHAnsi" w:hAnsiTheme="minorHAnsi" w:cs="Times New Roman"/>
              </w:rPr>
              <w:t xml:space="preserve"> </w:t>
            </w:r>
            <w:r w:rsidRPr="006F5894">
              <w:rPr>
                <w:rFonts w:asciiTheme="minorHAnsi" w:hAnsiTheme="minorHAnsi" w:cs="Times New Roman"/>
              </w:rPr>
              <w:t xml:space="preserve">prostate cancer, </w:t>
            </w:r>
            <w:r w:rsidRPr="006F5894">
              <w:rPr>
                <w:rFonts w:asciiTheme="minorHAnsi" w:eastAsia="Calibri" w:hAnsiTheme="minorHAnsi" w:cs="Times New Roman"/>
              </w:rPr>
              <w:t>as defined by NCCN</w:t>
            </w:r>
            <w:r w:rsidR="002D266C">
              <w:rPr>
                <w:rFonts w:asciiTheme="minorHAnsi" w:eastAsia="Calibri" w:hAnsiTheme="minorHAnsi" w:cs="Times New Roman"/>
              </w:rPr>
              <w:t>,</w:t>
            </w:r>
            <w:r w:rsidRPr="006F5894">
              <w:rPr>
                <w:rFonts w:asciiTheme="minorHAnsi" w:eastAsia="Calibri" w:hAnsiTheme="minorHAnsi" w:cs="Times New Roman"/>
              </w:rPr>
              <w:t xml:space="preserve"> receiving </w:t>
            </w:r>
            <w:r w:rsidR="000A5C4A" w:rsidRPr="006F5894">
              <w:rPr>
                <w:rFonts w:asciiTheme="minorHAnsi" w:eastAsia="Calibri" w:hAnsiTheme="minorHAnsi" w:cs="Times New Roman"/>
              </w:rPr>
              <w:t xml:space="preserve">definitive </w:t>
            </w:r>
            <w:r w:rsidRPr="006F5894">
              <w:rPr>
                <w:rFonts w:asciiTheme="minorHAnsi" w:eastAsia="Calibri" w:hAnsiTheme="minorHAnsi" w:cs="Times New Roman"/>
              </w:rPr>
              <w:t>external beam radiation therapy</w:t>
            </w:r>
            <w:r w:rsidR="000A5C4A" w:rsidRPr="006F5894">
              <w:rPr>
                <w:rFonts w:asciiTheme="minorHAnsi" w:eastAsia="Calibri" w:hAnsiTheme="minorHAnsi" w:cs="Times New Roman"/>
              </w:rPr>
              <w:t xml:space="preserve"> to the primary disease site</w:t>
            </w:r>
            <w:r w:rsidRPr="006F5894">
              <w:rPr>
                <w:rFonts w:asciiTheme="minorHAnsi" w:eastAsia="Calibri" w:hAnsiTheme="minorHAnsi" w:cs="Times New Roman"/>
              </w:rPr>
              <w:t>.</w:t>
            </w:r>
          </w:p>
        </w:tc>
      </w:tr>
      <w:tr w:rsidR="005A0A86" w:rsidRPr="00683C41" w14:paraId="3ED71C57" w14:textId="77777777" w:rsidTr="005A0A86">
        <w:trPr>
          <w:trHeight w:val="328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F91D801" w14:textId="57D5FEBE" w:rsidR="005A0A86" w:rsidRPr="00CF48D0" w:rsidRDefault="005A0A86" w:rsidP="00CF48D0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FEC7F29" w14:textId="4C44B623" w:rsidR="00086713" w:rsidRPr="006F5894" w:rsidRDefault="00AC7EEB" w:rsidP="004F077A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 xml:space="preserve">Patients receiving </w:t>
            </w:r>
            <w:r w:rsidR="008E6A50" w:rsidRPr="006F5894">
              <w:rPr>
                <w:rFonts w:asciiTheme="minorHAnsi" w:hAnsiTheme="minorHAnsi"/>
              </w:rPr>
              <w:t>post-prostatectomy</w:t>
            </w:r>
            <w:r w:rsidRPr="006F5894">
              <w:rPr>
                <w:rFonts w:asciiTheme="minorHAnsi" w:hAnsiTheme="minorHAnsi"/>
              </w:rPr>
              <w:t xml:space="preserve"> care.</w:t>
            </w:r>
          </w:p>
        </w:tc>
      </w:tr>
      <w:tr w:rsidR="005A0A86" w:rsidRPr="00683C41" w14:paraId="54CCEA9D" w14:textId="77777777" w:rsidTr="005A0A86">
        <w:trPr>
          <w:trHeight w:val="512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D670447" w14:textId="77777777" w:rsidR="005A0A86" w:rsidRPr="00683C41" w:rsidRDefault="005A0A86" w:rsidP="005A0A86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BC586DA" w14:textId="77777777" w:rsidR="005A0A86" w:rsidRDefault="005A0A86" w:rsidP="00315A3A">
            <w:pPr>
              <w:pStyle w:val="ListParagraph"/>
              <w:numPr>
                <w:ilvl w:val="0"/>
                <w:numId w:val="11"/>
              </w:numPr>
            </w:pPr>
            <w:r w:rsidRPr="00893C62">
              <w:t>Previously Prostate Measure #</w:t>
            </w:r>
            <w:r w:rsidR="00AC7EEB">
              <w:t>12</w:t>
            </w:r>
            <w:r>
              <w:t xml:space="preserve"> (GU QM </w:t>
            </w:r>
            <w:r w:rsidR="00AC7EEB">
              <w:t>12</w:t>
            </w:r>
            <w:r>
              <w:t>)</w:t>
            </w:r>
            <w:r w:rsidRPr="00893C62">
              <w:t>.</w:t>
            </w:r>
          </w:p>
          <w:p w14:paraId="12CA1D73" w14:textId="77777777" w:rsidR="00BB066B" w:rsidRDefault="00315A3A" w:rsidP="00315A3A">
            <w:pPr>
              <w:pStyle w:val="ListParagraph"/>
              <w:widowControl/>
              <w:numPr>
                <w:ilvl w:val="0"/>
                <w:numId w:val="1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 </w:t>
            </w:r>
            <w:r>
              <w:rPr>
                <w:rFonts w:eastAsia="Times New Roman"/>
                <w:b/>
                <w:bCs/>
              </w:rPr>
              <w:t>regional pelvic lymph nodes</w:t>
            </w:r>
            <w:r>
              <w:rPr>
                <w:rFonts w:eastAsia="Times New Roman"/>
              </w:rPr>
              <w:t> are located below the bifurcation of the common iliac arteries: the internal iliac </w:t>
            </w:r>
            <w:r>
              <w:rPr>
                <w:rFonts w:eastAsia="Times New Roman"/>
                <w:b/>
                <w:bCs/>
              </w:rPr>
              <w:t>nodes</w:t>
            </w:r>
            <w:r>
              <w:rPr>
                <w:rFonts w:eastAsia="Times New Roman"/>
              </w:rPr>
              <w:t> (including the sacral </w:t>
            </w:r>
            <w:r>
              <w:rPr>
                <w:rFonts w:eastAsia="Times New Roman"/>
                <w:b/>
                <w:bCs/>
              </w:rPr>
              <w:t>nodes</w:t>
            </w:r>
            <w:r>
              <w:rPr>
                <w:rFonts w:eastAsia="Times New Roman"/>
              </w:rPr>
              <w:t>) and the external iliac </w:t>
            </w:r>
            <w:r>
              <w:rPr>
                <w:rFonts w:eastAsia="Times New Roman"/>
                <w:b/>
                <w:bCs/>
              </w:rPr>
              <w:t>nodes</w:t>
            </w:r>
            <w:r>
              <w:rPr>
                <w:rFonts w:eastAsia="Times New Roman"/>
              </w:rPr>
              <w:t> (including the obturator </w:t>
            </w:r>
            <w:r>
              <w:rPr>
                <w:rFonts w:eastAsia="Times New Roman"/>
                <w:b/>
                <w:bCs/>
              </w:rPr>
              <w:t>nodes</w:t>
            </w:r>
            <w:r>
              <w:rPr>
                <w:rFonts w:eastAsia="Times New Roman"/>
              </w:rPr>
              <w:t>).</w:t>
            </w:r>
          </w:p>
          <w:p w14:paraId="533935AC" w14:textId="6ED86E96" w:rsidR="004D4FEB" w:rsidRPr="00315A3A" w:rsidRDefault="004D4FEB" w:rsidP="00315A3A">
            <w:pPr>
              <w:pStyle w:val="ListParagraph"/>
              <w:widowControl/>
              <w:numPr>
                <w:ilvl w:val="0"/>
                <w:numId w:val="11"/>
              </w:numPr>
              <w:rPr>
                <w:rFonts w:eastAsia="Times New Roman"/>
              </w:rPr>
            </w:pPr>
            <w:r w:rsidRPr="004D4FEB">
              <w:rPr>
                <w:b/>
                <w:bCs/>
              </w:rPr>
              <w:t>*High Potential Impact Measure</w:t>
            </w:r>
          </w:p>
        </w:tc>
      </w:tr>
      <w:tr w:rsidR="005A0A86" w:rsidRPr="00683C41" w14:paraId="1C08FA38" w14:textId="77777777" w:rsidTr="005A0A86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54516EC9" w14:textId="77777777" w:rsidR="005A0A86" w:rsidRPr="00683C41" w:rsidRDefault="005A0A86" w:rsidP="005A0A86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314087C" w14:textId="70795EE0" w:rsidR="005A0A86" w:rsidRDefault="005A0A86" w:rsidP="005A0A86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F756E0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F756E0">
              <w:rPr>
                <w:rFonts w:asciiTheme="minorHAnsi" w:hAnsiTheme="minorHAnsi"/>
              </w:rPr>
              <w:t>.</w:t>
            </w:r>
          </w:p>
          <w:p w14:paraId="4296535D" w14:textId="6E7244B3" w:rsidR="004D4FEB" w:rsidRPr="00683C41" w:rsidRDefault="00F756E0" w:rsidP="004D4FEB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F756E0">
              <w:rPr>
                <w:rFonts w:asciiTheme="minorHAnsi" w:hAnsiTheme="minorHAnsi"/>
              </w:rPr>
              <w:t>Expected Performance Rate: 90%</w:t>
            </w:r>
          </w:p>
        </w:tc>
      </w:tr>
      <w:tr w:rsidR="005A0A86" w:rsidRPr="00683C41" w14:paraId="4239AD27" w14:textId="77777777" w:rsidTr="005A0A86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F73EB3F" w14:textId="77777777" w:rsidR="005A0A86" w:rsidRPr="00683C41" w:rsidRDefault="005A0A86" w:rsidP="005A0A86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3D148C81" w14:textId="77777777" w:rsidR="005A0A86" w:rsidRPr="00B33785" w:rsidRDefault="00E55CB1" w:rsidP="005A0A86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609953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A86" w:rsidRPr="00893C62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="005A0A86" w:rsidRPr="00B33785">
              <w:rPr>
                <w:rFonts w:asciiTheme="minorHAnsi" w:hAnsiTheme="minorHAnsi"/>
              </w:rPr>
              <w:t xml:space="preserve"> Quality Measure</w:t>
            </w:r>
          </w:p>
          <w:p w14:paraId="585F08AE" w14:textId="77777777" w:rsidR="005A0A86" w:rsidRPr="00B33785" w:rsidRDefault="00E55CB1" w:rsidP="005A0A86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621023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A86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A0A86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50DCD08E" w14:textId="77777777" w:rsidR="005A0A86" w:rsidRDefault="005A0A86" w:rsidP="005A0A86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49387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7FD1331E" w14:textId="2E398DA3" w:rsidR="00C57ABE" w:rsidRDefault="009F7791" w:rsidP="009F7791">
      <w:pPr>
        <w:widowControl/>
        <w:spacing w:after="160" w:line="259" w:lineRule="auto"/>
      </w:pPr>
      <w:r>
        <w:tab/>
      </w:r>
      <w:r>
        <w:tab/>
      </w:r>
      <w:r>
        <w:tab/>
      </w:r>
      <w:r>
        <w:tab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FD1E37" w:rsidRPr="00EE1C81" w14:paraId="6F5EA23F" w14:textId="77777777" w:rsidTr="00FD1E37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F7324FC" w14:textId="13162A09" w:rsidR="00FD1E37" w:rsidRPr="00A40880" w:rsidRDefault="00631824" w:rsidP="00FD1E37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17" w:name="_Toc75166490"/>
            <w:bookmarkStart w:id="18" w:name="_Hlk70056822"/>
            <w:r w:rsidRPr="002F2319"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 xml:space="preserve">Acceptable </w:t>
            </w:r>
            <w:r w:rsidR="00FD1E37" w:rsidRPr="002F2319">
              <w:rPr>
                <w:rFonts w:asciiTheme="minorHAnsi" w:eastAsia="Calibri" w:hAnsiTheme="minorHAnsi" w:cs="Times New Roman"/>
                <w:i w:val="0"/>
                <w:iCs/>
              </w:rPr>
              <w:t>Dose for</w:t>
            </w:r>
            <w:r w:rsidR="00FD1E37">
              <w:rPr>
                <w:rFonts w:asciiTheme="minorHAnsi" w:eastAsia="Calibri" w:hAnsiTheme="minorHAnsi" w:cs="Times New Roman"/>
                <w:i w:val="0"/>
                <w:iCs/>
              </w:rPr>
              <w:t xml:space="preserve"> Intact Prostate</w:t>
            </w:r>
            <w:r w:rsidR="00FD1E37" w:rsidRPr="00A40880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FD1E37">
              <w:rPr>
                <w:rFonts w:asciiTheme="minorHAnsi" w:eastAsia="Calibri" w:hAnsiTheme="minorHAnsi" w:cs="Times New Roman"/>
                <w:i w:val="0"/>
                <w:iCs/>
              </w:rPr>
              <w:t>B</w:t>
            </w:r>
            <w:r w:rsidR="00FD1E37" w:rsidRPr="00A40880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1F5657">
              <w:rPr>
                <w:rFonts w:asciiTheme="minorHAnsi" w:eastAsia="Calibri" w:hAnsiTheme="minorHAnsi" w:cs="Times New Roman"/>
                <w:i w:val="0"/>
                <w:iCs/>
              </w:rPr>
              <w:t>5</w:t>
            </w:r>
            <w:r w:rsidR="00FD1E37" w:rsidRPr="00A40880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7"/>
          </w:p>
        </w:tc>
      </w:tr>
      <w:tr w:rsidR="00FD1E37" w:rsidRPr="00683C41" w14:paraId="3BFDC193" w14:textId="77777777" w:rsidTr="00FD1E37">
        <w:trPr>
          <w:trHeight w:val="53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C834EC3" w14:textId="77777777" w:rsidR="00FD1E37" w:rsidRPr="00EC59F5" w:rsidRDefault="00FD1E37" w:rsidP="00FD1E37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78750BCA" w14:textId="77777777" w:rsidR="000F60C7" w:rsidRDefault="00FD1E37" w:rsidP="00FD1E37">
            <w:pPr>
              <w:pStyle w:val="BodyText"/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Patients </w:t>
            </w:r>
            <w:r w:rsidRPr="0046259E">
              <w:rPr>
                <w:rFonts w:asciiTheme="minorHAnsi" w:hAnsiTheme="minorHAnsi" w:cs="Times New Roman"/>
              </w:rPr>
              <w:t xml:space="preserve">prescribed a course of treatment to the prostate PTV with </w:t>
            </w:r>
            <w:r>
              <w:rPr>
                <w:rFonts w:asciiTheme="minorHAnsi" w:hAnsiTheme="minorHAnsi"/>
              </w:rPr>
              <w:t>an acceptable dose fraction regimen</w:t>
            </w:r>
            <w:r w:rsidR="000F60C7">
              <w:rPr>
                <w:rFonts w:asciiTheme="minorHAnsi" w:hAnsiTheme="minorHAnsi"/>
              </w:rPr>
              <w:t>, including:</w:t>
            </w:r>
          </w:p>
          <w:p w14:paraId="124B9738" w14:textId="30A1923C" w:rsidR="00631824" w:rsidRPr="0092784A" w:rsidRDefault="00631824" w:rsidP="00631824">
            <w:pPr>
              <w:pStyle w:val="ListParagraph"/>
              <w:numPr>
                <w:ilvl w:val="1"/>
                <w:numId w:val="11"/>
              </w:numPr>
            </w:pPr>
            <w:r>
              <w:t xml:space="preserve">800 cGy x 5 fractions </w:t>
            </w:r>
            <w:r w:rsidRPr="00631824">
              <w:rPr>
                <w:b/>
                <w:bCs/>
              </w:rPr>
              <w:t>OR</w:t>
            </w:r>
          </w:p>
          <w:p w14:paraId="4173E070" w14:textId="64D1FF7E" w:rsidR="0092784A" w:rsidRPr="0092784A" w:rsidRDefault="0092784A" w:rsidP="00631824">
            <w:pPr>
              <w:pStyle w:val="ListParagraph"/>
              <w:numPr>
                <w:ilvl w:val="1"/>
                <w:numId w:val="11"/>
              </w:numPr>
              <w:rPr>
                <w:b/>
                <w:bCs/>
              </w:rPr>
            </w:pPr>
            <w:r>
              <w:t xml:space="preserve">750 cGy x 5 fractions </w:t>
            </w:r>
            <w:r w:rsidRPr="0092784A">
              <w:rPr>
                <w:b/>
                <w:bCs/>
              </w:rPr>
              <w:t>OR</w:t>
            </w:r>
          </w:p>
          <w:p w14:paraId="705F873B" w14:textId="7ED61DA5" w:rsidR="0092784A" w:rsidRDefault="0092784A" w:rsidP="00631824">
            <w:pPr>
              <w:pStyle w:val="ListParagraph"/>
              <w:numPr>
                <w:ilvl w:val="1"/>
                <w:numId w:val="11"/>
              </w:numPr>
            </w:pPr>
            <w:r>
              <w:t xml:space="preserve">725 cGy x 5 fractions </w:t>
            </w:r>
            <w:r w:rsidRPr="00631824">
              <w:rPr>
                <w:b/>
                <w:bCs/>
              </w:rPr>
              <w:t>OR</w:t>
            </w:r>
          </w:p>
          <w:p w14:paraId="35188327" w14:textId="773C4FCE" w:rsidR="0092784A" w:rsidRDefault="0092784A" w:rsidP="00631824">
            <w:pPr>
              <w:pStyle w:val="ListParagraph"/>
              <w:numPr>
                <w:ilvl w:val="1"/>
                <w:numId w:val="11"/>
              </w:numPr>
            </w:pPr>
            <w:r>
              <w:t xml:space="preserve">700 cGy x 5 fractions </w:t>
            </w:r>
            <w:r w:rsidRPr="00631824">
              <w:rPr>
                <w:b/>
                <w:bCs/>
              </w:rPr>
              <w:t>OR</w:t>
            </w:r>
          </w:p>
          <w:p w14:paraId="5483244B" w14:textId="77777777" w:rsidR="00631824" w:rsidRPr="007824E7" w:rsidRDefault="00631824" w:rsidP="000F60C7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610 cGy x 7 fractions </w:t>
            </w:r>
            <w:r w:rsidRPr="007824E7">
              <w:rPr>
                <w:b/>
                <w:bCs/>
              </w:rPr>
              <w:t>OR</w:t>
            </w:r>
            <w:r w:rsidRPr="007824E7">
              <w:t xml:space="preserve"> </w:t>
            </w:r>
          </w:p>
          <w:p w14:paraId="4E1B8E0B" w14:textId="093F17DD" w:rsidR="000F60C7" w:rsidRPr="007824E7" w:rsidRDefault="000F60C7" w:rsidP="000F60C7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300 cGy x 20 fractions </w:t>
            </w:r>
            <w:r w:rsidRPr="007824E7">
              <w:rPr>
                <w:b/>
                <w:bCs/>
              </w:rPr>
              <w:t>OR</w:t>
            </w:r>
          </w:p>
          <w:p w14:paraId="1225111E" w14:textId="3B77724B" w:rsidR="000F60C7" w:rsidRPr="007824E7" w:rsidRDefault="000F60C7" w:rsidP="000F60C7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270 cGy x 26 fractions </w:t>
            </w:r>
            <w:r w:rsidRPr="007824E7">
              <w:rPr>
                <w:b/>
                <w:bCs/>
              </w:rPr>
              <w:t>OR</w:t>
            </w:r>
          </w:p>
          <w:p w14:paraId="330E6C90" w14:textId="54FD2B6C" w:rsidR="000F60C7" w:rsidRPr="007824E7" w:rsidRDefault="000F60C7" w:rsidP="000F60C7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250 cGy x 28 fractions </w:t>
            </w:r>
            <w:r w:rsidRPr="007824E7">
              <w:rPr>
                <w:b/>
                <w:bCs/>
              </w:rPr>
              <w:t>OR</w:t>
            </w:r>
          </w:p>
          <w:p w14:paraId="0F77A155" w14:textId="3F8902DD" w:rsidR="0092784A" w:rsidRPr="007824E7" w:rsidRDefault="0092784A" w:rsidP="000F60C7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240 cGy x 30 fractions </w:t>
            </w:r>
            <w:r w:rsidRPr="007824E7">
              <w:rPr>
                <w:b/>
                <w:bCs/>
              </w:rPr>
              <w:t>OR</w:t>
            </w:r>
          </w:p>
          <w:p w14:paraId="13BF6FB0" w14:textId="5320F798" w:rsidR="00631824" w:rsidRPr="007824E7" w:rsidRDefault="00631824" w:rsidP="00631824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200 cGy x 37 fractions </w:t>
            </w:r>
            <w:r w:rsidRPr="007824E7">
              <w:rPr>
                <w:b/>
                <w:bCs/>
              </w:rPr>
              <w:t>OR</w:t>
            </w:r>
          </w:p>
          <w:p w14:paraId="32C757A3" w14:textId="4EC1F595" w:rsidR="00631824" w:rsidRPr="007824E7" w:rsidRDefault="0092784A" w:rsidP="00631824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200 </w:t>
            </w:r>
            <w:r w:rsidR="00631824" w:rsidRPr="007824E7">
              <w:t xml:space="preserve">cGy x </w:t>
            </w:r>
            <w:r w:rsidRPr="007824E7">
              <w:t>38</w:t>
            </w:r>
            <w:r w:rsidR="00631824" w:rsidRPr="007824E7">
              <w:t xml:space="preserve"> fractions </w:t>
            </w:r>
            <w:r w:rsidR="00631824" w:rsidRPr="007824E7">
              <w:rPr>
                <w:b/>
                <w:bCs/>
              </w:rPr>
              <w:t>OR</w:t>
            </w:r>
            <w:r w:rsidR="00631824" w:rsidRPr="007824E7">
              <w:t xml:space="preserve"> </w:t>
            </w:r>
          </w:p>
          <w:p w14:paraId="4C7FD908" w14:textId="050115D4" w:rsidR="0092784A" w:rsidRPr="007824E7" w:rsidRDefault="0092784A" w:rsidP="0092784A">
            <w:pPr>
              <w:pStyle w:val="ListParagraph"/>
              <w:numPr>
                <w:ilvl w:val="1"/>
                <w:numId w:val="11"/>
              </w:numPr>
            </w:pPr>
            <w:r w:rsidRPr="007824E7">
              <w:t xml:space="preserve">200 cGy x 39 fractions </w:t>
            </w:r>
            <w:r w:rsidRPr="007824E7">
              <w:rPr>
                <w:b/>
                <w:bCs/>
              </w:rPr>
              <w:t>OR</w:t>
            </w:r>
            <w:r w:rsidRPr="007824E7">
              <w:t xml:space="preserve"> </w:t>
            </w:r>
          </w:p>
          <w:p w14:paraId="7AA1ED0C" w14:textId="729BB964" w:rsidR="0092784A" w:rsidRPr="00090020" w:rsidRDefault="0092784A" w:rsidP="0092784A">
            <w:pPr>
              <w:pStyle w:val="ListParagraph"/>
              <w:numPr>
                <w:ilvl w:val="1"/>
                <w:numId w:val="11"/>
              </w:numPr>
            </w:pPr>
            <w:r w:rsidRPr="007824E7">
              <w:t>180 cGy x 4</w:t>
            </w:r>
            <w:r w:rsidR="00C75C27" w:rsidRPr="007824E7">
              <w:t>2</w:t>
            </w:r>
            <w:r w:rsidRPr="007824E7">
              <w:t xml:space="preserve"> fractions</w:t>
            </w:r>
            <w:r w:rsidRPr="007824E7">
              <w:rPr>
                <w:b/>
                <w:bCs/>
              </w:rPr>
              <w:t xml:space="preserve"> OR</w:t>
            </w:r>
          </w:p>
          <w:p w14:paraId="5B242936" w14:textId="7AB8E28A" w:rsidR="00090020" w:rsidRPr="00090020" w:rsidRDefault="00090020" w:rsidP="0092784A">
            <w:pPr>
              <w:pStyle w:val="ListParagraph"/>
              <w:numPr>
                <w:ilvl w:val="1"/>
                <w:numId w:val="11"/>
              </w:numPr>
            </w:pPr>
            <w:r w:rsidRPr="00090020">
              <w:t xml:space="preserve">180 cGy x 43 fractions </w:t>
            </w:r>
            <w:r w:rsidRPr="00BB066B">
              <w:rPr>
                <w:b/>
                <w:bCs/>
              </w:rPr>
              <w:t>OR</w:t>
            </w:r>
          </w:p>
          <w:p w14:paraId="74715CB0" w14:textId="12EDB442" w:rsidR="00FD1E37" w:rsidRPr="000F60C7" w:rsidRDefault="00090020">
            <w:pPr>
              <w:pStyle w:val="ListParagraph"/>
              <w:numPr>
                <w:ilvl w:val="1"/>
                <w:numId w:val="11"/>
              </w:numPr>
            </w:pPr>
            <w:r w:rsidRPr="00090020">
              <w:t>180 cGy x 44 fractions</w:t>
            </w:r>
            <w:r w:rsidR="00FF07AB">
              <w:t>.</w:t>
            </w:r>
            <w:r w:rsidRPr="00090020">
              <w:t xml:space="preserve"> </w:t>
            </w:r>
          </w:p>
        </w:tc>
      </w:tr>
      <w:tr w:rsidR="00FD1E37" w:rsidRPr="00683C41" w14:paraId="46CEFF7F" w14:textId="77777777" w:rsidTr="00FD1E37">
        <w:trPr>
          <w:trHeight w:val="71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0F80523" w14:textId="77777777" w:rsidR="00FD1E37" w:rsidRPr="00683C41" w:rsidRDefault="00FD1E37" w:rsidP="00FD1E37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5E9D64D" w14:textId="02A1F01B" w:rsidR="00FD1E37" w:rsidRPr="006F5894" w:rsidRDefault="00FD1E37" w:rsidP="00FD1E37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 w:cs="Times New Roman"/>
              </w:rPr>
              <w:t>All patients, regardless of age, with a diagnosis of prostate cancer receiving definitive external beam radiation therapy</w:t>
            </w:r>
            <w:r w:rsidR="00631824" w:rsidRPr="006F5894">
              <w:rPr>
                <w:rFonts w:asciiTheme="minorHAnsi" w:hAnsiTheme="minorHAnsi" w:cs="Times New Roman"/>
              </w:rPr>
              <w:t>.</w:t>
            </w:r>
            <w:r w:rsidRPr="006F5894">
              <w:rPr>
                <w:rFonts w:asciiTheme="minorHAnsi" w:hAnsiTheme="minorHAnsi" w:cs="Times New Roman"/>
              </w:rPr>
              <w:t xml:space="preserve"> </w:t>
            </w:r>
          </w:p>
        </w:tc>
      </w:tr>
      <w:tr w:rsidR="00FD1E37" w:rsidRPr="00683C41" w14:paraId="360F453F" w14:textId="77777777" w:rsidTr="00FD1E37">
        <w:trPr>
          <w:trHeight w:val="32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E2C7578" w14:textId="77777777" w:rsidR="00FD1E37" w:rsidRPr="00683C41" w:rsidRDefault="00FD1E37" w:rsidP="00FD1E37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  <w:p w14:paraId="5AA33743" w14:textId="77777777" w:rsidR="00FD1E37" w:rsidRPr="00683C41" w:rsidRDefault="00FD1E37" w:rsidP="00FD1E37">
            <w:pPr>
              <w:pStyle w:val="Heading5"/>
              <w:spacing w:before="72"/>
              <w:ind w:left="71"/>
              <w:rPr>
                <w:rFonts w:asciiTheme="minorHAnsi" w:hAnsiTheme="minorHAnsi"/>
                <w:w w:val="95"/>
              </w:rPr>
            </w:pP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28BE7CC" w14:textId="04D82B4F" w:rsidR="00FD1E37" w:rsidRPr="006F5894" w:rsidRDefault="00FD1E37" w:rsidP="00FD1E37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6F5894">
              <w:rPr>
                <w:rFonts w:eastAsia="Times New Roman"/>
              </w:rPr>
              <w:t xml:space="preserve">Patients receiving </w:t>
            </w:r>
            <w:r w:rsidR="008E6A50" w:rsidRPr="006F5894">
              <w:rPr>
                <w:rFonts w:eastAsia="Times New Roman"/>
              </w:rPr>
              <w:t>post-prostatectomy</w:t>
            </w:r>
            <w:r w:rsidRPr="006F5894">
              <w:rPr>
                <w:rFonts w:eastAsia="Times New Roman"/>
              </w:rPr>
              <w:t xml:space="preserve"> care.</w:t>
            </w:r>
          </w:p>
          <w:p w14:paraId="0C484A84" w14:textId="77777777" w:rsidR="00FD1E37" w:rsidRPr="006F5894" w:rsidRDefault="00FD1E37" w:rsidP="00FD1E37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with recurrent disease.</w:t>
            </w:r>
          </w:p>
          <w:p w14:paraId="4C5F4F6B" w14:textId="77777777" w:rsidR="00FD1E37" w:rsidRPr="006F5894" w:rsidRDefault="00FD1E37" w:rsidP="00FD1E37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with metastatic disease.</w:t>
            </w:r>
          </w:p>
          <w:p w14:paraId="7F768ED0" w14:textId="0A898C2F" w:rsidR="00FD1E37" w:rsidRPr="006F5894" w:rsidRDefault="00FD1E37" w:rsidP="00FD1E37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 xml:space="preserve">Patients receiving </w:t>
            </w:r>
            <w:r w:rsidR="00631824" w:rsidRPr="006F5894">
              <w:rPr>
                <w:rFonts w:asciiTheme="minorHAnsi" w:hAnsiTheme="minorHAnsi"/>
              </w:rPr>
              <w:t xml:space="preserve">pelvic lymph </w:t>
            </w:r>
            <w:r w:rsidRPr="006F5894">
              <w:rPr>
                <w:rFonts w:asciiTheme="minorHAnsi" w:hAnsiTheme="minorHAnsi"/>
              </w:rPr>
              <w:t>no</w:t>
            </w:r>
            <w:r w:rsidR="00631824" w:rsidRPr="006F5894">
              <w:rPr>
                <w:rFonts w:asciiTheme="minorHAnsi" w:hAnsiTheme="minorHAnsi"/>
              </w:rPr>
              <w:t>de</w:t>
            </w:r>
            <w:r w:rsidRPr="006F5894">
              <w:rPr>
                <w:rFonts w:asciiTheme="minorHAnsi" w:hAnsiTheme="minorHAnsi"/>
              </w:rPr>
              <w:t xml:space="preserve"> radiation.</w:t>
            </w:r>
          </w:p>
          <w:p w14:paraId="0A640A74" w14:textId="4D57450E" w:rsidR="00631824" w:rsidRPr="006F5894" w:rsidRDefault="00631824" w:rsidP="00FD1E37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 w:cs="Times New Roman"/>
              </w:rPr>
              <w:t xml:space="preserve">Patients receiving </w:t>
            </w:r>
            <w:r w:rsidR="00762090" w:rsidRPr="006F5894">
              <w:rPr>
                <w:rFonts w:asciiTheme="minorHAnsi" w:hAnsiTheme="minorHAnsi" w:cs="Times New Roman"/>
              </w:rPr>
              <w:t xml:space="preserve">combined </w:t>
            </w:r>
            <w:r w:rsidRPr="006F5894">
              <w:rPr>
                <w:rFonts w:asciiTheme="minorHAnsi" w:hAnsiTheme="minorHAnsi" w:cs="Times New Roman"/>
              </w:rPr>
              <w:t xml:space="preserve">brachytherapy. </w:t>
            </w:r>
          </w:p>
          <w:p w14:paraId="15F368FC" w14:textId="2398947C" w:rsidR="00FD1E37" w:rsidRPr="006F5894" w:rsidRDefault="00FD1E37" w:rsidP="00631824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on a clinical trial.</w:t>
            </w:r>
          </w:p>
        </w:tc>
      </w:tr>
      <w:tr w:rsidR="00FD1E37" w:rsidRPr="00683C41" w14:paraId="738C458C" w14:textId="77777777" w:rsidTr="00617598">
        <w:trPr>
          <w:trHeight w:val="50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02E04720" w14:textId="77777777" w:rsidR="00FD1E37" w:rsidRPr="00683C41" w:rsidRDefault="00FD1E37" w:rsidP="00FD1E37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7D723FB" w14:textId="607210ED" w:rsidR="00FD1E37" w:rsidRPr="00683C41" w:rsidRDefault="00CF48D0" w:rsidP="00631824">
            <w:r>
              <w:t xml:space="preserve"> None.</w:t>
            </w:r>
          </w:p>
        </w:tc>
      </w:tr>
      <w:tr w:rsidR="00FD1E37" w:rsidRPr="00683C41" w14:paraId="51527576" w14:textId="77777777" w:rsidTr="00FD1E37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6755053E" w14:textId="77777777" w:rsidR="00FD1E37" w:rsidRPr="00683C41" w:rsidRDefault="00FD1E37" w:rsidP="00FD1E37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43B6FF41" w14:textId="77777777" w:rsidR="00FD1E37" w:rsidRDefault="00FD1E37" w:rsidP="00FD1E37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= Better.</w:t>
            </w:r>
          </w:p>
          <w:p w14:paraId="5E6B3162" w14:textId="77777777" w:rsidR="00FD1E37" w:rsidRPr="00683C41" w:rsidRDefault="00FD1E37" w:rsidP="00FD1E37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F756E0">
              <w:rPr>
                <w:rFonts w:asciiTheme="minorHAnsi" w:hAnsiTheme="minorHAnsi"/>
              </w:rPr>
              <w:t>Expected Performance Rate: 90%</w:t>
            </w:r>
          </w:p>
        </w:tc>
      </w:tr>
      <w:tr w:rsidR="00FD1E37" w14:paraId="253F41E4" w14:textId="77777777" w:rsidTr="00FD1E37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6371092E" w14:textId="77777777" w:rsidR="00FD1E37" w:rsidRPr="00683C41" w:rsidRDefault="00FD1E37" w:rsidP="00FD1E37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27A1756" w14:textId="77777777" w:rsidR="00FD1E37" w:rsidRPr="00B33785" w:rsidRDefault="00E55CB1" w:rsidP="00FD1E37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492241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E37" w:rsidRPr="00893C62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="00FD1E37" w:rsidRPr="00B33785">
              <w:rPr>
                <w:rFonts w:asciiTheme="minorHAnsi" w:hAnsiTheme="minorHAnsi"/>
              </w:rPr>
              <w:t xml:space="preserve"> Quality Measure</w:t>
            </w:r>
          </w:p>
          <w:p w14:paraId="20DDE7C1" w14:textId="77777777" w:rsidR="00FD1E37" w:rsidRPr="00B33785" w:rsidRDefault="00E55CB1" w:rsidP="00FD1E37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208117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E37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D1E37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7C10A2B7" w14:textId="77777777" w:rsidR="00FD1E37" w:rsidRDefault="00FD1E37" w:rsidP="00FD1E37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71965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  <w:bookmarkEnd w:id="18"/>
    </w:tbl>
    <w:p w14:paraId="08FD196E" w14:textId="70C555E4" w:rsidR="00FD1E37" w:rsidRDefault="00FD1E37" w:rsidP="00E94D63">
      <w:pPr>
        <w:widowControl/>
        <w:spacing w:after="160" w:line="259" w:lineRule="auto"/>
        <w:rPr>
          <w:iCs/>
        </w:rPr>
      </w:pPr>
    </w:p>
    <w:p w14:paraId="718253B5" w14:textId="5CB00A74" w:rsidR="001B38D0" w:rsidRDefault="001B38D0" w:rsidP="00E94D63">
      <w:pPr>
        <w:widowControl/>
        <w:spacing w:after="160" w:line="259" w:lineRule="auto"/>
        <w:rPr>
          <w:i/>
        </w:rPr>
      </w:pPr>
    </w:p>
    <w:p w14:paraId="688DE578" w14:textId="26A92AED" w:rsidR="00B4085F" w:rsidRDefault="00B4085F" w:rsidP="00E94D63">
      <w:pPr>
        <w:widowControl/>
        <w:spacing w:after="160" w:line="259" w:lineRule="auto"/>
        <w:rPr>
          <w:i/>
        </w:rPr>
      </w:pPr>
    </w:p>
    <w:p w14:paraId="42E08304" w14:textId="3B42ED05" w:rsidR="00B4085F" w:rsidRDefault="00B4085F" w:rsidP="00E94D63">
      <w:pPr>
        <w:widowControl/>
        <w:spacing w:after="160" w:line="259" w:lineRule="auto"/>
        <w:rPr>
          <w:i/>
        </w:rPr>
      </w:pPr>
    </w:p>
    <w:p w14:paraId="118BB55B" w14:textId="68AE402E" w:rsidR="00B4085F" w:rsidRDefault="00B4085F" w:rsidP="00E94D63">
      <w:pPr>
        <w:widowControl/>
        <w:spacing w:after="160" w:line="259" w:lineRule="auto"/>
        <w:rPr>
          <w:i/>
        </w:rPr>
      </w:pPr>
    </w:p>
    <w:p w14:paraId="7FE10B22" w14:textId="6CCC16A6" w:rsidR="00B4085F" w:rsidRDefault="00B4085F" w:rsidP="00E94D63">
      <w:pPr>
        <w:widowControl/>
        <w:spacing w:after="160" w:line="259" w:lineRule="auto"/>
        <w:rPr>
          <w:i/>
        </w:rPr>
      </w:pPr>
    </w:p>
    <w:p w14:paraId="6C8DC135" w14:textId="153A0578" w:rsidR="00B4085F" w:rsidRDefault="00B4085F" w:rsidP="00E94D63">
      <w:pPr>
        <w:widowControl/>
        <w:spacing w:after="160" w:line="259" w:lineRule="auto"/>
        <w:rPr>
          <w:i/>
        </w:rPr>
      </w:pPr>
    </w:p>
    <w:p w14:paraId="6DF07FC4" w14:textId="39984AE2" w:rsidR="00B4085F" w:rsidRDefault="00B4085F" w:rsidP="00E94D63">
      <w:pPr>
        <w:widowControl/>
        <w:spacing w:after="160" w:line="259" w:lineRule="auto"/>
        <w:rPr>
          <w:i/>
        </w:rPr>
      </w:pPr>
    </w:p>
    <w:tbl>
      <w:tblPr>
        <w:tblW w:w="9630" w:type="dxa"/>
        <w:tblInd w:w="-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B4085F" w:rsidRPr="00683C41" w14:paraId="64CF3BD7" w14:textId="77777777" w:rsidTr="00C75C27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3E2321AA" w14:textId="6D7CB593" w:rsidR="00B4085F" w:rsidRPr="00893C62" w:rsidRDefault="0062726A" w:rsidP="00C75C27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19" w:name="_Toc75166491"/>
            <w:r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*</w:t>
            </w:r>
            <w:r w:rsidR="00B4085F" w:rsidRPr="001F5657">
              <w:rPr>
                <w:rFonts w:asciiTheme="minorHAnsi" w:eastAsia="Calibri" w:hAnsiTheme="minorHAnsi" w:cs="Times New Roman"/>
                <w:i w:val="0"/>
                <w:iCs/>
              </w:rPr>
              <w:t>Patient</w:t>
            </w:r>
            <w:r w:rsidR="00B4085F">
              <w:rPr>
                <w:rFonts w:asciiTheme="minorHAnsi" w:eastAsia="Calibri" w:hAnsiTheme="minorHAnsi" w:cs="Times New Roman"/>
                <w:i w:val="0"/>
                <w:iCs/>
              </w:rPr>
              <w:t xml:space="preserve"> Selection – Moderately Hypofractionated or </w:t>
            </w:r>
            <w:proofErr w:type="spellStart"/>
            <w:r w:rsidR="00B4085F">
              <w:rPr>
                <w:rFonts w:asciiTheme="minorHAnsi" w:eastAsia="Calibri" w:hAnsiTheme="minorHAnsi" w:cs="Times New Roman"/>
                <w:i w:val="0"/>
                <w:iCs/>
              </w:rPr>
              <w:t>Ultrahypofractionated</w:t>
            </w:r>
            <w:proofErr w:type="spellEnd"/>
            <w:r w:rsidR="00B4085F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="00B4085F" w:rsidRPr="00893C62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B4085F">
              <w:rPr>
                <w:rFonts w:asciiTheme="minorHAnsi" w:eastAsia="Calibri" w:hAnsiTheme="minorHAnsi" w:cs="Times New Roman"/>
                <w:i w:val="0"/>
                <w:iCs/>
              </w:rPr>
              <w:t>B</w:t>
            </w:r>
            <w:r w:rsidR="00B4085F" w:rsidRPr="00893C62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1F5657">
              <w:rPr>
                <w:rFonts w:asciiTheme="minorHAnsi" w:eastAsia="Calibri" w:hAnsiTheme="minorHAnsi" w:cs="Times New Roman"/>
                <w:i w:val="0"/>
                <w:iCs/>
              </w:rPr>
              <w:t>6</w:t>
            </w:r>
            <w:r w:rsidR="00B4085F" w:rsidRPr="00893C62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19"/>
            <w:r w:rsidR="00B4085F"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</w:p>
        </w:tc>
      </w:tr>
      <w:tr w:rsidR="00B4085F" w:rsidRPr="00683C41" w14:paraId="4DB98E6C" w14:textId="77777777" w:rsidTr="00C75C27">
        <w:trPr>
          <w:trHeight w:val="59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D379313" w14:textId="77777777" w:rsidR="00B4085F" w:rsidRPr="00DD3276" w:rsidRDefault="00B4085F" w:rsidP="00C75C27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5812364A" w14:textId="77777777" w:rsidR="00B4085F" w:rsidRPr="001D4E2F" w:rsidRDefault="00B4085F" w:rsidP="00C75C27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Patients prescribed a moderately </w:t>
            </w:r>
            <w:r w:rsidRPr="00B4085F">
              <w:rPr>
                <w:rFonts w:asciiTheme="minorHAnsi" w:hAnsiTheme="minorHAnsi" w:cs="Times New Roman"/>
                <w:b/>
                <w:bCs/>
              </w:rPr>
              <w:t>OR</w:t>
            </w:r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ultrahypofractionated</w:t>
            </w:r>
            <w:proofErr w:type="spellEnd"/>
            <w:r>
              <w:rPr>
                <w:rFonts w:asciiTheme="minorHAnsi" w:hAnsiTheme="minorHAnsi" w:cs="Times New Roman"/>
              </w:rPr>
              <w:t xml:space="preserve"> regimen. </w:t>
            </w:r>
          </w:p>
        </w:tc>
      </w:tr>
      <w:tr w:rsidR="00B4085F" w:rsidRPr="00683C41" w14:paraId="13974C68" w14:textId="77777777" w:rsidTr="00C75C27">
        <w:trPr>
          <w:trHeight w:val="580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6299A165" w14:textId="77777777" w:rsidR="00B4085F" w:rsidRPr="00683C41" w:rsidRDefault="00B4085F" w:rsidP="00C75C27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3AD18991" w14:textId="77777777" w:rsidR="00B4085F" w:rsidRPr="006F5894" w:rsidRDefault="00B4085F" w:rsidP="00C75C27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 w:cs="Times New Roman"/>
              </w:rPr>
              <w:t xml:space="preserve">All patients, regardless of age, with a diagnosis of prostate cancer </w:t>
            </w:r>
            <w:r w:rsidRPr="006F5894">
              <w:rPr>
                <w:rFonts w:asciiTheme="minorHAnsi" w:eastAsia="Calibri" w:hAnsiTheme="minorHAnsi" w:cs="Times New Roman"/>
              </w:rPr>
              <w:t xml:space="preserve">receiving definitive external beam radiation therapy. </w:t>
            </w:r>
          </w:p>
        </w:tc>
      </w:tr>
      <w:tr w:rsidR="00B4085F" w:rsidRPr="00683C41" w14:paraId="40FCE5D7" w14:textId="77777777" w:rsidTr="00C75C27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E5AE542" w14:textId="77777777" w:rsidR="00B4085F" w:rsidRPr="00683C41" w:rsidRDefault="00B4085F" w:rsidP="00C75C27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B78294E" w14:textId="35DA7478" w:rsidR="00B4085F" w:rsidRPr="006F5894" w:rsidRDefault="00B4085F" w:rsidP="00B4085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6F5894">
              <w:rPr>
                <w:rFonts w:eastAsia="Times New Roman"/>
              </w:rPr>
              <w:t xml:space="preserve">Patients receiving </w:t>
            </w:r>
            <w:r w:rsidR="008E6A50" w:rsidRPr="006F5894">
              <w:rPr>
                <w:rFonts w:eastAsia="Times New Roman"/>
              </w:rPr>
              <w:t>post-prostatectomy</w:t>
            </w:r>
            <w:r w:rsidRPr="006F5894">
              <w:rPr>
                <w:rFonts w:eastAsia="Times New Roman"/>
              </w:rPr>
              <w:t xml:space="preserve"> care.</w:t>
            </w:r>
          </w:p>
          <w:p w14:paraId="6BD55F96" w14:textId="77777777" w:rsidR="00B4085F" w:rsidRPr="006F5894" w:rsidRDefault="00B4085F" w:rsidP="00B4085F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with recurrent disease.</w:t>
            </w:r>
          </w:p>
          <w:p w14:paraId="73C0FDEB" w14:textId="77777777" w:rsidR="00B4085F" w:rsidRPr="006F5894" w:rsidRDefault="00B4085F" w:rsidP="00B4085F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with metastatic disease.</w:t>
            </w:r>
          </w:p>
          <w:p w14:paraId="4DDA0719" w14:textId="77777777" w:rsidR="00B4085F" w:rsidRPr="006F5894" w:rsidRDefault="00B4085F" w:rsidP="00B4085F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receiving pelvic lymph node radiation.</w:t>
            </w:r>
          </w:p>
          <w:p w14:paraId="075ACD3E" w14:textId="47E6E4F4" w:rsidR="00B4085F" w:rsidRPr="006F5894" w:rsidRDefault="00B4085F" w:rsidP="00B4085F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 w:cs="Times New Roman"/>
              </w:rPr>
              <w:t xml:space="preserve">Patients receiving </w:t>
            </w:r>
            <w:r w:rsidR="00762090" w:rsidRPr="006F5894">
              <w:rPr>
                <w:rFonts w:asciiTheme="minorHAnsi" w:hAnsiTheme="minorHAnsi" w:cs="Times New Roman"/>
              </w:rPr>
              <w:t xml:space="preserve">combined </w:t>
            </w:r>
            <w:r w:rsidRPr="006F5894">
              <w:rPr>
                <w:rFonts w:asciiTheme="minorHAnsi" w:hAnsiTheme="minorHAnsi" w:cs="Times New Roman"/>
              </w:rPr>
              <w:t xml:space="preserve">brachytherapy. </w:t>
            </w:r>
          </w:p>
          <w:p w14:paraId="6DC53130" w14:textId="64CC2957" w:rsidR="00B4085F" w:rsidRPr="006F5894" w:rsidRDefault="00B4085F" w:rsidP="00B4085F">
            <w:pPr>
              <w:pStyle w:val="BodyText"/>
              <w:numPr>
                <w:ilvl w:val="0"/>
                <w:numId w:val="2"/>
              </w:numPr>
              <w:ind w:right="479"/>
              <w:rPr>
                <w:rFonts w:asciiTheme="minorHAnsi" w:hAnsiTheme="minorHAnsi" w:cs="Times New Roman"/>
              </w:rPr>
            </w:pPr>
            <w:r w:rsidRPr="006F5894">
              <w:rPr>
                <w:rFonts w:asciiTheme="minorHAnsi" w:hAnsiTheme="minorHAnsi"/>
              </w:rPr>
              <w:t>Patients on a clinical trial.</w:t>
            </w:r>
          </w:p>
        </w:tc>
      </w:tr>
      <w:tr w:rsidR="00B4085F" w:rsidRPr="00683C41" w14:paraId="6DDDB773" w14:textId="77777777" w:rsidTr="00C75C27">
        <w:trPr>
          <w:trHeight w:val="837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10A360F" w14:textId="77777777" w:rsidR="00B4085F" w:rsidRPr="00683C41" w:rsidRDefault="00B4085F" w:rsidP="00C75C27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3FC8A5D5" w14:textId="77777777" w:rsidR="00B4085F" w:rsidRPr="00A609D6" w:rsidRDefault="00B4085F" w:rsidP="00C75C27">
            <w:pPr>
              <w:pStyle w:val="ListParagraph"/>
              <w:numPr>
                <w:ilvl w:val="0"/>
                <w:numId w:val="7"/>
              </w:numPr>
            </w:pPr>
            <w:r>
              <w:t>Moderately h</w:t>
            </w:r>
            <w:r w:rsidRPr="00F756E0">
              <w:t xml:space="preserve">ypofractionated regimen is defined as treatments where the dose per fraction is </w:t>
            </w:r>
            <w:r>
              <w:rPr>
                <w:rFonts w:cstheme="minorHAnsi"/>
              </w:rPr>
              <w:t>≥</w:t>
            </w:r>
            <w:r w:rsidRPr="00F756E0">
              <w:t xml:space="preserve"> </w:t>
            </w:r>
            <w:r>
              <w:t>240</w:t>
            </w:r>
            <w:r w:rsidRPr="00F756E0">
              <w:t xml:space="preserve"> cGy</w:t>
            </w:r>
            <w:r>
              <w:t xml:space="preserve"> and </w:t>
            </w:r>
            <w:r>
              <w:rPr>
                <w:rFonts w:cstheme="minorHAnsi"/>
              </w:rPr>
              <w:t xml:space="preserve">≤ 340 cGy. </w:t>
            </w:r>
          </w:p>
          <w:p w14:paraId="2E2D1DD3" w14:textId="77777777" w:rsidR="00B4085F" w:rsidRDefault="00B4085F" w:rsidP="00C75C27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FD1E37">
              <w:t>Ultrahypofractionated</w:t>
            </w:r>
            <w:proofErr w:type="spellEnd"/>
            <w:r w:rsidRPr="00FD1E37">
              <w:t xml:space="preserve"> regimen is defined as treatments where the dose per fraction is ≥ 500 cGy. </w:t>
            </w:r>
          </w:p>
          <w:p w14:paraId="0F8EA1B1" w14:textId="13DDF847" w:rsidR="004D4FEB" w:rsidRPr="00683C41" w:rsidRDefault="004D4FEB" w:rsidP="00C75C27">
            <w:pPr>
              <w:pStyle w:val="ListParagraph"/>
              <w:numPr>
                <w:ilvl w:val="0"/>
                <w:numId w:val="7"/>
              </w:numPr>
            </w:pPr>
            <w:r w:rsidRPr="004D4FEB">
              <w:rPr>
                <w:b/>
                <w:bCs/>
              </w:rPr>
              <w:t>*High Potential Impact Measure</w:t>
            </w:r>
          </w:p>
        </w:tc>
      </w:tr>
      <w:tr w:rsidR="00B4085F" w:rsidRPr="00683C41" w14:paraId="15317453" w14:textId="77777777" w:rsidTr="00C75C27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6DD3A0CC" w14:textId="77777777" w:rsidR="00B4085F" w:rsidRPr="00683C41" w:rsidRDefault="00B4085F" w:rsidP="00C75C27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ACCB335" w14:textId="77777777" w:rsidR="00B4085F" w:rsidRDefault="00B4085F" w:rsidP="00C75C27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 = Better.</w:t>
            </w:r>
          </w:p>
          <w:p w14:paraId="4A03F742" w14:textId="77777777" w:rsidR="00B4085F" w:rsidRPr="00683C41" w:rsidRDefault="00B4085F" w:rsidP="00C75C27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FD1E37">
              <w:rPr>
                <w:rFonts w:asciiTheme="minorHAnsi" w:hAnsiTheme="minorHAnsi"/>
              </w:rPr>
              <w:t>Expected Performance Rate: 90%</w:t>
            </w:r>
          </w:p>
        </w:tc>
      </w:tr>
      <w:tr w:rsidR="00B4085F" w:rsidRPr="00683C41" w14:paraId="07F89C1D" w14:textId="77777777" w:rsidTr="00C75C27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548435C" w14:textId="77777777" w:rsidR="00B4085F" w:rsidRPr="00683C41" w:rsidRDefault="00B4085F" w:rsidP="00C75C27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04CE488" w14:textId="2F50A1FD" w:rsidR="00B4085F" w:rsidRPr="00B33785" w:rsidRDefault="00E55CB1" w:rsidP="00C75C27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745639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08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085F" w:rsidRPr="00B33785">
              <w:rPr>
                <w:rFonts w:asciiTheme="minorHAnsi" w:hAnsiTheme="minorHAnsi"/>
              </w:rPr>
              <w:t xml:space="preserve"> Quality Measure</w:t>
            </w:r>
          </w:p>
          <w:p w14:paraId="00E81385" w14:textId="77777777" w:rsidR="00B4085F" w:rsidRPr="00B33785" w:rsidRDefault="00E55CB1" w:rsidP="00C75C27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87145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085F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4085F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62418E2F" w14:textId="4E280566" w:rsidR="00B4085F" w:rsidRDefault="00B4085F" w:rsidP="00C75C27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95377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13ABE475" w14:textId="7B296A3B" w:rsidR="00B4085F" w:rsidRDefault="00B4085F" w:rsidP="00E94D63">
      <w:pPr>
        <w:widowControl/>
        <w:spacing w:after="160" w:line="259" w:lineRule="auto"/>
        <w:rPr>
          <w:i/>
        </w:rPr>
      </w:pPr>
    </w:p>
    <w:p w14:paraId="45F6FC02" w14:textId="0BD0DBAA" w:rsidR="00B4085F" w:rsidRDefault="00B4085F" w:rsidP="00E94D63">
      <w:pPr>
        <w:widowControl/>
        <w:spacing w:after="160" w:line="259" w:lineRule="auto"/>
        <w:rPr>
          <w:i/>
        </w:rPr>
      </w:pPr>
    </w:p>
    <w:p w14:paraId="6687D316" w14:textId="173AAD48" w:rsidR="00D72E18" w:rsidRDefault="00D72E18">
      <w:pPr>
        <w:widowControl/>
        <w:spacing w:after="160" w:line="259" w:lineRule="auto"/>
        <w:rPr>
          <w:i/>
        </w:rPr>
      </w:pPr>
      <w:r>
        <w:rPr>
          <w:i/>
        </w:rPr>
        <w:br w:type="page"/>
      </w:r>
    </w:p>
    <w:tbl>
      <w:tblPr>
        <w:tblW w:w="9630" w:type="dxa"/>
        <w:tblInd w:w="-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90"/>
      </w:tblGrid>
      <w:tr w:rsidR="00224A0E" w:rsidRPr="00683C41" w14:paraId="628D640D" w14:textId="77777777" w:rsidTr="00A40880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1E03CE9" w14:textId="405890C2" w:rsidR="00224A0E" w:rsidRPr="00893C62" w:rsidRDefault="00224A0E" w:rsidP="00224A0E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20" w:name="_Toc75166492"/>
            <w:r w:rsidRPr="001F5657">
              <w:rPr>
                <w:rFonts w:asciiTheme="minorHAnsi" w:eastAsia="Calibri" w:hAnsiTheme="minorHAnsi" w:cs="Times New Roman"/>
                <w:i w:val="0"/>
                <w:iCs/>
              </w:rPr>
              <w:lastRenderedPageBreak/>
              <w:t>Dose</w:t>
            </w:r>
            <w:r w:rsidRPr="00893C62">
              <w:rPr>
                <w:rFonts w:asciiTheme="minorHAnsi" w:eastAsia="Calibri" w:hAnsiTheme="minorHAnsi" w:cs="Times New Roman"/>
                <w:i w:val="0"/>
                <w:iCs/>
              </w:rPr>
              <w:t xml:space="preserve"> for Post-Prostatectomy</w:t>
            </w:r>
            <w:r w:rsidR="00893C62" w:rsidRPr="00893C62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FF7084">
              <w:rPr>
                <w:rFonts w:asciiTheme="minorHAnsi" w:eastAsia="Calibri" w:hAnsiTheme="minorHAnsi" w:cs="Times New Roman"/>
                <w:i w:val="0"/>
                <w:iCs/>
              </w:rPr>
              <w:t>B</w:t>
            </w:r>
            <w:r w:rsidR="00893C62" w:rsidRPr="00893C62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1F5657">
              <w:rPr>
                <w:rFonts w:asciiTheme="minorHAnsi" w:eastAsia="Calibri" w:hAnsiTheme="minorHAnsi" w:cs="Times New Roman"/>
                <w:i w:val="0"/>
                <w:iCs/>
              </w:rPr>
              <w:t>7</w:t>
            </w:r>
            <w:r w:rsidR="00893C62" w:rsidRPr="00893C62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20"/>
          </w:p>
        </w:tc>
      </w:tr>
      <w:tr w:rsidR="00224A0E" w:rsidRPr="00683C41" w14:paraId="1844B89D" w14:textId="77777777" w:rsidTr="00A40880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20F4113" w14:textId="13003462" w:rsidR="00224A0E" w:rsidRPr="00CF48D0" w:rsidRDefault="00224A0E" w:rsidP="00CF48D0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9D84110" w14:textId="2AB390BD" w:rsidR="00224A0E" w:rsidRPr="001D4E2F" w:rsidRDefault="00224A0E" w:rsidP="00586BF6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683C41">
              <w:rPr>
                <w:rFonts w:asciiTheme="minorHAnsi" w:hAnsiTheme="minorHAnsi" w:cs="Times New Roman"/>
              </w:rPr>
              <w:t xml:space="preserve">Patients </w:t>
            </w:r>
            <w:r w:rsidR="00FF7084">
              <w:rPr>
                <w:rFonts w:asciiTheme="minorHAnsi" w:hAnsiTheme="minorHAnsi" w:cs="Times New Roman"/>
              </w:rPr>
              <w:t>prescribed a total dose</w:t>
            </w:r>
            <w:r w:rsidRPr="00683C41">
              <w:rPr>
                <w:rFonts w:asciiTheme="minorHAnsi" w:hAnsiTheme="minorHAnsi" w:cs="Times New Roman"/>
              </w:rPr>
              <w:t xml:space="preserve"> </w:t>
            </w:r>
            <w:r w:rsidR="001D4E2F">
              <w:rPr>
                <w:rFonts w:ascii="Calibri" w:hAnsi="Calibri" w:cs="Times New Roman"/>
              </w:rPr>
              <w:t>≥</w:t>
            </w:r>
            <w:r w:rsidR="001D4E2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6</w:t>
            </w:r>
            <w:r w:rsidR="00ED50A5">
              <w:rPr>
                <w:rFonts w:asciiTheme="minorHAnsi" w:hAnsiTheme="minorHAnsi" w:cs="Times New Roman"/>
              </w:rPr>
              <w:t>4</w:t>
            </w:r>
            <w:r>
              <w:rPr>
                <w:rFonts w:asciiTheme="minorHAnsi" w:hAnsiTheme="minorHAnsi" w:cs="Times New Roman"/>
              </w:rPr>
              <w:t>00 cGy</w:t>
            </w:r>
            <w:r w:rsidR="00FF7084">
              <w:rPr>
                <w:rFonts w:asciiTheme="minorHAnsi" w:hAnsiTheme="minorHAnsi" w:cs="Times New Roman"/>
              </w:rPr>
              <w:t xml:space="preserve"> and</w:t>
            </w:r>
            <w:r w:rsidR="00586BF6">
              <w:rPr>
                <w:rFonts w:asciiTheme="minorHAnsi" w:hAnsiTheme="minorHAnsi" w:cs="Times New Roman"/>
                <w:b/>
              </w:rPr>
              <w:t xml:space="preserve"> </w:t>
            </w:r>
            <w:r w:rsidR="001D4E2F">
              <w:rPr>
                <w:rFonts w:ascii="Calibri" w:hAnsi="Calibri" w:cs="Times New Roman"/>
              </w:rPr>
              <w:t>≤</w:t>
            </w:r>
            <w:r w:rsidR="001D4E2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7200 cGy at 1</w:t>
            </w:r>
            <w:r w:rsidRPr="00683C41">
              <w:rPr>
                <w:rFonts w:asciiTheme="minorHAnsi" w:hAnsiTheme="minorHAnsi" w:cs="Times New Roman"/>
              </w:rPr>
              <w:t>8</w:t>
            </w:r>
            <w:r>
              <w:rPr>
                <w:rFonts w:asciiTheme="minorHAnsi" w:hAnsiTheme="minorHAnsi" w:cs="Times New Roman"/>
              </w:rPr>
              <w:t>0-2</w:t>
            </w:r>
            <w:r w:rsidRPr="00683C41">
              <w:rPr>
                <w:rFonts w:asciiTheme="minorHAnsi" w:hAnsiTheme="minorHAnsi" w:cs="Times New Roman"/>
              </w:rPr>
              <w:t>0</w:t>
            </w:r>
            <w:r>
              <w:rPr>
                <w:rFonts w:asciiTheme="minorHAnsi" w:hAnsiTheme="minorHAnsi" w:cs="Times New Roman"/>
              </w:rPr>
              <w:t>0 c</w:t>
            </w:r>
            <w:r w:rsidRPr="00683C41">
              <w:rPr>
                <w:rFonts w:asciiTheme="minorHAnsi" w:hAnsiTheme="minorHAnsi" w:cs="Times New Roman"/>
              </w:rPr>
              <w:t>Gy/fraction</w:t>
            </w:r>
            <w:r w:rsidR="007B7CF0">
              <w:rPr>
                <w:rFonts w:asciiTheme="minorHAnsi" w:hAnsiTheme="minorHAnsi" w:cs="Times New Roman"/>
              </w:rPr>
              <w:t xml:space="preserve"> to the prostate resection bed</w:t>
            </w:r>
            <w:r w:rsidR="001D4E2F">
              <w:rPr>
                <w:rFonts w:asciiTheme="minorHAnsi" w:hAnsiTheme="minorHAnsi" w:cs="Times New Roman"/>
              </w:rPr>
              <w:t xml:space="preserve">. </w:t>
            </w:r>
          </w:p>
        </w:tc>
      </w:tr>
      <w:tr w:rsidR="00224A0E" w:rsidRPr="00683C41" w14:paraId="1B2A5155" w14:textId="77777777" w:rsidTr="00A40880">
        <w:trPr>
          <w:trHeight w:val="580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1F6B228C" w14:textId="77777777" w:rsidR="00224A0E" w:rsidRPr="00683C41" w:rsidRDefault="00224A0E" w:rsidP="00224A0E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C192195" w14:textId="47D88439" w:rsidR="00FD25D3" w:rsidRPr="00FF7084" w:rsidRDefault="00224A0E" w:rsidP="00FF7084">
            <w:pPr>
              <w:pStyle w:val="BodyText"/>
              <w:ind w:left="67" w:right="479"/>
              <w:rPr>
                <w:rFonts w:asciiTheme="minorHAnsi" w:hAnsiTheme="minorHAnsi" w:cs="Times New Roman"/>
              </w:rPr>
            </w:pPr>
            <w:r w:rsidRPr="00D93CDE">
              <w:rPr>
                <w:rFonts w:asciiTheme="minorHAnsi" w:hAnsiTheme="minorHAnsi" w:cs="Times New Roman"/>
              </w:rPr>
              <w:t>All patients, regardle</w:t>
            </w:r>
            <w:r>
              <w:rPr>
                <w:rFonts w:asciiTheme="minorHAnsi" w:hAnsiTheme="minorHAnsi" w:cs="Times New Roman"/>
              </w:rPr>
              <w:t xml:space="preserve">ss of </w:t>
            </w:r>
            <w:r w:rsidRPr="006F5894">
              <w:rPr>
                <w:rFonts w:asciiTheme="minorHAnsi" w:hAnsiTheme="minorHAnsi" w:cs="Times New Roman"/>
              </w:rPr>
              <w:t>age, with a diagnosis of prostate cancer receiving external beam radiation therapy</w:t>
            </w:r>
            <w:r w:rsidR="007B7CF0" w:rsidRPr="006F5894">
              <w:rPr>
                <w:rFonts w:asciiTheme="minorHAnsi" w:hAnsiTheme="minorHAnsi" w:cs="Times New Roman"/>
              </w:rPr>
              <w:t xml:space="preserve"> </w:t>
            </w:r>
            <w:r w:rsidRPr="006F5894">
              <w:rPr>
                <w:rFonts w:asciiTheme="minorHAnsi" w:hAnsiTheme="minorHAnsi" w:cs="Times New Roman"/>
              </w:rPr>
              <w:t>after</w:t>
            </w:r>
            <w:r>
              <w:rPr>
                <w:rFonts w:asciiTheme="minorHAnsi" w:hAnsiTheme="minorHAnsi" w:cs="Times New Roman"/>
              </w:rPr>
              <w:t xml:space="preserve"> a prostatectomy</w:t>
            </w:r>
            <w:r w:rsidR="00FF7084">
              <w:rPr>
                <w:rFonts w:asciiTheme="minorHAnsi" w:hAnsiTheme="minorHAnsi" w:cs="Times New Roman"/>
              </w:rPr>
              <w:t>.</w:t>
            </w:r>
          </w:p>
        </w:tc>
      </w:tr>
      <w:tr w:rsidR="00224A0E" w:rsidRPr="00683C41" w14:paraId="2506384C" w14:textId="77777777" w:rsidTr="00A40880">
        <w:trPr>
          <w:trHeight w:val="73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17EFBA0" w14:textId="259ED2EC" w:rsidR="00224A0E" w:rsidRPr="00683C41" w:rsidRDefault="00224A0E" w:rsidP="00224A0E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C7501DB" w14:textId="49E7B894" w:rsidR="00FF7084" w:rsidRDefault="00FF7084" w:rsidP="007555E4">
            <w:pPr>
              <w:pStyle w:val="BodyText"/>
              <w:numPr>
                <w:ilvl w:val="0"/>
                <w:numId w:val="7"/>
              </w:numPr>
              <w:ind w:right="479"/>
              <w:rPr>
                <w:rFonts w:asciiTheme="minorHAnsi" w:hAnsiTheme="minorHAnsi"/>
              </w:rPr>
            </w:pPr>
            <w:r w:rsidRPr="00A81CF3">
              <w:rPr>
                <w:rFonts w:asciiTheme="minorHAnsi" w:hAnsiTheme="minorHAnsi"/>
              </w:rPr>
              <w:t>Patients with gross disease</w:t>
            </w:r>
            <w:r w:rsidR="007B7CF0">
              <w:rPr>
                <w:rFonts w:asciiTheme="minorHAnsi" w:hAnsiTheme="minorHAnsi"/>
              </w:rPr>
              <w:t xml:space="preserve"> in the prostate resection bed</w:t>
            </w:r>
            <w:r>
              <w:rPr>
                <w:rFonts w:asciiTheme="minorHAnsi" w:hAnsiTheme="minorHAnsi"/>
              </w:rPr>
              <w:t>.</w:t>
            </w:r>
          </w:p>
          <w:p w14:paraId="60E0A426" w14:textId="06B6E76D" w:rsidR="00224A0E" w:rsidRPr="0046259E" w:rsidRDefault="00224A0E" w:rsidP="0046259E">
            <w:pPr>
              <w:pStyle w:val="BodyText"/>
              <w:numPr>
                <w:ilvl w:val="0"/>
                <w:numId w:val="7"/>
              </w:numPr>
              <w:ind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Patients on a clinical trial</w:t>
            </w:r>
            <w:r w:rsidR="00FF7084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224A0E" w:rsidRPr="00683C41" w14:paraId="6616D4AE" w14:textId="77777777" w:rsidTr="00CF48D0">
        <w:trPr>
          <w:trHeight w:val="548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AAA8410" w14:textId="77777777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A994C73" w14:textId="025A1867" w:rsidR="00F17152" w:rsidRPr="00683C41" w:rsidRDefault="00893C62" w:rsidP="00CF48D0">
            <w:pPr>
              <w:pStyle w:val="ListParagraph"/>
              <w:numPr>
                <w:ilvl w:val="0"/>
                <w:numId w:val="12"/>
              </w:numPr>
            </w:pPr>
            <w:r w:rsidRPr="00070B69">
              <w:t>Previously Prostate Measure #</w:t>
            </w:r>
            <w:r>
              <w:t>15</w:t>
            </w:r>
            <w:r w:rsidRPr="00070B69">
              <w:t>.</w:t>
            </w:r>
          </w:p>
        </w:tc>
      </w:tr>
      <w:tr w:rsidR="00224A0E" w:rsidRPr="00683C41" w14:paraId="0E67EBA9" w14:textId="77777777" w:rsidTr="00A40880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4EA0FA0" w14:textId="0F9C1B46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6174EA99" w14:textId="4A8ACF05" w:rsidR="00586BF6" w:rsidRDefault="00586BF6" w:rsidP="00224A0E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Higher = </w:t>
            </w:r>
            <w:r w:rsidR="00FF7084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etter</w:t>
            </w:r>
            <w:r w:rsidR="00FF7084">
              <w:rPr>
                <w:rFonts w:asciiTheme="minorHAnsi" w:hAnsiTheme="minorHAnsi"/>
              </w:rPr>
              <w:t>.</w:t>
            </w:r>
          </w:p>
          <w:p w14:paraId="52652C78" w14:textId="4DB82E02" w:rsidR="00224A0E" w:rsidRPr="00683C41" w:rsidRDefault="00600931" w:rsidP="00FF7084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F756E0">
              <w:rPr>
                <w:rFonts w:asciiTheme="minorHAnsi" w:hAnsiTheme="minorHAnsi"/>
              </w:rPr>
              <w:t>Expected Performance Rate: 90%</w:t>
            </w:r>
          </w:p>
        </w:tc>
      </w:tr>
      <w:tr w:rsidR="00A40880" w:rsidRPr="00683C41" w14:paraId="366C685D" w14:textId="77777777" w:rsidTr="00A40880">
        <w:trPr>
          <w:trHeight w:val="423"/>
        </w:trPr>
        <w:tc>
          <w:tcPr>
            <w:tcW w:w="234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F7AFB6E" w14:textId="69119A80" w:rsidR="00A40880" w:rsidRPr="00683C41" w:rsidRDefault="00A40880" w:rsidP="00A40880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29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1B5F428C" w14:textId="77777777" w:rsidR="00A40880" w:rsidRPr="00B33785" w:rsidRDefault="00E55CB1" w:rsidP="00A40880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394173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80" w:rsidRPr="00893C62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="00A40880" w:rsidRPr="00B33785">
              <w:rPr>
                <w:rFonts w:asciiTheme="minorHAnsi" w:hAnsiTheme="minorHAnsi"/>
              </w:rPr>
              <w:t xml:space="preserve"> Quality Measure</w:t>
            </w:r>
          </w:p>
          <w:p w14:paraId="3088AB1C" w14:textId="77777777" w:rsidR="00A40880" w:rsidRPr="00B33785" w:rsidRDefault="00E55CB1" w:rsidP="00A40880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314655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80"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40880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6C0C7EE1" w14:textId="06191822" w:rsidR="00A40880" w:rsidRDefault="00A40880" w:rsidP="00A40880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89986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93C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39135219" w14:textId="77777777" w:rsidR="00224A0E" w:rsidRDefault="00224A0E" w:rsidP="00224A0E">
      <w:pPr>
        <w:rPr>
          <w:i/>
        </w:rPr>
      </w:pPr>
    </w:p>
    <w:p w14:paraId="76E87EFF" w14:textId="77777777" w:rsidR="00A11D5F" w:rsidRDefault="00A11D5F" w:rsidP="00893C62">
      <w:pPr>
        <w:widowControl/>
        <w:spacing w:after="160" w:line="259" w:lineRule="auto"/>
        <w:rPr>
          <w:i/>
        </w:rPr>
      </w:pPr>
    </w:p>
    <w:tbl>
      <w:tblPr>
        <w:tblpPr w:leftFromText="180" w:rightFromText="180" w:vertAnchor="text" w:horzAnchor="margin" w:tblpY="265"/>
        <w:tblW w:w="9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6F5894" w:rsidRPr="00683C41" w14:paraId="65994E5D" w14:textId="77777777" w:rsidTr="006F5894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94CE27B" w14:textId="21073BA9" w:rsidR="006F5894" w:rsidRPr="00B76B99" w:rsidRDefault="006F5894" w:rsidP="006F5894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21" w:name="_Toc75166493"/>
            <w:bookmarkStart w:id="22" w:name="_Hlk66786339"/>
            <w:r w:rsidRPr="004F6A44">
              <w:rPr>
                <w:rFonts w:asciiTheme="minorHAnsi" w:eastAsia="Calibri" w:hAnsiTheme="minorHAnsi" w:cs="Times New Roman"/>
                <w:i w:val="0"/>
                <w:iCs/>
              </w:rPr>
              <w:t>Genomic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Classification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315A3A">
              <w:rPr>
                <w:rFonts w:asciiTheme="minorHAnsi" w:eastAsia="Calibri" w:hAnsiTheme="minorHAnsi" w:cs="Times New Roman"/>
                <w:i w:val="0"/>
                <w:iCs/>
              </w:rPr>
              <w:t>B-8</w:t>
            </w:r>
            <w:r w:rsidRPr="00B76B99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r>
              <w:rPr>
                <w:rFonts w:asciiTheme="minorHAnsi" w:eastAsia="Calibri" w:hAnsiTheme="minorHAnsi" w:cs="Times New Roman"/>
                <w:i w:val="0"/>
                <w:iCs/>
              </w:rPr>
              <w:t xml:space="preserve"> </w:t>
            </w:r>
            <w:r w:rsidRPr="001F5657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>SURVEILLANCE</w:t>
            </w:r>
            <w:bookmarkEnd w:id="21"/>
          </w:p>
        </w:tc>
      </w:tr>
      <w:tr w:rsidR="006F5894" w:rsidRPr="00683C41" w14:paraId="2C6691AD" w14:textId="77777777" w:rsidTr="006F5894">
        <w:trPr>
          <w:trHeight w:val="476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5604324" w14:textId="77777777" w:rsidR="006F5894" w:rsidRPr="006F5894" w:rsidRDefault="006F5894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18FC9180" w14:textId="64B0D74A" w:rsidR="006F5894" w:rsidRPr="009B32D4" w:rsidRDefault="006F5894" w:rsidP="006F5894">
            <w:pPr>
              <w:pStyle w:val="BodyText"/>
              <w:ind w:left="67" w:right="479"/>
              <w:rPr>
                <w:rFonts w:asciiTheme="minorHAnsi" w:eastAsia="Calibri" w:hAnsiTheme="minorHAnsi" w:cs="Times New Roman"/>
              </w:rPr>
            </w:pPr>
            <w:r w:rsidRPr="00781F9B">
              <w:rPr>
                <w:rFonts w:asciiTheme="minorHAnsi" w:eastAsia="Calibri" w:hAnsiTheme="minorHAnsi" w:cs="Times New Roman"/>
              </w:rPr>
              <w:t>Patients with</w:t>
            </w:r>
            <w:r>
              <w:rPr>
                <w:rFonts w:asciiTheme="minorHAnsi" w:eastAsia="Calibri" w:hAnsiTheme="minorHAnsi" w:cs="Times New Roman"/>
              </w:rPr>
              <w:t xml:space="preserve"> documentation of genomic classification prior to the initiation of </w:t>
            </w:r>
            <w:r w:rsidR="00E02C59">
              <w:rPr>
                <w:rFonts w:asciiTheme="minorHAnsi" w:eastAsia="Calibri" w:hAnsiTheme="minorHAnsi" w:cs="Times New Roman"/>
              </w:rPr>
              <w:t xml:space="preserve">radiation or hormonal </w:t>
            </w:r>
            <w:r>
              <w:rPr>
                <w:rFonts w:asciiTheme="minorHAnsi" w:eastAsia="Calibri" w:hAnsiTheme="minorHAnsi" w:cs="Times New Roman"/>
              </w:rPr>
              <w:t>treatment.</w:t>
            </w:r>
          </w:p>
        </w:tc>
      </w:tr>
      <w:tr w:rsidR="006F5894" w:rsidRPr="00683C41" w14:paraId="5AAA9DDB" w14:textId="77777777" w:rsidTr="006F5894">
        <w:trPr>
          <w:trHeight w:val="715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75EF59D5" w14:textId="77777777" w:rsidR="006F5894" w:rsidRPr="00683C41" w:rsidRDefault="006F5894" w:rsidP="006F5894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7A564539" w14:textId="7AE94C8E" w:rsidR="006F5894" w:rsidRPr="006F5894" w:rsidRDefault="006F5894" w:rsidP="006F5894">
            <w:pPr>
              <w:pStyle w:val="BodyText"/>
              <w:ind w:left="90" w:right="479"/>
              <w:rPr>
                <w:rFonts w:asciiTheme="minorHAnsi" w:hAnsiTheme="minorHAnsi"/>
              </w:rPr>
            </w:pPr>
            <w:r w:rsidRPr="006F5894">
              <w:rPr>
                <w:rFonts w:asciiTheme="minorHAnsi" w:hAnsiTheme="minorHAnsi"/>
              </w:rPr>
              <w:t xml:space="preserve">All patients, regardless of age, with a diagnosis of prostate cancer who received </w:t>
            </w:r>
            <w:r w:rsidR="00E02C59">
              <w:rPr>
                <w:rFonts w:asciiTheme="minorHAnsi" w:hAnsiTheme="minorHAnsi"/>
              </w:rPr>
              <w:t xml:space="preserve">definitive </w:t>
            </w:r>
            <w:r w:rsidRPr="006F5894">
              <w:rPr>
                <w:rFonts w:asciiTheme="minorHAnsi" w:hAnsiTheme="minorHAnsi"/>
              </w:rPr>
              <w:t xml:space="preserve">treatment to the prostate or prostate resection bed. </w:t>
            </w:r>
          </w:p>
        </w:tc>
      </w:tr>
      <w:tr w:rsidR="006F5894" w:rsidRPr="00683C41" w14:paraId="1661DE51" w14:textId="77777777" w:rsidTr="006F5894">
        <w:trPr>
          <w:trHeight w:val="602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5E76C807" w14:textId="77777777" w:rsidR="006F5894" w:rsidRPr="00683C41" w:rsidRDefault="006F5894" w:rsidP="006F5894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0DE49CD9" w14:textId="77777777" w:rsidR="006F5894" w:rsidRPr="00CF48D0" w:rsidRDefault="006F5894" w:rsidP="006F5894">
            <w:pPr>
              <w:ind w:right="47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None.</w:t>
            </w:r>
          </w:p>
        </w:tc>
      </w:tr>
      <w:tr w:rsidR="006F5894" w:rsidRPr="00683C41" w14:paraId="50382EAC" w14:textId="77777777" w:rsidTr="006F5894">
        <w:trPr>
          <w:trHeight w:val="54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39A86B8" w14:textId="77777777" w:rsidR="006F5894" w:rsidRPr="00683C41" w:rsidRDefault="006F5894" w:rsidP="006F5894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1A2F0AA7" w14:textId="77777777" w:rsidR="006F5894" w:rsidRDefault="006F5894" w:rsidP="006F5894">
            <w:r>
              <w:t xml:space="preserve"> None.</w:t>
            </w:r>
          </w:p>
          <w:p w14:paraId="19B858ED" w14:textId="07B71DBF" w:rsidR="006F5894" w:rsidRPr="00683C41" w:rsidRDefault="006F5894" w:rsidP="006F5894"/>
        </w:tc>
      </w:tr>
      <w:tr w:rsidR="006F5894" w:rsidRPr="00683C41" w14:paraId="3F063F0A" w14:textId="77777777" w:rsidTr="006F5894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6636DA1" w14:textId="77777777" w:rsidR="006F5894" w:rsidRPr="00683C41" w:rsidRDefault="006F5894" w:rsidP="006F5894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F71779A" w14:textId="77777777" w:rsidR="006F5894" w:rsidRPr="00683C41" w:rsidRDefault="006F5894" w:rsidP="006F5894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Expected Performance Rate: N/A (Surveillance Measure).</w:t>
            </w:r>
          </w:p>
        </w:tc>
      </w:tr>
      <w:tr w:rsidR="006F5894" w:rsidRPr="00683C41" w14:paraId="58D1C614" w14:textId="77777777" w:rsidTr="006F5894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6DAD3247" w14:textId="77777777" w:rsidR="006F5894" w:rsidRPr="00683C41" w:rsidRDefault="006F5894" w:rsidP="006F5894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286ED138" w14:textId="77777777" w:rsidR="006F5894" w:rsidRPr="00B33785" w:rsidRDefault="00E55CB1" w:rsidP="006F5894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91902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8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F5894" w:rsidRPr="00B33785">
              <w:rPr>
                <w:rFonts w:asciiTheme="minorHAnsi" w:hAnsiTheme="minorHAnsi"/>
              </w:rPr>
              <w:t xml:space="preserve"> Quality Measure</w:t>
            </w:r>
          </w:p>
          <w:p w14:paraId="3E5D1BE6" w14:textId="77777777" w:rsidR="006F5894" w:rsidRPr="00B33785" w:rsidRDefault="00E55CB1" w:rsidP="006F5894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83734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8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F5894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15041622" w14:textId="77777777" w:rsidR="006F5894" w:rsidRPr="00781F9B" w:rsidRDefault="00E55CB1" w:rsidP="006F5894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957935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89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F5894"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  <w:bookmarkEnd w:id="22"/>
    </w:tbl>
    <w:p w14:paraId="17239AE6" w14:textId="121A4A1C" w:rsidR="00D72E18" w:rsidRDefault="00D72E18">
      <w:pPr>
        <w:widowControl/>
        <w:spacing w:after="160" w:line="259" w:lineRule="auto"/>
        <w:rPr>
          <w:i/>
        </w:rPr>
      </w:pPr>
      <w:r>
        <w:rPr>
          <w:i/>
        </w:rPr>
        <w:br w:type="page"/>
      </w:r>
    </w:p>
    <w:p w14:paraId="609E96D2" w14:textId="1048BF6E" w:rsidR="00893C62" w:rsidRPr="00683C41" w:rsidRDefault="00893C62" w:rsidP="00893C62">
      <w:pPr>
        <w:pStyle w:val="Heading1"/>
      </w:pPr>
      <w:bookmarkStart w:id="23" w:name="_Toc75166494"/>
      <w:r>
        <w:rPr>
          <w:b/>
          <w:bCs/>
          <w:sz w:val="40"/>
          <w:szCs w:val="40"/>
          <w:u w:val="single"/>
        </w:rPr>
        <w:lastRenderedPageBreak/>
        <w:t>Follow-up</w:t>
      </w:r>
      <w:bookmarkEnd w:id="23"/>
    </w:p>
    <w:p w14:paraId="4583A646" w14:textId="53E8AE96" w:rsidR="00224A0E" w:rsidRDefault="00224A0E">
      <w:pPr>
        <w:widowControl/>
        <w:spacing w:after="160" w:line="259" w:lineRule="auto"/>
      </w:pP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224A0E" w:rsidRPr="00683C41" w14:paraId="01A34D72" w14:textId="77777777" w:rsidTr="006C57AE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08961B55" w14:textId="3C457D5D" w:rsidR="00224A0E" w:rsidRPr="00D24B32" w:rsidRDefault="00224A0E" w:rsidP="0094056A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r w:rsidRPr="00D24B32">
              <w:rPr>
                <w:rFonts w:asciiTheme="minorHAnsi" w:hAnsiTheme="minorHAnsi"/>
                <w:i w:val="0"/>
                <w:iCs/>
                <w:sz w:val="22"/>
                <w:szCs w:val="22"/>
              </w:rPr>
              <w:br w:type="page"/>
            </w:r>
            <w:r w:rsidR="002C05A7" w:rsidRPr="00D24B32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 xml:space="preserve"> </w:t>
            </w:r>
            <w:bookmarkStart w:id="24" w:name="_Toc75166495"/>
            <w:r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>Quality of Life Assessment at Follow-up</w:t>
            </w:r>
            <w:r w:rsidR="00893C62"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 xml:space="preserve"> (#</w:t>
            </w:r>
            <w:r w:rsidR="00BA7523"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>C</w:t>
            </w:r>
            <w:r w:rsidR="00893C62"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>-</w:t>
            </w:r>
            <w:r w:rsidR="00BA7523"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>1</w:t>
            </w:r>
            <w:r w:rsidR="00893C62"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t>)</w:t>
            </w:r>
            <w:r w:rsidR="00893C62" w:rsidRPr="00D24B32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 xml:space="preserve"> ASPIRATIONAL</w:t>
            </w:r>
            <w:bookmarkEnd w:id="24"/>
          </w:p>
        </w:tc>
      </w:tr>
      <w:tr w:rsidR="00224A0E" w:rsidRPr="00683C41" w14:paraId="5E99AFB6" w14:textId="77777777" w:rsidTr="006C57AE">
        <w:trPr>
          <w:trHeight w:val="73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C623DC5" w14:textId="4D7F5F97" w:rsidR="00224A0E" w:rsidRPr="006F5894" w:rsidRDefault="00224A0E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25D45A52" w14:textId="7D46820F" w:rsidR="00224A0E" w:rsidRPr="00EC6A69" w:rsidRDefault="00224A0E" w:rsidP="006F5894">
            <w:pPr>
              <w:pStyle w:val="BodyText"/>
              <w:ind w:left="67" w:right="479"/>
            </w:pPr>
            <w:r w:rsidRPr="00683C41">
              <w:rPr>
                <w:rFonts w:asciiTheme="minorHAnsi" w:eastAsia="Calibri" w:hAnsiTheme="minorHAnsi" w:cs="Times New Roman"/>
              </w:rPr>
              <w:t xml:space="preserve">Patients with </w:t>
            </w:r>
            <w:r w:rsidR="007B7CF0">
              <w:rPr>
                <w:rFonts w:asciiTheme="minorHAnsi" w:eastAsia="Calibri" w:hAnsiTheme="minorHAnsi" w:cs="Times New Roman"/>
              </w:rPr>
              <w:t xml:space="preserve">assessment of </w:t>
            </w:r>
            <w:r>
              <w:rPr>
                <w:rFonts w:asciiTheme="minorHAnsi" w:eastAsia="Calibri" w:hAnsiTheme="minorHAnsi" w:cs="Times New Roman"/>
              </w:rPr>
              <w:t xml:space="preserve">urinary </w:t>
            </w:r>
            <w:r w:rsidRPr="00C94575">
              <w:rPr>
                <w:rFonts w:asciiTheme="minorHAnsi" w:eastAsia="Calibri" w:hAnsiTheme="minorHAnsi" w:cs="Times New Roman"/>
                <w:b/>
              </w:rPr>
              <w:t>OR</w:t>
            </w:r>
            <w:r>
              <w:rPr>
                <w:rFonts w:asciiTheme="minorHAnsi" w:eastAsia="Calibri" w:hAnsiTheme="minorHAnsi" w:cs="Times New Roman"/>
              </w:rPr>
              <w:t xml:space="preserve"> bowel </w:t>
            </w:r>
            <w:r w:rsidRPr="00C94575">
              <w:rPr>
                <w:rFonts w:asciiTheme="minorHAnsi" w:eastAsia="Calibri" w:hAnsiTheme="minorHAnsi" w:cs="Times New Roman"/>
                <w:b/>
              </w:rPr>
              <w:t>OR</w:t>
            </w:r>
            <w:r>
              <w:rPr>
                <w:rFonts w:asciiTheme="minorHAnsi" w:eastAsia="Calibri" w:hAnsiTheme="minorHAnsi" w:cs="Times New Roman"/>
              </w:rPr>
              <w:t xml:space="preserve"> sexual </w:t>
            </w:r>
            <w:r w:rsidRPr="00C94575">
              <w:rPr>
                <w:rFonts w:asciiTheme="minorHAnsi" w:eastAsia="Calibri" w:hAnsiTheme="minorHAnsi" w:cs="Times New Roman"/>
                <w:b/>
              </w:rPr>
              <w:t>OR</w:t>
            </w:r>
            <w:r>
              <w:rPr>
                <w:rFonts w:asciiTheme="minorHAnsi" w:eastAsia="Calibri" w:hAnsiTheme="minorHAnsi" w:cs="Times New Roman"/>
              </w:rPr>
              <w:t xml:space="preserve"> </w:t>
            </w:r>
            <w:r w:rsidRPr="00683C41">
              <w:rPr>
                <w:rFonts w:asciiTheme="minorHAnsi" w:eastAsia="Calibri" w:hAnsiTheme="minorHAnsi" w:cs="Times New Roman"/>
              </w:rPr>
              <w:t xml:space="preserve">hormonal </w:t>
            </w:r>
            <w:r w:rsidR="001170C0">
              <w:rPr>
                <w:rFonts w:asciiTheme="minorHAnsi" w:eastAsia="Calibri" w:hAnsiTheme="minorHAnsi" w:cs="Times New Roman"/>
              </w:rPr>
              <w:t xml:space="preserve">domains </w:t>
            </w:r>
            <w:r w:rsidR="007B7CF0">
              <w:rPr>
                <w:rFonts w:asciiTheme="minorHAnsi" w:eastAsia="Calibri" w:hAnsiTheme="minorHAnsi" w:cs="Times New Roman"/>
              </w:rPr>
              <w:t xml:space="preserve">using </w:t>
            </w:r>
            <w:r>
              <w:rPr>
                <w:rFonts w:asciiTheme="minorHAnsi" w:eastAsia="Calibri" w:hAnsiTheme="minorHAnsi" w:cs="Times New Roman"/>
              </w:rPr>
              <w:t xml:space="preserve">a validated instrument at </w:t>
            </w:r>
            <w:r w:rsidR="00717A04">
              <w:rPr>
                <w:rFonts w:asciiTheme="minorHAnsi" w:eastAsia="Calibri" w:hAnsiTheme="minorHAnsi" w:cs="Times New Roman"/>
              </w:rPr>
              <w:t xml:space="preserve">every </w:t>
            </w:r>
            <w:r>
              <w:rPr>
                <w:rFonts w:asciiTheme="minorHAnsi" w:eastAsia="Calibri" w:hAnsiTheme="minorHAnsi" w:cs="Times New Roman"/>
              </w:rPr>
              <w:t>follow-up</w:t>
            </w:r>
            <w:r w:rsidR="00717A04">
              <w:rPr>
                <w:rFonts w:asciiTheme="minorHAnsi" w:eastAsia="Calibri" w:hAnsiTheme="minorHAnsi" w:cs="Times New Roman"/>
              </w:rPr>
              <w:t>.</w:t>
            </w:r>
          </w:p>
        </w:tc>
      </w:tr>
      <w:tr w:rsidR="00224A0E" w:rsidRPr="00683C41" w14:paraId="78F0A924" w14:textId="77777777" w:rsidTr="006C57AE">
        <w:trPr>
          <w:trHeight w:val="706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8F6D499" w14:textId="77777777" w:rsidR="00224A0E" w:rsidRPr="00683C41" w:rsidRDefault="00224A0E" w:rsidP="00224A0E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4046D89C" w14:textId="14F86905" w:rsidR="00224A0E" w:rsidRPr="00683C41" w:rsidRDefault="00224A0E" w:rsidP="00224A0E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83C41">
              <w:rPr>
                <w:rFonts w:asciiTheme="minorHAnsi" w:hAnsiTheme="minorHAnsi"/>
              </w:rPr>
              <w:t xml:space="preserve">All patients, regardless of age, with a </w:t>
            </w:r>
            <w:r w:rsidRPr="006F5894">
              <w:rPr>
                <w:rFonts w:asciiTheme="minorHAnsi" w:hAnsiTheme="minorHAnsi"/>
              </w:rPr>
              <w:t xml:space="preserve">diagnosis of prostate cancer </w:t>
            </w:r>
            <w:r w:rsidR="00BD75FE" w:rsidRPr="006F5894">
              <w:rPr>
                <w:rFonts w:asciiTheme="minorHAnsi" w:hAnsiTheme="minorHAnsi"/>
              </w:rPr>
              <w:t xml:space="preserve">who have completed </w:t>
            </w:r>
            <w:r w:rsidRPr="006F5894">
              <w:rPr>
                <w:rFonts w:asciiTheme="minorHAnsi" w:hAnsiTheme="minorHAnsi"/>
              </w:rPr>
              <w:t>radiation therapy</w:t>
            </w:r>
            <w:r w:rsidR="00116755" w:rsidRPr="006F5894">
              <w:rPr>
                <w:rFonts w:asciiTheme="minorHAnsi" w:hAnsiTheme="minorHAnsi"/>
              </w:rPr>
              <w:t xml:space="preserve"> </w:t>
            </w:r>
            <w:r w:rsidR="00D24B32" w:rsidRPr="006F5894">
              <w:rPr>
                <w:rFonts w:asciiTheme="minorHAnsi" w:hAnsiTheme="minorHAnsi"/>
              </w:rPr>
              <w:t xml:space="preserve">to </w:t>
            </w:r>
            <w:r w:rsidR="007B7CF0" w:rsidRPr="006F5894">
              <w:rPr>
                <w:rFonts w:asciiTheme="minorHAnsi" w:hAnsiTheme="minorHAnsi"/>
              </w:rPr>
              <w:t>the prostate or prostate resection bed</w:t>
            </w:r>
            <w:r w:rsidR="00D24B32" w:rsidRPr="006F5894">
              <w:rPr>
                <w:rFonts w:asciiTheme="minorHAnsi" w:hAnsiTheme="minorHAnsi"/>
              </w:rPr>
              <w:t xml:space="preserve"> </w:t>
            </w:r>
            <w:r w:rsidR="00116755" w:rsidRPr="006F5894">
              <w:rPr>
                <w:rFonts w:asciiTheme="minorHAnsi" w:hAnsiTheme="minorHAnsi"/>
              </w:rPr>
              <w:t>who have a follow-up visit</w:t>
            </w:r>
            <w:r w:rsidR="00BD75FE" w:rsidRPr="006F5894">
              <w:rPr>
                <w:rFonts w:asciiTheme="minorHAnsi" w:hAnsiTheme="minorHAnsi"/>
              </w:rPr>
              <w:t>.</w:t>
            </w:r>
          </w:p>
        </w:tc>
      </w:tr>
      <w:tr w:rsidR="00224A0E" w:rsidRPr="00683C41" w14:paraId="680FC6AE" w14:textId="77777777" w:rsidTr="006C57AE">
        <w:trPr>
          <w:trHeight w:val="59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4395CD6D" w14:textId="159F4F54" w:rsidR="00224A0E" w:rsidRPr="009F4ABA" w:rsidRDefault="00224A0E" w:rsidP="00224A0E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14:paraId="64F6B878" w14:textId="014D98D5" w:rsidR="00224A0E" w:rsidRPr="00683C41" w:rsidRDefault="00CF48D0" w:rsidP="00224A0E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None.</w:t>
            </w:r>
          </w:p>
        </w:tc>
      </w:tr>
      <w:tr w:rsidR="00224A0E" w:rsidRPr="00683C41" w14:paraId="164D1C3D" w14:textId="77777777" w:rsidTr="00687525">
        <w:trPr>
          <w:trHeight w:val="1718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4046016A" w14:textId="77777777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74C46DD5" w14:textId="32382B04" w:rsidR="00BD75FE" w:rsidRPr="00EA6556" w:rsidRDefault="00BD75FE" w:rsidP="00BD75FE">
            <w:pPr>
              <w:pStyle w:val="ListParagraph"/>
              <w:keepNext/>
              <w:numPr>
                <w:ilvl w:val="0"/>
                <w:numId w:val="1"/>
              </w:numPr>
            </w:pPr>
            <w:r>
              <w:t>A validated instrument needs to be used (i.e., an internal assessment would not be sufficient). F</w:t>
            </w:r>
            <w:r w:rsidRPr="001A7910">
              <w:rPr>
                <w:rFonts w:eastAsia="Calibri" w:cs="Times New Roman"/>
              </w:rPr>
              <w:t>or exampl</w:t>
            </w:r>
            <w:r>
              <w:rPr>
                <w:rFonts w:eastAsia="Calibri" w:cs="Times New Roman"/>
              </w:rPr>
              <w:t>e, acceptable instruments include:</w:t>
            </w:r>
            <w:r w:rsidRPr="001A7910">
              <w:rPr>
                <w:rFonts w:eastAsia="Calibri" w:cs="Times New Roman"/>
              </w:rPr>
              <w:t xml:space="preserve"> AUA, EPIC-26, IIEF/SHIM</w:t>
            </w:r>
            <w:r>
              <w:rPr>
                <w:rFonts w:eastAsia="Calibri" w:cs="Times New Roman"/>
              </w:rPr>
              <w:t xml:space="preserve">, PRO CTCAE, etc. </w:t>
            </w:r>
            <w:r w:rsidRPr="001A7910">
              <w:rPr>
                <w:rFonts w:eastAsia="Calibri" w:cs="Times New Roman"/>
              </w:rPr>
              <w:t xml:space="preserve"> </w:t>
            </w:r>
          </w:p>
          <w:p w14:paraId="2FD70BA0" w14:textId="18F9B96C" w:rsidR="00EA6556" w:rsidRDefault="00EA6556" w:rsidP="00BD75FE">
            <w:pPr>
              <w:pStyle w:val="ListParagraph"/>
              <w:keepNext/>
              <w:numPr>
                <w:ilvl w:val="0"/>
                <w:numId w:val="1"/>
              </w:numPr>
            </w:pPr>
            <w:r>
              <w:t>Measure is to be assess at each follow-up visit; therefore, a single patient may be assessment multiple times.</w:t>
            </w:r>
          </w:p>
          <w:p w14:paraId="6B0412AB" w14:textId="6F80F181" w:rsidR="00224A0E" w:rsidRPr="00683C41" w:rsidRDefault="00893C62" w:rsidP="006F5894">
            <w:pPr>
              <w:pStyle w:val="ListParagraph"/>
              <w:numPr>
                <w:ilvl w:val="0"/>
                <w:numId w:val="1"/>
              </w:numPr>
            </w:pPr>
            <w:r w:rsidRPr="00070B69">
              <w:t>Previously Prostate Measure #</w:t>
            </w:r>
            <w:r>
              <w:t>19.</w:t>
            </w:r>
          </w:p>
        </w:tc>
      </w:tr>
      <w:tr w:rsidR="00224A0E" w:rsidRPr="00683C41" w14:paraId="4269684B" w14:textId="77777777" w:rsidTr="006C57AE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7411C37" w14:textId="77777777" w:rsidR="00224A0E" w:rsidRPr="00683C41" w:rsidRDefault="00224A0E" w:rsidP="00224A0E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568E6F18" w14:textId="04A1617F" w:rsidR="00224A0E" w:rsidRDefault="00224A0E" w:rsidP="00224A0E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Higher = Better. </w:t>
            </w:r>
          </w:p>
          <w:p w14:paraId="57646AFE" w14:textId="523DEB04" w:rsidR="00FD25D3" w:rsidRPr="00683C41" w:rsidRDefault="006C122C" w:rsidP="00FD25D3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BD75FE" w:rsidRPr="00F756E0">
              <w:rPr>
                <w:rFonts w:asciiTheme="minorHAnsi" w:hAnsiTheme="minorHAnsi"/>
              </w:rPr>
              <w:t>Expected Performance Rate: 90%</w:t>
            </w:r>
          </w:p>
        </w:tc>
      </w:tr>
      <w:tr w:rsidR="00893C62" w:rsidRPr="00683C41" w14:paraId="2D4300FB" w14:textId="77777777" w:rsidTr="006C57AE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25D0BC92" w14:textId="66AC975B" w:rsidR="00893C62" w:rsidRPr="00683C41" w:rsidRDefault="00893C62" w:rsidP="00893C62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</w:tcPr>
          <w:p w14:paraId="06376A39" w14:textId="0D3B1CFE" w:rsidR="00893C62" w:rsidRPr="00B33785" w:rsidRDefault="00E55CB1" w:rsidP="00893C62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93094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3C62" w:rsidRPr="00B33785">
              <w:rPr>
                <w:rFonts w:asciiTheme="minorHAnsi" w:hAnsiTheme="minorHAnsi"/>
              </w:rPr>
              <w:t xml:space="preserve"> Quality Measure</w:t>
            </w:r>
          </w:p>
          <w:p w14:paraId="16F2B492" w14:textId="083AD7D6" w:rsidR="00893C62" w:rsidRPr="00B33785" w:rsidRDefault="00E55CB1" w:rsidP="00893C62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3304933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C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93C62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53DF0155" w14:textId="6270DA82" w:rsidR="00893C62" w:rsidRDefault="00893C62" w:rsidP="00893C62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-43189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5C1FC877" w14:textId="7E621F4F" w:rsidR="00D72E18" w:rsidRDefault="00D72E18" w:rsidP="00224A0E">
      <w:pPr>
        <w:widowControl/>
        <w:spacing w:after="160" w:line="259" w:lineRule="auto"/>
        <w:rPr>
          <w:i/>
        </w:rPr>
      </w:pPr>
    </w:p>
    <w:p w14:paraId="15581CE7" w14:textId="77777777" w:rsidR="00D72E18" w:rsidRDefault="00D72E18">
      <w:pPr>
        <w:widowControl/>
        <w:spacing w:after="160" w:line="259" w:lineRule="auto"/>
        <w:rPr>
          <w:i/>
        </w:rPr>
      </w:pPr>
      <w:r>
        <w:rPr>
          <w:i/>
        </w:rPr>
        <w:br w:type="page"/>
      </w:r>
    </w:p>
    <w:tbl>
      <w:tblPr>
        <w:tblW w:w="9630" w:type="dxa"/>
        <w:tblInd w:w="-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380"/>
      </w:tblGrid>
      <w:tr w:rsidR="00AE3DAC" w:rsidRPr="00683C41" w14:paraId="7517A151" w14:textId="77777777" w:rsidTr="006C57AE">
        <w:trPr>
          <w:trHeight w:val="477"/>
        </w:trPr>
        <w:tc>
          <w:tcPr>
            <w:tcW w:w="9630" w:type="dxa"/>
            <w:gridSpan w:val="2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A9018E4" w14:textId="1A59EF9D" w:rsidR="00AE3DAC" w:rsidRPr="00D24B32" w:rsidRDefault="0098409E" w:rsidP="0094056A">
            <w:pPr>
              <w:pStyle w:val="Heading2"/>
              <w:rPr>
                <w:rFonts w:asciiTheme="minorHAnsi" w:eastAsia="Calibri" w:hAnsiTheme="minorHAnsi" w:cs="Times New Roman"/>
                <w:i w:val="0"/>
                <w:iCs/>
              </w:rPr>
            </w:pPr>
            <w:bookmarkStart w:id="25" w:name="_Toc75166496"/>
            <w:r w:rsidRPr="00D24B32">
              <w:rPr>
                <w:rFonts w:asciiTheme="minorHAnsi" w:eastAsia="Calibri" w:hAnsiTheme="minorHAnsi" w:cs="Times New Roman"/>
                <w:bCs/>
                <w:i w:val="0"/>
                <w:iCs/>
              </w:rPr>
              <w:lastRenderedPageBreak/>
              <w:t>Baseline</w:t>
            </w:r>
            <w:r w:rsidRPr="00D24B32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 xml:space="preserve"> </w:t>
            </w:r>
            <w:r w:rsidR="00B06609" w:rsidRPr="00D24B32">
              <w:rPr>
                <w:rFonts w:asciiTheme="minorHAnsi" w:eastAsia="Calibri" w:hAnsiTheme="minorHAnsi" w:cs="Times New Roman"/>
                <w:i w:val="0"/>
                <w:iCs/>
              </w:rPr>
              <w:t>Bone Health Assessment</w:t>
            </w:r>
            <w:r w:rsidR="00C1175A" w:rsidRPr="00D24B32">
              <w:rPr>
                <w:rFonts w:asciiTheme="minorHAnsi" w:eastAsia="Calibri" w:hAnsiTheme="minorHAnsi" w:cs="Times New Roman"/>
                <w:i w:val="0"/>
                <w:iCs/>
              </w:rPr>
              <w:t xml:space="preserve"> (#</w:t>
            </w:r>
            <w:r w:rsidR="00BA7523" w:rsidRPr="00D24B32">
              <w:rPr>
                <w:rFonts w:asciiTheme="minorHAnsi" w:eastAsia="Calibri" w:hAnsiTheme="minorHAnsi" w:cs="Times New Roman"/>
                <w:i w:val="0"/>
                <w:iCs/>
              </w:rPr>
              <w:t>C</w:t>
            </w:r>
            <w:r w:rsidR="00C1175A" w:rsidRPr="00D24B32">
              <w:rPr>
                <w:rFonts w:asciiTheme="minorHAnsi" w:eastAsia="Calibri" w:hAnsiTheme="minorHAnsi" w:cs="Times New Roman"/>
                <w:i w:val="0"/>
                <w:iCs/>
              </w:rPr>
              <w:t>-</w:t>
            </w:r>
            <w:r w:rsidR="00BA7523" w:rsidRPr="00D24B32">
              <w:rPr>
                <w:rFonts w:asciiTheme="minorHAnsi" w:eastAsia="Calibri" w:hAnsiTheme="minorHAnsi" w:cs="Times New Roman"/>
                <w:i w:val="0"/>
                <w:iCs/>
              </w:rPr>
              <w:t>2</w:t>
            </w:r>
            <w:r w:rsidR="00C1175A" w:rsidRPr="00D24B32">
              <w:rPr>
                <w:rFonts w:asciiTheme="minorHAnsi" w:eastAsia="Calibri" w:hAnsiTheme="minorHAnsi" w:cs="Times New Roman"/>
                <w:i w:val="0"/>
                <w:iCs/>
              </w:rPr>
              <w:t>)</w:t>
            </w:r>
            <w:bookmarkEnd w:id="25"/>
            <w:r w:rsidR="00C1175A" w:rsidRPr="00D24B32">
              <w:rPr>
                <w:rFonts w:asciiTheme="minorHAnsi" w:eastAsia="Calibri" w:hAnsiTheme="minorHAnsi" w:cs="Times New Roman"/>
                <w:b/>
                <w:bCs/>
                <w:i w:val="0"/>
                <w:iCs/>
              </w:rPr>
              <w:t xml:space="preserve"> </w:t>
            </w:r>
          </w:p>
        </w:tc>
      </w:tr>
      <w:tr w:rsidR="00AE3DAC" w:rsidRPr="00683C41" w14:paraId="33717B83" w14:textId="77777777" w:rsidTr="00116755">
        <w:trPr>
          <w:trHeight w:val="629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BF1F41F" w14:textId="40BDC84B" w:rsidR="00AE3DAC" w:rsidRPr="006F5894" w:rsidRDefault="00AE3DAC" w:rsidP="006F5894">
            <w:pPr>
              <w:spacing w:before="75"/>
              <w:ind w:left="71"/>
              <w:rPr>
                <w:rFonts w:eastAsia="Times New Roman" w:cs="Times New Roman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Num</w:t>
            </w:r>
            <w:r w:rsidRPr="00683C41">
              <w:rPr>
                <w:rFonts w:eastAsia="Times New Roman" w:cs="Times New Roman"/>
                <w:b/>
                <w:bCs/>
              </w:rPr>
              <w:t>e</w:t>
            </w:r>
            <w:r w:rsidRPr="00683C41">
              <w:rPr>
                <w:rFonts w:eastAsia="Times New Roman" w:cs="Times New Roman"/>
                <w:b/>
                <w:bCs/>
                <w:spacing w:val="-1"/>
              </w:rPr>
              <w:t xml:space="preserve">rator </w:t>
            </w:r>
            <w:r w:rsidRPr="00683C41">
              <w:rPr>
                <w:rFonts w:eastAsia="Times New Roman" w:cs="Times New Roman"/>
                <w:b/>
                <w:bCs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auto"/>
          </w:tcPr>
          <w:p w14:paraId="7C2F08CC" w14:textId="3E87F12D" w:rsidR="00AE3DAC" w:rsidRPr="00C94575" w:rsidRDefault="00AE3DAC" w:rsidP="0098409E">
            <w:pPr>
              <w:pStyle w:val="BodyText"/>
              <w:ind w:left="67" w:right="479"/>
              <w:rPr>
                <w:rFonts w:asciiTheme="minorHAnsi" w:eastAsia="Calibri" w:hAnsiTheme="minorHAnsi" w:cs="Times New Roman"/>
              </w:rPr>
            </w:pPr>
            <w:r w:rsidRPr="00683C41">
              <w:rPr>
                <w:rFonts w:asciiTheme="minorHAnsi" w:eastAsia="Calibri" w:hAnsiTheme="minorHAnsi" w:cs="Times New Roman"/>
              </w:rPr>
              <w:t xml:space="preserve">Patients </w:t>
            </w:r>
            <w:r w:rsidR="00903263">
              <w:rPr>
                <w:rFonts w:asciiTheme="minorHAnsi" w:eastAsia="Calibri" w:hAnsiTheme="minorHAnsi" w:cs="Times New Roman"/>
              </w:rPr>
              <w:t>with</w:t>
            </w:r>
            <w:r w:rsidR="0098409E">
              <w:rPr>
                <w:rFonts w:asciiTheme="minorHAnsi" w:eastAsia="Calibri" w:hAnsiTheme="minorHAnsi" w:cs="Times New Roman"/>
              </w:rPr>
              <w:t xml:space="preserve"> a bone density assessment </w:t>
            </w:r>
            <w:r w:rsidR="00835E48">
              <w:rPr>
                <w:rFonts w:asciiTheme="minorHAnsi" w:eastAsia="Calibri" w:hAnsiTheme="minorHAnsi" w:cs="Times New Roman"/>
              </w:rPr>
              <w:t xml:space="preserve">within </w:t>
            </w:r>
            <w:r w:rsidR="00D72E18">
              <w:rPr>
                <w:rFonts w:asciiTheme="minorHAnsi" w:eastAsia="Calibri" w:hAnsiTheme="minorHAnsi" w:cs="Times New Roman"/>
              </w:rPr>
              <w:t>+/-</w:t>
            </w:r>
            <w:r w:rsidR="0098409E">
              <w:rPr>
                <w:rFonts w:asciiTheme="minorHAnsi" w:eastAsia="Calibri" w:hAnsiTheme="minorHAnsi" w:cs="Times New Roman"/>
              </w:rPr>
              <w:t xml:space="preserve"> 3 months of </w:t>
            </w:r>
            <w:r w:rsidR="00B06609">
              <w:rPr>
                <w:rFonts w:asciiTheme="minorHAnsi" w:eastAsia="Calibri" w:hAnsiTheme="minorHAnsi" w:cs="Times New Roman"/>
              </w:rPr>
              <w:t xml:space="preserve">the start of hormonal therapy. </w:t>
            </w:r>
          </w:p>
        </w:tc>
      </w:tr>
      <w:tr w:rsidR="00AE3DAC" w:rsidRPr="00683C41" w14:paraId="31EE8C4C" w14:textId="77777777" w:rsidTr="00116755">
        <w:trPr>
          <w:trHeight w:val="674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39C1EBE" w14:textId="51ACAED4" w:rsidR="00AE3DAC" w:rsidRPr="00683C41" w:rsidRDefault="00AE3DAC" w:rsidP="00AE3DAC">
            <w:pPr>
              <w:pStyle w:val="Heading5"/>
              <w:spacing w:before="72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  <w:w w:val="95"/>
              </w:rPr>
              <w:t>Denominator</w:t>
            </w:r>
            <w:r w:rsidRPr="00683C41">
              <w:rPr>
                <w:rFonts w:asciiTheme="minorHAnsi" w:hAnsiTheme="minorHAnsi"/>
                <w:w w:val="99"/>
              </w:rPr>
              <w:t xml:space="preserve"> </w:t>
            </w:r>
            <w:r w:rsidRPr="00683C41">
              <w:rPr>
                <w:rFonts w:asciiTheme="minorHAnsi" w:hAnsiTheme="minorHAnsi"/>
              </w:rPr>
              <w:t>Statement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auto"/>
          </w:tcPr>
          <w:p w14:paraId="375423CF" w14:textId="1D3913A1" w:rsidR="00FD25D3" w:rsidRPr="00683C41" w:rsidRDefault="00AE3DAC" w:rsidP="00116755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683C41">
              <w:rPr>
                <w:rFonts w:asciiTheme="minorHAnsi" w:hAnsiTheme="minorHAnsi"/>
              </w:rPr>
              <w:t xml:space="preserve">All patients, regardless of age, with a diagnosis of </w:t>
            </w:r>
            <w:r w:rsidRPr="006F5894">
              <w:rPr>
                <w:rFonts w:asciiTheme="minorHAnsi" w:hAnsiTheme="minorHAnsi"/>
              </w:rPr>
              <w:t xml:space="preserve">prostate cancer </w:t>
            </w:r>
            <w:r w:rsidR="00BD75FE" w:rsidRPr="006F5894">
              <w:rPr>
                <w:rFonts w:asciiTheme="minorHAnsi" w:hAnsiTheme="minorHAnsi"/>
              </w:rPr>
              <w:t xml:space="preserve">prescribed </w:t>
            </w:r>
            <w:r w:rsidR="00B06609" w:rsidRPr="006F5894">
              <w:rPr>
                <w:rFonts w:asciiTheme="minorHAnsi" w:hAnsiTheme="minorHAnsi"/>
              </w:rPr>
              <w:t>long term</w:t>
            </w:r>
            <w:r w:rsidR="00447F2C">
              <w:rPr>
                <w:rFonts w:asciiTheme="minorHAnsi" w:hAnsiTheme="minorHAnsi"/>
              </w:rPr>
              <w:t xml:space="preserve"> </w:t>
            </w:r>
            <w:r w:rsidR="00DB6B77" w:rsidRPr="006F5894">
              <w:rPr>
                <w:rFonts w:asciiTheme="minorHAnsi" w:hAnsiTheme="minorHAnsi"/>
              </w:rPr>
              <w:t>androgen deprivation therapy (ADT)</w:t>
            </w:r>
            <w:r w:rsidR="00116755" w:rsidRPr="006F5894">
              <w:rPr>
                <w:rFonts w:asciiTheme="minorHAnsi" w:hAnsiTheme="minorHAnsi"/>
              </w:rPr>
              <w:t>.</w:t>
            </w:r>
          </w:p>
        </w:tc>
      </w:tr>
      <w:tr w:rsidR="00AE3DAC" w:rsidRPr="00683C41" w14:paraId="2A8B3F70" w14:textId="77777777" w:rsidTr="00116755">
        <w:trPr>
          <w:trHeight w:val="467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B4C6E7"/>
          </w:tcPr>
          <w:p w14:paraId="2789201E" w14:textId="7F0DB613" w:rsidR="00AE3DAC" w:rsidRPr="00683C41" w:rsidRDefault="00AE3DAC" w:rsidP="00AE3DAC">
            <w:pPr>
              <w:pStyle w:val="Heading5"/>
              <w:spacing w:before="76"/>
              <w:ind w:left="71"/>
              <w:rPr>
                <w:rFonts w:asciiTheme="minorHAnsi" w:hAnsiTheme="minorHAnsi"/>
                <w:b w:val="0"/>
                <w:bCs w:val="0"/>
              </w:rPr>
            </w:pPr>
            <w:r w:rsidRPr="00683C41">
              <w:rPr>
                <w:rFonts w:asciiTheme="minorHAnsi" w:hAnsiTheme="minorHAnsi"/>
              </w:rPr>
              <w:t xml:space="preserve">Exclusions/Exceptions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  <w:shd w:val="clear" w:color="auto" w:fill="auto"/>
          </w:tcPr>
          <w:p w14:paraId="52A1F6F0" w14:textId="582F2E25" w:rsidR="00AE3DAC" w:rsidRPr="00683C41" w:rsidRDefault="00CF48D0" w:rsidP="00AE3DAC">
            <w:pPr>
              <w:pStyle w:val="BodyText"/>
              <w:ind w:left="0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None.</w:t>
            </w:r>
          </w:p>
        </w:tc>
      </w:tr>
      <w:tr w:rsidR="00AE3DAC" w:rsidRPr="00683C41" w14:paraId="2928D58E" w14:textId="77777777" w:rsidTr="006C57AE">
        <w:trPr>
          <w:trHeight w:val="837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3B0D74E5" w14:textId="77777777" w:rsidR="00AE3DAC" w:rsidRPr="00683C41" w:rsidRDefault="00AE3DAC" w:rsidP="00AE3DAC">
            <w:pPr>
              <w:ind w:left="7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Notes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auto"/>
          </w:tcPr>
          <w:p w14:paraId="7C9747F2" w14:textId="77777777" w:rsidR="00D72E18" w:rsidRPr="00D72E18" w:rsidRDefault="00D72E18" w:rsidP="00315A3A">
            <w:pPr>
              <w:pStyle w:val="ListParagraph"/>
              <w:numPr>
                <w:ilvl w:val="0"/>
                <w:numId w:val="17"/>
              </w:numPr>
            </w:pPr>
            <w:r w:rsidRPr="00D72E18">
              <w:t xml:space="preserve">ADT examples include gonadotropin-releasing hormone [GnRH] agonist or antagonist. </w:t>
            </w:r>
          </w:p>
          <w:p w14:paraId="6177EC2C" w14:textId="405C5BBD" w:rsidR="00EA6556" w:rsidRDefault="00EA6556" w:rsidP="00315A3A">
            <w:pPr>
              <w:pStyle w:val="ListParagraph"/>
              <w:keepNext/>
              <w:numPr>
                <w:ilvl w:val="0"/>
                <w:numId w:val="17"/>
              </w:numPr>
            </w:pPr>
            <w:r>
              <w:t>The timing of the bone density assessment can be between 3 months before and 3 months after initiating hormonal therapy.</w:t>
            </w:r>
          </w:p>
          <w:p w14:paraId="5C8DB087" w14:textId="77777777" w:rsidR="00FD25D3" w:rsidRDefault="00C1175A" w:rsidP="00315A3A">
            <w:pPr>
              <w:pStyle w:val="ListParagraph"/>
              <w:keepNext/>
              <w:numPr>
                <w:ilvl w:val="0"/>
                <w:numId w:val="17"/>
              </w:numPr>
            </w:pPr>
            <w:r w:rsidRPr="00070B69">
              <w:t>Previously Prostate Measure #</w:t>
            </w:r>
            <w:r>
              <w:t>24</w:t>
            </w:r>
            <w:r w:rsidR="00116755">
              <w:t>.</w:t>
            </w:r>
          </w:p>
          <w:p w14:paraId="23C72024" w14:textId="42A94091" w:rsidR="00687525" w:rsidRPr="00683C41" w:rsidRDefault="00315A3A" w:rsidP="00315A3A">
            <w:pPr>
              <w:pStyle w:val="ListParagraph"/>
              <w:keepNext/>
              <w:numPr>
                <w:ilvl w:val="0"/>
                <w:numId w:val="17"/>
              </w:numPr>
              <w:ind w:right="73"/>
            </w:pPr>
            <w:r>
              <w:rPr>
                <w:rFonts w:cs="Times New Roman"/>
              </w:rPr>
              <w:t>Long term is defined greater than or equal to 18 months.</w:t>
            </w:r>
          </w:p>
        </w:tc>
      </w:tr>
      <w:tr w:rsidR="00AE3DAC" w:rsidRPr="00683C41" w14:paraId="358F04D8" w14:textId="77777777" w:rsidTr="006C57AE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1E955F36" w14:textId="77777777" w:rsidR="00AE3DAC" w:rsidRPr="00683C41" w:rsidRDefault="00AE3DAC" w:rsidP="00AE3DAC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 w:rsidRPr="00683C41">
              <w:rPr>
                <w:rFonts w:eastAsia="Times New Roman" w:cs="Times New Roman"/>
                <w:b/>
                <w:bCs/>
                <w:spacing w:val="-1"/>
              </w:rPr>
              <w:t>Expected Performance Rate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auto"/>
          </w:tcPr>
          <w:p w14:paraId="422C2E6B" w14:textId="55C36933" w:rsidR="00AE3DAC" w:rsidRDefault="00B06609" w:rsidP="0094056A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Higher</w:t>
            </w:r>
            <w:r w:rsidR="00AE3DAC" w:rsidRPr="00683C41">
              <w:rPr>
                <w:rFonts w:asciiTheme="minorHAnsi" w:hAnsiTheme="minorHAnsi"/>
              </w:rPr>
              <w:t xml:space="preserve"> = </w:t>
            </w:r>
            <w:r w:rsidR="00A661CF">
              <w:rPr>
                <w:rFonts w:asciiTheme="minorHAnsi" w:hAnsiTheme="minorHAnsi"/>
              </w:rPr>
              <w:t>B</w:t>
            </w:r>
            <w:r w:rsidR="00AE3DAC" w:rsidRPr="00683C41">
              <w:rPr>
                <w:rFonts w:asciiTheme="minorHAnsi" w:hAnsiTheme="minorHAnsi"/>
              </w:rPr>
              <w:t>etter</w:t>
            </w:r>
            <w:r w:rsidR="00A661CF">
              <w:rPr>
                <w:rFonts w:asciiTheme="minorHAnsi" w:hAnsiTheme="minorHAnsi"/>
              </w:rPr>
              <w:t>.</w:t>
            </w:r>
            <w:r w:rsidR="00AE3DAC" w:rsidRPr="00683C41">
              <w:rPr>
                <w:rFonts w:asciiTheme="minorHAnsi" w:hAnsiTheme="minorHAnsi"/>
              </w:rPr>
              <w:t xml:space="preserve"> </w:t>
            </w:r>
          </w:p>
          <w:p w14:paraId="63725E0D" w14:textId="2C6DDC56" w:rsidR="006C122C" w:rsidRPr="00683C41" w:rsidRDefault="00BD75FE" w:rsidP="0094056A">
            <w:pPr>
              <w:pStyle w:val="BodyText"/>
              <w:ind w:left="67" w:right="479"/>
              <w:rPr>
                <w:rFonts w:asciiTheme="minorHAnsi" w:hAnsiTheme="minorHAnsi"/>
              </w:rPr>
            </w:pPr>
            <w:r w:rsidRPr="00F756E0">
              <w:rPr>
                <w:rFonts w:asciiTheme="minorHAnsi" w:hAnsiTheme="minorHAnsi"/>
              </w:rPr>
              <w:t>Expected Performance Rate: 90%</w:t>
            </w:r>
          </w:p>
        </w:tc>
      </w:tr>
      <w:tr w:rsidR="00C1175A" w:rsidRPr="00683C41" w14:paraId="172EF6D9" w14:textId="77777777" w:rsidTr="006C57AE">
        <w:trPr>
          <w:trHeight w:val="423"/>
        </w:trPr>
        <w:tc>
          <w:tcPr>
            <w:tcW w:w="225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B4C6E7"/>
          </w:tcPr>
          <w:p w14:paraId="7FB94856" w14:textId="0330638B" w:rsidR="00C1175A" w:rsidRPr="00683C41" w:rsidRDefault="00C1175A" w:rsidP="00C1175A">
            <w:pPr>
              <w:ind w:left="71"/>
              <w:rPr>
                <w:rFonts w:eastAsia="Times New Roman" w:cs="Times New Roman"/>
                <w:b/>
                <w:bCs/>
                <w:spacing w:val="-1"/>
              </w:rPr>
            </w:pPr>
            <w:r>
              <w:rPr>
                <w:rFonts w:eastAsia="Times New Roman" w:cs="Times New Roman"/>
                <w:b/>
                <w:bCs/>
                <w:spacing w:val="-1"/>
              </w:rPr>
              <w:t xml:space="preserve">Measure Type </w:t>
            </w:r>
          </w:p>
        </w:tc>
        <w:tc>
          <w:tcPr>
            <w:tcW w:w="7380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3" w:space="0" w:color="000000"/>
            </w:tcBorders>
            <w:shd w:val="clear" w:color="auto" w:fill="auto"/>
          </w:tcPr>
          <w:p w14:paraId="72677AD9" w14:textId="1A2A7615" w:rsidR="00C1175A" w:rsidRPr="00B33785" w:rsidRDefault="00E55CB1" w:rsidP="00C1175A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492462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C5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175A" w:rsidRPr="00B33785">
              <w:rPr>
                <w:rFonts w:asciiTheme="minorHAnsi" w:hAnsiTheme="minorHAnsi"/>
              </w:rPr>
              <w:t xml:space="preserve"> Quality Measure</w:t>
            </w:r>
          </w:p>
          <w:p w14:paraId="06E0CF3F" w14:textId="4AB1265F" w:rsidR="00C1175A" w:rsidRPr="00B33785" w:rsidRDefault="00E55CB1" w:rsidP="00C1175A">
            <w:pPr>
              <w:pStyle w:val="BodyText"/>
              <w:ind w:right="479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785309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C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75A" w:rsidRPr="00B33785">
              <w:rPr>
                <w:rFonts w:asciiTheme="minorHAnsi" w:hAnsiTheme="minorHAnsi"/>
              </w:rPr>
              <w:t xml:space="preserve"> Aspirational Measure</w:t>
            </w:r>
          </w:p>
          <w:p w14:paraId="0219145D" w14:textId="797B6A64" w:rsidR="00C1175A" w:rsidRDefault="00C1175A" w:rsidP="00C1175A">
            <w:pPr>
              <w:pStyle w:val="BodyText"/>
              <w:ind w:left="67" w:right="4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02589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33785">
              <w:rPr>
                <w:rFonts w:asciiTheme="minorHAnsi" w:hAnsiTheme="minorHAnsi"/>
              </w:rPr>
              <w:t xml:space="preserve"> Surveillance Measure</w:t>
            </w:r>
          </w:p>
        </w:tc>
      </w:tr>
    </w:tbl>
    <w:p w14:paraId="7F720A2B" w14:textId="54FD115A" w:rsidR="00D72E18" w:rsidRDefault="00D72E18"/>
    <w:p w14:paraId="0B8F7BBF" w14:textId="4D6EFEA4" w:rsidR="00D72E18" w:rsidRDefault="00D72E18"/>
    <w:p w14:paraId="362BBA9C" w14:textId="47A7D350" w:rsidR="00D72E18" w:rsidRDefault="00D72E18"/>
    <w:p w14:paraId="0C628147" w14:textId="6C68AE75" w:rsidR="00D72E18" w:rsidRDefault="00D72E18"/>
    <w:p w14:paraId="58C14603" w14:textId="77777777" w:rsidR="00D72E18" w:rsidRDefault="00D72E18"/>
    <w:p w14:paraId="5765340A" w14:textId="77777777" w:rsidR="009C2B32" w:rsidRDefault="009C2B32" w:rsidP="009C2B32">
      <w:pPr>
        <w:widowControl/>
        <w:spacing w:after="160" w:line="259" w:lineRule="auto"/>
      </w:pPr>
    </w:p>
    <w:p w14:paraId="03004FB9" w14:textId="7E34BFCF" w:rsidR="001B38D0" w:rsidRPr="00683C41" w:rsidRDefault="001B38D0" w:rsidP="003303DD">
      <w:pPr>
        <w:widowControl/>
        <w:spacing w:after="160" w:line="259" w:lineRule="auto"/>
      </w:pPr>
    </w:p>
    <w:sectPr w:rsidR="001B38D0" w:rsidRPr="00683C41" w:rsidSect="001461BC">
      <w:footerReference w:type="default" r:id="rId8"/>
      <w:pgSz w:w="12240" w:h="15840"/>
      <w:pgMar w:top="1166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E8D0" w14:textId="77777777" w:rsidR="00DA5904" w:rsidRDefault="00DA5904" w:rsidP="008D57B1">
      <w:r>
        <w:separator/>
      </w:r>
    </w:p>
  </w:endnote>
  <w:endnote w:type="continuationSeparator" w:id="0">
    <w:p w14:paraId="48342777" w14:textId="77777777" w:rsidR="00DA5904" w:rsidRDefault="00DA5904" w:rsidP="008D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1B5F" w14:textId="2AD85724" w:rsidR="00C75C27" w:rsidRDefault="00C75C27" w:rsidP="001461BC">
    <w:pPr>
      <w:pStyle w:val="Footer"/>
      <w:ind w:left="-630" w:hanging="90"/>
    </w:pPr>
    <w:r>
      <w:t xml:space="preserve">Copyright American Society for Radiation Oncology. 2021. Confidential. Not for distribution or duplication. </w:t>
    </w:r>
    <w:r>
      <w:tab/>
    </w:r>
    <w:sdt>
      <w:sdtPr>
        <w:id w:val="12671874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31CE34" w14:textId="14293223" w:rsidR="00C75C27" w:rsidRDefault="00C75C27" w:rsidP="001461BC">
    <w:pPr>
      <w:pStyle w:val="Footer"/>
      <w:ind w:hanging="27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4E39" w14:textId="77777777" w:rsidR="00DA5904" w:rsidRDefault="00DA5904" w:rsidP="008D57B1">
      <w:r>
        <w:separator/>
      </w:r>
    </w:p>
  </w:footnote>
  <w:footnote w:type="continuationSeparator" w:id="0">
    <w:p w14:paraId="6A1EED88" w14:textId="77777777" w:rsidR="00DA5904" w:rsidRDefault="00DA5904" w:rsidP="008D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4EA8"/>
    <w:multiLevelType w:val="hybridMultilevel"/>
    <w:tmpl w:val="6C72DA7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AF803F7"/>
    <w:multiLevelType w:val="hybridMultilevel"/>
    <w:tmpl w:val="832E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2CC"/>
    <w:multiLevelType w:val="hybridMultilevel"/>
    <w:tmpl w:val="A1FAA0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75B3D11"/>
    <w:multiLevelType w:val="hybridMultilevel"/>
    <w:tmpl w:val="CFA80A4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DB32644"/>
    <w:multiLevelType w:val="hybridMultilevel"/>
    <w:tmpl w:val="6FA6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E4FAA"/>
    <w:multiLevelType w:val="hybridMultilevel"/>
    <w:tmpl w:val="489C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28F7"/>
    <w:multiLevelType w:val="hybridMultilevel"/>
    <w:tmpl w:val="9398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254F"/>
    <w:multiLevelType w:val="hybridMultilevel"/>
    <w:tmpl w:val="48EAAF7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28B61A2A"/>
    <w:multiLevelType w:val="hybridMultilevel"/>
    <w:tmpl w:val="D5E6642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2ADC7985"/>
    <w:multiLevelType w:val="hybridMultilevel"/>
    <w:tmpl w:val="905A6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DE06AD"/>
    <w:multiLevelType w:val="hybridMultilevel"/>
    <w:tmpl w:val="8F1A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1233"/>
    <w:multiLevelType w:val="hybridMultilevel"/>
    <w:tmpl w:val="59B6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A0639"/>
    <w:multiLevelType w:val="hybridMultilevel"/>
    <w:tmpl w:val="B6A2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33361"/>
    <w:multiLevelType w:val="hybridMultilevel"/>
    <w:tmpl w:val="FBF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00805"/>
    <w:multiLevelType w:val="hybridMultilevel"/>
    <w:tmpl w:val="AE3A5C0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 w15:restartNumberingAfterBreak="0">
    <w:nsid w:val="3E503256"/>
    <w:multiLevelType w:val="hybridMultilevel"/>
    <w:tmpl w:val="DA0A6020"/>
    <w:lvl w:ilvl="0" w:tplc="6B8694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24D6E"/>
    <w:multiLevelType w:val="hybridMultilevel"/>
    <w:tmpl w:val="22FEB34E"/>
    <w:lvl w:ilvl="0" w:tplc="0750C528">
      <w:start w:val="1"/>
      <w:numFmt w:val="decimal"/>
      <w:lvlText w:val="%1."/>
      <w:lvlJc w:val="left"/>
      <w:pPr>
        <w:ind w:left="99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4436DF2"/>
    <w:multiLevelType w:val="hybridMultilevel"/>
    <w:tmpl w:val="48429D4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48FD6928"/>
    <w:multiLevelType w:val="hybridMultilevel"/>
    <w:tmpl w:val="C4FA56A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AEB4D9E"/>
    <w:multiLevelType w:val="hybridMultilevel"/>
    <w:tmpl w:val="42FAD834"/>
    <w:lvl w:ilvl="0" w:tplc="019644C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4D520CB4"/>
    <w:multiLevelType w:val="hybridMultilevel"/>
    <w:tmpl w:val="2CF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95E87"/>
    <w:multiLevelType w:val="hybridMultilevel"/>
    <w:tmpl w:val="7820F52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 w15:restartNumberingAfterBreak="0">
    <w:nsid w:val="57FD487A"/>
    <w:multiLevelType w:val="hybridMultilevel"/>
    <w:tmpl w:val="8E303CE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58FA3182"/>
    <w:multiLevelType w:val="hybridMultilevel"/>
    <w:tmpl w:val="F83231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 w15:restartNumberingAfterBreak="0">
    <w:nsid w:val="5EDE2C6A"/>
    <w:multiLevelType w:val="hybridMultilevel"/>
    <w:tmpl w:val="39E809F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 w15:restartNumberingAfterBreak="0">
    <w:nsid w:val="62F513F3"/>
    <w:multiLevelType w:val="hybridMultilevel"/>
    <w:tmpl w:val="2256C8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68ED0FA0"/>
    <w:multiLevelType w:val="hybridMultilevel"/>
    <w:tmpl w:val="937A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649F6"/>
    <w:multiLevelType w:val="hybridMultilevel"/>
    <w:tmpl w:val="2AC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B3D74"/>
    <w:multiLevelType w:val="hybridMultilevel"/>
    <w:tmpl w:val="60AC00A2"/>
    <w:lvl w:ilvl="0" w:tplc="DA2E9786">
      <w:start w:val="2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C5DBB"/>
    <w:multiLevelType w:val="hybridMultilevel"/>
    <w:tmpl w:val="8E50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3"/>
  </w:num>
  <w:num w:numId="5">
    <w:abstractNumId w:val="17"/>
  </w:num>
  <w:num w:numId="6">
    <w:abstractNumId w:val="8"/>
  </w:num>
  <w:num w:numId="7">
    <w:abstractNumId w:val="12"/>
  </w:num>
  <w:num w:numId="8">
    <w:abstractNumId w:val="5"/>
  </w:num>
  <w:num w:numId="9">
    <w:abstractNumId w:val="19"/>
  </w:num>
  <w:num w:numId="10">
    <w:abstractNumId w:val="16"/>
  </w:num>
  <w:num w:numId="11">
    <w:abstractNumId w:val="14"/>
  </w:num>
  <w:num w:numId="12">
    <w:abstractNumId w:val="2"/>
  </w:num>
  <w:num w:numId="13">
    <w:abstractNumId w:val="9"/>
  </w:num>
  <w:num w:numId="14">
    <w:abstractNumId w:val="27"/>
  </w:num>
  <w:num w:numId="15">
    <w:abstractNumId w:val="10"/>
  </w:num>
  <w:num w:numId="16">
    <w:abstractNumId w:val="21"/>
  </w:num>
  <w:num w:numId="17">
    <w:abstractNumId w:val="20"/>
  </w:num>
  <w:num w:numId="18">
    <w:abstractNumId w:val="22"/>
  </w:num>
  <w:num w:numId="19">
    <w:abstractNumId w:val="24"/>
  </w:num>
  <w:num w:numId="20">
    <w:abstractNumId w:val="7"/>
  </w:num>
  <w:num w:numId="21">
    <w:abstractNumId w:val="11"/>
  </w:num>
  <w:num w:numId="22">
    <w:abstractNumId w:val="23"/>
  </w:num>
  <w:num w:numId="23">
    <w:abstractNumId w:val="26"/>
  </w:num>
  <w:num w:numId="24">
    <w:abstractNumId w:val="6"/>
  </w:num>
  <w:num w:numId="25">
    <w:abstractNumId w:val="28"/>
  </w:num>
  <w:num w:numId="26">
    <w:abstractNumId w:val="25"/>
  </w:num>
  <w:num w:numId="27">
    <w:abstractNumId w:val="4"/>
  </w:num>
  <w:num w:numId="28">
    <w:abstractNumId w:val="18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1MzQzNje1NLMwtLBQ0lEKTi0uzszPAykwrAUAZc1briwAAAA="/>
  </w:docVars>
  <w:rsids>
    <w:rsidRoot w:val="00196D71"/>
    <w:rsid w:val="000004BC"/>
    <w:rsid w:val="00005648"/>
    <w:rsid w:val="00013504"/>
    <w:rsid w:val="00023734"/>
    <w:rsid w:val="0003038D"/>
    <w:rsid w:val="000303E8"/>
    <w:rsid w:val="0006136C"/>
    <w:rsid w:val="00065FCC"/>
    <w:rsid w:val="00066C69"/>
    <w:rsid w:val="00070B69"/>
    <w:rsid w:val="00071202"/>
    <w:rsid w:val="00071B93"/>
    <w:rsid w:val="00081AD5"/>
    <w:rsid w:val="00086713"/>
    <w:rsid w:val="00090020"/>
    <w:rsid w:val="000A5C4A"/>
    <w:rsid w:val="000B2E83"/>
    <w:rsid w:val="000B4426"/>
    <w:rsid w:val="000C0989"/>
    <w:rsid w:val="000D2848"/>
    <w:rsid w:val="000F0B09"/>
    <w:rsid w:val="000F60C7"/>
    <w:rsid w:val="0011529C"/>
    <w:rsid w:val="00116755"/>
    <w:rsid w:val="001170C0"/>
    <w:rsid w:val="00127023"/>
    <w:rsid w:val="00132A5B"/>
    <w:rsid w:val="001434A4"/>
    <w:rsid w:val="001461BC"/>
    <w:rsid w:val="00150F20"/>
    <w:rsid w:val="00153FEB"/>
    <w:rsid w:val="001672DB"/>
    <w:rsid w:val="00173AD3"/>
    <w:rsid w:val="00180C24"/>
    <w:rsid w:val="00184373"/>
    <w:rsid w:val="00185307"/>
    <w:rsid w:val="001853F6"/>
    <w:rsid w:val="001902BF"/>
    <w:rsid w:val="00196D71"/>
    <w:rsid w:val="001A17CE"/>
    <w:rsid w:val="001A7910"/>
    <w:rsid w:val="001B0833"/>
    <w:rsid w:val="001B38D0"/>
    <w:rsid w:val="001B49A5"/>
    <w:rsid w:val="001B7AA9"/>
    <w:rsid w:val="001C4CEB"/>
    <w:rsid w:val="001D05C4"/>
    <w:rsid w:val="001D0E77"/>
    <w:rsid w:val="001D4E2F"/>
    <w:rsid w:val="001D6E82"/>
    <w:rsid w:val="001F44B7"/>
    <w:rsid w:val="001F5657"/>
    <w:rsid w:val="002008D6"/>
    <w:rsid w:val="00215FCB"/>
    <w:rsid w:val="00223280"/>
    <w:rsid w:val="00224A0E"/>
    <w:rsid w:val="0023321E"/>
    <w:rsid w:val="0024206A"/>
    <w:rsid w:val="00260E05"/>
    <w:rsid w:val="00261AD2"/>
    <w:rsid w:val="002724BB"/>
    <w:rsid w:val="0029057C"/>
    <w:rsid w:val="0029459B"/>
    <w:rsid w:val="00296BDD"/>
    <w:rsid w:val="002A1549"/>
    <w:rsid w:val="002B5A20"/>
    <w:rsid w:val="002C004B"/>
    <w:rsid w:val="002C05A7"/>
    <w:rsid w:val="002C2623"/>
    <w:rsid w:val="002D266C"/>
    <w:rsid w:val="002D4D3C"/>
    <w:rsid w:val="002D5587"/>
    <w:rsid w:val="002E515F"/>
    <w:rsid w:val="002F2319"/>
    <w:rsid w:val="002F71CA"/>
    <w:rsid w:val="003037D4"/>
    <w:rsid w:val="0030520D"/>
    <w:rsid w:val="003127E5"/>
    <w:rsid w:val="00315A3A"/>
    <w:rsid w:val="00322BA7"/>
    <w:rsid w:val="003303DD"/>
    <w:rsid w:val="003340FD"/>
    <w:rsid w:val="00335F3B"/>
    <w:rsid w:val="003443AE"/>
    <w:rsid w:val="00352656"/>
    <w:rsid w:val="00353B9C"/>
    <w:rsid w:val="003805A4"/>
    <w:rsid w:val="003A1328"/>
    <w:rsid w:val="003E4C9E"/>
    <w:rsid w:val="00406FC2"/>
    <w:rsid w:val="004079CF"/>
    <w:rsid w:val="00414AAB"/>
    <w:rsid w:val="00420F4D"/>
    <w:rsid w:val="004210CE"/>
    <w:rsid w:val="00432103"/>
    <w:rsid w:val="00447F2C"/>
    <w:rsid w:val="004524D9"/>
    <w:rsid w:val="00452C7F"/>
    <w:rsid w:val="00453F90"/>
    <w:rsid w:val="0046259E"/>
    <w:rsid w:val="00466A29"/>
    <w:rsid w:val="004723DF"/>
    <w:rsid w:val="004735B3"/>
    <w:rsid w:val="00486826"/>
    <w:rsid w:val="004A4DF6"/>
    <w:rsid w:val="004B26E0"/>
    <w:rsid w:val="004B558A"/>
    <w:rsid w:val="004B7A39"/>
    <w:rsid w:val="004C2033"/>
    <w:rsid w:val="004C394E"/>
    <w:rsid w:val="004D41EF"/>
    <w:rsid w:val="004D4FEB"/>
    <w:rsid w:val="004D5AA4"/>
    <w:rsid w:val="004D7862"/>
    <w:rsid w:val="004E7AA4"/>
    <w:rsid w:val="004F077A"/>
    <w:rsid w:val="004F5619"/>
    <w:rsid w:val="004F6A44"/>
    <w:rsid w:val="004F7A76"/>
    <w:rsid w:val="00502C2A"/>
    <w:rsid w:val="00505D38"/>
    <w:rsid w:val="005075D6"/>
    <w:rsid w:val="005221DA"/>
    <w:rsid w:val="00524DFE"/>
    <w:rsid w:val="00526335"/>
    <w:rsid w:val="00532490"/>
    <w:rsid w:val="00566AEC"/>
    <w:rsid w:val="00567D63"/>
    <w:rsid w:val="00574A9F"/>
    <w:rsid w:val="00586BF6"/>
    <w:rsid w:val="005A0A86"/>
    <w:rsid w:val="005A3FBA"/>
    <w:rsid w:val="005B032E"/>
    <w:rsid w:val="005B2285"/>
    <w:rsid w:val="005C1F8A"/>
    <w:rsid w:val="005D6153"/>
    <w:rsid w:val="005E27C4"/>
    <w:rsid w:val="005F1CC8"/>
    <w:rsid w:val="0060009B"/>
    <w:rsid w:val="00600931"/>
    <w:rsid w:val="00600B25"/>
    <w:rsid w:val="00601AE0"/>
    <w:rsid w:val="006042FB"/>
    <w:rsid w:val="00612416"/>
    <w:rsid w:val="006139AF"/>
    <w:rsid w:val="00617598"/>
    <w:rsid w:val="00621B52"/>
    <w:rsid w:val="006270D5"/>
    <w:rsid w:val="0062726A"/>
    <w:rsid w:val="00631824"/>
    <w:rsid w:val="00645331"/>
    <w:rsid w:val="0064684A"/>
    <w:rsid w:val="00647235"/>
    <w:rsid w:val="006569CD"/>
    <w:rsid w:val="00664D64"/>
    <w:rsid w:val="00683C41"/>
    <w:rsid w:val="00687525"/>
    <w:rsid w:val="006A15A2"/>
    <w:rsid w:val="006A6502"/>
    <w:rsid w:val="006B013F"/>
    <w:rsid w:val="006B20DF"/>
    <w:rsid w:val="006C122C"/>
    <w:rsid w:val="006C57AE"/>
    <w:rsid w:val="006C728F"/>
    <w:rsid w:val="006D5793"/>
    <w:rsid w:val="006E3515"/>
    <w:rsid w:val="006F27C3"/>
    <w:rsid w:val="006F5894"/>
    <w:rsid w:val="006F6DBA"/>
    <w:rsid w:val="00703801"/>
    <w:rsid w:val="00710072"/>
    <w:rsid w:val="00711967"/>
    <w:rsid w:val="007119FD"/>
    <w:rsid w:val="00715437"/>
    <w:rsid w:val="00717A04"/>
    <w:rsid w:val="007513E5"/>
    <w:rsid w:val="007555E4"/>
    <w:rsid w:val="00762090"/>
    <w:rsid w:val="00765BDD"/>
    <w:rsid w:val="00766BCC"/>
    <w:rsid w:val="0076719E"/>
    <w:rsid w:val="00781F9B"/>
    <w:rsid w:val="007824E7"/>
    <w:rsid w:val="00783ED3"/>
    <w:rsid w:val="00796C39"/>
    <w:rsid w:val="007A1FCA"/>
    <w:rsid w:val="007B1B00"/>
    <w:rsid w:val="007B7CF0"/>
    <w:rsid w:val="007C4298"/>
    <w:rsid w:val="007E0D00"/>
    <w:rsid w:val="008040E0"/>
    <w:rsid w:val="008155A7"/>
    <w:rsid w:val="008169B1"/>
    <w:rsid w:val="00833CF9"/>
    <w:rsid w:val="00835E48"/>
    <w:rsid w:val="00843218"/>
    <w:rsid w:val="00863C28"/>
    <w:rsid w:val="00866CCD"/>
    <w:rsid w:val="00883FC8"/>
    <w:rsid w:val="00885E6B"/>
    <w:rsid w:val="00893C62"/>
    <w:rsid w:val="00897F19"/>
    <w:rsid w:val="008A0A1C"/>
    <w:rsid w:val="008A4AE9"/>
    <w:rsid w:val="008B2D69"/>
    <w:rsid w:val="008B6988"/>
    <w:rsid w:val="008C055A"/>
    <w:rsid w:val="008C5E66"/>
    <w:rsid w:val="008D57B1"/>
    <w:rsid w:val="008D7215"/>
    <w:rsid w:val="008D7341"/>
    <w:rsid w:val="008E4F9B"/>
    <w:rsid w:val="008E6A50"/>
    <w:rsid w:val="008F38B1"/>
    <w:rsid w:val="008F6AF9"/>
    <w:rsid w:val="00903263"/>
    <w:rsid w:val="00926D36"/>
    <w:rsid w:val="0092784A"/>
    <w:rsid w:val="00930EBE"/>
    <w:rsid w:val="0094056A"/>
    <w:rsid w:val="00941994"/>
    <w:rsid w:val="00954D2B"/>
    <w:rsid w:val="00956932"/>
    <w:rsid w:val="0098409E"/>
    <w:rsid w:val="0098680E"/>
    <w:rsid w:val="009905C7"/>
    <w:rsid w:val="00992B25"/>
    <w:rsid w:val="009B32D4"/>
    <w:rsid w:val="009B4277"/>
    <w:rsid w:val="009B498B"/>
    <w:rsid w:val="009C2645"/>
    <w:rsid w:val="009C2B32"/>
    <w:rsid w:val="009D7899"/>
    <w:rsid w:val="009E0D74"/>
    <w:rsid w:val="009E2B2A"/>
    <w:rsid w:val="009F4ABA"/>
    <w:rsid w:val="009F7791"/>
    <w:rsid w:val="00A014A6"/>
    <w:rsid w:val="00A01C6C"/>
    <w:rsid w:val="00A102FC"/>
    <w:rsid w:val="00A11D5F"/>
    <w:rsid w:val="00A14056"/>
    <w:rsid w:val="00A1536F"/>
    <w:rsid w:val="00A31400"/>
    <w:rsid w:val="00A32E60"/>
    <w:rsid w:val="00A337A6"/>
    <w:rsid w:val="00A36679"/>
    <w:rsid w:val="00A37D25"/>
    <w:rsid w:val="00A40880"/>
    <w:rsid w:val="00A50380"/>
    <w:rsid w:val="00A609C2"/>
    <w:rsid w:val="00A609D6"/>
    <w:rsid w:val="00A60F95"/>
    <w:rsid w:val="00A65835"/>
    <w:rsid w:val="00A661CF"/>
    <w:rsid w:val="00A74A86"/>
    <w:rsid w:val="00A765AC"/>
    <w:rsid w:val="00A81CF3"/>
    <w:rsid w:val="00A92673"/>
    <w:rsid w:val="00AA2D88"/>
    <w:rsid w:val="00AB4F27"/>
    <w:rsid w:val="00AC165F"/>
    <w:rsid w:val="00AC6BC7"/>
    <w:rsid w:val="00AC7EEB"/>
    <w:rsid w:val="00AD0E36"/>
    <w:rsid w:val="00AD40BA"/>
    <w:rsid w:val="00AD6C03"/>
    <w:rsid w:val="00AE2642"/>
    <w:rsid w:val="00AE3DAC"/>
    <w:rsid w:val="00AE43B9"/>
    <w:rsid w:val="00AF4508"/>
    <w:rsid w:val="00B03DC7"/>
    <w:rsid w:val="00B06609"/>
    <w:rsid w:val="00B171D9"/>
    <w:rsid w:val="00B24A63"/>
    <w:rsid w:val="00B25C9C"/>
    <w:rsid w:val="00B27F0B"/>
    <w:rsid w:val="00B32480"/>
    <w:rsid w:val="00B341CB"/>
    <w:rsid w:val="00B3526F"/>
    <w:rsid w:val="00B4085F"/>
    <w:rsid w:val="00B41472"/>
    <w:rsid w:val="00B44C31"/>
    <w:rsid w:val="00B54CB7"/>
    <w:rsid w:val="00B577E8"/>
    <w:rsid w:val="00B64F47"/>
    <w:rsid w:val="00B76B99"/>
    <w:rsid w:val="00B77B2F"/>
    <w:rsid w:val="00B8550F"/>
    <w:rsid w:val="00B93A78"/>
    <w:rsid w:val="00B9613A"/>
    <w:rsid w:val="00BA1251"/>
    <w:rsid w:val="00BA7523"/>
    <w:rsid w:val="00BB066B"/>
    <w:rsid w:val="00BB3874"/>
    <w:rsid w:val="00BB7A30"/>
    <w:rsid w:val="00BC3786"/>
    <w:rsid w:val="00BC4823"/>
    <w:rsid w:val="00BC5BBF"/>
    <w:rsid w:val="00BD58CB"/>
    <w:rsid w:val="00BD75FE"/>
    <w:rsid w:val="00BF19BC"/>
    <w:rsid w:val="00C0342B"/>
    <w:rsid w:val="00C063F4"/>
    <w:rsid w:val="00C107CB"/>
    <w:rsid w:val="00C1175A"/>
    <w:rsid w:val="00C14642"/>
    <w:rsid w:val="00C16B86"/>
    <w:rsid w:val="00C23903"/>
    <w:rsid w:val="00C2569F"/>
    <w:rsid w:val="00C264FC"/>
    <w:rsid w:val="00C27348"/>
    <w:rsid w:val="00C35CDB"/>
    <w:rsid w:val="00C36C20"/>
    <w:rsid w:val="00C43E7B"/>
    <w:rsid w:val="00C57ABE"/>
    <w:rsid w:val="00C662F9"/>
    <w:rsid w:val="00C759DF"/>
    <w:rsid w:val="00C75C27"/>
    <w:rsid w:val="00C82EBD"/>
    <w:rsid w:val="00C94277"/>
    <w:rsid w:val="00C94575"/>
    <w:rsid w:val="00C974EE"/>
    <w:rsid w:val="00CA72B8"/>
    <w:rsid w:val="00CB395E"/>
    <w:rsid w:val="00CB3E4D"/>
    <w:rsid w:val="00CC0169"/>
    <w:rsid w:val="00CC096B"/>
    <w:rsid w:val="00CD3E6B"/>
    <w:rsid w:val="00CD51B1"/>
    <w:rsid w:val="00CD5CF5"/>
    <w:rsid w:val="00CD61DA"/>
    <w:rsid w:val="00CF48D0"/>
    <w:rsid w:val="00CF7CB0"/>
    <w:rsid w:val="00D07101"/>
    <w:rsid w:val="00D24B32"/>
    <w:rsid w:val="00D303E3"/>
    <w:rsid w:val="00D31C6F"/>
    <w:rsid w:val="00D32980"/>
    <w:rsid w:val="00D40CFD"/>
    <w:rsid w:val="00D608DB"/>
    <w:rsid w:val="00D60CF4"/>
    <w:rsid w:val="00D67CB6"/>
    <w:rsid w:val="00D70515"/>
    <w:rsid w:val="00D72E18"/>
    <w:rsid w:val="00D84E30"/>
    <w:rsid w:val="00D93CDE"/>
    <w:rsid w:val="00D95EBC"/>
    <w:rsid w:val="00DA2CF5"/>
    <w:rsid w:val="00DA5904"/>
    <w:rsid w:val="00DA5F81"/>
    <w:rsid w:val="00DB2173"/>
    <w:rsid w:val="00DB6B77"/>
    <w:rsid w:val="00DB6DED"/>
    <w:rsid w:val="00DC780D"/>
    <w:rsid w:val="00DD3276"/>
    <w:rsid w:val="00DD6CA6"/>
    <w:rsid w:val="00DE461F"/>
    <w:rsid w:val="00DE626D"/>
    <w:rsid w:val="00E027C6"/>
    <w:rsid w:val="00E02C59"/>
    <w:rsid w:val="00E23B5F"/>
    <w:rsid w:val="00E240A2"/>
    <w:rsid w:val="00E260EA"/>
    <w:rsid w:val="00E47E29"/>
    <w:rsid w:val="00E55CB1"/>
    <w:rsid w:val="00E80E31"/>
    <w:rsid w:val="00E83BAB"/>
    <w:rsid w:val="00E94D63"/>
    <w:rsid w:val="00E959AA"/>
    <w:rsid w:val="00E95F25"/>
    <w:rsid w:val="00E9703E"/>
    <w:rsid w:val="00E97554"/>
    <w:rsid w:val="00EA6556"/>
    <w:rsid w:val="00EB0F2D"/>
    <w:rsid w:val="00EB3876"/>
    <w:rsid w:val="00EC17DB"/>
    <w:rsid w:val="00EC1A90"/>
    <w:rsid w:val="00EC5991"/>
    <w:rsid w:val="00EC59F5"/>
    <w:rsid w:val="00EC6A69"/>
    <w:rsid w:val="00ED50A5"/>
    <w:rsid w:val="00ED736B"/>
    <w:rsid w:val="00EE09B7"/>
    <w:rsid w:val="00EE1C81"/>
    <w:rsid w:val="00EE4CF9"/>
    <w:rsid w:val="00EE7542"/>
    <w:rsid w:val="00F02480"/>
    <w:rsid w:val="00F024D4"/>
    <w:rsid w:val="00F169FF"/>
    <w:rsid w:val="00F17152"/>
    <w:rsid w:val="00F26F24"/>
    <w:rsid w:val="00F316C1"/>
    <w:rsid w:val="00F3450B"/>
    <w:rsid w:val="00F406CB"/>
    <w:rsid w:val="00F4354C"/>
    <w:rsid w:val="00F44994"/>
    <w:rsid w:val="00F46754"/>
    <w:rsid w:val="00F47061"/>
    <w:rsid w:val="00F661C7"/>
    <w:rsid w:val="00F75683"/>
    <w:rsid w:val="00F756E0"/>
    <w:rsid w:val="00F8496D"/>
    <w:rsid w:val="00F96F40"/>
    <w:rsid w:val="00FA137A"/>
    <w:rsid w:val="00FA3F1A"/>
    <w:rsid w:val="00FB6C7B"/>
    <w:rsid w:val="00FC0147"/>
    <w:rsid w:val="00FC4B19"/>
    <w:rsid w:val="00FD1E37"/>
    <w:rsid w:val="00FD25D3"/>
    <w:rsid w:val="00FE1D92"/>
    <w:rsid w:val="00FE2D47"/>
    <w:rsid w:val="00FF07AB"/>
    <w:rsid w:val="00FF08AC"/>
    <w:rsid w:val="00FF6B12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67FF81"/>
  <w15:docId w15:val="{EECE121C-C297-469F-AE7F-4F43D994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57B1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D57B1"/>
    <w:pPr>
      <w:spacing w:before="46"/>
      <w:ind w:left="18"/>
      <w:outlineLvl w:val="1"/>
    </w:pPr>
    <w:rPr>
      <w:rFonts w:ascii="Times New Roman" w:eastAsia="Times New Roman" w:hAnsi="Times New Roman"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8D57B1"/>
    <w:pPr>
      <w:ind w:left="116"/>
      <w:outlineLvl w:val="4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57B1"/>
    <w:rPr>
      <w:rFonts w:ascii="Times New Roman" w:eastAsia="Times New Roman" w:hAnsi="Times New Roman"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8D57B1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7B1"/>
    <w:pPr>
      <w:ind w:left="116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D57B1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8D57B1"/>
  </w:style>
  <w:style w:type="character" w:customStyle="1" w:styleId="Heading3Char">
    <w:name w:val="Heading 3 Char"/>
    <w:basedOn w:val="DefaultParagraphFont"/>
    <w:link w:val="Heading3"/>
    <w:uiPriority w:val="1"/>
    <w:rsid w:val="008D5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D57B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D57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7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7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57B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3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4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A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AA4"/>
    <w:pPr>
      <w:widowControl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E7AA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03801"/>
    <w:pPr>
      <w:widowControl/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3801"/>
    <w:pPr>
      <w:widowControl/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83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FC8"/>
  </w:style>
  <w:style w:type="paragraph" w:styleId="Footer">
    <w:name w:val="footer"/>
    <w:basedOn w:val="Normal"/>
    <w:link w:val="FooterChar"/>
    <w:uiPriority w:val="99"/>
    <w:unhideWhenUsed/>
    <w:rsid w:val="00883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FC8"/>
  </w:style>
  <w:style w:type="character" w:styleId="PlaceholderText">
    <w:name w:val="Placeholder Text"/>
    <w:basedOn w:val="DefaultParagraphFont"/>
    <w:uiPriority w:val="99"/>
    <w:semiHidden/>
    <w:rsid w:val="00AC7EEB"/>
    <w:rPr>
      <w:color w:val="808080"/>
    </w:rPr>
  </w:style>
  <w:style w:type="table" w:styleId="TableGrid">
    <w:name w:val="Table Grid"/>
    <w:basedOn w:val="TableNormal"/>
    <w:uiPriority w:val="39"/>
    <w:rsid w:val="0020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9FB0B-7822-4BAE-9654-62512C84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2190</Words>
  <Characters>13643</Characters>
  <Application>Microsoft Office Word</Application>
  <DocSecurity>0</DocSecurity>
  <Lines>538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Prostate - Measure Specifications</vt:lpstr>
    </vt:vector>
  </TitlesOfParts>
  <Company>Cedars-Sinai</Company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Prostate - Measure Specifications</dc:title>
  <dc:subject/>
  <dc:creator>Ksenija Kapetanovic</dc:creator>
  <cp:keywords/>
  <dc:description/>
  <cp:lastModifiedBy>Randi Kudner</cp:lastModifiedBy>
  <cp:revision>8</cp:revision>
  <cp:lastPrinted>2021-06-25T15:09:00Z</cp:lastPrinted>
  <dcterms:created xsi:type="dcterms:W3CDTF">2021-06-21T14:59:00Z</dcterms:created>
  <dcterms:modified xsi:type="dcterms:W3CDTF">2021-06-25T15:20:00Z</dcterms:modified>
</cp:coreProperties>
</file>