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A. Parámetros de simulación</w:t>
      </w:r>
    </w:p>
    <w:p>
      <w:r>
        <w:rPr>
          <w:i/>
          <w:sz w:val="20"/>
        </w:rPr>
        <w:t>Tabla: Parámetros de simulación del escenario gPTP.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c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10^8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/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\tau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p_1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/>
        </w:rPr>
        <w:t>p_4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[0, 500]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X</w:t>
      </w:r>
      <w:r>
        <w:rPr>
          <w:b w:val="0"/>
          <w:i w:val="0"/>
        </w:rPr>
        <w:t>/</w:t>
      </w:r>
      <w:r>
        <w:rPr>
          <w:b w:val="0"/>
          <w:i w:val="0"/>
        </w:rPr>
        <w:t>R</w:t>
      </w:r>
      <w:r>
        <w:rPr>
          <w:b w:val="0"/>
          <w:i w:val="0"/>
        </w:rPr>
        <w:t>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[50, 200]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>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>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pStyle w:val="Heading1"/>
      </w:pPr>
      <w:r>
        <w:t>B. Código fuente de la implementación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b</w:t>
      </w:r>
      <w:r>
        <w:rPr>
          <w:rFonts w:ascii="Courier New" w:hAnsi="Courier New"/>
          <w:b w:val="0"/>
          <w:i w:val="0"/>
        </w:rPr>
        <w:t>/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f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n</w:t>
      </w:r>
      <w:r>
        <w:rPr>
          <w:rFonts w:ascii="Courier New" w:hAnsi="Courier New"/>
          <w:b w:val="0"/>
          <w:i w:val="0"/>
        </w:rPr>
        <w:t>c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n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c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s</w:t>
      </w:r>
      <w:r>
        <w:rPr>
          <w:rFonts w:ascii="Courier New" w:hAnsi="Courier New"/>
          <w:b w:val="0"/>
          <w:i w:val="0"/>
        </w:rPr>
        <w:t>u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d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s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s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c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j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d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k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n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f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D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d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x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