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t xml:space="preserve">SaludFamilia — Plan de Avance hacia el MVP Público</w:t>
      </w:r>
    </w:p>
    <w:p>
      <w:pPr>
        <w:spacing w:after="120"/>
      </w:pPr>
      <w:r>
        <w:rPr>
          <w:i/>
          <w:iCs/>
        </w:rPr>
        <w:t xml:space="preserve">Objetivo: cubrir el 70% de las funcionalidades CORE, y ordenar el trabajo de edición de interfaz y de arquitectura futura detectado durante la verificación E2E.</w:t>
      </w:r>
    </w:p>
    <w:p>
      <w:pPr>
        <w:spacing w:after="120"/>
      </w:pPr>
      <w:r>
        <w:rPr>
          <w:i/>
          <w:iCs/>
          <w:color w:val="555555"/>
          <w:sz w:val="18"/>
          <w:szCs w:val="18"/>
        </w:rPr>
        <w:t xml:space="preserve">Actualizado el 2026-07-11 · Versión unificada (incluye plan original + hallazgos de la sesión de verificación E2E)</w:t>
      </w:r>
    </w:p>
    <w:p>
      <w:pPr>
        <w:pBdr>
          <w:bottom w:val="single" w:color="999999" w:sz="6" w:space="1"/>
        </w:pBdr>
        <w:spacing w:after="200" w:before="200"/>
      </w:pPr>
    </w:p>
    <w:p>
      <w:pPr>
        <w:pStyle w:val="Heading1"/>
        <w:spacing w:after="150" w:before="300"/>
      </w:pPr>
      <w:r>
        <w:t xml:space="preserve">Resumen</w:t>
      </w:r>
    </w:p>
    <w:p>
      <w:pPr>
        <w:spacing w:after="120"/>
      </w:pPr>
      <w:r>
        <w:t xml:space="preserve">El CRUD principal de la aplicación ya está construido y fue verificado de punta a punta en entorno local: autenticación con aislamiento por familia (RLS), pacientes, órdenes médicas con etapas, medicamentos, signos vitales, centros médicos, médicos y dashboard. Esto representa aproximadamente el 70% de las funcionalidades CORE.</w:t>
      </w:r>
    </w:p>
    <w:p>
      <w:pPr>
        <w:spacing w:after="120"/>
      </w:pPr>
      <w:r>
        <w:t xml:space="preserve">Durante la revisión posterior a la verificación E2E surgieron dos frentes nuevos de trabajo, separados del CRUD original:</w:t>
      </w:r>
    </w:p>
    <w:p>
      <w:pPr>
        <w:pStyle w:val="ListParagraph"/>
        <w:numPr>
          <w:ilvl w:val="0"/>
          <w:numId w:val="1"/>
        </w:numPr>
        <w:spacing w:after="60"/>
      </w:pPr>
      <w:r>
        <w:t xml:space="preserve">Un conjunto extenso de ajustes de interfaz y experiencia de usuario, acotados y mecánicos — candidatos a Sonnet.</w:t>
      </w:r>
    </w:p>
    <w:p>
      <w:pPr>
        <w:pStyle w:val="ListParagraph"/>
        <w:numPr>
          <w:ilvl w:val="0"/>
          <w:numId w:val="1"/>
        </w:numPr>
        <w:spacing w:after="60"/>
      </w:pPr>
      <w:r>
        <w:t xml:space="preserve">Dos piezas de arquitectura nueva (directorio público auditado y exportación/importación de pacientes entre households), que tocan RLS y esquema de datos de forma sustancial — candidatas a Fable, pendientes de diseño detallado.</w:t>
      </w:r>
    </w:p>
    <w:p>
      <w:pPr>
        <w:pBdr>
          <w:bottom w:val="single" w:color="999999" w:sz="6" w:space="1"/>
        </w:pBdr>
        <w:spacing w:after="200" w:before="200"/>
      </w:pPr>
    </w:p>
    <w:p>
      <w:pPr>
        <w:pStyle w:val="Heading1"/>
        <w:spacing w:after="150" w:before="300"/>
      </w:pPr>
      <w:r>
        <w:t xml:space="preserve">Estado de las prioridades P0 (bloqueantes de lanzamiento)</w:t>
      </w:r>
    </w:p>
    <w:p>
      <w:pPr>
        <w:spacing w:after="120"/>
      </w:pPr>
      <w:r>
        <w:t xml:space="preserve">Las tres tareas originales de P0 fueron revisadas en esta sesión. Estado actualizado:</w:t>
      </w:r>
    </w:p>
    <w:tbl>
      <w:tblPr>
        <w:tblW w:type="dxa" w:w="12000"/>
        <w:tblBorders>
          <w:top w:val="single" w:color="auto" w:sz="4"/>
          <w:left w:val="single" w:color="auto" w:sz="4"/>
          <w:bottom w:val="single" w:color="auto" w:sz="4"/>
          <w:right w:val="single" w:color="auto" w:sz="4"/>
          <w:insideH w:val="single" w:color="auto" w:sz="4"/>
          <w:insideV w:val="single" w:color="auto" w:sz="4"/>
        </w:tblBorders>
      </w:tblPr>
      <w:tblGrid>
        <w:gridCol w:w="500"/>
        <w:gridCol w:w="5200"/>
        <w:gridCol w:w="1400"/>
        <w:gridCol w:w="4900"/>
      </w:tblGrid>
      <w:tr>
        <w:tc>
          <w:tcPr>
            <w:tcW w:type="dxa" w:w="500"/>
            <w:shd w:fill="2F3B52" w:val="clear"/>
            <w:tcMar>
              <w:top w:type="dxa" w:w="80"/>
              <w:left w:type="dxa" w:w="100"/>
              <w:bottom w:type="dxa" w:w="80"/>
              <w:right w:type="dxa" w:w="100"/>
            </w:tcMar>
          </w:tcPr>
          <w:p>
            <w:r>
              <w:rPr>
                <w:b/>
                <w:bCs/>
                <w:i w:val="false"/>
                <w:iCs w:val="false"/>
                <w:color w:val="FFFFFF"/>
              </w:rPr>
              <w:t xml:space="preserve">#</w:t>
            </w:r>
          </w:p>
        </w:tc>
        <w:tc>
          <w:tcPr>
            <w:tcW w:type="dxa" w:w="5200"/>
            <w:shd w:fill="2F3B52" w:val="clear"/>
            <w:tcMar>
              <w:top w:type="dxa" w:w="80"/>
              <w:left w:type="dxa" w:w="100"/>
              <w:bottom w:type="dxa" w:w="80"/>
              <w:right w:type="dxa" w:w="100"/>
            </w:tcMar>
          </w:tcPr>
          <w:p>
            <w:r>
              <w:rPr>
                <w:b/>
                <w:bCs/>
                <w:i w:val="false"/>
                <w:iCs w:val="false"/>
                <w:color w:val="FFFFFF"/>
              </w:rPr>
              <w:t xml:space="preserve">Tarea</w:t>
            </w:r>
          </w:p>
        </w:tc>
        <w:tc>
          <w:tcPr>
            <w:tcW w:type="dxa" w:w="1400"/>
            <w:shd w:fill="2F3B52" w:val="clear"/>
            <w:tcMar>
              <w:top w:type="dxa" w:w="80"/>
              <w:left w:type="dxa" w:w="100"/>
              <w:bottom w:type="dxa" w:w="80"/>
              <w:right w:type="dxa" w:w="100"/>
            </w:tcMar>
          </w:tcPr>
          <w:p>
            <w:r>
              <w:rPr>
                <w:b/>
                <w:bCs/>
                <w:i w:val="false"/>
                <w:iCs w:val="false"/>
                <w:color w:val="FFFFFF"/>
              </w:rPr>
              <w:t xml:space="preserve">Agente</w:t>
            </w:r>
          </w:p>
        </w:tc>
        <w:tc>
          <w:tcPr>
            <w:tcW w:type="dxa" w:w="4900"/>
            <w:shd w:fill="2F3B52" w:val="clear"/>
            <w:tcMar>
              <w:top w:type="dxa" w:w="80"/>
              <w:left w:type="dxa" w:w="100"/>
              <w:bottom w:type="dxa" w:w="80"/>
              <w:right w:type="dxa" w:w="100"/>
            </w:tcMar>
          </w:tcPr>
          <w:p>
            <w:r>
              <w:rPr>
                <w:b/>
                <w:bCs/>
                <w:i w:val="false"/>
                <w:iCs w:val="false"/>
                <w:color w:val="FFFFFF"/>
              </w:rPr>
              <w:t xml:space="preserve">Estado</w:t>
            </w:r>
          </w:p>
        </w:tc>
      </w:tr>
      <w:tr>
        <w:tc>
          <w:tcPr>
            <w:tcW w:type="dxa" w:w="500"/>
            <w:tcMar>
              <w:top w:type="dxa" w:w="80"/>
              <w:left w:type="dxa" w:w="100"/>
              <w:bottom w:type="dxa" w:w="80"/>
              <w:right w:type="dxa" w:w="100"/>
            </w:tcMar>
          </w:tcPr>
          <w:p>
            <w:r>
              <w:rPr>
                <w:b w:val="false"/>
                <w:bCs w:val="false"/>
                <w:i w:val="false"/>
                <w:iCs w:val="false"/>
              </w:rPr>
              <w:t xml:space="preserve">1</w:t>
            </w:r>
          </w:p>
        </w:tc>
        <w:tc>
          <w:tcPr>
            <w:tcW w:type="dxa" w:w="5200"/>
            <w:tcMar>
              <w:top w:type="dxa" w:w="80"/>
              <w:left w:type="dxa" w:w="100"/>
              <w:bottom w:type="dxa" w:w="80"/>
              <w:right w:type="dxa" w:w="100"/>
            </w:tcMar>
          </w:tcPr>
          <w:p>
            <w:r>
              <w:rPr>
                <w:b w:val="false"/>
                <w:bCs w:val="false"/>
                <w:i w:val="false"/>
                <w:iCs w:val="false"/>
              </w:rPr>
              <w:t xml:space="preserve">Configurar VITE_SUPABASE_URL y VITE_SUPABASE_ANON_KEY en Vercel</w:t>
            </w:r>
          </w:p>
        </w:tc>
        <w:tc>
          <w:tcPr>
            <w:tcW w:type="dxa" w:w="1400"/>
            <w:tcMar>
              <w:top w:type="dxa" w:w="80"/>
              <w:left w:type="dxa" w:w="100"/>
              <w:bottom w:type="dxa" w:w="80"/>
              <w:right w:type="dxa" w:w="100"/>
            </w:tcMar>
          </w:tcPr>
          <w:p>
            <w:r>
              <w:rPr>
                <w:b w:val="false"/>
                <w:bCs w:val="false"/>
                <w:i w:val="false"/>
                <w:iCs w:val="false"/>
              </w:rPr>
              <w:t xml:space="preserve">Sonnet</w:t>
            </w:r>
          </w:p>
        </w:tc>
        <w:tc>
          <w:tcPr>
            <w:tcW w:type="dxa" w:w="4900"/>
            <w:tcMar>
              <w:top w:type="dxa" w:w="80"/>
              <w:left w:type="dxa" w:w="100"/>
              <w:bottom w:type="dxa" w:w="80"/>
              <w:right w:type="dxa" w:w="100"/>
            </w:tcMar>
          </w:tcPr>
          <w:p>
            <w:r>
              <w:rPr>
                <w:b w:val="false"/>
                <w:bCs w:val="false"/>
                <w:i w:val="false"/>
                <w:iCs w:val="false"/>
              </w:rPr>
              <w:t xml:space="preserve">✅ Completada. Variables cargadas en Production; redeploy confirmado; error de credenciales faltantes ya no aparece.</w:t>
            </w:r>
          </w:p>
        </w:tc>
      </w:tr>
      <w:tr>
        <w:tc>
          <w:tcPr>
            <w:tcW w:type="dxa" w:w="500"/>
            <w:shd w:fill="F2F4F7" w:val="clear"/>
            <w:tcMar>
              <w:top w:type="dxa" w:w="80"/>
              <w:left w:type="dxa" w:w="100"/>
              <w:bottom w:type="dxa" w:w="80"/>
              <w:right w:type="dxa" w:w="100"/>
            </w:tcMar>
          </w:tcPr>
          <w:p>
            <w:r>
              <w:rPr>
                <w:b w:val="false"/>
                <w:bCs w:val="false"/>
                <w:i w:val="false"/>
                <w:iCs w:val="false"/>
              </w:rPr>
              <w:t xml:space="preserve">2</w:t>
            </w:r>
          </w:p>
        </w:tc>
        <w:tc>
          <w:tcPr>
            <w:tcW w:type="dxa" w:w="5200"/>
            <w:shd w:fill="F2F4F7" w:val="clear"/>
            <w:tcMar>
              <w:top w:type="dxa" w:w="80"/>
              <w:left w:type="dxa" w:w="100"/>
              <w:bottom w:type="dxa" w:w="80"/>
              <w:right w:type="dxa" w:w="100"/>
            </w:tcMar>
          </w:tcPr>
          <w:p>
            <w:r>
              <w:rPr>
                <w:b w:val="false"/>
                <w:bCs w:val="false"/>
                <w:i w:val="false"/>
                <w:iCs w:val="false"/>
              </w:rPr>
              <w:t xml:space="preserve">Desactivar Deployment Protection en Vercel</w:t>
            </w:r>
          </w:p>
        </w:tc>
        <w:tc>
          <w:tcPr>
            <w:tcW w:type="dxa" w:w="1400"/>
            <w:shd w:fill="F2F4F7" w:val="clear"/>
            <w:tcMar>
              <w:top w:type="dxa" w:w="80"/>
              <w:left w:type="dxa" w:w="100"/>
              <w:bottom w:type="dxa" w:w="80"/>
              <w:right w:type="dxa" w:w="100"/>
            </w:tcMar>
          </w:tcPr>
          <w:p>
            <w:r>
              <w:rPr>
                <w:b w:val="false"/>
                <w:bCs w:val="false"/>
                <w:i w:val="false"/>
                <w:iCs w:val="false"/>
              </w:rPr>
              <w:t xml:space="preserve">Sonnet</w:t>
            </w:r>
          </w:p>
        </w:tc>
        <w:tc>
          <w:tcPr>
            <w:tcW w:type="dxa" w:w="4900"/>
            <w:shd w:fill="F2F4F7" w:val="clear"/>
            <w:tcMar>
              <w:top w:type="dxa" w:w="80"/>
              <w:left w:type="dxa" w:w="100"/>
              <w:bottom w:type="dxa" w:w="80"/>
              <w:right w:type="dxa" w:w="100"/>
            </w:tcMar>
          </w:tcPr>
          <w:p>
            <w:r>
              <w:rPr>
                <w:b w:val="false"/>
                <w:bCs w:val="false"/>
                <w:i w:val="false"/>
                <w:iCs w:val="false"/>
              </w:rPr>
              <w:t xml:space="preserve">✅ Completada. Confirmado en ventana in-private: el sitio ya no redirige a un login de Vercel.</w:t>
            </w:r>
          </w:p>
        </w:tc>
      </w:tr>
      <w:tr>
        <w:tc>
          <w:tcPr>
            <w:tcW w:type="dxa" w:w="500"/>
            <w:tcMar>
              <w:top w:type="dxa" w:w="80"/>
              <w:left w:type="dxa" w:w="100"/>
              <w:bottom w:type="dxa" w:w="80"/>
              <w:right w:type="dxa" w:w="100"/>
            </w:tcMar>
          </w:tcPr>
          <w:p>
            <w:r>
              <w:rPr>
                <w:b w:val="false"/>
                <w:bCs w:val="false"/>
                <w:i w:val="false"/>
                <w:iCs w:val="false"/>
              </w:rPr>
              <w:t xml:space="preserve">3</w:t>
            </w:r>
          </w:p>
        </w:tc>
        <w:tc>
          <w:tcPr>
            <w:tcW w:type="dxa" w:w="5200"/>
            <w:tcMar>
              <w:top w:type="dxa" w:w="80"/>
              <w:left w:type="dxa" w:w="100"/>
              <w:bottom w:type="dxa" w:w="80"/>
              <w:right w:type="dxa" w:w="100"/>
            </w:tcMar>
          </w:tcPr>
          <w:p>
            <w:r>
              <w:rPr>
                <w:b w:val="false"/>
                <w:bCs w:val="false"/>
                <w:i w:val="false"/>
                <w:iCs w:val="false"/>
              </w:rPr>
              <w:t xml:space="preserve">Verificación E2E en producción (signup → paciente → orden → medicamentos → vitales)</w:t>
            </w:r>
          </w:p>
        </w:tc>
        <w:tc>
          <w:tcPr>
            <w:tcW w:type="dxa" w:w="1400"/>
            <w:tcMar>
              <w:top w:type="dxa" w:w="80"/>
              <w:left w:type="dxa" w:w="100"/>
              <w:bottom w:type="dxa" w:w="80"/>
              <w:right w:type="dxa" w:w="100"/>
            </w:tcMar>
          </w:tcPr>
          <w:p>
            <w:r>
              <w:rPr>
                <w:b w:val="false"/>
                <w:bCs w:val="false"/>
                <w:i w:val="false"/>
                <w:iCs w:val="false"/>
              </w:rPr>
              <w:t xml:space="preserve">Opus</w:t>
            </w:r>
          </w:p>
        </w:tc>
        <w:tc>
          <w:tcPr>
            <w:tcW w:type="dxa" w:w="4900"/>
            <w:tcMar>
              <w:top w:type="dxa" w:w="80"/>
              <w:left w:type="dxa" w:w="100"/>
              <w:bottom w:type="dxa" w:w="80"/>
              <w:right w:type="dxa" w:w="100"/>
            </w:tcMar>
          </w:tcPr>
          <w:p>
            <w:r>
              <w:rPr>
                <w:b w:val="false"/>
                <w:bCs w:val="false"/>
                <w:i w:val="false"/>
                <w:iCs w:val="false"/>
              </w:rPr>
              <w:t xml:space="preserve">❌ Pendiente. Solo se hicieron pruebas exploratorias que derivaron en la corrección de dos bugs (ver abajo). El checklist completo de E2E, ya validado en local, no se repitió aún contra el sitio público.</w:t>
            </w:r>
          </w:p>
        </w:tc>
      </w:tr>
    </w:tbl>
    <w:p>
      <w:pPr>
        <w:pStyle w:val="Heading2"/>
        <w:spacing w:after="120" w:before="240"/>
      </w:pPr>
      <w:r>
        <w:t xml:space="preserve">Bugs encontrados y corregidos durante esta sesión (fuera del alcance original de P0, pero bloqueantes en la práctica)</w:t>
      </w:r>
    </w:p>
    <w:tbl>
      <w:tblPr>
        <w:tblW w:type="dxa" w:w="12000"/>
        <w:tblBorders>
          <w:top w:val="single" w:color="auto" w:sz="4"/>
          <w:left w:val="single" w:color="auto" w:sz="4"/>
          <w:bottom w:val="single" w:color="auto" w:sz="4"/>
          <w:right w:val="single" w:color="auto" w:sz="4"/>
          <w:insideH w:val="single" w:color="auto" w:sz="4"/>
          <w:insideV w:val="single" w:color="auto" w:sz="4"/>
        </w:tblBorders>
      </w:tblPr>
      <w:tblGrid>
        <w:gridCol w:w="3600"/>
        <w:gridCol w:w="4400"/>
        <w:gridCol w:w="4000"/>
      </w:tblGrid>
      <w:tr>
        <w:tc>
          <w:tcPr>
            <w:tcW w:type="dxa" w:w="3600"/>
            <w:shd w:fill="2F3B52" w:val="clear"/>
            <w:tcMar>
              <w:top w:type="dxa" w:w="80"/>
              <w:left w:type="dxa" w:w="100"/>
              <w:bottom w:type="dxa" w:w="80"/>
              <w:right w:type="dxa" w:w="100"/>
            </w:tcMar>
          </w:tcPr>
          <w:p>
            <w:r>
              <w:rPr>
                <w:b/>
                <w:bCs/>
                <w:i w:val="false"/>
                <w:iCs w:val="false"/>
                <w:color w:val="FFFFFF"/>
              </w:rPr>
              <w:t xml:space="preserve">Bug</w:t>
            </w:r>
          </w:p>
        </w:tc>
        <w:tc>
          <w:tcPr>
            <w:tcW w:type="dxa" w:w="4400"/>
            <w:shd w:fill="2F3B52" w:val="clear"/>
            <w:tcMar>
              <w:top w:type="dxa" w:w="80"/>
              <w:left w:type="dxa" w:w="100"/>
              <w:bottom w:type="dxa" w:w="80"/>
              <w:right w:type="dxa" w:w="100"/>
            </w:tcMar>
          </w:tcPr>
          <w:p>
            <w:r>
              <w:rPr>
                <w:b/>
                <w:bCs/>
                <w:i w:val="false"/>
                <w:iCs w:val="false"/>
                <w:color w:val="FFFFFF"/>
              </w:rPr>
              <w:t xml:space="preserve">Causa raíz</w:t>
            </w:r>
          </w:p>
        </w:tc>
        <w:tc>
          <w:tcPr>
            <w:tcW w:type="dxa" w:w="4000"/>
            <w:shd w:fill="2F3B52" w:val="clear"/>
            <w:tcMar>
              <w:top w:type="dxa" w:w="80"/>
              <w:left w:type="dxa" w:w="100"/>
              <w:bottom w:type="dxa" w:w="80"/>
              <w:right w:type="dxa" w:w="100"/>
            </w:tcMar>
          </w:tcPr>
          <w:p>
            <w:r>
              <w:rPr>
                <w:b/>
                <w:bCs/>
                <w:i w:val="false"/>
                <w:iCs w:val="false"/>
                <w:color w:val="FFFFFF"/>
              </w:rPr>
              <w:t xml:space="preserve">Resolución</w:t>
            </w:r>
          </w:p>
        </w:tc>
      </w:tr>
      <w:tr>
        <w:tc>
          <w:tcPr>
            <w:tcW w:type="dxa" w:w="3600"/>
            <w:tcMar>
              <w:top w:type="dxa" w:w="80"/>
              <w:left w:type="dxa" w:w="100"/>
              <w:bottom w:type="dxa" w:w="80"/>
              <w:right w:type="dxa" w:w="100"/>
            </w:tcMar>
          </w:tcPr>
          <w:p>
            <w:r>
              <w:rPr>
                <w:b w:val="false"/>
                <w:bCs w:val="false"/>
                <w:i w:val="false"/>
                <w:iCs w:val="false"/>
              </w:rPr>
              <w:t xml:space="preserve">403 al crear el primer household de un usuario nuevo (bloqueaba todo uso de la app tras signup)</w:t>
            </w:r>
          </w:p>
        </w:tc>
        <w:tc>
          <w:tcPr>
            <w:tcW w:type="dxa" w:w="4400"/>
            <w:tcMar>
              <w:top w:type="dxa" w:w="80"/>
              <w:left w:type="dxa" w:w="100"/>
              <w:bottom w:type="dxa" w:w="80"/>
              <w:right w:type="dxa" w:w="100"/>
            </w:tcMar>
          </w:tcPr>
          <w:p>
            <w:r>
              <w:rPr>
                <w:b w:val="false"/>
                <w:bCs w:val="false"/>
                <w:i w:val="false"/>
                <w:iCs w:val="false"/>
              </w:rPr>
              <w:t xml:space="preserve">La política RLS de SELECT en 'households' dependía únicamente de is_household_member(), una función STABLE que no ve la membership creada por el trigger on_household_created dentro de la misma sentencia INSERT ... RETURNING.</w:t>
            </w:r>
          </w:p>
        </w:tc>
        <w:tc>
          <w:tcPr>
            <w:tcW w:type="dxa" w:w="4000"/>
            <w:tcMar>
              <w:top w:type="dxa" w:w="80"/>
              <w:left w:type="dxa" w:w="100"/>
              <w:bottom w:type="dxa" w:w="80"/>
              <w:right w:type="dxa" w:w="100"/>
            </w:tcMar>
          </w:tcPr>
          <w:p>
            <w:r>
              <w:rPr>
                <w:b w:val="false"/>
                <w:bCs w:val="false"/>
                <w:i w:val="false"/>
                <w:iCs w:val="false"/>
              </w:rPr>
              <w:t xml:space="preserve">Migración 0004_fix_households_select_rls: se agregó '(select auth.uid()) = created_by' como condición adicional de la política. Verificado con reproducción exacta del error antes/después del fix.</w:t>
            </w:r>
          </w:p>
        </w:tc>
      </w:tr>
      <w:tr>
        <w:tc>
          <w:tcPr>
            <w:tcW w:type="dxa" w:w="3600"/>
            <w:shd w:fill="F2F4F7" w:val="clear"/>
            <w:tcMar>
              <w:top w:type="dxa" w:w="80"/>
              <w:left w:type="dxa" w:w="100"/>
              <w:bottom w:type="dxa" w:w="80"/>
              <w:right w:type="dxa" w:w="100"/>
            </w:tcMar>
          </w:tcPr>
          <w:p>
            <w:r>
              <w:rPr>
                <w:b w:val="false"/>
                <w:bCs w:val="false"/>
                <w:i w:val="false"/>
                <w:iCs w:val="false"/>
              </w:rPr>
              <w:t xml:space="preserve">500 en /auth/v1/signup por doble envío del formulario</w:t>
            </w:r>
          </w:p>
        </w:tc>
        <w:tc>
          <w:tcPr>
            <w:tcW w:type="dxa" w:w="4400"/>
            <w:shd w:fill="F2F4F7" w:val="clear"/>
            <w:tcMar>
              <w:top w:type="dxa" w:w="80"/>
              <w:left w:type="dxa" w:w="100"/>
              <w:bottom w:type="dxa" w:w="80"/>
              <w:right w:type="dxa" w:w="100"/>
            </w:tcMar>
          </w:tcPr>
          <w:p>
            <w:r>
              <w:rPr>
                <w:b w:val="false"/>
                <w:bCs w:val="false"/>
                <w:i w:val="false"/>
                <w:iCs w:val="false"/>
              </w:rPr>
              <w:t xml:space="preserve">El botón de submit no se deshabilitaba durante la request en curso, permitiendo un segundo signUp() concurrente con el mismo correo (duplicate key en users_email_partial_key).</w:t>
            </w:r>
          </w:p>
        </w:tc>
        <w:tc>
          <w:tcPr>
            <w:tcW w:type="dxa" w:w="4000"/>
            <w:shd w:fill="F2F4F7" w:val="clear"/>
            <w:tcMar>
              <w:top w:type="dxa" w:w="80"/>
              <w:left w:type="dxa" w:w="100"/>
              <w:bottom w:type="dxa" w:w="80"/>
              <w:right w:type="dxa" w:w="100"/>
            </w:tcMar>
          </w:tcPr>
          <w:p>
            <w:r>
              <w:rPr>
                <w:b w:val="false"/>
                <w:bCs w:val="false"/>
                <w:i w:val="false"/>
                <w:iCs w:val="false"/>
              </w:rPr>
              <w:t xml:space="preserve">Se agregó un guard (submitBtn.disabled) en el listener de submit de main.js. Commit 78a7081.</w:t>
            </w:r>
          </w:p>
        </w:tc>
      </w:tr>
    </w:tbl>
    <w:p>
      <w:pPr>
        <w:pStyle w:val="Heading2"/>
        <w:spacing w:after="120" w:before="240"/>
      </w:pPr>
      <w:r>
        <w:t xml:space="preserve">Mejoras de mensajería de autenticación implementadas en esta sesión</w:t>
      </w:r>
    </w:p>
    <w:p>
      <w:pPr>
        <w:spacing w:after="120"/>
      </w:pPr>
      <w:r>
        <w:t xml:space="preserve">Aprobadas y ya desplegadas (commit 2d7c9681, con corrección posterior 7a015e4 por un listener perdido en el primer patch):</w:t>
      </w:r>
    </w:p>
    <w:p>
      <w:pPr>
        <w:pStyle w:val="ListParagraph"/>
        <w:numPr>
          <w:ilvl w:val="0"/>
          <w:numId w:val="1"/>
        </w:numPr>
        <w:spacing w:after="60"/>
      </w:pPr>
      <w:r>
        <w:t xml:space="preserve">Mensaje de confirmación al crear cuenta, indicando que debe revisar su correo.</w:t>
      </w:r>
    </w:p>
    <w:p>
      <w:pPr>
        <w:pStyle w:val="ListParagraph"/>
        <w:numPr>
          <w:ilvl w:val="0"/>
          <w:numId w:val="1"/>
        </w:numPr>
        <w:spacing w:after="60"/>
      </w:pPr>
      <w:r>
        <w:t xml:space="preserve">Mensaje de error de login más útil, sin distinguir explícitamente 'contraseña incorrecta' de 'correo no confirmado' — decisión deliberada para no habilitar enumeración de cuentas registradas.</w:t>
      </w:r>
    </w:p>
    <w:p>
      <w:pPr>
        <w:pStyle w:val="ListParagraph"/>
        <w:numPr>
          <w:ilvl w:val="0"/>
          <w:numId w:val="1"/>
        </w:numPr>
        <w:spacing w:after="60"/>
      </w:pPr>
      <w:r>
        <w:t xml:space="preserve">Se decidió NO advertir explícitamente si un correo ya tiene cuenta al intentar crear una nueva, por el mismo motivo de seguridad (evitar que un visitante no autenticado pueda sondear qué correos están registrados en una app de datos médicos).</w:t>
      </w:r>
    </w:p>
    <w:p>
      <w:pPr>
        <w:pBdr>
          <w:bottom w:val="single" w:color="999999" w:sz="6" w:space="1"/>
        </w:pBdr>
        <w:spacing w:after="200" w:before="200"/>
      </w:pPr>
    </w:p>
    <w:p>
      <w:pPr>
        <w:pStyle w:val="Heading1"/>
        <w:spacing w:after="150" w:before="300"/>
      </w:pPr>
      <w:r>
        <w:t xml:space="preserve">Prioridad P1 — Core faltante (sin cambios respecto al plan original)</w:t>
      </w:r>
    </w:p>
    <w:tbl>
      <w:tblPr>
        <w:tblW w:type="dxa" w:w="12000"/>
        <w:tblBorders>
          <w:top w:val="single" w:color="auto" w:sz="4"/>
          <w:left w:val="single" w:color="auto" w:sz="4"/>
          <w:bottom w:val="single" w:color="auto" w:sz="4"/>
          <w:right w:val="single" w:color="auto" w:sz="4"/>
          <w:insideH w:val="single" w:color="auto" w:sz="4"/>
          <w:insideV w:val="single" w:color="auto" w:sz="4"/>
        </w:tblBorders>
      </w:tblPr>
      <w:tblGrid>
        <w:gridCol w:w="500"/>
        <w:gridCol w:w="4200"/>
        <w:gridCol w:w="1400"/>
        <w:gridCol w:w="5900"/>
      </w:tblGrid>
      <w:tr>
        <w:tc>
          <w:tcPr>
            <w:tcW w:type="dxa" w:w="500"/>
            <w:shd w:fill="2F3B52" w:val="clear"/>
            <w:tcMar>
              <w:top w:type="dxa" w:w="80"/>
              <w:left w:type="dxa" w:w="100"/>
              <w:bottom w:type="dxa" w:w="80"/>
              <w:right w:type="dxa" w:w="100"/>
            </w:tcMar>
          </w:tcPr>
          <w:p>
            <w:r>
              <w:rPr>
                <w:b/>
                <w:bCs/>
                <w:i w:val="false"/>
                <w:iCs w:val="false"/>
                <w:color w:val="FFFFFF"/>
              </w:rPr>
              <w:t xml:space="preserve">#</w:t>
            </w:r>
          </w:p>
        </w:tc>
        <w:tc>
          <w:tcPr>
            <w:tcW w:type="dxa" w:w="4200"/>
            <w:shd w:fill="2F3B52" w:val="clear"/>
            <w:tcMar>
              <w:top w:type="dxa" w:w="80"/>
              <w:left w:type="dxa" w:w="100"/>
              <w:bottom w:type="dxa" w:w="80"/>
              <w:right w:type="dxa" w:w="100"/>
            </w:tcMar>
          </w:tcPr>
          <w:p>
            <w:r>
              <w:rPr>
                <w:b/>
                <w:bCs/>
                <w:i w:val="false"/>
                <w:iCs w:val="false"/>
                <w:color w:val="FFFFFF"/>
              </w:rPr>
              <w:t xml:space="preserve">Tarea</w:t>
            </w:r>
          </w:p>
        </w:tc>
        <w:tc>
          <w:tcPr>
            <w:tcW w:type="dxa" w:w="1400"/>
            <w:shd w:fill="2F3B52" w:val="clear"/>
            <w:tcMar>
              <w:top w:type="dxa" w:w="80"/>
              <w:left w:type="dxa" w:w="100"/>
              <w:bottom w:type="dxa" w:w="80"/>
              <w:right w:type="dxa" w:w="100"/>
            </w:tcMar>
          </w:tcPr>
          <w:p>
            <w:r>
              <w:rPr>
                <w:b/>
                <w:bCs/>
                <w:i w:val="false"/>
                <w:iCs w:val="false"/>
                <w:color w:val="FFFFFF"/>
              </w:rPr>
              <w:t xml:space="preserve">Agente</w:t>
            </w:r>
          </w:p>
        </w:tc>
        <w:tc>
          <w:tcPr>
            <w:tcW w:type="dxa" w:w="5900"/>
            <w:shd w:fill="2F3B52" w:val="clear"/>
            <w:tcMar>
              <w:top w:type="dxa" w:w="80"/>
              <w:left w:type="dxa" w:w="100"/>
              <w:bottom w:type="dxa" w:w="80"/>
              <w:right w:type="dxa" w:w="100"/>
            </w:tcMar>
          </w:tcPr>
          <w:p>
            <w:r>
              <w:rPr>
                <w:b/>
                <w:bCs/>
                <w:i w:val="false"/>
                <w:iCs w:val="false"/>
                <w:color w:val="FFFFFF"/>
              </w:rPr>
              <w:t xml:space="preserve">Por qué ese agente</w:t>
            </w:r>
          </w:p>
        </w:tc>
      </w:tr>
      <w:tr>
        <w:tc>
          <w:tcPr>
            <w:tcW w:type="dxa" w:w="500"/>
            <w:tcMar>
              <w:top w:type="dxa" w:w="80"/>
              <w:left w:type="dxa" w:w="100"/>
              <w:bottom w:type="dxa" w:w="80"/>
              <w:right w:type="dxa" w:w="100"/>
            </w:tcMar>
          </w:tcPr>
          <w:p>
            <w:r>
              <w:rPr>
                <w:b w:val="false"/>
                <w:bCs w:val="false"/>
                <w:i w:val="false"/>
                <w:iCs w:val="false"/>
              </w:rPr>
              <w:t xml:space="preserve">4</w:t>
            </w:r>
          </w:p>
        </w:tc>
        <w:tc>
          <w:tcPr>
            <w:tcW w:type="dxa" w:w="4200"/>
            <w:tcMar>
              <w:top w:type="dxa" w:w="80"/>
              <w:left w:type="dxa" w:w="100"/>
              <w:bottom w:type="dxa" w:w="80"/>
              <w:right w:type="dxa" w:w="100"/>
            </w:tcMar>
          </w:tcPr>
          <w:p>
            <w:r>
              <w:rPr>
                <w:b w:val="false"/>
                <w:bCs w:val="false"/>
                <w:i w:val="false"/>
                <w:iCs w:val="false"/>
              </w:rPr>
              <w:t xml:space="preserve">Recuperación de contraseña</w:t>
            </w:r>
          </w:p>
        </w:tc>
        <w:tc>
          <w:tcPr>
            <w:tcW w:type="dxa" w:w="1400"/>
            <w:tcMar>
              <w:top w:type="dxa" w:w="80"/>
              <w:left w:type="dxa" w:w="100"/>
              <w:bottom w:type="dxa" w:w="80"/>
              <w:right w:type="dxa" w:w="100"/>
            </w:tcMar>
          </w:tcPr>
          <w:p>
            <w:r>
              <w:rPr>
                <w:b w:val="false"/>
                <w:bCs w:val="false"/>
                <w:i w:val="false"/>
                <w:iCs w:val="false"/>
              </w:rPr>
              <w:t xml:space="preserve">Opus</w:t>
            </w:r>
          </w:p>
        </w:tc>
        <w:tc>
          <w:tcPr>
            <w:tcW w:type="dxa" w:w="5900"/>
            <w:tcMar>
              <w:top w:type="dxa" w:w="80"/>
              <w:left w:type="dxa" w:w="100"/>
              <w:bottom w:type="dxa" w:w="80"/>
              <w:right w:type="dxa" w:w="100"/>
            </w:tcMar>
          </w:tcPr>
          <w:p>
            <w:r>
              <w:rPr>
                <w:b w:val="false"/>
                <w:bCs w:val="false"/>
                <w:i w:val="false"/>
                <w:iCs w:val="false"/>
              </w:rPr>
              <w:t xml:space="preserve">Diseño conversado a alto nivel en esta sesión (evento PASSWORD_RECOVERY, nuevo estado de pantalla, redirect URLs en Supabase). Flujo de auth con estados y redirects entre varias vistas — no implementado aún.</w:t>
            </w:r>
          </w:p>
        </w:tc>
      </w:tr>
      <w:tr>
        <w:tc>
          <w:tcPr>
            <w:tcW w:type="dxa" w:w="500"/>
            <w:shd w:fill="F2F4F7" w:val="clear"/>
            <w:tcMar>
              <w:top w:type="dxa" w:w="80"/>
              <w:left w:type="dxa" w:w="100"/>
              <w:bottom w:type="dxa" w:w="80"/>
              <w:right w:type="dxa" w:w="100"/>
            </w:tcMar>
          </w:tcPr>
          <w:p>
            <w:r>
              <w:rPr>
                <w:b w:val="false"/>
                <w:bCs w:val="false"/>
                <w:i w:val="false"/>
                <w:iCs w:val="false"/>
              </w:rPr>
              <w:t xml:space="preserve">5</w:t>
            </w:r>
          </w:p>
        </w:tc>
        <w:tc>
          <w:tcPr>
            <w:tcW w:type="dxa" w:w="4200"/>
            <w:shd w:fill="F2F4F7" w:val="clear"/>
            <w:tcMar>
              <w:top w:type="dxa" w:w="80"/>
              <w:left w:type="dxa" w:w="100"/>
              <w:bottom w:type="dxa" w:w="80"/>
              <w:right w:type="dxa" w:w="100"/>
            </w:tcMar>
          </w:tcPr>
          <w:p>
            <w:r>
              <w:rPr>
                <w:b w:val="false"/>
                <w:bCs w:val="false"/>
                <w:i w:val="false"/>
                <w:iCs w:val="false"/>
              </w:rPr>
              <w:t xml:space="preserve">UX de confirmación de email en signup</w:t>
            </w:r>
          </w:p>
        </w:tc>
        <w:tc>
          <w:tcPr>
            <w:tcW w:type="dxa" w:w="1400"/>
            <w:shd w:fill="F2F4F7" w:val="clear"/>
            <w:tcMar>
              <w:top w:type="dxa" w:w="80"/>
              <w:left w:type="dxa" w:w="100"/>
              <w:bottom w:type="dxa" w:w="80"/>
              <w:right w:type="dxa" w:w="100"/>
            </w:tcMar>
          </w:tcPr>
          <w:p>
            <w:r>
              <w:rPr>
                <w:b w:val="false"/>
                <w:bCs w:val="false"/>
                <w:i w:val="false"/>
                <w:iCs w:val="false"/>
              </w:rPr>
              <w:t xml:space="preserve">Sonnet</w:t>
            </w:r>
          </w:p>
        </w:tc>
        <w:tc>
          <w:tcPr>
            <w:tcW w:type="dxa" w:w="5900"/>
            <w:shd w:fill="F2F4F7" w:val="clear"/>
            <w:tcMar>
              <w:top w:type="dxa" w:w="80"/>
              <w:left w:type="dxa" w:w="100"/>
              <w:bottom w:type="dxa" w:w="80"/>
              <w:right w:type="dxa" w:w="100"/>
            </w:tcMar>
          </w:tcPr>
          <w:p>
            <w:r>
              <w:rPr>
                <w:b w:val="false"/>
                <w:bCs w:val="false"/>
                <w:i w:val="false"/>
                <w:iCs w:val="false"/>
              </w:rPr>
              <w:t xml:space="preserve">✅ Ya cubierta como parte de las mejoras de mensajería de esta sesión.</w:t>
            </w:r>
          </w:p>
        </w:tc>
      </w:tr>
      <w:tr>
        <w:tc>
          <w:tcPr>
            <w:tcW w:type="dxa" w:w="500"/>
            <w:tcMar>
              <w:top w:type="dxa" w:w="80"/>
              <w:left w:type="dxa" w:w="100"/>
              <w:bottom w:type="dxa" w:w="80"/>
              <w:right w:type="dxa" w:w="100"/>
            </w:tcMar>
          </w:tcPr>
          <w:p>
            <w:r>
              <w:rPr>
                <w:b w:val="false"/>
                <w:bCs w:val="false"/>
                <w:i w:val="false"/>
                <w:iCs w:val="false"/>
              </w:rPr>
              <w:t xml:space="preserve">6</w:t>
            </w:r>
          </w:p>
        </w:tc>
        <w:tc>
          <w:tcPr>
            <w:tcW w:type="dxa" w:w="4200"/>
            <w:tcMar>
              <w:top w:type="dxa" w:w="80"/>
              <w:left w:type="dxa" w:w="100"/>
              <w:bottom w:type="dxa" w:w="80"/>
              <w:right w:type="dxa" w:w="100"/>
            </w:tcMar>
          </w:tcPr>
          <w:p>
            <w:r>
              <w:rPr>
                <w:b w:val="false"/>
                <w:bCs w:val="false"/>
                <w:i w:val="false"/>
                <w:iCs w:val="false"/>
              </w:rPr>
              <w:t xml:space="preserve">Invitar miembros al household (multiusuario real)</w:t>
            </w:r>
          </w:p>
        </w:tc>
        <w:tc>
          <w:tcPr>
            <w:tcW w:type="dxa" w:w="1400"/>
            <w:tcMar>
              <w:top w:type="dxa" w:w="80"/>
              <w:left w:type="dxa" w:w="100"/>
              <w:bottom w:type="dxa" w:w="80"/>
              <w:right w:type="dxa" w:w="100"/>
            </w:tcMar>
          </w:tcPr>
          <w:p>
            <w:r>
              <w:rPr>
                <w:b w:val="false"/>
                <w:bCs w:val="false"/>
                <w:i w:val="false"/>
                <w:iCs w:val="false"/>
              </w:rPr>
              <w:t xml:space="preserve">Fable</w:t>
            </w:r>
          </w:p>
        </w:tc>
        <w:tc>
          <w:tcPr>
            <w:tcW w:type="dxa" w:w="5900"/>
            <w:tcMar>
              <w:top w:type="dxa" w:w="80"/>
              <w:left w:type="dxa" w:w="100"/>
              <w:bottom w:type="dxa" w:w="80"/>
              <w:right w:type="dxa" w:w="100"/>
            </w:tcMar>
          </w:tcPr>
          <w:p>
            <w:r>
              <w:rPr>
                <w:b w:val="false"/>
                <w:bCs w:val="false"/>
                <w:i w:val="false"/>
                <w:iCs w:val="false"/>
              </w:rPr>
              <w:t xml:space="preserve">Toca RLS y modelo de invitaciones.</w:t>
            </w:r>
          </w:p>
        </w:tc>
      </w:tr>
      <w:tr>
        <w:tc>
          <w:tcPr>
            <w:tcW w:type="dxa" w:w="500"/>
            <w:shd w:fill="F2F4F7" w:val="clear"/>
            <w:tcMar>
              <w:top w:type="dxa" w:w="80"/>
              <w:left w:type="dxa" w:w="100"/>
              <w:bottom w:type="dxa" w:w="80"/>
              <w:right w:type="dxa" w:w="100"/>
            </w:tcMar>
          </w:tcPr>
          <w:p>
            <w:r>
              <w:rPr>
                <w:b w:val="false"/>
                <w:bCs w:val="false"/>
                <w:i w:val="false"/>
                <w:iCs w:val="false"/>
              </w:rPr>
              <w:t xml:space="preserve">7</w:t>
            </w:r>
          </w:p>
        </w:tc>
        <w:tc>
          <w:tcPr>
            <w:tcW w:type="dxa" w:w="4200"/>
            <w:shd w:fill="F2F4F7" w:val="clear"/>
            <w:tcMar>
              <w:top w:type="dxa" w:w="80"/>
              <w:left w:type="dxa" w:w="100"/>
              <w:bottom w:type="dxa" w:w="80"/>
              <w:right w:type="dxa" w:w="100"/>
            </w:tcMar>
          </w:tcPr>
          <w:p>
            <w:r>
              <w:rPr>
                <w:b w:val="false"/>
                <w:bCs w:val="false"/>
                <w:i w:val="false"/>
                <w:iCs w:val="false"/>
              </w:rPr>
              <w:t xml:space="preserve">Migrar adjuntos de base64/jsonb a Supabase Storage</w:t>
            </w:r>
          </w:p>
        </w:tc>
        <w:tc>
          <w:tcPr>
            <w:tcW w:type="dxa" w:w="1400"/>
            <w:shd w:fill="F2F4F7" w:val="clear"/>
            <w:tcMar>
              <w:top w:type="dxa" w:w="80"/>
              <w:left w:type="dxa" w:w="100"/>
              <w:bottom w:type="dxa" w:w="80"/>
              <w:right w:type="dxa" w:w="100"/>
            </w:tcMar>
          </w:tcPr>
          <w:p>
            <w:r>
              <w:rPr>
                <w:b w:val="false"/>
                <w:bCs w:val="false"/>
                <w:i w:val="false"/>
                <w:iCs w:val="false"/>
              </w:rPr>
              <w:t xml:space="preserve">Fable</w:t>
            </w:r>
          </w:p>
        </w:tc>
        <w:tc>
          <w:tcPr>
            <w:tcW w:type="dxa" w:w="5900"/>
            <w:shd w:fill="F2F4F7" w:val="clear"/>
            <w:tcMar>
              <w:top w:type="dxa" w:w="80"/>
              <w:left w:type="dxa" w:w="100"/>
              <w:bottom w:type="dxa" w:w="80"/>
              <w:right w:type="dxa" w:w="100"/>
            </w:tcMar>
          </w:tcPr>
          <w:p>
            <w:r>
              <w:rPr>
                <w:b w:val="false"/>
                <w:bCs w:val="false"/>
                <w:i w:val="false"/>
                <w:iCs w:val="false"/>
              </w:rPr>
              <w:t xml:space="preserve">Migración de datos existentes + políticas de Storage por household. Diseño conversado en esta sesión, pendiente de ejecución.</w:t>
            </w:r>
          </w:p>
        </w:tc>
      </w:tr>
      <w:tr>
        <w:tc>
          <w:tcPr>
            <w:tcW w:type="dxa" w:w="500"/>
            <w:tcMar>
              <w:top w:type="dxa" w:w="80"/>
              <w:left w:type="dxa" w:w="100"/>
              <w:bottom w:type="dxa" w:w="80"/>
              <w:right w:type="dxa" w:w="100"/>
            </w:tcMar>
          </w:tcPr>
          <w:p>
            <w:r>
              <w:rPr>
                <w:b w:val="false"/>
                <w:bCs w:val="false"/>
                <w:i w:val="false"/>
                <w:iCs w:val="false"/>
              </w:rPr>
              <w:t xml:space="preserve">8</w:t>
            </w:r>
          </w:p>
        </w:tc>
        <w:tc>
          <w:tcPr>
            <w:tcW w:type="dxa" w:w="4200"/>
            <w:tcMar>
              <w:top w:type="dxa" w:w="80"/>
              <w:left w:type="dxa" w:w="100"/>
              <w:bottom w:type="dxa" w:w="80"/>
              <w:right w:type="dxa" w:w="100"/>
            </w:tcMar>
          </w:tcPr>
          <w:p>
            <w:r>
              <w:rPr>
                <w:b w:val="false"/>
                <w:bCs w:val="false"/>
                <w:i w:val="false"/>
                <w:iCs w:val="false"/>
              </w:rPr>
              <w:t xml:space="preserve">Auditoría de seguridad RLS pre-lanzamiento</w:t>
            </w:r>
          </w:p>
        </w:tc>
        <w:tc>
          <w:tcPr>
            <w:tcW w:type="dxa" w:w="1400"/>
            <w:tcMar>
              <w:top w:type="dxa" w:w="80"/>
              <w:left w:type="dxa" w:w="100"/>
              <w:bottom w:type="dxa" w:w="80"/>
              <w:right w:type="dxa" w:w="100"/>
            </w:tcMar>
          </w:tcPr>
          <w:p>
            <w:r>
              <w:rPr>
                <w:b w:val="false"/>
                <w:bCs w:val="false"/>
                <w:i w:val="false"/>
                <w:iCs w:val="false"/>
              </w:rPr>
              <w:t xml:space="preserve">Fable</w:t>
            </w:r>
          </w:p>
        </w:tc>
        <w:tc>
          <w:tcPr>
            <w:tcW w:type="dxa" w:w="5900"/>
            <w:tcMar>
              <w:top w:type="dxa" w:w="80"/>
              <w:left w:type="dxa" w:w="100"/>
              <w:bottom w:type="dxa" w:w="80"/>
              <w:right w:type="dxa" w:w="100"/>
            </w:tcMar>
          </w:tcPr>
          <w:p>
            <w:r>
              <w:rPr>
                <w:b w:val="false"/>
                <w:bCs w:val="false"/>
                <w:i w:val="false"/>
                <w:iCs w:val="false"/>
              </w:rPr>
              <w:t xml:space="preserve">Datos de salud públicos; revisar si el WARN de is_household_member() sigue vigente tras la migración 0004.</w:t>
            </w:r>
          </w:p>
        </w:tc>
      </w:tr>
    </w:tbl>
    <w:p>
      <w:pPr>
        <w:pBdr>
          <w:bottom w:val="single" w:color="999999" w:sz="6" w:space="1"/>
        </w:pBdr>
        <w:spacing w:after="200" w:before="200"/>
      </w:pPr>
    </w:p>
    <w:p>
      <w:pPr>
        <w:pStyle w:val="Heading1"/>
        <w:spacing w:after="150" w:before="300"/>
      </w:pPr>
      <w:r>
        <w:t xml:space="preserve">Prioridad P1.5 — Edición de interfaz y experiencia de usuario (NUEVA)</w:t>
      </w:r>
    </w:p>
    <w:p>
      <w:pPr>
        <w:spacing w:after="120"/>
      </w:pPr>
      <w:r>
        <w:t xml:space="preserve">Detectada durante la revisión posterior a la verificación E2E. Son cambios acotados y mecánicos por módulo — agente recomendado: </w:t>
      </w:r>
    </w:p>
    <w:p>
      <w:pPr>
        <w:spacing w:after="120"/>
      </w:pPr>
      <w:r>
        <w:rPr>
          <w:b/>
          <w:bCs/>
          <w:color w:val="1F6F3F"/>
        </w:rPr>
        <w:t xml:space="preserve">Sonnet</w:t>
      </w:r>
      <w:r>
        <w:t xml:space="preserve"> para todos los ítems de esta sección, salvo que se indique lo contrario explícitamente.</w:t>
      </w:r>
    </w:p>
    <w:p>
      <w:pPr>
        <w:spacing w:after="120"/>
      </w:pPr>
      <w:r>
        <w:t xml:space="preserve">Varios cambios requieren columnas o tablas nuevas en el esquema de Supabase (no son solo HTML/CSS) — se marcan con una nota técnica en cada caso. El agente que ejecute debe correr las migraciones correspondientes antes o junto con el cambio de interfaz.</w:t>
      </w:r>
    </w:p>
    <w:p>
      <w:pPr>
        <w:pStyle w:val="Heading2"/>
        <w:spacing w:after="120" w:before="240"/>
      </w:pPr>
      <w:r>
        <w:t xml:space="preserve">Header / Ficha de paciente — Tema visual</w:t>
      </w:r>
    </w:p>
    <w:tbl>
      <w:tblPr>
        <w:tblW w:type="dxa" w:w="12000"/>
        <w:tblBorders>
          <w:top w:val="single" w:color="auto" w:sz="4"/>
          <w:left w:val="single" w:color="auto" w:sz="4"/>
          <w:bottom w:val="single" w:color="auto" w:sz="4"/>
          <w:right w:val="single" w:color="auto" w:sz="4"/>
          <w:insideH w:val="single" w:color="auto" w:sz="4"/>
          <w:insideV w:val="single" w:color="auto" w:sz="4"/>
        </w:tblBorders>
      </w:tblPr>
      <w:tblGrid>
        <w:gridCol w:w="2800"/>
        <w:gridCol w:w="4700"/>
        <w:gridCol w:w="4500"/>
      </w:tblGrid>
      <w:tr>
        <w:tc>
          <w:tcPr>
            <w:tcW w:type="dxa" w:w="2800"/>
            <w:shd w:fill="2F3B52" w:val="clear"/>
            <w:tcMar>
              <w:top w:type="dxa" w:w="80"/>
              <w:left w:type="dxa" w:w="100"/>
              <w:bottom w:type="dxa" w:w="80"/>
              <w:right w:type="dxa" w:w="100"/>
            </w:tcMar>
          </w:tcPr>
          <w:p>
            <w:r>
              <w:rPr>
                <w:b/>
                <w:bCs/>
                <w:i w:val="false"/>
                <w:iCs w:val="false"/>
                <w:color w:val="FFFFFF"/>
              </w:rPr>
              <w:t xml:space="preserve">Dónde</w:t>
            </w:r>
          </w:p>
        </w:tc>
        <w:tc>
          <w:tcPr>
            <w:tcW w:type="dxa" w:w="4700"/>
            <w:shd w:fill="2F3B52" w:val="clear"/>
            <w:tcMar>
              <w:top w:type="dxa" w:w="80"/>
              <w:left w:type="dxa" w:w="100"/>
              <w:bottom w:type="dxa" w:w="80"/>
              <w:right w:type="dxa" w:w="100"/>
            </w:tcMar>
          </w:tcPr>
          <w:p>
            <w:r>
              <w:rPr>
                <w:b/>
                <w:bCs/>
                <w:i w:val="false"/>
                <w:iCs w:val="false"/>
                <w:color w:val="FFFFFF"/>
              </w:rPr>
              <w:t xml:space="preserve">Qué pasa hoy</w:t>
            </w:r>
          </w:p>
        </w:tc>
        <w:tc>
          <w:tcPr>
            <w:tcW w:type="dxa" w:w="4500"/>
            <w:shd w:fill="2F3B52" w:val="clear"/>
            <w:tcMar>
              <w:top w:type="dxa" w:w="80"/>
              <w:left w:type="dxa" w:w="100"/>
              <w:bottom w:type="dxa" w:w="80"/>
              <w:right w:type="dxa" w:w="100"/>
            </w:tcMar>
          </w:tcPr>
          <w:p>
            <w:r>
              <w:rPr>
                <w:b/>
                <w:bCs/>
                <w:i w:val="false"/>
                <w:iCs w:val="false"/>
                <w:color w:val="FFFFFF"/>
              </w:rPr>
              <w:t xml:space="preserve">Qué se espera</w:t>
            </w:r>
          </w:p>
        </w:tc>
      </w:tr>
      <w:tr>
        <w:tc>
          <w:tcPr>
            <w:tcW w:type="dxa" w:w="2800"/>
            <w:tcMar>
              <w:top w:type="dxa" w:w="80"/>
              <w:left w:type="dxa" w:w="100"/>
              <w:bottom w:type="dxa" w:w="80"/>
              <w:right w:type="dxa" w:w="100"/>
            </w:tcMar>
          </w:tcPr>
          <w:p>
            <w:r>
              <w:rPr>
                <w:b w:val="false"/>
                <w:bCs w:val="false"/>
                <w:i w:val="false"/>
                <w:iCs w:val="false"/>
              </w:rPr>
              <w:t xml:space="preserve">Header (esquina superior derecha) y tarjeta del paciente</w:t>
            </w:r>
          </w:p>
        </w:tc>
        <w:tc>
          <w:tcPr>
            <w:tcW w:type="dxa" w:w="4700"/>
            <w:tcMar>
              <w:top w:type="dxa" w:w="80"/>
              <w:left w:type="dxa" w:w="100"/>
              <w:bottom w:type="dxa" w:w="80"/>
              <w:right w:type="dxa" w:w="100"/>
            </w:tcMar>
          </w:tcPr>
          <w:p>
            <w:r>
              <w:rPr>
                <w:b w:val="false"/>
                <w:bCs w:val="false"/>
                <w:i w:val="false"/>
                <w:iCs w:val="false"/>
              </w:rPr>
              <w:t xml:space="preserve">Dos botones redundantes: modo oscuro/claro (header) y modo día/noche (tarjeta del paciente). Además, el botón del header cambia de comportamiento según haya paciente activo: en ese caso, en vez de alternar modo oscuro/claro general, guarda una preferencia _lightMode ligada a ese paciente, mezclada con ThemeEngine (colores automáticos por paciente).</w:t>
            </w:r>
          </w:p>
        </w:tc>
        <w:tc>
          <w:tcPr>
            <w:tcW w:type="dxa" w:w="4500"/>
            <w:tcMar>
              <w:top w:type="dxa" w:w="80"/>
              <w:left w:type="dxa" w:w="100"/>
              <w:bottom w:type="dxa" w:w="80"/>
              <w:right w:type="dxa" w:w="100"/>
            </w:tcMar>
          </w:tcPr>
          <w:p>
            <w:r>
              <w:rPr>
                <w:b w:val="false"/>
                <w:bCs w:val="false"/>
                <w:i w:val="false"/>
                <w:iCs w:val="false"/>
              </w:rPr>
              <w:t xml:space="preserve">Un solo control (el del header), puramente de accesibilidad/legibilidad general de la interfaz. Nunca debe interferir con la paleta de color que ThemeEngine asigna automáticamente a cada paciente — son dos conceptos independientes. Eliminar el botón de la tarjeta del paciente.</w:t>
            </w:r>
          </w:p>
        </w:tc>
      </w:tr>
    </w:tbl>
    <w:p>
      <w:pPr>
        <w:pStyle w:val="Heading2"/>
        <w:spacing w:after="120" w:before="240"/>
      </w:pPr>
      <w:r>
        <w:t xml:space="preserve">Ficha de Paciente (creación y edición)</w:t>
      </w:r>
    </w:p>
    <w:tbl>
      <w:tblPr>
        <w:tblW w:type="dxa" w:w="1300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4200"/>
        <w:gridCol w:w="3300"/>
      </w:tblGrid>
      <w:tr>
        <w:tc>
          <w:tcPr>
            <w:tcW w:type="dxa" w:w="2200"/>
            <w:shd w:fill="2F3B52" w:val="clear"/>
            <w:tcMar>
              <w:top w:type="dxa" w:w="80"/>
              <w:left w:type="dxa" w:w="100"/>
              <w:bottom w:type="dxa" w:w="80"/>
              <w:right w:type="dxa" w:w="100"/>
            </w:tcMar>
          </w:tcPr>
          <w:p>
            <w:r>
              <w:rPr>
                <w:b/>
                <w:bCs/>
                <w:i w:val="false"/>
                <w:iCs w:val="false"/>
                <w:color w:val="FFFFFF"/>
              </w:rPr>
              <w:t xml:space="preserve">Ítem</w:t>
            </w:r>
          </w:p>
        </w:tc>
        <w:tc>
          <w:tcPr>
            <w:tcW w:type="dxa" w:w="3300"/>
            <w:shd w:fill="2F3B52" w:val="clear"/>
            <w:tcMar>
              <w:top w:type="dxa" w:w="80"/>
              <w:left w:type="dxa" w:w="100"/>
              <w:bottom w:type="dxa" w:w="80"/>
              <w:right w:type="dxa" w:w="100"/>
            </w:tcMar>
          </w:tcPr>
          <w:p>
            <w:r>
              <w:rPr>
                <w:b/>
                <w:bCs/>
                <w:i w:val="false"/>
                <w:iCs w:val="false"/>
                <w:color w:val="FFFFFF"/>
              </w:rPr>
              <w:t xml:space="preserve">Qué pasa hoy</w:t>
            </w:r>
          </w:p>
        </w:tc>
        <w:tc>
          <w:tcPr>
            <w:tcW w:type="dxa" w:w="4200"/>
            <w:shd w:fill="2F3B52" w:val="clear"/>
            <w:tcMar>
              <w:top w:type="dxa" w:w="80"/>
              <w:left w:type="dxa" w:w="100"/>
              <w:bottom w:type="dxa" w:w="80"/>
              <w:right w:type="dxa" w:w="100"/>
            </w:tcMar>
          </w:tcPr>
          <w:p>
            <w:r>
              <w:rPr>
                <w:b/>
                <w:bCs/>
                <w:i w:val="false"/>
                <w:iCs w:val="false"/>
                <w:color w:val="FFFFFF"/>
              </w:rPr>
              <w:t xml:space="preserve">Qué se espera</w:t>
            </w:r>
          </w:p>
        </w:tc>
        <w:tc>
          <w:tcPr>
            <w:tcW w:type="dxa" w:w="3300"/>
            <w:shd w:fill="2F3B52" w:val="clear"/>
            <w:tcMar>
              <w:top w:type="dxa" w:w="80"/>
              <w:left w:type="dxa" w:w="100"/>
              <w:bottom w:type="dxa" w:w="80"/>
              <w:right w:type="dxa" w:w="100"/>
            </w:tcMar>
          </w:tcPr>
          <w:p>
            <w:r>
              <w:rPr>
                <w:b/>
                <w:bCs/>
                <w:i w:val="false"/>
                <w:iCs w:val="false"/>
                <w:color w:val="FFFFFF"/>
              </w:rPr>
              <w:t xml:space="preserve">Nota técnica</w:t>
            </w:r>
          </w:p>
        </w:tc>
      </w:tr>
      <w:tr>
        <w:tc>
          <w:tcPr>
            <w:tcW w:type="dxa" w:w="2200"/>
            <w:tcMar>
              <w:top w:type="dxa" w:w="80"/>
              <w:left w:type="dxa" w:w="100"/>
              <w:bottom w:type="dxa" w:w="80"/>
              <w:right w:type="dxa" w:w="100"/>
            </w:tcMar>
          </w:tcPr>
          <w:p>
            <w:r>
              <w:rPr>
                <w:b w:val="false"/>
                <w:bCs w:val="false"/>
                <w:i w:val="false"/>
                <w:iCs w:val="false"/>
              </w:rPr>
              <w:t xml:space="preserve">Nombre del paciente</w:t>
            </w:r>
          </w:p>
        </w:tc>
        <w:tc>
          <w:tcPr>
            <w:tcW w:type="dxa" w:w="3300"/>
            <w:tcMar>
              <w:top w:type="dxa" w:w="80"/>
              <w:left w:type="dxa" w:w="100"/>
              <w:bottom w:type="dxa" w:w="80"/>
              <w:right w:type="dxa" w:w="100"/>
            </w:tcMar>
          </w:tcPr>
          <w:p>
            <w:r>
              <w:rPr>
                <w:b w:val="false"/>
                <w:bCs w:val="false"/>
                <w:i w:val="false"/>
                <w:iCs w:val="false"/>
              </w:rPr>
              <w:t xml:space="preserve">Un solo campo de texto libre 'Nombre completo'.</w:t>
            </w:r>
          </w:p>
        </w:tc>
        <w:tc>
          <w:tcPr>
            <w:tcW w:type="dxa" w:w="4200"/>
            <w:tcMar>
              <w:top w:type="dxa" w:w="80"/>
              <w:left w:type="dxa" w:w="100"/>
              <w:bottom w:type="dxa" w:w="80"/>
              <w:right w:type="dxa" w:w="100"/>
            </w:tcMar>
          </w:tcPr>
          <w:p>
            <w:r>
              <w:rPr>
                <w:b w:val="false"/>
                <w:bCs w:val="false"/>
                <w:i w:val="false"/>
                <w:iCs w:val="false"/>
              </w:rPr>
              <w:t xml:space="preserve">4 campos independientes: Primer nombre, Segundo nombre, Primer apellido, Segundo apellido.</w:t>
            </w:r>
          </w:p>
        </w:tc>
        <w:tc>
          <w:tcPr>
            <w:tcW w:type="dxa" w:w="3300"/>
            <w:tcMar>
              <w:top w:type="dxa" w:w="80"/>
              <w:left w:type="dxa" w:w="100"/>
              <w:bottom w:type="dxa" w:w="80"/>
              <w:right w:type="dxa" w:w="100"/>
            </w:tcMar>
          </w:tcPr>
          <w:p>
            <w:r>
              <w:rPr>
                <w:b w:val="false"/>
                <w:bCs w:val="false"/>
                <w:i w:val="false"/>
                <w:iCs w:val="false"/>
              </w:rPr>
              <w:t xml:space="preserve">Requiere reemplazar la columna 'nombre' por 4 columnas nuevas en 'patients', y actualizar todo lugar que arme el nombre para mostrarlo (avatar, listados, ThemeEngine, etc.).</w:t>
            </w:r>
          </w:p>
        </w:tc>
      </w:tr>
      <w:tr>
        <w:tc>
          <w:tcPr>
            <w:tcW w:type="dxa" w:w="2200"/>
            <w:shd w:fill="F2F4F7" w:val="clear"/>
            <w:tcMar>
              <w:top w:type="dxa" w:w="80"/>
              <w:left w:type="dxa" w:w="100"/>
              <w:bottom w:type="dxa" w:w="80"/>
              <w:right w:type="dxa" w:w="100"/>
            </w:tcMar>
          </w:tcPr>
          <w:p>
            <w:r>
              <w:rPr>
                <w:b w:val="false"/>
                <w:bCs w:val="false"/>
                <w:i w:val="false"/>
                <w:iCs w:val="false"/>
              </w:rPr>
              <w:t xml:space="preserve">Dirección de residencia</w:t>
            </w:r>
          </w:p>
        </w:tc>
        <w:tc>
          <w:tcPr>
            <w:tcW w:type="dxa" w:w="3300"/>
            <w:shd w:fill="F2F4F7" w:val="clear"/>
            <w:tcMar>
              <w:top w:type="dxa" w:w="80"/>
              <w:left w:type="dxa" w:w="100"/>
              <w:bottom w:type="dxa" w:w="80"/>
              <w:right w:type="dxa" w:w="100"/>
            </w:tcMar>
          </w:tcPr>
          <w:p>
            <w:r>
              <w:rPr>
                <w:b w:val="false"/>
                <w:bCs w:val="false"/>
                <w:i w:val="false"/>
                <w:iCs w:val="false"/>
              </w:rPr>
              <w:t xml:space="preserve">No existe el campo.</w:t>
            </w:r>
          </w:p>
        </w:tc>
        <w:tc>
          <w:tcPr>
            <w:tcW w:type="dxa" w:w="4200"/>
            <w:shd w:fill="F2F4F7" w:val="clear"/>
            <w:tcMar>
              <w:top w:type="dxa" w:w="80"/>
              <w:left w:type="dxa" w:w="100"/>
              <w:bottom w:type="dxa" w:w="80"/>
              <w:right w:type="dxa" w:w="100"/>
            </w:tcMar>
          </w:tcPr>
          <w:p>
            <w:r>
              <w:rPr>
                <w:b w:val="false"/>
                <w:bCs w:val="false"/>
                <w:i w:val="false"/>
                <w:iCs w:val="false"/>
              </w:rPr>
              <w:t xml:space="preserve">Nuevo campo de texto libre.</w:t>
            </w:r>
          </w:p>
        </w:tc>
        <w:tc>
          <w:tcPr>
            <w:tcW w:type="dxa" w:w="3300"/>
            <w:shd w:fill="F2F4F7" w:val="clear"/>
            <w:tcMar>
              <w:top w:type="dxa" w:w="80"/>
              <w:left w:type="dxa" w:w="100"/>
              <w:bottom w:type="dxa" w:w="80"/>
              <w:right w:type="dxa" w:w="100"/>
            </w:tcMar>
          </w:tcPr>
          <w:p>
            <w:r>
              <w:rPr>
                <w:b w:val="false"/>
                <w:bCs w:val="false"/>
                <w:i w:val="false"/>
                <w:iCs w:val="false"/>
              </w:rPr>
              <w:t xml:space="preserve">Columna nueva en 'patients'.</w:t>
            </w:r>
          </w:p>
        </w:tc>
      </w:tr>
      <w:tr>
        <w:tc>
          <w:tcPr>
            <w:tcW w:type="dxa" w:w="2200"/>
            <w:tcMar>
              <w:top w:type="dxa" w:w="80"/>
              <w:left w:type="dxa" w:w="100"/>
              <w:bottom w:type="dxa" w:w="80"/>
              <w:right w:type="dxa" w:w="100"/>
            </w:tcMar>
          </w:tcPr>
          <w:p>
            <w:r>
              <w:rPr>
                <w:b w:val="false"/>
                <w:bCs w:val="false"/>
                <w:i w:val="false"/>
                <w:iCs w:val="false"/>
              </w:rPr>
              <w:t xml:space="preserve">Pólizas de seguro adicionales</w:t>
            </w:r>
          </w:p>
        </w:tc>
        <w:tc>
          <w:tcPr>
            <w:tcW w:type="dxa" w:w="3300"/>
            <w:tcMar>
              <w:top w:type="dxa" w:w="80"/>
              <w:left w:type="dxa" w:w="100"/>
              <w:bottom w:type="dxa" w:w="80"/>
              <w:right w:type="dxa" w:w="100"/>
            </w:tcMar>
          </w:tcPr>
          <w:p>
            <w:r>
              <w:rPr>
                <w:b w:val="false"/>
                <w:bCs w:val="false"/>
                <w:i w:val="false"/>
                <w:iCs w:val="false"/>
              </w:rPr>
              <w:t xml:space="preserve">No existe esta sección.</w:t>
            </w:r>
          </w:p>
        </w:tc>
        <w:tc>
          <w:tcPr>
            <w:tcW w:type="dxa" w:w="4200"/>
            <w:tcMar>
              <w:top w:type="dxa" w:w="80"/>
              <w:left w:type="dxa" w:w="100"/>
              <w:bottom w:type="dxa" w:w="80"/>
              <w:right w:type="dxa" w:w="100"/>
            </w:tcMar>
          </w:tcPr>
          <w:p>
            <w:r>
              <w:rPr>
                <w:b w:val="false"/>
                <w:bCs w:val="false"/>
                <w:i w:val="false"/>
                <w:iCs w:val="false"/>
              </w:rPr>
              <w:t xml:space="preserve">Botón 'Agregar póliza' → sub-formulario con: tipo (SOAT, Funeraria, Medicina prepagada, Servicios Médicos Complementarios, Vida, Dental, u 'Otra' con texto libre que se suma a la lista para uso futuro), número de póliza, y botón para subir imagen del carnet.</w:t>
            </w:r>
          </w:p>
        </w:tc>
        <w:tc>
          <w:tcPr>
            <w:tcW w:type="dxa" w:w="3300"/>
            <w:tcMar>
              <w:top w:type="dxa" w:w="80"/>
              <w:left w:type="dxa" w:w="100"/>
              <w:bottom w:type="dxa" w:w="80"/>
              <w:right w:type="dxa" w:w="100"/>
            </w:tcMar>
          </w:tcPr>
          <w:p>
            <w:r>
              <w:rPr>
                <w:b w:val="false"/>
                <w:bCs w:val="false"/>
                <w:i w:val="false"/>
                <w:iCs w:val="false"/>
              </w:rPr>
              <w:t xml:space="preserve">Relación uno-a-muchos: requiere tabla nueva 'patient_policies'. La opción 'Otra' extensible sugiere una tabla de catálogo compartida ('policy_types'), no una lista fija en el código — mismo patrón que 'Vía de administración' (Medicamentos) y 'Especialidad' (Médicos); ver nota transversal más abajo.</w:t>
            </w:r>
          </w:p>
        </w:tc>
      </w:tr>
      <w:tr>
        <w:tc>
          <w:tcPr>
            <w:tcW w:type="dxa" w:w="2200"/>
            <w:shd w:fill="F2F4F7" w:val="clear"/>
            <w:tcMar>
              <w:top w:type="dxa" w:w="80"/>
              <w:left w:type="dxa" w:w="100"/>
              <w:bottom w:type="dxa" w:w="80"/>
              <w:right w:type="dxa" w:w="100"/>
            </w:tcMar>
          </w:tcPr>
          <w:p>
            <w:r>
              <w:rPr>
                <w:b w:val="false"/>
                <w:bCs w:val="false"/>
                <w:i w:val="false"/>
                <w:iCs w:val="false"/>
              </w:rPr>
              <w:t xml:space="preserve">Contacto de emergencia</w:t>
            </w:r>
          </w:p>
        </w:tc>
        <w:tc>
          <w:tcPr>
            <w:tcW w:type="dxa" w:w="3300"/>
            <w:shd w:fill="F2F4F7" w:val="clear"/>
            <w:tcMar>
              <w:top w:type="dxa" w:w="80"/>
              <w:left w:type="dxa" w:w="100"/>
              <w:bottom w:type="dxa" w:w="80"/>
              <w:right w:type="dxa" w:w="100"/>
            </w:tcMar>
          </w:tcPr>
          <w:p>
            <w:r>
              <w:rPr>
                <w:b w:val="false"/>
                <w:bCs w:val="false"/>
                <w:i w:val="false"/>
                <w:iCs w:val="false"/>
              </w:rPr>
              <w:t xml:space="preserve">Un solo campo de texto libre.</w:t>
            </w:r>
          </w:p>
        </w:tc>
        <w:tc>
          <w:tcPr>
            <w:tcW w:type="dxa" w:w="4200"/>
            <w:shd w:fill="F2F4F7" w:val="clear"/>
            <w:tcMar>
              <w:top w:type="dxa" w:w="80"/>
              <w:left w:type="dxa" w:w="100"/>
              <w:bottom w:type="dxa" w:w="80"/>
              <w:right w:type="dxa" w:w="100"/>
            </w:tcMar>
          </w:tcPr>
          <w:p>
            <w:r>
              <w:rPr>
                <w:b w:val="false"/>
                <w:bCs w:val="false"/>
                <w:i w:val="false"/>
                <w:iCs w:val="false"/>
              </w:rPr>
              <w:t xml:space="preserve">Campos independientes: Primer nombre, Segundo nombre, Primer apellido, Segundo apellido, Parentesco (desplegable: madre/padre, hermano/hermana, abuela/abuelo, tío/tía, familiar, representante asignado), Teléfono 1, Teléfono 2, Dirección, Ciudad.</w:t>
            </w:r>
          </w:p>
        </w:tc>
        <w:tc>
          <w:tcPr>
            <w:tcW w:type="dxa" w:w="3300"/>
            <w:shd w:fill="F2F4F7" w:val="clear"/>
            <w:tcMar>
              <w:top w:type="dxa" w:w="80"/>
              <w:left w:type="dxa" w:w="100"/>
              <w:bottom w:type="dxa" w:w="80"/>
              <w:right w:type="dxa" w:w="100"/>
            </w:tcMar>
          </w:tcPr>
          <w:p>
            <w:r>
              <w:rPr>
                <w:b w:val="false"/>
                <w:bCs w:val="false"/>
                <w:i w:val="false"/>
                <w:iCs w:val="false"/>
              </w:rPr>
              <w:t xml:space="preserve">Columnas nuevas en 'patients' o tabla relacionada, según se decida al implementar.</w:t>
            </w:r>
          </w:p>
        </w:tc>
      </w:tr>
    </w:tbl>
    <w:p>
      <w:pPr>
        <w:pStyle w:val="Heading2"/>
        <w:spacing w:after="120" w:before="240"/>
      </w:pPr>
      <w:r>
        <w:t xml:space="preserve">Órdenes médicas</w:t>
      </w:r>
    </w:p>
    <w:p>
      <w:pPr>
        <w:spacing w:after="120"/>
      </w:pPr>
      <w:r>
        <w:rPr>
          <w:i/>
          <w:iCs/>
        </w:rPr>
        <w:t xml:space="preserve">Problema general identificado: al avanzar de etapa en una orden, la aplicación permite editar desde el principio, lo cual puede llevar a pérdida o alteración accidental de información ya cargada.</w:t>
      </w:r>
    </w:p>
    <w:tbl>
      <w:tblPr>
        <w:tblW w:type="dxa" w:w="13500"/>
        <w:tblBorders>
          <w:top w:val="single" w:color="auto" w:sz="4"/>
          <w:left w:val="single" w:color="auto" w:sz="4"/>
          <w:bottom w:val="single" w:color="auto" w:sz="4"/>
          <w:right w:val="single" w:color="auto" w:sz="4"/>
          <w:insideH w:val="single" w:color="auto" w:sz="4"/>
          <w:insideV w:val="single" w:color="auto" w:sz="4"/>
        </w:tblBorders>
      </w:tblPr>
      <w:tblGrid>
        <w:gridCol w:w="2800"/>
        <w:gridCol w:w="4500"/>
        <w:gridCol w:w="6200"/>
      </w:tblGrid>
      <w:tr>
        <w:tc>
          <w:tcPr>
            <w:tcW w:type="dxa" w:w="2800"/>
            <w:shd w:fill="2F3B52" w:val="clear"/>
            <w:tcMar>
              <w:top w:type="dxa" w:w="80"/>
              <w:left w:type="dxa" w:w="100"/>
              <w:bottom w:type="dxa" w:w="80"/>
              <w:right w:type="dxa" w:w="100"/>
            </w:tcMar>
          </w:tcPr>
          <w:p>
            <w:r>
              <w:rPr>
                <w:b/>
                <w:bCs/>
                <w:i w:val="false"/>
                <w:iCs w:val="false"/>
                <w:color w:val="FFFFFF"/>
              </w:rPr>
              <w:t xml:space="preserve">Ítem</w:t>
            </w:r>
          </w:p>
        </w:tc>
        <w:tc>
          <w:tcPr>
            <w:tcW w:type="dxa" w:w="4500"/>
            <w:shd w:fill="2F3B52" w:val="clear"/>
            <w:tcMar>
              <w:top w:type="dxa" w:w="80"/>
              <w:left w:type="dxa" w:w="100"/>
              <w:bottom w:type="dxa" w:w="80"/>
              <w:right w:type="dxa" w:w="100"/>
            </w:tcMar>
          </w:tcPr>
          <w:p>
            <w:r>
              <w:rPr>
                <w:b/>
                <w:bCs/>
                <w:i w:val="false"/>
                <w:iCs w:val="false"/>
                <w:color w:val="FFFFFF"/>
              </w:rPr>
              <w:t xml:space="preserve">Qué pasa hoy</w:t>
            </w:r>
          </w:p>
        </w:tc>
        <w:tc>
          <w:tcPr>
            <w:tcW w:type="dxa" w:w="6200"/>
            <w:shd w:fill="2F3B52" w:val="clear"/>
            <w:tcMar>
              <w:top w:type="dxa" w:w="80"/>
              <w:left w:type="dxa" w:w="100"/>
              <w:bottom w:type="dxa" w:w="80"/>
              <w:right w:type="dxa" w:w="100"/>
            </w:tcMar>
          </w:tcPr>
          <w:p>
            <w:r>
              <w:rPr>
                <w:b/>
                <w:bCs/>
                <w:i w:val="false"/>
                <w:iCs w:val="false"/>
                <w:color w:val="FFFFFF"/>
              </w:rPr>
              <w:t xml:space="preserve">Qué se espera</w:t>
            </w:r>
          </w:p>
        </w:tc>
      </w:tr>
      <w:tr>
        <w:tc>
          <w:tcPr>
            <w:tcW w:type="dxa" w:w="2800"/>
            <w:tcMar>
              <w:top w:type="dxa" w:w="80"/>
              <w:left w:type="dxa" w:w="100"/>
              <w:bottom w:type="dxa" w:w="80"/>
              <w:right w:type="dxa" w:w="100"/>
            </w:tcMar>
          </w:tcPr>
          <w:p>
            <w:r>
              <w:rPr>
                <w:b w:val="false"/>
                <w:bCs w:val="false"/>
                <w:i w:val="false"/>
                <w:iCs w:val="false"/>
              </w:rPr>
              <w:t xml:space="preserve">Filtros del listado</w:t>
            </w:r>
          </w:p>
        </w:tc>
        <w:tc>
          <w:tcPr>
            <w:tcW w:type="dxa" w:w="4500"/>
            <w:tcMar>
              <w:top w:type="dxa" w:w="80"/>
              <w:left w:type="dxa" w:w="100"/>
              <w:bottom w:type="dxa" w:w="80"/>
              <w:right w:type="dxa" w:w="100"/>
            </w:tcMar>
          </w:tcPr>
          <w:p>
            <w:r>
              <w:rPr>
                <w:b w:val="false"/>
                <w:bCs w:val="false"/>
                <w:i w:val="false"/>
                <w:iCs w:val="false"/>
              </w:rPr>
              <w:t xml:space="preserve">Botones que filtran las distintas entradas.</w:t>
            </w:r>
          </w:p>
        </w:tc>
        <w:tc>
          <w:tcPr>
            <w:tcW w:type="dxa" w:w="6200"/>
            <w:tcMar>
              <w:top w:type="dxa" w:w="80"/>
              <w:left w:type="dxa" w:w="100"/>
              <w:bottom w:type="dxa" w:w="80"/>
              <w:right w:type="dxa" w:w="100"/>
            </w:tcMar>
          </w:tcPr>
          <w:p>
            <w:r>
              <w:rPr>
                <w:b w:val="false"/>
                <w:bCs w:val="false"/>
                <w:i w:val="false"/>
                <w:iCs w:val="false"/>
              </w:rPr>
              <w:t xml:space="preserve">Reemplazar por un filtro combinado: por etapa y por especialidad que ordena.</w:t>
            </w:r>
          </w:p>
        </w:tc>
      </w:tr>
      <w:tr>
        <w:tc>
          <w:tcPr>
            <w:tcW w:type="dxa" w:w="2800"/>
            <w:shd w:fill="F2F4F7" w:val="clear"/>
            <w:tcMar>
              <w:top w:type="dxa" w:w="80"/>
              <w:left w:type="dxa" w:w="100"/>
              <w:bottom w:type="dxa" w:w="80"/>
              <w:right w:type="dxa" w:w="100"/>
            </w:tcMar>
          </w:tcPr>
          <w:p>
            <w:r>
              <w:rPr>
                <w:b w:val="false"/>
                <w:bCs w:val="false"/>
                <w:i w:val="false"/>
                <w:iCs w:val="false"/>
              </w:rPr>
              <w:t xml:space="preserve">Ver una orden</w:t>
            </w:r>
          </w:p>
        </w:tc>
        <w:tc>
          <w:tcPr>
            <w:tcW w:type="dxa" w:w="4500"/>
            <w:shd w:fill="F2F4F7" w:val="clear"/>
            <w:tcMar>
              <w:top w:type="dxa" w:w="80"/>
              <w:left w:type="dxa" w:w="100"/>
              <w:bottom w:type="dxa" w:w="80"/>
              <w:right w:type="dxa" w:w="100"/>
            </w:tcMar>
          </w:tcPr>
          <w:p>
            <w:r>
              <w:rPr>
                <w:b w:val="false"/>
                <w:bCs w:val="false"/>
                <w:i w:val="false"/>
                <w:iCs w:val="false"/>
              </w:rPr>
              <w:t xml:space="preserve">Al seleccionar/expandir una orden, se entra directo en modo edición.</w:t>
            </w:r>
          </w:p>
        </w:tc>
        <w:tc>
          <w:tcPr>
            <w:tcW w:type="dxa" w:w="6200"/>
            <w:shd w:fill="F2F4F7" w:val="clear"/>
            <w:tcMar>
              <w:top w:type="dxa" w:w="80"/>
              <w:left w:type="dxa" w:w="100"/>
              <w:bottom w:type="dxa" w:w="80"/>
              <w:right w:type="dxa" w:w="100"/>
            </w:tcMar>
          </w:tcPr>
          <w:p>
            <w:r>
              <w:rPr>
                <w:b w:val="false"/>
                <w:bCs w:val="false"/>
                <w:i w:val="false"/>
                <w:iCs w:val="false"/>
              </w:rPr>
              <w:t xml:space="preserve">Al expandir, mostrar en modo solo lectura/visual por defecto — la edición no debe ser el estado inicial.</w:t>
            </w:r>
          </w:p>
        </w:tc>
      </w:tr>
      <w:tr>
        <w:tc>
          <w:tcPr>
            <w:tcW w:type="dxa" w:w="2800"/>
            <w:tcMar>
              <w:top w:type="dxa" w:w="80"/>
              <w:left w:type="dxa" w:w="100"/>
              <w:bottom w:type="dxa" w:w="80"/>
              <w:right w:type="dxa" w:w="100"/>
            </w:tcMar>
          </w:tcPr>
          <w:p>
            <w:r>
              <w:rPr>
                <w:b w:val="false"/>
                <w:bCs w:val="false"/>
                <w:i w:val="false"/>
                <w:iCs w:val="false"/>
              </w:rPr>
              <w:t xml:space="preserve">Navegación entre etapas</w:t>
            </w:r>
          </w:p>
        </w:tc>
        <w:tc>
          <w:tcPr>
            <w:tcW w:type="dxa" w:w="4500"/>
            <w:tcMar>
              <w:top w:type="dxa" w:w="80"/>
              <w:left w:type="dxa" w:w="100"/>
              <w:bottom w:type="dxa" w:w="80"/>
              <w:right w:type="dxa" w:w="100"/>
            </w:tcMar>
          </w:tcPr>
          <w:p>
            <w:r>
              <w:rPr>
                <w:b w:val="false"/>
                <w:bCs w:val="false"/>
                <w:i w:val="false"/>
                <w:iCs w:val="false"/>
              </w:rPr>
              <w:t xml:space="preserve">No hay distinción entre navegar y editar; se puede modificar cualquier etapa sin aviso.</w:t>
            </w:r>
          </w:p>
        </w:tc>
        <w:tc>
          <w:tcPr>
            <w:tcW w:type="dxa" w:w="6200"/>
            <w:tcMar>
              <w:top w:type="dxa" w:w="80"/>
              <w:left w:type="dxa" w:w="100"/>
              <w:bottom w:type="dxa" w:w="80"/>
              <w:right w:type="dxa" w:w="100"/>
            </w:tcMar>
          </w:tcPr>
          <w:p>
            <w:r>
              <w:rPr>
                <w:b w:val="false"/>
                <w:bCs w:val="false"/>
                <w:i w:val="false"/>
                <w:iCs w:val="false"/>
              </w:rPr>
              <w:t xml:space="preserve">Las etapas se navegan como páginas. Si el usuario intenta editar una etapa anterior a la actual, debe aparecer una alerta explicando qué está por hacer, antes de permitir el cambio.</w:t>
            </w:r>
          </w:p>
        </w:tc>
      </w:tr>
      <w:tr>
        <w:tc>
          <w:tcPr>
            <w:tcW w:type="dxa" w:w="2800"/>
            <w:shd w:fill="F2F4F7" w:val="clear"/>
            <w:tcMar>
              <w:top w:type="dxa" w:w="80"/>
              <w:left w:type="dxa" w:w="100"/>
              <w:bottom w:type="dxa" w:w="80"/>
              <w:right w:type="dxa" w:w="100"/>
            </w:tcMar>
          </w:tcPr>
          <w:p>
            <w:r>
              <w:rPr>
                <w:b w:val="false"/>
                <w:bCs w:val="false"/>
                <w:i w:val="false"/>
                <w:iCs w:val="false"/>
              </w:rPr>
              <w:t xml:space="preserve">Sección A. Orden — archivo</w:t>
            </w:r>
          </w:p>
        </w:tc>
        <w:tc>
          <w:tcPr>
            <w:tcW w:type="dxa" w:w="4500"/>
            <w:shd w:fill="F2F4F7" w:val="clear"/>
            <w:tcMar>
              <w:top w:type="dxa" w:w="80"/>
              <w:left w:type="dxa" w:w="100"/>
              <w:bottom w:type="dxa" w:w="80"/>
              <w:right w:type="dxa" w:w="100"/>
            </w:tcMar>
          </w:tcPr>
          <w:p>
            <w:r>
              <w:rPr>
                <w:b w:val="false"/>
                <w:bCs w:val="false"/>
                <w:i w:val="false"/>
                <w:iCs w:val="false"/>
              </w:rPr>
              <w:t xml:space="preserve">El campo dice 'Archivo PDF de la orden' y solo acepta subir un PDF ya existente.</w:t>
            </w:r>
          </w:p>
        </w:tc>
        <w:tc>
          <w:tcPr>
            <w:tcW w:type="dxa" w:w="6200"/>
            <w:shd w:fill="F2F4F7" w:val="clear"/>
            <w:tcMar>
              <w:top w:type="dxa" w:w="80"/>
              <w:left w:type="dxa" w:w="100"/>
              <w:bottom w:type="dxa" w:w="80"/>
              <w:right w:type="dxa" w:w="100"/>
            </w:tcMar>
          </w:tcPr>
          <w:p>
            <w:r>
              <w:rPr>
                <w:b w:val="false"/>
                <w:bCs w:val="false"/>
                <w:i w:val="false"/>
                <w:iCs w:val="false"/>
              </w:rPr>
              <w:t xml:space="preserve">Renombrar a 'Historia clínica', y permitir subir fotografías directamente que se conviertan automáticamente a PDF.</w:t>
            </w:r>
          </w:p>
        </w:tc>
      </w:tr>
      <w:tr>
        <w:tc>
          <w:tcPr>
            <w:tcW w:type="dxa" w:w="2800"/>
            <w:tcMar>
              <w:top w:type="dxa" w:w="80"/>
              <w:left w:type="dxa" w:w="100"/>
              <w:bottom w:type="dxa" w:w="80"/>
              <w:right w:type="dxa" w:w="100"/>
            </w:tcMar>
          </w:tcPr>
          <w:p>
            <w:r>
              <w:rPr>
                <w:b w:val="false"/>
                <w:bCs w:val="false"/>
                <w:i w:val="false"/>
                <w:iCs w:val="false"/>
              </w:rPr>
              <w:t xml:space="preserve">Sección C. Autorización — modo vista</w:t>
            </w:r>
          </w:p>
        </w:tc>
        <w:tc>
          <w:tcPr>
            <w:tcW w:type="dxa" w:w="4500"/>
            <w:tcMar>
              <w:top w:type="dxa" w:w="80"/>
              <w:left w:type="dxa" w:w="100"/>
              <w:bottom w:type="dxa" w:w="80"/>
              <w:right w:type="dxa" w:w="100"/>
            </w:tcMar>
          </w:tcPr>
          <w:p>
            <w:r>
              <w:rPr>
                <w:b w:val="false"/>
                <w:bCs w:val="false"/>
                <w:i w:val="false"/>
                <w:iCs w:val="false"/>
              </w:rPr>
              <w:t xml:space="preserve">Solo se ve el centro médico seleccionado.</w:t>
            </w:r>
          </w:p>
        </w:tc>
        <w:tc>
          <w:tcPr>
            <w:tcW w:type="dxa" w:w="6200"/>
            <w:tcMar>
              <w:top w:type="dxa" w:w="80"/>
              <w:left w:type="dxa" w:w="100"/>
              <w:bottom w:type="dxa" w:w="80"/>
              <w:right w:type="dxa" w:w="100"/>
            </w:tcMar>
          </w:tcPr>
          <w:p>
            <w:r>
              <w:rPr>
                <w:b w:val="false"/>
                <w:bCs w:val="false"/>
                <w:i w:val="false"/>
                <w:iCs w:val="false"/>
              </w:rPr>
              <w:t xml:space="preserve">Mostrar también teléfono y dirección del centro médico, tomados del directorio.</w:t>
            </w:r>
          </w:p>
        </w:tc>
      </w:tr>
      <w:tr>
        <w:tc>
          <w:tcPr>
            <w:tcW w:type="dxa" w:w="2800"/>
            <w:shd w:fill="F2F4F7" w:val="clear"/>
            <w:tcMar>
              <w:top w:type="dxa" w:w="80"/>
              <w:left w:type="dxa" w:w="100"/>
              <w:bottom w:type="dxa" w:w="80"/>
              <w:right w:type="dxa" w:w="100"/>
            </w:tcMar>
          </w:tcPr>
          <w:p>
            <w:r>
              <w:rPr>
                <w:b w:val="false"/>
                <w:bCs w:val="false"/>
                <w:i w:val="false"/>
                <w:iCs w:val="false"/>
              </w:rPr>
              <w:t xml:space="preserve">Sección D. Cita — estado Finalizado</w:t>
            </w:r>
          </w:p>
        </w:tc>
        <w:tc>
          <w:tcPr>
            <w:tcW w:type="dxa" w:w="4500"/>
            <w:shd w:fill="F2F4F7" w:val="clear"/>
            <w:tcMar>
              <w:top w:type="dxa" w:w="80"/>
              <w:left w:type="dxa" w:w="100"/>
              <w:bottom w:type="dxa" w:w="80"/>
              <w:right w:type="dxa" w:w="100"/>
            </w:tcMar>
          </w:tcPr>
          <w:p>
            <w:r>
              <w:rPr>
                <w:b w:val="false"/>
                <w:bCs w:val="false"/>
                <w:i w:val="false"/>
                <w:iCs w:val="false"/>
              </w:rPr>
              <w:t xml:space="preserve">Al marcar 'Finalizado (cita ya asistida)', no pasa nada adicional.</w:t>
            </w:r>
          </w:p>
        </w:tc>
        <w:tc>
          <w:tcPr>
            <w:tcW w:type="dxa" w:w="6200"/>
            <w:shd w:fill="F2F4F7" w:val="clear"/>
            <w:tcMar>
              <w:top w:type="dxa" w:w="80"/>
              <w:left w:type="dxa" w:w="100"/>
              <w:bottom w:type="dxa" w:w="80"/>
              <w:right w:type="dxa" w:w="100"/>
            </w:tcMar>
          </w:tcPr>
          <w:p>
            <w:r>
              <w:rPr>
                <w:b w:val="false"/>
                <w:bCs w:val="false"/>
                <w:i w:val="false"/>
                <w:iCs w:val="false"/>
              </w:rPr>
              <w:t xml:space="preserve">Mostrar una opción para crear una nueva orden directamente desde ahí.</w:t>
            </w:r>
          </w:p>
        </w:tc>
      </w:tr>
      <w:tr>
        <w:tc>
          <w:tcPr>
            <w:tcW w:type="dxa" w:w="2800"/>
            <w:tcMar>
              <w:top w:type="dxa" w:w="80"/>
              <w:left w:type="dxa" w:w="100"/>
              <w:bottom w:type="dxa" w:w="80"/>
              <w:right w:type="dxa" w:w="100"/>
            </w:tcMar>
          </w:tcPr>
          <w:p>
            <w:r>
              <w:rPr>
                <w:b w:val="false"/>
                <w:bCs w:val="false"/>
                <w:i w:val="false"/>
                <w:iCs w:val="false"/>
              </w:rPr>
              <w:t xml:space="preserve">Médico tratante (selector)</w:t>
            </w:r>
          </w:p>
        </w:tc>
        <w:tc>
          <w:tcPr>
            <w:tcW w:type="dxa" w:w="4500"/>
            <w:tcMar>
              <w:top w:type="dxa" w:w="80"/>
              <w:left w:type="dxa" w:w="100"/>
              <w:bottom w:type="dxa" w:w="80"/>
              <w:right w:type="dxa" w:w="100"/>
            </w:tcMar>
          </w:tcPr>
          <w:p>
            <w:r>
              <w:rPr>
                <w:b w:val="false"/>
                <w:bCs w:val="false"/>
                <w:i w:val="false"/>
                <w:iCs w:val="false"/>
              </w:rPr>
              <w:t xml:space="preserve">Solo permite elegir entre médicos ya cargados.</w:t>
            </w:r>
          </w:p>
        </w:tc>
        <w:tc>
          <w:tcPr>
            <w:tcW w:type="dxa" w:w="6200"/>
            <w:tcMar>
              <w:top w:type="dxa" w:w="80"/>
              <w:left w:type="dxa" w:w="100"/>
              <w:bottom w:type="dxa" w:w="80"/>
              <w:right w:type="dxa" w:w="100"/>
            </w:tcMar>
          </w:tcPr>
          <w:p>
            <w:r>
              <w:rPr>
                <w:b w:val="false"/>
                <w:bCs w:val="false"/>
                <w:i w:val="false"/>
                <w:iCs w:val="false"/>
              </w:rPr>
              <w:t xml:space="preserve">Agregar opción 'Agregar médico al directorio', que abre la ventana de alta de médico sin salir del flujo de la orden.</w:t>
            </w:r>
          </w:p>
        </w:tc>
      </w:tr>
      <w:tr>
        <w:tc>
          <w:tcPr>
            <w:tcW w:type="dxa" w:w="2800"/>
            <w:shd w:fill="F2F4F7" w:val="clear"/>
            <w:tcMar>
              <w:top w:type="dxa" w:w="80"/>
              <w:left w:type="dxa" w:w="100"/>
              <w:bottom w:type="dxa" w:w="80"/>
              <w:right w:type="dxa" w:w="100"/>
            </w:tcMar>
          </w:tcPr>
          <w:p>
            <w:r>
              <w:rPr>
                <w:b w:val="false"/>
                <w:bCs w:val="false"/>
                <w:i w:val="false"/>
                <w:iCs w:val="false"/>
              </w:rPr>
              <w:t xml:space="preserve">Centro médico (selector)</w:t>
            </w:r>
          </w:p>
        </w:tc>
        <w:tc>
          <w:tcPr>
            <w:tcW w:type="dxa" w:w="4500"/>
            <w:shd w:fill="F2F4F7" w:val="clear"/>
            <w:tcMar>
              <w:top w:type="dxa" w:w="80"/>
              <w:left w:type="dxa" w:w="100"/>
              <w:bottom w:type="dxa" w:w="80"/>
              <w:right w:type="dxa" w:w="100"/>
            </w:tcMar>
          </w:tcPr>
          <w:p>
            <w:r>
              <w:rPr>
                <w:b w:val="false"/>
                <w:bCs w:val="false"/>
                <w:i w:val="false"/>
                <w:iCs w:val="false"/>
              </w:rPr>
              <w:t xml:space="preserve">Solo permite elegir entre centros ya cargados. Aplica también al selector de centro médico dentro del módulo Médicos.</w:t>
            </w:r>
          </w:p>
        </w:tc>
        <w:tc>
          <w:tcPr>
            <w:tcW w:type="dxa" w:w="6200"/>
            <w:shd w:fill="F2F4F7" w:val="clear"/>
            <w:tcMar>
              <w:top w:type="dxa" w:w="80"/>
              <w:left w:type="dxa" w:w="100"/>
              <w:bottom w:type="dxa" w:w="80"/>
              <w:right w:type="dxa" w:w="100"/>
            </w:tcMar>
          </w:tcPr>
          <w:p>
            <w:r>
              <w:rPr>
                <w:b w:val="false"/>
                <w:bCs w:val="false"/>
                <w:i w:val="false"/>
                <w:iCs w:val="false"/>
              </w:rPr>
              <w:t xml:space="preserve">Agregar 'Agregar centro médico al directorio' en ambos lugares, abriendo la ventana de alta de centro médico sin interrumpir el flujo.</w:t>
            </w:r>
          </w:p>
        </w:tc>
      </w:tr>
    </w:tbl>
    <w:p>
      <w:pPr>
        <w:pStyle w:val="Heading2"/>
        <w:spacing w:after="120" w:before="240"/>
      </w:pPr>
      <w:r>
        <w:t xml:space="preserve">Medicamentos</w:t>
      </w:r>
    </w:p>
    <w:tbl>
      <w:tblPr>
        <w:tblW w:type="dxa" w:w="140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5100"/>
        <w:gridCol w:w="3100"/>
      </w:tblGrid>
      <w:tr>
        <w:tc>
          <w:tcPr>
            <w:tcW w:type="dxa" w:w="2200"/>
            <w:shd w:fill="2F3B52" w:val="clear"/>
            <w:tcMar>
              <w:top w:type="dxa" w:w="80"/>
              <w:left w:type="dxa" w:w="100"/>
              <w:bottom w:type="dxa" w:w="80"/>
              <w:right w:type="dxa" w:w="100"/>
            </w:tcMar>
          </w:tcPr>
          <w:p>
            <w:r>
              <w:rPr>
                <w:b/>
                <w:bCs/>
                <w:i w:val="false"/>
                <w:iCs w:val="false"/>
                <w:color w:val="FFFFFF"/>
              </w:rPr>
              <w:t xml:space="preserve">Ítem</w:t>
            </w:r>
          </w:p>
        </w:tc>
        <w:tc>
          <w:tcPr>
            <w:tcW w:type="dxa" w:w="3600"/>
            <w:shd w:fill="2F3B52" w:val="clear"/>
            <w:tcMar>
              <w:top w:type="dxa" w:w="80"/>
              <w:left w:type="dxa" w:w="100"/>
              <w:bottom w:type="dxa" w:w="80"/>
              <w:right w:type="dxa" w:w="100"/>
            </w:tcMar>
          </w:tcPr>
          <w:p>
            <w:r>
              <w:rPr>
                <w:b/>
                <w:bCs/>
                <w:i w:val="false"/>
                <w:iCs w:val="false"/>
                <w:color w:val="FFFFFF"/>
              </w:rPr>
              <w:t xml:space="preserve">Qué pasa hoy</w:t>
            </w:r>
          </w:p>
        </w:tc>
        <w:tc>
          <w:tcPr>
            <w:tcW w:type="dxa" w:w="5100"/>
            <w:shd w:fill="2F3B52" w:val="clear"/>
            <w:tcMar>
              <w:top w:type="dxa" w:w="80"/>
              <w:left w:type="dxa" w:w="100"/>
              <w:bottom w:type="dxa" w:w="80"/>
              <w:right w:type="dxa" w:w="100"/>
            </w:tcMar>
          </w:tcPr>
          <w:p>
            <w:r>
              <w:rPr>
                <w:b/>
                <w:bCs/>
                <w:i w:val="false"/>
                <w:iCs w:val="false"/>
                <w:color w:val="FFFFFF"/>
              </w:rPr>
              <w:t xml:space="preserve">Qué se espera</w:t>
            </w:r>
          </w:p>
        </w:tc>
        <w:tc>
          <w:tcPr>
            <w:tcW w:type="dxa" w:w="3100"/>
            <w:shd w:fill="2F3B52" w:val="clear"/>
            <w:tcMar>
              <w:top w:type="dxa" w:w="80"/>
              <w:left w:type="dxa" w:w="100"/>
              <w:bottom w:type="dxa" w:w="80"/>
              <w:right w:type="dxa" w:w="100"/>
            </w:tcMar>
          </w:tcPr>
          <w:p>
            <w:r>
              <w:rPr>
                <w:b/>
                <w:bCs/>
                <w:i w:val="false"/>
                <w:iCs w:val="false"/>
                <w:color w:val="FFFFFF"/>
              </w:rPr>
              <w:t xml:space="preserve">Nota técnica</w:t>
            </w:r>
          </w:p>
        </w:tc>
      </w:tr>
      <w:tr>
        <w:tc>
          <w:tcPr>
            <w:tcW w:type="dxa" w:w="2200"/>
            <w:tcMar>
              <w:top w:type="dxa" w:w="80"/>
              <w:left w:type="dxa" w:w="100"/>
              <w:bottom w:type="dxa" w:w="80"/>
              <w:right w:type="dxa" w:w="100"/>
            </w:tcMar>
          </w:tcPr>
          <w:p>
            <w:r>
              <w:rPr>
                <w:b w:val="false"/>
                <w:bCs w:val="false"/>
                <w:i w:val="false"/>
                <w:iCs w:val="false"/>
              </w:rPr>
              <w:t xml:space="preserve">Campo 'Dosis'</w:t>
            </w:r>
          </w:p>
        </w:tc>
        <w:tc>
          <w:tcPr>
            <w:tcW w:type="dxa" w:w="3600"/>
            <w:tcMar>
              <w:top w:type="dxa" w:w="80"/>
              <w:left w:type="dxa" w:w="100"/>
              <w:bottom w:type="dxa" w:w="80"/>
              <w:right w:type="dxa" w:w="100"/>
            </w:tcMar>
          </w:tcPr>
          <w:p>
            <w:r>
              <w:rPr>
                <w:b w:val="false"/>
                <w:bCs w:val="false"/>
                <w:i w:val="false"/>
                <w:iCs w:val="false"/>
              </w:rPr>
              <w:t xml:space="preserve">Se llama 'Dosis'.</w:t>
            </w:r>
          </w:p>
        </w:tc>
        <w:tc>
          <w:tcPr>
            <w:tcW w:type="dxa" w:w="5100"/>
            <w:tcMar>
              <w:top w:type="dxa" w:w="80"/>
              <w:left w:type="dxa" w:w="100"/>
              <w:bottom w:type="dxa" w:w="80"/>
              <w:right w:type="dxa" w:w="100"/>
            </w:tcMar>
          </w:tcPr>
          <w:p>
            <w:r>
              <w:rPr>
                <w:b w:val="false"/>
                <w:bCs w:val="false"/>
                <w:i w:val="false"/>
                <w:iCs w:val="false"/>
              </w:rPr>
              <w:t xml:space="preserve">Renombrar a 'Dosis diaria'.</w:t>
            </w:r>
          </w:p>
        </w:tc>
        <w:tc>
          <w:tcPr>
            <w:tcW w:type="dxa" w:w="3100"/>
            <w:tcMar>
              <w:top w:type="dxa" w:w="80"/>
              <w:left w:type="dxa" w:w="100"/>
              <w:bottom w:type="dxa" w:w="80"/>
              <w:right w:type="dxa" w:w="100"/>
            </w:tcMar>
          </w:tcPr>
          <w:p>
            <w:r>
              <w:rPr>
                <w:b w:val="false"/>
                <w:bCs w:val="false"/>
                <w:i w:val="false"/>
                <w:iCs w:val="false"/>
              </w:rPr>
              <w:t xml:space="preserve"/>
            </w:r>
          </w:p>
        </w:tc>
      </w:tr>
      <w:tr>
        <w:tc>
          <w:tcPr>
            <w:tcW w:type="dxa" w:w="2200"/>
            <w:shd w:fill="F2F4F7" w:val="clear"/>
            <w:tcMar>
              <w:top w:type="dxa" w:w="80"/>
              <w:left w:type="dxa" w:w="100"/>
              <w:bottom w:type="dxa" w:w="80"/>
              <w:right w:type="dxa" w:w="100"/>
            </w:tcMar>
          </w:tcPr>
          <w:p>
            <w:r>
              <w:rPr>
                <w:b w:val="false"/>
                <w:bCs w:val="false"/>
                <w:i w:val="false"/>
                <w:iCs w:val="false"/>
              </w:rPr>
              <w:t xml:space="preserve">Frecuencia</w:t>
            </w:r>
          </w:p>
        </w:tc>
        <w:tc>
          <w:tcPr>
            <w:tcW w:type="dxa" w:w="3600"/>
            <w:shd w:fill="F2F4F7" w:val="clear"/>
            <w:tcMar>
              <w:top w:type="dxa" w:w="80"/>
              <w:left w:type="dxa" w:w="100"/>
              <w:bottom w:type="dxa" w:w="80"/>
              <w:right w:type="dxa" w:w="100"/>
            </w:tcMar>
          </w:tcPr>
          <w:p>
            <w:r>
              <w:rPr>
                <w:b w:val="false"/>
                <w:bCs w:val="false"/>
                <w:i w:val="false"/>
                <w:iCs w:val="false"/>
              </w:rPr>
              <w:t xml:space="preserve">Opciones actuales sin este orden/formato.</w:t>
            </w:r>
          </w:p>
        </w:tc>
        <w:tc>
          <w:tcPr>
            <w:tcW w:type="dxa" w:w="5100"/>
            <w:shd w:fill="F2F4F7" w:val="clear"/>
            <w:tcMar>
              <w:top w:type="dxa" w:w="80"/>
              <w:left w:type="dxa" w:w="100"/>
              <w:bottom w:type="dxa" w:w="80"/>
              <w:right w:type="dxa" w:w="100"/>
            </w:tcMar>
          </w:tcPr>
          <w:p>
            <w:r>
              <w:rPr>
                <w:b w:val="false"/>
                <w:bCs w:val="false"/>
                <w:i w:val="false"/>
                <w:iCs w:val="false"/>
              </w:rPr>
              <w:t xml:space="preserve">Reemplazar por: Una vez al día · Dos veces al día o cada 12 horas · Tres veces al día o cada 8 horas · Cuatro veces al día o cada 6 horas · A demanda.</w:t>
            </w:r>
          </w:p>
        </w:tc>
        <w:tc>
          <w:tcPr>
            <w:tcW w:type="dxa" w:w="3100"/>
            <w:shd w:fill="F2F4F7" w:val="clear"/>
            <w:tcMar>
              <w:top w:type="dxa" w:w="80"/>
              <w:left w:type="dxa" w:w="100"/>
              <w:bottom w:type="dxa" w:w="80"/>
              <w:right w:type="dxa" w:w="100"/>
            </w:tcMar>
          </w:tcPr>
          <w:p>
            <w:r>
              <w:rPr>
                <w:b w:val="false"/>
                <w:bCs w:val="false"/>
                <w:i w:val="false"/>
                <w:iCs w:val="false"/>
              </w:rPr>
              <w:t xml:space="preserve"/>
            </w:r>
          </w:p>
        </w:tc>
      </w:tr>
      <w:tr>
        <w:tc>
          <w:tcPr>
            <w:tcW w:type="dxa" w:w="2200"/>
            <w:tcMar>
              <w:top w:type="dxa" w:w="80"/>
              <w:left w:type="dxa" w:w="100"/>
              <w:bottom w:type="dxa" w:w="80"/>
              <w:right w:type="dxa" w:w="100"/>
            </w:tcMar>
          </w:tcPr>
          <w:p>
            <w:r>
              <w:rPr>
                <w:b w:val="false"/>
                <w:bCs w:val="false"/>
                <w:i w:val="false"/>
                <w:iCs w:val="false"/>
              </w:rPr>
              <w:t xml:space="preserve">Horarios de toma</w:t>
            </w:r>
          </w:p>
        </w:tc>
        <w:tc>
          <w:tcPr>
            <w:tcW w:type="dxa" w:w="3600"/>
            <w:tcMar>
              <w:top w:type="dxa" w:w="80"/>
              <w:left w:type="dxa" w:w="100"/>
              <w:bottom w:type="dxa" w:w="80"/>
              <w:right w:type="dxa" w:w="100"/>
            </w:tcMar>
          </w:tcPr>
          <w:p>
            <w:r>
              <w:rPr>
                <w:b w:val="false"/>
                <w:bCs w:val="false"/>
                <w:i w:val="false"/>
                <w:iCs w:val="false"/>
              </w:rPr>
              <w:t xml:space="preserve">No existe esta sección.</w:t>
            </w:r>
          </w:p>
        </w:tc>
        <w:tc>
          <w:tcPr>
            <w:tcW w:type="dxa" w:w="5100"/>
            <w:tcMar>
              <w:top w:type="dxa" w:w="80"/>
              <w:left w:type="dxa" w:w="100"/>
              <w:bottom w:type="dxa" w:w="80"/>
              <w:right w:type="dxa" w:w="100"/>
            </w:tcMar>
          </w:tcPr>
          <w:p>
            <w:r>
              <w:rPr>
                <w:b w:val="false"/>
                <w:bCs w:val="false"/>
                <w:i w:val="false"/>
                <w:iCs w:val="false"/>
              </w:rPr>
              <w:t xml:space="preserve">Dos columnas enfrentadas: Horario de toma y Dosis de ese horario. Cantidad de filas según frecuencia (ej. cada 4h → 6 filas; una vez al día → 1 fila; a demanda → sin filas automáticas). Primer horario editable, arranca en 00:00 por defecto; los siguientes se calculan automáticamente y espaciados según la frecuencia, pero siguen siendo editables individualmente. Si se cambia el primer horario, los siguientes se recalculan automáticamente.</w:t>
            </w:r>
          </w:p>
        </w:tc>
        <w:tc>
          <w:tcPr>
            <w:tcW w:type="dxa" w:w="3100"/>
            <w:tcMar>
              <w:top w:type="dxa" w:w="80"/>
              <w:left w:type="dxa" w:w="100"/>
              <w:bottom w:type="dxa" w:w="80"/>
              <w:right w:type="dxa" w:w="100"/>
            </w:tcMar>
          </w:tcPr>
          <w:p>
            <w:r>
              <w:rPr>
                <w:b w:val="false"/>
                <w:bCs w:val="false"/>
                <w:i w:val="false"/>
                <w:iCs w:val="false"/>
              </w:rPr>
              <w:t xml:space="preserve">Requiere lógica con estado: distinguir 'horario recalculado automáticamente' de 'horario editado a mano', para no sobrescribir una edición manual al cambiar el horario base. Definir con la usuaria qué pasa si edita un horario intermedio y luego cambia el primero.</w:t>
            </w:r>
          </w:p>
        </w:tc>
      </w:tr>
      <w:tr>
        <w:tc>
          <w:tcPr>
            <w:tcW w:type="dxa" w:w="2200"/>
            <w:shd w:fill="F2F4F7" w:val="clear"/>
            <w:tcMar>
              <w:top w:type="dxa" w:w="80"/>
              <w:left w:type="dxa" w:w="100"/>
              <w:bottom w:type="dxa" w:w="80"/>
              <w:right w:type="dxa" w:w="100"/>
            </w:tcMar>
          </w:tcPr>
          <w:p>
            <w:r>
              <w:rPr>
                <w:b w:val="false"/>
                <w:bCs w:val="false"/>
                <w:i w:val="false"/>
                <w:iCs w:val="false"/>
              </w:rPr>
              <w:t xml:space="preserve">Vía de administración</w:t>
            </w:r>
          </w:p>
        </w:tc>
        <w:tc>
          <w:tcPr>
            <w:tcW w:type="dxa" w:w="3600"/>
            <w:shd w:fill="F2F4F7" w:val="clear"/>
            <w:tcMar>
              <w:top w:type="dxa" w:w="80"/>
              <w:left w:type="dxa" w:w="100"/>
              <w:bottom w:type="dxa" w:w="80"/>
              <w:right w:type="dxa" w:w="100"/>
            </w:tcMar>
          </w:tcPr>
          <w:p>
            <w:r>
              <w:rPr>
                <w:b w:val="false"/>
                <w:bCs w:val="false"/>
                <w:i w:val="false"/>
                <w:iCs w:val="false"/>
              </w:rPr>
              <w:t xml:space="preserve">Lista fija, sin 'Vía sonda' ni opción extensible.</w:t>
            </w:r>
          </w:p>
        </w:tc>
        <w:tc>
          <w:tcPr>
            <w:tcW w:type="dxa" w:w="5100"/>
            <w:shd w:fill="F2F4F7" w:val="clear"/>
            <w:tcMar>
              <w:top w:type="dxa" w:w="80"/>
              <w:left w:type="dxa" w:w="100"/>
              <w:bottom w:type="dxa" w:w="80"/>
              <w:right w:type="dxa" w:w="100"/>
            </w:tcMar>
          </w:tcPr>
          <w:p>
            <w:r>
              <w:rPr>
                <w:b w:val="false"/>
                <w:bCs w:val="false"/>
                <w:i w:val="false"/>
                <w:iCs w:val="false"/>
              </w:rPr>
              <w:t xml:space="preserve">Agregar 'Vía sonda' como opción fija, y 'Otra' que abre una ventana para escribir texto libre y sumarlo automáticamente a las opciones futuras.</w:t>
            </w:r>
          </w:p>
        </w:tc>
        <w:tc>
          <w:tcPr>
            <w:tcW w:type="dxa" w:w="3100"/>
            <w:shd w:fill="F2F4F7" w:val="clear"/>
            <w:tcMar>
              <w:top w:type="dxa" w:w="80"/>
              <w:left w:type="dxa" w:w="100"/>
              <w:bottom w:type="dxa" w:w="80"/>
              <w:right w:type="dxa" w:w="100"/>
            </w:tcMar>
          </w:tcPr>
          <w:p>
            <w:r>
              <w:rPr>
                <w:b w:val="false"/>
                <w:bCs w:val="false"/>
                <w:i w:val="false"/>
                <w:iCs w:val="false"/>
              </w:rPr>
              <w:t xml:space="preserve">Mismo patrón que 'Pólizas' (Pacientes) y 'Especialidad' (Médicos) — ver nota transversal.</w:t>
            </w:r>
          </w:p>
        </w:tc>
      </w:tr>
    </w:tbl>
    <w:p>
      <w:pPr>
        <w:pStyle w:val="Heading2"/>
        <w:spacing w:after="120" w:before="240"/>
      </w:pPr>
      <w:r>
        <w:t xml:space="preserve">Médicos</w:t>
      </w:r>
    </w:p>
    <w:tbl>
      <w:tblPr>
        <w:tblW w:type="dxa" w:w="14000"/>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4500"/>
        <w:gridCol w:w="3300"/>
      </w:tblGrid>
      <w:tr>
        <w:tc>
          <w:tcPr>
            <w:tcW w:type="dxa" w:w="2600"/>
            <w:shd w:fill="2F3B52" w:val="clear"/>
            <w:tcMar>
              <w:top w:type="dxa" w:w="80"/>
              <w:left w:type="dxa" w:w="100"/>
              <w:bottom w:type="dxa" w:w="80"/>
              <w:right w:type="dxa" w:w="100"/>
            </w:tcMar>
          </w:tcPr>
          <w:p>
            <w:r>
              <w:rPr>
                <w:b/>
                <w:bCs/>
                <w:i w:val="false"/>
                <w:iCs w:val="false"/>
                <w:color w:val="FFFFFF"/>
              </w:rPr>
              <w:t xml:space="preserve">Ítem</w:t>
            </w:r>
          </w:p>
        </w:tc>
        <w:tc>
          <w:tcPr>
            <w:tcW w:type="dxa" w:w="3600"/>
            <w:shd w:fill="2F3B52" w:val="clear"/>
            <w:tcMar>
              <w:top w:type="dxa" w:w="80"/>
              <w:left w:type="dxa" w:w="100"/>
              <w:bottom w:type="dxa" w:w="80"/>
              <w:right w:type="dxa" w:w="100"/>
            </w:tcMar>
          </w:tcPr>
          <w:p>
            <w:r>
              <w:rPr>
                <w:b/>
                <w:bCs/>
                <w:i w:val="false"/>
                <w:iCs w:val="false"/>
                <w:color w:val="FFFFFF"/>
              </w:rPr>
              <w:t xml:space="preserve">Qué pasa hoy</w:t>
            </w:r>
          </w:p>
        </w:tc>
        <w:tc>
          <w:tcPr>
            <w:tcW w:type="dxa" w:w="4500"/>
            <w:shd w:fill="2F3B52" w:val="clear"/>
            <w:tcMar>
              <w:top w:type="dxa" w:w="80"/>
              <w:left w:type="dxa" w:w="100"/>
              <w:bottom w:type="dxa" w:w="80"/>
              <w:right w:type="dxa" w:w="100"/>
            </w:tcMar>
          </w:tcPr>
          <w:p>
            <w:r>
              <w:rPr>
                <w:b/>
                <w:bCs/>
                <w:i w:val="false"/>
                <w:iCs w:val="false"/>
                <w:color w:val="FFFFFF"/>
              </w:rPr>
              <w:t xml:space="preserve">Qué se espera</w:t>
            </w:r>
          </w:p>
        </w:tc>
        <w:tc>
          <w:tcPr>
            <w:tcW w:type="dxa" w:w="3300"/>
            <w:shd w:fill="2F3B52" w:val="clear"/>
            <w:tcMar>
              <w:top w:type="dxa" w:w="80"/>
              <w:left w:type="dxa" w:w="100"/>
              <w:bottom w:type="dxa" w:w="80"/>
              <w:right w:type="dxa" w:w="100"/>
            </w:tcMar>
          </w:tcPr>
          <w:p>
            <w:r>
              <w:rPr>
                <w:b/>
                <w:bCs/>
                <w:i w:val="false"/>
                <w:iCs w:val="false"/>
                <w:color w:val="FFFFFF"/>
              </w:rPr>
              <w:t xml:space="preserve">Nota técnica</w:t>
            </w:r>
          </w:p>
        </w:tc>
      </w:tr>
      <w:tr>
        <w:tc>
          <w:tcPr>
            <w:tcW w:type="dxa" w:w="2600"/>
            <w:tcMar>
              <w:top w:type="dxa" w:w="80"/>
              <w:left w:type="dxa" w:w="100"/>
              <w:bottom w:type="dxa" w:w="80"/>
              <w:right w:type="dxa" w:w="100"/>
            </w:tcMar>
          </w:tcPr>
          <w:p>
            <w:r>
              <w:rPr>
                <w:b w:val="false"/>
                <w:bCs w:val="false"/>
                <w:i w:val="false"/>
                <w:iCs w:val="false"/>
              </w:rPr>
              <w:t xml:space="preserve">Especialidad</w:t>
            </w:r>
          </w:p>
        </w:tc>
        <w:tc>
          <w:tcPr>
            <w:tcW w:type="dxa" w:w="3600"/>
            <w:tcMar>
              <w:top w:type="dxa" w:w="80"/>
              <w:left w:type="dxa" w:w="100"/>
              <w:bottom w:type="dxa" w:w="80"/>
              <w:right w:type="dxa" w:w="100"/>
            </w:tcMar>
          </w:tcPr>
          <w:p>
            <w:r>
              <w:rPr>
                <w:b w:val="false"/>
                <w:bCs w:val="false"/>
                <w:i w:val="false"/>
                <w:iCs w:val="false"/>
              </w:rPr>
              <w:t xml:space="preserve">Lista limitada, sin forma de agregar nuevas.</w:t>
            </w:r>
          </w:p>
        </w:tc>
        <w:tc>
          <w:tcPr>
            <w:tcW w:type="dxa" w:w="4500"/>
            <w:tcMar>
              <w:top w:type="dxa" w:w="80"/>
              <w:left w:type="dxa" w:w="100"/>
              <w:bottom w:type="dxa" w:w="80"/>
              <w:right w:type="dxa" w:w="100"/>
            </w:tcMar>
          </w:tcPr>
          <w:p>
            <w:r>
              <w:rPr>
                <w:b w:val="false"/>
                <w:bCs w:val="false"/>
                <w:i w:val="false"/>
                <w:iCs w:val="false"/>
              </w:rPr>
              <w:t xml:space="preserve">Al elegir 'Otra', abrir un cuadro de diálogo para escribir la especialidad manualmente y sumarla a las opciones futuras.</w:t>
            </w:r>
          </w:p>
        </w:tc>
        <w:tc>
          <w:tcPr>
            <w:tcW w:type="dxa" w:w="3300"/>
            <w:tcMar>
              <w:top w:type="dxa" w:w="80"/>
              <w:left w:type="dxa" w:w="100"/>
              <w:bottom w:type="dxa" w:w="80"/>
              <w:right w:type="dxa" w:w="100"/>
            </w:tcMar>
          </w:tcPr>
          <w:p>
            <w:r>
              <w:rPr>
                <w:b w:val="false"/>
                <w:bCs w:val="false"/>
                <w:i w:val="false"/>
                <w:iCs w:val="false"/>
              </w:rPr>
              <w:t xml:space="preserve">Tercer caso del mismo patrón 'Otra → texto libre → catálogo extensible' (junto con Pólizas y Vía de administración) — ver nota transversal.</w:t>
            </w:r>
          </w:p>
        </w:tc>
      </w:tr>
      <w:tr>
        <w:tc>
          <w:tcPr>
            <w:tcW w:type="dxa" w:w="2600"/>
            <w:shd w:fill="F2F4F7" w:val="clear"/>
            <w:tcMar>
              <w:top w:type="dxa" w:w="80"/>
              <w:left w:type="dxa" w:w="100"/>
              <w:bottom w:type="dxa" w:w="80"/>
              <w:right w:type="dxa" w:w="100"/>
            </w:tcMar>
          </w:tcPr>
          <w:p>
            <w:r>
              <w:rPr>
                <w:b w:val="false"/>
                <w:bCs w:val="false"/>
                <w:i w:val="false"/>
                <w:iCs w:val="false"/>
              </w:rPr>
              <w:t xml:space="preserve">Número de tarjeta profesional</w:t>
            </w:r>
          </w:p>
        </w:tc>
        <w:tc>
          <w:tcPr>
            <w:tcW w:type="dxa" w:w="3600"/>
            <w:shd w:fill="F2F4F7" w:val="clear"/>
            <w:tcMar>
              <w:top w:type="dxa" w:w="80"/>
              <w:left w:type="dxa" w:w="100"/>
              <w:bottom w:type="dxa" w:w="80"/>
              <w:right w:type="dxa" w:w="100"/>
            </w:tcMar>
          </w:tcPr>
          <w:p>
            <w:r>
              <w:rPr>
                <w:b w:val="false"/>
                <w:bCs w:val="false"/>
                <w:i w:val="false"/>
                <w:iCs w:val="false"/>
              </w:rPr>
              <w:t xml:space="preserve">No existe el campo.</w:t>
            </w:r>
          </w:p>
        </w:tc>
        <w:tc>
          <w:tcPr>
            <w:tcW w:type="dxa" w:w="4500"/>
            <w:shd w:fill="F2F4F7" w:val="clear"/>
            <w:tcMar>
              <w:top w:type="dxa" w:w="80"/>
              <w:left w:type="dxa" w:w="100"/>
              <w:bottom w:type="dxa" w:w="80"/>
              <w:right w:type="dxa" w:w="100"/>
            </w:tcMar>
          </w:tcPr>
          <w:p>
            <w:r>
              <w:rPr>
                <w:b w:val="false"/>
                <w:bCs w:val="false"/>
                <w:i w:val="false"/>
                <w:iCs w:val="false"/>
              </w:rPr>
              <w:t xml:space="preserve">Nuevo campo debajo del nombre del médico.</w:t>
            </w:r>
          </w:p>
        </w:tc>
        <w:tc>
          <w:tcPr>
            <w:tcW w:type="dxa" w:w="3300"/>
            <w:shd w:fill="F2F4F7" w:val="clear"/>
            <w:tcMar>
              <w:top w:type="dxa" w:w="80"/>
              <w:left w:type="dxa" w:w="100"/>
              <w:bottom w:type="dxa" w:w="80"/>
              <w:right w:type="dxa" w:w="100"/>
            </w:tcMar>
          </w:tcPr>
          <w:p>
            <w:r>
              <w:rPr>
                <w:b w:val="false"/>
                <w:bCs w:val="false"/>
                <w:i w:val="false"/>
                <w:iCs w:val="false"/>
              </w:rPr>
              <w:t xml:space="preserve">Columna nueva en la tabla 'doctors'.</w:t>
            </w:r>
          </w:p>
        </w:tc>
      </w:tr>
    </w:tbl>
    <w:p>
      <w:pPr>
        <w:pStyle w:val="Heading2"/>
        <w:spacing w:after="120" w:before="240"/>
      </w:pPr>
      <w:r>
        <w:t xml:space="preserve">Nota transversal — patrón 'Otra' extensible</w:t>
      </w:r>
    </w:p>
    <w:p>
      <w:pPr>
        <w:spacing w:after="120"/>
      </w:pPr>
      <w:r>
        <w:t xml:space="preserve">Tres módulos distintos (Pólizas en Pacientes, Vía de administración en Medicamentos, Especialidad en Médicos) piden el mismo mecanismo: una lista desplegable con opción 'Otra' que abre un campo de texto libre y agrega la entrada al catálogo para futuras cargas. Se recomienda construir un único componente/mecanismo reutilizable para los tres casos, en vez de tres implementaciones separadas — mismo criterio de UX, menos código duplicado y mantenimiento más simple a futuro.</w:t>
      </w:r>
    </w:p>
    <w:p>
      <w:pPr>
        <w:pStyle w:val="Heading2"/>
        <w:spacing w:after="120" w:before="240"/>
      </w:pPr>
      <w:r>
        <w:t xml:space="preserve">Cambio transversal — imágenes y documentos ampliables/descargables</w:t>
      </w:r>
    </w:p>
    <w:p>
      <w:pPr>
        <w:spacing w:after="120"/>
      </w:pPr>
      <w:r>
        <w:t xml:space="preserve">Aplica a todos los módulos con contenido subido como imagen o documento: carnets de pólizas (Pacientes), historia clínica/adjuntos (Órdenes), y cualquier otro que exista o se agregue.</w:t>
      </w:r>
    </w:p>
    <w:tbl>
      <w:tblPr>
        <w:tblW w:type="dxa" w:w="12400"/>
        <w:tblBorders>
          <w:top w:val="single" w:color="auto" w:sz="4"/>
          <w:left w:val="single" w:color="auto" w:sz="4"/>
          <w:bottom w:val="single" w:color="auto" w:sz="4"/>
          <w:right w:val="single" w:color="auto" w:sz="4"/>
          <w:insideH w:val="single" w:color="auto" w:sz="4"/>
          <w:insideV w:val="single" w:color="auto" w:sz="4"/>
        </w:tblBorders>
      </w:tblPr>
      <w:tblGrid>
        <w:gridCol w:w="4300"/>
        <w:gridCol w:w="8100"/>
      </w:tblGrid>
      <w:tr>
        <w:tc>
          <w:tcPr>
            <w:tcW w:type="dxa" w:w="4300"/>
            <w:shd w:fill="2F3B52" w:val="clear"/>
            <w:tcMar>
              <w:top w:type="dxa" w:w="80"/>
              <w:left w:type="dxa" w:w="100"/>
              <w:bottom w:type="dxa" w:w="80"/>
              <w:right w:type="dxa" w:w="100"/>
            </w:tcMar>
          </w:tcPr>
          <w:p>
            <w:r>
              <w:rPr>
                <w:b/>
                <w:bCs/>
                <w:i w:val="false"/>
                <w:iCs w:val="false"/>
                <w:color w:val="FFFFFF"/>
              </w:rPr>
              <w:t xml:space="preserve">Dónde</w:t>
            </w:r>
          </w:p>
        </w:tc>
        <w:tc>
          <w:tcPr>
            <w:tcW w:type="dxa" w:w="8100"/>
            <w:shd w:fill="2F3B52" w:val="clear"/>
            <w:tcMar>
              <w:top w:type="dxa" w:w="80"/>
              <w:left w:type="dxa" w:w="100"/>
              <w:bottom w:type="dxa" w:w="80"/>
              <w:right w:type="dxa" w:w="100"/>
            </w:tcMar>
          </w:tcPr>
          <w:p>
            <w:r>
              <w:rPr>
                <w:b/>
                <w:bCs/>
                <w:i w:val="false"/>
                <w:iCs w:val="false"/>
                <w:color w:val="FFFFFF"/>
              </w:rPr>
              <w:t xml:space="preserve">Qué se espera</w:t>
            </w:r>
          </w:p>
        </w:tc>
      </w:tr>
      <w:tr>
        <w:tc>
          <w:tcPr>
            <w:tcW w:type="dxa" w:w="4300"/>
            <w:tcMar>
              <w:top w:type="dxa" w:w="80"/>
              <w:left w:type="dxa" w:w="100"/>
              <w:bottom w:type="dxa" w:w="80"/>
              <w:right w:type="dxa" w:w="100"/>
            </w:tcMar>
          </w:tcPr>
          <w:p>
            <w:r>
              <w:rPr>
                <w:b w:val="false"/>
                <w:bCs w:val="false"/>
                <w:i w:val="false"/>
                <w:iCs w:val="false"/>
              </w:rPr>
              <w:t xml:space="preserve">Cualquier imagen o documento almacenado en la app</w:t>
            </w:r>
          </w:p>
        </w:tc>
        <w:tc>
          <w:tcPr>
            <w:tcW w:type="dxa" w:w="8100"/>
            <w:tcMar>
              <w:top w:type="dxa" w:w="80"/>
              <w:left w:type="dxa" w:w="100"/>
              <w:bottom w:type="dxa" w:w="80"/>
              <w:right w:type="dxa" w:w="100"/>
            </w:tcMar>
          </w:tcPr>
          <w:p>
            <w:r>
              <w:rPr>
                <w:b w:val="false"/>
                <w:bCs w:val="false"/>
                <w:i w:val="false"/>
                <w:iCs w:val="false"/>
              </w:rPr>
              <w:t xml:space="preserve">Poder hacer clic para ampliar (lightbox/modal) y un botón de descarga. Implementar como componente reutilizable único, no repetido por módulo.</w:t>
            </w:r>
          </w:p>
        </w:tc>
      </w:tr>
    </w:tbl>
    <w:p>
      <w:pPr>
        <w:pBdr>
          <w:bottom w:val="single" w:color="999999" w:sz="6" w:space="1"/>
        </w:pBdr>
        <w:spacing w:after="200" w:before="200"/>
      </w:pPr>
    </w:p>
    <w:p>
      <w:pPr>
        <w:pStyle w:val="Heading1"/>
        <w:spacing w:after="150" w:before="300"/>
      </w:pPr>
      <w:r>
        <w:t xml:space="preserve">Prioridad P2 — Calidad para el público (sin cambios respecto al plan original)</w:t>
      </w:r>
    </w:p>
    <w:tbl>
      <w:tblPr>
        <w:tblW w:type="dxa" w:w="12000"/>
        <w:tblBorders>
          <w:top w:val="single" w:color="auto" w:sz="4"/>
          <w:left w:val="single" w:color="auto" w:sz="4"/>
          <w:bottom w:val="single" w:color="auto" w:sz="4"/>
          <w:right w:val="single" w:color="auto" w:sz="4"/>
          <w:insideH w:val="single" w:color="auto" w:sz="4"/>
          <w:insideV w:val="single" w:color="auto" w:sz="4"/>
        </w:tblBorders>
      </w:tblPr>
      <w:tblGrid>
        <w:gridCol w:w="500"/>
        <w:gridCol w:w="4200"/>
        <w:gridCol w:w="1400"/>
        <w:gridCol w:w="5900"/>
      </w:tblGrid>
      <w:tr>
        <w:tc>
          <w:tcPr>
            <w:tcW w:type="dxa" w:w="500"/>
            <w:shd w:fill="2F3B52" w:val="clear"/>
            <w:tcMar>
              <w:top w:type="dxa" w:w="80"/>
              <w:left w:type="dxa" w:w="100"/>
              <w:bottom w:type="dxa" w:w="80"/>
              <w:right w:type="dxa" w:w="100"/>
            </w:tcMar>
          </w:tcPr>
          <w:p>
            <w:r>
              <w:rPr>
                <w:b/>
                <w:bCs/>
                <w:i w:val="false"/>
                <w:iCs w:val="false"/>
                <w:color w:val="FFFFFF"/>
              </w:rPr>
              <w:t xml:space="preserve">#</w:t>
            </w:r>
          </w:p>
        </w:tc>
        <w:tc>
          <w:tcPr>
            <w:tcW w:type="dxa" w:w="4200"/>
            <w:shd w:fill="2F3B52" w:val="clear"/>
            <w:tcMar>
              <w:top w:type="dxa" w:w="80"/>
              <w:left w:type="dxa" w:w="100"/>
              <w:bottom w:type="dxa" w:w="80"/>
              <w:right w:type="dxa" w:w="100"/>
            </w:tcMar>
          </w:tcPr>
          <w:p>
            <w:r>
              <w:rPr>
                <w:b/>
                <w:bCs/>
                <w:i w:val="false"/>
                <w:iCs w:val="false"/>
                <w:color w:val="FFFFFF"/>
              </w:rPr>
              <w:t xml:space="preserve">Tarea</w:t>
            </w:r>
          </w:p>
        </w:tc>
        <w:tc>
          <w:tcPr>
            <w:tcW w:type="dxa" w:w="1400"/>
            <w:shd w:fill="2F3B52" w:val="clear"/>
            <w:tcMar>
              <w:top w:type="dxa" w:w="80"/>
              <w:left w:type="dxa" w:w="100"/>
              <w:bottom w:type="dxa" w:w="80"/>
              <w:right w:type="dxa" w:w="100"/>
            </w:tcMar>
          </w:tcPr>
          <w:p>
            <w:r>
              <w:rPr>
                <w:b/>
                <w:bCs/>
                <w:i w:val="false"/>
                <w:iCs w:val="false"/>
                <w:color w:val="FFFFFF"/>
              </w:rPr>
              <w:t xml:space="preserve">Agente</w:t>
            </w:r>
          </w:p>
        </w:tc>
        <w:tc>
          <w:tcPr>
            <w:tcW w:type="dxa" w:w="5900"/>
            <w:shd w:fill="2F3B52" w:val="clear"/>
            <w:tcMar>
              <w:top w:type="dxa" w:w="80"/>
              <w:left w:type="dxa" w:w="100"/>
              <w:bottom w:type="dxa" w:w="80"/>
              <w:right w:type="dxa" w:w="100"/>
            </w:tcMar>
          </w:tcPr>
          <w:p>
            <w:r>
              <w:rPr>
                <w:b/>
                <w:bCs/>
                <w:i w:val="false"/>
                <w:iCs w:val="false"/>
                <w:color w:val="FFFFFF"/>
              </w:rPr>
              <w:t xml:space="preserve">Por qué</w:t>
            </w:r>
          </w:p>
        </w:tc>
      </w:tr>
      <w:tr>
        <w:tc>
          <w:tcPr>
            <w:tcW w:type="dxa" w:w="500"/>
            <w:tcMar>
              <w:top w:type="dxa" w:w="80"/>
              <w:left w:type="dxa" w:w="100"/>
              <w:bottom w:type="dxa" w:w="80"/>
              <w:right w:type="dxa" w:w="100"/>
            </w:tcMar>
          </w:tcPr>
          <w:p>
            <w:r>
              <w:rPr>
                <w:b w:val="false"/>
                <w:bCs w:val="false"/>
                <w:i w:val="false"/>
                <w:iCs w:val="false"/>
              </w:rPr>
              <w:t xml:space="preserve">9</w:t>
            </w:r>
          </w:p>
        </w:tc>
        <w:tc>
          <w:tcPr>
            <w:tcW w:type="dxa" w:w="4200"/>
            <w:tcMar>
              <w:top w:type="dxa" w:w="80"/>
              <w:left w:type="dxa" w:w="100"/>
              <w:bottom w:type="dxa" w:w="80"/>
              <w:right w:type="dxa" w:w="100"/>
            </w:tcMar>
          </w:tcPr>
          <w:p>
            <w:r>
              <w:rPr>
                <w:b w:val="false"/>
                <w:bCs w:val="false"/>
                <w:i w:val="false"/>
                <w:iCs w:val="false"/>
              </w:rPr>
              <w:t xml:space="preserve">Responsive móvil</w:t>
            </w:r>
          </w:p>
        </w:tc>
        <w:tc>
          <w:tcPr>
            <w:tcW w:type="dxa" w:w="1400"/>
            <w:tcMar>
              <w:top w:type="dxa" w:w="80"/>
              <w:left w:type="dxa" w:w="100"/>
              <w:bottom w:type="dxa" w:w="80"/>
              <w:right w:type="dxa" w:w="100"/>
            </w:tcMar>
          </w:tcPr>
          <w:p>
            <w:r>
              <w:rPr>
                <w:b w:val="false"/>
                <w:bCs w:val="false"/>
                <w:i w:val="false"/>
                <w:iCs w:val="false"/>
              </w:rPr>
              <w:t xml:space="preserve">Sonnet</w:t>
            </w:r>
          </w:p>
        </w:tc>
        <w:tc>
          <w:tcPr>
            <w:tcW w:type="dxa" w:w="5900"/>
            <w:tcMar>
              <w:top w:type="dxa" w:w="80"/>
              <w:left w:type="dxa" w:w="100"/>
              <w:bottom w:type="dxa" w:w="80"/>
              <w:right w:type="dxa" w:w="100"/>
            </w:tcMar>
          </w:tcPr>
          <w:p>
            <w:r>
              <w:rPr>
                <w:b w:val="false"/>
                <w:bCs w:val="false"/>
                <w:i w:val="false"/>
                <w:iCs w:val="false"/>
              </w:rPr>
              <w:t xml:space="preserve">Una app de salud familiar se usa sobre todo desde el teléfono.</w:t>
            </w:r>
          </w:p>
        </w:tc>
      </w:tr>
      <w:tr>
        <w:tc>
          <w:tcPr>
            <w:tcW w:type="dxa" w:w="500"/>
            <w:shd w:fill="F2F4F7" w:val="clear"/>
            <w:tcMar>
              <w:top w:type="dxa" w:w="80"/>
              <w:left w:type="dxa" w:w="100"/>
              <w:bottom w:type="dxa" w:w="80"/>
              <w:right w:type="dxa" w:w="100"/>
            </w:tcMar>
          </w:tcPr>
          <w:p>
            <w:r>
              <w:rPr>
                <w:b w:val="false"/>
                <w:bCs w:val="false"/>
                <w:i w:val="false"/>
                <w:iCs w:val="false"/>
              </w:rPr>
              <w:t xml:space="preserve">10</w:t>
            </w:r>
          </w:p>
        </w:tc>
        <w:tc>
          <w:tcPr>
            <w:tcW w:type="dxa" w:w="4200"/>
            <w:shd w:fill="F2F4F7" w:val="clear"/>
            <w:tcMar>
              <w:top w:type="dxa" w:w="80"/>
              <w:left w:type="dxa" w:w="100"/>
              <w:bottom w:type="dxa" w:w="80"/>
              <w:right w:type="dxa" w:w="100"/>
            </w:tcMar>
          </w:tcPr>
          <w:p>
            <w:r>
              <w:rPr>
                <w:b w:val="false"/>
                <w:bCs w:val="false"/>
                <w:i w:val="false"/>
                <w:iCs w:val="false"/>
              </w:rPr>
              <w:t xml:space="preserve">Eliminar SaludFamilia.html legacy y actualizar README</w:t>
            </w:r>
          </w:p>
        </w:tc>
        <w:tc>
          <w:tcPr>
            <w:tcW w:type="dxa" w:w="1400"/>
            <w:shd w:fill="F2F4F7" w:val="clear"/>
            <w:tcMar>
              <w:top w:type="dxa" w:w="80"/>
              <w:left w:type="dxa" w:w="100"/>
              <w:bottom w:type="dxa" w:w="80"/>
              <w:right w:type="dxa" w:w="100"/>
            </w:tcMar>
          </w:tcPr>
          <w:p>
            <w:r>
              <w:rPr>
                <w:b w:val="false"/>
                <w:bCs w:val="false"/>
                <w:i w:val="false"/>
                <w:iCs w:val="false"/>
              </w:rPr>
              <w:t xml:space="preserve">Sonnet</w:t>
            </w:r>
          </w:p>
        </w:tc>
        <w:tc>
          <w:tcPr>
            <w:tcW w:type="dxa" w:w="5900"/>
            <w:shd w:fill="F2F4F7" w:val="clear"/>
            <w:tcMar>
              <w:top w:type="dxa" w:w="80"/>
              <w:left w:type="dxa" w:w="100"/>
              <w:bottom w:type="dxa" w:w="80"/>
              <w:right w:type="dxa" w:w="100"/>
            </w:tcMar>
          </w:tcPr>
          <w:p>
            <w:r>
              <w:rPr>
                <w:b w:val="false"/>
                <w:bCs w:val="false"/>
                <w:i w:val="false"/>
                <w:iCs w:val="false"/>
              </w:rPr>
              <w:t xml:space="preserve">Limpieza; queda recuperable en el historial de git.</w:t>
            </w:r>
          </w:p>
        </w:tc>
      </w:tr>
      <w:tr>
        <w:tc>
          <w:tcPr>
            <w:tcW w:type="dxa" w:w="500"/>
            <w:tcMar>
              <w:top w:type="dxa" w:w="80"/>
              <w:left w:type="dxa" w:w="100"/>
              <w:bottom w:type="dxa" w:w="80"/>
              <w:right w:type="dxa" w:w="100"/>
            </w:tcMar>
          </w:tcPr>
          <w:p>
            <w:r>
              <w:rPr>
                <w:b w:val="false"/>
                <w:bCs w:val="false"/>
                <w:i w:val="false"/>
                <w:iCs w:val="false"/>
              </w:rPr>
              <w:t xml:space="preserve">11</w:t>
            </w:r>
          </w:p>
        </w:tc>
        <w:tc>
          <w:tcPr>
            <w:tcW w:type="dxa" w:w="4200"/>
            <w:tcMar>
              <w:top w:type="dxa" w:w="80"/>
              <w:left w:type="dxa" w:w="100"/>
              <w:bottom w:type="dxa" w:w="80"/>
              <w:right w:type="dxa" w:w="100"/>
            </w:tcMar>
          </w:tcPr>
          <w:p>
            <w:r>
              <w:rPr>
                <w:b w:val="false"/>
                <w:bCs w:val="false"/>
                <w:i w:val="false"/>
                <w:iCs w:val="false"/>
              </w:rPr>
              <w:t xml:space="preserve">Estados vacíos y manejo de errores consistente</w:t>
            </w:r>
          </w:p>
        </w:tc>
        <w:tc>
          <w:tcPr>
            <w:tcW w:type="dxa" w:w="1400"/>
            <w:tcMar>
              <w:top w:type="dxa" w:w="80"/>
              <w:left w:type="dxa" w:w="100"/>
              <w:bottom w:type="dxa" w:w="80"/>
              <w:right w:type="dxa" w:w="100"/>
            </w:tcMar>
          </w:tcPr>
          <w:p>
            <w:r>
              <w:rPr>
                <w:b w:val="false"/>
                <w:bCs w:val="false"/>
                <w:i w:val="false"/>
                <w:iCs w:val="false"/>
              </w:rPr>
              <w:t xml:space="preserve">Sonnet</w:t>
            </w:r>
          </w:p>
        </w:tc>
        <w:tc>
          <w:tcPr>
            <w:tcW w:type="dxa" w:w="5900"/>
            <w:tcMar>
              <w:top w:type="dxa" w:w="80"/>
              <w:left w:type="dxa" w:w="100"/>
              <w:bottom w:type="dxa" w:w="80"/>
              <w:right w:type="dxa" w:w="100"/>
            </w:tcMar>
          </w:tcPr>
          <w:p>
            <w:r>
              <w:rPr>
                <w:b w:val="false"/>
                <w:bCs w:val="false"/>
                <w:i w:val="false"/>
                <w:iCs w:val="false"/>
              </w:rPr>
              <w:t xml:space="preserve">Homogeneizar UX en los módulos.</w:t>
            </w:r>
          </w:p>
        </w:tc>
      </w:tr>
      <w:tr>
        <w:tc>
          <w:tcPr>
            <w:tcW w:type="dxa" w:w="500"/>
            <w:shd w:fill="F2F4F7" w:val="clear"/>
            <w:tcMar>
              <w:top w:type="dxa" w:w="80"/>
              <w:left w:type="dxa" w:w="100"/>
              <w:bottom w:type="dxa" w:w="80"/>
              <w:right w:type="dxa" w:w="100"/>
            </w:tcMar>
          </w:tcPr>
          <w:p>
            <w:r>
              <w:rPr>
                <w:b w:val="false"/>
                <w:bCs w:val="false"/>
                <w:i w:val="false"/>
                <w:iCs w:val="false"/>
              </w:rPr>
              <w:t xml:space="preserve">12</w:t>
            </w:r>
          </w:p>
        </w:tc>
        <w:tc>
          <w:tcPr>
            <w:tcW w:type="dxa" w:w="4200"/>
            <w:shd w:fill="F2F4F7" w:val="clear"/>
            <w:tcMar>
              <w:top w:type="dxa" w:w="80"/>
              <w:left w:type="dxa" w:w="100"/>
              <w:bottom w:type="dxa" w:w="80"/>
              <w:right w:type="dxa" w:w="100"/>
            </w:tcMar>
          </w:tcPr>
          <w:p>
            <w:r>
              <w:rPr>
                <w:b w:val="false"/>
                <w:bCs w:val="false"/>
                <w:i w:val="false"/>
                <w:iCs w:val="false"/>
              </w:rPr>
              <w:t xml:space="preserve">Aviso de privacidad y disclaimer médico</w:t>
            </w:r>
          </w:p>
        </w:tc>
        <w:tc>
          <w:tcPr>
            <w:tcW w:type="dxa" w:w="1400"/>
            <w:shd w:fill="F2F4F7" w:val="clear"/>
            <w:tcMar>
              <w:top w:type="dxa" w:w="80"/>
              <w:left w:type="dxa" w:w="100"/>
              <w:bottom w:type="dxa" w:w="80"/>
              <w:right w:type="dxa" w:w="100"/>
            </w:tcMar>
          </w:tcPr>
          <w:p>
            <w:r>
              <w:rPr>
                <w:b w:val="false"/>
                <w:bCs w:val="false"/>
                <w:i w:val="false"/>
                <w:iCs w:val="false"/>
              </w:rPr>
              <w:t xml:space="preserve">Sonnet</w:t>
            </w:r>
          </w:p>
        </w:tc>
        <w:tc>
          <w:tcPr>
            <w:tcW w:type="dxa" w:w="5900"/>
            <w:shd w:fill="F2F4F7" w:val="clear"/>
            <w:tcMar>
              <w:top w:type="dxa" w:w="80"/>
              <w:left w:type="dxa" w:w="100"/>
              <w:bottom w:type="dxa" w:w="80"/>
              <w:right w:type="dxa" w:w="100"/>
            </w:tcMar>
          </w:tcPr>
          <w:p>
            <w:r>
              <w:rPr>
                <w:b w:val="false"/>
                <w:bCs w:val="false"/>
                <w:i w:val="false"/>
                <w:iCs w:val="false"/>
              </w:rPr>
              <w:t xml:space="preserve">Obligatorio al almacenar y publicar datos de salud.</w:t>
            </w:r>
          </w:p>
        </w:tc>
      </w:tr>
    </w:tbl>
    <w:p>
      <w:pPr>
        <w:pBdr>
          <w:bottom w:val="single" w:color="999999" w:sz="6" w:space="1"/>
        </w:pBdr>
        <w:spacing w:after="200" w:before="200"/>
      </w:pPr>
    </w:p>
    <w:p>
      <w:pPr>
        <w:pStyle w:val="Heading1"/>
        <w:spacing w:after="150" w:before="300"/>
      </w:pPr>
      <w:r>
        <w:t xml:space="preserve">Arquitectura futura — pendiente de diseño con agente de mayor capacidad (Fable)</w:t>
      </w:r>
    </w:p>
    <w:p>
      <w:pPr>
        <w:spacing w:after="120"/>
      </w:pPr>
      <w:r>
        <w:t xml:space="preserve">Dos piezas nuevas, conversadas a nivel de diseño en esta sesión pero deliberadamente NO implementadas todavía, dado que ambas tocan RLS y/o mueven datos médicos entre households — exactamente el tipo de cambio que el criterio propio del proyecto reserva para el máximo nivel de cuidado.</w:t>
      </w:r>
    </w:p>
    <w:p>
      <w:pPr>
        <w:pStyle w:val="Heading2"/>
        <w:spacing w:after="120" w:before="240"/>
      </w:pPr>
      <w:r>
        <w:t xml:space="preserve">A. Directorio público auditado de centros médicos y médicos</w:t>
      </w:r>
    </w:p>
    <w:p>
      <w:pPr>
        <w:spacing w:after="120"/>
      </w:pPr>
      <w:r>
        <w:t xml:space="preserve">Hoy 'doctors' y 'centers' están aislados por household (RLS vía is_household_member), igual que los pacientes — verificado en esta sesión. Se evaluó hacerlos públicos sin restricciones y se descartó por: riesgo de que cualquier usuario altere entradas que otras familias usan activamente, ausencia de curación (duplicados, errores sin control), y por tratarse de una excepción al aislamiento por household que es la base de todo el modelo de seguridad actual.</w:t>
      </w:r>
    </w:p>
    <w:p>
      <w:pPr>
        <w:spacing w:after="120"/>
      </w:pPr>
      <w:r>
        <w:t xml:space="preserve">Diseño acordado como alternativa:</w:t>
      </w:r>
    </w:p>
    <w:p>
      <w:pPr>
        <w:pStyle w:val="ListParagraph"/>
        <w:numPr>
          <w:ilvl w:val="0"/>
          <w:numId w:val="1"/>
        </w:numPr>
        <w:spacing w:after="60"/>
      </w:pPr>
      <w:r>
        <w:t xml:space="preserve">Rol de administradora (no existe hoy el concepto de 'admin' en el esquema; todos los usuarios son iguales).</w:t>
      </w:r>
    </w:p>
    <w:p>
      <w:pPr>
        <w:pStyle w:val="ListParagraph"/>
        <w:numPr>
          <w:ilvl w:val="0"/>
          <w:numId w:val="1"/>
        </w:numPr>
        <w:spacing w:after="60"/>
      </w:pPr>
      <w:r>
        <w:t xml:space="preserve">Tablas públicas separadas ('public_centers' / 'public_doctors', o un flag is_public — a evaluar), editables solo por el rol admin.</w:t>
      </w:r>
    </w:p>
    <w:p>
      <w:pPr>
        <w:pStyle w:val="ListParagraph"/>
        <w:numPr>
          <w:ilvl w:val="0"/>
          <w:numId w:val="1"/>
        </w:numPr>
        <w:spacing w:after="60"/>
      </w:pPr>
      <w:r>
        <w:t xml:space="preserve">Flujo de 'copiar al household propio': al usar una entrada del directorio público, se crea una fila NUEVA en el directorio privado del usuario (copia, no referencia compartida) — así puede editarla libremente sin afectar el original ni a otras familias.</w:t>
      </w:r>
    </w:p>
    <w:p>
      <w:pPr>
        <w:pStyle w:val="ListParagraph"/>
        <w:numPr>
          <w:ilvl w:val="0"/>
          <w:numId w:val="1"/>
        </w:numPr>
        <w:spacing w:after="60"/>
      </w:pPr>
      <w:r>
        <w:t xml:space="preserve">Mecanismo de auditoría: los usuarios podrían 'proponer' una entrada para el directorio público desde su directorio privado, y la administradora aprueba o rechaza antes de publicarla.</w:t>
      </w:r>
    </w:p>
    <w:p>
      <w:pPr>
        <w:pStyle w:val="Heading2"/>
        <w:spacing w:after="120" w:before="240"/>
      </w:pPr>
      <w:r>
        <w:t xml:space="preserve">B. Exportar / Importar pacientes entre households</w:t>
      </w:r>
    </w:p>
    <w:p>
      <w:pPr>
        <w:spacing w:after="120"/>
      </w:pPr>
      <w:r>
        <w:t xml:space="preserve">Permite mover la información completa de un paciente (datos personales, pólizas, órdenes médicas, medicamentos, signos vitales, adjuntos) hacia un household distinto de aquel en el que fue creado, cuando sea necesario.</w:t>
      </w:r>
    </w:p>
    <w:p>
      <w:pPr>
        <w:spacing w:after="120"/>
      </w:pPr>
      <w:r>
        <w:t xml:space="preserve">Diseño acordado:</w:t>
      </w:r>
    </w:p>
    <w:p>
      <w:pPr>
        <w:pStyle w:val="ListParagraph"/>
        <w:numPr>
          <w:ilvl w:val="0"/>
          <w:numId w:val="1"/>
        </w:numPr>
        <w:spacing w:after="60"/>
      </w:pPr>
      <w:r>
        <w:t xml:space="preserve">Exportar: desde la ficha del paciente, se genera una llave (identificador único de esa exportación puntual) y se pide definir un password específico para esa operación. La información se cifra usando ambos datos — la llave sola no debe alcanzar para descifrar.</w:t>
      </w:r>
    </w:p>
    <w:p>
      <w:pPr>
        <w:pStyle w:val="ListParagraph"/>
        <w:numPr>
          <w:ilvl w:val="0"/>
          <w:numId w:val="1"/>
        </w:numPr>
        <w:spacing w:after="60"/>
      </w:pPr>
      <w:r>
        <w:t xml:space="preserve">Importar: botón en la esquina superior izquierda de la ventana 'Nuevo paciente'. Pide llave y password; si coinciden, descifra y crea el paciente (con todos sus datos asociados) dentro del household del usuario que importa.</w:t>
      </w:r>
    </w:p>
    <w:p>
      <w:pPr>
        <w:spacing w:after="120"/>
      </w:pPr>
      <w:r>
        <w:rPr>
          <w:b/>
          <w:bCs/>
        </w:rPr>
        <w:t xml:space="preserve">Nivel de riesgo: </w:t>
      </w:r>
      <w:r>
        <w:t xml:space="preserve">el más alto de los tres frentes de arquitectura nueva mencionados en este documento (incluyendo la migración a Storage ya prevista en la tarea P1 #7). Es, en esencia, un puente controlado entre households — algo que el modelo de RLS actual no contempla en absoluto, y que mueve historia clínica completa en tránsito, no solo un dato suelto. Se recomienda priorizar su revisión de diseño de seguridad antes que el directorio público.</w:t>
      </w:r>
    </w:p>
    <w:p>
      <w:pPr>
        <w:pBdr>
          <w:bottom w:val="single" w:color="999999" w:sz="6" w:space="1"/>
        </w:pBdr>
        <w:spacing w:after="200" w:before="200"/>
      </w:pPr>
    </w:p>
    <w:p>
      <w:pPr>
        <w:pStyle w:val="Heading1"/>
        <w:spacing w:after="150" w:before="300"/>
      </w:pPr>
      <w:r>
        <w:t xml:space="preserve">Criterio de asignación de agentes de Claude</w:t>
      </w:r>
    </w:p>
    <w:tbl>
      <w:tblPr>
        <w:tblW w:type="dxa" w:w="12600"/>
        <w:tblBorders>
          <w:top w:val="single" w:color="auto" w:sz="4"/>
          <w:left w:val="single" w:color="auto" w:sz="4"/>
          <w:bottom w:val="single" w:color="auto" w:sz="4"/>
          <w:right w:val="single" w:color="auto" w:sz="4"/>
          <w:insideH w:val="single" w:color="auto" w:sz="4"/>
          <w:insideV w:val="single" w:color="auto" w:sz="4"/>
        </w:tblBorders>
      </w:tblPr>
      <w:tblGrid>
        <w:gridCol w:w="2600"/>
        <w:gridCol w:w="10000"/>
      </w:tblGrid>
      <w:tr>
        <w:tc>
          <w:tcPr>
            <w:tcW w:type="dxa" w:w="2600"/>
            <w:shd w:fill="2F3B52" w:val="clear"/>
            <w:tcMar>
              <w:top w:type="dxa" w:w="80"/>
              <w:left w:type="dxa" w:w="100"/>
              <w:bottom w:type="dxa" w:w="80"/>
              <w:right w:type="dxa" w:w="100"/>
            </w:tcMar>
          </w:tcPr>
          <w:p>
            <w:r>
              <w:rPr>
                <w:b/>
                <w:bCs/>
                <w:i w:val="false"/>
                <w:iCs w:val="false"/>
                <w:color w:val="FFFFFF"/>
              </w:rPr>
              <w:t xml:space="preserve">Agente</w:t>
            </w:r>
          </w:p>
        </w:tc>
        <w:tc>
          <w:tcPr>
            <w:tcW w:type="dxa" w:w="10000"/>
            <w:shd w:fill="2F3B52" w:val="clear"/>
            <w:tcMar>
              <w:top w:type="dxa" w:w="80"/>
              <w:left w:type="dxa" w:w="100"/>
              <w:bottom w:type="dxa" w:w="80"/>
              <w:right w:type="dxa" w:w="100"/>
            </w:tcMar>
          </w:tcPr>
          <w:p>
            <w:r>
              <w:rPr>
                <w:b/>
                <w:bCs/>
                <w:i w:val="false"/>
                <w:iCs w:val="false"/>
                <w:color w:val="FFFFFF"/>
              </w:rPr>
              <w:t xml:space="preserve">Alcance</w:t>
            </w:r>
          </w:p>
        </w:tc>
      </w:tr>
      <w:tr>
        <w:tc>
          <w:tcPr>
            <w:tcW w:type="dxa" w:w="2600"/>
            <w:tcMar>
              <w:top w:type="dxa" w:w="80"/>
              <w:left w:type="dxa" w:w="100"/>
              <w:bottom w:type="dxa" w:w="80"/>
              <w:right w:type="dxa" w:w="100"/>
            </w:tcMar>
          </w:tcPr>
          <w:p>
            <w:r>
              <w:rPr>
                <w:b w:val="false"/>
                <w:bCs w:val="false"/>
                <w:i w:val="false"/>
                <w:iCs w:val="false"/>
              </w:rPr>
              <w:t xml:space="preserve">Fable (máxima capacidad)</w:t>
            </w:r>
          </w:p>
        </w:tc>
        <w:tc>
          <w:tcPr>
            <w:tcW w:type="dxa" w:w="10000"/>
            <w:tcMar>
              <w:top w:type="dxa" w:w="80"/>
              <w:left w:type="dxa" w:w="100"/>
              <w:bottom w:type="dxa" w:w="80"/>
              <w:right w:type="dxa" w:w="100"/>
            </w:tcMar>
          </w:tcPr>
          <w:p>
            <w:r>
              <w:rPr>
                <w:b w:val="false"/>
                <w:bCs w:val="false"/>
                <w:i w:val="false"/>
                <w:iCs w:val="false"/>
              </w:rPr>
              <w:t xml:space="preserve">Todo lo que toque seguridad RLS y migraciones de datos — errores ahí son irreversibles o pueden filtrar datos médicos entre familias. Incluye: invitar miembros al household, migración a Supabase Storage, auditoría RLS pre-lanzamiento, directorio público auditado, y exportar/importar pacientes.</w:t>
            </w:r>
          </w:p>
        </w:tc>
      </w:tr>
      <w:tr>
        <w:tc>
          <w:tcPr>
            <w:tcW w:type="dxa" w:w="2600"/>
            <w:shd w:fill="F2F4F7" w:val="clear"/>
            <w:tcMar>
              <w:top w:type="dxa" w:w="80"/>
              <w:left w:type="dxa" w:w="100"/>
              <w:bottom w:type="dxa" w:w="80"/>
              <w:right w:type="dxa" w:w="100"/>
            </w:tcMar>
          </w:tcPr>
          <w:p>
            <w:r>
              <w:rPr>
                <w:b w:val="false"/>
                <w:bCs w:val="false"/>
                <w:i w:val="false"/>
                <w:iCs w:val="false"/>
              </w:rPr>
              <w:t xml:space="preserve">Opus</w:t>
            </w:r>
          </w:p>
        </w:tc>
        <w:tc>
          <w:tcPr>
            <w:tcW w:type="dxa" w:w="10000"/>
            <w:shd w:fill="F2F4F7" w:val="clear"/>
            <w:tcMar>
              <w:top w:type="dxa" w:w="80"/>
              <w:left w:type="dxa" w:w="100"/>
              <w:bottom w:type="dxa" w:w="80"/>
              <w:right w:type="dxa" w:w="100"/>
            </w:tcMar>
          </w:tcPr>
          <w:p>
            <w:r>
              <w:rPr>
                <w:b w:val="false"/>
                <w:bCs w:val="false"/>
                <w:i w:val="false"/>
                <w:iCs w:val="false"/>
              </w:rPr>
              <w:t xml:space="preserve">Flujos que cruzan varios archivos y estados: verificación E2E con criterio, recuperación de contraseña.</w:t>
            </w:r>
          </w:p>
        </w:tc>
      </w:tr>
      <w:tr>
        <w:tc>
          <w:tcPr>
            <w:tcW w:type="dxa" w:w="2600"/>
            <w:tcMar>
              <w:top w:type="dxa" w:w="80"/>
              <w:left w:type="dxa" w:w="100"/>
              <w:bottom w:type="dxa" w:w="80"/>
              <w:right w:type="dxa" w:w="100"/>
            </w:tcMar>
          </w:tcPr>
          <w:p>
            <w:r>
              <w:rPr>
                <w:b w:val="false"/>
                <w:bCs w:val="false"/>
                <w:i w:val="false"/>
                <w:iCs w:val="false"/>
              </w:rPr>
              <w:t xml:space="preserve">Sonnet</w:t>
            </w:r>
          </w:p>
        </w:tc>
        <w:tc>
          <w:tcPr>
            <w:tcW w:type="dxa" w:w="10000"/>
            <w:tcMar>
              <w:top w:type="dxa" w:w="80"/>
              <w:left w:type="dxa" w:w="100"/>
              <w:bottom w:type="dxa" w:w="80"/>
              <w:right w:type="dxa" w:w="100"/>
            </w:tcMar>
          </w:tcPr>
          <w:p>
            <w:r>
              <w:rPr>
                <w:b w:val="false"/>
                <w:bCs w:val="false"/>
                <w:i w:val="false"/>
                <w:iCs w:val="false"/>
              </w:rPr>
              <w:t xml:space="preserve">Tareas acotadas y mecánicas: configuración, UI, limpieza, contenido. Incluye toda la sección de edición de interfaz de este documento.</w:t>
            </w:r>
          </w:p>
        </w:tc>
      </w:tr>
    </w:tbl>
    <w:p>
      <w:pPr>
        <w:pBdr>
          <w:bottom w:val="single" w:color="999999" w:sz="6" w:space="1"/>
        </w:pBdr>
        <w:spacing w:after="200" w:before="200"/>
      </w:pPr>
    </w:p>
    <w:p>
      <w:pPr>
        <w:pStyle w:val="Heading1"/>
        <w:spacing w:after="150" w:before="300"/>
      </w:pPr>
      <w:r>
        <w:t xml:space="preserve">Infraestructura y accesos</w:t>
      </w:r>
    </w:p>
    <w:p>
      <w:pPr>
        <w:pStyle w:val="ListParagraph"/>
        <w:numPr>
          <w:ilvl w:val="0"/>
          <w:numId w:val="1"/>
        </w:numPr>
        <w:spacing w:after="60"/>
      </w:pPr>
      <w:r>
        <w:t xml:space="preserve">Supabase: proyecto smbnogsvqaowfwqchuvy (región sa-east-1), estado ACTIVE_HEALTHY. 4 migraciones aplicadas, la última (0004) corrige el bug de RLS en households.</w:t>
      </w:r>
    </w:p>
    <w:p>
      <w:pPr>
        <w:pStyle w:val="ListParagraph"/>
        <w:numPr>
          <w:ilvl w:val="0"/>
          <w:numId w:val="1"/>
        </w:numPr>
        <w:spacing w:after="60"/>
      </w:pPr>
      <w:r>
        <w:t xml:space="preserve">Vercel: proyecto saludfamilia (team alnp), conectado al repo de GitHub — cada push a main dispara un deploy a producción. Deployment Protection desactivado; variables de entorno configuradas en Production.</w:t>
      </w:r>
    </w:p>
    <w:p>
      <w:pPr>
        <w:pStyle w:val="ListParagraph"/>
        <w:numPr>
          <w:ilvl w:val="0"/>
          <w:numId w:val="1"/>
        </w:numPr>
        <w:spacing w:after="60"/>
      </w:pPr>
      <w:r>
        <w:t xml:space="preserve">GitHub: github.com/alnp18/saludfamilia, rama main. Sin conector MCP disponible en esta sesión — todo el trabajo de código se aplica manualmente desde PowerShell local (git add / commit / push).</w:t>
      </w:r>
    </w:p>
    <w:p>
      <w:pPr>
        <w:pStyle w:val="ListParagraph"/>
        <w:numPr>
          <w:ilvl w:val="0"/>
          <w:numId w:val="1"/>
        </w:numPr>
        <w:spacing w:after="60"/>
      </w:pPr>
      <w:r>
        <w:t xml:space="preserve">Entorno local: funcional. Node v24.18.0, npm operativo, .env configurado con VITE_SUPABASE_URL y VITE_SUPABASE_ANON_KEY (formato sb_publishable_...).</w:t>
      </w:r>
    </w:p>
    <w:p>
      <w:pPr>
        <w:pBdr>
          <w:bottom w:val="single" w:color="999999" w:sz="6" w:space="1"/>
        </w:pBdr>
        <w:spacing w:after="200" w:before="200"/>
      </w:pPr>
    </w:p>
    <w:p>
      <w:pPr>
        <w:pStyle w:val="Heading1"/>
        <w:spacing w:after="150" w:before="300"/>
      </w:pPr>
      <w:r>
        <w:t xml:space="preserve">Próximos pasos inmediatos sugeridos</w:t>
      </w:r>
    </w:p>
    <w:p>
      <w:pPr>
        <w:pStyle w:val="ListParagraph"/>
        <w:numPr>
          <w:ilvl w:val="0"/>
          <w:numId w:val="1"/>
        </w:numPr>
        <w:spacing w:after="60"/>
      </w:pPr>
      <w:r>
        <w:t xml:space="preserve">Ejecutar la sección de edición de interfaz (P1.5) con Sonnet, módulo por módulo, empezando por el patrón transversal 'Otra extensible' y el de imágenes ampliables, ya que se repiten en varios módulos.</w:t>
      </w:r>
    </w:p>
    <w:p>
      <w:pPr>
        <w:pStyle w:val="ListParagraph"/>
        <w:numPr>
          <w:ilvl w:val="0"/>
          <w:numId w:val="1"/>
        </w:numPr>
        <w:spacing w:after="60"/>
      </w:pPr>
      <w:r>
        <w:t xml:space="preserve">Derivar la tarea #3 (verificación E2E en producción) a Opus, ahora que P0 #1 y #2 están resueltos.</w:t>
      </w:r>
    </w:p>
    <w:p>
      <w:pPr>
        <w:pStyle w:val="ListParagraph"/>
        <w:numPr>
          <w:ilvl w:val="0"/>
          <w:numId w:val="1"/>
        </w:numPr>
        <w:spacing w:after="60"/>
      </w:pPr>
      <w:r>
        <w:t xml:space="preserve">Reservar una sesión con Fable para el diseño detallado de exportar/importar pacientes (mayor riesgo) y del directorio público auditado, antes de tocar RLS.</w:t>
      </w:r>
    </w:p>
    <w:sectPr>
      <w:pgSz w:w="12240" w:h="15840"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2026-07-11T23:21:49.516Z</dcterms:created>
  <dcterms:modified xsi:type="dcterms:W3CDTF">2026-07-11T23:21:49.531Z</dcterms:modified>
</cp:coreProperties>
</file>

<file path=docProps/custom.xml><?xml version="1.0" encoding="utf-8"?>
<Properties xmlns="http://schemas.openxmlformats.org/officeDocument/2006/custom-properties" xmlns:vt="http://schemas.openxmlformats.org/officeDocument/2006/docPropsVTypes"/>
</file>