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SaludFamilia — Plan de Avance hacia el MVP Público</w:t>
      </w:r>
    </w:p>
    <w:p>
      <w:pPr>
        <w:spacing w:after="120"/>
      </w:pPr>
      <w:r>
        <w:rPr>
          <w:b w:val="false"/>
          <w:bCs w:val="false"/>
          <w:i/>
          <w:iCs/>
        </w:rPr>
        <w:t xml:space="preserve">Objetivo: cubrir el 70% de las funcionalidades CORE, y ordenar el trabajo de edición de interfaz y de arquitectura futura detectado durante la verificación E2E.</w:t>
      </w:r>
    </w:p>
    <w:p>
      <w:pPr>
        <w:spacing w:after="120"/>
      </w:pPr>
      <w:r>
        <w:rPr>
          <w:b w:val="false"/>
          <w:bCs w:val="false"/>
          <w:i/>
          <w:iCs/>
        </w:rPr>
        <w:t>Actualizado el 2026-07-16 · Versión unificada (plan original + verificación E2E en producción + recuperación de contraseña + invitaciones al household + exportar/importar pacientes + adjuntos en Storage + auditoría de seguridad RLS + P1.5 completa + P2 100% completa + backlog MI AUDITORIA de Ficha de paciente y Órdenes)</w:t>
      </w:r>
    </w:p>
    <w:p>
      <w:pPr>
        <w:pStyle w:val="Heading1"/>
        <w:spacing w:after="150" w:before="300"/>
      </w:pPr>
      <w:r>
        <w:t xml:space="preserve">Resumen</w:t>
      </w:r>
    </w:p>
    <w:p>
      <w:pPr>
        <w:spacing w:after="120"/>
      </w:pPr>
      <w:r>
        <w:rPr>
          <w:b w:val="false"/>
          <w:bCs w:val="false"/>
          <w:i w:val="false"/>
          <w:iCs w:val="false"/>
        </w:rPr>
        <w:t xml:space="preserve">El CRUD principal de la aplicación ya está construido y verificado E2E en producción: autenticación con aislamiento por familia (RLS), pacientes, órdenes médicas con etapas, medicamentos, signos vitales, centros médicos, médicos y dashboard.</w:t>
      </w:r>
    </w:p>
    <w:p>
      <w:pPr>
        <w:spacing w:after="120"/>
      </w:pPr>
      <w:r>
        <w:rPr>
          <w:b w:val="false"/>
          <w:bCs w:val="false"/>
          <w:i w:val="false"/>
          <w:iCs w:val="false"/>
        </w:rPr>
        <w:t>Estado al 2026-07-16: TODAS las tareas P0 y P1 numeradas están completadas (#4 recuperación de contraseña, #5 UX de confirmación, #6 invitaciones multiusuario, #7 adjuntos en Storage, #8 auditoría RLS). También se completó la pieza B de arquitectura (exportar/importar pacientes), con un diseño distinto al planeado originalmente. La tanda P1.5 (edición de interfaz) está 100% completada, incluyendo los dos ítems que quedaban pendientes al cierre de la sesión anterior: el lightbox/visor de adjuntos con ampliación y descarga, y la migración de Pólizas al helper compartido del patrón "Otra". P2 también está 100% completa: responsive móvil, limpieza del HTML legacy, aviso médico/de privacidad y, como último ítem, estados vacíos y manejo de errores consistente (#11). Además, se relevó y completó un backlog adicional de la usuaria ("MI AUDITORIA"): 5 ajustes en Ficha de paciente y una restructuración de 5 partes en Órdenes médicas (ver sección dedicada más abajo). Fuera de esto queda solo la pieza A de arquitectura (directorio público auditado, Fable), sin ítems numerados pendientes del plan original.</w:t>
      </w:r>
    </w:p>
    <w:p>
      <w:pPr>
        <w:pStyle w:val="ListParagraph"/>
        <w:numPr>
          <w:ilvl w:val="0"/>
          <w:numId w:val="1"/>
        </w:numPr>
        <w:spacing w:after="80"/>
      </w:pPr>
      <w:r>
        <w:t>Frente numerado restante: ninguno — P1, P1.5 y P2 están 100% completadas.</w:t>
      </w:r>
    </w:p>
    <w:p>
      <w:pPr>
        <w:pStyle w:val="ListParagraph"/>
        <w:numPr>
          <w:ilvl w:val="0"/>
          <w:numId w:val="1"/>
        </w:numPr>
        <w:spacing w:after="80"/>
      </w:pPr>
      <w:r>
        <w:t>Arquitectura restante: pieza A, directorio público auditado de médicos y centros — Fable, pendiente de diseño detallado.</w:t>
      </w:r>
    </w:p>
    <w:p>
      <w:pPr>
        <w:pStyle w:val="Heading1"/>
        <w:spacing w:after="150" w:before="300"/>
      </w:pPr>
      <w:r>
        <w:t xml:space="preserve">Estado de las prioridades P0 (bloqueantes de lanzamiento)</w:t>
      </w:r>
    </w:p>
    <w:p>
      <w:pPr>
        <w:spacing w:after="120"/>
      </w:pPr>
      <w:r>
        <w:rPr>
          <w:b w:val="false"/>
          <w:bCs w:val="false"/>
          <w:i w:val="false"/>
          <w:iCs w:val="false"/>
        </w:rPr>
        <w:t xml:space="preserve">Las tres tareas originales de P0 fueron revisadas en la sesión del 2026-07-11 y la tarea #3 se completó formalmente el 2026-07-15. Estado actualizado: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200"/>
        <w:gridCol w:w="4700"/>
      </w:tblGrid>
      <w:tr>
        <w:tc>
          <w:tcPr>
            <w:tcW w:type="dxa" w:w="500"/>
            <w:shd w:fill="F2F2F2" w:val="clear"/>
            <w:vAlign w:val="center"/>
          </w:tcPr>
          <w:p>
            <w:r>
              <w:rPr>
                <w:b/>
                <w:bCs/>
              </w:rPr>
              <w:t xml:space="preserve">#</w:t>
            </w:r>
          </w:p>
        </w:tc>
        <w:tc>
          <w:tcPr>
            <w:tcW w:type="dxa" w:w="36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4700"/>
            <w:shd w:fill="F2F2F2" w:val="clear"/>
            <w:vAlign w:val="center"/>
          </w:tcPr>
          <w:p>
            <w:r>
              <w:rPr>
                <w:b/>
                <w:bCs/>
              </w:rPr>
              <w:t xml:space="preserve">Estado</w:t>
            </w:r>
          </w:p>
        </w:tc>
      </w:tr>
      <w:tr>
        <w:tc>
          <w:tcPr>
            <w:tcW w:type="dxa" w:w="500"/>
            <w:vAlign w:val="center"/>
          </w:tcPr>
          <w:p>
            <w:r>
              <w:rPr>
                <w:b w:val="false"/>
                <w:bCs w:val="false"/>
              </w:rPr>
              <w:t xml:space="preserve">1</w:t>
            </w:r>
          </w:p>
        </w:tc>
        <w:tc>
          <w:tcPr>
            <w:tcW w:type="dxa" w:w="3600"/>
            <w:vAlign w:val="center"/>
          </w:tcPr>
          <w:p>
            <w:r>
              <w:rPr>
                <w:b w:val="false"/>
                <w:bCs w:val="false"/>
              </w:rPr>
              <w:t xml:space="preserve">Configurar VITE_SUPABASE_URL y VITE_SUPABASE_ANON_KEY en Vercel</w:t>
            </w:r>
          </w:p>
        </w:tc>
        <w:tc>
          <w:tcPr>
            <w:tcW w:type="dxa" w:w="1200"/>
            <w:vAlign w:val="center"/>
          </w:tcPr>
          <w:p>
            <w:r>
              <w:rPr>
                <w:b w:val="false"/>
                <w:bCs w:val="false"/>
              </w:rPr>
              <w:t xml:space="preserve">Sonnet</w:t>
            </w:r>
          </w:p>
        </w:tc>
        <w:tc>
          <w:tcPr>
            <w:tcW w:type="dxa" w:w="4700"/>
            <w:shd w:fill="E2EFDA" w:val="clear"/>
            <w:vAlign w:val="center"/>
          </w:tcPr>
          <w:p>
            <w:r>
              <w:rPr>
                <w:b w:val="false"/>
                <w:bCs w:val="false"/>
              </w:rPr>
              <w:t xml:space="preserve">✅ Completada. Variables cargadas en Production; redeploy confirmado; error de credenciales faltantes ya no aparece.</w:t>
            </w:r>
          </w:p>
        </w:tc>
      </w:tr>
      <w:tr>
        <w:tc>
          <w:tcPr>
            <w:tcW w:type="dxa" w:w="500"/>
            <w:vAlign w:val="center"/>
          </w:tcPr>
          <w:p>
            <w:r>
              <w:rPr>
                <w:b w:val="false"/>
                <w:bCs w:val="false"/>
              </w:rPr>
              <w:t xml:space="preserve">2</w:t>
            </w:r>
          </w:p>
        </w:tc>
        <w:tc>
          <w:tcPr>
            <w:tcW w:type="dxa" w:w="3600"/>
            <w:vAlign w:val="center"/>
          </w:tcPr>
          <w:p>
            <w:r>
              <w:rPr>
                <w:b w:val="false"/>
                <w:bCs w:val="false"/>
              </w:rPr>
              <w:t xml:space="preserve">Desactivar Deployment Protection en Vercel</w:t>
            </w:r>
          </w:p>
        </w:tc>
        <w:tc>
          <w:tcPr>
            <w:tcW w:type="dxa" w:w="1200"/>
            <w:vAlign w:val="center"/>
          </w:tcPr>
          <w:p>
            <w:r>
              <w:rPr>
                <w:b w:val="false"/>
                <w:bCs w:val="false"/>
              </w:rPr>
              <w:t xml:space="preserve">Sonnet</w:t>
            </w:r>
          </w:p>
        </w:tc>
        <w:tc>
          <w:tcPr>
            <w:tcW w:type="dxa" w:w="4700"/>
            <w:shd w:fill="E2EFDA" w:val="clear"/>
            <w:vAlign w:val="center"/>
          </w:tcPr>
          <w:p>
            <w:r>
              <w:rPr>
                <w:b w:val="false"/>
                <w:bCs w:val="false"/>
              </w:rPr>
              <w:t xml:space="preserve">✅ Completada. Confirmado en ventana in-private: el sitio ya no redirige a un login de Vercel.</w:t>
            </w:r>
          </w:p>
        </w:tc>
      </w:tr>
      <w:tr>
        <w:tc>
          <w:tcPr>
            <w:tcW w:type="dxa" w:w="500"/>
            <w:vAlign w:val="center"/>
          </w:tcPr>
          <w:p>
            <w:r>
              <w:rPr>
                <w:b w:val="false"/>
                <w:bCs w:val="false"/>
              </w:rPr>
              <w:t xml:space="preserve">3</w:t>
            </w:r>
          </w:p>
        </w:tc>
        <w:tc>
          <w:tcPr>
            <w:tcW w:type="dxa" w:w="3600"/>
            <w:vAlign w:val="center"/>
          </w:tcPr>
          <w:p>
            <w:r>
              <w:rPr>
                <w:b w:val="false"/>
                <w:bCs w:val="false"/>
              </w:rPr>
              <w:t xml:space="preserve">Verificación E2E en producción (signup → paciente → orden → medicamentos → vitales)</w:t>
            </w:r>
          </w:p>
        </w:tc>
        <w:tc>
          <w:tcPr>
            <w:tcW w:type="dxa" w:w="1200"/>
            <w:vAlign w:val="center"/>
          </w:tcPr>
          <w:p>
            <w:r>
              <w:rPr>
                <w:b w:val="false"/>
                <w:bCs w:val="false"/>
              </w:rPr>
              <w:t xml:space="preserve">Opus</w:t>
            </w:r>
          </w:p>
        </w:tc>
        <w:tc>
          <w:tcPr>
            <w:tcW w:type="dxa" w:w="4700"/>
            <w:shd w:fill="E2EFDA" w:val="clear"/>
            <w:vAlign w:val="center"/>
          </w:tcPr>
          <w:p>
            <w:r>
              <w:rPr>
                <w:b w:val="false"/>
                <w:bCs w:val="false"/>
              </w:rPr>
              <w:t xml:space="preserve">✅ Completada el 2026-07-15. Recorrido completo por la UI real de saludfamilia.vercel.app con verificación cruzada por SQL en cada paso. Todos los pasos pasan, sin regresiones en los bugs corregidos previamente. Ver sección dedicada 'Resultado de la verificación E2E en producción' más abajo.</w:t>
            </w:r>
          </w:p>
        </w:tc>
      </w:tr>
    </w:tbl>
    <w:p>
      <w:pPr>
        <w:pStyle w:val="Heading2"/>
        <w:spacing w:after="120" w:before="240"/>
      </w:pPr>
      <w:r>
        <w:t xml:space="preserve">Bugs encontrados y corregidos durante la sesión del 2026-07-11 (fuera del alcance original de P0, pero bloqueantes en la práctica)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3300"/>
        <w:gridCol w:w="3500"/>
      </w:tblGrid>
      <w:tr>
        <w:tc>
          <w:tcPr>
            <w:tcW w:type="dxa" w:w="3200"/>
            <w:shd w:fill="F2F2F2" w:val="clear"/>
            <w:vAlign w:val="center"/>
          </w:tcPr>
          <w:p>
            <w:r>
              <w:rPr>
                <w:b/>
                <w:bCs/>
              </w:rPr>
              <w:t xml:space="preserve">Bug</w:t>
            </w:r>
          </w:p>
        </w:tc>
        <w:tc>
          <w:tcPr>
            <w:tcW w:type="dxa" w:w="3300"/>
            <w:shd w:fill="F2F2F2" w:val="clear"/>
            <w:vAlign w:val="center"/>
          </w:tcPr>
          <w:p>
            <w:r>
              <w:rPr>
                <w:b/>
                <w:bCs/>
              </w:rPr>
              <w:t xml:space="preserve">Causa raíz</w:t>
            </w:r>
          </w:p>
        </w:tc>
        <w:tc>
          <w:tcPr>
            <w:tcW w:type="dxa" w:w="3500"/>
            <w:shd w:fill="F2F2F2" w:val="clear"/>
            <w:vAlign w:val="center"/>
          </w:tcPr>
          <w:p>
            <w:r>
              <w:rPr>
                <w:b/>
                <w:bCs/>
              </w:rPr>
              <w:t xml:space="preserve">Resolución</w:t>
            </w:r>
          </w:p>
        </w:tc>
      </w:tr>
      <w:tr>
        <w:tc>
          <w:tcPr>
            <w:tcW w:type="dxa" w:w="3200"/>
            <w:vAlign w:val="center"/>
          </w:tcPr>
          <w:p>
            <w:r>
              <w:rPr>
                <w:b w:val="false"/>
                <w:bCs w:val="false"/>
              </w:rPr>
              <w:t xml:space="preserve">403 al crear el primer household de un usuario nuevo (bloqueaba todo uso de la app tras signup)</w:t>
            </w:r>
          </w:p>
        </w:tc>
        <w:tc>
          <w:tcPr>
            <w:tcW w:type="dxa" w:w="3300"/>
            <w:vAlign w:val="center"/>
          </w:tcPr>
          <w:p>
            <w:r>
              <w:rPr>
                <w:b w:val="false"/>
                <w:bCs w:val="false"/>
              </w:rPr>
              <w:t xml:space="preserve">La política RLS de SELECT en 'households' dependía únicamente de is_household_member(), una función STABLE que no ve la membership creada por el trigger on_household_created dentro de la misma sentencia INSERT ... RETURNING.</w:t>
            </w:r>
          </w:p>
        </w:tc>
        <w:tc>
          <w:tcPr>
            <w:tcW w:type="dxa" w:w="3500"/>
            <w:vAlign w:val="center"/>
          </w:tcPr>
          <w:p>
            <w:r>
              <w:rPr>
                <w:b w:val="false"/>
                <w:bCs w:val="false"/>
              </w:rPr>
              <w:t xml:space="preserve">Migración 0004_fix_households_select_rls: se agregó '(select auth.uid()) = created_by' como condición adicional de la política. Verificado con reproducción exacta del error antes/después del fix. Re-confirmado sin regresión en el E2E del 2026-07-15.</w:t>
            </w:r>
          </w:p>
        </w:tc>
      </w:tr>
      <w:tr>
        <w:tc>
          <w:tcPr>
            <w:tcW w:type="dxa" w:w="3200"/>
            <w:vAlign w:val="center"/>
          </w:tcPr>
          <w:p>
            <w:r>
              <w:rPr>
                <w:b w:val="false"/>
                <w:bCs w:val="false"/>
              </w:rPr>
              <w:t xml:space="preserve">500 en /auth/v1/signup por doble envío del formulario</w:t>
            </w:r>
          </w:p>
        </w:tc>
        <w:tc>
          <w:tcPr>
            <w:tcW w:type="dxa" w:w="3300"/>
            <w:vAlign w:val="center"/>
          </w:tcPr>
          <w:p>
            <w:r>
              <w:rPr>
                <w:b w:val="false"/>
                <w:bCs w:val="false"/>
              </w:rPr>
              <w:t xml:space="preserve">El botón de submit no se deshabilitaba durante la request en curso, permitiendo un segundo signUp() concurrente con el mismo correo (duplicate key en users_email_partial_key).</w:t>
            </w:r>
          </w:p>
        </w:tc>
        <w:tc>
          <w:tcPr>
            <w:tcW w:type="dxa" w:w="3500"/>
            <w:vAlign w:val="center"/>
          </w:tcPr>
          <w:p>
            <w:r>
              <w:rPr>
                <w:b w:val="false"/>
                <w:bCs w:val="false"/>
              </w:rPr>
              <w:t xml:space="preserve">Se agregó un guard (submitBtn.disabled) en el listener de submit de main.js. Commit 78a7081. Re-confirmado en el E2E del 2026-07-15 (una sola fila creada en auth.users).</w:t>
            </w:r>
          </w:p>
        </w:tc>
      </w:tr>
    </w:tbl>
    <w:p>
      <w:pPr>
        <w:pStyle w:val="Heading2"/>
        <w:spacing w:after="120" w:before="240"/>
      </w:pPr>
      <w:r>
        <w:t xml:space="preserve">Mejoras de mensajería de autenticación implementadas en la sesión del 2026-07-11</w:t>
      </w:r>
    </w:p>
    <w:p>
      <w:pPr>
        <w:spacing w:after="120"/>
      </w:pPr>
      <w:r>
        <w:rPr>
          <w:b w:val="false"/>
          <w:bCs w:val="false"/>
          <w:i w:val="false"/>
          <w:iCs w:val="false"/>
        </w:rPr>
        <w:t xml:space="preserve">Aprobadas y ya desplegadas (commit 2d7c9681, con corrección posterior 7a015e4 por un listener perdido en el primer patch). Re-confirmadas en el E2E del 2026-07-15:</w:t>
      </w:r>
    </w:p>
    <w:p>
      <w:pPr>
        <w:pStyle w:val="ListParagraph"/>
        <w:numPr>
          <w:ilvl w:val="0"/>
          <w:numId w:val="1"/>
        </w:numPr>
        <w:spacing w:after="80"/>
      </w:pPr>
      <w:r>
        <w:t xml:space="preserve">Mensaje de confirmación al crear cuenta, indicando que debe revisar su correo.</w:t>
      </w:r>
    </w:p>
    <w:p>
      <w:pPr>
        <w:pStyle w:val="ListParagraph"/>
        <w:numPr>
          <w:ilvl w:val="0"/>
          <w:numId w:val="1"/>
        </w:numPr>
        <w:spacing w:after="80"/>
      </w:pPr>
      <w:r>
        <w:t xml:space="preserve">Mensaje de error de login más útil, sin distinguir explícitamente 'contraseña incorrecta' de 'correo no confirmado' — decisión deliberada para no habilitar enumeración de cuentas registradas.</w:t>
      </w:r>
    </w:p>
    <w:p>
      <w:pPr>
        <w:pStyle w:val="ListParagraph"/>
        <w:numPr>
          <w:ilvl w:val="0"/>
          <w:numId w:val="1"/>
        </w:numPr>
        <w:spacing w:after="80"/>
      </w:pPr>
      <w:r>
        <w:t xml:space="preserve">Se decidió NO advertir explícitamente si un correo ya tiene cuenta al intentar crear una nueva, por el mismo motivo de seguridad (evitar que un visitante no autenticado pueda sondear qué correos están registrados en una app de datos médicos).</w:t>
      </w:r>
    </w:p>
    <w:p>
      <w:pPr>
        <w:pStyle w:val="Heading1"/>
        <w:spacing w:after="150" w:before="300"/>
      </w:pPr>
      <w:r>
        <w:t xml:space="preserve">Resultado de la verificación E2E en producción (2026-07-15)</w:t>
      </w:r>
    </w:p>
    <w:p>
      <w:pPr>
        <w:spacing w:after="120"/>
      </w:pPr>
      <w:r>
        <w:rPr>
          <w:b w:val="false"/>
          <w:bCs w:val="false"/>
          <w:i w:val="false"/>
          <w:iCs w:val="false"/>
        </w:rPr>
        <w:t xml:space="preserve">Ejecutada por UI real (Claude in Chrome) contra https://saludfamilia.vercel.app, con verificación cruzada por SQL en Supabase en cada paso. Todos los pasos PASAN:</w:t>
      </w:r>
    </w:p>
    <w:p>
      <w:pPr>
        <w:pStyle w:val="ListParagraph"/>
        <w:numPr>
          <w:ilvl w:val="0"/>
          <w:numId w:val="1"/>
        </w:numPr>
        <w:spacing w:after="80"/>
      </w:pPr>
      <w:r>
        <w:t xml:space="preserve">Signup (alnp.alnp@gmail.com): cuenta creada, una sola fila (guard de doble submit OK), mensaje de confirmación no-enumerante correcto, email_confirmed_at null hasta confirmar. Sin household prematuro — ensureHousehold() no corre hasta el login autenticado.</w:t>
      </w:r>
    </w:p>
    <w:p>
      <w:pPr>
        <w:pStyle w:val="ListParagraph"/>
        <w:numPr>
          <w:ilvl w:val="0"/>
          <w:numId w:val="1"/>
        </w:numPr>
        <w:spacing w:after="80"/>
      </w:pPr>
      <w:r>
        <w:t xml:space="preserve">Confirmación de correo + login: el usuario confirmó desde su bandeja e inició sesión con su contraseña (por política, el agente no ingresa contraseñas ni crea cuentas — esos pasos los hace siempre el usuario).</w:t>
      </w:r>
    </w:p>
    <w:p>
      <w:pPr>
        <w:pStyle w:val="ListParagraph"/>
        <w:numPr>
          <w:ilvl w:val="0"/>
          <w:numId w:val="1"/>
        </w:numPr>
        <w:spacing w:after="80"/>
      </w:pPr>
      <w:r>
        <w:t xml:space="preserve">ensureHousehold / bug 403: el bug sigue corregido. Tras el login se creó exactamente un household + membership (rol owner), sin duplicados y sin error. Este era el punto crítico de la migración 0004.</w:t>
      </w:r>
    </w:p>
    <w:p>
      <w:pPr>
        <w:pStyle w:val="ListParagraph"/>
        <w:numPr>
          <w:ilvl w:val="0"/>
          <w:numId w:val="1"/>
        </w:numPr>
        <w:spacing w:after="80"/>
      </w:pPr>
      <w:r>
        <w:t xml:space="preserve">Paciente / Orden / Medicamento / Signos vitales: cada creación persistió con todos los campos correctos y household_id consistente.</w:t>
      </w:r>
    </w:p>
    <w:p>
      <w:pPr>
        <w:pStyle w:val="ListParagraph"/>
        <w:numPr>
          <w:ilvl w:val="0"/>
          <w:numId w:val="1"/>
        </w:numPr>
        <w:spacing w:after="80"/>
      </w:pPr>
      <w:r>
        <w:t xml:space="preserve">Aislamiento RLS (simulando el JWT de cada usuario en una transacción con rollback): el otro usuario (dacn) ve 0 filas en patients, medical_orders, medications y vital_signs; el dueño (alnp) ve exactamente 1 de cada uno. Aislamiento bidireccional confirmado.</w:t>
      </w:r>
    </w:p>
    <w:p>
      <w:pPr>
        <w:pStyle w:val="Heading2"/>
        <w:spacing w:after="120" w:before="240"/>
      </w:pPr>
      <w:r>
        <w:t xml:space="preserve">Hallazgos menores durante el E2E (no bloqueantes)</w:t>
      </w:r>
    </w:p>
    <w:p>
      <w:pPr>
        <w:pStyle w:val="ListParagraph"/>
        <w:numPr>
          <w:ilvl w:val="0"/>
          <w:numId w:val="1"/>
        </w:numPr>
        <w:spacing w:after="80"/>
      </w:pPr>
      <w:r>
        <w:t xml:space="preserve">vital_signs.edad se guarda null: la app calcula la edad al vuelo desde fecha_nacimiento para mostrarla (paciente '36 años'), pero no la persiste en el registro de signos vitales. La columna existe y queda vacía. Revisar si se quiere poblar al guardar.</w:t>
      </w:r>
    </w:p>
    <w:p>
      <w:pPr>
        <w:pStyle w:val="ListParagraph"/>
        <w:numPr>
          <w:ilvl w:val="0"/>
          <w:numId w:val="1"/>
        </w:numPr>
        <w:spacing w:after="80"/>
      </w:pPr>
      <w:r>
        <w:t xml:space="preserve">Advisor de seguridad (preexistente, Supabase): is_household_member(hid uuid) es SECURITY DEFINER e invocable vía /rest/v1/rpc/is_household_member por el rol authenticated (WARN). Es justo el punto a revisar en la auditoría RLS de Fable (P1 #8): revocar EXECUTE, pasar a SECURITY INVOKER, o sacarla del schema expuesto.</w:t>
      </w:r>
    </w:p>
    <w:p>
      <w:pPr>
        <w:pStyle w:val="ListParagraph"/>
        <w:numPr>
          <w:ilvl w:val="0"/>
          <w:numId w:val="1"/>
        </w:numPr>
        <w:spacing w:after="80"/>
      </w:pPr>
      <w:r>
        <w:t xml:space="preserve">Advisor de seguridad (preexistente, Supabase): 'Leaked password protection' desactivado en Auth (WARN) — activar el chequeo contra HaveIBeenPwned si se desea.</w:t>
      </w:r>
    </w:p>
    <w:p>
      <w:pPr>
        <w:pStyle w:val="Heading2"/>
        <w:spacing w:after="120" w:before="240"/>
      </w:pPr>
      <w:r>
        <w:t xml:space="preserve">Estado de los datos de producción tras el E2E</w:t>
      </w:r>
    </w:p>
    <w:p>
      <w:pPr>
        <w:spacing w:after="120"/>
      </w:pPr>
      <w:r>
        <w:rPr>
          <w:b w:val="false"/>
          <w:bCs w:val="false"/>
          <w:i w:val="false"/>
          <w:iCs w:val="false"/>
        </w:rPr>
        <w:t xml:space="preserve">La base de datos de producción ya NO está vacía. Se conservaron deliberadamente los datos de prueba generados durante el E2E:</w:t>
      </w:r>
    </w:p>
    <w:p>
      <w:pPr>
        <w:pStyle w:val="ListParagraph"/>
        <w:numPr>
          <w:ilvl w:val="0"/>
          <w:numId w:val="1"/>
        </w:numPr>
        <w:spacing w:after="80"/>
      </w:pPr>
      <w:r>
        <w:t xml:space="preserve">auth.users: 2 — alnp.alnp@gmail.com (cuenta del E2E, con el set completo de datos de muestra) y dacn.2026@gmail.com (household propio, sin pacientes).</w:t>
      </w:r>
    </w:p>
    <w:p>
      <w:pPr>
        <w:pStyle w:val="ListParagraph"/>
        <w:numPr>
          <w:ilvl w:val="0"/>
          <w:numId w:val="1"/>
        </w:numPr>
        <w:spacing w:after="80"/>
      </w:pPr>
      <w:r>
        <w:t xml:space="preserve">households: 2 · household_members: 2</w:t>
      </w:r>
    </w:p>
    <w:p>
      <w:pPr>
        <w:pStyle w:val="ListParagraph"/>
        <w:numPr>
          <w:ilvl w:val="0"/>
          <w:numId w:val="1"/>
        </w:numPr>
        <w:spacing w:after="80"/>
      </w:pPr>
      <w:r>
        <w:t xml:space="preserve">Datos de alnp.alnp (marcados como 'prueba E2E'): 1 paciente, 1 orden médica (etapas Orden y Solicitud completas), 1 medicamento (Metformina 850mg, horarios 08:00/20:00), 1 registro de signos vitales.</w:t>
      </w:r>
    </w:p>
    <w:p>
      <w:pPr>
        <w:pStyle w:val="ListParagraph"/>
        <w:numPr>
          <w:ilvl w:val="0"/>
          <w:numId w:val="1"/>
        </w:numPr>
        <w:spacing w:after="80"/>
      </w:pPr>
      <w:r>
        <w:t xml:space="preserve">doctors: 0 · medical_centers: 0 (directorios vacíos).</w:t>
      </w:r>
    </w:p>
    <w:p>
      <w:pPr>
        <w:spacing w:after="120"/>
      </w:pPr>
      <w:r>
        <w:rPr>
          <w:b w:val="false"/>
          <w:bCs w:val="false"/>
          <w:i w:val="false"/>
          <w:iCs w:val="false"/>
        </w:rPr>
        <w:t xml:space="preserve">Consecuencia práctica: si se necesita un E2E limpio de nuevo, usar un tercer correo o limpiar estos datos primero. El esquema, funciones, triggers y políticas RLS están intactos.</w:t>
      </w:r>
    </w:p>
    <w:p>
      <w:pPr>
        <w:pStyle w:val="Heading1"/>
        <w:spacing w:after="150" w:before="300"/>
      </w:pPr>
      <w:r>
        <w:t xml:space="preserve">Recuperación de contraseña (P1 #4) — completada el 2026-07-15</w:t>
      </w:r>
    </w:p>
    <w:p>
      <w:pPr>
        <w:spacing w:after="120"/>
      </w:pPr>
      <w:r>
        <w:rPr>
          <w:b w:val="false"/>
          <w:bCs w:val="false"/>
          <w:i w:val="false"/>
          <w:iCs w:val="false"/>
        </w:rPr>
        <w:t xml:space="preserve">Diseñada a alto nivel en la sesión del 2026-07-11 (evento PASSWORD_RECOVERY, nuevo estado de pantalla, redirect URLs en Supabase), implementada y verificada E2E en esta sesión. Commits 6674da3 (flujo completo) y 8e6736d (previsualizar contraseña).</w:t>
      </w:r>
    </w:p>
    <w:p>
      <w:pPr>
        <w:pStyle w:val="ListParagraph"/>
        <w:numPr>
          <w:ilvl w:val="0"/>
          <w:numId w:val="1"/>
        </w:numPr>
        <w:spacing w:after="80"/>
      </w:pPr>
      <w:r>
        <w:t xml:space="preserve">Enlace '¿Olvidaste tu contraseña?' en el login pasa el formulario a modo recover (solo pide correo); requestPasswordReset() llama a resetPasswordForEmail y muestra un mensaje neutro, sin revelar si el correo existe.</w:t>
      </w:r>
    </w:p>
    <w:p>
      <w:pPr>
        <w:pStyle w:val="ListParagraph"/>
        <w:numPr>
          <w:ilvl w:val="0"/>
          <w:numId w:val="1"/>
        </w:numPr>
        <w:spacing w:after="80"/>
      </w:pPr>
      <w:r>
        <w:t xml:space="preserve">El enlace del correo vuelve con #type=recovery en la URL. Se captura en un &lt;script&gt; inline en el &lt;head&gt; de index.html, antes de que cargue el bundle de supabase-js — createClient() limpia ese hash apenas se importa, así que capturarlo dentro de main.js llegaba tarde.</w:t>
      </w:r>
    </w:p>
    <w:p>
      <w:pPr>
        <w:pStyle w:val="ListParagraph"/>
        <w:numPr>
          <w:ilvl w:val="0"/>
          <w:numId w:val="1"/>
        </w:numPr>
        <w:spacing w:after="80"/>
      </w:pPr>
      <w:r>
        <w:t xml:space="preserve">El evento PASSWORD_RECOVERY de onAuthStateChange intercepta la sesión temporal del enlace y fuerza el modo reset (nueva contraseña + repetir), sin dejar que la app haga bootstrap con esa sesión.</w:t>
      </w:r>
    </w:p>
    <w:p>
      <w:pPr>
        <w:pStyle w:val="ListParagraph"/>
        <w:numPr>
          <w:ilvl w:val="0"/>
          <w:numId w:val="1"/>
        </w:numPr>
        <w:spacing w:after="80"/>
      </w:pPr>
      <w:r>
        <w:t xml:space="preserve">Al confirmar, updatePassword() llama a supabase.auth.updateUser({ password }), se cierra la sesión temporal (signOut), se limpia el hash de la URL y se vuelve al login con mensaje de éxito — el usuario inicia sesión de nuevo con la contraseña nueva.</w:t>
      </w:r>
    </w:p>
    <w:p>
      <w:pPr>
        <w:pStyle w:val="ListParagraph"/>
        <w:numPr>
          <w:ilvl w:val="0"/>
          <w:numId w:val="1"/>
        </w:numPr>
        <w:spacing w:after="80"/>
      </w:pPr>
      <w:r>
        <w:t xml:space="preserve">Toda la lógica de estados (signin / signup / recover / reset) quedó centralizada en un objeto AUTH_MODES en main.js.</w:t>
      </w:r>
    </w:p>
    <w:p>
      <w:pPr>
        <w:pStyle w:val="ListParagraph"/>
        <w:numPr>
          <w:ilvl w:val="0"/>
          <w:numId w:val="1"/>
        </w:numPr>
        <w:spacing w:after="80"/>
      </w:pPr>
      <w:r>
        <w:t xml:space="preserve">Verificación E2E: flujo real de punta a punta con el correo del propio usuario (dacn.2026@gmail.com) contra saludfamilia.vercel.app. Confirmado por SQL en Supabase (token de recuperación generado y consumido) y por el salto fresco de last_sign_in_at tras el login con la contraseña nueva.</w:t>
      </w:r>
    </w:p>
    <w:p>
      <w:pPr>
        <w:pStyle w:val="Heading2"/>
        <w:spacing w:after="120" w:before="240"/>
      </w:pPr>
      <w:r>
        <w:t xml:space="preserve">Previsualizar contraseña (mejora agregada durante la sesión, no planeada originalmente)</w:t>
      </w:r>
    </w:p>
    <w:p>
      <w:pPr>
        <w:spacing w:after="120"/>
      </w:pPr>
      <w:r>
        <w:rPr>
          <w:b w:val="false"/>
          <w:bCs w:val="false"/>
          <w:i w:val="false"/>
          <w:iCs w:val="false"/>
        </w:rPr>
        <w:t xml:space="preserve">Durante la verificación E2E de recuperación, el usuario señaló que no existía forma de previsualizar la contraseña antes de iniciar sesión, lo que puede llevar a errores de tipeo constantes al momento de loguearse. Se agregó un botón de mostrar/ocultar (íconos ojo / ojo tachado) en los campos de contraseña y repetir contraseña del formulario de auth, reseteado a oculto cada vez que cambia el modo del formulario. Verificado por el usuario en producción.</w:t>
      </w:r>
    </w:p>
    <w:p>
      <w:pPr>
        <w:pStyle w:val="Heading1"/>
        <w:spacing w:after="150" w:before="300"/>
      </w:pPr>
      <w:r>
        <w:t xml:space="preserve">Prioridad P1 — Core faltante (COMPLETA al 2026-07-16)</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1200"/>
        <w:gridCol w:w="5200"/>
      </w:tblGrid>
      <w:tr>
        <w:tc>
          <w:tcPr>
            <w:tcW w:type="dxa" w:w="500"/>
            <w:shd w:fill="F2F2F2" w:val="clear"/>
            <w:vAlign w:val="center"/>
          </w:tcPr>
          <w:p>
            <w:r>
              <w:rPr>
                <w:b/>
                <w:bCs/>
              </w:rPr>
              <w:t xml:space="preserve">#</w:t>
            </w:r>
          </w:p>
        </w:tc>
        <w:tc>
          <w:tcPr>
            <w:tcW w:type="dxa" w:w="32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5200"/>
            <w:shd w:fill="F2F2F2" w:val="clear"/>
            <w:vAlign w:val="center"/>
          </w:tcPr>
          <w:p>
            <w:r>
              <w:rPr>
                <w:b/>
                <w:bCs/>
              </w:rPr>
              <w:t xml:space="preserve">Por qué ese agente</w:t>
            </w:r>
          </w:p>
        </w:tc>
      </w:tr>
      <w:tr>
        <w:tc>
          <w:tcPr>
            <w:tcW w:type="dxa" w:w="500"/>
            <w:vAlign w:val="center"/>
          </w:tcPr>
          <w:p>
            <w:r>
              <w:rPr>
                <w:b w:val="false"/>
                <w:bCs w:val="false"/>
              </w:rPr>
              <w:t xml:space="preserve">4</w:t>
            </w:r>
          </w:p>
        </w:tc>
        <w:tc>
          <w:tcPr>
            <w:tcW w:type="dxa" w:w="3200"/>
            <w:vAlign w:val="center"/>
          </w:tcPr>
          <w:p>
            <w:r>
              <w:rPr>
                <w:b w:val="false"/>
                <w:bCs w:val="false"/>
              </w:rPr>
              <w:t xml:space="preserve">Recuperación de contraseña</w:t>
            </w:r>
          </w:p>
        </w:tc>
        <w:tc>
          <w:tcPr>
            <w:tcW w:type="dxa" w:w="1200"/>
            <w:vAlign w:val="center"/>
          </w:tcPr>
          <w:p>
            <w:r>
              <w:rPr>
                <w:b w:val="false"/>
                <w:bCs w:val="false"/>
              </w:rPr>
              <w:t xml:space="preserve">Opus</w:t>
            </w:r>
          </w:p>
        </w:tc>
        <w:tc>
          <w:tcPr>
            <w:tcW w:type="dxa" w:w="5200"/>
            <w:shd w:fill="E2EFDA" w:val="clear"/>
            <w:vAlign w:val="center"/>
          </w:tcPr>
          <w:p>
            <w:r>
              <w:rPr>
                <w:b w:val="false"/>
                <w:bCs w:val="false"/>
              </w:rPr>
              <w:t xml:space="preserve">✅ Completada el 2026-07-15. Ver sección dedicada 'Recuperación de contraseña (P1 #4)' más arriba, con el detalle de implementación, la mejora de previsualizar contraseña y la verificación E2E.</w:t>
            </w:r>
          </w:p>
        </w:tc>
      </w:tr>
      <w:tr>
        <w:tc>
          <w:tcPr>
            <w:tcW w:type="dxa" w:w="500"/>
            <w:vAlign w:val="center"/>
          </w:tcPr>
          <w:p>
            <w:r>
              <w:rPr>
                <w:b w:val="false"/>
                <w:bCs w:val="false"/>
              </w:rPr>
              <w:t xml:space="preserve">5</w:t>
            </w:r>
          </w:p>
        </w:tc>
        <w:tc>
          <w:tcPr>
            <w:tcW w:type="dxa" w:w="3200"/>
            <w:vAlign w:val="center"/>
          </w:tcPr>
          <w:p>
            <w:r>
              <w:rPr>
                <w:b w:val="false"/>
                <w:bCs w:val="false"/>
              </w:rPr>
              <w:t xml:space="preserve">UX de confirmación de email en signup</w:t>
            </w:r>
          </w:p>
        </w:tc>
        <w:tc>
          <w:tcPr>
            <w:tcW w:type="dxa" w:w="1200"/>
            <w:vAlign w:val="center"/>
          </w:tcPr>
          <w:p>
            <w:r>
              <w:rPr>
                <w:b w:val="false"/>
                <w:bCs w:val="false"/>
              </w:rPr>
              <w:t xml:space="preserve">Sonnet</w:t>
            </w:r>
          </w:p>
        </w:tc>
        <w:tc>
          <w:tcPr>
            <w:tcW w:type="dxa" w:w="5200"/>
            <w:shd w:fill="E2EFDA" w:val="clear"/>
            <w:vAlign w:val="center"/>
          </w:tcPr>
          <w:p>
            <w:r>
              <w:rPr>
                <w:b w:val="false"/>
                <w:bCs w:val="false"/>
              </w:rPr>
              <w:t xml:space="preserve">✅ Ya cubierta como parte de las mejoras de mensajería de la sesión del 2026-07-11. Re-confirmada en el E2E del 2026-07-15.</w:t>
            </w:r>
          </w:p>
        </w:tc>
      </w:tr>
      <w:tr>
        <w:tc>
          <w:tcPr>
            <w:tcW w:type="dxa" w:w="500"/>
            <w:vAlign w:val="center"/>
          </w:tcPr>
          <w:p>
            <w:r>
              <w:rPr>
                <w:b w:val="false"/>
                <w:bCs w:val="false"/>
              </w:rPr>
              <w:t xml:space="preserve">6</w:t>
            </w:r>
          </w:p>
        </w:tc>
        <w:tc>
          <w:tcPr>
            <w:tcW w:type="dxa" w:w="3200"/>
            <w:vAlign w:val="center"/>
          </w:tcPr>
          <w:p>
            <w:r>
              <w:rPr>
                <w:b w:val="false"/>
                <w:bCs w:val="false"/>
              </w:rPr>
              <w:t xml:space="preserve">Invitar miembros al household (multiusuario real)</w:t>
            </w:r>
          </w:p>
        </w:tc>
        <w:tc>
          <w:tcPr>
            <w:tcW w:type="dxa" w:w="1200"/>
            <w:vAlign w:val="center"/>
          </w:tcPr>
          <w:p>
            <w:r>
              <w:rPr>
                <w:b w:val="false"/>
                <w:bCs w:val="false"/>
              </w:rPr>
              <w:t xml:space="preserve">Fable</w:t>
            </w:r>
          </w:p>
        </w:tc>
        <w:tc>
          <w:tcPr>
            <w:tcW w:type="dxa" w:w="5200"/>
            <w:shd w:fill="E2EFDA" w:val="clear"/>
            <w:vAlign w:val="center"/>
          </w:tcPr>
          <w:p>
            <w:r>
              <w:rPr>
                <w:b w:val="false"/>
                <w:bCs w:val="false"/>
              </w:rPr>
              <w:t xml:space="preserve">✅ Completada el 2026-07-15 y verificada E2E en producción (ciclo completo: generar código → canjear → salir). Migración 0005 + vista Familia. Ver sección dedicada.</w:t>
            </w:r>
          </w:p>
        </w:tc>
      </w:tr>
      <w:tr>
        <w:tc>
          <w:tcPr>
            <w:tcW w:type="dxa" w:w="500"/>
            <w:vAlign w:val="center"/>
          </w:tcPr>
          <w:p>
            <w:r>
              <w:rPr>
                <w:b w:val="false"/>
                <w:bCs w:val="false"/>
              </w:rPr>
              <w:t xml:space="preserve">7</w:t>
            </w:r>
          </w:p>
        </w:tc>
        <w:tc>
          <w:tcPr>
            <w:tcW w:type="dxa" w:w="3200"/>
            <w:vAlign w:val="center"/>
          </w:tcPr>
          <w:p>
            <w:r>
              <w:rPr>
                <w:b w:val="false"/>
                <w:bCs w:val="false"/>
              </w:rPr>
              <w:t xml:space="preserve">Migrar adjuntos de base64/jsonb a Supabase Storage</w:t>
            </w:r>
          </w:p>
        </w:tc>
        <w:tc>
          <w:tcPr>
            <w:tcW w:type="dxa" w:w="1200"/>
            <w:vAlign w:val="center"/>
          </w:tcPr>
          <w:p>
            <w:r>
              <w:rPr>
                <w:b w:val="false"/>
                <w:bCs w:val="false"/>
              </w:rPr>
              <w:t xml:space="preserve">Fable</w:t>
            </w:r>
          </w:p>
        </w:tc>
        <w:tc>
          <w:tcPr>
            <w:tcW w:type="dxa" w:w="5200"/>
            <w:shd w:fill="E2EFDA" w:val="clear"/>
            <w:vAlign w:val="center"/>
          </w:tcPr>
          <w:p>
            <w:r>
              <w:rPr>
                <w:b w:val="false"/>
                <w:bCs w:val="false"/>
              </w:rPr>
              <w:t xml:space="preserve">✅ Completada el 2026-07-15 (migración 0006, bucket privado con políticas por household). Producción tenía 0 adjuntos base64 — no hubo datos que mover. Pendiente E2E por UI. Ver sección dedicada.</w:t>
            </w:r>
          </w:p>
        </w:tc>
      </w:tr>
      <w:tr>
        <w:tc>
          <w:tcPr>
            <w:tcW w:type="dxa" w:w="500"/>
            <w:vAlign w:val="center"/>
          </w:tcPr>
          <w:p>
            <w:r>
              <w:rPr>
                <w:b w:val="false"/>
                <w:bCs w:val="false"/>
              </w:rPr>
              <w:t xml:space="preserve">8</w:t>
            </w:r>
          </w:p>
        </w:tc>
        <w:tc>
          <w:tcPr>
            <w:tcW w:type="dxa" w:w="3200"/>
            <w:vAlign w:val="center"/>
          </w:tcPr>
          <w:p>
            <w:r>
              <w:rPr>
                <w:b w:val="false"/>
                <w:bCs w:val="false"/>
              </w:rPr>
              <w:t xml:space="preserve">Auditoría de seguridad RLS pre-lanzamiento</w:t>
            </w:r>
          </w:p>
        </w:tc>
        <w:tc>
          <w:tcPr>
            <w:tcW w:type="dxa" w:w="1200"/>
            <w:vAlign w:val="center"/>
          </w:tcPr>
          <w:p>
            <w:r>
              <w:rPr>
                <w:b w:val="false"/>
                <w:bCs w:val="false"/>
              </w:rPr>
              <w:t xml:space="preserve">Fable</w:t>
            </w:r>
          </w:p>
        </w:tc>
        <w:tc>
          <w:tcPr>
            <w:tcW w:type="dxa" w:w="5200"/>
            <w:shd w:fill="E2EFDA" w:val="clear"/>
            <w:vAlign w:val="center"/>
          </w:tcPr>
          <w:p>
            <w:r>
              <w:rPr>
                <w:b w:val="false"/>
                <w:bCs w:val="false"/>
              </w:rPr>
              <w:t xml:space="preserve">✅ Completada el 2026-07-16 (migraciones 0007 y 0008): WARN de is_household_member resuelto, FKs compuestas multi-tenant, created_by inmutable, anon sin acceso. Ver sección dedicada.</w:t>
            </w:r>
          </w:p>
        </w:tc>
      </w:tr>
    </w:tbl>
    <w:p>
      <w:pPr>
        <w:pStyle w:val="Heading1"/>
        <w:spacing w:after="150" w:before="300"/>
      </w:pPr>
      <w:r>
        <w:t xml:space="preserve">Resultados de la sesión del 2026-07-15/16 (P1 #6, #7, #8 y pieza B)</w:t>
      </w:r>
    </w:p>
    <w:p>
      <w:pPr>
        <w:pStyle w:val="Heading2"/>
        <w:spacing w:after="120" w:before="240"/>
      </w:pPr>
      <w:r>
        <w:t xml:space="preserve">Invitaciones al household (P1 #6) — multiusuario real</w:t>
      </w:r>
    </w:p>
    <w:p>
      <w:pPr>
        <w:spacing w:after="120"/>
      </w:pPr>
      <w:r>
        <w:rPr>
          <w:b w:val="false"/>
          <w:bCs w:val="false"/>
          <w:i w:val="false"/>
          <w:iCs w:val="false"/>
        </w:rPr>
        <w:t xml:space="preserve">Varias cuentas (cada una con su login propio) comparten el mismo household. El owner genera un código de invitación desde la nueva vista Familia y lo comparte por donde quiera; el invitado crea su cuenta normal y lo canjea. Un solo uso, caduca a los 7 días, revocable. El código nunca se guarda en claro (solo hash sha256). Al canjear, el household vacío del invitado se elimina (modelo de un household por usuario); si tiene datos u otros miembros, el canje se bloquea sin quemar el código. El owner saca miembros pero no puede borrarse a sí mismo; un member puede salir por su cuenta. Verificada con 19 casos de seguridad (JWT simulado + rollback) y E2E real en producción con el ciclo completo.</w:t>
      </w:r>
    </w:p>
    <w:p>
      <w:pPr>
        <w:pStyle w:val="Heading2"/>
        <w:spacing w:after="120" w:before="240"/>
      </w:pPr>
      <w:r>
        <w:t xml:space="preserve">Exportar / Importar pacientes (pieza B) — diseño cambiado</w:t>
      </w:r>
    </w:p>
    <w:p>
      <w:pPr>
        <w:spacing w:after="120"/>
      </w:pPr>
      <w:r>
        <w:rPr>
          <w:b w:val="false"/>
          <w:bCs w:val="false"/>
          <w:i w:val="false"/>
          <w:iCs w:val="false"/>
        </w:rPr>
        <w:t xml:space="preserve">Se implementó con un diseño DISTINTO al planeado (llave en el servidor): archivo cifrado que se descarga al dispositivo (.sfam). El servidor nunca ve el contenido ni la contraseña; sin cambios de esquema ni RLS. Exportar: selección de pacientes + contraseña propia del archivo (dos veces, mín. 8) → AES-256-GCM con clave derivada por PBKDF2 (310k iteraciones) en el navegador; incluye órdenes, medicamentos, vitales, adjuntos embebidos y los médicos/centros referenciados. Importar: archivo + contraseña → resumen → confirmación → todo se crea en la familia actual con IDs remapeados. En el flujo 'Unirse a otra familia' con datos, una ventana ofrece exportar primero y explica los pasos (sin borrado masivo automático, por decisión del usuario). Verificada por el usuario en producción.</w:t>
      </w:r>
    </w:p>
    <w:p>
      <w:pPr>
        <w:pStyle w:val="Heading2"/>
        <w:spacing w:after="120" w:before="240"/>
      </w:pPr>
      <w:r>
        <w:t xml:space="preserve">Adjuntos en Supabase Storage (P1 #7)</w:t>
      </w:r>
    </w:p>
    <w:p>
      <w:pPr>
        <w:spacing w:after="120"/>
      </w:pPr>
      <w:r>
        <w:rPr>
          <w:b w:val="false"/>
          <w:bCs w:val="false"/>
          <w:i w:val="false"/>
          <w:iCs w:val="false"/>
        </w:rPr>
        <w:t xml:space="preserve">Los archivos de las órdenes dejaron de guardarse como base64 dentro de jsonb: van a un bucket privado ('adjuntos', máx. 10MB, imágenes y PDF) con rutas &lt;household&gt;/&lt;orden&gt;/&lt;archivo&gt; y políticas de Storage que reutilizan is_household_member() — mismo aislamiento por familia, probado con JWT simulado. El formato viejo se sigue leyendo; editar una orden o importar un .sfam viejo migra esos adjuntos automáticamente. Miniaturas y apertura con URLs firmadas; limpieza del bucket al reemplazar/quitar/eliminar. Producción tenía 0 adjuntos base64, así que no hubo migración de datos. Pendiente: E2E corto por UI (subir, ver, reemplazar, eliminar).</w:t>
      </w:r>
    </w:p>
    <w:p>
      <w:pPr>
        <w:pStyle w:val="Heading2"/>
        <w:spacing w:after="120" w:before="240"/>
      </w:pPr>
      <w:r>
        <w:t xml:space="preserve">Auditoría de seguridad RLS pre-lanzamiento (P1 #8)</w:t>
      </w:r>
    </w:p>
    <w:p>
      <w:pPr>
        <w:spacing w:after="120"/>
      </w:pPr>
      <w:r>
        <w:rPr>
          <w:b w:val="false"/>
          <w:bCs w:val="false"/>
          <w:i w:val="false"/>
          <w:iCs w:val="false"/>
        </w:rPr>
        <w:t xml:space="preserve">Hallazgos corregidos (migración 0007): (1) is_household_member() movida al schema 'private', fuera del API expuesto — desaparece el WARN que motivó la auditoría; (2) FKs compuestas (columna, household_id) impiden referenciar pacientes/médicos/centros de otra familia — antes era posible (sin fuga de lectura, pero con contaminación referencial); (3) households.created_by era reasignable y otorga visibilidad permanente — ahora solo 'name' es actualizable; (4) revocados los grants de escritura sin política que los respalde y TODO acceso de anon. La migración 0008 alinea los índices a las FKs compuestas. Matriz completa de pruebas: 12 casos cross-tenant + bloqueos nuevos + canje intacto + regresión de flujos normales (incluido el camino del bug 403 histórico) — todas pasan.</w:t>
      </w:r>
    </w:p>
    <w:p>
      <w:pPr>
        <w:spacing w:after="120"/>
      </w:pPr>
      <w:r>
        <w:rPr>
          <w:b w:val="false"/>
          <w:bCs w:val="false"/>
          <w:i w:val="false"/>
          <w:iCs w:val="false"/>
        </w:rPr>
        <w:t xml:space="preserve">Aceptado y documentado: las 3 RPC SECURITY DEFINER del sistema de invitaciones son intencionales (son la API, con autorización interna probada). 'Leaked password protection' requiere plan Pro — la API lo rechaza en el gratuito; como mitigación, el mínimo de contraseña subió a 8 caracteres en Auth y en el cliente.</w:t>
      </w:r>
    </w:p>
    <w:p>
      <w:pPr>
        <w:pStyle w:val="Heading1"/>
        <w:spacing w:after="150" w:before="300"/>
      </w:pPr>
      <w:r>
        <w:t xml:space="preserve">Prioridad P1.5 — Edición de interfaz y experiencia de usuario</w:t>
      </w:r>
    </w:p>
    <w:p>
      <w:pPr>
        <w:spacing w:after="120"/>
      </w:pPr>
      <w:r>
        <w:rPr>
          <w:b w:val="false"/>
          <w:bCs w:val="false"/>
          <w:i w:val="false"/>
          <w:iCs w:val="false"/>
        </w:rPr>
        <w:t xml:space="preserve">Detectada durante la revisión posterior a la verificación E2E en local. Son cambios acotados y mecánicos por módulo — agente recomendado:</w:t>
      </w:r>
    </w:p>
    <w:p>
      <w:pPr>
        <w:spacing w:after="120"/>
      </w:pPr>
      <w:r>
        <w:rPr>
          <w:b/>
          <w:bCs/>
          <w:i w:val="false"/>
          <w:iCs w:val="false"/>
        </w:rPr>
        <w:t xml:space="preserve">Sonnet para todos los ítems de esta sección, salvo que se indique lo contrario explícitamente.</w:t>
      </w:r>
    </w:p>
    <w:p>
      <w:pPr>
        <w:spacing w:after="120"/>
      </w:pPr>
      <w:r>
        <w:rPr>
          <w:b w:val="false"/>
          <w:bCs w:val="false"/>
          <w:i w:val="false"/>
          <w:iCs w:val="false"/>
        </w:rPr>
        <w:t xml:space="preserve">Varios cambios requieren columnas o tablas nuevas en el esquema de Supabase (no son solo HTML/CSS) — se marcan con una nota técnica en cada caso. El agente que ejecute debe correr las migraciones correspondientes antes o junto con el cambio de interfaz.</w:t>
      </w:r>
    </w:p>
    <w:p>
      <w:pPr>
        <w:pStyle w:val="Heading2"/>
        <w:spacing w:after="120" w:before="240"/>
      </w:pPr>
      <w:r>
        <w:t xml:space="preserve">Header / Ficha de paciente — Tema visual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F2F2F2" w:val="clear"/>
            <w:vAlign w:val="center"/>
          </w:tcPr>
          <w:p>
            <w:r>
              <w:rPr>
                <w:b/>
                <w:bCs/>
              </w:rPr>
              <w:t xml:space="preserve">Dónde</w:t>
            </w:r>
          </w:p>
        </w:tc>
        <w:tc>
          <w:tcPr>
            <w:tcW w:type="dxa" w:w="3200"/>
            <w:shd w:fill="F2F2F2" w:val="clear"/>
            <w:vAlign w:val="center"/>
          </w:tcPr>
          <w:p>
            <w:r>
              <w:rPr>
                <w:b/>
                <w:bCs/>
              </w:rPr>
              <w:t xml:space="preserve">Qué pasa hoy</w:t>
            </w:r>
          </w:p>
        </w:tc>
        <w:tc>
          <w:tcPr>
            <w:tcW w:type="dxa" w:w="3200"/>
            <w:shd w:fill="F2F2F2" w:val="clear"/>
            <w:vAlign w:val="center"/>
          </w:tcPr>
          <w:p>
            <w:r>
              <w:rPr>
                <w:b/>
                <w:bCs/>
              </w:rPr>
              <w:t xml:space="preserve">Qué se espera</w:t>
            </w:r>
          </w:p>
        </w:tc>
      </w:tr>
      <w:tr>
        <w:tc>
          <w:tcPr>
            <w:tcW w:type="dxa" w:w="3200"/>
            <w:vAlign w:val="center"/>
          </w:tcPr>
          <w:p>
            <w:r>
              <w:rPr>
                <w:b w:val="false"/>
                <w:bCs w:val="false"/>
              </w:rPr>
              <w:t xml:space="preserve">Header (esquina superior derecha) y tarjeta del paciente</w:t>
            </w:r>
          </w:p>
        </w:tc>
        <w:tc>
          <w:tcPr>
            <w:tcW w:type="dxa" w:w="3200"/>
            <w:vAlign w:val="center"/>
          </w:tcPr>
          <w:p>
            <w:r>
              <w:rPr>
                <w:b w:val="false"/>
                <w:bCs w:val="false"/>
              </w:rPr>
              <w:t xml:space="preserve">Dos botones redundantes: modo oscuro/claro (header) y modo día/noche (tarjeta del paciente). Además, el botón del header cambia de comportamiento según haya paciente activo: en ese caso, en vez de alternar modo oscuro/claro general, guarda una preferencia _lightMode ligada a ese paciente, mezclada con ThemeEngine (colores automáticos por paciente).</w:t>
            </w:r>
          </w:p>
        </w:tc>
        <w:tc>
          <w:tcPr>
            <w:tcW w:type="dxa" w:w="3200"/>
            <w:vAlign w:val="center"/>
          </w:tcPr>
          <w:p>
            <w:r>
              <w:rPr>
                <w:b w:val="false"/>
                <w:bCs w:val="false"/>
              </w:rPr>
              <w:t xml:space="preserve">Un solo control (el del header), puramente de accesibilidad/legibilidad general de la interfaz. Nunca debe interferir con la paleta de color que ThemeEngine asigna automáticamente a cada paciente — son dos conceptos independientes. Eliminar el botón de la tarjeta del paciente.</w:t>
            </w:r>
          </w:p>
        </w:tc>
      </w:tr>
    </w:tbl>
    <w:p>
      <w:pPr>
        <w:pStyle w:val="Heading2"/>
        <w:spacing w:after="120" w:before="240"/>
      </w:pPr>
      <w:r>
        <w:t xml:space="preserve">Ficha de Paciente (creación y edición)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400"/>
      </w:tblGrid>
      <w:tr>
        <w:tc>
          <w:tcPr>
            <w:tcW w:type="dxa" w:w="2400"/>
            <w:shd w:fill="F2F2F2" w:val="clear"/>
            <w:vAlign w:val="center"/>
          </w:tcPr>
          <w:p>
            <w:r>
              <w:rPr>
                <w:b/>
                <w:bCs/>
              </w:rPr>
              <w:t xml:space="preserve">Ítem</w:t>
            </w:r>
          </w:p>
        </w:tc>
        <w:tc>
          <w:tcPr>
            <w:tcW w:type="dxa" w:w="2600"/>
            <w:shd w:fill="F2F2F2" w:val="clear"/>
            <w:vAlign w:val="center"/>
          </w:tcPr>
          <w:p>
            <w:r>
              <w:rPr>
                <w:b/>
                <w:bCs/>
              </w:rPr>
              <w:t xml:space="preserve">Qué pasa hoy</w:t>
            </w:r>
          </w:p>
        </w:tc>
        <w:tc>
          <w:tcPr>
            <w:tcW w:type="dxa" w:w="2600"/>
            <w:shd w:fill="F2F2F2" w:val="clear"/>
            <w:vAlign w:val="center"/>
          </w:tcPr>
          <w:p>
            <w:r>
              <w:rPr>
                <w:b/>
                <w:bCs/>
              </w:rPr>
              <w:t xml:space="preserve">Qué se espera</w:t>
            </w:r>
          </w:p>
        </w:tc>
        <w:tc>
          <w:tcPr>
            <w:tcW w:type="dxa" w:w="1400"/>
            <w:shd w:fill="F2F2F2" w:val="clear"/>
            <w:vAlign w:val="center"/>
          </w:tcPr>
          <w:p>
            <w:r>
              <w:rPr>
                <w:b/>
                <w:bCs/>
              </w:rPr>
              <w:t xml:space="preserve">Nota técnica</w:t>
            </w:r>
          </w:p>
        </w:tc>
      </w:tr>
      <w:tr>
        <w:tc>
          <w:tcPr>
            <w:tcW w:type="dxa" w:w="2400"/>
            <w:vAlign w:val="center"/>
          </w:tcPr>
          <w:p>
            <w:r>
              <w:rPr>
                <w:b w:val="false"/>
                <w:bCs w:val="false"/>
              </w:rPr>
              <w:t xml:space="preserve">Nombre del paciente</w:t>
            </w:r>
          </w:p>
        </w:tc>
        <w:tc>
          <w:tcPr>
            <w:tcW w:type="dxa" w:w="2600"/>
            <w:vAlign w:val="center"/>
          </w:tcPr>
          <w:p>
            <w:r>
              <w:rPr>
                <w:b w:val="false"/>
                <w:bCs w:val="false"/>
              </w:rPr>
              <w:t xml:space="preserve">Un solo campo de texto libre 'Nombre completo'.</w:t>
            </w:r>
          </w:p>
        </w:tc>
        <w:tc>
          <w:tcPr>
            <w:tcW w:type="dxa" w:w="2600"/>
            <w:vAlign w:val="center"/>
          </w:tcPr>
          <w:p>
            <w:r>
              <w:rPr>
                <w:b w:val="false"/>
                <w:bCs w:val="false"/>
              </w:rPr>
              <w:t xml:space="preserve">4 campos independientes: Primer nombre, Segundo nombre, Primer apellido, Segundo apellido.</w:t>
            </w:r>
          </w:p>
        </w:tc>
        <w:tc>
          <w:tcPr>
            <w:tcW w:type="dxa" w:w="1400"/>
            <w:vAlign w:val="center"/>
          </w:tcPr>
          <w:p>
            <w:r>
              <w:rPr>
                <w:b w:val="false"/>
                <w:bCs w:val="false"/>
              </w:rPr>
              <w:t xml:space="preserve">Requiere reemplazar la columna 'nombre' por 4 columnas nuevas en 'patients', y actualizar todo lugar que arme el nombre para mostrarlo (avatar, listados, ThemeEngine, etc.).</w:t>
            </w:r>
          </w:p>
        </w:tc>
      </w:tr>
      <w:tr>
        <w:tc>
          <w:tcPr>
            <w:tcW w:type="dxa" w:w="2400"/>
            <w:vAlign w:val="center"/>
          </w:tcPr>
          <w:p>
            <w:r>
              <w:rPr>
                <w:b w:val="false"/>
                <w:bCs w:val="false"/>
              </w:rPr>
              <w:t xml:space="preserve">Dirección de residencia</w:t>
            </w:r>
          </w:p>
        </w:tc>
        <w:tc>
          <w:tcPr>
            <w:tcW w:type="dxa" w:w="2600"/>
            <w:vAlign w:val="center"/>
          </w:tcPr>
          <w:p>
            <w:r>
              <w:rPr>
                <w:b w:val="false"/>
                <w:bCs w:val="false"/>
              </w:rPr>
              <w:t xml:space="preserve">No existe el campo.</w:t>
            </w:r>
          </w:p>
        </w:tc>
        <w:tc>
          <w:tcPr>
            <w:tcW w:type="dxa" w:w="2600"/>
            <w:vAlign w:val="center"/>
          </w:tcPr>
          <w:p>
            <w:r>
              <w:rPr>
                <w:b w:val="false"/>
                <w:bCs w:val="false"/>
              </w:rPr>
              <w:t xml:space="preserve">Nuevo campo de texto libre.</w:t>
            </w:r>
          </w:p>
        </w:tc>
        <w:tc>
          <w:tcPr>
            <w:tcW w:type="dxa" w:w="1400"/>
            <w:vAlign w:val="center"/>
          </w:tcPr>
          <w:p>
            <w:r>
              <w:rPr>
                <w:b w:val="false"/>
                <w:bCs w:val="false"/>
              </w:rPr>
              <w:t xml:space="preserve">Columna nueva en 'patients'.</w:t>
            </w:r>
          </w:p>
        </w:tc>
      </w:tr>
      <w:tr>
        <w:tc>
          <w:tcPr>
            <w:tcW w:type="dxa" w:w="2400"/>
            <w:vAlign w:val="center"/>
          </w:tcPr>
          <w:p>
            <w:r>
              <w:rPr>
                <w:b w:val="false"/>
                <w:bCs w:val="false"/>
              </w:rPr>
              <w:t xml:space="preserve">Pólizas de seguro adicionales</w:t>
            </w:r>
          </w:p>
        </w:tc>
        <w:tc>
          <w:tcPr>
            <w:tcW w:type="dxa" w:w="2600"/>
            <w:vAlign w:val="center"/>
          </w:tcPr>
          <w:p>
            <w:r>
              <w:rPr>
                <w:b w:val="false"/>
                <w:bCs w:val="false"/>
              </w:rPr>
              <w:t xml:space="preserve">No existe esta sección.</w:t>
            </w:r>
          </w:p>
        </w:tc>
        <w:tc>
          <w:tcPr>
            <w:tcW w:type="dxa" w:w="2600"/>
            <w:vAlign w:val="center"/>
          </w:tcPr>
          <w:p>
            <w:r>
              <w:rPr>
                <w:b w:val="false"/>
                <w:bCs w:val="false"/>
              </w:rPr>
              <w:t xml:space="preserve">Botón 'Agregar póliza' → sub-formulario con: tipo (SOAT, Funeraria, Medicina prepagada, Servicios Médicos Complementarios, Vida, Dental, u 'Otra' con texto libre que se suma a la lista para uso futuro), número de póliza, y botón para subir imagen del carnet.</w:t>
            </w:r>
          </w:p>
        </w:tc>
        <w:tc>
          <w:tcPr>
            <w:tcW w:type="dxa" w:w="1400"/>
            <w:vAlign w:val="center"/>
          </w:tcPr>
          <w:p>
            <w:r>
              <w:rPr>
                <w:b w:val="false"/>
                <w:bCs w:val="false"/>
              </w:rPr>
              <w:t xml:space="preserve">Relación uno-a-muchos: requiere tabla nueva 'patient_policies'. La opción 'Otra' extensible sugiere una tabla de catálogo compartida ('policy_types') — mismo patrón que 'Vía de administración' (Medicamentos) y 'Especialidad' (Médicos); ver nota transversal más abajo.</w:t>
            </w:r>
          </w:p>
        </w:tc>
      </w:tr>
      <w:tr>
        <w:tc>
          <w:tcPr>
            <w:tcW w:type="dxa" w:w="2400"/>
            <w:vAlign w:val="center"/>
          </w:tcPr>
          <w:p>
            <w:r>
              <w:rPr>
                <w:b w:val="false"/>
                <w:bCs w:val="false"/>
              </w:rPr>
              <w:t xml:space="preserve">Contacto de emergencia</w:t>
            </w:r>
          </w:p>
        </w:tc>
        <w:tc>
          <w:tcPr>
            <w:tcW w:type="dxa" w:w="2600"/>
            <w:vAlign w:val="center"/>
          </w:tcPr>
          <w:p>
            <w:r>
              <w:rPr>
                <w:b w:val="false"/>
                <w:bCs w:val="false"/>
              </w:rPr>
              <w:t xml:space="preserve">Un solo campo de texto libre.</w:t>
            </w:r>
          </w:p>
        </w:tc>
        <w:tc>
          <w:tcPr>
            <w:tcW w:type="dxa" w:w="2600"/>
            <w:vAlign w:val="center"/>
          </w:tcPr>
          <w:p>
            <w:r>
              <w:rPr>
                <w:b w:val="false"/>
                <w:bCs w:val="false"/>
              </w:rPr>
              <w:t xml:space="preserve">Campos independientes: Primer nombre, Segundo nombre, Primer apellido, Segundo apellido, Parentesco (desplegable: madre/padre, hermano/hermana, abuela/abuelo, tío/tía, familiar, representante asignado), Teléfono 1, Teléfono 2, Dirección, Ciudad.</w:t>
            </w:r>
          </w:p>
        </w:tc>
        <w:tc>
          <w:tcPr>
            <w:tcW w:type="dxa" w:w="1400"/>
            <w:vAlign w:val="center"/>
          </w:tcPr>
          <w:p>
            <w:r>
              <w:rPr>
                <w:b w:val="false"/>
                <w:bCs w:val="false"/>
              </w:rPr>
              <w:t xml:space="preserve">Columnas nuevas en 'patients' o tabla relacionada, según se decida al implementar.</w:t>
            </w:r>
          </w:p>
        </w:tc>
      </w:tr>
    </w:tbl>
    <w:p>
      <w:pPr>
        <w:pStyle w:val="Heading2"/>
        <w:spacing w:after="120" w:before="240"/>
      </w:pPr>
      <w:r>
        <w:t xml:space="preserve">Órdenes médicas</w:t>
      </w:r>
    </w:p>
    <w:p>
      <w:pPr>
        <w:spacing w:after="120"/>
      </w:pPr>
      <w:r>
        <w:rPr>
          <w:b w:val="false"/>
          <w:bCs w:val="false"/>
          <w:i/>
          <w:iCs/>
        </w:rPr>
        <w:t xml:space="preserve">Problema general identificado: al avanzar de etapa en una orden, la aplicación permite editar desde el principio, lo cual puede llevar a pérdida o alteración accidental de información ya cargada.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00"/>
      </w:tblGrid>
      <w:tr>
        <w:tc>
          <w:tcPr>
            <w:tcW w:type="dxa" w:w="2400"/>
            <w:shd w:fill="F2F2F2" w:val="clear"/>
            <w:vAlign w:val="center"/>
          </w:tcPr>
          <w:p>
            <w:r>
              <w:rPr>
                <w:b/>
                <w:bCs/>
              </w:rPr>
              <w:t xml:space="preserve">Ítem</w:t>
            </w:r>
          </w:p>
        </w:tc>
        <w:tc>
          <w:tcPr>
            <w:tcW w:type="dxa" w:w="3300"/>
            <w:shd w:fill="F2F2F2" w:val="clear"/>
            <w:vAlign w:val="center"/>
          </w:tcPr>
          <w:p>
            <w:r>
              <w:rPr>
                <w:b/>
                <w:bCs/>
              </w:rPr>
              <w:t xml:space="preserve">Qué pasa hoy</w:t>
            </w:r>
          </w:p>
        </w:tc>
        <w:tc>
          <w:tcPr>
            <w:tcW w:type="dxa" w:w="3300"/>
            <w:shd w:fill="F2F2F2" w:val="clear"/>
            <w:vAlign w:val="center"/>
          </w:tcPr>
          <w:p>
            <w:r>
              <w:rPr>
                <w:b/>
                <w:bCs/>
              </w:rPr>
              <w:t xml:space="preserve">Qué se espera</w:t>
            </w:r>
          </w:p>
        </w:tc>
      </w:tr>
      <w:tr>
        <w:tc>
          <w:tcPr>
            <w:tcW w:type="dxa" w:w="2400"/>
            <w:vAlign w:val="center"/>
          </w:tcPr>
          <w:p>
            <w:r>
              <w:rPr>
                <w:b w:val="false"/>
                <w:bCs w:val="false"/>
              </w:rPr>
              <w:t xml:space="preserve">Filtros del listado</w:t>
            </w:r>
          </w:p>
        </w:tc>
        <w:tc>
          <w:tcPr>
            <w:tcW w:type="dxa" w:w="3300"/>
            <w:vAlign w:val="center"/>
          </w:tcPr>
          <w:p>
            <w:r>
              <w:rPr>
                <w:b w:val="false"/>
                <w:bCs w:val="false"/>
              </w:rPr>
              <w:t xml:space="preserve">Botones que filtran las distintas entradas.</w:t>
            </w:r>
          </w:p>
        </w:tc>
        <w:tc>
          <w:tcPr>
            <w:tcW w:type="dxa" w:w="3300"/>
            <w:vAlign w:val="center"/>
          </w:tcPr>
          <w:p>
            <w:r>
              <w:rPr>
                <w:b w:val="false"/>
                <w:bCs w:val="false"/>
              </w:rPr>
              <w:t xml:space="preserve">Reemplazar por un filtro combinado: por etapa y por especialidad que ordena.</w:t>
            </w:r>
          </w:p>
        </w:tc>
      </w:tr>
      <w:tr>
        <w:tc>
          <w:tcPr>
            <w:tcW w:type="dxa" w:w="2400"/>
            <w:vAlign w:val="center"/>
          </w:tcPr>
          <w:p>
            <w:r>
              <w:rPr>
                <w:b w:val="false"/>
                <w:bCs w:val="false"/>
              </w:rPr>
              <w:t xml:space="preserve">Ver una orden</w:t>
            </w:r>
          </w:p>
        </w:tc>
        <w:tc>
          <w:tcPr>
            <w:tcW w:type="dxa" w:w="3300"/>
            <w:vAlign w:val="center"/>
          </w:tcPr>
          <w:p>
            <w:r>
              <w:rPr>
                <w:b w:val="false"/>
                <w:bCs w:val="false"/>
              </w:rPr>
              <w:t xml:space="preserve">Al seleccionar/expandir una orden, se entra directo en modo edición.</w:t>
            </w:r>
          </w:p>
        </w:tc>
        <w:tc>
          <w:tcPr>
            <w:tcW w:type="dxa" w:w="3300"/>
            <w:vAlign w:val="center"/>
          </w:tcPr>
          <w:p>
            <w:r>
              <w:rPr>
                <w:b w:val="false"/>
                <w:bCs w:val="false"/>
              </w:rPr>
              <w:t xml:space="preserve">Al expandir, mostrar en modo solo lectura/visual por defecto — la edición no debe ser el estado inicial.</w:t>
            </w:r>
          </w:p>
        </w:tc>
      </w:tr>
      <w:tr>
        <w:tc>
          <w:tcPr>
            <w:tcW w:type="dxa" w:w="2400"/>
            <w:vAlign w:val="center"/>
          </w:tcPr>
          <w:p>
            <w:r>
              <w:rPr>
                <w:b w:val="false"/>
                <w:bCs w:val="false"/>
              </w:rPr>
              <w:t xml:space="preserve">Navegación entre etapas</w:t>
            </w:r>
          </w:p>
        </w:tc>
        <w:tc>
          <w:tcPr>
            <w:tcW w:type="dxa" w:w="3300"/>
            <w:vAlign w:val="center"/>
          </w:tcPr>
          <w:p>
            <w:r>
              <w:rPr>
                <w:b w:val="false"/>
                <w:bCs w:val="false"/>
              </w:rPr>
              <w:t xml:space="preserve">No hay distinción entre navegar y editar; se puede modificar cualquier etapa sin aviso.</w:t>
            </w:r>
          </w:p>
        </w:tc>
        <w:tc>
          <w:tcPr>
            <w:tcW w:type="dxa" w:w="3300"/>
            <w:vAlign w:val="center"/>
          </w:tcPr>
          <w:p>
            <w:r>
              <w:rPr>
                <w:b w:val="false"/>
                <w:bCs w:val="false"/>
              </w:rPr>
              <w:t xml:space="preserve">Las etapas se navegan como páginas. Si el usuario intenta editar una etapa anterior a la actual, debe aparecer una alerta explicando qué está por hacer, antes de permitir el cambio.</w:t>
            </w:r>
          </w:p>
        </w:tc>
      </w:tr>
      <w:tr>
        <w:tc>
          <w:tcPr>
            <w:tcW w:type="dxa" w:w="2400"/>
            <w:vAlign w:val="center"/>
          </w:tcPr>
          <w:p>
            <w:r>
              <w:rPr>
                <w:b w:val="false"/>
                <w:bCs w:val="false"/>
              </w:rPr>
              <w:t xml:space="preserve">Sección A. Orden — archivo</w:t>
            </w:r>
          </w:p>
        </w:tc>
        <w:tc>
          <w:tcPr>
            <w:tcW w:type="dxa" w:w="3300"/>
            <w:vAlign w:val="center"/>
          </w:tcPr>
          <w:p>
            <w:r>
              <w:rPr>
                <w:b w:val="false"/>
                <w:bCs w:val="false"/>
              </w:rPr>
              <w:t xml:space="preserve">El campo dice 'Archivo PDF de la orden' y solo acepta subir un PDF ya existente.</w:t>
            </w:r>
          </w:p>
        </w:tc>
        <w:tc>
          <w:tcPr>
            <w:tcW w:type="dxa" w:w="3300"/>
            <w:vAlign w:val="center"/>
          </w:tcPr>
          <w:p>
            <w:r>
              <w:rPr>
                <w:b w:val="false"/>
                <w:bCs w:val="false"/>
              </w:rPr>
              <w:t xml:space="preserve">Renombrar a 'Historia clínica', y permitir subir fotografías directamente que se conviertan automáticamente a PDF.</w:t>
            </w:r>
          </w:p>
        </w:tc>
      </w:tr>
      <w:tr>
        <w:tc>
          <w:tcPr>
            <w:tcW w:type="dxa" w:w="2400"/>
            <w:vAlign w:val="center"/>
          </w:tcPr>
          <w:p>
            <w:r>
              <w:rPr>
                <w:b w:val="false"/>
                <w:bCs w:val="false"/>
              </w:rPr>
              <w:t xml:space="preserve">Sección C. Autorización — modo vista</w:t>
            </w:r>
          </w:p>
        </w:tc>
        <w:tc>
          <w:tcPr>
            <w:tcW w:type="dxa" w:w="3300"/>
            <w:vAlign w:val="center"/>
          </w:tcPr>
          <w:p>
            <w:r>
              <w:rPr>
                <w:b w:val="false"/>
                <w:bCs w:val="false"/>
              </w:rPr>
              <w:t xml:space="preserve">Solo se ve el centro médico seleccionado.</w:t>
            </w:r>
          </w:p>
        </w:tc>
        <w:tc>
          <w:tcPr>
            <w:tcW w:type="dxa" w:w="3300"/>
            <w:vAlign w:val="center"/>
          </w:tcPr>
          <w:p>
            <w:r>
              <w:rPr>
                <w:b w:val="false"/>
                <w:bCs w:val="false"/>
              </w:rPr>
              <w:t xml:space="preserve">Mostrar también teléfono y dirección del centro médico, tomados del directorio.</w:t>
            </w:r>
          </w:p>
        </w:tc>
      </w:tr>
      <w:tr>
        <w:tc>
          <w:tcPr>
            <w:tcW w:type="dxa" w:w="2400"/>
            <w:vAlign w:val="center"/>
          </w:tcPr>
          <w:p>
            <w:r>
              <w:rPr>
                <w:b w:val="false"/>
                <w:bCs w:val="false"/>
              </w:rPr>
              <w:t xml:space="preserve">Sección D. Cita — estado Finalizado</w:t>
            </w:r>
          </w:p>
        </w:tc>
        <w:tc>
          <w:tcPr>
            <w:tcW w:type="dxa" w:w="3300"/>
            <w:vAlign w:val="center"/>
          </w:tcPr>
          <w:p>
            <w:r>
              <w:rPr>
                <w:b w:val="false"/>
                <w:bCs w:val="false"/>
              </w:rPr>
              <w:t xml:space="preserve">Al marcar 'Finalizado (cita ya asistida)', no pasa nada adicional.</w:t>
            </w:r>
          </w:p>
        </w:tc>
        <w:tc>
          <w:tcPr>
            <w:tcW w:type="dxa" w:w="3300"/>
            <w:vAlign w:val="center"/>
          </w:tcPr>
          <w:p>
            <w:r>
              <w:rPr>
                <w:b w:val="false"/>
                <w:bCs w:val="false"/>
              </w:rPr>
              <w:t xml:space="preserve">Mostrar una opción para crear una nueva orden directamente desde ahí.</w:t>
            </w:r>
          </w:p>
        </w:tc>
      </w:tr>
      <w:tr>
        <w:tc>
          <w:tcPr>
            <w:tcW w:type="dxa" w:w="2400"/>
            <w:vAlign w:val="center"/>
          </w:tcPr>
          <w:p>
            <w:r>
              <w:rPr>
                <w:b w:val="false"/>
                <w:bCs w:val="false"/>
              </w:rPr>
              <w:t xml:space="preserve">Médico tratante (selector)</w:t>
            </w:r>
          </w:p>
        </w:tc>
        <w:tc>
          <w:tcPr>
            <w:tcW w:type="dxa" w:w="3300"/>
            <w:vAlign w:val="center"/>
          </w:tcPr>
          <w:p>
            <w:r>
              <w:rPr>
                <w:b w:val="false"/>
                <w:bCs w:val="false"/>
              </w:rPr>
              <w:t xml:space="preserve">Solo permite elegir entre médicos ya cargados.</w:t>
            </w:r>
          </w:p>
        </w:tc>
        <w:tc>
          <w:tcPr>
            <w:tcW w:type="dxa" w:w="3300"/>
            <w:vAlign w:val="center"/>
          </w:tcPr>
          <w:p>
            <w:r>
              <w:rPr>
                <w:b w:val="false"/>
                <w:bCs w:val="false"/>
              </w:rPr>
              <w:t xml:space="preserve">Agregar opción 'Agregar médico al directorio', que abre la ventana de alta de médico sin salir del flujo de la orden.</w:t>
            </w:r>
          </w:p>
        </w:tc>
      </w:tr>
      <w:tr>
        <w:tc>
          <w:tcPr>
            <w:tcW w:type="dxa" w:w="2400"/>
            <w:vAlign w:val="center"/>
          </w:tcPr>
          <w:p>
            <w:r>
              <w:rPr>
                <w:b w:val="false"/>
                <w:bCs w:val="false"/>
              </w:rPr>
              <w:t xml:space="preserve">Centro médico (selector)</w:t>
            </w:r>
          </w:p>
        </w:tc>
        <w:tc>
          <w:tcPr>
            <w:tcW w:type="dxa" w:w="3300"/>
            <w:vAlign w:val="center"/>
          </w:tcPr>
          <w:p>
            <w:r>
              <w:rPr>
                <w:b w:val="false"/>
                <w:bCs w:val="false"/>
              </w:rPr>
              <w:t xml:space="preserve">Solo permite elegir entre centros ya cargados. Aplica también al selector de centro médico dentro del módulo Médicos.</w:t>
            </w:r>
          </w:p>
        </w:tc>
        <w:tc>
          <w:tcPr>
            <w:tcW w:type="dxa" w:w="3300"/>
            <w:vAlign w:val="center"/>
          </w:tcPr>
          <w:p>
            <w:r>
              <w:rPr>
                <w:b w:val="false"/>
                <w:bCs w:val="false"/>
              </w:rPr>
              <w:t xml:space="preserve">Agregar 'Agregar centro médico al directorio' en ambos lugares, abriendo la ventana de alta de centro médico sin interrumpir el flujo.</w:t>
            </w:r>
          </w:p>
        </w:tc>
      </w:tr>
    </w:tbl>
    <w:p>
      <w:r>
        <w:rPr>
          <w:b w:val="0"/>
        </w:rPr>
        <w:t>✅ COMPLETADA el 2026-07-16 (commit 943dbd6): vista de solo lectura por defecto al expandir, navegación por etapas con alerta de confirmación antes de editar una etapa anterior, filtro combinado por etapa y especialidad, alta rápida de médico/centro médico sin salir del flujo, y sección "Historia clínica" (antes "Archivo PDF de la orden") que acepta fotos convertidas automáticamente a PDF. Verificada E2E en producción por el usuario.</w:t>
      </w:r>
    </w:p>
    <w:p>
      <w:pPr>
        <w:pStyle w:val="Heading2"/>
        <w:spacing w:after="120" w:before="240"/>
      </w:pPr>
      <w:r>
        <w:t xml:space="preserve">Medicamentos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900"/>
        <w:gridCol w:w="1500"/>
      </w:tblGrid>
      <w:tr>
        <w:tc>
          <w:tcPr>
            <w:tcW w:type="dxa" w:w="2200"/>
            <w:shd w:fill="F2F2F2" w:val="clear"/>
            <w:vAlign w:val="center"/>
          </w:tcPr>
          <w:p>
            <w:r>
              <w:rPr>
                <w:b/>
                <w:bCs/>
              </w:rPr>
              <w:t xml:space="preserve">Ítem</w:t>
            </w:r>
          </w:p>
        </w:tc>
        <w:tc>
          <w:tcPr>
            <w:tcW w:type="dxa" w:w="2400"/>
            <w:shd w:fill="F2F2F2" w:val="clear"/>
            <w:vAlign w:val="center"/>
          </w:tcPr>
          <w:p>
            <w:r>
              <w:rPr>
                <w:b/>
                <w:bCs/>
              </w:rPr>
              <w:t xml:space="preserve">Qué pasa hoy</w:t>
            </w:r>
          </w:p>
        </w:tc>
        <w:tc>
          <w:tcPr>
            <w:tcW w:type="dxa" w:w="2900"/>
            <w:shd w:fill="F2F2F2" w:val="clear"/>
            <w:vAlign w:val="center"/>
          </w:tcPr>
          <w:p>
            <w:r>
              <w:rPr>
                <w:b/>
                <w:bCs/>
              </w:rPr>
              <w:t xml:space="preserve">Qué se espera</w:t>
            </w:r>
          </w:p>
        </w:tc>
        <w:tc>
          <w:tcPr>
            <w:tcW w:type="dxa" w:w="1500"/>
            <w:shd w:fill="F2F2F2" w:val="clear"/>
            <w:vAlign w:val="center"/>
          </w:tcPr>
          <w:p>
            <w:r>
              <w:rPr>
                <w:b/>
                <w:bCs/>
              </w:rPr>
              <w:t xml:space="preserve">Nota técnica</w:t>
            </w:r>
          </w:p>
        </w:tc>
      </w:tr>
      <w:tr>
        <w:tc>
          <w:tcPr>
            <w:tcW w:type="dxa" w:w="2200"/>
            <w:vAlign w:val="center"/>
          </w:tcPr>
          <w:p>
            <w:r>
              <w:rPr>
                <w:b w:val="false"/>
                <w:bCs w:val="false"/>
              </w:rPr>
              <w:t xml:space="preserve">Campo 'Dosis'</w:t>
            </w:r>
          </w:p>
        </w:tc>
        <w:tc>
          <w:tcPr>
            <w:tcW w:type="dxa" w:w="2400"/>
            <w:vAlign w:val="center"/>
          </w:tcPr>
          <w:p>
            <w:r>
              <w:rPr>
                <w:b w:val="false"/>
                <w:bCs w:val="false"/>
              </w:rPr>
              <w:t xml:space="preserve">Se llama 'Dosis'.</w:t>
            </w:r>
          </w:p>
        </w:tc>
        <w:tc>
          <w:tcPr>
            <w:tcW w:type="dxa" w:w="2900"/>
            <w:vAlign w:val="center"/>
          </w:tcPr>
          <w:p>
            <w:r>
              <w:rPr>
                <w:b w:val="false"/>
                <w:bCs w:val="false"/>
              </w:rPr>
              <w:t xml:space="preserve">Renombrar a 'Dosis diaria'.</w:t>
            </w:r>
          </w:p>
        </w:tc>
        <w:tc>
          <w:tcPr>
            <w:tcW w:type="dxa" w:w="1500"/>
            <w:vAlign w:val="center"/>
          </w:tcPr>
          <w:p>
            <w:r>
              <w:rPr>
                <w:b w:val="false"/>
                <w:bCs w:val="false"/>
              </w:rPr>
              <w:t xml:space="preserve"/>
            </w:r>
          </w:p>
        </w:tc>
      </w:tr>
      <w:tr>
        <w:tc>
          <w:tcPr>
            <w:tcW w:type="dxa" w:w="2200"/>
            <w:vAlign w:val="center"/>
          </w:tcPr>
          <w:p>
            <w:r>
              <w:rPr>
                <w:b w:val="false"/>
                <w:bCs w:val="false"/>
              </w:rPr>
              <w:t xml:space="preserve">Frecuencia</w:t>
            </w:r>
          </w:p>
        </w:tc>
        <w:tc>
          <w:tcPr>
            <w:tcW w:type="dxa" w:w="2400"/>
            <w:vAlign w:val="center"/>
          </w:tcPr>
          <w:p>
            <w:r>
              <w:rPr>
                <w:b w:val="false"/>
                <w:bCs w:val="false"/>
              </w:rPr>
              <w:t xml:space="preserve">Opciones actuales sin este orden/formato.</w:t>
            </w:r>
          </w:p>
        </w:tc>
        <w:tc>
          <w:tcPr>
            <w:tcW w:type="dxa" w:w="2900"/>
            <w:vAlign w:val="center"/>
          </w:tcPr>
          <w:p>
            <w:r>
              <w:rPr>
                <w:b w:val="false"/>
                <w:bCs w:val="false"/>
              </w:rPr>
              <w:t xml:space="preserve">Reemplazar por: Una vez al día · Dos veces al día o cada 12 horas · Tres veces al día o cada 8 horas · Cuatro veces al día o cada 6 horas · A demanda.</w:t>
            </w:r>
          </w:p>
        </w:tc>
        <w:tc>
          <w:tcPr>
            <w:tcW w:type="dxa" w:w="1500"/>
            <w:vAlign w:val="center"/>
          </w:tcPr>
          <w:p>
            <w:r>
              <w:rPr>
                <w:b w:val="false"/>
                <w:bCs w:val="false"/>
              </w:rPr>
              <w:t xml:space="preserve"/>
            </w:r>
          </w:p>
        </w:tc>
      </w:tr>
      <w:tr>
        <w:tc>
          <w:tcPr>
            <w:tcW w:type="dxa" w:w="2200"/>
            <w:vAlign w:val="center"/>
          </w:tcPr>
          <w:p>
            <w:r>
              <w:rPr>
                <w:b w:val="false"/>
                <w:bCs w:val="false"/>
              </w:rPr>
              <w:t xml:space="preserve">Horarios de toma</w:t>
            </w:r>
          </w:p>
        </w:tc>
        <w:tc>
          <w:tcPr>
            <w:tcW w:type="dxa" w:w="2400"/>
            <w:vAlign w:val="center"/>
          </w:tcPr>
          <w:p>
            <w:r>
              <w:rPr>
                <w:b w:val="false"/>
                <w:bCs w:val="false"/>
              </w:rPr>
              <w:t xml:space="preserve">No existe esta sección.</w:t>
            </w:r>
          </w:p>
        </w:tc>
        <w:tc>
          <w:tcPr>
            <w:tcW w:type="dxa" w:w="2900"/>
            <w:vAlign w:val="center"/>
          </w:tcPr>
          <w:p>
            <w:r>
              <w:rPr>
                <w:b w:val="false"/>
                <w:bCs w:val="false"/>
              </w:rPr>
              <w:t xml:space="preserve">Dos columnas enfrentadas: Horario de toma y Dosis de ese horario. Cantidad de filas según frecuencia (ej. cada 4h → 6 filas; una vez al día → 1 fila; a demanda → sin filas automáticas). Primer horario editable, arranca en 00:00 por defecto; los siguientes se calculan automáticamente y espaciados según la frecuencia, pero siguen siendo editables individualmente. Si se cambia el primer horario, los siguientes se recalculan automáticamente.</w:t>
            </w:r>
          </w:p>
        </w:tc>
        <w:tc>
          <w:tcPr>
            <w:tcW w:type="dxa" w:w="1500"/>
            <w:vAlign w:val="center"/>
          </w:tcPr>
          <w:p>
            <w:r>
              <w:rPr>
                <w:b w:val="false"/>
                <w:bCs w:val="false"/>
              </w:rPr>
              <w:t xml:space="preserve">Requiere lógica con estado: distinguir 'horario recalculado automáticamente' de 'horario editado a mano', para no sobrescribir una edición manual al cambiar el horario base. Definir con la usuaria qué pasa si edita un horario intermedio y luego cambia el primero.</w:t>
            </w:r>
          </w:p>
        </w:tc>
      </w:tr>
      <w:tr>
        <w:tc>
          <w:tcPr>
            <w:tcW w:type="dxa" w:w="2200"/>
            <w:vAlign w:val="center"/>
          </w:tcPr>
          <w:p>
            <w:r>
              <w:rPr>
                <w:b w:val="false"/>
                <w:bCs w:val="false"/>
              </w:rPr>
              <w:t xml:space="preserve">Vía de administración</w:t>
            </w:r>
          </w:p>
        </w:tc>
        <w:tc>
          <w:tcPr>
            <w:tcW w:type="dxa" w:w="2400"/>
            <w:vAlign w:val="center"/>
          </w:tcPr>
          <w:p>
            <w:r>
              <w:rPr>
                <w:b w:val="false"/>
                <w:bCs w:val="false"/>
              </w:rPr>
              <w:t xml:space="preserve">Lista fija, sin 'Vía sonda' ni opción extensible.</w:t>
            </w:r>
          </w:p>
        </w:tc>
        <w:tc>
          <w:tcPr>
            <w:tcW w:type="dxa" w:w="2900"/>
            <w:vAlign w:val="center"/>
          </w:tcPr>
          <w:p>
            <w:r>
              <w:rPr>
                <w:b w:val="false"/>
                <w:bCs w:val="false"/>
              </w:rPr>
              <w:t xml:space="preserve">Agregar 'Vía sonda' como opción fija, y 'Otra' que abre una ventana para escribir texto libre y sumarlo automáticamente a las opciones futuras.</w:t>
            </w:r>
          </w:p>
        </w:tc>
        <w:tc>
          <w:tcPr>
            <w:tcW w:type="dxa" w:w="1500"/>
            <w:vAlign w:val="center"/>
          </w:tcPr>
          <w:p>
            <w:r>
              <w:rPr>
                <w:b w:val="false"/>
                <w:bCs w:val="false"/>
              </w:rPr>
              <w:t xml:space="preserve">Mismo patrón que 'Pólizas' (Pacientes) y 'Especialidad' (Médicos) — ver nota transversal.</w:t>
            </w:r>
          </w:p>
        </w:tc>
      </w:tr>
    </w:tbl>
    <w:p>
      <w:r>
        <w:rPr>
          <w:b w:val="0"/>
        </w:rPr>
        <w:t>✅ COMPLETADA el 2026-07-16 (commit 41c4211, migración 0010): "Dosis" renombrado a "Dosis diaria"; Frecuencia con las 5 opciones fijas del plan; "Horarios de toma" con hora + dosis por horario, filas auto-generadas según frecuencia, primer horario editable y siguientes recalculados automáticamente — decisión explícita del usuario: cambiar el horario base SIEMPRE recalcula todos los siguientes, incluso sobre ediciones manuales previas. Vía de administración con "Vía sonda" fija y "Otra" extensible (vía extensibleCatalog.js). Migración 0010 remapea de forma conservadora solo las frecuencias viejas con equivalencia clara.</w:t>
      </w:r>
    </w:p>
    <w:p>
      <w:pPr>
        <w:pStyle w:val="Heading2"/>
        <w:spacing w:after="120" w:before="240"/>
      </w:pPr>
      <w:r>
        <w:t xml:space="preserve">Médicos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400"/>
      </w:tblGrid>
      <w:tr>
        <w:tc>
          <w:tcPr>
            <w:tcW w:type="dxa" w:w="2400"/>
            <w:shd w:fill="F2F2F2" w:val="clear"/>
            <w:vAlign w:val="center"/>
          </w:tcPr>
          <w:p>
            <w:r>
              <w:rPr>
                <w:b/>
                <w:bCs/>
              </w:rPr>
              <w:t xml:space="preserve">Ítem</w:t>
            </w:r>
          </w:p>
        </w:tc>
        <w:tc>
          <w:tcPr>
            <w:tcW w:type="dxa" w:w="2600"/>
            <w:shd w:fill="F2F2F2" w:val="clear"/>
            <w:vAlign w:val="center"/>
          </w:tcPr>
          <w:p>
            <w:r>
              <w:rPr>
                <w:b/>
                <w:bCs/>
              </w:rPr>
              <w:t xml:space="preserve">Qué pasa hoy</w:t>
            </w:r>
          </w:p>
        </w:tc>
        <w:tc>
          <w:tcPr>
            <w:tcW w:type="dxa" w:w="2600"/>
            <w:shd w:fill="F2F2F2" w:val="clear"/>
            <w:vAlign w:val="center"/>
          </w:tcPr>
          <w:p>
            <w:r>
              <w:rPr>
                <w:b/>
                <w:bCs/>
              </w:rPr>
              <w:t xml:space="preserve">Qué se espera</w:t>
            </w:r>
          </w:p>
        </w:tc>
        <w:tc>
          <w:tcPr>
            <w:tcW w:type="dxa" w:w="1400"/>
            <w:shd w:fill="F2F2F2" w:val="clear"/>
            <w:vAlign w:val="center"/>
          </w:tcPr>
          <w:p>
            <w:r>
              <w:rPr>
                <w:b/>
                <w:bCs/>
              </w:rPr>
              <w:t xml:space="preserve">Nota técnica</w:t>
            </w:r>
          </w:p>
        </w:tc>
      </w:tr>
      <w:tr>
        <w:tc>
          <w:tcPr>
            <w:tcW w:type="dxa" w:w="2400"/>
            <w:vAlign w:val="center"/>
          </w:tcPr>
          <w:p>
            <w:r>
              <w:rPr>
                <w:b w:val="false"/>
                <w:bCs w:val="false"/>
              </w:rPr>
              <w:t xml:space="preserve">Especialidad</w:t>
            </w:r>
          </w:p>
        </w:tc>
        <w:tc>
          <w:tcPr>
            <w:tcW w:type="dxa" w:w="2600"/>
            <w:vAlign w:val="center"/>
          </w:tcPr>
          <w:p>
            <w:r>
              <w:rPr>
                <w:b w:val="false"/>
                <w:bCs w:val="false"/>
              </w:rPr>
              <w:t xml:space="preserve">Lista limitada, sin forma de agregar nuevas.</w:t>
            </w:r>
          </w:p>
        </w:tc>
        <w:tc>
          <w:tcPr>
            <w:tcW w:type="dxa" w:w="2600"/>
            <w:vAlign w:val="center"/>
          </w:tcPr>
          <w:p>
            <w:r>
              <w:rPr>
                <w:b w:val="false"/>
                <w:bCs w:val="false"/>
              </w:rPr>
              <w:t xml:space="preserve">Al elegir 'Otra', abrir un cuadro de diálogo para escribir la especialidad manualmente y sumarla a las opciones futuras.</w:t>
            </w:r>
          </w:p>
        </w:tc>
        <w:tc>
          <w:tcPr>
            <w:tcW w:type="dxa" w:w="1400"/>
            <w:vAlign w:val="center"/>
          </w:tcPr>
          <w:p>
            <w:r>
              <w:rPr>
                <w:b w:val="false"/>
                <w:bCs w:val="false"/>
              </w:rPr>
              <w:t xml:space="preserve">Tercer caso del mismo patrón 'Otra → texto libre → catálogo extensible' (junto con Pólizas y Vía de administración) — ver nota transversal.</w:t>
            </w:r>
          </w:p>
        </w:tc>
      </w:tr>
      <w:tr>
        <w:tc>
          <w:tcPr>
            <w:tcW w:type="dxa" w:w="2400"/>
            <w:vAlign w:val="center"/>
          </w:tcPr>
          <w:p>
            <w:r>
              <w:rPr>
                <w:b w:val="false"/>
                <w:bCs w:val="false"/>
              </w:rPr>
              <w:t xml:space="preserve">Número de tarjeta profesional</w:t>
            </w:r>
          </w:p>
        </w:tc>
        <w:tc>
          <w:tcPr>
            <w:tcW w:type="dxa" w:w="2600"/>
            <w:vAlign w:val="center"/>
          </w:tcPr>
          <w:p>
            <w:r>
              <w:rPr>
                <w:b w:val="false"/>
                <w:bCs w:val="false"/>
              </w:rPr>
              <w:t xml:space="preserve">No existe el campo.</w:t>
            </w:r>
          </w:p>
        </w:tc>
        <w:tc>
          <w:tcPr>
            <w:tcW w:type="dxa" w:w="2600"/>
            <w:vAlign w:val="center"/>
          </w:tcPr>
          <w:p>
            <w:r>
              <w:rPr>
                <w:b w:val="false"/>
                <w:bCs w:val="false"/>
              </w:rPr>
              <w:t xml:space="preserve">Nuevo campo debajo del nombre del médico.</w:t>
            </w:r>
          </w:p>
        </w:tc>
        <w:tc>
          <w:tcPr>
            <w:tcW w:type="dxa" w:w="1400"/>
            <w:vAlign w:val="center"/>
          </w:tcPr>
          <w:p>
            <w:r>
              <w:rPr>
                <w:b w:val="false"/>
                <w:bCs w:val="false"/>
              </w:rPr>
              <w:t xml:space="preserve">Columna nueva en la tabla 'doctors'.</w:t>
            </w:r>
          </w:p>
        </w:tc>
      </w:tr>
    </w:tbl>
    <w:p>
      <w:r>
        <w:rPr>
          <w:b w:val="0"/>
        </w:rPr>
        <w:t>✅ COMPLETADA el 2026-07-16 (commit 97c2115, migración 0011): Especialidad con "Otra" extensible (vía extensibleCatalog.js) y nuevo campo "Número de tarjeta profesional" debajo del nombre.</w:t>
      </w:r>
    </w:p>
    <w:p>
      <w:pPr>
        <w:pStyle w:val="Heading2"/>
        <w:spacing w:after="120" w:before="240"/>
      </w:pPr>
      <w:r>
        <w:t xml:space="preserve">Nota transversal — patrón 'Otra' extensible</w:t>
      </w:r>
    </w:p>
    <w:p>
      <w:pPr>
        <w:spacing w:after="120"/>
      </w:pPr>
      <w:r>
        <w:rPr>
          <w:b w:val="false"/>
          <w:bCs w:val="false"/>
          <w:i w:val="false"/>
          <w:iCs w:val="false"/>
        </w:rPr>
        <w:t xml:space="preserve">Tres módulos distintos (Pólizas en Pacientes, Vía de administración en Medicamentos, Especialidad en Médicos) piden el mismo mecanismo: una lista desplegable con opción 'Otra' que abre un campo de texto libre y agrega la entrada al catálogo para futuras cargas. Se recomienda construir un único componente/mecanismo reutilizable para los tres casos, en vez de tres implementaciones separadas — mismo criterio de UX, menos código duplicado y mantenimiento más simple a futuro.</w:t>
      </w:r>
    </w:p>
    <w:p>
      <w:r>
        <w:rPr>
          <w:b w:val="0"/>
        </w:rPr>
        <w:t>✅ Completado el 2026-07-16 (commit 6ef6bbc): las tres implementaciones del patrón "Otra… extensible" (Pólizas en Pacientes, Vía de administración en Medicamentos, Especialidad en Médicos) ahora comparten el mismo helper src/lib/extensibleCatalog.js (catalogOptionsHtml / resolveCatalogValue / OTRA_VALUE). Pólizas dejó su implementación inline propia sin cambios de comportamiento para el usuario.</w:t>
      </w:r>
    </w:p>
    <w:p>
      <w:pPr>
        <w:pStyle w:val="Heading2"/>
        <w:spacing w:after="120" w:before="240"/>
      </w:pPr>
      <w:r>
        <w:t xml:space="preserve">Cambio transversal — imágenes y documentos ampliables/descargables</w:t>
      </w:r>
    </w:p>
    <w:p>
      <w:pPr>
        <w:spacing w:after="120"/>
      </w:pPr>
      <w:r>
        <w:rPr>
          <w:b w:val="false"/>
          <w:bCs w:val="false"/>
          <w:i w:val="false"/>
          <w:iCs w:val="false"/>
        </w:rPr>
        <w:t xml:space="preserve">Aplica a todos los módulos con contenido subido como imagen o documento: carnets de pólizas (Pacientes), historia clínica/adjuntos (Órdenes), y cualquier otro que exista o se agregue.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shd w:fill="F2F2F2" w:val="clear"/>
            <w:vAlign w:val="center"/>
          </w:tcPr>
          <w:p>
            <w:r>
              <w:rPr>
                <w:b/>
                <w:bCs/>
              </w:rPr>
              <w:t xml:space="preserve">Dónde</w:t>
            </w:r>
          </w:p>
        </w:tc>
        <w:tc>
          <w:tcPr>
            <w:tcW w:type="dxa" w:w="6200"/>
            <w:shd w:fill="F2F2F2" w:val="clear"/>
            <w:vAlign w:val="center"/>
          </w:tcPr>
          <w:p>
            <w:r>
              <w:rPr>
                <w:b/>
                <w:bCs/>
              </w:rPr>
              <w:t xml:space="preserve">Qué se espera</w:t>
            </w:r>
          </w:p>
        </w:tc>
      </w:tr>
      <w:tr>
        <w:tc>
          <w:tcPr>
            <w:tcW w:type="dxa" w:w="3200"/>
            <w:vAlign w:val="center"/>
          </w:tcPr>
          <w:p>
            <w:r>
              <w:rPr>
                <w:b w:val="false"/>
                <w:bCs w:val="false"/>
              </w:rPr>
              <w:t xml:space="preserve">Cualquier imagen o documento almacenado en la app</w:t>
            </w:r>
          </w:p>
        </w:tc>
        <w:tc>
          <w:tcPr>
            <w:tcW w:type="dxa" w:w="6200"/>
            <w:vAlign w:val="center"/>
          </w:tcPr>
          <w:p>
            <w:r>
              <w:rPr>
                <w:b w:val="false"/>
                <w:bCs w:val="false"/>
              </w:rPr>
              <w:t xml:space="preserve">Poder hacer clic para ampliar (lightbox/modal) y un botón de descarga. Implementar como componente reutilizable único, no repetido por módulo.</w:t>
            </w:r>
          </w:p>
        </w:tc>
      </w:tr>
    </w:tbl>
    <w:p>
      <w:r>
        <w:rPr>
          <w:b w:val="0"/>
        </w:rPr>
        <w:t>✅ Completo el 2026-07-16 (commits d420668 y db4fc95): además de tomar foto desde el navegador y convertir automáticamente a PDF, se implementó el visor de adjuntos en ventana sobrepuesta (src/lib/viewer.js) — barra superior fija con descarga y cierre, zoom 100–300% sin salir de la app, y arrastre para desplazar el documento ampliado. Reemplaza el viejo window.open a pestaña nueva en todos los módulos que suben imágenes o documentos.</w:t>
      </w:r>
    </w:p>
    <w:p>
      <w:pPr>
        <w:pStyle w:val="Heading2"/>
      </w:pPr>
      <w:r>
        <w:rPr>
          <w:b w:val="0"/>
        </w:rPr>
        <w:t>Bug crítico de producción encontrado y corregido durante P1.5</w:t>
      </w:r>
    </w:p>
    <w:p>
      <w:r>
        <w:rPr>
          <w:b w:val="0"/>
        </w:rPr>
        <w:t>Al guardar una orden con una foto recién convertida a PDF, Supabase Storage rechazaba la subida con "mime type application/octet-stream is not supported". Causa raíz: dataUrlToBlob() en src/lib/files.js parseaba el header de la data-URL con una regex que exigía ";base64" pegado al mime type, pero el datauristring real que produce jsPDF trae un parámetro intermedio (data:application/pdf;filename=x.pdf;base64,...) que esa regex no reconocía — el Blob quedaba tipado application/octet-stream, y @supabase/storage-js usa el .type real del Blob al subir, ignorando la opción contentType cuando el payload es un Blob (confirmado leyendo su fuente). Corregido cambiando la regex a "toma todo antes del primer ; o ," (commit fb4e042). Afectaba a TODA conversión foto→PDF desde que se introdujo con Órdenes médicas — verificado con Playwright contra el formato real de jsPDF, no con un mock. Un segundo error reportado después del deploy del fix ("Failed to load module script... MIME type text/html") no era un bug de código: es el patrón clásico de chunk de Vite con nombre hasheado + rewrite SPA de Vercel tras un deploy nuevo — se resolvió con un hard refresh del navegador, sin cambios de código.</w:t>
      </w:r>
    </w:p>
    <w:p>
      <w:pPr>
        <w:pStyle w:val="Heading1"/>
        <w:spacing w:after="150" w:before="300"/>
      </w:pPr>
      <w:r>
        <w:t>Prioridad P2 — Calidad para el público (4/4 completadas)</w:t>
      </w:r>
    </w:p>
    <w:p>
      <w:pPr>
        <w:spacing w:after="120"/>
      </w:pPr>
      <w:r>
        <w:rPr>
          <w:b w:val="false"/>
          <w:bCs w:val="false"/>
          <w:i w:val="false"/>
          <w:iCs w:val="false"/>
        </w:rPr>
        <w:t>Las cuatro tareas numeradas quedaron completadas el 2026-07-16: responsive móvil (el sidebar quedaba oculto sin reemplazo en pantallas ≤768px; se agregó un botón de menú que abre un drawer superpuesto), eliminación de SaludFamilia.html legacy (HTML monolítico de una versión previa, no referenciado por nada), aviso médico y de privacidad (src/lib/legal.js, accesible desde login y desde una card en la app), y estados vacíos y manejo de errores consistente (#11, commit a515d18): se creó src/lib/emptyState.js como helper compartido para unificar el markup de "empty state" entre módulos y se agregó try/catch con estado de error y reintento en el render() de los ocho módulos con datos propios (Pacientes, Centros, Médicos, Medicamentos, Signos vitales, Órdenes, Dashboard, Familia), además de blindar el enrutador de main.js contra errores no capturados al cambiar de vista.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200"/>
        <w:gridCol w:w="4700"/>
      </w:tblGrid>
      <w:tr>
        <w:tc>
          <w:tcPr>
            <w:tcW w:type="dxa" w:w="500"/>
            <w:shd w:fill="F2F2F2" w:val="clear"/>
            <w:vAlign w:val="center"/>
          </w:tcPr>
          <w:p>
            <w:r>
              <w:rPr>
                <w:b/>
                <w:bCs/>
              </w:rPr>
              <w:t xml:space="preserve">#</w:t>
            </w:r>
          </w:p>
        </w:tc>
        <w:tc>
          <w:tcPr>
            <w:tcW w:type="dxa" w:w="36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4700"/>
            <w:shd w:fill="F2F2F2" w:val="clear"/>
            <w:vAlign w:val="center"/>
          </w:tcPr>
          <w:p>
            <w:r>
              <w:rPr>
                <w:b/>
                <w:bCs/>
              </w:rPr>
              <w:t xml:space="preserve">Por qué</w:t>
            </w:r>
          </w:p>
        </w:tc>
      </w:tr>
      <w:tr>
        <w:tc>
          <w:tcPr>
            <w:tcW w:type="dxa" w:w="500"/>
            <w:vAlign w:val="center"/>
          </w:tcPr>
          <w:p>
            <w:r>
              <w:rPr>
                <w:b w:val="false"/>
                <w:bCs w:val="false"/>
              </w:rPr>
              <w:t xml:space="preserve">9</w:t>
            </w:r>
          </w:p>
        </w:tc>
        <w:tc>
          <w:tcPr>
            <w:tcW w:type="dxa" w:w="3600"/>
            <w:vAlign w:val="center"/>
          </w:tcPr>
          <w:p>
            <w:r>
              <w:rPr>
                <w:b w:val="false"/>
                <w:bCs w:val="false"/>
              </w:rPr>
              <w:t xml:space="preserve">Responsive móvil</w:t>
            </w:r>
          </w:p>
        </w:tc>
        <w:tc>
          <w:tcPr>
            <w:tcW w:type="dxa" w:w="1200"/>
            <w:vAlign w:val="center"/>
          </w:tcPr>
          <w:p>
            <w:r>
              <w:rPr>
                <w:b w:val="false"/>
                <w:bCs w:val="false"/>
              </w:rPr>
              <w:t xml:space="preserve">Sonnet</w:t>
            </w:r>
          </w:p>
        </w:tc>
        <w:tc>
          <w:tcPr>
            <w:tcW w:type="dxa" w:w="4700"/>
            <w:vAlign w:val="center"/>
          </w:tcPr>
          <w:p>
            <w:r>
              <w:rPr>
                <w:b w:val="false"/>
                <w:bCs w:val="false"/>
              </w:rPr>
              <w:t xml:space="preserve">Una app de salud familiar se usa sobre todo desde el teléfono.</w:t>
            </w:r>
          </w:p>
          <w:p>
            <w:r>
              <w:t>✅ Completada el 2026-07-16 (commit c9c3477): drawer de navegación en móvil con backdrop, botón de menú en el header.</w:t>
            </w:r>
          </w:p>
        </w:tc>
      </w:tr>
      <w:tr>
        <w:tc>
          <w:tcPr>
            <w:tcW w:type="dxa" w:w="500"/>
            <w:vAlign w:val="center"/>
          </w:tcPr>
          <w:p>
            <w:r>
              <w:rPr>
                <w:b w:val="false"/>
                <w:bCs w:val="false"/>
              </w:rPr>
              <w:t xml:space="preserve">10</w:t>
            </w:r>
          </w:p>
        </w:tc>
        <w:tc>
          <w:tcPr>
            <w:tcW w:type="dxa" w:w="3600"/>
            <w:vAlign w:val="center"/>
          </w:tcPr>
          <w:p>
            <w:r>
              <w:rPr>
                <w:b w:val="false"/>
                <w:bCs w:val="false"/>
              </w:rPr>
              <w:t xml:space="preserve">Eliminar SaludFamilia.html legacy y actualizar README</w:t>
            </w:r>
          </w:p>
        </w:tc>
        <w:tc>
          <w:tcPr>
            <w:tcW w:type="dxa" w:w="1200"/>
            <w:vAlign w:val="center"/>
          </w:tcPr>
          <w:p>
            <w:r>
              <w:rPr>
                <w:b w:val="false"/>
                <w:bCs w:val="false"/>
              </w:rPr>
              <w:t xml:space="preserve">Sonnet</w:t>
            </w:r>
          </w:p>
        </w:tc>
        <w:tc>
          <w:tcPr>
            <w:tcW w:type="dxa" w:w="4700"/>
            <w:vAlign w:val="center"/>
          </w:tcPr>
          <w:p>
            <w:r>
              <w:rPr>
                <w:b w:val="false"/>
                <w:bCs w:val="false"/>
              </w:rPr>
              <w:t xml:space="preserve">Limpieza; queda recuperable en el historial de git.</w:t>
            </w:r>
          </w:p>
          <w:p>
            <w:r>
              <w:t>✅ Completada el 2026-07-16 (commit 1292cfb): HTML legacy eliminado, README actualizado con la arquitectura real.</w:t>
            </w:r>
          </w:p>
        </w:tc>
      </w:tr>
      <w:tr>
        <w:tc>
          <w:tcPr>
            <w:tcW w:type="dxa" w:w="500"/>
            <w:vAlign w:val="center"/>
          </w:tcPr>
          <w:p>
            <w:r>
              <w:rPr>
                <w:b w:val="false"/>
                <w:bCs w:val="false"/>
              </w:rPr>
              <w:t xml:space="preserve">11</w:t>
            </w:r>
          </w:p>
        </w:tc>
        <w:tc>
          <w:tcPr>
            <w:tcW w:type="dxa" w:w="3600"/>
            <w:vAlign w:val="center"/>
          </w:tcPr>
          <w:p>
            <w:r>
              <w:rPr>
                <w:b w:val="false"/>
                <w:bCs w:val="false"/>
              </w:rPr>
              <w:t xml:space="preserve">Estados vacíos y manejo de errores consistente</w:t>
            </w:r>
          </w:p>
        </w:tc>
        <w:tc>
          <w:tcPr>
            <w:tcW w:type="dxa" w:w="1200"/>
            <w:vAlign w:val="center"/>
          </w:tcPr>
          <w:p>
            <w:r>
              <w:rPr>
                <w:b w:val="false"/>
                <w:bCs w:val="false"/>
              </w:rPr>
              <w:t xml:space="preserve">Sonnet</w:t>
            </w:r>
          </w:p>
        </w:tc>
        <w:tc>
          <w:tcPr>
            <w:tcW w:type="dxa" w:w="4700"/>
            <w:vAlign w:val="center"/>
          </w:tcPr>
          <w:p>
            <w:r>
              <w:rPr>
                <w:b w:val="false"/>
                <w:bCs w:val="false"/>
              </w:rPr>
              <w:t xml:space="preserve">Homogeneizar UX en los módulos.</w:t>
            </w:r>
          </w:p>
          <w:p>
            <w:r>
              <w:t>✅ Completada el 2026-07-16 (commit a515d18): helper compartido src/lib/emptyState.js + try/catch con estado de error y reintento en los ocho módulos con datos propios.</w:t>
            </w:r>
          </w:p>
        </w:tc>
      </w:tr>
      <w:tr>
        <w:tc>
          <w:tcPr>
            <w:tcW w:type="dxa" w:w="500"/>
            <w:vAlign w:val="center"/>
          </w:tcPr>
          <w:p>
            <w:r>
              <w:rPr>
                <w:b w:val="false"/>
                <w:bCs w:val="false"/>
              </w:rPr>
              <w:t xml:space="preserve">12</w:t>
            </w:r>
          </w:p>
        </w:tc>
        <w:tc>
          <w:tcPr>
            <w:tcW w:type="dxa" w:w="3600"/>
            <w:vAlign w:val="center"/>
          </w:tcPr>
          <w:p>
            <w:r>
              <w:rPr>
                <w:b w:val="false"/>
                <w:bCs w:val="false"/>
              </w:rPr>
              <w:t xml:space="preserve">Aviso de privacidad y disclaimer médico</w:t>
            </w:r>
          </w:p>
        </w:tc>
        <w:tc>
          <w:tcPr>
            <w:tcW w:type="dxa" w:w="1200"/>
            <w:vAlign w:val="center"/>
          </w:tcPr>
          <w:p>
            <w:r>
              <w:rPr>
                <w:b w:val="false"/>
                <w:bCs w:val="false"/>
              </w:rPr>
              <w:t xml:space="preserve">Sonnet</w:t>
            </w:r>
          </w:p>
        </w:tc>
        <w:tc>
          <w:tcPr>
            <w:tcW w:type="dxa" w:w="4700"/>
            <w:vAlign w:val="center"/>
          </w:tcPr>
          <w:p>
            <w:r>
              <w:rPr>
                <w:b w:val="false"/>
                <w:bCs w:val="false"/>
              </w:rPr>
              <w:t xml:space="preserve">Obligatorio al almacenar y publicar datos de salud.</w:t>
            </w:r>
          </w:p>
          <w:p>
            <w:r>
              <w:t>✅ Completada el 2026-07-16 (commit d14ecbf): aviso accesible desde el login y desde una card en la app.</w:t>
            </w:r>
          </w:p>
        </w:tc>
      </w:tr>
    </w:tbl>
    <w:p>
      <w:pPr>
        <w:pStyle w:val="Heading1"/>
        <w:spacing w:after="150" w:before="300"/>
      </w:pPr>
      <w:r>
        <w:t>MI AUDITORIA — backlog adicional de Ficha de paciente y Órdenes (completado el 2026-07-16)</w:t>
      </w:r>
    </w:p>
    <w:p>
      <w:pPr>
        <w:spacing w:after="120"/>
      </w:pPr>
      <w:r>
        <w:rPr>
          <w:b w:val="false"/>
          <w:bCs w:val="false"/>
          <w:i w:val="false"/>
          <w:iCs w:val="false"/>
        </w:rPr>
        <w:t>Backlog independiente del plan original y de P1.5, relevado directamente por la usuaria tras usar la app en producción ("MI AUDITORIA"). Cubre 5 ajustes puntuales en Ficha de paciente y una restructuración de 5 partes en Órdenes médicas. Se completaron y verificaron las 10 tareas en esta sesión, con tres decisiones explícitas confirmadas con el usuario antes de implementar (ver notas en cada ítem).</w:t>
      </w:r>
    </w:p>
    <w:p>
      <w:pPr>
        <w:pStyle w:val="Heading2"/>
        <w:spacing w:after="120" w:before="240"/>
      </w:pPr>
      <w:r>
        <w:t>Pacientes (5/5 completadas)</w:t>
      </w:r>
    </w:p>
    <w:p>
      <w:pPr>
        <w:pStyle w:val="ListParagraph"/>
        <w:numPr>
          <w:ilvl w:val="0"/>
          <w:numId w:val="1"/>
        </w:numPr>
        <w:spacing w:after="80"/>
      </w:pPr>
      <w:r>
        <w:t>#1 — Avatar del paciente: foto de perfil subida y redimensionada en el cliente antes de guardar en Storage (bucket "adjuntos"); a diferencia de los adjuntos de órdenes/pólizas, no se convierte a PDF. Migración 0012 (columna patients.foto, jsonb). Commit f31e0ac.</w:t>
      </w:r>
    </w:p>
    <w:p>
      <w:pPr>
        <w:pStyle w:val="ListParagraph"/>
        <w:numPr>
          <w:ilvl w:val="0"/>
          <w:numId w:val="1"/>
        </w:numPr>
        <w:spacing w:after="80"/>
      </w:pPr>
      <w:r>
        <w:t>#2 — Parentesco: se agregó la opción "Pareja/Cónyuge" al desplegable de contacto de emergencia. Commit 3dd0368.</w:t>
      </w:r>
    </w:p>
    <w:p>
      <w:pPr>
        <w:pStyle w:val="ListParagraph"/>
        <w:numPr>
          <w:ilvl w:val="0"/>
          <w:numId w:val="1"/>
        </w:numPr>
        <w:spacing w:after="80"/>
      </w:pPr>
      <w:r>
        <w:t>#3 — Pólizas: nuevo campo de texto libre "Nombre de la aseguradora" — no se modeló como catálogo extensible, es dato puntual de cada póliza, no una clasificación reutilizable. Migración 0013 (columna patient_policies.aseguradora). Commit 3dd0368.</w:t>
      </w:r>
    </w:p>
    <w:p>
      <w:pPr>
        <w:pStyle w:val="ListParagraph"/>
        <w:numPr>
          <w:ilvl w:val="0"/>
          <w:numId w:val="1"/>
        </w:numPr>
        <w:spacing w:after="80"/>
      </w:pPr>
      <w:r>
        <w:t>#4 — Modo vista: ventana sobrepuesta de solo lectura al abrir la ficha del paciente, con barra superior fija (no se mueve al hacer scroll) y botón Editar junto a Cerrar — mismo patrón ya usado en Órdenes. Commit 2d95efa.</w:t>
      </w:r>
    </w:p>
    <w:p>
      <w:pPr>
        <w:pStyle w:val="ListParagraph"/>
        <w:numPr>
          <w:ilvl w:val="0"/>
          <w:numId w:val="1"/>
        </w:numPr>
        <w:spacing w:after="80"/>
      </w:pPr>
      <w:r>
        <w:t>#5 — Condiciones crónicas: checkbox que habilita un desplegable "Añadir diagnóstico" en modo manual (código CIE10 ya conocido). Decisión tomada con el usuario: por ahora solo carga manual — la búsqueda por código/nombre contra el catálogo CIE10 (PDF de la OPS/PAHO) queda diferida, ya que ese documento no es consultable en vivo por código y requiere definir fuente de datos. Migración 0014 (tabla patient_diagnoses). Commit fdbd65a.</w:t>
      </w:r>
    </w:p>
    <w:p>
      <w:pPr>
        <w:pStyle w:val="Heading2"/>
        <w:spacing w:after="120" w:before="240"/>
      </w:pPr>
      <w:r>
        <w:t>Órdenes médicas (5/5 completadas)</w:t>
      </w:r>
    </w:p>
    <w:p>
      <w:pPr>
        <w:pStyle w:val="ListParagraph"/>
        <w:numPr>
          <w:ilvl w:val="0"/>
          <w:numId w:val="1"/>
        </w:numPr>
        <w:spacing w:after="80"/>
      </w:pPr>
      <w:r>
        <w:t>#1 — Bloqueo de eliminación: una orden solo puede eliminarse mientras sigue en la etapa A (recién creada); a partir de ahí solo es editable. Se revalida contra el servidor al momento de eliminar, no solo el botón visible en la tarjeta. Commit d385a2d.</w:t>
      </w:r>
    </w:p>
    <w:p>
      <w:pPr>
        <w:pStyle w:val="ListParagraph"/>
        <w:numPr>
          <w:ilvl w:val="0"/>
          <w:numId w:val="1"/>
        </w:numPr>
        <w:spacing w:after="80"/>
      </w:pPr>
      <w:r>
        <w:t>#2 — Filtros expandidos: etapa, especialidad, médico y tipo de orden, todos "extensibles" — cada selector solo lista las opciones presentes entre las órdenes de la etapa actualmente filtrada — más un filtro de rango de fechas. Commit 30666f5.</w:t>
      </w:r>
    </w:p>
    <w:p>
      <w:pPr>
        <w:pStyle w:val="ListParagraph"/>
        <w:numPr>
          <w:ilvl w:val="0"/>
          <w:numId w:val="1"/>
        </w:numPr>
        <w:spacing w:after="80"/>
      </w:pPr>
      <w:r>
        <w:t>#3 — Modo vista: mismo patrón de ventana sobrepuesta de solo lectura que Pacientes #4, con botón "Actualizar" que abre el asistente directo en la etapa pendiente. Commit 0114249.</w:t>
      </w:r>
    </w:p>
    <w:p>
      <w:pPr>
        <w:pStyle w:val="ListParagraph"/>
        <w:numPr>
          <w:ilvl w:val="0"/>
          <w:numId w:val="1"/>
        </w:numPr>
        <w:spacing w:after="80"/>
      </w:pPr>
      <w:r>
        <w:t>#4 — Restructuración de tipo de orden: se elimina "Insumos Médicos" y "Medicamentos" pasa a llamarse "Medicamentos/Insumos/Terapias" (las órdenes existentes de ambos tipos se migraron automáticamente, sin pérdida de datos — verificado contra producción antes de aplicar). Este tipo reemplaza la etapa "Autorización" (un registro) por "Autorizaciones": se declara un número de meses y se genera una fila por mes (número de autorización, fecha de inicio, fecha de vencimiento, cantidad, entregado) en la nueva tabla order_authorizations. Nunca pasa por la etapa Cita — queda bloqueada en la UI — y se finaliza con un botón manual. "Centro Médico" se renombra a "Proveedor" en este flujo (mismo directorio). Dos decisiones tomadas con el usuario: una fila por mes (no un dato meramente informativo) y botón manual de finalizado (no automático, ya que este tipo no pasa por Cita). Migración 0015 (columna medical_orders.auth_meses, tabla order_authorizations, ajuste de la función order_stage()). Commit 67e7672.</w:t>
      </w:r>
    </w:p>
    <w:p>
      <w:pPr>
        <w:pStyle w:val="ListParagraph"/>
        <w:numPr>
          <w:ilvl w:val="0"/>
          <w:numId w:val="1"/>
        </w:numPr>
        <w:spacing w:after="80"/>
      </w:pPr>
      <w:r>
        <w:t>#5 — Pestaña Flujo: nueva vista de línea de tiempo junto a "Lista", que agrupa en un bloque las órdenes del mismo día + mismo médico tratante (mismo médico implica misma especialidad); en colapsado muestra solo especialidad y fecha, y al expandir muestra el médico y el detalle completo de lo ordenado ese día, con acceso directo a cada orden. Commit 927cbd9.</w:t>
      </w:r>
    </w:p>
    <w:p>
      <w:pPr>
        <w:spacing w:after="120"/>
      </w:pPr>
      <w:r>
        <w:rPr>
          <w:b w:val="false"/>
          <w:bCs w:val="false"/>
          <w:i w:val="false"/>
          <w:iCs w:val="false"/>
        </w:rPr>
        <w:t>Verificación: cada ítem se probó con Playwright reconstruyendo el HTML real de los componentes (varios no están exportados y requieren una sesión autenticada) para no escribir datos de prueba en el proyecto de Supabase de producción; la migración 0015 se verificó además contra los datos reales antes de aplicarse (solo 4 órdenes existentes, ninguna con datos de cita/autorización ya cargados — fusión sin pérdida confirmada por SQL). Los 10 commits se entregaron por bundles de git (sin conector de GitHub disponible en este entorno) y ya están fusionados en origin/main.</w:t>
      </w:r>
    </w:p>
    <w:p>
      <w:pPr>
        <w:pStyle w:val="Heading1"/>
        <w:spacing w:after="150" w:before="300"/>
      </w:pPr>
      <w:r>
        <w:t xml:space="preserve">Arquitectura futura — estado al 2026-07-16</w:t>
      </w:r>
    </w:p>
    <w:p>
      <w:pPr>
        <w:spacing w:after="120"/>
      </w:pPr>
      <w:r>
        <w:rPr>
          <w:b w:val="false"/>
          <w:bCs w:val="false"/>
          <w:i w:val="false"/>
          <w:iCs w:val="false"/>
        </w:rPr>
        <w:t xml:space="preserve">De las dos piezas originales, la B (exportar/importar pacientes) YA SE IMPLEMENTÓ con un diseño distinto al conversado — ver la sección de resultados más arriba. Queda pendiente solo la pieza A. El texto original de ambas se conserva a continuación como referencia del diseño conversado.</w:t>
      </w:r>
    </w:p>
    <w:p>
      <w:pPr>
        <w:pStyle w:val="Heading2"/>
        <w:spacing w:after="120" w:before="240"/>
      </w:pPr>
      <w:r>
        <w:t xml:space="preserve">A. Directorio público auditado de centros médicos y médicos</w:t>
      </w:r>
    </w:p>
    <w:p>
      <w:pPr>
        <w:spacing w:after="120"/>
      </w:pPr>
      <w:r>
        <w:rPr>
          <w:b w:val="false"/>
          <w:bCs w:val="false"/>
          <w:i w:val="false"/>
          <w:iCs w:val="false"/>
        </w:rPr>
        <w:t xml:space="preserve">Hoy 'doctors' y 'centers' están aislados por household (RLS vía is_household_member), igual que los pacientes — verificado también en el E2E del 2026-07-15. Se evaluó hacerlos públicos sin restricciones y se descartó por: riesgo de que cualquier usuario altere entradas que otras familias usan activamente, ausencia de curación (duplicados, errores sin control), y por tratarse de una excepción al aislamiento por household que es la base de todo el modelo de seguridad actual.</w:t>
      </w:r>
    </w:p>
    <w:p>
      <w:pPr>
        <w:spacing w:after="120"/>
      </w:pPr>
      <w:r>
        <w:rPr>
          <w:b w:val="false"/>
          <w:bCs w:val="false"/>
          <w:i w:val="false"/>
          <w:iCs w:val="false"/>
        </w:rPr>
        <w:t xml:space="preserve">Diseño acordado como alternativa:</w:t>
      </w:r>
    </w:p>
    <w:p>
      <w:pPr>
        <w:pStyle w:val="ListParagraph"/>
        <w:numPr>
          <w:ilvl w:val="0"/>
          <w:numId w:val="1"/>
        </w:numPr>
        <w:spacing w:after="80"/>
      </w:pPr>
      <w:r>
        <w:t xml:space="preserve">Rol de administradora (no existe hoy el concepto de 'admin' en el esquema; todos los usuarios son iguales).</w:t>
      </w:r>
    </w:p>
    <w:p>
      <w:pPr>
        <w:pStyle w:val="ListParagraph"/>
        <w:numPr>
          <w:ilvl w:val="0"/>
          <w:numId w:val="1"/>
        </w:numPr>
        <w:spacing w:after="80"/>
      </w:pPr>
      <w:r>
        <w:t xml:space="preserve">Tablas públicas separadas ('public_centers' / 'public_doctors', o un flag is_public — a evaluar), editables solo por el rol admin.</w:t>
      </w:r>
    </w:p>
    <w:p>
      <w:pPr>
        <w:pStyle w:val="ListParagraph"/>
        <w:numPr>
          <w:ilvl w:val="0"/>
          <w:numId w:val="1"/>
        </w:numPr>
        <w:spacing w:after="80"/>
      </w:pPr>
      <w:r>
        <w:t xml:space="preserve">Flujo de 'copiar al household propio': al usar una entrada del directorio público, se crea una fila NUEVA en el directorio privado del usuario (copia, no referencia compartida) — así puede editarla libremente sin afectar el original ni a otras familias.</w:t>
      </w:r>
    </w:p>
    <w:p>
      <w:pPr>
        <w:pStyle w:val="ListParagraph"/>
        <w:numPr>
          <w:ilvl w:val="0"/>
          <w:numId w:val="1"/>
        </w:numPr>
        <w:spacing w:after="80"/>
      </w:pPr>
      <w:r>
        <w:t xml:space="preserve">Mecanismo de auditoría: los usuarios podrían 'proponer' una entrada para el directorio público desde su directorio privado, y la administradora aprueba o rechaza antes de publicarla.</w:t>
      </w:r>
    </w:p>
    <w:p>
      <w:pPr>
        <w:pStyle w:val="Heading2"/>
        <w:spacing w:after="120" w:before="240"/>
      </w:pPr>
      <w:r>
        <w:t xml:space="preserve">B. Exportar / Importar pacientes entre households — ✅ COMPLETADA (diseño final distinto)</w:t>
      </w:r>
    </w:p>
    <w:p>
      <w:pPr>
        <w:spacing w:after="120"/>
      </w:pPr>
      <w:r>
        <w:rPr>
          <w:b w:val="false"/>
          <w:bCs w:val="false"/>
          <w:i/>
          <w:iCs/>
        </w:rPr>
        <w:t xml:space="preserve">Implementada el 2026-07-15 como archivo cifrado descargable (.sfam) en vez de llave en el servidor — ver sección de resultados. El diseño original conversado era:</w:t>
      </w:r>
    </w:p>
    <w:p>
      <w:pPr>
        <w:pStyle w:val="ListParagraph"/>
        <w:numPr>
          <w:ilvl w:val="0"/>
          <w:numId w:val="1"/>
        </w:numPr>
        <w:spacing w:after="80"/>
      </w:pPr>
      <w:r>
        <w:t xml:space="preserve">Exportar: desde la ficha del paciente, se genera una llave (identificador único de esa exportación puntual) y se pide definir un password específico para esa operación. La información se cifra usando ambos datos — la llave sola no debe alcanzar para descifrar.</w:t>
      </w:r>
    </w:p>
    <w:p>
      <w:pPr>
        <w:pStyle w:val="ListParagraph"/>
        <w:numPr>
          <w:ilvl w:val="0"/>
          <w:numId w:val="1"/>
        </w:numPr>
        <w:spacing w:after="80"/>
      </w:pPr>
      <w:r>
        <w:t xml:space="preserve">Importar: botón en la esquina superior izquierda de la ventana 'Nuevo paciente'. Pide llave y password; si coinciden, descifra y crea el paciente (con todos sus datos asociados) dentro del household del usuario que importa.</w:t>
      </w:r>
    </w:p>
    <w:p>
      <w:pPr>
        <w:spacing w:after="120"/>
      </w:pPr>
      <w:r>
        <w:rPr>
          <w:b w:val="false"/>
          <w:bCs w:val="false"/>
          <w:i w:val="false"/>
          <w:iCs w:val="false"/>
        </w:rPr>
        <w:t xml:space="preserve">Nivel de riesgo: el más alto de los tres frentes de arquitectura nueva mencionados en este documento (incluyendo la migración a Storage ya prevista en la tarea P1 #7). Es, en esencia, un puente controlado entre households — algo que el modelo de RLS actual no contempla en absoluto, y que mueve historia clínica completa en tránsito, no solo un dato suelto. Se recomienda priorizar su revisión de diseño de seguridad antes que el directorio público.</w:t>
      </w:r>
    </w:p>
    <w:p>
      <w:pPr>
        <w:pStyle w:val="Heading1"/>
        <w:spacing w:after="150" w:before="300"/>
      </w:pPr>
      <w:r>
        <w:t xml:space="preserve">Criterio de asignación de agentes de Claude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c>
          <w:tcPr>
            <w:tcW w:type="dxa" w:w="2000"/>
            <w:shd w:fill="F2F2F2" w:val="clear"/>
            <w:vAlign w:val="center"/>
          </w:tcPr>
          <w:p>
            <w:r>
              <w:rPr>
                <w:b/>
                <w:bCs/>
              </w:rPr>
              <w:t xml:space="preserve">Agente</w:t>
            </w:r>
          </w:p>
        </w:tc>
        <w:tc>
          <w:tcPr>
            <w:tcW w:type="dxa" w:w="7400"/>
            <w:shd w:fill="F2F2F2" w:val="clear"/>
            <w:vAlign w:val="center"/>
          </w:tcPr>
          <w:p>
            <w:r>
              <w:rPr>
                <w:b/>
                <w:bCs/>
              </w:rPr>
              <w:t xml:space="preserve">Alcance</w:t>
            </w:r>
          </w:p>
        </w:tc>
      </w:tr>
      <w:tr>
        <w:tc>
          <w:tcPr>
            <w:tcW w:type="dxa" w:w="2000"/>
            <w:vAlign w:val="center"/>
          </w:tcPr>
          <w:p>
            <w:r>
              <w:rPr>
                <w:b w:val="false"/>
                <w:bCs w:val="false"/>
              </w:rPr>
              <w:t xml:space="preserve">Fable (máxima capacidad)</w:t>
            </w:r>
          </w:p>
        </w:tc>
        <w:tc>
          <w:tcPr>
            <w:tcW w:type="dxa" w:w="7400"/>
            <w:vAlign w:val="center"/>
          </w:tcPr>
          <w:p>
            <w:r>
              <w:rPr>
                <w:b w:val="false"/>
                <w:bCs w:val="false"/>
              </w:rPr>
              <w:t xml:space="preserve">Todo lo que toque seguridad RLS y migraciones de datos — errores ahí son irreversibles o pueden filtrar datos médicos entre familias. Ya ejecutó: invitaciones (P1 #6), exportar/importar (pieza B), Storage (P1 #7) y auditoría RLS (P1 #8). Del plan actual le queda solo la pieza A (directorio público auditado) y cualquier cambio futuro de RLS/esquema.</w:t>
            </w:r>
          </w:p>
        </w:tc>
      </w:tr>
      <w:tr>
        <w:tc>
          <w:tcPr>
            <w:tcW w:type="dxa" w:w="2000"/>
            <w:vAlign w:val="center"/>
          </w:tcPr>
          <w:p>
            <w:r>
              <w:rPr>
                <w:b w:val="false"/>
                <w:bCs w:val="false"/>
              </w:rPr>
              <w:t xml:space="preserve">Opus</w:t>
            </w:r>
          </w:p>
        </w:tc>
        <w:tc>
          <w:tcPr>
            <w:tcW w:type="dxa" w:w="7400"/>
            <w:vAlign w:val="center"/>
          </w:tcPr>
          <w:p>
            <w:r>
              <w:rPr>
                <w:b w:val="false"/>
                <w:bCs w:val="false"/>
              </w:rPr>
              <w:t xml:space="preserve">Flujos que cruzan varios archivos y estados. La recuperación de contraseña (el caso que motivó este criterio) ya se completó y verificó E2E el 2026-07-15; no queda ningún ítem de este tipo pendiente por ahora.</w:t>
            </w:r>
          </w:p>
        </w:tc>
      </w:tr>
      <w:tr>
        <w:tc>
          <w:tcPr>
            <w:tcW w:type="dxa" w:w="2000"/>
            <w:vAlign w:val="center"/>
          </w:tcPr>
          <w:p>
            <w:r>
              <w:rPr>
                <w:b w:val="false"/>
                <w:bCs w:val="false"/>
              </w:rPr>
              <w:t xml:space="preserve">Sonnet</w:t>
            </w:r>
          </w:p>
        </w:tc>
        <w:tc>
          <w:tcPr>
            <w:tcW w:type="dxa" w:w="7400"/>
            <w:vAlign w:val="center"/>
          </w:tcPr>
          <w:p>
            <w:r>
              <w:rPr>
                <w:b w:val="false"/>
                <w:bCs w:val="false"/>
              </w:rPr>
              <w:t xml:space="preserve">Tareas acotadas y mecánicas: configuración, UI, limpieza, contenido. Incluye toda la sección de edición de interfaz de este documento (el frente grande restante) y las tareas P2.</w:t>
            </w:r>
          </w:p>
        </w:tc>
      </w:tr>
    </w:tbl>
    <w:p>
      <w:pPr>
        <w:pStyle w:val="Heading1"/>
        <w:spacing w:after="150" w:before="300"/>
      </w:pPr>
      <w:r>
        <w:t xml:space="preserve">Infraestructura y accesos</w:t>
      </w:r>
    </w:p>
    <w:p>
      <w:pPr>
        <w:pStyle w:val="ListParagraph"/>
        <w:numPr>
          <w:ilvl w:val="0"/>
          <w:numId w:val="1"/>
        </w:numPr>
        <w:spacing w:after="80"/>
      </w:pPr>
      <w:r>
        <w:t>Supabase: proyecto smbnogsvqaowfwqchuvy (región sa-east-1), estado ACTIVE_HEALTHY. 15 migraciones aplicadas (0012–0015 del backlog MI AUDITORIA: avatar de paciente, aseguradora de pólizas, diagnósticos crónicos CIE10, y autorizaciones mes a mes de Órdenes).</w:t>
      </w:r>
    </w:p>
    <w:p>
      <w:pPr>
        <w:pStyle w:val="ListParagraph"/>
        <w:numPr>
          <w:ilvl w:val="0"/>
          <w:numId w:val="1"/>
        </w:numPr>
        <w:spacing w:after="80"/>
      </w:pPr>
      <w:r>
        <w:t xml:space="preserve">Vercel: proyecto saludfamilia (team alnp, id team_upa18NsIqLYAoLBKzY61ioPk), conectado al repo de GitHub — cada push a main dispara un deploy a producción. Deployment Protection desactivado; variables de entorno configuradas en Production. URL pública: https://saludfamilia.vercel.app.</w:t>
      </w:r>
    </w:p>
    <w:p>
      <w:pPr>
        <w:pStyle w:val="ListParagraph"/>
        <w:numPr>
          <w:ilvl w:val="0"/>
          <w:numId w:val="1"/>
        </w:numPr>
        <w:spacing w:after="80"/>
      </w:pPr>
      <w:r>
        <w:t xml:space="preserve">GitHub: github.com/alnp18/saludfamilia, rama main. Sin conector MCP disponible — todo el trabajo de código se aplica manualmente desde PowerShell local (git add / commit / push).</w:t>
      </w:r>
    </w:p>
    <w:p>
      <w:pPr>
        <w:pStyle w:val="ListParagraph"/>
        <w:numPr>
          <w:ilvl w:val="0"/>
          <w:numId w:val="1"/>
        </w:numPr>
        <w:spacing w:after="80"/>
      </w:pPr>
      <w:r>
        <w:t xml:space="preserve">Entorno local: funcional. Node v24.18.0, npm operativo, .env configurado con VITE_SUPABASE_URL y VITE_SUPABASE_ANON_KEY (formato sb_publishable_...).</w:t>
      </w:r>
    </w:p>
    <w:p>
      <w:pPr>
        <w:pStyle w:val="ListParagraph"/>
        <w:numPr>
          <w:ilvl w:val="0"/>
          <w:numId w:val="1"/>
        </w:numPr>
        <w:spacing w:after="80"/>
      </w:pPr>
      <w:r>
        <w:t xml:space="preserve">Navegador (Claude in Chrome): no viene conectado por defecto; para un E2E por UI hay que activar la extensión y dar permiso al dominio. Con ventana angosta el menú lateral se colapsa — usar ~1200×760 al redimensionar.</w:t>
      </w:r>
    </w:p>
    <w:p>
      <w:pPr>
        <w:pStyle w:val="Heading1"/>
        <w:spacing w:after="150" w:before="300"/>
      </w:pPr>
      <w:r>
        <w:t xml:space="preserve">Próximos pasos inmediatos sugeridos</w:t>
      </w:r>
    </w:p>
    <w:p>
      <w:pPr>
        <w:pStyle w:val="ListParagraph"/>
        <w:numPr>
          <w:ilvl w:val="0"/>
          <w:numId w:val="1"/>
        </w:numPr>
        <w:spacing w:after="80"/>
      </w:pPr>
      <w:r>
        <w:t>P2 #11 — Estados vacíos y manejo de errores consistente: ✅ COMPLETADA el 2026-07-16 (ver sección dedicada de Prioridad P2). No queda ningún ítem numerado pendiente del plan original.</w:t>
      </w:r>
    </w:p>
    <w:p>
      <w:pPr>
        <w:pStyle w:val="ListParagraph"/>
        <w:numPr>
          <w:ilvl w:val="0"/>
          <w:numId w:val="1"/>
        </w:numPr>
        <w:spacing w:after="80"/>
      </w:pPr>
      <w:r>
        <w:t>Diseño detallado de la pieza A (directorio público auditado) con Fable, cuando se decida priorizarla.</w:t>
      </w:r>
    </w:p>
    <w:p>
      <w:pPr>
        <w:pStyle w:val="ListParagraph"/>
        <w:numPr>
          <w:ilvl w:val="0"/>
          <w:numId w:val="1"/>
        </w:numPr>
        <w:spacing w:after="80"/>
      </w:pPr>
      <w:r>
        <w:t>Decidir qué hacer con los datos de prueba conservados en producción tras los E2E (dejarlos como muestra o limpiarlos antes del lanzamiento real).</w:t>
      </w:r>
    </w:p>
    <w:p>
      <w:pPr>
        <w:pStyle w:val="ListParagraph"/>
        <w:numPr>
          <w:ilvl w:val="0"/>
          <w:numId w:val="1"/>
        </w:numPr>
        <w:spacing w:after="80"/>
      </w:pPr>
      <w:r>
        <w:t>Si algún día se pasa al plan Pro de Supabase: activar "Leaked password protection" (HaveIBeenPwned) en Auth — quedó rechazado por la API en el plan gratuito; el mínimo de contraseña ya se subió a 8.</w:t>
      </w:r>
    </w:p>
    <w:p>
      <w:pPr>
        <w:pStyle w:val="ListParagraph"/>
        <w:numPr>
          <w:ilvl w:val="0"/>
          <w:numId w:val="1"/>
        </w:numPr>
        <w:spacing w:after="80"/>
      </w:pPr>
      <w:r>
        <w:t xml:space="preserve">Si algún día se pasa al plan Pro de Supabase: activar 'Leaked password protection' (HaveIBeenPwned) en Auth — quedó rechazado por la API en el plan gratuito; el mínimo de contraseña ya se subió a 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2026-07-16T02:05:23.293Z</dcterms:created>
  <dcterms:modified xsi:type="dcterms:W3CDTF">2026-07-16T02:05:23.294Z</dcterms:modified>
</cp:coreProperties>
</file>

<file path=docProps/custom.xml><?xml version="1.0" encoding="utf-8"?>
<Properties xmlns="http://schemas.openxmlformats.org/officeDocument/2006/custom-properties" xmlns:vt="http://schemas.openxmlformats.org/officeDocument/2006/docPropsVTypes"/>
</file>