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SaludFamilia — Plan de Avance hacia el MVP Público</w:t>
      </w:r>
    </w:p>
    <w:p>
      <w:pPr>
        <w:spacing w:after="120"/>
      </w:pPr>
      <w:r>
        <w:rPr>
          <w:b w:val="false"/>
          <w:bCs w:val="false"/>
          <w:i/>
          <w:iCs/>
        </w:rPr>
        <w:t xml:space="preserve">Objetivo: cubrir el 70% de las funcionalidades CORE, y ordenar el trabajo de edición de interfaz y de arquitectura futura detectado durante la verificación E2E.</w:t>
      </w:r>
    </w:p>
    <w:p>
      <w:pPr>
        <w:spacing w:after="120"/>
      </w:pPr>
      <w:r>
        <w:rPr>
          <w:b w:val="false"/>
          <w:bCs w:val="false"/>
          <w:i/>
          <w:iCs/>
        </w:rPr>
        <w:t>Actualizado el 2026-07-17 · Versión unificada (plan original + verificación E2E en producción + recuperación de contraseña + invitaciones al household + exportar/importar + Storage + auditoría RLS + P1.5 + P2 + MI AUDITORIA + segunda auditoría de Ficha de paciente + tercera auditoría de Medicamentos + cuarta auditoría de Signos Vitales (incl. perímetro cefálico) + cierre de esa tanda con reinicio de datos de prueba + PIEZA A DE ARQUITECTURA COMPLETADA: directorio público auditado de médicos y centros. El plan queda CERRADO: sin frentes pendientes)</w:t>
      </w:r>
    </w:p>
    <w:p>
      <w:pPr>
        <w:pStyle w:val="Heading1"/>
        <w:spacing w:after="150" w:before="300"/>
      </w:pPr>
      <w:r>
        <w:t xml:space="preserve">Resumen</w:t>
      </w:r>
    </w:p>
    <w:p>
      <w:pPr>
        <w:spacing w:after="120"/>
      </w:pPr>
      <w:r>
        <w:rPr>
          <w:b w:val="false"/>
          <w:bCs w:val="false"/>
          <w:i w:val="false"/>
          <w:iCs w:val="false"/>
        </w:rPr>
        <w:t xml:space="preserve">El CRUD principal de la aplicación ya está construido y verificado E2E en producción: autenticación con aislamiento por familia (RLS), pacientes, órdenes médicas con etapas, medicamentos, signos vitales, centros médicos, médicos y dashboard.</w:t>
      </w:r>
    </w:p>
    <w:p>
      <w:pPr>
        <w:spacing w:after="120"/>
      </w:pPr>
      <w:r>
        <w:rPr>
          <w:b w:val="false"/>
          <w:bCs w:val="false"/>
          <w:i w:val="false"/>
          <w:iCs w:val="false"/>
        </w:rPr>
        <w:t>Estado al 2026-07-17: TODAS las tareas P0 y P1 numeradas están completadas (#4 recuperación de contraseña, #5 UX de confirmación, #6 invitaciones al household, #7 adjuntos en Storage, #8 auditoría RLS), P1.5 y P2 están 100% completadas, y el backlog adicional relevado por la usuaria fuera del plan original — MI AUDITORIA, la segunda auditoría de Ficha de paciente, la tercera auditoría de Medicamentos y la cuarta auditoría de Signos Vitales (con perímetro cefálico) — también está completo y confirmado en línea en producción. Además, se reinició deliberadamente la base de datos de producción (datos clínicos de las 3 cuentas, con auth/households/membresías preservados) para dejarla lista para uso real.</w:t>
      </w:r>
    </w:p>
    <w:p>
      <w:pPr>
        <w:pStyle w:val="ListParagraph"/>
        <w:numPr>
          <w:ilvl w:val="0"/>
          <w:numId w:val="1"/>
        </w:numPr>
        <w:spacing w:after="80"/>
      </w:pPr>
      <w:r>
        <w:t>Frente numerado restante: ninguno — P1, P1.5 y P2 están 100% completadas.</w:t>
      </w:r>
    </w:p>
    <w:p>
      <w:pPr>
        <w:pStyle w:val="ListParagraph"/>
        <w:numPr>
          <w:ilvl w:val="0"/>
          <w:numId w:val="1"/>
        </w:numPr>
        <w:spacing w:after="80"/>
      </w:pPr>
      <w:r>
        <w:t>Arquitectura restante: ninguna. La pieza A (directorio público auditado de médicos y centros) se COMPLETÓ el 2026-07-17 (Fable): migración 0020 aplicada tras 24/24 pruebas RLS en transacción con rollback, y vista nueva "Directorio público" con el flujo proponer → revisar → publicar → copiar. Ver la sección de Arquitectura futura para el diseño final.</w:t>
      </w:r>
    </w:p>
    <w:p>
      <w:pPr>
        <w:pStyle w:val="Heading1"/>
        <w:spacing w:after="150" w:before="300"/>
      </w:pPr>
      <w:r>
        <w:t xml:space="preserve">Estado de las prioridades P0 (bloqueantes de lanzamiento)</w:t>
      </w:r>
    </w:p>
    <w:p>
      <w:pPr>
        <w:spacing w:after="120"/>
      </w:pPr>
      <w:r>
        <w:rPr>
          <w:b w:val="false"/>
          <w:bCs w:val="false"/>
          <w:i w:val="false"/>
          <w:iCs w:val="false"/>
        </w:rPr>
        <w:t xml:space="preserve">Las tres tareas originales de P0 fueron revisadas en la sesión del 2026-07-11 y la tarea #3 se completó formalmente el 2026-07-15. Estado actualizado: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200"/>
        <w:gridCol w:w="4700"/>
      </w:tblGrid>
      <w:tr>
        <w:tc>
          <w:tcPr>
            <w:tcW w:type="dxa" w:w="500"/>
            <w:shd w:fill="F2F2F2" w:val="clear"/>
            <w:vAlign w:val="center"/>
          </w:tcPr>
          <w:p>
            <w:r>
              <w:rPr>
                <w:b/>
                <w:bCs/>
              </w:rPr>
              <w:t xml:space="preserve">#</w:t>
            </w:r>
          </w:p>
        </w:tc>
        <w:tc>
          <w:tcPr>
            <w:tcW w:type="dxa" w:w="3600"/>
            <w:shd w:fill="F2F2F2" w:val="clear"/>
            <w:vAlign w:val="center"/>
          </w:tcPr>
          <w:p>
            <w:r>
              <w:rPr>
                <w:b/>
                <w:bCs/>
              </w:rPr>
              <w:t xml:space="preserve">Tarea</w:t>
            </w:r>
          </w:p>
        </w:tc>
        <w:tc>
          <w:tcPr>
            <w:tcW w:type="dxa" w:w="1200"/>
            <w:shd w:fill="F2F2F2" w:val="clear"/>
            <w:vAlign w:val="center"/>
          </w:tcPr>
          <w:p>
            <w:r>
              <w:rPr>
                <w:b/>
                <w:bCs/>
              </w:rPr>
              <w:t xml:space="preserve">Agente</w:t>
            </w:r>
          </w:p>
        </w:tc>
        <w:tc>
          <w:tcPr>
            <w:tcW w:type="dxa" w:w="4700"/>
            <w:shd w:fill="F2F2F2" w:val="clear"/>
            <w:vAlign w:val="center"/>
          </w:tcPr>
          <w:p>
            <w:r>
              <w:rPr>
                <w:b/>
                <w:bCs/>
              </w:rPr>
              <w:t xml:space="preserve">Estado</w:t>
            </w:r>
          </w:p>
        </w:tc>
      </w:tr>
      <w:tr>
        <w:tc>
          <w:tcPr>
            <w:tcW w:type="dxa" w:w="500"/>
            <w:vAlign w:val="center"/>
          </w:tcPr>
          <w:p>
            <w:r>
              <w:rPr>
                <w:b w:val="false"/>
                <w:bCs w:val="false"/>
              </w:rPr>
              <w:t xml:space="preserve">1</w:t>
            </w:r>
          </w:p>
        </w:tc>
        <w:tc>
          <w:tcPr>
            <w:tcW w:type="dxa" w:w="3600"/>
            <w:vAlign w:val="center"/>
          </w:tcPr>
          <w:p>
            <w:r>
              <w:rPr>
                <w:b w:val="false"/>
                <w:bCs w:val="false"/>
              </w:rPr>
              <w:t xml:space="preserve">Configurar VITE_SUPABASE_URL y VITE_SUPABASE_ANON_KEY en Vercel</w:t>
            </w:r>
          </w:p>
        </w:tc>
        <w:tc>
          <w:tcPr>
            <w:tcW w:type="dxa" w:w="1200"/>
            <w:vAlign w:val="center"/>
          </w:tcPr>
          <w:p>
            <w:r>
              <w:rPr>
                <w:b w:val="false"/>
                <w:bCs w:val="false"/>
              </w:rPr>
              <w:t xml:space="preserve">Sonnet</w:t>
            </w:r>
          </w:p>
        </w:tc>
        <w:tc>
          <w:tcPr>
            <w:tcW w:type="dxa" w:w="4700"/>
            <w:shd w:fill="E2EFDA" w:val="clear"/>
            <w:vAlign w:val="center"/>
          </w:tcPr>
          <w:p>
            <w:r>
              <w:rPr>
                <w:b w:val="false"/>
                <w:bCs w:val="false"/>
              </w:rPr>
              <w:t xml:space="preserve">✅ Completada. Variables cargadas en Production; redeploy confirmado; error de credenciales faltantes ya no aparece.</w:t>
            </w:r>
          </w:p>
        </w:tc>
      </w:tr>
      <w:tr>
        <w:tc>
          <w:tcPr>
            <w:tcW w:type="dxa" w:w="500"/>
            <w:vAlign w:val="center"/>
          </w:tcPr>
          <w:p>
            <w:r>
              <w:rPr>
                <w:b w:val="false"/>
                <w:bCs w:val="false"/>
              </w:rPr>
              <w:t xml:space="preserve">2</w:t>
            </w:r>
          </w:p>
        </w:tc>
        <w:tc>
          <w:tcPr>
            <w:tcW w:type="dxa" w:w="3600"/>
            <w:vAlign w:val="center"/>
          </w:tcPr>
          <w:p>
            <w:r>
              <w:rPr>
                <w:b w:val="false"/>
                <w:bCs w:val="false"/>
              </w:rPr>
              <w:t xml:space="preserve">Desactivar Deployment Protection en Vercel</w:t>
            </w:r>
          </w:p>
        </w:tc>
        <w:tc>
          <w:tcPr>
            <w:tcW w:type="dxa" w:w="1200"/>
            <w:vAlign w:val="center"/>
          </w:tcPr>
          <w:p>
            <w:r>
              <w:rPr>
                <w:b w:val="false"/>
                <w:bCs w:val="false"/>
              </w:rPr>
              <w:t xml:space="preserve">Sonnet</w:t>
            </w:r>
          </w:p>
        </w:tc>
        <w:tc>
          <w:tcPr>
            <w:tcW w:type="dxa" w:w="4700"/>
            <w:shd w:fill="E2EFDA" w:val="clear"/>
            <w:vAlign w:val="center"/>
          </w:tcPr>
          <w:p>
            <w:r>
              <w:rPr>
                <w:b w:val="false"/>
                <w:bCs w:val="false"/>
              </w:rPr>
              <w:t xml:space="preserve">✅ Completada. Confirmado en ventana in-private: el sitio ya no redirige a un login de Vercel.</w:t>
            </w:r>
          </w:p>
        </w:tc>
      </w:tr>
      <w:tr>
        <w:tc>
          <w:tcPr>
            <w:tcW w:type="dxa" w:w="500"/>
            <w:vAlign w:val="center"/>
          </w:tcPr>
          <w:p>
            <w:r>
              <w:rPr>
                <w:b w:val="false"/>
                <w:bCs w:val="false"/>
              </w:rPr>
              <w:t xml:space="preserve">3</w:t>
            </w:r>
          </w:p>
        </w:tc>
        <w:tc>
          <w:tcPr>
            <w:tcW w:type="dxa" w:w="3600"/>
            <w:vAlign w:val="center"/>
          </w:tcPr>
          <w:p>
            <w:r>
              <w:rPr>
                <w:b w:val="false"/>
                <w:bCs w:val="false"/>
              </w:rPr>
              <w:t xml:space="preserve">Verificación E2E en producción (signup → paciente → orden → medicamentos → vitales)</w:t>
            </w:r>
          </w:p>
        </w:tc>
        <w:tc>
          <w:tcPr>
            <w:tcW w:type="dxa" w:w="1200"/>
            <w:vAlign w:val="center"/>
          </w:tcPr>
          <w:p>
            <w:r>
              <w:rPr>
                <w:b w:val="false"/>
                <w:bCs w:val="false"/>
              </w:rPr>
              <w:t xml:space="preserve">Opus</w:t>
            </w:r>
          </w:p>
        </w:tc>
        <w:tc>
          <w:tcPr>
            <w:tcW w:type="dxa" w:w="4700"/>
            <w:shd w:fill="E2EFDA" w:val="clear"/>
            <w:vAlign w:val="center"/>
          </w:tcPr>
          <w:p>
            <w:r>
              <w:rPr>
                <w:b w:val="false"/>
                <w:bCs w:val="false"/>
              </w:rPr>
              <w:t xml:space="preserve">✅ Completada el 2026-07-15. Recorrido completo por la UI real de saludfamilia.vercel.app con verificación cruzada por SQL en cada paso. Todos los pasos pasan, sin regresiones en los bugs corregidos previamente. Ver sección dedicada 'Resultado de la verificación E2E en producción' más abajo.</w:t>
            </w:r>
          </w:p>
        </w:tc>
      </w:tr>
    </w:tbl>
    <w:p>
      <w:pPr>
        <w:pStyle w:val="Heading2"/>
        <w:spacing w:after="120" w:before="240"/>
      </w:pPr>
      <w:r>
        <w:t xml:space="preserve">Bugs encontrados y corregidos durante la sesión del 2026-07-11 (fuera del alcance original de P0, pero bloqueantes en la práctica)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500"/>
      </w:tblGrid>
      <w:tr>
        <w:tc>
          <w:tcPr>
            <w:tcW w:type="dxa" w:w="3200"/>
            <w:shd w:fill="F2F2F2" w:val="clear"/>
            <w:vAlign w:val="center"/>
          </w:tcPr>
          <w:p>
            <w:r>
              <w:rPr>
                <w:b/>
                <w:bCs/>
              </w:rPr>
              <w:t xml:space="preserve">Bug</w:t>
            </w:r>
          </w:p>
        </w:tc>
        <w:tc>
          <w:tcPr>
            <w:tcW w:type="dxa" w:w="3300"/>
            <w:shd w:fill="F2F2F2" w:val="clear"/>
            <w:vAlign w:val="center"/>
          </w:tcPr>
          <w:p>
            <w:r>
              <w:rPr>
                <w:b/>
                <w:bCs/>
              </w:rPr>
              <w:t xml:space="preserve">Causa raíz</w:t>
            </w:r>
          </w:p>
        </w:tc>
        <w:tc>
          <w:tcPr>
            <w:tcW w:type="dxa" w:w="3500"/>
            <w:shd w:fill="F2F2F2" w:val="clear"/>
            <w:vAlign w:val="center"/>
          </w:tcPr>
          <w:p>
            <w:r>
              <w:rPr>
                <w:b/>
                <w:bCs/>
              </w:rPr>
              <w:t xml:space="preserve">Resolución</w:t>
            </w:r>
          </w:p>
        </w:tc>
      </w:tr>
      <w:tr>
        <w:tc>
          <w:tcPr>
            <w:tcW w:type="dxa" w:w="3200"/>
            <w:vAlign w:val="center"/>
          </w:tcPr>
          <w:p>
            <w:r>
              <w:rPr>
                <w:b w:val="false"/>
                <w:bCs w:val="false"/>
              </w:rPr>
              <w:t xml:space="preserve">403 al crear el primer household de un usuario nuevo (bloqueaba todo uso de la app tras signup)</w:t>
            </w:r>
          </w:p>
        </w:tc>
        <w:tc>
          <w:tcPr>
            <w:tcW w:type="dxa" w:w="3300"/>
            <w:vAlign w:val="center"/>
          </w:tcPr>
          <w:p>
            <w:r>
              <w:rPr>
                <w:b w:val="false"/>
                <w:bCs w:val="false"/>
              </w:rPr>
              <w:t xml:space="preserve">La política RLS de SELECT en 'households' dependía únicamente de is_household_member(), una función STABLE que no ve la membership creada por el trigger on_household_created dentro de la misma sentencia INSERT ... RETURNING.</w:t>
            </w:r>
          </w:p>
        </w:tc>
        <w:tc>
          <w:tcPr>
            <w:tcW w:type="dxa" w:w="3500"/>
            <w:vAlign w:val="center"/>
          </w:tcPr>
          <w:p>
            <w:r>
              <w:rPr>
                <w:b w:val="false"/>
                <w:bCs w:val="false"/>
              </w:rPr>
              <w:t xml:space="preserve">Migración 0004_fix_households_select_rls: se agregó '(select auth.uid()) = created_by' como condición adicional de la política. Verificado con reproducción exacta del error antes/después del fix. Re-confirmado sin regresión en el E2E del 2026-07-15.</w:t>
            </w:r>
          </w:p>
        </w:tc>
      </w:tr>
      <w:tr>
        <w:tc>
          <w:tcPr>
            <w:tcW w:type="dxa" w:w="3200"/>
            <w:vAlign w:val="center"/>
          </w:tcPr>
          <w:p>
            <w:r>
              <w:rPr>
                <w:b w:val="false"/>
                <w:bCs w:val="false"/>
              </w:rPr>
              <w:t xml:space="preserve">500 en /auth/v1/signup por doble envío del formulario</w:t>
            </w:r>
          </w:p>
        </w:tc>
        <w:tc>
          <w:tcPr>
            <w:tcW w:type="dxa" w:w="3300"/>
            <w:vAlign w:val="center"/>
          </w:tcPr>
          <w:p>
            <w:r>
              <w:rPr>
                <w:b w:val="false"/>
                <w:bCs w:val="false"/>
              </w:rPr>
              <w:t xml:space="preserve">El botón de submit no se deshabilitaba durante la request en curso, permitiendo un segundo signUp() concurrente con el mismo correo (duplicate key en users_email_partial_key).</w:t>
            </w:r>
          </w:p>
        </w:tc>
        <w:tc>
          <w:tcPr>
            <w:tcW w:type="dxa" w:w="3500"/>
            <w:vAlign w:val="center"/>
          </w:tcPr>
          <w:p>
            <w:r>
              <w:rPr>
                <w:b w:val="false"/>
                <w:bCs w:val="false"/>
              </w:rPr>
              <w:t xml:space="preserve">Se agregó un guard (submitBtn.disabled) en el listener de submit de main.js. Commit 78a7081. Re-confirmado en el E2E del 2026-07-15 (una sola fila creada en auth.users).</w:t>
            </w:r>
          </w:p>
        </w:tc>
      </w:tr>
    </w:tbl>
    <w:p>
      <w:pPr>
        <w:pStyle w:val="Heading2"/>
        <w:spacing w:after="120" w:before="240"/>
      </w:pPr>
      <w:r>
        <w:t xml:space="preserve">Mejoras de mensajería de autenticación implementadas en la sesión del 2026-07-11</w:t>
      </w:r>
    </w:p>
    <w:p>
      <w:pPr>
        <w:spacing w:after="120"/>
      </w:pPr>
      <w:r>
        <w:rPr>
          <w:b w:val="false"/>
          <w:bCs w:val="false"/>
          <w:i w:val="false"/>
          <w:iCs w:val="false"/>
        </w:rPr>
        <w:t xml:space="preserve">Aprobadas y ya desplegadas (commit 2d7c9681, con corrección posterior 7a015e4 por un listener perdido en el primer patch). Re-confirmadas en el E2E del 2026-07-15:</w:t>
      </w:r>
    </w:p>
    <w:p>
      <w:pPr>
        <w:pStyle w:val="ListParagraph"/>
        <w:numPr>
          <w:ilvl w:val="0"/>
          <w:numId w:val="1"/>
        </w:numPr>
        <w:spacing w:after="80"/>
      </w:pPr>
      <w:r>
        <w:t xml:space="preserve">Mensaje de confirmación al crear cuenta, indicando que debe revisar su correo.</w:t>
      </w:r>
    </w:p>
    <w:p>
      <w:pPr>
        <w:pStyle w:val="ListParagraph"/>
        <w:numPr>
          <w:ilvl w:val="0"/>
          <w:numId w:val="1"/>
        </w:numPr>
        <w:spacing w:after="80"/>
      </w:pPr>
      <w:r>
        <w:t xml:space="preserve">Mensaje de error de login más útil, sin distinguir explícitamente 'contraseña incorrecta' de 'correo no confirmado' — decisión deliberada para no habilitar enumeración de cuentas registradas.</w:t>
      </w:r>
    </w:p>
    <w:p>
      <w:pPr>
        <w:pStyle w:val="ListParagraph"/>
        <w:numPr>
          <w:ilvl w:val="0"/>
          <w:numId w:val="1"/>
        </w:numPr>
        <w:spacing w:after="80"/>
      </w:pPr>
      <w:r>
        <w:t xml:space="preserve">Se decidió NO advertir explícitamente si un correo ya tiene cuenta al intentar crear una nueva, por el mismo motivo de seguridad (evitar que un visitante no autenticado pueda sondear qué correos están registrados en una app de datos médicos).</w:t>
      </w:r>
    </w:p>
    <w:p>
      <w:pPr>
        <w:pStyle w:val="Heading1"/>
        <w:spacing w:after="150" w:before="300"/>
      </w:pPr>
      <w:r>
        <w:t xml:space="preserve">Resultado de la verificación E2E en producción (2026-07-15)</w:t>
      </w:r>
    </w:p>
    <w:p>
      <w:pPr>
        <w:spacing w:after="120"/>
      </w:pPr>
      <w:r>
        <w:rPr>
          <w:b w:val="false"/>
          <w:bCs w:val="false"/>
          <w:i w:val="false"/>
          <w:iCs w:val="false"/>
        </w:rPr>
        <w:t xml:space="preserve">Ejecutada por UI real (Claude in Chrome) contra https://saludfamilia.vercel.app, con verificación cruzada por SQL en Supabase en cada paso. Todos los pasos PASAN:</w:t>
      </w:r>
    </w:p>
    <w:p>
      <w:pPr>
        <w:pStyle w:val="ListParagraph"/>
        <w:numPr>
          <w:ilvl w:val="0"/>
          <w:numId w:val="1"/>
        </w:numPr>
        <w:spacing w:after="80"/>
      </w:pPr>
      <w:r>
        <w:t xml:space="preserve">Signup (alnp.alnp@gmail.com): cuenta creada, una sola fila (guard de doble submit OK), mensaje de confirmación no-enumerante correcto, email_confirmed_at null hasta confirmar. Sin household prematuro — ensureHousehold() no corre hasta el login autenticado.</w:t>
      </w:r>
    </w:p>
    <w:p>
      <w:pPr>
        <w:pStyle w:val="ListParagraph"/>
        <w:numPr>
          <w:ilvl w:val="0"/>
          <w:numId w:val="1"/>
        </w:numPr>
        <w:spacing w:after="80"/>
      </w:pPr>
      <w:r>
        <w:t xml:space="preserve">Confirmación de correo + login: el usuario confirmó desde su bandeja e inició sesión con su contraseña (por política, el agente no ingresa contraseñas ni crea cuentas — esos pasos los hace siempre el usuario).</w:t>
      </w:r>
    </w:p>
    <w:p>
      <w:pPr>
        <w:pStyle w:val="ListParagraph"/>
        <w:numPr>
          <w:ilvl w:val="0"/>
          <w:numId w:val="1"/>
        </w:numPr>
        <w:spacing w:after="80"/>
      </w:pPr>
      <w:r>
        <w:t xml:space="preserve">ensureHousehold / bug 403: el bug sigue corregido. Tras el login se creó exactamente un household + membership (rol owner), sin duplicados y sin error. Este era el punto crítico de la migración 0004.</w:t>
      </w:r>
    </w:p>
    <w:p>
      <w:pPr>
        <w:pStyle w:val="ListParagraph"/>
        <w:numPr>
          <w:ilvl w:val="0"/>
          <w:numId w:val="1"/>
        </w:numPr>
        <w:spacing w:after="80"/>
      </w:pPr>
      <w:r>
        <w:t xml:space="preserve">Paciente / Orden / Medicamento / Signos vitales: cada creación persistió con todos los campos correctos y household_id consistente.</w:t>
      </w:r>
    </w:p>
    <w:p>
      <w:pPr>
        <w:pStyle w:val="ListParagraph"/>
        <w:numPr>
          <w:ilvl w:val="0"/>
          <w:numId w:val="1"/>
        </w:numPr>
        <w:spacing w:after="80"/>
      </w:pPr>
      <w:r>
        <w:t xml:space="preserve">Aislamiento RLS (simulando el JWT de cada usuario en una transacción con rollback): el otro usuario (dacn) ve 0 filas en patients, medical_orders, medications y vital_signs; el dueño (alnp) ve exactamente 1 de cada uno. Aislamiento bidireccional confirmado.</w:t>
      </w:r>
    </w:p>
    <w:p>
      <w:pPr>
        <w:pStyle w:val="Heading2"/>
        <w:spacing w:after="120" w:before="240"/>
      </w:pPr>
      <w:r>
        <w:t xml:space="preserve">Hallazgos menores durante el E2E (no bloqueantes)</w:t>
      </w:r>
    </w:p>
    <w:p>
      <w:pPr>
        <w:pStyle w:val="ListParagraph"/>
        <w:numPr>
          <w:ilvl w:val="0"/>
          <w:numId w:val="1"/>
        </w:numPr>
        <w:spacing w:after="80"/>
      </w:pPr>
      <w:r>
        <w:t xml:space="preserve">vital_signs.edad se guarda null: la app calcula la edad al vuelo desde fecha_nacimiento para mostrarla (paciente '36 años'), pero no la persiste en el registro de signos vitales. La columna existe y queda vacía. Revisar si se quiere poblar al guardar.</w:t>
      </w:r>
    </w:p>
    <w:p>
      <w:pPr>
        <w:pStyle w:val="ListParagraph"/>
        <w:numPr>
          <w:ilvl w:val="0"/>
          <w:numId w:val="1"/>
        </w:numPr>
        <w:spacing w:after="80"/>
      </w:pPr>
      <w:r>
        <w:t xml:space="preserve">Advisor de seguridad (preexistente, Supabase): is_household_member(hid uuid) es SECURITY DEFINER e invocable vía /rest/v1/rpc/is_household_member por el rol authenticated (WARN). Es justo el punto a revisar en la auditoría RLS de Fable (P1 #8): revocar EXECUTE, pasar a SECURITY INVOKER, o sacarla del schema expuesto.</w:t>
      </w:r>
    </w:p>
    <w:p>
      <w:pPr>
        <w:pStyle w:val="ListParagraph"/>
        <w:numPr>
          <w:ilvl w:val="0"/>
          <w:numId w:val="1"/>
        </w:numPr>
        <w:spacing w:after="80"/>
      </w:pPr>
      <w:r>
        <w:t xml:space="preserve">Advisor de seguridad (preexistente, Supabase): 'Leaked password protection' desactivado en Auth (WARN) — activar el chequeo contra HaveIBeenPwned si se desea.</w:t>
      </w:r>
    </w:p>
    <w:p>
      <w:pPr>
        <w:pStyle w:val="Heading2"/>
        <w:spacing w:after="120" w:before="240"/>
      </w:pPr>
      <w:r>
        <w:t xml:space="preserve">Estado de los datos de producción tras el E2E</w:t>
      </w:r>
    </w:p>
    <w:p>
      <w:pPr>
        <w:spacing w:after="120"/>
      </w:pPr>
      <w:r>
        <w:rPr>
          <w:b w:val="false"/>
          <w:bCs w:val="false"/>
          <w:i w:val="false"/>
          <w:iCs w:val="false"/>
        </w:rPr>
        <w:t>La base de datos de producción está deliberadamente vacía de datos clínicos de nuevo, tras un borrado explícito y confirmado por la usuaria el 2026-07-17 (ver sección dedicada "Cierre de esta tanda" más abajo):</w:t>
      </w:r>
    </w:p>
    <w:p>
      <w:pPr>
        <w:pStyle w:val="ListParagraph"/>
        <w:numPr>
          <w:ilvl w:val="0"/>
          <w:numId w:val="1"/>
        </w:numPr>
        <w:spacing w:after="80"/>
      </w:pPr>
      <w:r>
        <w:t>auth.users: 3 cuentas reales — se conservan intactas, el borrado fue solo de datos clínicos, nunca de cuentas ni membresías.</w:t>
      </w:r>
    </w:p>
    <w:p>
      <w:pPr>
        <w:pStyle w:val="ListParagraph"/>
        <w:numPr>
          <w:ilvl w:val="0"/>
          <w:numId w:val="1"/>
        </w:numPr>
        <w:spacing w:after="80"/>
      </w:pPr>
      <w:r>
        <w:t>households: 4 · household_members: 4 — intactos.</w:t>
      </w:r>
    </w:p>
    <w:p>
      <w:pPr>
        <w:pStyle w:val="ListParagraph"/>
        <w:numPr>
          <w:ilvl w:val="0"/>
          <w:numId w:val="1"/>
        </w:numPr>
        <w:spacing w:after="80"/>
      </w:pPr>
      <w:r>
        <w:t>patients, medical_orders, medications, doctors, medical_centers, vital_signs, patient_policies, patient_diagnoses, order_authorizations, med_usage_events, custom_catalog_options, household_invitations: 0 en todas.</w:t>
      </w:r>
    </w:p>
    <w:p>
      <w:pPr>
        <w:pStyle w:val="ListParagraph"/>
        <w:numPr>
          <w:ilvl w:val="0"/>
          <w:numId w:val="1"/>
        </w:numPr>
        <w:spacing w:after="80"/>
      </w:pPr>
      <w:r>
        <w:t>Storage: el bucket 'adjuntos' tenía 8 archivos huérfanos (un DELETE por SQL no toca Storage); la usuaria los eliminó manualmente desde el dashboard de Supabase. El bucket queda limpio.</w:t>
      </w:r>
    </w:p>
    <w:p>
      <w:pPr>
        <w:spacing w:after="120"/>
      </w:pPr>
      <w:r>
        <w:rPr>
          <w:b w:val="false"/>
          <w:bCs w:val="false"/>
          <w:i w:val="false"/>
          <w:iCs w:val="false"/>
        </w:rPr>
        <w:t>Consecuencia práctica: la base queda en un estado limpio de fábrica (esquema, funciones, triggers y políticas RLS intactos; cero datos clínicos; cuentas/households/membresías preservados), lista para uso real por la usuaria y su familia, o para un E2E completo por UI del backlog reciente si se quiere verificar contra datos reales antes de confiarle datos propios.</w:t>
      </w:r>
    </w:p>
    <w:p>
      <w:pPr>
        <w:pStyle w:val="Heading1"/>
        <w:spacing w:after="150" w:before="300"/>
      </w:pPr>
      <w:r>
        <w:t xml:space="preserve">Recuperación de contraseña (P1 #4) — completada el 2026-07-15</w:t>
      </w:r>
    </w:p>
    <w:p>
      <w:pPr>
        <w:spacing w:after="120"/>
      </w:pPr>
      <w:r>
        <w:rPr>
          <w:b w:val="false"/>
          <w:bCs w:val="false"/>
          <w:i w:val="false"/>
          <w:iCs w:val="false"/>
        </w:rPr>
        <w:t xml:space="preserve">Diseñada a alto nivel en la sesión del 2026-07-11 (evento PASSWORD_RECOVERY, nuevo estado de pantalla, redirect URLs en Supabase), implementada y verificada E2E en esta sesión. Commits 6674da3 (flujo completo) y 8e6736d (previsualizar contraseña).</w:t>
      </w:r>
    </w:p>
    <w:p>
      <w:pPr>
        <w:pStyle w:val="ListParagraph"/>
        <w:numPr>
          <w:ilvl w:val="0"/>
          <w:numId w:val="1"/>
        </w:numPr>
        <w:spacing w:after="80"/>
      </w:pPr>
      <w:r>
        <w:t xml:space="preserve">Enlace '¿Olvidaste tu contraseña?' en el login pasa el formulario a modo recover (solo pide correo); requestPasswordReset() llama a resetPasswordForEmail y muestra un mensaje neutro, sin revelar si el correo existe.</w:t>
      </w:r>
    </w:p>
    <w:p>
      <w:pPr>
        <w:pStyle w:val="ListParagraph"/>
        <w:numPr>
          <w:ilvl w:val="0"/>
          <w:numId w:val="1"/>
        </w:numPr>
        <w:spacing w:after="80"/>
      </w:pPr>
      <w:r>
        <w:t xml:space="preserve">El enlace del correo vuelve con #type=recovery en la URL. Se captura en un &lt;script&gt; inline en el &lt;head&gt; de index.html, antes de que cargue el bundle de supabase-js — createClient() limpia ese hash apenas se importa, así que capturarlo dentro de main.js llegaba tarde.</w:t>
      </w:r>
    </w:p>
    <w:p>
      <w:pPr>
        <w:pStyle w:val="ListParagraph"/>
        <w:numPr>
          <w:ilvl w:val="0"/>
          <w:numId w:val="1"/>
        </w:numPr>
        <w:spacing w:after="80"/>
      </w:pPr>
      <w:r>
        <w:t xml:space="preserve">El evento PASSWORD_RECOVERY de onAuthStateChange intercepta la sesión temporal del enlace y fuerza el modo reset (nueva contraseña + repetir), sin dejar que la app haga bootstrap con esa sesión.</w:t>
      </w:r>
    </w:p>
    <w:p>
      <w:pPr>
        <w:pStyle w:val="ListParagraph"/>
        <w:numPr>
          <w:ilvl w:val="0"/>
          <w:numId w:val="1"/>
        </w:numPr>
        <w:spacing w:after="80"/>
      </w:pPr>
      <w:r>
        <w:t xml:space="preserve">Al confirmar, updatePassword() llama a supabase.auth.updateUser({ password }), se cierra la sesión temporal (signOut), se limpia el hash de la URL y se vuelve al login con mensaje de éxito — el usuario inicia sesión de nuevo con la contraseña nueva.</w:t>
      </w:r>
    </w:p>
    <w:p>
      <w:pPr>
        <w:pStyle w:val="ListParagraph"/>
        <w:numPr>
          <w:ilvl w:val="0"/>
          <w:numId w:val="1"/>
        </w:numPr>
        <w:spacing w:after="80"/>
      </w:pPr>
      <w:r>
        <w:t xml:space="preserve">Toda la lógica de estados (signin / signup / recover / reset) quedó centralizada en un objeto AUTH_MODES en main.js.</w:t>
      </w:r>
    </w:p>
    <w:p>
      <w:pPr>
        <w:pStyle w:val="ListParagraph"/>
        <w:numPr>
          <w:ilvl w:val="0"/>
          <w:numId w:val="1"/>
        </w:numPr>
        <w:spacing w:after="80"/>
      </w:pPr>
      <w:r>
        <w:t xml:space="preserve">Verificación E2E: flujo real de punta a punta con el correo del propio usuario (dacn.2026@gmail.com) contra saludfamilia.vercel.app. Confirmado por SQL en Supabase (token de recuperación generado y consumido) y por el salto fresco de last_sign_in_at tras el login con la contraseña nueva.</w:t>
      </w:r>
    </w:p>
    <w:p>
      <w:pPr>
        <w:pStyle w:val="Heading2"/>
        <w:spacing w:after="120" w:before="240"/>
      </w:pPr>
      <w:r>
        <w:t xml:space="preserve">Previsualizar contraseña (mejora agregada durante la sesión, no planeada originalmente)</w:t>
      </w:r>
    </w:p>
    <w:p>
      <w:pPr>
        <w:spacing w:after="120"/>
      </w:pPr>
      <w:r>
        <w:rPr>
          <w:b w:val="false"/>
          <w:bCs w:val="false"/>
          <w:i w:val="false"/>
          <w:iCs w:val="false"/>
        </w:rPr>
        <w:t xml:space="preserve">Durante la verificación E2E de recuperación, el usuario señaló que no existía forma de previsualizar la contraseña antes de iniciar sesión, lo que puede llevar a errores de tipeo constantes al momento de loguearse. Se agregó un botón de mostrar/ocultar (íconos ojo / ojo tachado) en los campos de contraseña y repetir contraseña del formulario de auth, reseteado a oculto cada vez que cambia el modo del formulario. Verificado por el usuario en producción.</w:t>
      </w:r>
    </w:p>
    <w:p>
      <w:pPr>
        <w:pStyle w:val="Heading1"/>
        <w:spacing w:after="150" w:before="300"/>
      </w:pPr>
      <w:r>
        <w:t xml:space="preserve">Prioridad P1 — Core faltante (COMPLETA al 2026-07-16)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200"/>
        <w:gridCol w:w="5200"/>
      </w:tblGrid>
      <w:tr>
        <w:tc>
          <w:tcPr>
            <w:tcW w:type="dxa" w:w="500"/>
            <w:shd w:fill="F2F2F2" w:val="clear"/>
            <w:vAlign w:val="center"/>
          </w:tcPr>
          <w:p>
            <w:r>
              <w:rPr>
                <w:b/>
                <w:bCs/>
              </w:rPr>
              <w:t xml:space="preserve">#</w:t>
            </w:r>
          </w:p>
        </w:tc>
        <w:tc>
          <w:tcPr>
            <w:tcW w:type="dxa" w:w="3200"/>
            <w:shd w:fill="F2F2F2" w:val="clear"/>
            <w:vAlign w:val="center"/>
          </w:tcPr>
          <w:p>
            <w:r>
              <w:rPr>
                <w:b/>
                <w:bCs/>
              </w:rPr>
              <w:t xml:space="preserve">Tarea</w:t>
            </w:r>
          </w:p>
        </w:tc>
        <w:tc>
          <w:tcPr>
            <w:tcW w:type="dxa" w:w="1200"/>
            <w:shd w:fill="F2F2F2" w:val="clear"/>
            <w:vAlign w:val="center"/>
          </w:tcPr>
          <w:p>
            <w:r>
              <w:rPr>
                <w:b/>
                <w:bCs/>
              </w:rPr>
              <w:t xml:space="preserve">Agente</w:t>
            </w:r>
          </w:p>
        </w:tc>
        <w:tc>
          <w:tcPr>
            <w:tcW w:type="dxa" w:w="5200"/>
            <w:shd w:fill="F2F2F2" w:val="clear"/>
            <w:vAlign w:val="center"/>
          </w:tcPr>
          <w:p>
            <w:r>
              <w:rPr>
                <w:b/>
                <w:bCs/>
              </w:rPr>
              <w:t xml:space="preserve">Por qué ese agente</w:t>
            </w:r>
          </w:p>
        </w:tc>
      </w:tr>
      <w:tr>
        <w:tc>
          <w:tcPr>
            <w:tcW w:type="dxa" w:w="500"/>
            <w:vAlign w:val="center"/>
          </w:tcPr>
          <w:p>
            <w:r>
              <w:rPr>
                <w:b w:val="false"/>
                <w:bCs w:val="false"/>
              </w:rPr>
              <w:t xml:space="preserve">4</w:t>
            </w:r>
          </w:p>
        </w:tc>
        <w:tc>
          <w:tcPr>
            <w:tcW w:type="dxa" w:w="3200"/>
            <w:vAlign w:val="center"/>
          </w:tcPr>
          <w:p>
            <w:r>
              <w:rPr>
                <w:b w:val="false"/>
                <w:bCs w:val="false"/>
              </w:rPr>
              <w:t xml:space="preserve">Recuperación de contraseña</w:t>
            </w:r>
          </w:p>
        </w:tc>
        <w:tc>
          <w:tcPr>
            <w:tcW w:type="dxa" w:w="1200"/>
            <w:vAlign w:val="center"/>
          </w:tcPr>
          <w:p>
            <w:r>
              <w:rPr>
                <w:b w:val="false"/>
                <w:bCs w:val="false"/>
              </w:rPr>
              <w:t xml:space="preserve">Opus</w:t>
            </w:r>
          </w:p>
        </w:tc>
        <w:tc>
          <w:tcPr>
            <w:tcW w:type="dxa" w:w="5200"/>
            <w:shd w:fill="E2EFDA" w:val="clear"/>
            <w:vAlign w:val="center"/>
          </w:tcPr>
          <w:p>
            <w:r>
              <w:rPr>
                <w:b w:val="false"/>
                <w:bCs w:val="false"/>
              </w:rPr>
              <w:t xml:space="preserve">✅ Completada el 2026-07-15. Ver sección dedicada 'Recuperación de contraseña (P1 #4)' más arriba, con el detalle de implementación, la mejora de previsualizar contraseña y la verificación E2E.</w:t>
            </w:r>
          </w:p>
        </w:tc>
      </w:tr>
      <w:tr>
        <w:tc>
          <w:tcPr>
            <w:tcW w:type="dxa" w:w="500"/>
            <w:vAlign w:val="center"/>
          </w:tcPr>
          <w:p>
            <w:r>
              <w:rPr>
                <w:b w:val="false"/>
                <w:bCs w:val="false"/>
              </w:rPr>
              <w:t xml:space="preserve">5</w:t>
            </w:r>
          </w:p>
        </w:tc>
        <w:tc>
          <w:tcPr>
            <w:tcW w:type="dxa" w:w="3200"/>
            <w:vAlign w:val="center"/>
          </w:tcPr>
          <w:p>
            <w:r>
              <w:rPr>
                <w:b w:val="false"/>
                <w:bCs w:val="false"/>
              </w:rPr>
              <w:t xml:space="preserve">UX de confirmación de email en signup</w:t>
            </w:r>
          </w:p>
        </w:tc>
        <w:tc>
          <w:tcPr>
            <w:tcW w:type="dxa" w:w="1200"/>
            <w:vAlign w:val="center"/>
          </w:tcPr>
          <w:p>
            <w:r>
              <w:rPr>
                <w:b w:val="false"/>
                <w:bCs w:val="false"/>
              </w:rPr>
              <w:t xml:space="preserve">Sonnet</w:t>
            </w:r>
          </w:p>
        </w:tc>
        <w:tc>
          <w:tcPr>
            <w:tcW w:type="dxa" w:w="5200"/>
            <w:shd w:fill="E2EFDA" w:val="clear"/>
            <w:vAlign w:val="center"/>
          </w:tcPr>
          <w:p>
            <w:r>
              <w:rPr>
                <w:b w:val="false"/>
                <w:bCs w:val="false"/>
              </w:rPr>
              <w:t xml:space="preserve">✅ Ya cubierta como parte de las mejoras de mensajería de la sesión del 2026-07-11. Re-confirmada en el E2E del 2026-07-15.</w:t>
            </w:r>
          </w:p>
        </w:tc>
      </w:tr>
      <w:tr>
        <w:tc>
          <w:tcPr>
            <w:tcW w:type="dxa" w:w="500"/>
            <w:vAlign w:val="center"/>
          </w:tcPr>
          <w:p>
            <w:r>
              <w:rPr>
                <w:b w:val="false"/>
                <w:bCs w:val="false"/>
              </w:rPr>
              <w:t xml:space="preserve">6</w:t>
            </w:r>
          </w:p>
        </w:tc>
        <w:tc>
          <w:tcPr>
            <w:tcW w:type="dxa" w:w="3200"/>
            <w:vAlign w:val="center"/>
          </w:tcPr>
          <w:p>
            <w:r>
              <w:rPr>
                <w:b w:val="false"/>
                <w:bCs w:val="false"/>
              </w:rPr>
              <w:t xml:space="preserve">Invitar miembros al household (multiusuario real)</w:t>
            </w:r>
          </w:p>
        </w:tc>
        <w:tc>
          <w:tcPr>
            <w:tcW w:type="dxa" w:w="1200"/>
            <w:vAlign w:val="center"/>
          </w:tcPr>
          <w:p>
            <w:r>
              <w:rPr>
                <w:b w:val="false"/>
                <w:bCs w:val="false"/>
              </w:rPr>
              <w:t xml:space="preserve">Fable</w:t>
            </w:r>
          </w:p>
        </w:tc>
        <w:tc>
          <w:tcPr>
            <w:tcW w:type="dxa" w:w="5200"/>
            <w:shd w:fill="E2EFDA" w:val="clear"/>
            <w:vAlign w:val="center"/>
          </w:tcPr>
          <w:p>
            <w:r>
              <w:rPr>
                <w:b w:val="false"/>
                <w:bCs w:val="false"/>
              </w:rPr>
              <w:t xml:space="preserve">✅ Completada el 2026-07-15 y verificada E2E en producción (ciclo completo: generar código → canjear → salir). Migración 0005 + vista Familia. Ver sección dedicada.</w:t>
            </w:r>
          </w:p>
        </w:tc>
      </w:tr>
      <w:tr>
        <w:tc>
          <w:tcPr>
            <w:tcW w:type="dxa" w:w="500"/>
            <w:vAlign w:val="center"/>
          </w:tcPr>
          <w:p>
            <w:r>
              <w:rPr>
                <w:b w:val="false"/>
                <w:bCs w:val="false"/>
              </w:rPr>
              <w:t xml:space="preserve">7</w:t>
            </w:r>
          </w:p>
        </w:tc>
        <w:tc>
          <w:tcPr>
            <w:tcW w:type="dxa" w:w="3200"/>
            <w:vAlign w:val="center"/>
          </w:tcPr>
          <w:p>
            <w:r>
              <w:rPr>
                <w:b w:val="false"/>
                <w:bCs w:val="false"/>
              </w:rPr>
              <w:t xml:space="preserve">Migrar adjuntos de base64/jsonb a Supabase Storage</w:t>
            </w:r>
          </w:p>
        </w:tc>
        <w:tc>
          <w:tcPr>
            <w:tcW w:type="dxa" w:w="1200"/>
            <w:vAlign w:val="center"/>
          </w:tcPr>
          <w:p>
            <w:r>
              <w:rPr>
                <w:b w:val="false"/>
                <w:bCs w:val="false"/>
              </w:rPr>
              <w:t xml:space="preserve">Fable</w:t>
            </w:r>
          </w:p>
        </w:tc>
        <w:tc>
          <w:tcPr>
            <w:tcW w:type="dxa" w:w="5200"/>
            <w:shd w:fill="E2EFDA" w:val="clear"/>
            <w:vAlign w:val="center"/>
          </w:tcPr>
          <w:p>
            <w:r>
              <w:rPr>
                <w:b w:val="false"/>
                <w:bCs w:val="false"/>
              </w:rPr>
              <w:t xml:space="preserve">✅ Completada el 2026-07-15 (migración 0006, bucket privado con políticas por household). Producción tenía 0 adjuntos base64 — no hubo datos que mover. Pendiente E2E por UI. Ver sección dedicada.</w:t>
            </w:r>
          </w:p>
        </w:tc>
      </w:tr>
      <w:tr>
        <w:tc>
          <w:tcPr>
            <w:tcW w:type="dxa" w:w="500"/>
            <w:vAlign w:val="center"/>
          </w:tcPr>
          <w:p>
            <w:r>
              <w:rPr>
                <w:b w:val="false"/>
                <w:bCs w:val="false"/>
              </w:rPr>
              <w:t xml:space="preserve">8</w:t>
            </w:r>
          </w:p>
        </w:tc>
        <w:tc>
          <w:tcPr>
            <w:tcW w:type="dxa" w:w="3200"/>
            <w:vAlign w:val="center"/>
          </w:tcPr>
          <w:p>
            <w:r>
              <w:rPr>
                <w:b w:val="false"/>
                <w:bCs w:val="false"/>
              </w:rPr>
              <w:t xml:space="preserve">Auditoría de seguridad RLS pre-lanzamiento</w:t>
            </w:r>
          </w:p>
        </w:tc>
        <w:tc>
          <w:tcPr>
            <w:tcW w:type="dxa" w:w="1200"/>
            <w:vAlign w:val="center"/>
          </w:tcPr>
          <w:p>
            <w:r>
              <w:rPr>
                <w:b w:val="false"/>
                <w:bCs w:val="false"/>
              </w:rPr>
              <w:t xml:space="preserve">Fable</w:t>
            </w:r>
          </w:p>
        </w:tc>
        <w:tc>
          <w:tcPr>
            <w:tcW w:type="dxa" w:w="5200"/>
            <w:shd w:fill="E2EFDA" w:val="clear"/>
            <w:vAlign w:val="center"/>
          </w:tcPr>
          <w:p>
            <w:r>
              <w:rPr>
                <w:b w:val="false"/>
                <w:bCs w:val="false"/>
              </w:rPr>
              <w:t xml:space="preserve">✅ Completada el 2026-07-16 (migraciones 0007 y 0008): WARN de is_household_member resuelto, FKs compuestas multi-tenant, created_by inmutable, anon sin acceso. Ver sección dedicada.</w:t>
            </w:r>
          </w:p>
        </w:tc>
      </w:tr>
    </w:tbl>
    <w:p>
      <w:pPr>
        <w:pStyle w:val="Heading1"/>
        <w:spacing w:after="150" w:before="300"/>
      </w:pPr>
      <w:r>
        <w:t xml:space="preserve">Resultados de la sesión del 2026-07-15/16 (P1 #6, #7, #8 y pieza B)</w:t>
      </w:r>
    </w:p>
    <w:p>
      <w:pPr>
        <w:pStyle w:val="Heading2"/>
        <w:spacing w:after="120" w:before="240"/>
      </w:pPr>
      <w:r>
        <w:t xml:space="preserve">Invitaciones al household (P1 #6) — multiusuario real</w:t>
      </w:r>
    </w:p>
    <w:p>
      <w:pPr>
        <w:spacing w:after="120"/>
      </w:pPr>
      <w:r>
        <w:rPr>
          <w:b w:val="false"/>
          <w:bCs w:val="false"/>
          <w:i w:val="false"/>
          <w:iCs w:val="false"/>
        </w:rPr>
        <w:t xml:space="preserve">Varias cuentas (cada una con su login propio) comparten el mismo household. El owner genera un código de invitación desde la nueva vista Familia y lo comparte por donde quiera; el invitado crea su cuenta normal y lo canjea. Un solo uso, caduca a los 7 días, revocable. El código nunca se guarda en claro (solo hash sha256). Al canjear, el household vacío del invitado se elimina (modelo de un household por usuario); si tiene datos u otros miembros, el canje se bloquea sin quemar el código. El owner saca miembros pero no puede borrarse a sí mismo; un member puede salir por su cuenta. Verificada con 19 casos de seguridad (JWT simulado + rollback) y E2E real en producción con el ciclo completo.</w:t>
      </w:r>
    </w:p>
    <w:p>
      <w:pPr>
        <w:pStyle w:val="Heading2"/>
        <w:spacing w:after="120" w:before="240"/>
      </w:pPr>
      <w:r>
        <w:t xml:space="preserve">Exportar / Importar pacientes (pieza B) — diseño cambiado</w:t>
      </w:r>
    </w:p>
    <w:p>
      <w:pPr>
        <w:spacing w:after="120"/>
      </w:pPr>
      <w:r>
        <w:rPr>
          <w:b w:val="false"/>
          <w:bCs w:val="false"/>
          <w:i w:val="false"/>
          <w:iCs w:val="false"/>
        </w:rPr>
        <w:t xml:space="preserve">Se implementó con un diseño DISTINTO al planeado (llave en el servidor): archivo cifrado que se descarga al dispositivo (.sfam). El servidor nunca ve el contenido ni la contraseña; sin cambios de esquema ni RLS. Exportar: selección de pacientes + contraseña propia del archivo (dos veces, mín. 8) → AES-256-GCM con clave derivada por PBKDF2 (310k iteraciones) en el navegador; incluye órdenes, medicamentos, vitales, adjuntos embebidos y los médicos/centros referenciados. Importar: archivo + contraseña → resumen → confirmación → todo se crea en la familia actual con IDs remapeados. En el flujo 'Unirse a otra familia' con datos, una ventana ofrece exportar primero y explica los pasos (sin borrado masivo automático, por decisión del usuario). Verificada por el usuario en producción.</w:t>
      </w:r>
    </w:p>
    <w:p>
      <w:pPr>
        <w:pStyle w:val="Heading2"/>
        <w:spacing w:after="120" w:before="240"/>
      </w:pPr>
      <w:r>
        <w:t xml:space="preserve">Adjuntos en Supabase Storage (P1 #7)</w:t>
      </w:r>
    </w:p>
    <w:p>
      <w:pPr>
        <w:spacing w:after="120"/>
      </w:pPr>
      <w:r>
        <w:rPr>
          <w:b w:val="false"/>
          <w:bCs w:val="false"/>
          <w:i w:val="false"/>
          <w:iCs w:val="false"/>
        </w:rPr>
        <w:t xml:space="preserve">Los archivos de las órdenes dejaron de guardarse como base64 dentro de jsonb: van a un bucket privado ('adjuntos', máx. 10MB, imágenes y PDF) con rutas &lt;household&gt;/&lt;orden&gt;/&lt;archivo&gt; y políticas de Storage que reutilizan is_household_member() — mismo aislamiento por familia, probado con JWT simulado. El formato viejo se sigue leyendo; editar una orden o importar un .sfam viejo migra esos adjuntos automáticamente. Miniaturas y apertura con URLs firmadas; limpieza del bucket al reemplazar/quitar/eliminar. Producción tenía 0 adjuntos base64, así que no hubo migración de datos. Pendiente: E2E corto por UI (subir, ver, reemplazar, eliminar).</w:t>
      </w:r>
    </w:p>
    <w:p>
      <w:pPr>
        <w:pStyle w:val="Heading2"/>
        <w:spacing w:after="120" w:before="240"/>
      </w:pPr>
      <w:r>
        <w:t xml:space="preserve">Auditoría de seguridad RLS pre-lanzamiento (P1 #8)</w:t>
      </w:r>
    </w:p>
    <w:p>
      <w:pPr>
        <w:spacing w:after="120"/>
      </w:pPr>
      <w:r>
        <w:rPr>
          <w:b w:val="false"/>
          <w:bCs w:val="false"/>
          <w:i w:val="false"/>
          <w:iCs w:val="false"/>
        </w:rPr>
        <w:t xml:space="preserve">Hallazgos corregidos (migración 0007): (1) is_household_member() movida al schema 'private', fuera del API expuesto — desaparece el WARN que motivó la auditoría; (2) FKs compuestas (columna, household_id) impiden referenciar pacientes/médicos/centros de otra familia — antes era posible (sin fuga de lectura, pero con contaminación referencial); (3) households.created_by era reasignable y otorga visibilidad permanente — ahora solo 'name' es actualizable; (4) revocados los grants de escritura sin política que los respalde y TODO acceso de anon. La migración 0008 alinea los índices a las FKs compuestas. Matriz completa de pruebas: 12 casos cross-tenant + bloqueos nuevos + canje intacto + regresión de flujos normales (incluido el camino del bug 403 histórico) — todas pasan.</w:t>
      </w:r>
    </w:p>
    <w:p>
      <w:pPr>
        <w:spacing w:after="120"/>
      </w:pPr>
      <w:r>
        <w:rPr>
          <w:b w:val="false"/>
          <w:bCs w:val="false"/>
          <w:i w:val="false"/>
          <w:iCs w:val="false"/>
        </w:rPr>
        <w:t xml:space="preserve">Aceptado y documentado: las 3 RPC SECURITY DEFINER del sistema de invitaciones son intencionales (son la API, con autorización interna probada). 'Leaked password protection' requiere plan Pro — la API lo rechaza en el gratuito; como mitigación, el mínimo de contraseña subió a 8 caracteres en Auth y en el cliente.</w:t>
      </w:r>
    </w:p>
    <w:p>
      <w:pPr>
        <w:pStyle w:val="Heading1"/>
        <w:spacing w:after="150" w:before="300"/>
      </w:pPr>
      <w:r>
        <w:t xml:space="preserve">Prioridad P1.5 — Edición de interfaz y experiencia de usuario</w:t>
      </w:r>
    </w:p>
    <w:p>
      <w:pPr>
        <w:spacing w:after="120"/>
      </w:pPr>
      <w:r>
        <w:rPr>
          <w:b w:val="false"/>
          <w:bCs w:val="false"/>
          <w:i w:val="false"/>
          <w:iCs w:val="false"/>
        </w:rPr>
        <w:t xml:space="preserve">Detectada durante la revisión posterior a la verificación E2E en local. Son cambios acotados y mecánicos por módulo — agente recomendado:</w:t>
      </w:r>
    </w:p>
    <w:p>
      <w:pPr>
        <w:spacing w:after="120"/>
      </w:pPr>
      <w:r>
        <w:rPr>
          <w:b/>
          <w:bCs/>
          <w:i w:val="false"/>
          <w:iCs w:val="false"/>
        </w:rPr>
        <w:t xml:space="preserve">Sonnet para todos los ítems de esta sección, salvo que se indique lo contrario explícitamente.</w:t>
      </w:r>
    </w:p>
    <w:p>
      <w:pPr>
        <w:spacing w:after="120"/>
      </w:pPr>
      <w:r>
        <w:rPr>
          <w:b w:val="false"/>
          <w:bCs w:val="false"/>
          <w:i w:val="false"/>
          <w:iCs w:val="false"/>
        </w:rPr>
        <w:t xml:space="preserve">Varios cambios requieren columnas o tablas nuevas en el esquema de Supabase (no son solo HTML/CSS) — se marcan con una nota técnica en cada caso. El agente que ejecute debe correr las migraciones correspondientes antes o junto con el cambio de interfaz.</w:t>
      </w:r>
    </w:p>
    <w:p>
      <w:pPr>
        <w:pStyle w:val="Heading2"/>
        <w:spacing w:after="120" w:before="240"/>
      </w:pPr>
      <w:r>
        <w:t xml:space="preserve">Header / Ficha de paciente — Tema visual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F2F2F2" w:val="clear"/>
            <w:vAlign w:val="center"/>
          </w:tcPr>
          <w:p>
            <w:r>
              <w:rPr>
                <w:b/>
                <w:bCs/>
              </w:rPr>
              <w:t xml:space="preserve">Dónde</w:t>
            </w:r>
          </w:p>
        </w:tc>
        <w:tc>
          <w:tcPr>
            <w:tcW w:type="dxa" w:w="3200"/>
            <w:shd w:fill="F2F2F2" w:val="clear"/>
            <w:vAlign w:val="center"/>
          </w:tcPr>
          <w:p>
            <w:r>
              <w:rPr>
                <w:b/>
                <w:bCs/>
              </w:rPr>
              <w:t xml:space="preserve">Qué pasa hoy</w:t>
            </w:r>
          </w:p>
        </w:tc>
        <w:tc>
          <w:tcPr>
            <w:tcW w:type="dxa" w:w="3200"/>
            <w:shd w:fill="F2F2F2" w:val="clear"/>
            <w:vAlign w:val="center"/>
          </w:tcPr>
          <w:p>
            <w:r>
              <w:rPr>
                <w:b/>
                <w:bCs/>
              </w:rPr>
              <w:t xml:space="preserve">Qué se espera</w:t>
            </w:r>
          </w:p>
        </w:tc>
      </w:tr>
      <w:tr>
        <w:tc>
          <w:tcPr>
            <w:tcW w:type="dxa" w:w="3200"/>
            <w:vAlign w:val="center"/>
          </w:tcPr>
          <w:p>
            <w:r>
              <w:rPr>
                <w:b w:val="false"/>
                <w:bCs w:val="false"/>
              </w:rPr>
              <w:t xml:space="preserve">Header (esquina superior derecha) y tarjeta del paciente</w:t>
            </w:r>
          </w:p>
        </w:tc>
        <w:tc>
          <w:tcPr>
            <w:tcW w:type="dxa" w:w="3200"/>
            <w:vAlign w:val="center"/>
          </w:tcPr>
          <w:p>
            <w:r>
              <w:rPr>
                <w:b w:val="false"/>
                <w:bCs w:val="false"/>
              </w:rPr>
              <w:t xml:space="preserve">Dos botones redundantes: modo oscuro/claro (header) y modo día/noche (tarjeta del paciente). Además, el botón del header cambia de comportamiento según haya paciente activo: en ese caso, en vez de alternar modo oscuro/claro general, guarda una preferencia _lightMode ligada a ese paciente, mezclada con ThemeEngine (colores automáticos por paciente).</w:t>
            </w:r>
          </w:p>
        </w:tc>
        <w:tc>
          <w:tcPr>
            <w:tcW w:type="dxa" w:w="3200"/>
            <w:vAlign w:val="center"/>
          </w:tcPr>
          <w:p>
            <w:r>
              <w:rPr>
                <w:b w:val="false"/>
                <w:bCs w:val="false"/>
              </w:rPr>
              <w:t xml:space="preserve">Un solo control (el del header), puramente de accesibilidad/legibilidad general de la interfaz. Nunca debe interferir con la paleta de color que ThemeEngine asigna automáticamente a cada paciente — son dos conceptos independientes. Eliminar el botón de la tarjeta del paciente.</w:t>
            </w:r>
          </w:p>
        </w:tc>
      </w:tr>
    </w:tbl>
    <w:p>
      <w:pPr>
        <w:pStyle w:val="Heading2"/>
        <w:spacing w:after="120" w:before="240"/>
      </w:pPr>
      <w:r>
        <w:t xml:space="preserve">Ficha de Paciente (creación y edición)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400"/>
      </w:tblGrid>
      <w:tr>
        <w:tc>
          <w:tcPr>
            <w:tcW w:type="dxa" w:w="2400"/>
            <w:shd w:fill="F2F2F2" w:val="clear"/>
            <w:vAlign w:val="center"/>
          </w:tcPr>
          <w:p>
            <w:r>
              <w:rPr>
                <w:b/>
                <w:bCs/>
              </w:rPr>
              <w:t xml:space="preserve">Ítem</w:t>
            </w:r>
          </w:p>
        </w:tc>
        <w:tc>
          <w:tcPr>
            <w:tcW w:type="dxa" w:w="2600"/>
            <w:shd w:fill="F2F2F2" w:val="clear"/>
            <w:vAlign w:val="center"/>
          </w:tcPr>
          <w:p>
            <w:r>
              <w:rPr>
                <w:b/>
                <w:bCs/>
              </w:rPr>
              <w:t xml:space="preserve">Qué pasa hoy</w:t>
            </w:r>
          </w:p>
        </w:tc>
        <w:tc>
          <w:tcPr>
            <w:tcW w:type="dxa" w:w="2600"/>
            <w:shd w:fill="F2F2F2" w:val="clear"/>
            <w:vAlign w:val="center"/>
          </w:tcPr>
          <w:p>
            <w:r>
              <w:rPr>
                <w:b/>
                <w:bCs/>
              </w:rPr>
              <w:t xml:space="preserve">Qué se espera</w:t>
            </w:r>
          </w:p>
        </w:tc>
        <w:tc>
          <w:tcPr>
            <w:tcW w:type="dxa" w:w="1400"/>
            <w:shd w:fill="F2F2F2" w:val="clear"/>
            <w:vAlign w:val="center"/>
          </w:tcPr>
          <w:p>
            <w:r>
              <w:rPr>
                <w:b/>
                <w:bCs/>
              </w:rPr>
              <w:t xml:space="preserve">Nota técnica</w:t>
            </w:r>
          </w:p>
        </w:tc>
      </w:tr>
      <w:tr>
        <w:tc>
          <w:tcPr>
            <w:tcW w:type="dxa" w:w="2400"/>
            <w:vAlign w:val="center"/>
          </w:tcPr>
          <w:p>
            <w:r>
              <w:rPr>
                <w:b w:val="false"/>
                <w:bCs w:val="false"/>
              </w:rPr>
              <w:t xml:space="preserve">Nombre del paciente</w:t>
            </w:r>
          </w:p>
        </w:tc>
        <w:tc>
          <w:tcPr>
            <w:tcW w:type="dxa" w:w="2600"/>
            <w:vAlign w:val="center"/>
          </w:tcPr>
          <w:p>
            <w:r>
              <w:rPr>
                <w:b w:val="false"/>
                <w:bCs w:val="false"/>
              </w:rPr>
              <w:t xml:space="preserve">Un solo campo de texto libre 'Nombre completo'.</w:t>
            </w:r>
          </w:p>
        </w:tc>
        <w:tc>
          <w:tcPr>
            <w:tcW w:type="dxa" w:w="2600"/>
            <w:vAlign w:val="center"/>
          </w:tcPr>
          <w:p>
            <w:r>
              <w:rPr>
                <w:b w:val="false"/>
                <w:bCs w:val="false"/>
              </w:rPr>
              <w:t xml:space="preserve">4 campos independientes: Primer nombre, Segundo nombre, Primer apellido, Segundo apellido.</w:t>
            </w:r>
          </w:p>
        </w:tc>
        <w:tc>
          <w:tcPr>
            <w:tcW w:type="dxa" w:w="1400"/>
            <w:vAlign w:val="center"/>
          </w:tcPr>
          <w:p>
            <w:r>
              <w:rPr>
                <w:b w:val="false"/>
                <w:bCs w:val="false"/>
              </w:rPr>
              <w:t xml:space="preserve">Requiere reemplazar la columna 'nombre' por 4 columnas nuevas en 'patients', y actualizar todo lugar que arme el nombre para mostrarlo (avatar, listados, ThemeEngine, etc.).</w:t>
            </w:r>
          </w:p>
        </w:tc>
      </w:tr>
      <w:tr>
        <w:tc>
          <w:tcPr>
            <w:tcW w:type="dxa" w:w="2400"/>
            <w:vAlign w:val="center"/>
          </w:tcPr>
          <w:p>
            <w:r>
              <w:rPr>
                <w:b w:val="false"/>
                <w:bCs w:val="false"/>
              </w:rPr>
              <w:t xml:space="preserve">Dirección de residencia</w:t>
            </w:r>
          </w:p>
        </w:tc>
        <w:tc>
          <w:tcPr>
            <w:tcW w:type="dxa" w:w="2600"/>
            <w:vAlign w:val="center"/>
          </w:tcPr>
          <w:p>
            <w:r>
              <w:rPr>
                <w:b w:val="false"/>
                <w:bCs w:val="false"/>
              </w:rPr>
              <w:t xml:space="preserve">No existe el campo.</w:t>
            </w:r>
          </w:p>
        </w:tc>
        <w:tc>
          <w:tcPr>
            <w:tcW w:type="dxa" w:w="2600"/>
            <w:vAlign w:val="center"/>
          </w:tcPr>
          <w:p>
            <w:r>
              <w:rPr>
                <w:b w:val="false"/>
                <w:bCs w:val="false"/>
              </w:rPr>
              <w:t xml:space="preserve">Nuevo campo de texto libre.</w:t>
            </w:r>
          </w:p>
        </w:tc>
        <w:tc>
          <w:tcPr>
            <w:tcW w:type="dxa" w:w="1400"/>
            <w:vAlign w:val="center"/>
          </w:tcPr>
          <w:p>
            <w:r>
              <w:rPr>
                <w:b w:val="false"/>
                <w:bCs w:val="false"/>
              </w:rPr>
              <w:t xml:space="preserve">Columna nueva en 'patients'.</w:t>
            </w:r>
          </w:p>
        </w:tc>
      </w:tr>
      <w:tr>
        <w:tc>
          <w:tcPr>
            <w:tcW w:type="dxa" w:w="2400"/>
            <w:vAlign w:val="center"/>
          </w:tcPr>
          <w:p>
            <w:r>
              <w:rPr>
                <w:b w:val="false"/>
                <w:bCs w:val="false"/>
              </w:rPr>
              <w:t xml:space="preserve">Pólizas de seguro adicionales</w:t>
            </w:r>
          </w:p>
        </w:tc>
        <w:tc>
          <w:tcPr>
            <w:tcW w:type="dxa" w:w="2600"/>
            <w:vAlign w:val="center"/>
          </w:tcPr>
          <w:p>
            <w:r>
              <w:rPr>
                <w:b w:val="false"/>
                <w:bCs w:val="false"/>
              </w:rPr>
              <w:t xml:space="preserve">No existe esta sección.</w:t>
            </w:r>
          </w:p>
        </w:tc>
        <w:tc>
          <w:tcPr>
            <w:tcW w:type="dxa" w:w="2600"/>
            <w:vAlign w:val="center"/>
          </w:tcPr>
          <w:p>
            <w:r>
              <w:rPr>
                <w:b w:val="false"/>
                <w:bCs w:val="false"/>
              </w:rPr>
              <w:t xml:space="preserve">Botón 'Agregar póliza' → sub-formulario con: tipo (SOAT, Funeraria, Medicina prepagada, Servicios Médicos Complementarios, Vida, Dental, u 'Otra' con texto libre que se suma a la lista para uso futuro), número de póliza, y botón para subir imagen del carnet.</w:t>
            </w:r>
          </w:p>
        </w:tc>
        <w:tc>
          <w:tcPr>
            <w:tcW w:type="dxa" w:w="1400"/>
            <w:vAlign w:val="center"/>
          </w:tcPr>
          <w:p>
            <w:r>
              <w:rPr>
                <w:b w:val="false"/>
                <w:bCs w:val="false"/>
              </w:rPr>
              <w:t xml:space="preserve">Relación uno-a-muchos: requiere tabla nueva 'patient_policies'. La opción 'Otra' extensible sugiere una tabla de catálogo compartida ('policy_types') — mismo patrón que 'Vía de administración' (Medicamentos) y 'Especialidad' (Médicos); ver nota transversal más abajo.</w:t>
            </w:r>
          </w:p>
        </w:tc>
      </w:tr>
      <w:tr>
        <w:tc>
          <w:tcPr>
            <w:tcW w:type="dxa" w:w="2400"/>
            <w:vAlign w:val="center"/>
          </w:tcPr>
          <w:p>
            <w:r>
              <w:rPr>
                <w:b w:val="false"/>
                <w:bCs w:val="false"/>
              </w:rPr>
              <w:t xml:space="preserve">Contacto de emergencia</w:t>
            </w:r>
          </w:p>
        </w:tc>
        <w:tc>
          <w:tcPr>
            <w:tcW w:type="dxa" w:w="2600"/>
            <w:vAlign w:val="center"/>
          </w:tcPr>
          <w:p>
            <w:r>
              <w:rPr>
                <w:b w:val="false"/>
                <w:bCs w:val="false"/>
              </w:rPr>
              <w:t xml:space="preserve">Un solo campo de texto libre.</w:t>
            </w:r>
          </w:p>
        </w:tc>
        <w:tc>
          <w:tcPr>
            <w:tcW w:type="dxa" w:w="2600"/>
            <w:vAlign w:val="center"/>
          </w:tcPr>
          <w:p>
            <w:r>
              <w:rPr>
                <w:b w:val="false"/>
                <w:bCs w:val="false"/>
              </w:rPr>
              <w:t xml:space="preserve">Campos independientes: Primer nombre, Segundo nombre, Primer apellido, Segundo apellido, Parentesco (desplegable: madre/padre, hermano/hermana, abuela/abuelo, tío/tía, familiar, representante asignado), Teléfono 1, Teléfono 2, Dirección, Ciudad.</w:t>
            </w:r>
          </w:p>
        </w:tc>
        <w:tc>
          <w:tcPr>
            <w:tcW w:type="dxa" w:w="1400"/>
            <w:vAlign w:val="center"/>
          </w:tcPr>
          <w:p>
            <w:r>
              <w:rPr>
                <w:b w:val="false"/>
                <w:bCs w:val="false"/>
              </w:rPr>
              <w:t xml:space="preserve">Columnas nuevas en 'patients' o tabla relacionada, según se decida al implementar.</w:t>
            </w:r>
          </w:p>
        </w:tc>
      </w:tr>
    </w:tbl>
    <w:p>
      <w:pPr>
        <w:pStyle w:val="Heading2"/>
        <w:spacing w:after="120" w:before="240"/>
      </w:pPr>
      <w:r>
        <w:t xml:space="preserve">Órdenes médicas</w:t>
      </w:r>
    </w:p>
    <w:p>
      <w:pPr>
        <w:spacing w:after="120"/>
      </w:pPr>
      <w:r>
        <w:rPr>
          <w:b w:val="false"/>
          <w:bCs w:val="false"/>
          <w:i/>
          <w:iCs/>
        </w:rPr>
        <w:t xml:space="preserve">Problema general identificado: al avanzar de etapa en una orden, la aplicación permite editar desde el principio, lo cual puede llevar a pérdida o alteración accidental de información ya cargada.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F2F2F2" w:val="clear"/>
            <w:vAlign w:val="center"/>
          </w:tcPr>
          <w:p>
            <w:r>
              <w:rPr>
                <w:b/>
                <w:bCs/>
              </w:rPr>
              <w:t xml:space="preserve">Ítem</w:t>
            </w:r>
          </w:p>
        </w:tc>
        <w:tc>
          <w:tcPr>
            <w:tcW w:type="dxa" w:w="3300"/>
            <w:shd w:fill="F2F2F2" w:val="clear"/>
            <w:vAlign w:val="center"/>
          </w:tcPr>
          <w:p>
            <w:r>
              <w:rPr>
                <w:b/>
                <w:bCs/>
              </w:rPr>
              <w:t xml:space="preserve">Qué pasa hoy</w:t>
            </w:r>
          </w:p>
        </w:tc>
        <w:tc>
          <w:tcPr>
            <w:tcW w:type="dxa" w:w="3300"/>
            <w:shd w:fill="F2F2F2" w:val="clear"/>
            <w:vAlign w:val="center"/>
          </w:tcPr>
          <w:p>
            <w:r>
              <w:rPr>
                <w:b/>
                <w:bCs/>
              </w:rPr>
              <w:t xml:space="preserve">Qué se espera</w:t>
            </w:r>
          </w:p>
        </w:tc>
      </w:tr>
      <w:tr>
        <w:tc>
          <w:tcPr>
            <w:tcW w:type="dxa" w:w="2400"/>
            <w:vAlign w:val="center"/>
          </w:tcPr>
          <w:p>
            <w:r>
              <w:rPr>
                <w:b w:val="false"/>
                <w:bCs w:val="false"/>
              </w:rPr>
              <w:t xml:space="preserve">Filtros del listado</w:t>
            </w:r>
          </w:p>
        </w:tc>
        <w:tc>
          <w:tcPr>
            <w:tcW w:type="dxa" w:w="3300"/>
            <w:vAlign w:val="center"/>
          </w:tcPr>
          <w:p>
            <w:r>
              <w:rPr>
                <w:b w:val="false"/>
                <w:bCs w:val="false"/>
              </w:rPr>
              <w:t xml:space="preserve">Botones que filtran las distintas entradas.</w:t>
            </w:r>
          </w:p>
        </w:tc>
        <w:tc>
          <w:tcPr>
            <w:tcW w:type="dxa" w:w="3300"/>
            <w:vAlign w:val="center"/>
          </w:tcPr>
          <w:p>
            <w:r>
              <w:rPr>
                <w:b w:val="false"/>
                <w:bCs w:val="false"/>
              </w:rPr>
              <w:t xml:space="preserve">Reemplazar por un filtro combinado: por etapa y por especialidad que ordena.</w:t>
            </w:r>
          </w:p>
        </w:tc>
      </w:tr>
      <w:tr>
        <w:tc>
          <w:tcPr>
            <w:tcW w:type="dxa" w:w="2400"/>
            <w:vAlign w:val="center"/>
          </w:tcPr>
          <w:p>
            <w:r>
              <w:rPr>
                <w:b w:val="false"/>
                <w:bCs w:val="false"/>
              </w:rPr>
              <w:t xml:space="preserve">Ver una orden</w:t>
            </w:r>
          </w:p>
        </w:tc>
        <w:tc>
          <w:tcPr>
            <w:tcW w:type="dxa" w:w="3300"/>
            <w:vAlign w:val="center"/>
          </w:tcPr>
          <w:p>
            <w:r>
              <w:rPr>
                <w:b w:val="false"/>
                <w:bCs w:val="false"/>
              </w:rPr>
              <w:t xml:space="preserve">Al seleccionar/expandir una orden, se entra directo en modo edición.</w:t>
            </w:r>
          </w:p>
        </w:tc>
        <w:tc>
          <w:tcPr>
            <w:tcW w:type="dxa" w:w="3300"/>
            <w:vAlign w:val="center"/>
          </w:tcPr>
          <w:p>
            <w:r>
              <w:rPr>
                <w:b w:val="false"/>
                <w:bCs w:val="false"/>
              </w:rPr>
              <w:t xml:space="preserve">Al expandir, mostrar en modo solo lectura/visual por defecto — la edición no debe ser el estado inicial.</w:t>
            </w:r>
          </w:p>
        </w:tc>
      </w:tr>
      <w:tr>
        <w:tc>
          <w:tcPr>
            <w:tcW w:type="dxa" w:w="2400"/>
            <w:vAlign w:val="center"/>
          </w:tcPr>
          <w:p>
            <w:r>
              <w:rPr>
                <w:b w:val="false"/>
                <w:bCs w:val="false"/>
              </w:rPr>
              <w:t xml:space="preserve">Navegación entre etapas</w:t>
            </w:r>
          </w:p>
        </w:tc>
        <w:tc>
          <w:tcPr>
            <w:tcW w:type="dxa" w:w="3300"/>
            <w:vAlign w:val="center"/>
          </w:tcPr>
          <w:p>
            <w:r>
              <w:rPr>
                <w:b w:val="false"/>
                <w:bCs w:val="false"/>
              </w:rPr>
              <w:t xml:space="preserve">No hay distinción entre navegar y editar; se puede modificar cualquier etapa sin aviso.</w:t>
            </w:r>
          </w:p>
        </w:tc>
        <w:tc>
          <w:tcPr>
            <w:tcW w:type="dxa" w:w="3300"/>
            <w:vAlign w:val="center"/>
          </w:tcPr>
          <w:p>
            <w:r>
              <w:rPr>
                <w:b w:val="false"/>
                <w:bCs w:val="false"/>
              </w:rPr>
              <w:t xml:space="preserve">Las etapas se navegan como páginas. Si el usuario intenta editar una etapa anterior a la actual, debe aparecer una alerta explicando qué está por hacer, antes de permitir el cambio.</w:t>
            </w:r>
          </w:p>
        </w:tc>
      </w:tr>
      <w:tr>
        <w:tc>
          <w:tcPr>
            <w:tcW w:type="dxa" w:w="2400"/>
            <w:vAlign w:val="center"/>
          </w:tcPr>
          <w:p>
            <w:r>
              <w:rPr>
                <w:b w:val="false"/>
                <w:bCs w:val="false"/>
              </w:rPr>
              <w:t xml:space="preserve">Sección A. Orden — archivo</w:t>
            </w:r>
          </w:p>
        </w:tc>
        <w:tc>
          <w:tcPr>
            <w:tcW w:type="dxa" w:w="3300"/>
            <w:vAlign w:val="center"/>
          </w:tcPr>
          <w:p>
            <w:r>
              <w:rPr>
                <w:b w:val="false"/>
                <w:bCs w:val="false"/>
              </w:rPr>
              <w:t xml:space="preserve">El campo dice 'Archivo PDF de la orden' y solo acepta subir un PDF ya existente.</w:t>
            </w:r>
          </w:p>
        </w:tc>
        <w:tc>
          <w:tcPr>
            <w:tcW w:type="dxa" w:w="3300"/>
            <w:vAlign w:val="center"/>
          </w:tcPr>
          <w:p>
            <w:r>
              <w:rPr>
                <w:b w:val="false"/>
                <w:bCs w:val="false"/>
              </w:rPr>
              <w:t xml:space="preserve">Renombrar a 'Historia clínica', y permitir subir fotografías directamente que se conviertan automáticamente a PDF.</w:t>
            </w:r>
          </w:p>
        </w:tc>
      </w:tr>
      <w:tr>
        <w:tc>
          <w:tcPr>
            <w:tcW w:type="dxa" w:w="2400"/>
            <w:vAlign w:val="center"/>
          </w:tcPr>
          <w:p>
            <w:r>
              <w:rPr>
                <w:b w:val="false"/>
                <w:bCs w:val="false"/>
              </w:rPr>
              <w:t xml:space="preserve">Sección C. Autorización — modo vista</w:t>
            </w:r>
          </w:p>
        </w:tc>
        <w:tc>
          <w:tcPr>
            <w:tcW w:type="dxa" w:w="3300"/>
            <w:vAlign w:val="center"/>
          </w:tcPr>
          <w:p>
            <w:r>
              <w:rPr>
                <w:b w:val="false"/>
                <w:bCs w:val="false"/>
              </w:rPr>
              <w:t xml:space="preserve">Solo se ve el centro médico seleccionado.</w:t>
            </w:r>
          </w:p>
        </w:tc>
        <w:tc>
          <w:tcPr>
            <w:tcW w:type="dxa" w:w="3300"/>
            <w:vAlign w:val="center"/>
          </w:tcPr>
          <w:p>
            <w:r>
              <w:rPr>
                <w:b w:val="false"/>
                <w:bCs w:val="false"/>
              </w:rPr>
              <w:t xml:space="preserve">Mostrar también teléfono y dirección del centro médico, tomados del directorio.</w:t>
            </w:r>
          </w:p>
        </w:tc>
      </w:tr>
      <w:tr>
        <w:tc>
          <w:tcPr>
            <w:tcW w:type="dxa" w:w="2400"/>
            <w:vAlign w:val="center"/>
          </w:tcPr>
          <w:p>
            <w:r>
              <w:rPr>
                <w:b w:val="false"/>
                <w:bCs w:val="false"/>
              </w:rPr>
              <w:t xml:space="preserve">Sección D. Cita — estado Finalizado</w:t>
            </w:r>
          </w:p>
        </w:tc>
        <w:tc>
          <w:tcPr>
            <w:tcW w:type="dxa" w:w="3300"/>
            <w:vAlign w:val="center"/>
          </w:tcPr>
          <w:p>
            <w:r>
              <w:rPr>
                <w:b w:val="false"/>
                <w:bCs w:val="false"/>
              </w:rPr>
              <w:t xml:space="preserve">Al marcar 'Finalizado (cita ya asistida)', no pasa nada adicional.</w:t>
            </w:r>
          </w:p>
        </w:tc>
        <w:tc>
          <w:tcPr>
            <w:tcW w:type="dxa" w:w="3300"/>
            <w:vAlign w:val="center"/>
          </w:tcPr>
          <w:p>
            <w:r>
              <w:rPr>
                <w:b w:val="false"/>
                <w:bCs w:val="false"/>
              </w:rPr>
              <w:t xml:space="preserve">Mostrar una opción para crear una nueva orden directamente desde ahí.</w:t>
            </w:r>
          </w:p>
        </w:tc>
      </w:tr>
      <w:tr>
        <w:tc>
          <w:tcPr>
            <w:tcW w:type="dxa" w:w="2400"/>
            <w:vAlign w:val="center"/>
          </w:tcPr>
          <w:p>
            <w:r>
              <w:rPr>
                <w:b w:val="false"/>
                <w:bCs w:val="false"/>
              </w:rPr>
              <w:t xml:space="preserve">Médico tratante (selector)</w:t>
            </w:r>
          </w:p>
        </w:tc>
        <w:tc>
          <w:tcPr>
            <w:tcW w:type="dxa" w:w="3300"/>
            <w:vAlign w:val="center"/>
          </w:tcPr>
          <w:p>
            <w:r>
              <w:rPr>
                <w:b w:val="false"/>
                <w:bCs w:val="false"/>
              </w:rPr>
              <w:t xml:space="preserve">Solo permite elegir entre médicos ya cargados.</w:t>
            </w:r>
          </w:p>
        </w:tc>
        <w:tc>
          <w:tcPr>
            <w:tcW w:type="dxa" w:w="3300"/>
            <w:vAlign w:val="center"/>
          </w:tcPr>
          <w:p>
            <w:r>
              <w:rPr>
                <w:b w:val="false"/>
                <w:bCs w:val="false"/>
              </w:rPr>
              <w:t xml:space="preserve">Agregar opción 'Agregar médico al directorio', que abre la ventana de alta de médico sin salir del flujo de la orden.</w:t>
            </w:r>
          </w:p>
        </w:tc>
      </w:tr>
      <w:tr>
        <w:tc>
          <w:tcPr>
            <w:tcW w:type="dxa" w:w="2400"/>
            <w:vAlign w:val="center"/>
          </w:tcPr>
          <w:p>
            <w:r>
              <w:rPr>
                <w:b w:val="false"/>
                <w:bCs w:val="false"/>
              </w:rPr>
              <w:t xml:space="preserve">Centro médico (selector)</w:t>
            </w:r>
          </w:p>
        </w:tc>
        <w:tc>
          <w:tcPr>
            <w:tcW w:type="dxa" w:w="3300"/>
            <w:vAlign w:val="center"/>
          </w:tcPr>
          <w:p>
            <w:r>
              <w:rPr>
                <w:b w:val="false"/>
                <w:bCs w:val="false"/>
              </w:rPr>
              <w:t xml:space="preserve">Solo permite elegir entre centros ya cargados. Aplica también al selector de centro médico dentro del módulo Médicos.</w:t>
            </w:r>
          </w:p>
        </w:tc>
        <w:tc>
          <w:tcPr>
            <w:tcW w:type="dxa" w:w="3300"/>
            <w:vAlign w:val="center"/>
          </w:tcPr>
          <w:p>
            <w:r>
              <w:rPr>
                <w:b w:val="false"/>
                <w:bCs w:val="false"/>
              </w:rPr>
              <w:t xml:space="preserve">Agregar 'Agregar centro médico al directorio' en ambos lugares, abriendo la ventana de alta de centro médico sin interrumpir el flujo.</w:t>
            </w:r>
          </w:p>
        </w:tc>
      </w:tr>
    </w:tbl>
    <w:p>
      <w:r>
        <w:rPr>
          <w:b w:val="0"/>
        </w:rPr>
        <w:t>✅ COMPLETADA el 2026-07-16 (commit 943dbd6): vista de solo lectura por defecto al expandir, navegación por etapas con alerta de confirmación antes de editar una etapa anterior, filtro combinado por etapa y especialidad, alta rápida de médico/centro médico sin salir del flujo, y sección "Historia clínica" (antes "Archivo PDF de la orden") que acepta fotos convertidas automáticamente a PDF. Verificada E2E en producción por el usuario.</w:t>
      </w:r>
    </w:p>
    <w:p>
      <w:pPr>
        <w:pStyle w:val="Heading2"/>
        <w:spacing w:after="120" w:before="240"/>
      </w:pPr>
      <w:r>
        <w:t xml:space="preserve">Medicamentos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900"/>
        <w:gridCol w:w="1500"/>
      </w:tblGrid>
      <w:tr>
        <w:tc>
          <w:tcPr>
            <w:tcW w:type="dxa" w:w="2200"/>
            <w:shd w:fill="F2F2F2" w:val="clear"/>
            <w:vAlign w:val="center"/>
          </w:tcPr>
          <w:p>
            <w:r>
              <w:rPr>
                <w:b/>
                <w:bCs/>
              </w:rPr>
              <w:t xml:space="preserve">Ítem</w:t>
            </w:r>
          </w:p>
        </w:tc>
        <w:tc>
          <w:tcPr>
            <w:tcW w:type="dxa" w:w="2400"/>
            <w:shd w:fill="F2F2F2" w:val="clear"/>
            <w:vAlign w:val="center"/>
          </w:tcPr>
          <w:p>
            <w:r>
              <w:rPr>
                <w:b/>
                <w:bCs/>
              </w:rPr>
              <w:t xml:space="preserve">Qué pasa hoy</w:t>
            </w:r>
          </w:p>
        </w:tc>
        <w:tc>
          <w:tcPr>
            <w:tcW w:type="dxa" w:w="2900"/>
            <w:shd w:fill="F2F2F2" w:val="clear"/>
            <w:vAlign w:val="center"/>
          </w:tcPr>
          <w:p>
            <w:r>
              <w:rPr>
                <w:b/>
                <w:bCs/>
              </w:rPr>
              <w:t xml:space="preserve">Qué se espera</w:t>
            </w:r>
          </w:p>
        </w:tc>
        <w:tc>
          <w:tcPr>
            <w:tcW w:type="dxa" w:w="1500"/>
            <w:shd w:fill="F2F2F2" w:val="clear"/>
            <w:vAlign w:val="center"/>
          </w:tcPr>
          <w:p>
            <w:r>
              <w:rPr>
                <w:b/>
                <w:bCs/>
              </w:rPr>
              <w:t xml:space="preserve">Nota técnica</w:t>
            </w:r>
          </w:p>
        </w:tc>
      </w:tr>
      <w:tr>
        <w:tc>
          <w:tcPr>
            <w:tcW w:type="dxa" w:w="2200"/>
            <w:vAlign w:val="center"/>
          </w:tcPr>
          <w:p>
            <w:r>
              <w:rPr>
                <w:b w:val="false"/>
                <w:bCs w:val="false"/>
              </w:rPr>
              <w:t xml:space="preserve">Campo 'Dosis'</w:t>
            </w:r>
          </w:p>
        </w:tc>
        <w:tc>
          <w:tcPr>
            <w:tcW w:type="dxa" w:w="2400"/>
            <w:vAlign w:val="center"/>
          </w:tcPr>
          <w:p>
            <w:r>
              <w:rPr>
                <w:b w:val="false"/>
                <w:bCs w:val="false"/>
              </w:rPr>
              <w:t xml:space="preserve">Se llama 'Dosis'.</w:t>
            </w:r>
          </w:p>
        </w:tc>
        <w:tc>
          <w:tcPr>
            <w:tcW w:type="dxa" w:w="2900"/>
            <w:vAlign w:val="center"/>
          </w:tcPr>
          <w:p>
            <w:r>
              <w:rPr>
                <w:b w:val="false"/>
                <w:bCs w:val="false"/>
              </w:rPr>
              <w:t xml:space="preserve">Renombrar a 'Dosis diaria'.</w:t>
            </w:r>
          </w:p>
        </w:tc>
        <w:tc>
          <w:tcPr>
            <w:tcW w:type="dxa" w:w="1500"/>
            <w:vAlign w:val="center"/>
          </w:tcPr>
          <w:p>
            <w:r>
              <w:rPr>
                <w:b w:val="false"/>
                <w:bCs w:val="false"/>
              </w:rPr>
              <w:t xml:space="preserve"/>
            </w:r>
          </w:p>
        </w:tc>
      </w:tr>
      <w:tr>
        <w:tc>
          <w:tcPr>
            <w:tcW w:type="dxa" w:w="2200"/>
            <w:vAlign w:val="center"/>
          </w:tcPr>
          <w:p>
            <w:r>
              <w:rPr>
                <w:b w:val="false"/>
                <w:bCs w:val="false"/>
              </w:rPr>
              <w:t xml:space="preserve">Frecuencia</w:t>
            </w:r>
          </w:p>
        </w:tc>
        <w:tc>
          <w:tcPr>
            <w:tcW w:type="dxa" w:w="2400"/>
            <w:vAlign w:val="center"/>
          </w:tcPr>
          <w:p>
            <w:r>
              <w:rPr>
                <w:b w:val="false"/>
                <w:bCs w:val="false"/>
              </w:rPr>
              <w:t xml:space="preserve">Opciones actuales sin este orden/formato.</w:t>
            </w:r>
          </w:p>
        </w:tc>
        <w:tc>
          <w:tcPr>
            <w:tcW w:type="dxa" w:w="2900"/>
            <w:vAlign w:val="center"/>
          </w:tcPr>
          <w:p>
            <w:r>
              <w:rPr>
                <w:b w:val="false"/>
                <w:bCs w:val="false"/>
              </w:rPr>
              <w:t xml:space="preserve">Reemplazar por: Una vez al día · Dos veces al día o cada 12 horas · Tres veces al día o cada 8 horas · Cuatro veces al día o cada 6 horas · A demanda.</w:t>
            </w:r>
          </w:p>
        </w:tc>
        <w:tc>
          <w:tcPr>
            <w:tcW w:type="dxa" w:w="1500"/>
            <w:vAlign w:val="center"/>
          </w:tcPr>
          <w:p>
            <w:r>
              <w:rPr>
                <w:b w:val="false"/>
                <w:bCs w:val="false"/>
              </w:rPr>
              <w:t xml:space="preserve"/>
            </w:r>
          </w:p>
        </w:tc>
      </w:tr>
      <w:tr>
        <w:tc>
          <w:tcPr>
            <w:tcW w:type="dxa" w:w="2200"/>
            <w:vAlign w:val="center"/>
          </w:tcPr>
          <w:p>
            <w:r>
              <w:rPr>
                <w:b w:val="false"/>
                <w:bCs w:val="false"/>
              </w:rPr>
              <w:t xml:space="preserve">Horarios de toma</w:t>
            </w:r>
          </w:p>
        </w:tc>
        <w:tc>
          <w:tcPr>
            <w:tcW w:type="dxa" w:w="2400"/>
            <w:vAlign w:val="center"/>
          </w:tcPr>
          <w:p>
            <w:r>
              <w:rPr>
                <w:b w:val="false"/>
                <w:bCs w:val="false"/>
              </w:rPr>
              <w:t xml:space="preserve">No existe esta sección.</w:t>
            </w:r>
          </w:p>
        </w:tc>
        <w:tc>
          <w:tcPr>
            <w:tcW w:type="dxa" w:w="2900"/>
            <w:vAlign w:val="center"/>
          </w:tcPr>
          <w:p>
            <w:r>
              <w:rPr>
                <w:b w:val="false"/>
                <w:bCs w:val="false"/>
              </w:rPr>
              <w:t xml:space="preserve">Dos columnas enfrentadas: Horario de toma y Dosis de ese horario. Cantidad de filas según frecuencia (ej. cada 4h → 6 filas; una vez al día → 1 fila; a demanda → sin filas automáticas). Primer horario editable, arranca en 00:00 por defecto; los siguientes se calculan automáticamente y espaciados según la frecuencia, pero siguen siendo editables individualmente. Si se cambia el primer horario, los siguientes se recalculan automáticamente.</w:t>
            </w:r>
          </w:p>
        </w:tc>
        <w:tc>
          <w:tcPr>
            <w:tcW w:type="dxa" w:w="1500"/>
            <w:vAlign w:val="center"/>
          </w:tcPr>
          <w:p>
            <w:r>
              <w:rPr>
                <w:b w:val="false"/>
                <w:bCs w:val="false"/>
              </w:rPr>
              <w:t xml:space="preserve">Requiere lógica con estado: distinguir 'horario recalculado automáticamente' de 'horario editado a mano', para no sobrescribir una edición manual al cambiar el horario base. Definir con la usuaria qué pasa si edita un horario intermedio y luego cambia el primero.</w:t>
            </w:r>
          </w:p>
        </w:tc>
      </w:tr>
      <w:tr>
        <w:tc>
          <w:tcPr>
            <w:tcW w:type="dxa" w:w="2200"/>
            <w:vAlign w:val="center"/>
          </w:tcPr>
          <w:p>
            <w:r>
              <w:rPr>
                <w:b w:val="false"/>
                <w:bCs w:val="false"/>
              </w:rPr>
              <w:t xml:space="preserve">Vía de administración</w:t>
            </w:r>
          </w:p>
        </w:tc>
        <w:tc>
          <w:tcPr>
            <w:tcW w:type="dxa" w:w="2400"/>
            <w:vAlign w:val="center"/>
          </w:tcPr>
          <w:p>
            <w:r>
              <w:rPr>
                <w:b w:val="false"/>
                <w:bCs w:val="false"/>
              </w:rPr>
              <w:t xml:space="preserve">Lista fija, sin 'Vía sonda' ni opción extensible.</w:t>
            </w:r>
          </w:p>
        </w:tc>
        <w:tc>
          <w:tcPr>
            <w:tcW w:type="dxa" w:w="2900"/>
            <w:vAlign w:val="center"/>
          </w:tcPr>
          <w:p>
            <w:r>
              <w:rPr>
                <w:b w:val="false"/>
                <w:bCs w:val="false"/>
              </w:rPr>
              <w:t xml:space="preserve">Agregar 'Vía sonda' como opción fija, y 'Otra' que abre una ventana para escribir texto libre y sumarlo automáticamente a las opciones futuras.</w:t>
            </w:r>
          </w:p>
        </w:tc>
        <w:tc>
          <w:tcPr>
            <w:tcW w:type="dxa" w:w="1500"/>
            <w:vAlign w:val="center"/>
          </w:tcPr>
          <w:p>
            <w:r>
              <w:rPr>
                <w:b w:val="false"/>
                <w:bCs w:val="false"/>
              </w:rPr>
              <w:t xml:space="preserve">Mismo patrón que 'Pólizas' (Pacientes) y 'Especialidad' (Médicos) — ver nota transversal.</w:t>
            </w:r>
          </w:p>
        </w:tc>
      </w:tr>
    </w:tbl>
    <w:p>
      <w:r>
        <w:rPr>
          <w:b w:val="0"/>
        </w:rPr>
        <w:t>✅ COMPLETADA el 2026-07-16 (commit 41c4211, migración 0010): "Dosis" renombrado a "Dosis diaria"; Frecuencia con las 5 opciones fijas del plan; "Horarios de toma" con hora + dosis por horario, filas auto-generadas según frecuencia, primer horario editable y siguientes recalculados automáticamente — decisión explícita del usuario: cambiar el horario base SIEMPRE recalcula todos los siguientes, incluso sobre ediciones manuales previas. Vía de administración con "Vía sonda" fija y "Otra" extensible (vía extensibleCatalog.js). Migración 0010 remapea de forma conservadora solo las frecuencias viejas con equivalencia clara.</w:t>
      </w:r>
    </w:p>
    <w:p>
      <w:pPr>
        <w:pStyle w:val="Heading2"/>
        <w:spacing w:after="120" w:before="240"/>
      </w:pPr>
      <w:r>
        <w:t xml:space="preserve">Médicos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1400"/>
      </w:tblGrid>
      <w:tr>
        <w:tc>
          <w:tcPr>
            <w:tcW w:type="dxa" w:w="2400"/>
            <w:shd w:fill="F2F2F2" w:val="clear"/>
            <w:vAlign w:val="center"/>
          </w:tcPr>
          <w:p>
            <w:r>
              <w:rPr>
                <w:b/>
                <w:bCs/>
              </w:rPr>
              <w:t xml:space="preserve">Ítem</w:t>
            </w:r>
          </w:p>
        </w:tc>
        <w:tc>
          <w:tcPr>
            <w:tcW w:type="dxa" w:w="2600"/>
            <w:shd w:fill="F2F2F2" w:val="clear"/>
            <w:vAlign w:val="center"/>
          </w:tcPr>
          <w:p>
            <w:r>
              <w:rPr>
                <w:b/>
                <w:bCs/>
              </w:rPr>
              <w:t xml:space="preserve">Qué pasa hoy</w:t>
            </w:r>
          </w:p>
        </w:tc>
        <w:tc>
          <w:tcPr>
            <w:tcW w:type="dxa" w:w="2600"/>
            <w:shd w:fill="F2F2F2" w:val="clear"/>
            <w:vAlign w:val="center"/>
          </w:tcPr>
          <w:p>
            <w:r>
              <w:rPr>
                <w:b/>
                <w:bCs/>
              </w:rPr>
              <w:t xml:space="preserve">Qué se espera</w:t>
            </w:r>
          </w:p>
        </w:tc>
        <w:tc>
          <w:tcPr>
            <w:tcW w:type="dxa" w:w="1400"/>
            <w:shd w:fill="F2F2F2" w:val="clear"/>
            <w:vAlign w:val="center"/>
          </w:tcPr>
          <w:p>
            <w:r>
              <w:rPr>
                <w:b/>
                <w:bCs/>
              </w:rPr>
              <w:t xml:space="preserve">Nota técnica</w:t>
            </w:r>
          </w:p>
        </w:tc>
      </w:tr>
      <w:tr>
        <w:tc>
          <w:tcPr>
            <w:tcW w:type="dxa" w:w="2400"/>
            <w:vAlign w:val="center"/>
          </w:tcPr>
          <w:p>
            <w:r>
              <w:rPr>
                <w:b w:val="false"/>
                <w:bCs w:val="false"/>
              </w:rPr>
              <w:t xml:space="preserve">Especialidad</w:t>
            </w:r>
          </w:p>
        </w:tc>
        <w:tc>
          <w:tcPr>
            <w:tcW w:type="dxa" w:w="2600"/>
            <w:vAlign w:val="center"/>
          </w:tcPr>
          <w:p>
            <w:r>
              <w:rPr>
                <w:b w:val="false"/>
                <w:bCs w:val="false"/>
              </w:rPr>
              <w:t xml:space="preserve">Lista limitada, sin forma de agregar nuevas.</w:t>
            </w:r>
          </w:p>
        </w:tc>
        <w:tc>
          <w:tcPr>
            <w:tcW w:type="dxa" w:w="2600"/>
            <w:vAlign w:val="center"/>
          </w:tcPr>
          <w:p>
            <w:r>
              <w:rPr>
                <w:b w:val="false"/>
                <w:bCs w:val="false"/>
              </w:rPr>
              <w:t xml:space="preserve">Al elegir 'Otra', abrir un cuadro de diálogo para escribir la especialidad manualmente y sumarla a las opciones futuras.</w:t>
            </w:r>
          </w:p>
        </w:tc>
        <w:tc>
          <w:tcPr>
            <w:tcW w:type="dxa" w:w="1400"/>
            <w:vAlign w:val="center"/>
          </w:tcPr>
          <w:p>
            <w:r>
              <w:rPr>
                <w:b w:val="false"/>
                <w:bCs w:val="false"/>
              </w:rPr>
              <w:t xml:space="preserve">Tercer caso del mismo patrón 'Otra → texto libre → catálogo extensible' (junto con Pólizas y Vía de administración) — ver nota transversal.</w:t>
            </w:r>
          </w:p>
        </w:tc>
      </w:tr>
      <w:tr>
        <w:tc>
          <w:tcPr>
            <w:tcW w:type="dxa" w:w="2400"/>
            <w:vAlign w:val="center"/>
          </w:tcPr>
          <w:p>
            <w:r>
              <w:rPr>
                <w:b w:val="false"/>
                <w:bCs w:val="false"/>
              </w:rPr>
              <w:t xml:space="preserve">Número de tarjeta profesional</w:t>
            </w:r>
          </w:p>
        </w:tc>
        <w:tc>
          <w:tcPr>
            <w:tcW w:type="dxa" w:w="2600"/>
            <w:vAlign w:val="center"/>
          </w:tcPr>
          <w:p>
            <w:r>
              <w:rPr>
                <w:b w:val="false"/>
                <w:bCs w:val="false"/>
              </w:rPr>
              <w:t xml:space="preserve">No existe el campo.</w:t>
            </w:r>
          </w:p>
        </w:tc>
        <w:tc>
          <w:tcPr>
            <w:tcW w:type="dxa" w:w="2600"/>
            <w:vAlign w:val="center"/>
          </w:tcPr>
          <w:p>
            <w:r>
              <w:rPr>
                <w:b w:val="false"/>
                <w:bCs w:val="false"/>
              </w:rPr>
              <w:t xml:space="preserve">Nuevo campo debajo del nombre del médico.</w:t>
            </w:r>
          </w:p>
        </w:tc>
        <w:tc>
          <w:tcPr>
            <w:tcW w:type="dxa" w:w="1400"/>
            <w:vAlign w:val="center"/>
          </w:tcPr>
          <w:p>
            <w:r>
              <w:rPr>
                <w:b w:val="false"/>
                <w:bCs w:val="false"/>
              </w:rPr>
              <w:t xml:space="preserve">Columna nueva en la tabla 'doctors'.</w:t>
            </w:r>
          </w:p>
        </w:tc>
      </w:tr>
    </w:tbl>
    <w:p>
      <w:r>
        <w:rPr>
          <w:b w:val="0"/>
        </w:rPr>
        <w:t>✅ COMPLETADA el 2026-07-16 (commit 97c2115, migración 0011): Especialidad con "Otra" extensible (vía extensibleCatalog.js) y nuevo campo "Número de tarjeta profesional" debajo del nombre.</w:t>
      </w:r>
    </w:p>
    <w:p>
      <w:pPr>
        <w:pStyle w:val="Heading2"/>
        <w:spacing w:after="120" w:before="240"/>
      </w:pPr>
      <w:r>
        <w:t xml:space="preserve">Nota transversal — patrón 'Otra' extensible</w:t>
      </w:r>
    </w:p>
    <w:p>
      <w:pPr>
        <w:spacing w:after="120"/>
      </w:pPr>
      <w:r>
        <w:rPr>
          <w:b w:val="false"/>
          <w:bCs w:val="false"/>
          <w:i w:val="false"/>
          <w:iCs w:val="false"/>
        </w:rPr>
        <w:t xml:space="preserve">Tres módulos distintos (Pólizas en Pacientes, Vía de administración en Medicamentos, Especialidad en Médicos) piden el mismo mecanismo: una lista desplegable con opción 'Otra' que abre un campo de texto libre y agrega la entrada al catálogo para futuras cargas. Se recomienda construir un único componente/mecanismo reutilizable para los tres casos, en vez de tres implementaciones separadas — mismo criterio de UX, menos código duplicado y mantenimiento más simple a futuro.</w:t>
      </w:r>
    </w:p>
    <w:p>
      <w:r>
        <w:rPr>
          <w:b w:val="0"/>
        </w:rPr>
        <w:t>✅ Completado el 2026-07-16 (commit 6ef6bbc): las tres implementaciones del patrón "Otra… extensible" (Pólizas en Pacientes, Vía de administración en Medicamentos, Especialidad en Médicos) ahora comparten el mismo helper src/lib/extensibleCatalog.js (catalogOptionsHtml / resolveCatalogValue / OTRA_VALUE). Pólizas dejó su implementación inline propia sin cambios de comportamiento para el usuario.</w:t>
      </w:r>
    </w:p>
    <w:p>
      <w:pPr>
        <w:pStyle w:val="Heading2"/>
        <w:spacing w:after="120" w:before="240"/>
      </w:pPr>
      <w:r>
        <w:t xml:space="preserve">Cambio transversal — imágenes y documentos ampliables/descargables</w:t>
      </w:r>
    </w:p>
    <w:p>
      <w:pPr>
        <w:spacing w:after="120"/>
      </w:pPr>
      <w:r>
        <w:rPr>
          <w:b w:val="false"/>
          <w:bCs w:val="false"/>
          <w:i w:val="false"/>
          <w:iCs w:val="false"/>
        </w:rPr>
        <w:t xml:space="preserve">Aplica a todos los módulos con contenido subido como imagen o documento: carnets de pólizas (Pacientes), historia clínica/adjuntos (Órdenes), y cualquier otro que exista o se agregue.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2F2F2" w:val="clear"/>
            <w:vAlign w:val="center"/>
          </w:tcPr>
          <w:p>
            <w:r>
              <w:rPr>
                <w:b/>
                <w:bCs/>
              </w:rPr>
              <w:t xml:space="preserve">Dónde</w:t>
            </w:r>
          </w:p>
        </w:tc>
        <w:tc>
          <w:tcPr>
            <w:tcW w:type="dxa" w:w="6200"/>
            <w:shd w:fill="F2F2F2" w:val="clear"/>
            <w:vAlign w:val="center"/>
          </w:tcPr>
          <w:p>
            <w:r>
              <w:rPr>
                <w:b/>
                <w:bCs/>
              </w:rPr>
              <w:t xml:space="preserve">Qué se espera</w:t>
            </w:r>
          </w:p>
        </w:tc>
      </w:tr>
      <w:tr>
        <w:tc>
          <w:tcPr>
            <w:tcW w:type="dxa" w:w="3200"/>
            <w:vAlign w:val="center"/>
          </w:tcPr>
          <w:p>
            <w:r>
              <w:rPr>
                <w:b w:val="false"/>
                <w:bCs w:val="false"/>
              </w:rPr>
              <w:t xml:space="preserve">Cualquier imagen o documento almacenado en la app</w:t>
            </w:r>
          </w:p>
        </w:tc>
        <w:tc>
          <w:tcPr>
            <w:tcW w:type="dxa" w:w="6200"/>
            <w:vAlign w:val="center"/>
          </w:tcPr>
          <w:p>
            <w:r>
              <w:rPr>
                <w:b w:val="false"/>
                <w:bCs w:val="false"/>
              </w:rPr>
              <w:t xml:space="preserve">Poder hacer clic para ampliar (lightbox/modal) y un botón de descarga. Implementar como componente reutilizable único, no repetido por módulo.</w:t>
            </w:r>
          </w:p>
        </w:tc>
      </w:tr>
    </w:tbl>
    <w:p>
      <w:r>
        <w:rPr>
          <w:b w:val="0"/>
        </w:rPr>
        <w:t>✅ Completo el 2026-07-16 (commits d420668 y db4fc95): además de tomar foto desde el navegador y convertir automáticamente a PDF, se implementó el visor de adjuntos en ventana sobrepuesta (src/lib/viewer.js) — barra superior fija con descarga y cierre, zoom 100–300% sin salir de la app, y arrastre para desplazar el documento ampliado. Reemplaza el viejo window.open a pestaña nueva en todos los módulos que suben imágenes o documentos.</w:t>
      </w:r>
    </w:p>
    <w:p>
      <w:pPr>
        <w:pStyle w:val="Heading2"/>
      </w:pPr>
      <w:r>
        <w:rPr>
          <w:b w:val="0"/>
        </w:rPr>
        <w:t>Bug crítico de producción encontrado y corregido durante P1.5</w:t>
      </w:r>
    </w:p>
    <w:p>
      <w:r>
        <w:rPr>
          <w:b w:val="0"/>
        </w:rPr>
        <w:t>Al guardar una orden con una foto recién convertida a PDF, Supabase Storage rechazaba la subida con "mime type application/octet-stream is not supported". Causa raíz: dataUrlToBlob() en src/lib/files.js parseaba el header de la data-URL con una regex que exigía ";base64" pegado al mime type, pero el datauristring real que produce jsPDF trae un parámetro intermedio (data:application/pdf;filename=x.pdf;base64,...) que esa regex no reconocía — el Blob quedaba tipado application/octet-stream, y @supabase/storage-js usa el .type real del Blob al subir, ignorando la opción contentType cuando el payload es un Blob (confirmado leyendo su fuente). Corregido cambiando la regex a "toma todo antes del primer ; o ," (commit fb4e042). Afectaba a TODA conversión foto→PDF desde que se introdujo con Órdenes médicas — verificado con Playwright contra el formato real de jsPDF, no con un mock. Un segundo error reportado después del deploy del fix ("Failed to load module script... MIME type text/html") no era un bug de código: es el patrón clásico de chunk de Vite con nombre hasheado + rewrite SPA de Vercel tras un deploy nuevo — se resolvió con un hard refresh del navegador, sin cambios de código.</w:t>
      </w:r>
    </w:p>
    <w:p>
      <w:pPr>
        <w:pStyle w:val="Heading1"/>
        <w:spacing w:after="150" w:before="300"/>
      </w:pPr>
      <w:r>
        <w:t>Prioridad P2 — Calidad para el público (4/4 completadas)</w:t>
      </w:r>
    </w:p>
    <w:p>
      <w:pPr>
        <w:spacing w:after="120"/>
      </w:pPr>
      <w:r>
        <w:rPr>
          <w:b w:val="false"/>
          <w:bCs w:val="false"/>
          <w:i w:val="false"/>
          <w:iCs w:val="false"/>
        </w:rPr>
        <w:t>Las cuatro tareas numeradas quedaron completadas el 2026-07-16: responsive móvil (el sidebar quedaba oculto sin reemplazo en pantallas ≤768px; se agregó un botón de menú que abre un drawer superpuesto), eliminación de SaludFamilia.html legacy (HTML monolítico de una versión previa, no referenciado por nada), aviso médico y de privacidad (src/lib/legal.js, accesible desde login y desde una card en la app), y estados vacíos y manejo de errores consistente (#11, commit a515d18): se creó src/lib/emptyState.js como helper compartido para unificar el markup de "empty state" entre módulos y se agregó try/catch con estado de error y reintento en el render() de los ocho módulos con datos propios (Pacientes, Centros, Médicos, Medicamentos, Signos vitales, Órdenes, Dashboard, Familia), además de blindar el enrutador de main.js contra errores no capturados al cambiar de vista.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200"/>
        <w:gridCol w:w="4700"/>
      </w:tblGrid>
      <w:tr>
        <w:tc>
          <w:tcPr>
            <w:tcW w:type="dxa" w:w="500"/>
            <w:shd w:fill="F2F2F2" w:val="clear"/>
            <w:vAlign w:val="center"/>
          </w:tcPr>
          <w:p>
            <w:r>
              <w:rPr>
                <w:b/>
                <w:bCs/>
              </w:rPr>
              <w:t xml:space="preserve">#</w:t>
            </w:r>
          </w:p>
        </w:tc>
        <w:tc>
          <w:tcPr>
            <w:tcW w:type="dxa" w:w="3600"/>
            <w:shd w:fill="F2F2F2" w:val="clear"/>
            <w:vAlign w:val="center"/>
          </w:tcPr>
          <w:p>
            <w:r>
              <w:rPr>
                <w:b/>
                <w:bCs/>
              </w:rPr>
              <w:t xml:space="preserve">Tarea</w:t>
            </w:r>
          </w:p>
        </w:tc>
        <w:tc>
          <w:tcPr>
            <w:tcW w:type="dxa" w:w="1200"/>
            <w:shd w:fill="F2F2F2" w:val="clear"/>
            <w:vAlign w:val="center"/>
          </w:tcPr>
          <w:p>
            <w:r>
              <w:rPr>
                <w:b/>
                <w:bCs/>
              </w:rPr>
              <w:t xml:space="preserve">Agente</w:t>
            </w:r>
          </w:p>
        </w:tc>
        <w:tc>
          <w:tcPr>
            <w:tcW w:type="dxa" w:w="4700"/>
            <w:shd w:fill="F2F2F2" w:val="clear"/>
            <w:vAlign w:val="center"/>
          </w:tcPr>
          <w:p>
            <w:r>
              <w:rPr>
                <w:b/>
                <w:bCs/>
              </w:rPr>
              <w:t xml:space="preserve">Por qué</w:t>
            </w:r>
          </w:p>
        </w:tc>
      </w:tr>
      <w:tr>
        <w:tc>
          <w:tcPr>
            <w:tcW w:type="dxa" w:w="500"/>
            <w:vAlign w:val="center"/>
          </w:tcPr>
          <w:p>
            <w:r>
              <w:rPr>
                <w:b w:val="false"/>
                <w:bCs w:val="false"/>
              </w:rPr>
              <w:t xml:space="preserve">9</w:t>
            </w:r>
          </w:p>
        </w:tc>
        <w:tc>
          <w:tcPr>
            <w:tcW w:type="dxa" w:w="3600"/>
            <w:vAlign w:val="center"/>
          </w:tcPr>
          <w:p>
            <w:r>
              <w:rPr>
                <w:b w:val="false"/>
                <w:bCs w:val="false"/>
              </w:rPr>
              <w:t xml:space="preserve">Responsive móvil</w:t>
            </w:r>
          </w:p>
        </w:tc>
        <w:tc>
          <w:tcPr>
            <w:tcW w:type="dxa" w:w="1200"/>
            <w:vAlign w:val="center"/>
          </w:tcPr>
          <w:p>
            <w:r>
              <w:rPr>
                <w:b w:val="false"/>
                <w:bCs w:val="false"/>
              </w:rPr>
              <w:t xml:space="preserve">Sonnet</w:t>
            </w:r>
          </w:p>
        </w:tc>
        <w:tc>
          <w:tcPr>
            <w:tcW w:type="dxa" w:w="4700"/>
            <w:vAlign w:val="center"/>
          </w:tcPr>
          <w:p>
            <w:r>
              <w:rPr>
                <w:b w:val="false"/>
                <w:bCs w:val="false"/>
              </w:rPr>
              <w:t xml:space="preserve">Una app de salud familiar se usa sobre todo desde el teléfono.</w:t>
            </w:r>
          </w:p>
          <w:p>
            <w:r>
              <w:t>✅ Completada el 2026-07-16 (commit c9c3477): drawer de navegación en móvil con backdrop, botón de menú en el header.</w:t>
            </w:r>
          </w:p>
        </w:tc>
      </w:tr>
      <w:tr>
        <w:tc>
          <w:tcPr>
            <w:tcW w:type="dxa" w:w="500"/>
            <w:vAlign w:val="center"/>
          </w:tcPr>
          <w:p>
            <w:r>
              <w:rPr>
                <w:b w:val="false"/>
                <w:bCs w:val="false"/>
              </w:rPr>
              <w:t xml:space="preserve">10</w:t>
            </w:r>
          </w:p>
        </w:tc>
        <w:tc>
          <w:tcPr>
            <w:tcW w:type="dxa" w:w="3600"/>
            <w:vAlign w:val="center"/>
          </w:tcPr>
          <w:p>
            <w:r>
              <w:rPr>
                <w:b w:val="false"/>
                <w:bCs w:val="false"/>
              </w:rPr>
              <w:t xml:space="preserve">Eliminar SaludFamilia.html legacy y actualizar README</w:t>
            </w:r>
          </w:p>
        </w:tc>
        <w:tc>
          <w:tcPr>
            <w:tcW w:type="dxa" w:w="1200"/>
            <w:vAlign w:val="center"/>
          </w:tcPr>
          <w:p>
            <w:r>
              <w:rPr>
                <w:b w:val="false"/>
                <w:bCs w:val="false"/>
              </w:rPr>
              <w:t xml:space="preserve">Sonnet</w:t>
            </w:r>
          </w:p>
        </w:tc>
        <w:tc>
          <w:tcPr>
            <w:tcW w:type="dxa" w:w="4700"/>
            <w:vAlign w:val="center"/>
          </w:tcPr>
          <w:p>
            <w:r>
              <w:rPr>
                <w:b w:val="false"/>
                <w:bCs w:val="false"/>
              </w:rPr>
              <w:t xml:space="preserve">Limpieza; queda recuperable en el historial de git.</w:t>
            </w:r>
          </w:p>
          <w:p>
            <w:r>
              <w:t>✅ Completada el 2026-07-16 (commit 1292cfb): HTML legacy eliminado, README actualizado con la arquitectura real.</w:t>
            </w:r>
          </w:p>
        </w:tc>
      </w:tr>
      <w:tr>
        <w:tc>
          <w:tcPr>
            <w:tcW w:type="dxa" w:w="500"/>
            <w:vAlign w:val="center"/>
          </w:tcPr>
          <w:p>
            <w:r>
              <w:rPr>
                <w:b w:val="false"/>
                <w:bCs w:val="false"/>
              </w:rPr>
              <w:t xml:space="preserve">11</w:t>
            </w:r>
          </w:p>
        </w:tc>
        <w:tc>
          <w:tcPr>
            <w:tcW w:type="dxa" w:w="3600"/>
            <w:vAlign w:val="center"/>
          </w:tcPr>
          <w:p>
            <w:r>
              <w:rPr>
                <w:b w:val="false"/>
                <w:bCs w:val="false"/>
              </w:rPr>
              <w:t xml:space="preserve">Estados vacíos y manejo de errores consistente</w:t>
            </w:r>
          </w:p>
        </w:tc>
        <w:tc>
          <w:tcPr>
            <w:tcW w:type="dxa" w:w="1200"/>
            <w:vAlign w:val="center"/>
          </w:tcPr>
          <w:p>
            <w:r>
              <w:rPr>
                <w:b w:val="false"/>
                <w:bCs w:val="false"/>
              </w:rPr>
              <w:t xml:space="preserve">Sonnet</w:t>
            </w:r>
          </w:p>
        </w:tc>
        <w:tc>
          <w:tcPr>
            <w:tcW w:type="dxa" w:w="4700"/>
            <w:vAlign w:val="center"/>
          </w:tcPr>
          <w:p>
            <w:r>
              <w:rPr>
                <w:b w:val="false"/>
                <w:bCs w:val="false"/>
              </w:rPr>
              <w:t xml:space="preserve">Homogeneizar UX en los módulos.</w:t>
            </w:r>
          </w:p>
          <w:p>
            <w:r>
              <w:t>✅ Completada el 2026-07-16 (commit a515d18): helper compartido src/lib/emptyState.js + try/catch con estado de error y reintento en los ocho módulos con datos propios.</w:t>
            </w:r>
          </w:p>
        </w:tc>
      </w:tr>
      <w:tr>
        <w:tc>
          <w:tcPr>
            <w:tcW w:type="dxa" w:w="500"/>
            <w:vAlign w:val="center"/>
          </w:tcPr>
          <w:p>
            <w:r>
              <w:rPr>
                <w:b w:val="false"/>
                <w:bCs w:val="false"/>
              </w:rPr>
              <w:t xml:space="preserve">12</w:t>
            </w:r>
          </w:p>
        </w:tc>
        <w:tc>
          <w:tcPr>
            <w:tcW w:type="dxa" w:w="3600"/>
            <w:vAlign w:val="center"/>
          </w:tcPr>
          <w:p>
            <w:r>
              <w:rPr>
                <w:b w:val="false"/>
                <w:bCs w:val="false"/>
              </w:rPr>
              <w:t xml:space="preserve">Aviso de privacidad y disclaimer médico</w:t>
            </w:r>
          </w:p>
        </w:tc>
        <w:tc>
          <w:tcPr>
            <w:tcW w:type="dxa" w:w="1200"/>
            <w:vAlign w:val="center"/>
          </w:tcPr>
          <w:p>
            <w:r>
              <w:rPr>
                <w:b w:val="false"/>
                <w:bCs w:val="false"/>
              </w:rPr>
              <w:t xml:space="preserve">Sonnet</w:t>
            </w:r>
          </w:p>
        </w:tc>
        <w:tc>
          <w:tcPr>
            <w:tcW w:type="dxa" w:w="4700"/>
            <w:vAlign w:val="center"/>
          </w:tcPr>
          <w:p>
            <w:r>
              <w:rPr>
                <w:b w:val="false"/>
                <w:bCs w:val="false"/>
              </w:rPr>
              <w:t xml:space="preserve">Obligatorio al almacenar y publicar datos de salud.</w:t>
            </w:r>
          </w:p>
          <w:p>
            <w:r>
              <w:t>✅ Completada el 2026-07-16 (commit d14ecbf): aviso accesible desde el login y desde una card en la app.</w:t>
            </w:r>
          </w:p>
        </w:tc>
      </w:tr>
    </w:tbl>
    <w:p>
      <w:pPr>
        <w:pStyle w:val="Heading1"/>
        <w:spacing w:after="150" w:before="300"/>
      </w:pPr>
      <w:r>
        <w:t>MI AUDITORIA — backlog adicional de Ficha de paciente y Órdenes (completado el 2026-07-16)</w:t>
      </w:r>
    </w:p>
    <w:p>
      <w:pPr>
        <w:spacing w:after="120"/>
      </w:pPr>
      <w:r>
        <w:rPr>
          <w:b w:val="false"/>
          <w:bCs w:val="false"/>
          <w:i w:val="false"/>
          <w:iCs w:val="false"/>
        </w:rPr>
        <w:t>Backlog independiente del plan original y de P1.5, relevado directamente por la usuaria tras usar la app en producción ("MI AUDITORIA"). Cubre 5 ajustes puntuales en Ficha de paciente y una restructuración de 5 partes en Órdenes médicas. Se completaron y verificaron las 10 tareas en esta sesión, con tres decisiones explícitas confirmadas con el usuario antes de implementar (ver notas en cada ítem).</w:t>
      </w:r>
    </w:p>
    <w:p>
      <w:pPr>
        <w:pStyle w:val="Heading2"/>
        <w:spacing w:after="120" w:before="240"/>
      </w:pPr>
      <w:r>
        <w:t>Pacientes (5/5 completadas)</w:t>
      </w:r>
    </w:p>
    <w:p>
      <w:pPr>
        <w:pStyle w:val="ListParagraph"/>
        <w:numPr>
          <w:ilvl w:val="0"/>
          <w:numId w:val="1"/>
        </w:numPr>
        <w:spacing w:after="80"/>
      </w:pPr>
      <w:r>
        <w:t>#1 — Avatar del paciente: foto de perfil subida y redimensionada en el cliente antes de guardar en Storage (bucket "adjuntos"); a diferencia de los adjuntos de órdenes/pólizas, no se convierte a PDF. Migración 0012 (columna patients.foto, jsonb). Commit f31e0ac.</w:t>
      </w:r>
    </w:p>
    <w:p>
      <w:pPr>
        <w:pStyle w:val="ListParagraph"/>
        <w:numPr>
          <w:ilvl w:val="0"/>
          <w:numId w:val="1"/>
        </w:numPr>
        <w:spacing w:after="80"/>
      </w:pPr>
      <w:r>
        <w:t>#2 — Parentesco: se agregó la opción "Pareja/Cónyuge" al desplegable de contacto de emergencia. Commit 3dd0368.</w:t>
      </w:r>
    </w:p>
    <w:p>
      <w:pPr>
        <w:pStyle w:val="ListParagraph"/>
        <w:numPr>
          <w:ilvl w:val="0"/>
          <w:numId w:val="1"/>
        </w:numPr>
        <w:spacing w:after="80"/>
      </w:pPr>
      <w:r>
        <w:t>#3 — Pólizas: nuevo campo de texto libre "Nombre de la aseguradora" — no se modeló como catálogo extensible, es dato puntual de cada póliza, no una clasificación reutilizable. Migración 0013 (columna patient_policies.aseguradora). Commit 3dd0368.</w:t>
      </w:r>
    </w:p>
    <w:p>
      <w:pPr>
        <w:pStyle w:val="ListParagraph"/>
        <w:numPr>
          <w:ilvl w:val="0"/>
          <w:numId w:val="1"/>
        </w:numPr>
        <w:spacing w:after="80"/>
      </w:pPr>
      <w:r>
        <w:t>#4 — Modo vista: ventana sobrepuesta de solo lectura al abrir la ficha del paciente, con barra superior fija (no se mueve al hacer scroll) y botón Editar junto a Cerrar — mismo patrón ya usado en Órdenes. Commit 2d95efa.</w:t>
      </w:r>
    </w:p>
    <w:p>
      <w:pPr>
        <w:pStyle w:val="ListParagraph"/>
        <w:numPr>
          <w:ilvl w:val="0"/>
          <w:numId w:val="1"/>
        </w:numPr>
        <w:spacing w:after="80"/>
      </w:pPr>
      <w:r>
        <w:t>#5 — Condiciones crónicas: checkbox que habilita un desplegable "Añadir diagnóstico" en modo manual (código CIE10 ya conocido). Decisión tomada con el usuario: por ahora solo carga manual — la búsqueda por código/nombre contra el catálogo CIE10 (PDF de la OPS/PAHO) queda diferida, ya que ese documento no es consultable en vivo por código y requiere definir fuente de datos. Migración 0014 (tabla patient_diagnoses). Commit fdbd65a.</w:t>
      </w:r>
    </w:p>
    <w:p>
      <w:pPr>
        <w:pStyle w:val="Heading2"/>
        <w:spacing w:after="120" w:before="240"/>
      </w:pPr>
      <w:r>
        <w:t>Órdenes médicas (5/5 completadas)</w:t>
      </w:r>
    </w:p>
    <w:p>
      <w:pPr>
        <w:pStyle w:val="ListParagraph"/>
        <w:numPr>
          <w:ilvl w:val="0"/>
          <w:numId w:val="1"/>
        </w:numPr>
        <w:spacing w:after="80"/>
      </w:pPr>
      <w:r>
        <w:t>#1 — Bloqueo de eliminación: una orden solo puede eliminarse mientras sigue en la etapa A (recién creada); a partir de ahí solo es editable. Se revalida contra el servidor al momento de eliminar, no solo el botón visible en la tarjeta. Commit d385a2d.</w:t>
      </w:r>
    </w:p>
    <w:p>
      <w:pPr>
        <w:pStyle w:val="ListParagraph"/>
        <w:numPr>
          <w:ilvl w:val="0"/>
          <w:numId w:val="1"/>
        </w:numPr>
        <w:spacing w:after="80"/>
      </w:pPr>
      <w:r>
        <w:t>#2 — Filtros expandidos: etapa, especialidad, médico y tipo de orden, todos "extensibles" — cada selector solo lista las opciones presentes entre las órdenes de la etapa actualmente filtrada — más un filtro de rango de fechas. Commit 30666f5.</w:t>
      </w:r>
    </w:p>
    <w:p>
      <w:pPr>
        <w:pStyle w:val="ListParagraph"/>
        <w:numPr>
          <w:ilvl w:val="0"/>
          <w:numId w:val="1"/>
        </w:numPr>
        <w:spacing w:after="80"/>
      </w:pPr>
      <w:r>
        <w:t>#3 — Modo vista: mismo patrón de ventana sobrepuesta de solo lectura que Pacientes #4, con botón "Actualizar" que abre el asistente directo en la etapa pendiente. Commit 0114249.</w:t>
      </w:r>
    </w:p>
    <w:p>
      <w:pPr>
        <w:pStyle w:val="ListParagraph"/>
        <w:numPr>
          <w:ilvl w:val="0"/>
          <w:numId w:val="1"/>
        </w:numPr>
        <w:spacing w:after="80"/>
      </w:pPr>
      <w:r>
        <w:t>#4 — Restructuración de tipo de orden: se elimina "Insumos Médicos" y "Medicamentos" pasa a llamarse "Medicamentos/Insumos/Terapias" (las órdenes existentes de ambos tipos se migraron automáticamente, sin pérdida de datos — verificado contra producción antes de aplicar). Este tipo reemplaza la etapa "Autorización" (un registro) por "Autorizaciones": se declara un número de meses y se genera una fila por mes (número de autorización, fecha de inicio, fecha de vencimiento, cantidad, entregado) en la nueva tabla order_authorizations. Nunca pasa por la etapa Cita — queda bloqueada en la UI — y se finaliza con un botón manual. "Centro Médico" se renombra a "Proveedor" en este flujo (mismo directorio). Dos decisiones tomadas con el usuario: una fila por mes (no un dato meramente informativo) y botón manual de finalizado (no automático, ya que este tipo no pasa por Cita). Migración 0015 (columna medical_orders.auth_meses, tabla order_authorizations, ajuste de la función order_stage()). Commit 67e7672.</w:t>
      </w:r>
    </w:p>
    <w:p>
      <w:pPr>
        <w:pStyle w:val="ListParagraph"/>
        <w:numPr>
          <w:ilvl w:val="0"/>
          <w:numId w:val="1"/>
        </w:numPr>
        <w:spacing w:after="80"/>
      </w:pPr>
      <w:r>
        <w:t>#5 — Pestaña Flujo: nueva vista de línea de tiempo junto a "Lista", que agrupa en un bloque las órdenes del mismo día + mismo médico tratante (mismo médico implica misma especialidad); en colapsado muestra solo especialidad y fecha, y al expandir muestra el médico y el detalle completo de lo ordenado ese día, con acceso directo a cada orden. Commit 927cbd9.</w:t>
      </w:r>
    </w:p>
    <w:p>
      <w:pPr>
        <w:spacing w:after="120"/>
      </w:pPr>
      <w:r>
        <w:rPr>
          <w:b w:val="false"/>
          <w:bCs w:val="false"/>
          <w:i w:val="false"/>
          <w:iCs w:val="false"/>
        </w:rPr>
        <w:t>Verificación: cada ítem se probó con Playwright reconstruyendo el HTML real de los componentes (varios no están exportados y requieren una sesión autenticada) para no escribir datos de prueba en el proyecto de Supabase de producción; la migración 0015 se verificó además contra los datos reales antes de aplicarse (solo 4 órdenes existentes, ninguna con datos de cita/autorización ya cargados — fusión sin pérdida confirmada por SQL). Los 10 commits se entregaron por bundles de git (sin conector de GitHub disponible en este entorno) y ya están fusionados en origin/main.</w:t>
      </w:r>
    </w:p>
    <w:p>
      <w:pPr>
        <w:pStyle w:val="Heading1"/>
        <w:spacing w:after="150" w:before="300"/>
      </w:pPr>
      <w:r>
        <w:t>Segunda auditoría — Ficha de paciente (completada 2026-07-17)</w:t>
      </w:r>
    </w:p>
    <w:p>
      <w:pPr>
        <w:spacing w:after="120"/>
      </w:pPr>
      <w:r>
        <w:rPr>
          <w:b w:val="false"/>
          <w:bCs w:val="false"/>
          <w:i w:val="false"/>
          <w:iCs w:val="false"/>
        </w:rPr>
        <w:t>Cuatro hallazgos que la usuaria reportó tras una revisión rápida de la app en producción (independiente del plan original, de P1.5 y de MI AUDITORIA). Commit 0215e0b + migración 0016.</w:t>
      </w:r>
    </w:p>
    <w:p>
      <w:pPr>
        <w:pStyle w:val="ListParagraph"/>
        <w:numPr>
          <w:ilvl w:val="0"/>
          <w:numId w:val="1"/>
        </w:numPr>
        <w:spacing w:after="80"/>
      </w:pPr>
      <w:r>
        <w:t>Recorte de imagen al subir: la foto de perfil del paciente y el carnet de una póliza ahora pueden recortarse/encuadrarse antes de guardarse. Nuevo helper compartido src/lib/imageCropper.js (ventana sobrepuesta propia, arrastre + zoom 100–300%), marco circular para el avatar y tipo tarjeta (aspecto 1.586) para el carnet.</w:t>
      </w:r>
    </w:p>
    <w:p>
      <w:pPr>
        <w:pStyle w:val="ListParagraph"/>
        <w:numPr>
          <w:ilvl w:val="0"/>
          <w:numId w:val="1"/>
        </w:numPr>
        <w:spacing w:after="80"/>
      </w:pPr>
      <w:r>
        <w:t>Editar pólizas y diagnósticos: antes solo se podían eliminar y volver a crear; ahora cada ítem tiene un botón 'Editar' con el mismo mini-formulario precargado. patient_diagnoses no tenía política de UPDATE (el diseño original asumía solo agregar/eliminar) — se agregó api.updatePatientDiagnosis() y la migración 0016 con la política RLS correspondiente, verificada primero en una transacción con rollback.</w:t>
      </w:r>
    </w:p>
    <w:p>
      <w:pPr>
        <w:pStyle w:val="ListParagraph"/>
        <w:numPr>
          <w:ilvl w:val="0"/>
          <w:numId w:val="1"/>
        </w:numPr>
        <w:spacing w:after="80"/>
      </w:pPr>
      <w:r>
        <w:t>Carnet de póliza ya no se convierte a PDF: si el archivo elegido es una imagen pasa por el recortador y se guarda como imagen; si ya es un PDF escaneado, se sube tal cual.</w:t>
      </w:r>
    </w:p>
    <w:p>
      <w:pPr>
        <w:pStyle w:val="ListParagraph"/>
        <w:numPr>
          <w:ilvl w:val="0"/>
          <w:numId w:val="1"/>
        </w:numPr>
        <w:spacing w:after="80"/>
      </w:pPr>
      <w:r>
        <w:t>Bug corregido — selector de 'Tipo de póliza' atascado en SOAT: el &lt;select&gt; se reconstruía sin recordar la última elección real del usuario. Ahora un estado explícito (pendingPolicyTipo) la conserva entre reconstrucciones.</w:t>
      </w:r>
    </w:p>
    <w:p>
      <w:pPr>
        <w:spacing w:after="120"/>
      </w:pPr>
      <w:r>
        <w:rPr>
          <w:b w:val="false"/>
          <w:bCs w:val="false"/>
          <w:i w:val="false"/>
          <w:iCs w:val="false"/>
        </w:rPr>
        <w:t>Verificación: npm run build limpio y pruebas de interacción con Playwright contra el recortador en aislamiento (zoom, arrastre, cancelar, clamps de zoom, verificación pixel-por-pixel del recorte final). La única escritura contra producción fue la migración 0016 (aditiva), verificada primero con rollback.</w:t>
      </w:r>
    </w:p>
    <w:p>
      <w:pPr>
        <w:pStyle w:val="Heading1"/>
        <w:spacing w:after="150" w:before="300"/>
      </w:pPr>
      <w:r>
        <w:t>Tercera auditoría — Medicamentos (completada 2026-07-17)</w:t>
      </w:r>
    </w:p>
    <w:p>
      <w:pPr>
        <w:spacing w:after="120"/>
      </w:pPr>
      <w:r>
        <w:rPr>
          <w:b w:val="false"/>
          <w:bCs w:val="false"/>
          <w:i w:val="false"/>
          <w:iCs w:val="false"/>
        </w:rPr>
        <w:t>Backlog que la usuaria relevó sobre el área de Medicamentos. Cinco frentes, todos completados en la misma sesión, commit 1dd9c8e + migración 0017.</w:t>
      </w:r>
    </w:p>
    <w:p>
      <w:pPr>
        <w:pStyle w:val="ListParagraph"/>
        <w:numPr>
          <w:ilvl w:val="0"/>
          <w:numId w:val="1"/>
        </w:numPr>
        <w:spacing w:after="80"/>
      </w:pPr>
      <w:r>
        <w:t>Indicación (columna medications.indicacion): texto libre con la enfermedad o síntoma que trata el medicamento — decisión explícita de no enlazarlo al catálogo CIE10 de diagnósticos crónicos. Se muestra en la tarjeta ('Para: …').</w:t>
      </w:r>
    </w:p>
    <w:p>
      <w:pPr>
        <w:pStyle w:val="ListParagraph"/>
        <w:numPr>
          <w:ilvl w:val="0"/>
          <w:numId w:val="1"/>
        </w:numPr>
        <w:spacing w:after="80"/>
      </w:pPr>
      <w:r>
        <w:t>Medicamento controlado (columna medications.controlado, boolean): checkbox en el formulario; los controlados se destacan con badge y acento rojo, y forman el primer grupo de la lista.</w:t>
      </w:r>
    </w:p>
    <w:p>
      <w:pPr>
        <w:pStyle w:val="ListParagraph"/>
        <w:numPr>
          <w:ilvl w:val="0"/>
          <w:numId w:val="1"/>
        </w:numPr>
        <w:spacing w:after="80"/>
      </w:pPr>
      <w:r>
        <w:t>Usos de medicamentos 'a demanda' (tabla nueva med_usage_events, migración 0017, RLS verificada con rollback antes de aplicar): botón USADO en la tarjeta y en un widget nuevo del dashboard; pide la razón del uso (obligatoria) y guarda fecha y hora. Tabla append-only (sin UPDATE — corregir es eliminar y re-registrar).</w:t>
      </w:r>
    </w:p>
    <w:p>
      <w:pPr>
        <w:pStyle w:val="ListParagraph"/>
        <w:numPr>
          <w:ilvl w:val="0"/>
          <w:numId w:val="1"/>
        </w:numPr>
        <w:spacing w:after="80"/>
      </w:pPr>
      <w:r>
        <w:t>Agrupación jerárquica de activos: Medicamentos controlados → Por horario → A demanda (alfabético dentro de cada grupo), más un grupo colapsable de inactivos. Se conserva además el historial de versiones existente por decisión de la usuaria.</w:t>
      </w:r>
    </w:p>
    <w:p>
      <w:pPr>
        <w:pStyle w:val="ListParagraph"/>
        <w:numPr>
          <w:ilvl w:val="0"/>
          <w:numId w:val="1"/>
        </w:numPr>
        <w:spacing w:after="80"/>
      </w:pPr>
      <w:r>
        <w:t>Unificación Órdenes → Medicamento: al marcar como 'entregado' un mes de una orden de tipo Medicamentos/Insumos/Terapias que antes no lo estaba, se ofrece crear un nuevo medicamento precargado con el nombre de la orden.</w:t>
      </w:r>
    </w:p>
    <w:p>
      <w:pPr>
        <w:spacing w:after="120"/>
      </w:pPr>
      <w:r>
        <w:rPr>
          <w:b w:val="false"/>
          <w:bCs w:val="false"/>
          <w:i w:val="false"/>
          <w:iCs w:val="false"/>
        </w:rPr>
        <w:t>Verificación: npm run build limpio y capturas de Playwright de la agrupación completa, el widget del dashboard y el modal de registro de uso. La única escritura contra producción fue la migración 0017 (aditiva), verificada primero con rollback.</w:t>
      </w:r>
    </w:p>
    <w:p>
      <w:pPr>
        <w:pStyle w:val="Heading1"/>
        <w:spacing w:after="150" w:before="300"/>
      </w:pPr>
      <w:r>
        <w:t>Cuarta auditoría — Signos Vitales (completada 2026-07-17)</w:t>
      </w:r>
    </w:p>
    <w:p>
      <w:pPr>
        <w:spacing w:after="120"/>
      </w:pPr>
      <w:r>
        <w:rPr>
          <w:b w:val="false"/>
          <w:bCs w:val="false"/>
          <w:i w:val="false"/>
          <w:iCs w:val="false"/>
        </w:rPr>
        <w:t>Auditoría relevada por la usuaria sobre el módulo de Signos Vitales. Se hizo originalmente en otra conversación que trabajaba sobre una copia local separada; en esta sesión se revisó, se verificó su consistencia con el estado actual del repo (diff de api.js confirmó que no se tocó nada de las auditorías de Medicamentos y Pacientes) y se integró. Commit a9753ff + migración 0018.</w:t>
      </w:r>
    </w:p>
    <w:p>
      <w:pPr>
        <w:pStyle w:val="ListParagraph"/>
        <w:numPr>
          <w:ilvl w:val="0"/>
          <w:numId w:val="1"/>
        </w:numPr>
        <w:spacing w:after="80"/>
      </w:pPr>
      <w:r>
        <w:t>Hora de la toma: campo de hora en el formulario y columna 'Hora' en el historial.</w:t>
      </w:r>
    </w:p>
    <w:p>
      <w:pPr>
        <w:pStyle w:val="ListParagraph"/>
        <w:numPr>
          <w:ilvl w:val="0"/>
          <w:numId w:val="1"/>
        </w:numPr>
        <w:spacing w:after="80"/>
      </w:pPr>
      <w:r>
        <w:t>Edad automática: se calcula sola como los años cumplidos entre la fecha de nacimiento del paciente y la fecha del registro; el campo es de solo lectura (antes se cargaba a mano y casi siempre quedaba vacía — hallazgo del E2E de P0).</w:t>
      </w:r>
    </w:p>
    <w:p>
      <w:pPr>
        <w:pStyle w:val="ListParagraph"/>
        <w:numPr>
          <w:ilvl w:val="0"/>
          <w:numId w:val="1"/>
        </w:numPr>
        <w:spacing w:after="80"/>
      </w:pPr>
      <w:r>
        <w:t>Peso por edad: menores de 2 años ingresan el peso en gramos, de 2 años en adelante en kilogramos; internamente siempre se guarda en kg con 3 decimales (peso pasó a numeric(6,3)).</w:t>
      </w:r>
    </w:p>
    <w:p>
      <w:pPr>
        <w:pStyle w:val="ListParagraph"/>
        <w:numPr>
          <w:ilvl w:val="0"/>
          <w:numId w:val="1"/>
        </w:numPr>
        <w:spacing w:after="80"/>
      </w:pPr>
      <w:r>
        <w:t>Altura / Longitud tibial: selector de modo de medición de estatura; la longitud tibial (cm) reemplaza a la altura cuando se elige ese modo (mutuamente excluyentes en un mismo registro).</w:t>
      </w:r>
    </w:p>
    <w:p>
      <w:pPr>
        <w:pStyle w:val="ListParagraph"/>
        <w:numPr>
          <w:ilvl w:val="0"/>
          <w:numId w:val="1"/>
        </w:numPr>
        <w:spacing w:after="80"/>
      </w:pPr>
      <w:r>
        <w:t>Frecuencia respiratoria: campo nuevo junto a la frecuencia cardíaca, visible en el historial y, como mejora agregada en esta sesión, también graficable (KPI + evolución).</w:t>
      </w:r>
    </w:p>
    <w:p>
      <w:pPr>
        <w:pStyle w:val="ListParagraph"/>
        <w:numPr>
          <w:ilvl w:val="0"/>
          <w:numId w:val="1"/>
        </w:numPr>
        <w:spacing w:after="80"/>
      </w:pPr>
      <w:r>
        <w:t>Perímetro cefálico (migración 0019, agregado el 2026-07-17 a pedido de la usuaria): medida de crecimiento rutinaria en lactantes. El campo aparece en Antropometría cuando el paciente es menor de 2 años a la fecha del registro (o si el registro ya tiene el dato), se muestra en el historial y también es graficable, como el resto de perímetros.</w:t>
      </w:r>
    </w:p>
    <w:p>
      <w:pPr>
        <w:spacing w:after="120"/>
      </w:pPr>
      <w:r>
        <w:rPr>
          <w:b w:val="false"/>
          <w:bCs w:val="false"/>
          <w:i w:val="false"/>
          <w:iCs w:val="false"/>
        </w:rPr>
        <w:t>Verificación: npm run build limpio y captura de Playwright del formulario y del historial. Pendiente menor a confirmar con la usuaria si alguna vez hiciera falta: el diseño actual no contempla registrar altura y longitud tibial a la vez en el mismo control (son excluyentes).</w:t>
      </w:r>
    </w:p>
    <w:p>
      <w:pPr>
        <w:pStyle w:val="Heading1"/>
        <w:spacing w:after="150" w:before="300"/>
      </w:pPr>
      <w:r>
        <w:t>Cierre de esta tanda — reinicio de datos y verificación final de despliegue (completado 2026-07-17)</w:t>
      </w:r>
    </w:p>
    <w:p>
      <w:pPr>
        <w:spacing w:after="120"/>
      </w:pPr>
      <w:r>
        <w:rPr>
          <w:b w:val="false"/>
          <w:bCs w:val="false"/>
          <w:i w:val="false"/>
          <w:iCs w:val="false"/>
        </w:rPr>
        <w:t>Tras cerrar las cuatro auditorías, la usuaria preguntó qué hacía falta para dar la app por terminada 'en este nivel' y usable de verdad, y pidió borrar los datos usados en pruebas E2E antes de ese último paso. Se siguió un protocolo de confirmación explícita en dos tiempos antes de cualquier borrado contra producción.</w:t>
      </w:r>
    </w:p>
    <w:p>
      <w:pPr>
        <w:pStyle w:val="ListParagraph"/>
        <w:numPr>
          <w:ilvl w:val="0"/>
          <w:numId w:val="1"/>
        </w:numPr>
        <w:spacing w:after="80"/>
      </w:pPr>
      <w:r>
        <w:t>Decisión de alcance: se presentó el conteo real de filas por tabla y por cuenta, distinguiendo datos clínicos (seguro de borrar) de estructura de auth/household/membresía (debe preservarse). La usuaria eligió explícitamente borrar los datos clínicos de las tres cuentas.</w:t>
      </w:r>
    </w:p>
    <w:p>
      <w:pPr>
        <w:pStyle w:val="ListParagraph"/>
        <w:numPr>
          <w:ilvl w:val="0"/>
          <w:numId w:val="1"/>
        </w:numPr>
        <w:spacing w:after="80"/>
      </w:pPr>
      <w:r>
        <w:t>Confirmación explícita de la sentencia SQL: antes de ejecutar nada se mostró el DELETE exacto y se esperó confirmación literal ('Sí, bórralo') antes de correrlo.</w:t>
      </w:r>
    </w:p>
    <w:p>
      <w:pPr>
        <w:pStyle w:val="ListParagraph"/>
        <w:numPr>
          <w:ilvl w:val="0"/>
          <w:numId w:val="1"/>
        </w:numPr>
        <w:spacing w:after="80"/>
      </w:pPr>
      <w:r>
        <w:t>Ejecutado y verificado: las 12 tablas clínicas quedaron en 0 filas; auth.users (3), households (4) y household_members (4) quedaron intactos — verificado con una query de verificación inmediatamente después del borrado.</w:t>
      </w:r>
    </w:p>
    <w:p>
      <w:pPr>
        <w:pStyle w:val="ListParagraph"/>
        <w:numPr>
          <w:ilvl w:val="0"/>
          <w:numId w:val="1"/>
        </w:numPr>
        <w:spacing w:after="80"/>
      </w:pPr>
      <w:r>
        <w:t>Storage: el DELETE por SQL no toca storage.objects; quedaron 8 archivos huérfanos en el bucket 'adjuntos', que la usuaria eliminó a mano desde el dashboard de Supabase.</w:t>
      </w:r>
    </w:p>
    <w:p>
      <w:pPr>
        <w:pStyle w:val="ListParagraph"/>
        <w:numPr>
          <w:ilvl w:val="0"/>
          <w:numId w:val="1"/>
        </w:numPr>
        <w:spacing w:after="80"/>
      </w:pPr>
      <w:r>
        <w:t>Verificación final de despliegue: se confirmó que el commit del perímetro cefálico (bfa527b) está READY en producción, el deployment más reciente — con esto las cuatro auditorías de esta sesión están confirmadas en línea, no solo mergeadas en main.</w:t>
      </w:r>
    </w:p>
    <w:p>
      <w:pPr>
        <w:spacing w:after="120"/>
      </w:pPr>
      <w:r>
        <w:rPr>
          <w:b w:val="false"/>
          <w:bCs w:val="false"/>
          <w:i w:val="false"/>
          <w:iCs w:val="false"/>
        </w:rPr>
        <w:t>Resultado: la app queda con el esquema completo, RLS intacto, cero datos de prueba, y todo el código reciente verificado en producción — lista para uso real por la usuaria y su familia.</w:t>
      </w:r>
    </w:p>
    <w:p>
      <w:pPr>
        <w:pStyle w:val="Heading1"/>
        <w:spacing w:after="150" w:before="300"/>
      </w:pPr>
      <w:r>
        <w:t>Ideas de crecimiento futuro (explícitamente diferidas, no en curso)</w:t>
      </w:r>
    </w:p>
    <w:p>
      <w:pPr>
        <w:spacing w:after="120"/>
      </w:pPr>
      <w:r>
        <w:rPr>
          <w:b w:val="false"/>
          <w:bCs w:val="false"/>
          <w:i w:val="false"/>
          <w:iCs w:val="false"/>
        </w:rPr>
        <w:t>La usuaria compartió cinco ideas para ampliar el proyecto, aclarando ella misma que 'pueden ser estudiadas a futuro' porque las considera 'muy grandes en este momento'. Ninguna está diseñada ni tiene tareas asociadas. No iniciar diseño ni implementación de ninguna sin que la usuaria lo pida de nuevo:</w:t>
      </w:r>
    </w:p>
    <w:p>
      <w:pPr>
        <w:pStyle w:val="ListParagraph"/>
        <w:numPr>
          <w:ilvl w:val="0"/>
          <w:numId w:val="1"/>
        </w:numPr>
        <w:spacing w:after="80"/>
      </w:pPr>
      <w:r>
        <w:t>Sección de vacunación.</w:t>
      </w:r>
    </w:p>
    <w:p>
      <w:pPr>
        <w:pStyle w:val="ListParagraph"/>
        <w:numPr>
          <w:ilvl w:val="0"/>
          <w:numId w:val="1"/>
        </w:numPr>
        <w:spacing w:after="80"/>
      </w:pPr>
      <w:r>
        <w:t>Ventana completa para hospitalización.</w:t>
      </w:r>
    </w:p>
    <w:p>
      <w:pPr>
        <w:pStyle w:val="ListParagraph"/>
        <w:numPr>
          <w:ilvl w:val="0"/>
          <w:numId w:val="1"/>
        </w:numPr>
        <w:spacing w:after="80"/>
      </w:pPr>
      <w:r>
        <w:t>Interfaz completa de seguimiento de mujeres embarazadas.</w:t>
      </w:r>
    </w:p>
    <w:p>
      <w:pPr>
        <w:pStyle w:val="ListParagraph"/>
        <w:numPr>
          <w:ilvl w:val="0"/>
          <w:numId w:val="1"/>
        </w:numPr>
        <w:spacing w:after="80"/>
      </w:pPr>
      <w:r>
        <w:t>Interfaz completa de odontología y salud oral.</w:t>
      </w:r>
    </w:p>
    <w:p>
      <w:pPr>
        <w:pStyle w:val="ListParagraph"/>
        <w:numPr>
          <w:ilvl w:val="0"/>
          <w:numId w:val="1"/>
        </w:numPr>
        <w:spacing w:after="80"/>
      </w:pPr>
      <w:r>
        <w:t>Roles 'administrador' (la parte de curación del directorio quedó CUBIERTA por la pieza A completada: tabla app_admins, hoy alnp) y 'médico' (para que médicos vean historias clínicas de pacientes que se las compartan).</w:t>
      </w:r>
    </w:p>
    <w:p>
      <w:pPr>
        <w:pStyle w:val="Heading1"/>
        <w:spacing w:after="150" w:before="300"/>
      </w:pPr>
      <w:r>
        <w:t xml:space="preserve">Arquitectura futura — estado al 2026-07-16</w:t>
      </w:r>
    </w:p>
    <w:p>
      <w:pPr>
        <w:spacing w:after="120"/>
      </w:pPr>
      <w:r>
        <w:rPr>
          <w:b w:val="false"/>
          <w:bCs w:val="false"/>
          <w:i w:val="false"/>
          <w:iCs w:val="false"/>
        </w:rPr>
        <w:t xml:space="preserve">Las DOS piezas originales están implementadas: la B (exportar/importar pacientes) el 2026-07-15 con un diseño distinto al conversado, y la A (directorio público auditado) el 2026-07-17 con el diseño acordado más las decisiones de detalle cerradas con el usuario. El texto original de ambas se conserva a continuación como referencia, precedido por el resultado final de la A.</w:t>
      </w:r>
    </w:p>
    <w:p>
      <w:pPr>
        <w:pStyle w:val="Heading2"/>
        <w:spacing w:after="120" w:before="240"/>
      </w:pPr>
      <w:r>
        <w:t xml:space="preserve">A. Directorio público auditado de centros médicos y médicos — ✅ COMPLETADA (2026-07-17)</w:t>
      </w:r>
    </w:p>
    <w:p>
      <w:pPr>
        <w:spacing w:after="120"/>
      </w:pPr>
      <w:r>
        <w:rPr>
          <w:b w:val="false"/>
          <w:bCs w:val="false"/>
          <w:i w:val="false"/>
          <w:iCs w:val="false"/>
        </w:rPr>
        <w:t xml:space="preserve">RESULTADO FINAL (migración 0020 + vista 'Directorio público'): tablas globales public_doctors/public_centers con ciclo de vida pendiente → publicado | rechazado (nota de rechazo visible para la proponente; quién/cuándo revisó lo llena un trigger del servidor); rol de administradora en app_admins (decisión del usuario: la cuenta de alnp; se administra solo por SQL) con chequeo private.is_app_admin(); entradas por propuesta manual desde Médicos/Centros (modal que muestra qué se envía; el centro viaja como texto) + alta directa de la admin; pestañas Médicos/Centros/Mis propuestas/Revisión; usar una entrada = copiarla al directorio privado con referencia de origen public_source_id (FK con on delete set null — borrar del directorio nunca toca las copias), sin poder re-proponer lo copiado o ya propuesto (un rechazo sí permite reintentar); anon sin acceso; RLS verificada con 24/24 pruebas (tres identidades + anon, JWT simulado, rollback) ANTES de aplicar. En exportar/importar, la procedencia se descarta al importar (un id viejo podría ya no existir). — Contexto original que motivó el diseño: hoy 'doctors' y 'centers' están aislados por household (RLS vía is_household_member), igual que los pacientes — verificado también en el E2E del 2026-07-15. Se evaluó hacerlos públicos sin restricciones y se descartó por: riesgo de que cualquier usuario altere entradas que otras familias usan activamente, ausencia de curación (duplicados, errores sin control), y por tratarse de una excepción al aislamiento por household que es la base de todo el modelo de seguridad actual.</w:t>
      </w:r>
    </w:p>
    <w:p>
      <w:pPr>
        <w:spacing w:after="120"/>
      </w:pPr>
      <w:r>
        <w:rPr>
          <w:b w:val="false"/>
          <w:bCs w:val="false"/>
          <w:i w:val="false"/>
          <w:iCs w:val="false"/>
        </w:rPr>
        <w:t xml:space="preserve">Diseño acordado como alternativa:</w:t>
      </w:r>
    </w:p>
    <w:p>
      <w:pPr>
        <w:pStyle w:val="ListParagraph"/>
        <w:numPr>
          <w:ilvl w:val="0"/>
          <w:numId w:val="1"/>
        </w:numPr>
        <w:spacing w:after="80"/>
      </w:pPr>
      <w:r>
        <w:t xml:space="preserve">Rol de administradora (no existe hoy el concepto de 'admin' en el esquema; todos los usuarios son iguales).</w:t>
      </w:r>
    </w:p>
    <w:p>
      <w:pPr>
        <w:pStyle w:val="ListParagraph"/>
        <w:numPr>
          <w:ilvl w:val="0"/>
          <w:numId w:val="1"/>
        </w:numPr>
        <w:spacing w:after="80"/>
      </w:pPr>
      <w:r>
        <w:t xml:space="preserve">Tablas públicas separadas ('public_centers' / 'public_doctors', o un flag is_public — a evaluar), editables solo por el rol admin.</w:t>
      </w:r>
    </w:p>
    <w:p>
      <w:pPr>
        <w:pStyle w:val="ListParagraph"/>
        <w:numPr>
          <w:ilvl w:val="0"/>
          <w:numId w:val="1"/>
        </w:numPr>
        <w:spacing w:after="80"/>
      </w:pPr>
      <w:r>
        <w:t xml:space="preserve">Flujo de 'copiar al household propio': al usar una entrada del directorio público, se crea una fila NUEVA en el directorio privado del usuario (copia, no referencia compartida) — así puede editarla libremente sin afectar el original ni a otras familias.</w:t>
      </w:r>
    </w:p>
    <w:p>
      <w:pPr>
        <w:pStyle w:val="ListParagraph"/>
        <w:numPr>
          <w:ilvl w:val="0"/>
          <w:numId w:val="1"/>
        </w:numPr>
        <w:spacing w:after="80"/>
      </w:pPr>
      <w:r>
        <w:t xml:space="preserve">Mecanismo de auditoría: los usuarios podrían 'proponer' una entrada para el directorio público desde su directorio privado, y la administradora aprueba o rechaza antes de publicarla.</w:t>
      </w:r>
    </w:p>
    <w:p>
      <w:pPr>
        <w:pStyle w:val="Heading2"/>
        <w:spacing w:after="120" w:before="240"/>
      </w:pPr>
      <w:r>
        <w:t xml:space="preserve">B. Exportar / Importar pacientes entre households — ✅ COMPLETADA (diseño final distinto)</w:t>
      </w:r>
    </w:p>
    <w:p>
      <w:pPr>
        <w:spacing w:after="120"/>
      </w:pPr>
      <w:r>
        <w:rPr>
          <w:b w:val="false"/>
          <w:bCs w:val="false"/>
          <w:i/>
          <w:iCs/>
        </w:rPr>
        <w:t xml:space="preserve">Implementada el 2026-07-15 como archivo cifrado descargable (.sfam) en vez de llave en el servidor — ver sección de resultados. El diseño original conversado era:</w:t>
      </w:r>
    </w:p>
    <w:p>
      <w:pPr>
        <w:pStyle w:val="ListParagraph"/>
        <w:numPr>
          <w:ilvl w:val="0"/>
          <w:numId w:val="1"/>
        </w:numPr>
        <w:spacing w:after="80"/>
      </w:pPr>
      <w:r>
        <w:t xml:space="preserve">Exportar: desde la ficha del paciente, se genera una llave (identificador único de esa exportación puntual) y se pide definir un password específico para esa operación. La información se cifra usando ambos datos — la llave sola no debe alcanzar para descifrar.</w:t>
      </w:r>
    </w:p>
    <w:p>
      <w:pPr>
        <w:pStyle w:val="ListParagraph"/>
        <w:numPr>
          <w:ilvl w:val="0"/>
          <w:numId w:val="1"/>
        </w:numPr>
        <w:spacing w:after="80"/>
      </w:pPr>
      <w:r>
        <w:t xml:space="preserve">Importar: botón en la esquina superior izquierda de la ventana 'Nuevo paciente'. Pide llave y password; si coinciden, descifra y crea el paciente (con todos sus datos asociados) dentro del household del usuario que importa.</w:t>
      </w:r>
    </w:p>
    <w:p>
      <w:pPr>
        <w:spacing w:after="120"/>
      </w:pPr>
      <w:r>
        <w:rPr>
          <w:b w:val="false"/>
          <w:bCs w:val="false"/>
          <w:i w:val="false"/>
          <w:iCs w:val="false"/>
        </w:rPr>
        <w:t xml:space="preserve">Nivel de riesgo: el más alto de los tres frentes de arquitectura nueva mencionados en este documento (incluyendo la migración a Storage ya prevista en la tarea P1 #7). Es, en esencia, un puente controlado entre households — algo que el modelo de RLS actual no contempla en absoluto, y que mueve historia clínica completa en tránsito, no solo un dato suelto. Se recomienda priorizar su revisión de diseño de seguridad antes que el directorio público.</w:t>
      </w:r>
    </w:p>
    <w:p>
      <w:pPr>
        <w:pStyle w:val="Heading1"/>
        <w:spacing w:after="150" w:before="300"/>
      </w:pPr>
      <w:r>
        <w:t xml:space="preserve">Criterio de asignación de agentes de Claude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F2F2F2" w:val="clear"/>
            <w:vAlign w:val="center"/>
          </w:tcPr>
          <w:p>
            <w:r>
              <w:rPr>
                <w:b/>
                <w:bCs/>
              </w:rPr>
              <w:t xml:space="preserve">Agente</w:t>
            </w:r>
          </w:p>
        </w:tc>
        <w:tc>
          <w:tcPr>
            <w:tcW w:type="dxa" w:w="7400"/>
            <w:shd w:fill="F2F2F2" w:val="clear"/>
            <w:vAlign w:val="center"/>
          </w:tcPr>
          <w:p>
            <w:r>
              <w:rPr>
                <w:b/>
                <w:bCs/>
              </w:rPr>
              <w:t xml:space="preserve">Alcance</w:t>
            </w:r>
          </w:p>
        </w:tc>
      </w:tr>
      <w:tr>
        <w:tc>
          <w:tcPr>
            <w:tcW w:type="dxa" w:w="2000"/>
            <w:vAlign w:val="center"/>
          </w:tcPr>
          <w:p>
            <w:r>
              <w:rPr>
                <w:b w:val="false"/>
                <w:bCs w:val="false"/>
              </w:rPr>
              <w:t xml:space="preserve">Fable (máxima capacidad)</w:t>
            </w:r>
          </w:p>
        </w:tc>
        <w:tc>
          <w:tcPr>
            <w:tcW w:type="dxa" w:w="7400"/>
            <w:vAlign w:val="center"/>
          </w:tcPr>
          <w:p>
            <w:r>
              <w:rPr>
                <w:b w:val="false"/>
                <w:bCs w:val="false"/>
              </w:rPr>
              <w:t xml:space="preserve">Todo lo que toque seguridad RLS y migraciones de datos — errores ahí son irreversibles o pueden filtrar datos médicos entre familias. Ya ejecutó: invitaciones (P1 #6), exportar/importar (pieza B), Storage (P1 #7) y auditoría RLS (P1 #8). Con la pieza A completada el 2026-07-17 no le queda ningún ítem del plan; le corresponde cualquier cambio futuro de RLS/esquema.</w:t>
            </w:r>
          </w:p>
        </w:tc>
      </w:tr>
      <w:tr>
        <w:tc>
          <w:tcPr>
            <w:tcW w:type="dxa" w:w="2000"/>
            <w:vAlign w:val="center"/>
          </w:tcPr>
          <w:p>
            <w:r>
              <w:rPr>
                <w:b w:val="false"/>
                <w:bCs w:val="false"/>
              </w:rPr>
              <w:t xml:space="preserve">Opus</w:t>
            </w:r>
          </w:p>
        </w:tc>
        <w:tc>
          <w:tcPr>
            <w:tcW w:type="dxa" w:w="7400"/>
            <w:vAlign w:val="center"/>
          </w:tcPr>
          <w:p>
            <w:r>
              <w:rPr>
                <w:b w:val="false"/>
                <w:bCs w:val="false"/>
              </w:rPr>
              <w:t xml:space="preserve">Flujos que cruzan varios archivos y estados. La recuperación de contraseña (el caso que motivó este criterio) ya se completó y verificó E2E el 2026-07-15; no queda ningún ítem de este tipo pendiente por ahora.</w:t>
            </w:r>
          </w:p>
        </w:tc>
      </w:tr>
      <w:tr>
        <w:tc>
          <w:tcPr>
            <w:tcW w:type="dxa" w:w="2000"/>
            <w:vAlign w:val="center"/>
          </w:tcPr>
          <w:p>
            <w:r>
              <w:rPr>
                <w:b w:val="false"/>
                <w:bCs w:val="false"/>
              </w:rPr>
              <w:t xml:space="preserve">Sonnet</w:t>
            </w:r>
          </w:p>
        </w:tc>
        <w:tc>
          <w:tcPr>
            <w:tcW w:type="dxa" w:w="7400"/>
            <w:vAlign w:val="center"/>
          </w:tcPr>
          <w:p>
            <w:r>
              <w:rPr>
                <w:b w:val="false"/>
                <w:bCs w:val="false"/>
              </w:rPr>
              <w:t xml:space="preserve">Tareas acotadas y mecánicas: configuración, UI, limpieza, contenido. Incluye toda la sección de edición de interfaz de este documento (el frente grande restante) y las tareas P2.</w:t>
            </w:r>
          </w:p>
        </w:tc>
      </w:tr>
    </w:tbl>
    <w:p>
      <w:pPr>
        <w:pStyle w:val="Heading1"/>
        <w:spacing w:after="150" w:before="300"/>
      </w:pPr>
      <w:r>
        <w:t xml:space="preserve">Infraestructura y accesos</w:t>
      </w:r>
    </w:p>
    <w:p>
      <w:pPr>
        <w:pStyle w:val="ListParagraph"/>
        <w:numPr>
          <w:ilvl w:val="0"/>
          <w:numId w:val="1"/>
        </w:numPr>
        <w:spacing w:after="80"/>
      </w:pPr>
      <w:r>
        <w:t>Supabase: proyecto smbnogsvqaowfwqchuvy (región sa-east-1), estado ACTIVE_HEALTHY. 20 migraciones aplicadas (0012–0015 del backlog MI AUDITORIA; 0016 de la segunda auditoría de Ficha de paciente — RLS de UPDATE en patient_diagnoses; 0017 de la auditoría de Medicamentos — indicacion/controlado + tabla med_usage_events; 0018 de la auditoría de Signos Vitales — hora/frecuencia_respiratoria/longitud_tibial + peso ampliado a numeric(6,3); 0019 — columna per_cefalico, perímetro cefálico de lactantes; 0020 — pieza A: app_admins, public_doctors/public_centers con RLS, private.is_app_admin(), trigger de auditoría de revisión y public_source_id en doctors/medical_centers). Nota: la 0018 quedó registrada en la tabla de migraciones de Supabase con el nombre '0005_vital_signs_auditoria' por trabajarse desde otra conversación sobre una copia local desactualizada — el esquema quedó correcto y el archivo del repo está bien numerado; es solo una inconsistencia cosmética de nombre, no bloqueante (la migración es idempotente).</w:t>
      </w:r>
    </w:p>
    <w:p>
      <w:pPr>
        <w:pStyle w:val="ListParagraph"/>
        <w:numPr>
          <w:ilvl w:val="0"/>
          <w:numId w:val="1"/>
        </w:numPr>
        <w:spacing w:after="80"/>
      </w:pPr>
      <w:r>
        <w:t xml:space="preserve">Vercel: proyecto saludfamilia (team alnp, id team_upa18NsIqLYAoLBKzY61ioPk), conectado al repo de GitHub — cada push a main dispara un deploy a producción. Deployment Protection desactivado; variables de entorno configuradas en Production. URL pública: https://saludfamilia.vercel.app.</w:t>
      </w:r>
    </w:p>
    <w:p>
      <w:pPr>
        <w:pStyle w:val="ListParagraph"/>
        <w:numPr>
          <w:ilvl w:val="0"/>
          <w:numId w:val="1"/>
        </w:numPr>
        <w:spacing w:after="80"/>
      </w:pPr>
      <w:r>
        <w:t>GitHub: github.com/alnp18/saludfamilia, rama main. Sin conector MCP ni credenciales de git push en el sandbox de las sesiones. Patrón de entrega preferido (desde la segunda auditoría en adelante): Claude edita y commitea en su propio sandbox solo para su historial/diff, y entrega los archivos finales escribiéndolos directamente en el disco de la usuaria (mismo clon local en su equipo) vía el puente de dispositivo; es la usuaria quien corre git add/commit/push desde su PowerShell. Un push a main a veces no dispara el webhook de Vercel (visto con el commit del perímetro cefálico) — el remedio simple es un segundo push, aunque sea un commit vacío; verificar siempre con Vercel:list_deployments tras cualquier push.</w:t>
      </w:r>
    </w:p>
    <w:p>
      <w:pPr>
        <w:pStyle w:val="ListParagraph"/>
        <w:numPr>
          <w:ilvl w:val="0"/>
          <w:numId w:val="1"/>
        </w:numPr>
        <w:spacing w:after="80"/>
      </w:pPr>
      <w:r>
        <w:t xml:space="preserve">Entorno local: funcional. Node v24.18.0, npm operativo, .env configurado con VITE_SUPABASE_URL y VITE_SUPABASE_ANON_KEY (formato sb_publishable_...).</w:t>
      </w:r>
    </w:p>
    <w:p>
      <w:pPr>
        <w:pStyle w:val="ListParagraph"/>
        <w:numPr>
          <w:ilvl w:val="0"/>
          <w:numId w:val="1"/>
        </w:numPr>
        <w:spacing w:after="80"/>
      </w:pPr>
      <w:r>
        <w:t xml:space="preserve">Navegador (Claude in Chrome): no viene conectado por defecto; para un E2E por UI hay que activar la extensión y dar permiso al dominio. Con ventana angosta el menú lateral se colapsa — usar ~1200×760 al redimensionar.</w:t>
      </w:r>
    </w:p>
    <w:p>
      <w:pPr>
        <w:pStyle w:val="Heading1"/>
        <w:spacing w:after="150" w:before="300"/>
      </w:pPr>
      <w:r>
        <w:t xml:space="preserve">Próximos pasos inmediatos sugeridos</w:t>
      </w:r>
    </w:p>
    <w:p>
      <w:pPr>
        <w:pStyle w:val="ListParagraph"/>
        <w:numPr>
          <w:ilvl w:val="0"/>
          <w:numId w:val="1"/>
        </w:numPr>
        <w:spacing w:after="80"/>
      </w:pPr>
      <w:r>
        <w:t>Uso real por la usuaria y su familia: con P1.5, P2, MI AUDITORIA y las tres auditorías adicionales (Ficha de paciente #2, Medicamentos, Signos Vitales) completas y confirmadas en línea, y la base de datos reiniciada (ver sección de Cierre de esta tanda), no queda ningún ítem numerado pendiente del plan. Cualquier dato cargado de ahora en más es real, no de prueba.</w:t>
      </w:r>
    </w:p>
    <w:p>
      <w:pPr>
        <w:pStyle w:val="ListParagraph"/>
        <w:numPr>
          <w:ilvl w:val="0"/>
          <w:numId w:val="1"/>
        </w:numPr>
        <w:spacing w:after="80"/>
      </w:pPr>
      <w:r>
        <w:t>Pieza A: COMPLETADA el 2026-07-17 y en producción. Operación del rol admin: agregar/quitar administradoras es un INSERT/DELETE en app_admins por SQL (sin interfaz, por diseño); hoy la única admin es alnp. Pendiente natural no bloqueante: primer uso real del flujo por alnp (proponer → aprobar → copiar) como E2E de producción.</w:t>
      </w:r>
    </w:p>
    <w:p>
      <w:pPr>
        <w:pStyle w:val="ListParagraph"/>
        <w:numPr>
          <w:ilvl w:val="0"/>
          <w:numId w:val="1"/>
        </w:numPr>
        <w:spacing w:after="80"/>
      </w:pPr>
      <w:r>
        <w:t>Las cinco ideas de crecimiento futuro relevadas por la usuaria (vacunación, hospitalización, embarazo, odontología, roles admin/médico) están explícitamente diferidas — no diseñar ni implementar ninguna sin que la usuaria lo pida de nuevo. Ver sección dedicada.</w:t>
      </w:r>
    </w:p>
    <w:p>
      <w:pPr>
        <w:pStyle w:val="ListParagraph"/>
        <w:numPr>
          <w:ilvl w:val="0"/>
          <w:numId w:val="1"/>
        </w:numPr>
        <w:spacing w:after="80"/>
      </w:pPr>
      <w:r>
        <w:t>Si algún día se pasa al plan Pro de Supabase: activar 'Leaked password protection' (HaveIBeenPwned) en Auth — hoy rechazado por la API en el plan gratuito; el mínimo de contraseña ya se subió a 8 caracteres.</w:t>
      </w:r>
    </w:p>
    <w:p>
      <w:pPr>
        <w:pStyle w:val="ListParagraph"/>
        <w:numPr>
          <w:ilvl w:val="0"/>
          <w:numId w:val="1"/>
        </w:numPr>
        <w:spacing w:after="80"/>
      </w:pPr>
      <w:r>
        <w:t>Antes de tocar cualquier política RLS nueva: reproducir el cambio primero con 'set local role authenticated' + 'request.jwt.claims' simulados en una transacción con rollback (patrón usado con éxito en todos los E2E de seguridad de este proyecto).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2026-07-16T02:05:23.293Z</dcterms:created>
  <dcterms:modified xsi:type="dcterms:W3CDTF">2026-07-16T02:05:23.294Z</dcterms:modified>
</cp:coreProperties>
</file>

<file path=docProps/custom.xml><?xml version="1.0" encoding="utf-8"?>
<Properties xmlns="http://schemas.openxmlformats.org/officeDocument/2006/custom-properties" xmlns:vt="http://schemas.openxmlformats.org/officeDocument/2006/docPropsVTypes"/>
</file>