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Layout w:type="fixed"/>
        <w:tblBorders>
          <w:top w:val="nil"/>
          <w:left w:val="nil"/>
          <w:bottom w:val="nil"/>
          <w:right w:val="nil"/>
          <w:insideH w:val="nil"/>
          <w:insideV w:val="nil"/>
        </w:tblBorders>
      </w:tblPr>
      <w:tblGrid>
        <w:gridCol w:w="4200"/>
        <w:gridCol w:w="5160"/>
      </w:tblGrid>
      <w:tr>
        <w:tc>
          <w:tcPr>
            <w:tcW w:w="42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CÔNG TY/ĐƠN VỊ THẨM ĐỊNH</w:t>
              <w:br/>
              <w:t xml:space="preserve">PHÒNG PHÁP CHẾ</w:t>
            </w:r>
          </w:p>
        </w:tc>
        <w:tc>
          <w:tcPr>
            <w:tcW w:w="516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CỘNG HÒA XÃ HỘI CHỦ NGHĨA VIỆT NAM</w:t>
              <w:br/>
              <w:t xml:space="preserve">Độc lập - Tự do - Hạnh phúc</w:t>
            </w:r>
          </w:p>
        </w:tc>
      </w:tr>
      <w:tr>
        <w:tc>
          <w:tcPr>
            <w:tcW w:w="42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sz w:val="24"/>
                <w:szCs w:val="24"/>
              </w:rPr>
              <w:t xml:space="preserve">Số:      /BC-PC</w:t>
            </w:r>
          </w:p>
        </w:tc>
        <w:tc>
          <w:tcPr>
            <w:tcW w:w="516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sz w:val="24"/>
                <w:szCs w:val="24"/>
              </w:rPr>
              <w:t xml:space="preserve">TP. Hồ Chí Minh, ngày      tháng      năm 2026</w:t>
            </w:r>
          </w:p>
        </w:tc>
      </w:tr>
    </w:tbl>
    <w:p>
      <w:pPr>
        <w:spacing w:before="0" w:after="120" w:line="276" w:lineRule="auto"/>
      </w:pPr>
      <w:r>
        <w:rPr>
          <w:rFonts w:ascii="Times New Roman" w:hAnsi="Times New Roman" w:cs="Times New Roman"/>
          <w:sz w:val="28"/>
          <w:szCs w:val="28"/>
        </w:rPr>
        <w:t xml:space="preserve"/>
      </w:r>
    </w:p>
    <w:p>
      <w:pPr>
        <w:jc w:val="center"/>
        <w:spacing w:before="220" w:after="20" w:line="276" w:lineRule="auto"/>
        <w:keepNext/>
      </w:pPr>
      <w:r>
        <w:rPr>
          <w:rFonts w:ascii="Times New Roman" w:hAnsi="Times New Roman" w:cs="Times New Roman"/>
          <w:b/>
          <w:sz w:val="32"/>
          <w:szCs w:val="32"/>
        </w:rPr>
        <w:t xml:space="preserve">BÁO CÁO</w:t>
      </w:r>
    </w:p>
    <w:p>
      <w:pPr>
        <w:jc w:val="center"/>
        <w:spacing w:before="0" w:after="180" w:line="276" w:lineRule="auto"/>
      </w:pPr>
      <w:r>
        <w:rPr>
          <w:rFonts w:ascii="Times New Roman" w:hAnsi="Times New Roman" w:cs="Times New Roman"/>
          <w:b/>
          <w:sz w:val="28"/>
          <w:szCs w:val="28"/>
        </w:rPr>
        <w:t xml:space="preserve">Thẩm định rủi ro pháp lý hợp đồng</w:t>
      </w:r>
    </w:p>
    <w:p>
      <w:pPr>
        <w:jc w:val="center"/>
        <w:spacing w:before="0" w:after="180" w:line="276" w:lineRule="auto"/>
      </w:pPr>
      <w:r>
        <w:rPr>
          <w:rFonts w:ascii="Times New Roman" w:hAnsi="Times New Roman" w:cs="Times New Roman"/>
          <w:b/>
          <w:sz w:val="28"/>
          <w:szCs w:val="28"/>
        </w:rPr>
        <w:t xml:space="preserve">Kính gửi: Ban Giám đốc / Bộ phận Pháp chế</w:t>
      </w:r>
    </w:p>
    <w:p>
      <w:pPr>
        <w:spacing w:before="0" w:after="160" w:line="276" w:lineRule="auto"/>
        <w:ind w:firstLine="720"/>
      </w:pPr>
      <w:r>
        <w:rPr>
          <w:rFonts w:ascii="Times New Roman" w:hAnsi="Times New Roman" w:cs="Times New Roman"/>
          <w:sz w:val="28"/>
          <w:szCs w:val="28"/>
        </w:rPr>
        <w:t xml:space="preserve">Căn cứ checklist rủi ro hợp đồng của doanh nghiệp; căn cứ nội dung hợp đồng đã được hệ thống trích xuất và kiểm tra evidence, Phòng Pháp chế báo cáo kết quả thẩm định như sau:</w:t>
      </w:r>
    </w:p>
    <w:p>
      <w:pPr>
        <w:spacing w:before="120" w:after="80" w:line="276" w:lineRule="auto"/>
        <w:keepNext/>
      </w:pPr>
      <w:r>
        <w:rPr>
          <w:rFonts w:ascii="Times New Roman" w:hAnsi="Times New Roman" w:cs="Times New Roman"/>
          <w:b/>
          <w:sz w:val="28"/>
          <w:szCs w:val="28"/>
        </w:rPr>
        <w:t xml:space="preserve">I. TÓM TẮT KẾT QUẢ THẨM ĐỊNH</w:t>
      </w:r>
    </w:p>
    <w:tbl>
      <w:tblPr>
        <w:tblW w:w="9360" w:type="dxa"/>
        <w:tblLayout w:type="fixed"/>
        <w:tblBorders>
          <w:top w:val="single" w:sz="6" w:color="9CA3AF"/>
          <w:left w:val="single" w:sz="6" w:color="9CA3AF"/>
          <w:bottom w:val="single" w:sz="6" w:color="9CA3AF"/>
          <w:right w:val="single" w:sz="6" w:color="9CA3AF"/>
          <w:insideH w:val="single" w:sz="4" w:color="D1D5DB"/>
          <w:insideV w:val="single" w:sz="4" w:color="D1D5DB"/>
        </w:tblBorders>
      </w:tblPr>
      <w:tblGrid>
        <w:gridCol w:w="2500"/>
        <w:gridCol w:w="1800"/>
        <w:gridCol w:w="5060"/>
      </w:tblGrid>
      <w:tr>
        <w:tc>
          <w:tcPr>
            <w:tcW w:w="250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Chỉ tiêu</w:t>
            </w:r>
          </w:p>
        </w:tc>
        <w:tc>
          <w:tcPr>
            <w:tcW w:w="180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Kết quả</w:t>
            </w:r>
          </w:p>
        </w:tc>
        <w:tc>
          <w:tcPr>
            <w:tcW w:w="506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Ghi chú xử lý</w:t>
            </w:r>
          </w:p>
        </w:tc>
      </w:tr>
      <w:tr>
        <w:tc>
          <w:tcPr>
            <w:tcW w:w="25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Contract Risk Score</w:t>
            </w:r>
          </w:p>
        </w:tc>
        <w:tc>
          <w:tcPr>
            <w:tcW w:w="18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0/100</w:t>
            </w:r>
          </w:p>
        </w:tc>
        <w:tc>
          <w:tcPr>
            <w:tcW w:w="5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Cần pháp chế rà soát trước khi ký/duyệt.</w:t>
            </w:r>
          </w:p>
        </w:tc>
      </w:tr>
      <w:tr>
        <w:tc>
          <w:tcPr>
            <w:tcW w:w="25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Điều khoản đã rà soát</w:t>
            </w:r>
          </w:p>
        </w:tc>
        <w:tc>
          <w:tcPr>
            <w:tcW w:w="18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sz w:val="24"/>
                <w:szCs w:val="24"/>
              </w:rPr>
              <w:t xml:space="preserve">9</w:t>
            </w:r>
          </w:p>
        </w:tc>
        <w:tc>
          <w:tcPr>
            <w:tcW w:w="5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Bao gồm rà soát điều khoản đã có và kiểm tra bằng chứng trích dẫn nguyên văn.</w:t>
            </w:r>
          </w:p>
        </w:tc>
      </w:tr>
      <w:tr>
        <w:tc>
          <w:tcPr>
            <w:tcW w:w="25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Rủi ro cao / trung bình</w:t>
            </w:r>
          </w:p>
        </w:tc>
        <w:tc>
          <w:tcPr>
            <w:tcW w:w="18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sz w:val="24"/>
                <w:szCs w:val="24"/>
              </w:rPr>
              <w:t xml:space="preserve">4 HIGH / 1 MED</w:t>
            </w:r>
          </w:p>
        </w:tc>
        <w:tc>
          <w:tcPr>
            <w:tcW w:w="5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Các mục mức CAO được xem là vấn đề cần tạm dừng để phê duyệt thủ công.</w:t>
            </w:r>
          </w:p>
        </w:tc>
      </w:tr>
      <w:tr>
        <w:tc>
          <w:tcPr>
            <w:tcW w:w="25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Red flags / Omission / Hallucination</w:t>
            </w:r>
          </w:p>
        </w:tc>
        <w:tc>
          <w:tcPr>
            <w:tcW w:w="18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sz w:val="24"/>
                <w:szCs w:val="24"/>
              </w:rPr>
              <w:t xml:space="preserve">3 / 2 / 9</w:t>
            </w:r>
          </w:p>
        </w:tc>
        <w:tc>
          <w:tcPr>
            <w:tcW w:w="5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Thiếu điều khoản là không có điều khoản bắt buộc; Sai lệch trích dẫn là trích dẫn không có trong hợp đồng.</w:t>
            </w:r>
          </w:p>
        </w:tc>
      </w:tr>
    </w:tbl>
    <w:p>
      <w:pPr>
        <w:spacing w:before="0" w:after="120" w:line="276" w:lineRule="auto"/>
      </w:pPr>
      <w:r>
        <w:rPr>
          <w:rFonts w:ascii="Times New Roman" w:hAnsi="Times New Roman" w:cs="Times New Roman"/>
          <w:sz w:val="28"/>
          <w:szCs w:val="28"/>
        </w:rPr>
        <w:t xml:space="preserve"/>
      </w:r>
    </w:p>
    <w:p>
      <w:pPr>
        <w:spacing w:before="80" w:after="80" w:line="276" w:lineRule="auto"/>
        <w:keepNext/>
      </w:pPr>
      <w:r>
        <w:rPr>
          <w:rFonts w:ascii="Times New Roman" w:hAnsi="Times New Roman" w:cs="Times New Roman"/>
          <w:b/>
          <w:sz w:val="28"/>
          <w:szCs w:val="28"/>
        </w:rPr>
        <w:t xml:space="preserve">II. ĐIỀU KHOẢN BỊ THIẾU</w:t>
      </w:r>
    </w:p>
    <w:tbl>
      <w:tblPr>
        <w:tblW w:w="9360" w:type="dxa"/>
        <w:tblLayout w:type="fixed"/>
        <w:tblBorders>
          <w:top w:val="single" w:sz="6" w:color="9CA3AF"/>
          <w:left w:val="single" w:sz="6" w:color="9CA3AF"/>
          <w:bottom w:val="single" w:sz="6" w:color="9CA3AF"/>
          <w:right w:val="single" w:sz="6" w:color="9CA3AF"/>
          <w:insideH w:val="single" w:sz="4" w:color="D1D5DB"/>
          <w:insideV w:val="single" w:sz="4" w:color="D1D5DB"/>
        </w:tblBorders>
      </w:tblPr>
      <w:tblGrid>
        <w:gridCol w:w="650"/>
        <w:gridCol w:w="3400"/>
        <w:gridCol w:w="5310"/>
      </w:tblGrid>
      <w:tr>
        <w:tc>
          <w:tcPr>
            <w:tcW w:w="65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STT</w:t>
            </w:r>
          </w:p>
        </w:tc>
        <w:tc>
          <w:tcPr>
            <w:tcW w:w="340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Nhóm điều khoản thiếu</w:t>
            </w:r>
          </w:p>
        </w:tc>
        <w:tc>
          <w:tcPr>
            <w:tcW w:w="531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Kiến nghị bổ sung</w:t>
            </w:r>
          </w:p>
        </w:tc>
      </w:tr>
      <w:tr>
        <w:tc>
          <w:tcPr>
            <w:tcW w:w="65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sz w:val="24"/>
                <w:szCs w:val="24"/>
              </w:rPr>
              <w:t xml:space="preserve">1</w:t>
            </w:r>
          </w:p>
        </w:tc>
        <w:tc>
          <w:tcPr>
            <w:tcW w:w="34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TC07 - Sở hữu trí tuệ</w:t>
            </w:r>
          </w:p>
        </w:tc>
        <w:tc>
          <w:tcPr>
            <w:tcW w:w="531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Bổ sung điều khoản theo checklist rủi ro trước khi ký; yêu cầu người phụ trách hợp đồng xác nhận phạm vi áp dụng.</w:t>
            </w:r>
          </w:p>
        </w:tc>
      </w:tr>
      <w:tr>
        <w:tc>
          <w:tcPr>
            <w:tcW w:w="65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sz w:val="24"/>
                <w:szCs w:val="24"/>
              </w:rPr>
              <w:t xml:space="preserve">2</w:t>
            </w:r>
          </w:p>
        </w:tc>
        <w:tc>
          <w:tcPr>
            <w:tcW w:w="34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TC10 - Bất khả kháng</w:t>
            </w:r>
          </w:p>
        </w:tc>
        <w:tc>
          <w:tcPr>
            <w:tcW w:w="531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Bổ sung điều khoản theo checklist rủi ro trước khi ký; yêu cầu người phụ trách hợp đồng xác nhận phạm vi áp dụng.</w:t>
            </w:r>
          </w:p>
        </w:tc>
      </w:tr>
    </w:tbl>
    <w:p>
      <w:pPr>
        <w:spacing w:before="0" w:after="120" w:line="276" w:lineRule="auto"/>
      </w:pPr>
      <w:r>
        <w:rPr>
          <w:rFonts w:ascii="Times New Roman" w:hAnsi="Times New Roman" w:cs="Times New Roman"/>
          <w:sz w:val="28"/>
          <w:szCs w:val="28"/>
        </w:rPr>
        <w:t xml:space="preserve"/>
      </w:r>
    </w:p>
    <w:p>
      <w:pPr>
        <w:spacing w:before="80" w:after="80" w:line="276" w:lineRule="auto"/>
        <w:keepNext/>
      </w:pPr>
      <w:r>
        <w:rPr>
          <w:rFonts w:ascii="Times New Roman" w:hAnsi="Times New Roman" w:cs="Times New Roman"/>
          <w:b/>
          <w:sz w:val="28"/>
          <w:szCs w:val="28"/>
        </w:rPr>
        <w:t xml:space="preserve">III. BẪY RỦI RO PHÁP LÝ VÀ VẤN ĐỀ CẦN XỬ LÝ NGAY</w:t>
      </w:r>
    </w:p>
    <w:tbl>
      <w:tblPr>
        <w:tblW w:w="9360" w:type="dxa"/>
        <w:tblLayout w:type="fixed"/>
        <w:tblBorders>
          <w:top w:val="single" w:sz="6" w:color="9CA3AF"/>
          <w:left w:val="single" w:sz="6" w:color="9CA3AF"/>
          <w:bottom w:val="single" w:sz="6" w:color="9CA3AF"/>
          <w:right w:val="single" w:sz="6" w:color="9CA3AF"/>
          <w:insideH w:val="single" w:sz="4" w:color="D1D5DB"/>
          <w:insideV w:val="single" w:sz="4" w:color="D1D5DB"/>
        </w:tblBorders>
      </w:tblPr>
      <w:tblGrid>
        <w:gridCol w:w="900"/>
        <w:gridCol w:w="1900"/>
        <w:gridCol w:w="3160"/>
        <w:gridCol w:w="3400"/>
      </w:tblGrid>
      <w:tr>
        <w:tc>
          <w:tcPr>
            <w:tcW w:w="900" w:type="dxa"/>
            <w:shd w:fill="FEE2E2"/>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Mức</w:t>
            </w:r>
          </w:p>
        </w:tc>
        <w:tc>
          <w:tcPr>
            <w:tcW w:w="1900" w:type="dxa"/>
            <w:shd w:fill="FEE2E2"/>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Điều khoản</w:t>
            </w:r>
          </w:p>
        </w:tc>
        <w:tc>
          <w:tcPr>
            <w:tcW w:w="3160" w:type="dxa"/>
            <w:shd w:fill="FEE2E2"/>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Red flag &amp; evidence</w:t>
            </w:r>
          </w:p>
        </w:tc>
        <w:tc>
          <w:tcPr>
            <w:tcW w:w="3400" w:type="dxa"/>
            <w:shd w:fill="FEE2E2"/>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Đề xuất sửa</w:t>
            </w:r>
          </w:p>
        </w:tc>
      </w:tr>
      <w:tr>
        <w:tc>
          <w:tcPr>
            <w:tcW w:w="9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HIGH</w:t>
            </w:r>
          </w:p>
        </w:tc>
        <w:tc>
          <w:tcPr>
            <w:tcW w:w="19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HD03 - Điều 3: Giá trị hợp đồng và phương thức thanh toán</w:t>
            </w:r>
          </w:p>
        </w:tc>
        <w:tc>
          <w:tcPr>
            <w:tcW w:w="31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[TC02] Thanh toán cảm tính hoặc mốc thanh toán mơ hồ</w:t>
              <w:br/>
              <w:t xml:space="preserve">Evidence: Bên B thanh toán bằng hình thức chuyển khoản vào tài khoản ngân hàng của Bên A trong thời hạn hợp lý kể từ ngày nhận được hóa đơn tài chính hợp lệ.</w:t>
            </w:r>
          </w:p>
        </w:tc>
        <w:tc>
          <w:tcPr>
            <w:tcW w:w="34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Quy định mốc thanh toán định lượng, thời hạn phản hồi nghiệm thu 05 ngày làm việc, cơ chế deemed acceptance và lãi phạt chậm trả.</w:t>
            </w:r>
          </w:p>
        </w:tc>
      </w:tr>
      <w:tr>
        <w:tc>
          <w:tcPr>
            <w:tcW w:w="9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HIGH</w:t>
            </w:r>
          </w:p>
        </w:tc>
        <w:tc>
          <w:tcPr>
            <w:tcW w:w="19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HD05 - Điều 5: Gia hạn hợp đồng</w:t>
            </w:r>
          </w:p>
        </w:tc>
        <w:tc>
          <w:tcPr>
            <w:tcW w:w="31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[TC05] Đơn phương chấm dứt/gia hạn bất bình đẳng</w:t>
              <w:br/>
              <w:t xml:space="preserve">Evidence: Bên B có thể đơn phương gia hạn Hợp đồng thêm 06 tháng với các điều khoản giữ nguyên mà không cần sự đồng ý của Bên A</w:t>
            </w:r>
          </w:p>
        </w:tc>
        <w:tc>
          <w:tcPr>
            <w:tcW w:w="34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Hai bên chỉ được đơn phương chấm dứt khi bên kia vi phạm nghiêm trọng và không khắc phục trong 15 ngày; gia hạn phải bằng văn bản có đồng ý của cả hai bên.</w:t>
            </w:r>
          </w:p>
        </w:tc>
      </w:tr>
      <w:tr>
        <w:tc>
          <w:tcPr>
            <w:tcW w:w="9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HIGH</w:t>
            </w:r>
          </w:p>
        </w:tc>
        <w:tc>
          <w:tcPr>
            <w:tcW w:w="19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HD06 - Điều 6: Trách nhiệm bồi thường thiệt hại</w:t>
            </w:r>
          </w:p>
        </w:tc>
        <w:tc>
          <w:tcPr>
            <w:tcW w:w="31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[TC08] Bồi thường không giới hạn hoặc thiệt hại gián tiếp</w:t>
              <w:br/>
              <w:t xml:space="preserve">Evidence: bên vi phạm phải bồi thường toàn bộ theo thiệt hại thực tế phát sinh, không giới hạn mức tối đa.</w:t>
            </w:r>
          </w:p>
        </w:tc>
        <w:tc>
          <w:tcPr>
            <w:tcW w:w="34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Tổng trách nhiệm bồi thường không vượt quá 100% giá trị hợp đồng/giá trị đã nhận và loại trừ thiệt hại gián tiếp, hệ quả, lợi nhuận bị mất.</w:t>
            </w:r>
          </w:p>
        </w:tc>
      </w:tr>
    </w:tbl>
    <w:p>
      <w:pPr>
        <w:spacing w:before="0" w:after="120" w:line="276" w:lineRule="auto"/>
      </w:pPr>
      <w:r>
        <w:rPr>
          <w:rFonts w:ascii="Times New Roman" w:hAnsi="Times New Roman" w:cs="Times New Roman"/>
          <w:sz w:val="28"/>
          <w:szCs w:val="28"/>
        </w:rPr>
        <w:t xml:space="preserve"/>
      </w:r>
    </w:p>
    <w:p>
      <w:pPr>
        <w:spacing w:before="80" w:after="80" w:line="276" w:lineRule="auto"/>
        <w:keepNext/>
      </w:pPr>
      <w:r>
        <w:rPr>
          <w:rFonts w:ascii="Times New Roman" w:hAnsi="Times New Roman" w:cs="Times New Roman"/>
          <w:b/>
          <w:sz w:val="28"/>
          <w:szCs w:val="28"/>
        </w:rPr>
        <w:t xml:space="preserve">IV. RÀ SOÁT ĐIỀU KHOẢN ĐÃ CÓ VÀ ĐỀ XUẤT SỬA ĐỔI</w:t>
      </w:r>
    </w:p>
    <w:tbl>
      <w:tblPr>
        <w:tblW w:w="9360" w:type="dxa"/>
        <w:tblLayout w:type="fixed"/>
        <w:tblBorders>
          <w:top w:val="single" w:sz="6" w:color="9CA3AF"/>
          <w:left w:val="single" w:sz="6" w:color="9CA3AF"/>
          <w:bottom w:val="single" w:sz="6" w:color="9CA3AF"/>
          <w:right w:val="single" w:sz="6" w:color="9CA3AF"/>
          <w:insideH w:val="single" w:sz="4" w:color="D1D5DB"/>
          <w:insideV w:val="single" w:sz="4" w:color="D1D5DB"/>
        </w:tblBorders>
      </w:tblPr>
      <w:tblGrid>
        <w:gridCol w:w="700"/>
        <w:gridCol w:w="2300"/>
        <w:gridCol w:w="3060"/>
        <w:gridCol w:w="3300"/>
      </w:tblGrid>
      <w:tr>
        <w:tc>
          <w:tcPr>
            <w:tcW w:w="70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ID</w:t>
            </w:r>
          </w:p>
        </w:tc>
        <w:tc>
          <w:tcPr>
            <w:tcW w:w="230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Điều khoản / mức rủi ro</w:t>
            </w:r>
          </w:p>
        </w:tc>
        <w:tc>
          <w:tcPr>
            <w:tcW w:w="306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Trích dẫn evidence</w:t>
            </w:r>
          </w:p>
        </w:tc>
        <w:tc>
          <w:tcPr>
            <w:tcW w:w="330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Gợi ý chỉnh sửa</w:t>
            </w:r>
          </w:p>
        </w:tc>
      </w:tr>
      <w:tr>
        <w:tc>
          <w:tcPr>
            <w:tcW w:w="7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HD01</w:t>
            </w:r>
          </w:p>
        </w:tc>
        <w:tc>
          <w:tcPr>
            <w:tcW w:w="2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Điều 1: Đối tượng và phạm vi dịch vụ</w:t>
              <w:br/>
              <w:t xml:space="preserve">Mức: 💡 LOW</w:t>
              <w:br/>
              <w:t xml:space="preserve">Blocking: NO</w:t>
              <w:br/>
              <w:t xml:space="preserve">Flag: hallucination</w:t>
            </w:r>
          </w:p>
        </w:tc>
        <w:tc>
          <w:tcPr>
            <w:tcW w:w="3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Bên A đồng ý cung cấp cho Bên B dịch vụ vận hành hệ thống quản lý đơn hàng (Order Management System) trong thời hạn 12 tháng.</w:t>
            </w:r>
          </w:p>
        </w:tc>
        <w:tc>
          <w:tcPr>
            <w:tcW w:w="3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Phạm vi dịch vụ rõ ràng. Nên duy trì quy trình đăng ký và nghiệm thu phát sinh đối với các yêu cầu nằm ngoài phạm vi Hợp đồng.</w:t>
            </w:r>
          </w:p>
        </w:tc>
      </w:tr>
      <w:tr>
        <w:tc>
          <w:tcPr>
            <w:tcW w:w="7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HD02</w:t>
            </w:r>
          </w:p>
        </w:tc>
        <w:tc>
          <w:tcPr>
            <w:tcW w:w="2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Điều 2: Quyền và nghĩa vụ của các bên</w:t>
              <w:br/>
              <w:t xml:space="preserve">Mức: 💡 LOW</w:t>
              <w:br/>
              <w:t xml:space="preserve">Blocking: NO</w:t>
              <w:br/>
              <w:t xml:space="preserve">Flag: hallucination</w:t>
            </w:r>
          </w:p>
        </w:tc>
        <w:tc>
          <w:tcPr>
            <w:tcW w:w="3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Cung cấp dịch vụ đúng tiến độ và thực hiện các nghĩa vụ phù hợp với quy định pháp luật.</w:t>
            </w:r>
          </w:p>
        </w:tc>
        <w:tc>
          <w:tcPr>
            <w:tcW w:w="3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Khuyến nghị bổ sung phụ lục Cam kết chất lượng dịch vụ (SLA) quy định rõ chỉ số uptime tối thiểu, thời gian phản hồi và xử lý sự cố kỹ thuật.</w:t>
            </w:r>
          </w:p>
        </w:tc>
      </w:tr>
      <w:tr>
        <w:tc>
          <w:tcPr>
            <w:tcW w:w="7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HD03</w:t>
            </w:r>
          </w:p>
        </w:tc>
        <w:tc>
          <w:tcPr>
            <w:tcW w:w="2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Điều 3: Giá trị hợp đồng và phương thức thanh toán</w:t>
              <w:br/>
              <w:t xml:space="preserve">Mức: 🔴 HIGH</w:t>
              <w:br/>
              <w:t xml:space="preserve">Blocking: YES</w:t>
              <w:br/>
              <w:t xml:space="preserve">Flag: hallucination</w:t>
            </w:r>
          </w:p>
        </w:tc>
        <w:tc>
          <w:tcPr>
            <w:tcW w:w="3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Bên B thanh toán bằng hình thức chuyển khoản vào tài khoản ngân hàng của Bên A trong thời hạn hợp lý kể từ ngày nhận được hóa đơn tài chính hợp lệ.</w:t>
            </w:r>
          </w:p>
        </w:tc>
        <w:tc>
          <w:tcPr>
            <w:tcW w:w="3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[TC02 - Thanh toán cảm tính hoặc mốc thanh toán mơ hồ] Quy định mốc thanh toán định lượng, thời hạn phản hồi nghiệm thu 05 ngày làm việc, cơ chế deemed acceptance và lãi phạt chậm trả.</w:t>
            </w:r>
          </w:p>
        </w:tc>
      </w:tr>
      <w:tr>
        <w:tc>
          <w:tcPr>
            <w:tcW w:w="7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HD04</w:t>
            </w:r>
          </w:p>
        </w:tc>
        <w:tc>
          <w:tcPr>
            <w:tcW w:w="2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Điều 4: Thời hạn thực hiện và tiến độ</w:t>
              <w:br/>
              <w:t xml:space="preserve">Mức: 💡 LOW</w:t>
              <w:br/>
              <w:t xml:space="preserve">Blocking: NO</w:t>
              <w:br/>
              <w:t xml:space="preserve">Flag: hallucination</w:t>
            </w:r>
          </w:p>
        </w:tc>
        <w:tc>
          <w:tcPr>
            <w:tcW w:w="3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Hợp đồng có hiệu lực kể từ ngày 01/08/2026 đến hết ngày 31/07/2027.</w:t>
            </w:r>
          </w:p>
        </w:tc>
        <w:tc>
          <w:tcPr>
            <w:tcW w:w="3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Giữ nguyên thời hạn thực hiện và mốc nghiệm thu theo thỏa thuận.</w:t>
            </w:r>
          </w:p>
        </w:tc>
      </w:tr>
      <w:tr>
        <w:tc>
          <w:tcPr>
            <w:tcW w:w="7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HD05</w:t>
            </w:r>
          </w:p>
        </w:tc>
        <w:tc>
          <w:tcPr>
            <w:tcW w:w="2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Điều 5: Gia hạn hợp đồng</w:t>
              <w:br/>
              <w:t xml:space="preserve">Mức: 🔴 HIGH</w:t>
              <w:br/>
              <w:t xml:space="preserve">Blocking: YES</w:t>
              <w:br/>
              <w:t xml:space="preserve">Flag: hallucination</w:t>
            </w:r>
          </w:p>
        </w:tc>
        <w:tc>
          <w:tcPr>
            <w:tcW w:w="3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Bên B có thể đơn phương gia hạn Hợp đồng thêm 06 tháng với các điều khoản giữ nguyên mà không cần sự đồng ý của Bên A</w:t>
            </w:r>
          </w:p>
        </w:tc>
        <w:tc>
          <w:tcPr>
            <w:tcW w:w="3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[TC05 - Đơn phương chấm dứt/gia hạn bất bình đẳng] Hai bên chỉ được đơn phương chấm dứt khi bên kia vi phạm nghiêm trọng và không khắc phục trong 15 ngày; gia hạn phải bằng văn bản có đồng ý của cả hai bên.</w:t>
            </w:r>
          </w:p>
        </w:tc>
      </w:tr>
      <w:tr>
        <w:tc>
          <w:tcPr>
            <w:tcW w:w="7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HD06</w:t>
            </w:r>
          </w:p>
        </w:tc>
        <w:tc>
          <w:tcPr>
            <w:tcW w:w="2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Điều 6: Trách nhiệm bồi thường thiệt hại</w:t>
              <w:br/>
              <w:t xml:space="preserve">Mức: 🔴 HIGH</w:t>
              <w:br/>
              <w:t xml:space="preserve">Blocking: YES</w:t>
              <w:br/>
              <w:t xml:space="preserve">Flag: hallucination</w:t>
            </w:r>
          </w:p>
        </w:tc>
        <w:tc>
          <w:tcPr>
            <w:tcW w:w="3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bên vi phạm phải bồi thường toàn bộ theo thiệt hại thực tế phát sinh, không giới hạn mức tối đa.</w:t>
            </w:r>
          </w:p>
        </w:tc>
        <w:tc>
          <w:tcPr>
            <w:tcW w:w="3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[TC08 - Bồi thường không giới hạn hoặc thiệt hại gián tiếp] Tổng trách nhiệm bồi thường không vượt quá 100% giá trị hợp đồng/giá trị đã nhận và loại trừ thiệt hại gián tiếp, hệ quả, lợi nhuận bị mất.</w:t>
            </w:r>
          </w:p>
        </w:tc>
      </w:tr>
      <w:tr>
        <w:tc>
          <w:tcPr>
            <w:tcW w:w="7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HD07</w:t>
            </w:r>
          </w:p>
        </w:tc>
        <w:tc>
          <w:tcPr>
            <w:tcW w:w="2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Điều 7: Bảo mật thông tin</w:t>
              <w:br/>
              <w:t xml:space="preserve">Mức: 🟡 MED</w:t>
              <w:br/>
              <w:t xml:space="preserve">Blocking: NO</w:t>
              <w:br/>
              <w:t xml:space="preserve">Flag: hallucination</w:t>
            </w:r>
          </w:p>
        </w:tc>
        <w:tc>
          <w:tcPr>
            <w:tcW w:w="3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Trường hợp vi phạm, bên vi phạm phải chịu phạt vi phạm số tiền [gia tri redact] VNĐ (Năm mươi triệu đồng) và bồi thường thiệt hại.</w:t>
            </w:r>
          </w:p>
        </w:tc>
        <w:tc>
          <w:tcPr>
            <w:tcW w:w="3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Mức phạt 50.000.000 VNĐ tương đương 10% giá trị hợp đồng, vượt mức tối đa 8% quy định tại Điều 301 Luật Thương mại 2005 đối với vi phạm nghĩa vụ thương mại. Đề xuất điều chỉnh mức phạt thành: 'chịu phạt vi phạm tối đa không vượt quá 8% giá trị phần nghĩa vụ bị vi phạm và bồi thường thiệt hại trực tiếp.'</w:t>
            </w:r>
          </w:p>
        </w:tc>
      </w:tr>
      <w:tr>
        <w:tc>
          <w:tcPr>
            <w:tcW w:w="7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HD08</w:t>
            </w:r>
          </w:p>
        </w:tc>
        <w:tc>
          <w:tcPr>
            <w:tcW w:w="2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Điều 8: Giải quyết tranh chấp và pháp luật áp dụng</w:t>
              <w:br/>
              <w:t xml:space="preserve">Mức: 💡 LOW</w:t>
              <w:br/>
              <w:t xml:space="preserve">Blocking: NO</w:t>
              <w:br/>
              <w:t xml:space="preserve">Flag: hallucination</w:t>
            </w:r>
          </w:p>
        </w:tc>
        <w:tc>
          <w:tcPr>
            <w:tcW w:w="3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Nếu không đạt được thỏa thuận trong vòng 30 ngày kể từ ngày phát sinh tranh chấp, tranh chấp sẽ được đưa ra giải quyết tại Tòa án nhân dân Quận 1, TP. Hồ Chí Minh.</w:t>
            </w:r>
          </w:p>
        </w:tc>
        <w:tc>
          <w:tcPr>
            <w:tcW w:w="3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Cơ chế giải quyết tranh chấp chuẩn xác, phù hợp quy định pháp luật hiện hành. Giữ nguyên.</w:t>
            </w:r>
          </w:p>
        </w:tc>
      </w:tr>
      <w:tr>
        <w:tc>
          <w:tcPr>
            <w:tcW w:w="70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HD09</w:t>
            </w:r>
          </w:p>
        </w:tc>
        <w:tc>
          <w:tcPr>
            <w:tcW w:w="2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Chấm dứt hợp đồng (Bổ sung điều khoản bị thiếu)</w:t>
              <w:br/>
              <w:t xml:space="preserve">Mức: 🔴 HIGH</w:t>
              <w:br/>
              <w:t xml:space="preserve">Blocking: YES</w:t>
              <w:br/>
              <w:t xml:space="preserve">Flag: hallucination</w:t>
            </w:r>
          </w:p>
        </w:tc>
        <w:tc>
          <w:tcPr>
            <w:tcW w:w="30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Hai bên thống nhất ký kết Hợp đồng Cung cấp Dịch vụ với các điều khoản cụ thể như sau:</w:t>
            </w:r>
          </w:p>
        </w:tc>
        <w:tc>
          <w:tcPr>
            <w:tcW w:w="33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Bẫy bỏ sót điều khoản quan trọng (TC05). Đề xuất bổ sung Điều 9 (Chấm dứt Hợp đồng): 'Hợp đồng này chấm dứt khi: (i) Hết thời hạn hợp đồng mà không gia hạn; (ii) Hai Bên thỏa thuận chấm dứt bằng văn bản; (iii) Một Bên đơn phương chấm dứt khi Bên kia vi phạm nghiêm trọng nghĩa vụ Hợp đồng mà không khắc phục trong vòng 30 ngày kể từ khi nhận được thông báo bằng văn bản. Khi chấm dứt, Bên B có nghĩa vụ thanh toán đầy đủ cho phần Dịch vụ Bên A đã thực hiện nghiệm thu thực tế.'</w:t>
            </w:r>
          </w:p>
        </w:tc>
      </w:tr>
    </w:tbl>
    <w:p>
      <w:pPr>
        <w:spacing w:before="0" w:after="120" w:line="276" w:lineRule="auto"/>
      </w:pPr>
      <w:r>
        <w:rPr>
          <w:rFonts w:ascii="Times New Roman" w:hAnsi="Times New Roman" w:cs="Times New Roman"/>
          <w:sz w:val="28"/>
          <w:szCs w:val="28"/>
        </w:rPr>
        <w:t xml:space="preserve"/>
      </w:r>
    </w:p>
    <w:p>
      <w:pPr>
        <w:spacing w:before="80" w:after="80" w:line="276" w:lineRule="auto"/>
        <w:keepNext/>
      </w:pPr>
      <w:r>
        <w:rPr>
          <w:rFonts w:ascii="Times New Roman" w:hAnsi="Times New Roman" w:cs="Times New Roman"/>
          <w:b/>
          <w:sz w:val="28"/>
          <w:szCs w:val="28"/>
        </w:rPr>
        <w:t xml:space="preserve">V. KIẾN NGHỊ VÀ QUYẾT ĐỊNH CỦA NGƯỜI THẨM ĐỊNH</w:t>
      </w:r>
    </w:p>
    <w:p>
      <w:pPr>
        <w:spacing w:before="0" w:after="120" w:line="276" w:lineRule="auto"/>
        <w:ind w:firstLine="720"/>
      </w:pPr>
      <w:r>
        <w:rPr>
          <w:rFonts w:ascii="Times New Roman" w:hAnsi="Times New Roman" w:cs="Times New Roman"/>
          <w:sz w:val="28"/>
          <w:szCs w:val="28"/>
        </w:rPr>
        <w:t xml:space="preserve">Kiến nghị: Tạm dừng phê duyệt tự động; chuyển Pháp chế/Người có thẩm quyền xử lý các mục rủi ro CAO, điều khoản thiếu và bẫy rủi ro trước khi ký.</w:t>
      </w:r>
    </w:p>
    <w:tbl>
      <w:tblPr>
        <w:tblW w:w="9360" w:type="dxa"/>
        <w:tblLayout w:type="fixed"/>
        <w:tblBorders>
          <w:top w:val="single" w:sz="6" w:color="9CA3AF"/>
          <w:left w:val="single" w:sz="6" w:color="9CA3AF"/>
          <w:bottom w:val="single" w:sz="6" w:color="9CA3AF"/>
          <w:right w:val="single" w:sz="6" w:color="9CA3AF"/>
          <w:insideH w:val="single" w:sz="4" w:color="D1D5DB"/>
          <w:insideV w:val="single" w:sz="4" w:color="D1D5DB"/>
        </w:tblBorders>
      </w:tblPr>
      <w:tblGrid>
        <w:gridCol w:w="1800"/>
        <w:gridCol w:w="1600"/>
        <w:gridCol w:w="2400"/>
        <w:gridCol w:w="3560"/>
      </w:tblGrid>
      <w:tr>
        <w:tc>
          <w:tcPr>
            <w:tcW w:w="180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Người duyệt</w:t>
            </w:r>
          </w:p>
        </w:tc>
        <w:tc>
          <w:tcPr>
            <w:tcW w:w="160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Ngày duyệt</w:t>
            </w:r>
          </w:p>
        </w:tc>
        <w:tc>
          <w:tcPr>
            <w:tcW w:w="240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Quyết định</w:t>
            </w:r>
          </w:p>
        </w:tc>
        <w:tc>
          <w:tcPr>
            <w:tcW w:w="3560" w:type="dxa"/>
            <w:shd w:fill="E5E7EB"/>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Ý kiến</w:t>
            </w:r>
          </w:p>
        </w:tc>
      </w:tr>
      <w:tr>
        <w:tc>
          <w:tcPr>
            <w:tcW w:w="18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
              <w:br/>
              <w:t xml:space="preserve"/>
              <w:br/>
              <w:t xml:space="preserve"/>
            </w:r>
          </w:p>
        </w:tc>
        <w:tc>
          <w:tcPr>
            <w:tcW w:w="16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
              <w:br/>
              <w:t xml:space="preserve"/>
              <w:br/>
              <w:t xml:space="preserve"/>
            </w:r>
          </w:p>
        </w:tc>
        <w:tc>
          <w:tcPr>
            <w:tcW w:w="24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 ] Duyệt</w:t>
              <w:br/>
              <w:t xml:space="preserve">[ ] Yêu cầu sửa</w:t>
              <w:br/>
              <w:t xml:space="preserve">[ ] Từ chối</w:t>
            </w:r>
          </w:p>
        </w:tc>
        <w:tc>
          <w:tcPr>
            <w:tcW w:w="356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
              <w:br/>
              <w:t xml:space="preserve"/>
              <w:br/>
              <w:t xml:space="preserve"/>
            </w:r>
          </w:p>
        </w:tc>
      </w:tr>
    </w:tbl>
    <w:p>
      <w:pPr>
        <w:spacing w:before="0" w:after="120" w:line="276" w:lineRule="auto"/>
      </w:pPr>
      <w:r>
        <w:rPr>
          <w:rFonts w:ascii="Times New Roman" w:hAnsi="Times New Roman" w:cs="Times New Roman"/>
          <w:sz w:val="28"/>
          <w:szCs w:val="28"/>
        </w:rPr>
        <w:t xml:space="preserve"/>
      </w:r>
    </w:p>
    <w:tbl>
      <w:tblPr>
        <w:tblW w:w="9360" w:type="dxa"/>
        <w:tblLayout w:type="fixed"/>
        <w:tblBorders>
          <w:top w:val="nil"/>
          <w:left w:val="nil"/>
          <w:bottom w:val="nil"/>
          <w:right w:val="nil"/>
          <w:insideH w:val="nil"/>
          <w:insideV w:val="nil"/>
        </w:tblBorders>
      </w:tblPr>
      <w:tblGrid>
        <w:gridCol w:w="4200"/>
        <w:gridCol w:w="5160"/>
      </w:tblGrid>
      <w:tr>
        <w:tc>
          <w:tcPr>
            <w:tcW w:w="4200" w:type="dxa"/>
            <w:vAlign w:val="center"/>
            <w:tcMar>
              <w:top w:w="90" w:type="dxa"/>
              <w:left w:w="110" w:type="dxa"/>
              <w:bottom w:w="90" w:type="dxa"/>
              <w:right w:w="110" w:type="dxa"/>
            </w:tcMar>
          </w:tcPr>
          <w:p>
            <w:pPr>
              <w:jc w:val="left"/>
              <w:spacing w:before="0" w:after="0" w:line="276" w:lineRule="auto"/>
            </w:pPr>
            <w:r>
              <w:rPr>
                <w:rFonts w:ascii="Times New Roman" w:hAnsi="Times New Roman" w:cs="Times New Roman"/>
                <w:sz w:val="24"/>
                <w:szCs w:val="24"/>
              </w:rPr>
              <w:t xml:space="preserve">Nơi nhận:</w:t>
              <w:br/>
              <w:t xml:space="preserve">- Như kính gửi;</w:t>
              <w:br/>
              <w:t xml:space="preserve">- Lưu: Pháp chế.</w:t>
            </w:r>
          </w:p>
        </w:tc>
        <w:tc>
          <w:tcPr>
            <w:tcW w:w="5160" w:type="dxa"/>
            <w:vAlign w:val="center"/>
            <w:tcMar>
              <w:top w:w="90" w:type="dxa"/>
              <w:left w:w="110" w:type="dxa"/>
              <w:bottom w:w="90" w:type="dxa"/>
              <w:right w:w="110" w:type="dxa"/>
            </w:tcMar>
          </w:tcPr>
          <w:p>
            <w:pPr>
              <w:jc w:val="center"/>
              <w:spacing w:before="0" w:after="0" w:line="276" w:lineRule="auto"/>
            </w:pPr>
            <w:r>
              <w:rPr>
                <w:rFonts w:ascii="Times New Roman" w:hAnsi="Times New Roman" w:cs="Times New Roman"/>
                <w:b/>
                <w:sz w:val="24"/>
                <w:szCs w:val="24"/>
              </w:rPr>
              <w:t xml:space="preserve">NGƯỜI THẨM ĐỊNH</w:t>
              <w:br/>
              <w:t xml:space="preserve">(Ký, ghi rõ họ tên)</w:t>
              <w:br/>
              <w:t xml:space="preserve"/>
              <w:br/>
              <w:t xml:space="preserve"/>
              <w:br/>
              <w:t xml:space="preserve"/>
              <w:br/>
              <w:t xml:space="preserve"/>
            </w:r>
          </w:p>
        </w:tc>
      </w:tr>
    </w:tbl>
    <w:p>
      <w:pPr>
        <w:spacing w:before="0" w:after="120" w:line="276" w:lineRule="auto"/>
      </w:pPr>
      <w:r>
        <w:rPr>
          <w:rFonts w:ascii="Times New Roman" w:hAnsi="Times New Roman" w:cs="Times New Roman"/>
          <w:sz w:val="28"/>
          <w:szCs w:val="28"/>
        </w:rPr>
        <w:t xml:space="preserve"/>
      </w:r>
    </w:p>
    <w:sectPr>
      <w:pgSz w:w="11906" w:h="16838"/>
      <w:pgMar w:top="1134" w:right="850"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after="120" w:line="276"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