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4"/>
        </w:rPr>
        <w:t>CỘNG HÒA XÃ HỘI CHỦ NGHĨA VIỆT NAM</w:t>
        <w:br/>
      </w:r>
      <w:r>
        <w:rPr>
          <w:b/>
          <w:sz w:val="22"/>
        </w:rPr>
        <w:t>Độc lập - Tự do - Hạnh phúc</w:t>
        <w:br/>
      </w:r>
      <w:r>
        <w:rPr>
          <w:sz w:val="20"/>
        </w:rPr>
        <w:t>-----------------------</w:t>
      </w:r>
    </w:p>
    <w:p>
      <w:pPr>
        <w:spacing w:after="320"/>
        <w:jc w:val="right"/>
      </w:pPr>
      <w:r>
        <w:rPr>
          <w:i/>
          <w:sz w:val="20"/>
        </w:rPr>
        <w:t>Số: 08/2026/HĐMB-TECHPRO-GLOBAL</w:t>
        <w:br/>
      </w:r>
      <w:r>
        <w:rPr>
          <w:i/>
          <w:sz w:val="20"/>
        </w:rPr>
        <w:t>TP. Hồ Chí Minh, ngày 05 tháng 08 năm 2026</w:t>
      </w:r>
    </w:p>
    <w:p>
      <w:pPr>
        <w:spacing w:after="280"/>
        <w:jc w:val="center"/>
      </w:pPr>
      <w:r>
        <w:rPr>
          <w:b/>
          <w:color w:val="002060"/>
          <w:sz w:val="30"/>
        </w:rPr>
        <w:t>HỢP ĐỒNG MUA BÁN HÀNG HÓA</w:t>
        <w:br/>
      </w:r>
      <w:r>
        <w:rPr>
          <w:i/>
          <w:color w:val="333333"/>
          <w:sz w:val="22"/>
        </w:rPr>
        <w:t>(V/v: Mua bán Máy chủ Server &amp; Thiết bị Mạng)</w:t>
      </w:r>
    </w:p>
    <w:p>
      <w:pPr>
        <w:spacing w:after="60"/>
        <w:ind w:left="288"/>
      </w:pPr>
      <w:r>
        <w:rPr>
          <w:i/>
          <w:sz w:val="20"/>
        </w:rPr>
        <w:t>- Căn cứ Bộ luật Dân sự số 91/2015/QH13 được Quốc hội nước CHXHCN Việt Nam thông qua ngày 24/11/2015;</w:t>
      </w:r>
    </w:p>
    <w:p>
      <w:pPr>
        <w:spacing w:after="60"/>
        <w:ind w:left="288"/>
      </w:pPr>
      <w:r>
        <w:rPr>
          <w:i/>
          <w:sz w:val="20"/>
        </w:rPr>
        <w:t>- Căn cứ Luật Thương mại số 36/2005/QH11 được Quốc hội nước CHXHCN Việt Nam thông qua ngày 14/06/2005;</w:t>
      </w:r>
    </w:p>
    <w:p>
      <w:pPr>
        <w:spacing w:after="60"/>
        <w:ind w:left="288"/>
      </w:pPr>
      <w:r>
        <w:rPr>
          <w:i/>
          <w:sz w:val="20"/>
        </w:rPr>
        <w:t>- Căn cứ nhu cầu và khả năng thực tế của hai Bên.</w:t>
      </w:r>
    </w:p>
    <w:p>
      <w:pPr>
        <w:spacing w:after="80"/>
      </w:pPr>
    </w:p>
    <w:p>
      <w:pPr>
        <w:spacing w:after="160"/>
      </w:pPr>
      <w:r>
        <w:rPr>
          <w:b/>
        </w:rPr>
        <w:t>Hôm nay, ngày ký nêu trên, các Bên gồm có:</w:t>
      </w:r>
    </w:p>
    <w:p>
      <w:r>
        <w:rPr>
          <w:b/>
          <w:sz w:val="23"/>
        </w:rPr>
        <w:t>BÊN A (Bên Cung cấp / Bên Bán): CÔNG TY CỔ PHẦN CÔNG NGHỆ TECHPRO</w:t>
      </w:r>
    </w:p>
    <w:p>
      <w:pPr>
        <w:spacing w:after="40"/>
        <w:ind w:left="360"/>
      </w:pPr>
      <w:r>
        <w:rPr>
          <w:b/>
        </w:rPr>
        <w:t xml:space="preserve">• Mã số thuế: </w:t>
      </w:r>
      <w:r>
        <w:t>0314567890</w:t>
      </w:r>
    </w:p>
    <w:p>
      <w:pPr>
        <w:spacing w:after="40"/>
        <w:ind w:left="360"/>
      </w:pPr>
      <w:r>
        <w:rPr>
          <w:b/>
        </w:rPr>
        <w:t xml:space="preserve">• Địa chỉ trụ sở: </w:t>
      </w:r>
      <w:r>
        <w:t>Số 45 Nguyễn Thị Minh Khai, Phường Đa Kao, Quận 3, TP. Hồ Chí Minh</w:t>
      </w:r>
    </w:p>
    <w:p>
      <w:pPr>
        <w:spacing w:after="40"/>
        <w:ind w:left="360"/>
      </w:pPr>
      <w:r>
        <w:rPr>
          <w:b/>
        </w:rPr>
        <w:t xml:space="preserve">• Đại diện bởi: </w:t>
      </w:r>
      <w:r>
        <w:t>Ông Lê Hoàng C</w:t>
      </w:r>
    </w:p>
    <w:p>
      <w:pPr>
        <w:spacing w:after="40"/>
        <w:ind w:left="360"/>
      </w:pPr>
      <w:r>
        <w:rPr>
          <w:b/>
        </w:rPr>
        <w:t xml:space="preserve">• Chức vụ: </w:t>
      </w:r>
      <w:r>
        <w:t>Giám đốc Kinh doanh</w:t>
      </w:r>
    </w:p>
    <w:p>
      <w:pPr>
        <w:spacing w:after="40"/>
        <w:ind w:left="360"/>
      </w:pPr>
      <w:r>
        <w:rPr>
          <w:b/>
        </w:rPr>
        <w:t xml:space="preserve">• Điện thoại: </w:t>
      </w:r>
      <w:r>
        <w:t>0908 111 222</w:t>
      </w:r>
    </w:p>
    <w:p>
      <w:pPr>
        <w:spacing w:after="40"/>
        <w:ind w:left="360"/>
      </w:pPr>
      <w:r>
        <w:rPr>
          <w:b/>
        </w:rPr>
        <w:t xml:space="preserve">• Email: </w:t>
      </w:r>
      <w:r>
        <w:t>sales@techpro.com.vn</w:t>
      </w:r>
    </w:p>
    <w:p>
      <w:pPr>
        <w:spacing w:after="80"/>
      </w:pPr>
    </w:p>
    <w:p>
      <w:r>
        <w:rPr>
          <w:b/>
          <w:sz w:val="23"/>
        </w:rPr>
        <w:t>BÊN B (Bên Sử dụng / Bên Mua): CÔNG TY TNHH THƯƠNG MẠI TOÀN CẦU</w:t>
      </w:r>
    </w:p>
    <w:p>
      <w:pPr>
        <w:spacing w:after="40"/>
        <w:ind w:left="360"/>
      </w:pPr>
      <w:r>
        <w:rPr>
          <w:b/>
        </w:rPr>
        <w:t xml:space="preserve">• Mã số thuế: </w:t>
      </w:r>
      <w:r>
        <w:t>0309876543</w:t>
      </w:r>
    </w:p>
    <w:p>
      <w:pPr>
        <w:spacing w:after="40"/>
        <w:ind w:left="360"/>
      </w:pPr>
      <w:r>
        <w:rPr>
          <w:b/>
        </w:rPr>
        <w:t xml:space="preserve">• Địa chỉ trụ sở: </w:t>
      </w:r>
      <w:r>
        <w:t>Số 120 Trần Hưng Đạo, Phường Phạm Ngũ Lão, Quận 1, TP. Hồ Chí Minh</w:t>
      </w:r>
    </w:p>
    <w:p>
      <w:pPr>
        <w:spacing w:after="40"/>
        <w:ind w:left="360"/>
      </w:pPr>
      <w:r>
        <w:rPr>
          <w:b/>
        </w:rPr>
        <w:t xml:space="preserve">• Đại diện bởi: </w:t>
      </w:r>
      <w:r>
        <w:t>Ông Phạm Văn D</w:t>
      </w:r>
    </w:p>
    <w:p>
      <w:pPr>
        <w:spacing w:after="40"/>
        <w:ind w:left="360"/>
      </w:pPr>
      <w:r>
        <w:rPr>
          <w:b/>
        </w:rPr>
        <w:t xml:space="preserve">• Chức vụ: </w:t>
      </w:r>
      <w:r>
        <w:t>Giám đốc Mua hàng</w:t>
      </w:r>
    </w:p>
    <w:p>
      <w:pPr>
        <w:spacing w:after="40"/>
        <w:ind w:left="360"/>
      </w:pPr>
      <w:r>
        <w:rPr>
          <w:b/>
        </w:rPr>
        <w:t xml:space="preserve">• Điện thoại: </w:t>
      </w:r>
      <w:r>
        <w:t>0912 333 444</w:t>
      </w:r>
    </w:p>
    <w:p>
      <w:pPr>
        <w:spacing w:after="40"/>
        <w:ind w:left="360"/>
      </w:pPr>
      <w:r>
        <w:rPr>
          <w:b/>
        </w:rPr>
        <w:t xml:space="preserve">• Email: </w:t>
      </w:r>
      <w:r>
        <w:t>procurement@global-trade.vn</w:t>
      </w:r>
    </w:p>
    <w:p>
      <w:pPr>
        <w:spacing w:after="80"/>
      </w:pPr>
    </w:p>
    <w:p>
      <w:pPr>
        <w:spacing w:after="280"/>
      </w:pPr>
      <w:r>
        <w:rPr>
          <w:i/>
        </w:rPr>
        <w:t>Hai bên thống nhất ký kết Hợp đồng Mua bán Hàng hóa với các điều khoản cụ thể như sau:</w:t>
      </w:r>
    </w:p>
    <w:p>
      <w:pPr>
        <w:keepNext/>
        <w:spacing w:before="200" w:after="80"/>
      </w:pPr>
      <w:r>
        <w:rPr>
          <w:b/>
          <w:color w:val="002060"/>
          <w:sz w:val="24"/>
        </w:rPr>
        <w:t>ĐIỀU 1: ĐỐI TƯỢNG HỢP ĐỒNG VÀ DANH MỤC HÀNG HÓA</w:t>
      </w:r>
    </w:p>
    <w:p>
      <w:pPr>
        <w:spacing w:after="60"/>
        <w:ind w:left="288"/>
      </w:pPr>
      <w:r>
        <w:rPr>
          <w:b/>
        </w:rPr>
        <w:t xml:space="preserve">1.1. </w:t>
      </w:r>
      <w:r>
        <w:t>Bên A đồng ý bán và Bên B đồng ý mua hệ thống thiết bị máy chủ và thiết bị mạng chính hãng theo danh mục, quy cách kỹ thuật và số lượng chi tiết dưới đây:</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1343"/>
            <w:shd w:fill="002060"/>
            <w:tcMar>
              <w:top w:w="120" w:type="dxa"/>
              <w:left w:w="100" w:type="dxa"/>
              <w:bottom w:w="120" w:type="dxa"/>
              <w:right w:w="100" w:type="dxa"/>
            </w:tcMar>
          </w:tcPr>
          <w:p>
            <w:pPr>
              <w:jc w:val="center"/>
            </w:pPr>
            <w:r>
              <w:rPr>
                <w:b/>
                <w:color w:val="FFFFFF"/>
                <w:sz w:val="20"/>
              </w:rPr>
              <w:t>STT</w:t>
            </w:r>
          </w:p>
        </w:tc>
        <w:tc>
          <w:tcPr>
            <w:tcW w:type="dxa" w:w="1343"/>
            <w:shd w:fill="002060"/>
            <w:tcMar>
              <w:top w:w="120" w:type="dxa"/>
              <w:left w:w="100" w:type="dxa"/>
              <w:bottom w:w="120" w:type="dxa"/>
              <w:right w:w="100" w:type="dxa"/>
            </w:tcMar>
          </w:tcPr>
          <w:p>
            <w:pPr>
              <w:jc w:val="center"/>
            </w:pPr>
            <w:r>
              <w:rPr>
                <w:b/>
                <w:color w:val="FFFFFF"/>
                <w:sz w:val="20"/>
              </w:rPr>
              <w:t>Tên Hàng hóa / Thiết bị</w:t>
            </w:r>
          </w:p>
        </w:tc>
        <w:tc>
          <w:tcPr>
            <w:tcW w:type="dxa" w:w="1343"/>
            <w:shd w:fill="002060"/>
            <w:tcMar>
              <w:top w:w="120" w:type="dxa"/>
              <w:left w:w="100" w:type="dxa"/>
              <w:bottom w:w="120" w:type="dxa"/>
              <w:right w:w="100" w:type="dxa"/>
            </w:tcMar>
          </w:tcPr>
          <w:p>
            <w:pPr>
              <w:jc w:val="center"/>
            </w:pPr>
            <w:r>
              <w:rPr>
                <w:b/>
                <w:color w:val="FFFFFF"/>
                <w:sz w:val="20"/>
              </w:rPr>
              <w:t>Chủng loại / Model</w:t>
            </w:r>
          </w:p>
        </w:tc>
        <w:tc>
          <w:tcPr>
            <w:tcW w:type="dxa" w:w="1343"/>
            <w:shd w:fill="002060"/>
            <w:tcMar>
              <w:top w:w="120" w:type="dxa"/>
              <w:left w:w="100" w:type="dxa"/>
              <w:bottom w:w="120" w:type="dxa"/>
              <w:right w:w="100" w:type="dxa"/>
            </w:tcMar>
          </w:tcPr>
          <w:p>
            <w:pPr>
              <w:jc w:val="center"/>
            </w:pPr>
            <w:r>
              <w:rPr>
                <w:b/>
                <w:color w:val="FFFFFF"/>
                <w:sz w:val="20"/>
              </w:rPr>
              <w:t>ĐVT</w:t>
            </w:r>
          </w:p>
        </w:tc>
        <w:tc>
          <w:tcPr>
            <w:tcW w:type="dxa" w:w="1343"/>
            <w:shd w:fill="002060"/>
            <w:tcMar>
              <w:top w:w="120" w:type="dxa"/>
              <w:left w:w="100" w:type="dxa"/>
              <w:bottom w:w="120" w:type="dxa"/>
              <w:right w:w="100" w:type="dxa"/>
            </w:tcMar>
          </w:tcPr>
          <w:p>
            <w:pPr>
              <w:jc w:val="center"/>
            </w:pPr>
            <w:r>
              <w:rPr>
                <w:b/>
                <w:color w:val="FFFFFF"/>
                <w:sz w:val="20"/>
              </w:rPr>
              <w:t>SL</w:t>
            </w:r>
          </w:p>
        </w:tc>
        <w:tc>
          <w:tcPr>
            <w:tcW w:type="dxa" w:w="1343"/>
            <w:shd w:fill="002060"/>
            <w:tcMar>
              <w:top w:w="120" w:type="dxa"/>
              <w:left w:w="100" w:type="dxa"/>
              <w:bottom w:w="120" w:type="dxa"/>
              <w:right w:w="100" w:type="dxa"/>
            </w:tcMar>
          </w:tcPr>
          <w:p>
            <w:pPr>
              <w:jc w:val="center"/>
            </w:pPr>
            <w:r>
              <w:rPr>
                <w:b/>
                <w:color w:val="FFFFFF"/>
                <w:sz w:val="20"/>
              </w:rPr>
              <w:t>Đơn giá (VNĐ)</w:t>
            </w:r>
          </w:p>
        </w:tc>
        <w:tc>
          <w:tcPr>
            <w:tcW w:type="dxa" w:w="1343"/>
            <w:shd w:fill="002060"/>
            <w:tcMar>
              <w:top w:w="120" w:type="dxa"/>
              <w:left w:w="100" w:type="dxa"/>
              <w:bottom w:w="120" w:type="dxa"/>
              <w:right w:w="100" w:type="dxa"/>
            </w:tcMar>
          </w:tcPr>
          <w:p>
            <w:pPr>
              <w:jc w:val="center"/>
            </w:pPr>
            <w:r>
              <w:rPr>
                <w:b/>
                <w:color w:val="FFFFFF"/>
                <w:sz w:val="20"/>
              </w:rPr>
              <w:t>Thành tiền (VNĐ)</w:t>
            </w:r>
          </w:p>
        </w:tc>
      </w:tr>
      <w:tr>
        <w:tc>
          <w:tcPr>
            <w:tcW w:type="dxa" w:w="1343"/>
            <w:shd w:fill="FFFFFF"/>
            <w:tcMar>
              <w:top w:w="100" w:type="dxa"/>
              <w:left w:w="100" w:type="dxa"/>
              <w:bottom w:w="100" w:type="dxa"/>
              <w:right w:w="100" w:type="dxa"/>
            </w:tcMar>
          </w:tcPr>
          <w:p>
            <w:pPr>
              <w:spacing w:after="40" w:before="40"/>
              <w:jc w:val="center"/>
            </w:pPr>
            <w:r>
              <w:rPr>
                <w:sz w:val="20"/>
              </w:rPr>
              <w:t>1</w:t>
            </w:r>
          </w:p>
        </w:tc>
        <w:tc>
          <w:tcPr>
            <w:tcW w:type="dxa" w:w="1343"/>
            <w:shd w:fill="FFFFFF"/>
            <w:tcMar>
              <w:top w:w="100" w:type="dxa"/>
              <w:left w:w="100" w:type="dxa"/>
              <w:bottom w:w="100" w:type="dxa"/>
              <w:right w:w="100" w:type="dxa"/>
            </w:tcMar>
          </w:tcPr>
          <w:p>
            <w:pPr>
              <w:spacing w:after="40" w:before="40"/>
              <w:jc w:val="left"/>
            </w:pPr>
            <w:r>
              <w:rPr>
                <w:sz w:val="20"/>
              </w:rPr>
              <w:t>Máy chủ Dell PowerEdge R750</w:t>
            </w:r>
          </w:p>
        </w:tc>
        <w:tc>
          <w:tcPr>
            <w:tcW w:type="dxa" w:w="1343"/>
            <w:shd w:fill="FFFFFF"/>
            <w:tcMar>
              <w:top w:w="100" w:type="dxa"/>
              <w:left w:w="100" w:type="dxa"/>
              <w:bottom w:w="100" w:type="dxa"/>
              <w:right w:w="100" w:type="dxa"/>
            </w:tcMar>
          </w:tcPr>
          <w:p>
            <w:pPr>
              <w:spacing w:after="40" w:before="40"/>
              <w:jc w:val="left"/>
            </w:pPr>
            <w:r>
              <w:rPr>
                <w:sz w:val="20"/>
              </w:rPr>
              <w:t>Intel Xeon Silver 4314, 64GB RAM, 2x960GB SSD</w:t>
            </w:r>
          </w:p>
        </w:tc>
        <w:tc>
          <w:tcPr>
            <w:tcW w:type="dxa" w:w="1343"/>
            <w:shd w:fill="FFFFFF"/>
            <w:tcMar>
              <w:top w:w="100" w:type="dxa"/>
              <w:left w:w="100" w:type="dxa"/>
              <w:bottom w:w="100" w:type="dxa"/>
              <w:right w:w="100" w:type="dxa"/>
            </w:tcMar>
          </w:tcPr>
          <w:p>
            <w:pPr>
              <w:spacing w:after="40" w:before="40"/>
              <w:jc w:val="center"/>
            </w:pPr>
            <w:r>
              <w:rPr>
                <w:sz w:val="20"/>
              </w:rPr>
              <w:t>Bộ</w:t>
            </w:r>
          </w:p>
        </w:tc>
        <w:tc>
          <w:tcPr>
            <w:tcW w:type="dxa" w:w="1343"/>
            <w:shd w:fill="FFFFFF"/>
            <w:tcMar>
              <w:top w:w="100" w:type="dxa"/>
              <w:left w:w="100" w:type="dxa"/>
              <w:bottom w:w="100" w:type="dxa"/>
              <w:right w:w="100" w:type="dxa"/>
            </w:tcMar>
          </w:tcPr>
          <w:p>
            <w:pPr>
              <w:spacing w:after="40" w:before="40"/>
              <w:jc w:val="center"/>
            </w:pPr>
            <w:r>
              <w:rPr>
                <w:sz w:val="20"/>
              </w:rPr>
              <w:t>2</w:t>
            </w:r>
          </w:p>
        </w:tc>
        <w:tc>
          <w:tcPr>
            <w:tcW w:type="dxa" w:w="1343"/>
            <w:shd w:fill="FFFFFF"/>
            <w:tcMar>
              <w:top w:w="100" w:type="dxa"/>
              <w:left w:w="100" w:type="dxa"/>
              <w:bottom w:w="100" w:type="dxa"/>
              <w:right w:w="100" w:type="dxa"/>
            </w:tcMar>
          </w:tcPr>
          <w:p>
            <w:pPr>
              <w:spacing w:after="40" w:before="40"/>
              <w:jc w:val="right"/>
            </w:pPr>
            <w:r>
              <w:rPr>
                <w:sz w:val="20"/>
              </w:rPr>
              <w:t>150.000.000</w:t>
            </w:r>
          </w:p>
        </w:tc>
        <w:tc>
          <w:tcPr>
            <w:tcW w:type="dxa" w:w="1343"/>
            <w:shd w:fill="FFFFFF"/>
            <w:tcMar>
              <w:top w:w="100" w:type="dxa"/>
              <w:left w:w="100" w:type="dxa"/>
              <w:bottom w:w="100" w:type="dxa"/>
              <w:right w:w="100" w:type="dxa"/>
            </w:tcMar>
          </w:tcPr>
          <w:p>
            <w:pPr>
              <w:spacing w:after="40" w:before="40"/>
              <w:jc w:val="right"/>
            </w:pPr>
            <w:r>
              <w:rPr>
                <w:sz w:val="20"/>
              </w:rPr>
              <w:t>300.000.000</w:t>
            </w:r>
          </w:p>
        </w:tc>
      </w:tr>
      <w:tr>
        <w:tc>
          <w:tcPr>
            <w:tcW w:type="dxa" w:w="1343"/>
            <w:shd w:fill="F2F5F9"/>
            <w:tcMar>
              <w:top w:w="100" w:type="dxa"/>
              <w:left w:w="100" w:type="dxa"/>
              <w:bottom w:w="100" w:type="dxa"/>
              <w:right w:w="100" w:type="dxa"/>
            </w:tcMar>
          </w:tcPr>
          <w:p>
            <w:pPr>
              <w:spacing w:after="40" w:before="40"/>
              <w:jc w:val="center"/>
            </w:pPr>
            <w:r>
              <w:rPr>
                <w:sz w:val="20"/>
              </w:rPr>
              <w:t>2</w:t>
            </w:r>
          </w:p>
        </w:tc>
        <w:tc>
          <w:tcPr>
            <w:tcW w:type="dxa" w:w="1343"/>
            <w:shd w:fill="F2F5F9"/>
            <w:tcMar>
              <w:top w:w="100" w:type="dxa"/>
              <w:left w:w="100" w:type="dxa"/>
              <w:bottom w:w="100" w:type="dxa"/>
              <w:right w:w="100" w:type="dxa"/>
            </w:tcMar>
          </w:tcPr>
          <w:p>
            <w:pPr>
              <w:spacing w:after="40" w:before="40"/>
              <w:jc w:val="left"/>
            </w:pPr>
            <w:r>
              <w:rPr>
                <w:sz w:val="20"/>
              </w:rPr>
              <w:t>Thiết bị chuyển mạch Cisco Catalyst 9300</w:t>
            </w:r>
          </w:p>
        </w:tc>
        <w:tc>
          <w:tcPr>
            <w:tcW w:type="dxa" w:w="1343"/>
            <w:shd w:fill="F2F5F9"/>
            <w:tcMar>
              <w:top w:w="100" w:type="dxa"/>
              <w:left w:w="100" w:type="dxa"/>
              <w:bottom w:w="100" w:type="dxa"/>
              <w:right w:w="100" w:type="dxa"/>
            </w:tcMar>
          </w:tcPr>
          <w:p>
            <w:pPr>
              <w:spacing w:after="40" w:before="40"/>
              <w:jc w:val="left"/>
            </w:pPr>
            <w:r>
              <w:rPr>
                <w:sz w:val="20"/>
              </w:rPr>
              <w:t>24-port PoE+, Network Advantage</w:t>
            </w:r>
          </w:p>
        </w:tc>
        <w:tc>
          <w:tcPr>
            <w:tcW w:type="dxa" w:w="1343"/>
            <w:shd w:fill="F2F5F9"/>
            <w:tcMar>
              <w:top w:w="100" w:type="dxa"/>
              <w:left w:w="100" w:type="dxa"/>
              <w:bottom w:w="100" w:type="dxa"/>
              <w:right w:w="100" w:type="dxa"/>
            </w:tcMar>
          </w:tcPr>
          <w:p>
            <w:pPr>
              <w:spacing w:after="40" w:before="40"/>
              <w:jc w:val="center"/>
            </w:pPr>
            <w:r>
              <w:rPr>
                <w:sz w:val="20"/>
              </w:rPr>
              <w:t>Bộ</w:t>
            </w:r>
          </w:p>
        </w:tc>
        <w:tc>
          <w:tcPr>
            <w:tcW w:type="dxa" w:w="1343"/>
            <w:shd w:fill="F2F5F9"/>
            <w:tcMar>
              <w:top w:w="100" w:type="dxa"/>
              <w:left w:w="100" w:type="dxa"/>
              <w:bottom w:w="100" w:type="dxa"/>
              <w:right w:w="100" w:type="dxa"/>
            </w:tcMar>
          </w:tcPr>
          <w:p>
            <w:pPr>
              <w:spacing w:after="40" w:before="40"/>
              <w:jc w:val="center"/>
            </w:pPr>
            <w:r>
              <w:rPr>
                <w:sz w:val="20"/>
              </w:rPr>
              <w:t>4</w:t>
            </w:r>
          </w:p>
        </w:tc>
        <w:tc>
          <w:tcPr>
            <w:tcW w:type="dxa" w:w="1343"/>
            <w:shd w:fill="F2F5F9"/>
            <w:tcMar>
              <w:top w:w="100" w:type="dxa"/>
              <w:left w:w="100" w:type="dxa"/>
              <w:bottom w:w="100" w:type="dxa"/>
              <w:right w:w="100" w:type="dxa"/>
            </w:tcMar>
          </w:tcPr>
          <w:p>
            <w:pPr>
              <w:spacing w:after="40" w:before="40"/>
              <w:jc w:val="right"/>
            </w:pPr>
            <w:r>
              <w:rPr>
                <w:sz w:val="20"/>
              </w:rPr>
              <w:t>40.000.000</w:t>
            </w:r>
          </w:p>
        </w:tc>
        <w:tc>
          <w:tcPr>
            <w:tcW w:type="dxa" w:w="1343"/>
            <w:shd w:fill="F2F5F9"/>
            <w:tcMar>
              <w:top w:w="100" w:type="dxa"/>
              <w:left w:w="100" w:type="dxa"/>
              <w:bottom w:w="100" w:type="dxa"/>
              <w:right w:w="100" w:type="dxa"/>
            </w:tcMar>
          </w:tcPr>
          <w:p>
            <w:pPr>
              <w:spacing w:after="40" w:before="40"/>
              <w:jc w:val="right"/>
            </w:pPr>
            <w:r>
              <w:rPr>
                <w:sz w:val="20"/>
              </w:rPr>
              <w:t>160.000.000</w:t>
            </w:r>
          </w:p>
        </w:tc>
      </w:tr>
      <w:tr>
        <w:tc>
          <w:tcPr>
            <w:tcW w:type="dxa" w:w="1343"/>
            <w:shd w:fill="FFFFFF"/>
            <w:tcMar>
              <w:top w:w="100" w:type="dxa"/>
              <w:left w:w="100" w:type="dxa"/>
              <w:bottom w:w="100" w:type="dxa"/>
              <w:right w:w="100" w:type="dxa"/>
            </w:tcMar>
          </w:tcPr>
          <w:p>
            <w:pPr>
              <w:spacing w:after="40" w:before="40"/>
              <w:jc w:val="center"/>
            </w:pPr>
            <w:r>
              <w:rPr>
                <w:sz w:val="20"/>
              </w:rPr>
              <w:t>3</w:t>
            </w:r>
          </w:p>
        </w:tc>
        <w:tc>
          <w:tcPr>
            <w:tcW w:type="dxa" w:w="1343"/>
            <w:shd w:fill="FFFFFF"/>
            <w:tcMar>
              <w:top w:w="100" w:type="dxa"/>
              <w:left w:w="100" w:type="dxa"/>
              <w:bottom w:w="100" w:type="dxa"/>
              <w:right w:w="100" w:type="dxa"/>
            </w:tcMar>
          </w:tcPr>
          <w:p>
            <w:pPr>
              <w:spacing w:after="40" w:before="40"/>
              <w:jc w:val="left"/>
            </w:pPr>
            <w:r>
              <w:rPr>
                <w:sz w:val="20"/>
              </w:rPr>
              <w:t>Tủ Rack Server APC 42U</w:t>
            </w:r>
          </w:p>
        </w:tc>
        <w:tc>
          <w:tcPr>
            <w:tcW w:type="dxa" w:w="1343"/>
            <w:shd w:fill="FFFFFF"/>
            <w:tcMar>
              <w:top w:w="100" w:type="dxa"/>
              <w:left w:w="100" w:type="dxa"/>
              <w:bottom w:w="100" w:type="dxa"/>
              <w:right w:w="100" w:type="dxa"/>
            </w:tcMar>
          </w:tcPr>
          <w:p>
            <w:pPr>
              <w:spacing w:after="40" w:before="40"/>
              <w:jc w:val="left"/>
            </w:pPr>
            <w:r>
              <w:rPr>
                <w:sz w:val="20"/>
              </w:rPr>
              <w:t>Tiêu chuẩn 19 inch, kèm PDU &amp; quạt tản nhiệt</w:t>
            </w:r>
          </w:p>
        </w:tc>
        <w:tc>
          <w:tcPr>
            <w:tcW w:type="dxa" w:w="1343"/>
            <w:shd w:fill="FFFFFF"/>
            <w:tcMar>
              <w:top w:w="100" w:type="dxa"/>
              <w:left w:w="100" w:type="dxa"/>
              <w:bottom w:w="100" w:type="dxa"/>
              <w:right w:w="100" w:type="dxa"/>
            </w:tcMar>
          </w:tcPr>
          <w:p>
            <w:pPr>
              <w:spacing w:after="40" w:before="40"/>
              <w:jc w:val="center"/>
            </w:pPr>
            <w:r>
              <w:rPr>
                <w:sz w:val="20"/>
              </w:rPr>
              <w:t>Bộ</w:t>
            </w:r>
          </w:p>
        </w:tc>
        <w:tc>
          <w:tcPr>
            <w:tcW w:type="dxa" w:w="1343"/>
            <w:shd w:fill="FFFFFF"/>
            <w:tcMar>
              <w:top w:w="100" w:type="dxa"/>
              <w:left w:w="100" w:type="dxa"/>
              <w:bottom w:w="100" w:type="dxa"/>
              <w:right w:w="100" w:type="dxa"/>
            </w:tcMar>
          </w:tcPr>
          <w:p>
            <w:pPr>
              <w:spacing w:after="40" w:before="40"/>
              <w:jc w:val="center"/>
            </w:pPr>
            <w:r>
              <w:rPr>
                <w:sz w:val="20"/>
              </w:rPr>
              <w:t>2</w:t>
            </w:r>
          </w:p>
        </w:tc>
        <w:tc>
          <w:tcPr>
            <w:tcW w:type="dxa" w:w="1343"/>
            <w:shd w:fill="FFFFFF"/>
            <w:tcMar>
              <w:top w:w="100" w:type="dxa"/>
              <w:left w:w="100" w:type="dxa"/>
              <w:bottom w:w="100" w:type="dxa"/>
              <w:right w:w="100" w:type="dxa"/>
            </w:tcMar>
          </w:tcPr>
          <w:p>
            <w:pPr>
              <w:spacing w:after="40" w:before="40"/>
              <w:jc w:val="right"/>
            </w:pPr>
            <w:r>
              <w:rPr>
                <w:sz w:val="20"/>
              </w:rPr>
              <w:t>20.000.000</w:t>
            </w:r>
          </w:p>
        </w:tc>
        <w:tc>
          <w:tcPr>
            <w:tcW w:type="dxa" w:w="1343"/>
            <w:shd w:fill="FFFFFF"/>
            <w:tcMar>
              <w:top w:w="100" w:type="dxa"/>
              <w:left w:w="100" w:type="dxa"/>
              <w:bottom w:w="100" w:type="dxa"/>
              <w:right w:w="100" w:type="dxa"/>
            </w:tcMar>
          </w:tcPr>
          <w:p>
            <w:pPr>
              <w:spacing w:after="40" w:before="40"/>
              <w:jc w:val="right"/>
            </w:pPr>
            <w:r>
              <w:rPr>
                <w:sz w:val="20"/>
              </w:rPr>
              <w:t>40.000.000</w:t>
            </w:r>
          </w:p>
        </w:tc>
      </w:tr>
      <w:tr>
        <w:tc>
          <w:tcPr>
            <w:tcW w:type="dxa" w:w="1343"/>
            <w:shd w:fill="F2F5F9"/>
            <w:tcMar>
              <w:top w:w="100" w:type="dxa"/>
              <w:left w:w="100" w:type="dxa"/>
              <w:bottom w:w="100" w:type="dxa"/>
              <w:right w:w="100" w:type="dxa"/>
            </w:tcMar>
          </w:tcPr>
          <w:p>
            <w:pPr>
              <w:spacing w:after="40" w:before="40"/>
              <w:jc w:val="center"/>
            </w:pPr>
            <w:r>
              <w:rPr>
                <w:sz w:val="20"/>
              </w:rPr>
            </w:r>
          </w:p>
        </w:tc>
        <w:tc>
          <w:tcPr>
            <w:tcW w:type="dxa" w:w="1343"/>
            <w:shd w:fill="F2F5F9"/>
            <w:tcMar>
              <w:top w:w="100" w:type="dxa"/>
              <w:left w:w="100" w:type="dxa"/>
              <w:bottom w:w="100" w:type="dxa"/>
              <w:right w:w="100" w:type="dxa"/>
            </w:tcMar>
          </w:tcPr>
          <w:p>
            <w:pPr>
              <w:spacing w:after="40" w:before="40"/>
              <w:jc w:val="left"/>
            </w:pPr>
            <w:r>
              <w:rPr>
                <w:sz w:val="20"/>
              </w:rPr>
              <w:t>CỘNG TIỀN HÀNG (chưa VAT)</w:t>
            </w:r>
          </w:p>
        </w:tc>
        <w:tc>
          <w:tcPr>
            <w:tcW w:type="dxa" w:w="1343"/>
            <w:shd w:fill="F2F5F9"/>
            <w:tcMar>
              <w:top w:w="100" w:type="dxa"/>
              <w:left w:w="100" w:type="dxa"/>
              <w:bottom w:w="100" w:type="dxa"/>
              <w:right w:w="100" w:type="dxa"/>
            </w:tcMar>
          </w:tcPr>
          <w:p>
            <w:pPr>
              <w:spacing w:after="40" w:before="40"/>
              <w:jc w:val="left"/>
            </w:pPr>
            <w:r>
              <w:rPr>
                <w:sz w:val="20"/>
              </w:rPr>
            </w:r>
          </w:p>
        </w:tc>
        <w:tc>
          <w:tcPr>
            <w:tcW w:type="dxa" w:w="1343"/>
            <w:shd w:fill="F2F5F9"/>
            <w:tcMar>
              <w:top w:w="100" w:type="dxa"/>
              <w:left w:w="100" w:type="dxa"/>
              <w:bottom w:w="100" w:type="dxa"/>
              <w:right w:w="100" w:type="dxa"/>
            </w:tcMar>
          </w:tcPr>
          <w:p>
            <w:pPr>
              <w:spacing w:after="40" w:before="40"/>
              <w:jc w:val="center"/>
            </w:pPr>
            <w:r>
              <w:rPr>
                <w:sz w:val="20"/>
              </w:rPr>
            </w:r>
          </w:p>
        </w:tc>
        <w:tc>
          <w:tcPr>
            <w:tcW w:type="dxa" w:w="1343"/>
            <w:shd w:fill="F2F5F9"/>
            <w:tcMar>
              <w:top w:w="100" w:type="dxa"/>
              <w:left w:w="100" w:type="dxa"/>
              <w:bottom w:w="100" w:type="dxa"/>
              <w:right w:w="100" w:type="dxa"/>
            </w:tcMar>
          </w:tcPr>
          <w:p>
            <w:pPr>
              <w:spacing w:after="40" w:before="40"/>
              <w:jc w:val="center"/>
            </w:pPr>
            <w:r>
              <w:rPr>
                <w:sz w:val="20"/>
              </w:rPr>
            </w:r>
          </w:p>
        </w:tc>
        <w:tc>
          <w:tcPr>
            <w:tcW w:type="dxa" w:w="1343"/>
            <w:shd w:fill="F2F5F9"/>
            <w:tcMar>
              <w:top w:w="100" w:type="dxa"/>
              <w:left w:w="100" w:type="dxa"/>
              <w:bottom w:w="100" w:type="dxa"/>
              <w:right w:w="100" w:type="dxa"/>
            </w:tcMar>
          </w:tcPr>
          <w:p>
            <w:pPr>
              <w:spacing w:after="40" w:before="40"/>
              <w:jc w:val="right"/>
            </w:pPr>
            <w:r>
              <w:rPr>
                <w:sz w:val="20"/>
              </w:rPr>
            </w:r>
          </w:p>
        </w:tc>
        <w:tc>
          <w:tcPr>
            <w:tcW w:type="dxa" w:w="1343"/>
            <w:shd w:fill="F2F5F9"/>
            <w:tcMar>
              <w:top w:w="100" w:type="dxa"/>
              <w:left w:w="100" w:type="dxa"/>
              <w:bottom w:w="100" w:type="dxa"/>
              <w:right w:w="100" w:type="dxa"/>
            </w:tcMar>
          </w:tcPr>
          <w:p>
            <w:pPr>
              <w:spacing w:after="40" w:before="40"/>
              <w:jc w:val="right"/>
            </w:pPr>
            <w:r>
              <w:rPr>
                <w:sz w:val="20"/>
              </w:rPr>
              <w:t>500.000.000</w:t>
            </w:r>
          </w:p>
        </w:tc>
      </w:tr>
      <w:tr>
        <w:tc>
          <w:tcPr>
            <w:tcW w:type="dxa" w:w="1343"/>
            <w:shd w:fill="FFFFFF"/>
            <w:tcMar>
              <w:top w:w="100" w:type="dxa"/>
              <w:left w:w="100" w:type="dxa"/>
              <w:bottom w:w="100" w:type="dxa"/>
              <w:right w:w="100" w:type="dxa"/>
            </w:tcMar>
          </w:tcPr>
          <w:p>
            <w:pPr>
              <w:spacing w:after="40" w:before="40"/>
              <w:jc w:val="center"/>
            </w:pPr>
            <w:r>
              <w:rPr>
                <w:sz w:val="20"/>
              </w:rPr>
            </w:r>
          </w:p>
        </w:tc>
        <w:tc>
          <w:tcPr>
            <w:tcW w:type="dxa" w:w="1343"/>
            <w:shd w:fill="FFFFFF"/>
            <w:tcMar>
              <w:top w:w="100" w:type="dxa"/>
              <w:left w:w="100" w:type="dxa"/>
              <w:bottom w:w="100" w:type="dxa"/>
              <w:right w:w="100" w:type="dxa"/>
            </w:tcMar>
          </w:tcPr>
          <w:p>
            <w:pPr>
              <w:spacing w:after="40" w:before="40"/>
              <w:jc w:val="left"/>
            </w:pPr>
            <w:r>
              <w:rPr>
                <w:sz w:val="20"/>
              </w:rPr>
              <w:t>THUẾ GIÁ TRỊ GIA TĂNG (VAT 10%)</w:t>
            </w:r>
          </w:p>
        </w:tc>
        <w:tc>
          <w:tcPr>
            <w:tcW w:type="dxa" w:w="1343"/>
            <w:shd w:fill="FFFFFF"/>
            <w:tcMar>
              <w:top w:w="100" w:type="dxa"/>
              <w:left w:w="100" w:type="dxa"/>
              <w:bottom w:w="100" w:type="dxa"/>
              <w:right w:w="100" w:type="dxa"/>
            </w:tcMar>
          </w:tcPr>
          <w:p>
            <w:pPr>
              <w:spacing w:after="40" w:before="40"/>
              <w:jc w:val="left"/>
            </w:pPr>
            <w:r>
              <w:rPr>
                <w:sz w:val="20"/>
              </w:rPr>
            </w:r>
          </w:p>
        </w:tc>
        <w:tc>
          <w:tcPr>
            <w:tcW w:type="dxa" w:w="1343"/>
            <w:shd w:fill="FFFFFF"/>
            <w:tcMar>
              <w:top w:w="100" w:type="dxa"/>
              <w:left w:w="100" w:type="dxa"/>
              <w:bottom w:w="100" w:type="dxa"/>
              <w:right w:w="100" w:type="dxa"/>
            </w:tcMar>
          </w:tcPr>
          <w:p>
            <w:pPr>
              <w:spacing w:after="40" w:before="40"/>
              <w:jc w:val="center"/>
            </w:pPr>
            <w:r>
              <w:rPr>
                <w:sz w:val="20"/>
              </w:rPr>
            </w:r>
          </w:p>
        </w:tc>
        <w:tc>
          <w:tcPr>
            <w:tcW w:type="dxa" w:w="1343"/>
            <w:shd w:fill="FFFFFF"/>
            <w:tcMar>
              <w:top w:w="100" w:type="dxa"/>
              <w:left w:w="100" w:type="dxa"/>
              <w:bottom w:w="100" w:type="dxa"/>
              <w:right w:w="100" w:type="dxa"/>
            </w:tcMar>
          </w:tcPr>
          <w:p>
            <w:pPr>
              <w:spacing w:after="40" w:before="40"/>
              <w:jc w:val="center"/>
            </w:pPr>
            <w:r>
              <w:rPr>
                <w:sz w:val="20"/>
              </w:rPr>
            </w:r>
          </w:p>
        </w:tc>
        <w:tc>
          <w:tcPr>
            <w:tcW w:type="dxa" w:w="1343"/>
            <w:shd w:fill="FFFFFF"/>
            <w:tcMar>
              <w:top w:w="100" w:type="dxa"/>
              <w:left w:w="100" w:type="dxa"/>
              <w:bottom w:w="100" w:type="dxa"/>
              <w:right w:w="100" w:type="dxa"/>
            </w:tcMar>
          </w:tcPr>
          <w:p>
            <w:pPr>
              <w:spacing w:after="40" w:before="40"/>
              <w:jc w:val="right"/>
            </w:pPr>
            <w:r>
              <w:rPr>
                <w:sz w:val="20"/>
              </w:rPr>
            </w:r>
          </w:p>
        </w:tc>
        <w:tc>
          <w:tcPr>
            <w:tcW w:type="dxa" w:w="1343"/>
            <w:shd w:fill="FFFFFF"/>
            <w:tcMar>
              <w:top w:w="100" w:type="dxa"/>
              <w:left w:w="100" w:type="dxa"/>
              <w:bottom w:w="100" w:type="dxa"/>
              <w:right w:w="100" w:type="dxa"/>
            </w:tcMar>
          </w:tcPr>
          <w:p>
            <w:pPr>
              <w:spacing w:after="40" w:before="40"/>
              <w:jc w:val="right"/>
            </w:pPr>
            <w:r>
              <w:rPr>
                <w:sz w:val="20"/>
              </w:rPr>
              <w:t>50.000.000</w:t>
            </w:r>
          </w:p>
        </w:tc>
      </w:tr>
      <w:tr>
        <w:tc>
          <w:tcPr>
            <w:tcW w:type="dxa" w:w="1343"/>
            <w:shd w:fill="F2F5F9"/>
            <w:tcMar>
              <w:top w:w="100" w:type="dxa"/>
              <w:left w:w="100" w:type="dxa"/>
              <w:bottom w:w="100" w:type="dxa"/>
              <w:right w:w="100" w:type="dxa"/>
            </w:tcMar>
          </w:tcPr>
          <w:p>
            <w:pPr>
              <w:spacing w:after="40" w:before="40"/>
              <w:jc w:val="center"/>
            </w:pPr>
            <w:r>
              <w:rPr>
                <w:sz w:val="20"/>
              </w:rPr>
            </w:r>
          </w:p>
        </w:tc>
        <w:tc>
          <w:tcPr>
            <w:tcW w:type="dxa" w:w="1343"/>
            <w:shd w:fill="F2F5F9"/>
            <w:tcMar>
              <w:top w:w="100" w:type="dxa"/>
              <w:left w:w="100" w:type="dxa"/>
              <w:bottom w:w="100" w:type="dxa"/>
              <w:right w:w="100" w:type="dxa"/>
            </w:tcMar>
          </w:tcPr>
          <w:p>
            <w:pPr>
              <w:spacing w:after="40" w:before="40"/>
              <w:jc w:val="left"/>
            </w:pPr>
            <w:r>
              <w:rPr>
                <w:sz w:val="20"/>
              </w:rPr>
              <w:t>TỔNG CỘNG TIỀN THANH TOÁN</w:t>
            </w:r>
          </w:p>
        </w:tc>
        <w:tc>
          <w:tcPr>
            <w:tcW w:type="dxa" w:w="1343"/>
            <w:shd w:fill="F2F5F9"/>
            <w:tcMar>
              <w:top w:w="100" w:type="dxa"/>
              <w:left w:w="100" w:type="dxa"/>
              <w:bottom w:w="100" w:type="dxa"/>
              <w:right w:w="100" w:type="dxa"/>
            </w:tcMar>
          </w:tcPr>
          <w:p>
            <w:pPr>
              <w:spacing w:after="40" w:before="40"/>
              <w:jc w:val="left"/>
            </w:pPr>
            <w:r>
              <w:rPr>
                <w:sz w:val="20"/>
              </w:rPr>
            </w:r>
          </w:p>
        </w:tc>
        <w:tc>
          <w:tcPr>
            <w:tcW w:type="dxa" w:w="1343"/>
            <w:shd w:fill="F2F5F9"/>
            <w:tcMar>
              <w:top w:w="100" w:type="dxa"/>
              <w:left w:w="100" w:type="dxa"/>
              <w:bottom w:w="100" w:type="dxa"/>
              <w:right w:w="100" w:type="dxa"/>
            </w:tcMar>
          </w:tcPr>
          <w:p>
            <w:pPr>
              <w:spacing w:after="40" w:before="40"/>
              <w:jc w:val="center"/>
            </w:pPr>
            <w:r>
              <w:rPr>
                <w:sz w:val="20"/>
              </w:rPr>
            </w:r>
          </w:p>
        </w:tc>
        <w:tc>
          <w:tcPr>
            <w:tcW w:type="dxa" w:w="1343"/>
            <w:shd w:fill="F2F5F9"/>
            <w:tcMar>
              <w:top w:w="100" w:type="dxa"/>
              <w:left w:w="100" w:type="dxa"/>
              <w:bottom w:w="100" w:type="dxa"/>
              <w:right w:w="100" w:type="dxa"/>
            </w:tcMar>
          </w:tcPr>
          <w:p>
            <w:pPr>
              <w:spacing w:after="40" w:before="40"/>
              <w:jc w:val="center"/>
            </w:pPr>
            <w:r>
              <w:rPr>
                <w:sz w:val="20"/>
              </w:rPr>
            </w:r>
          </w:p>
        </w:tc>
        <w:tc>
          <w:tcPr>
            <w:tcW w:type="dxa" w:w="1343"/>
            <w:shd w:fill="F2F5F9"/>
            <w:tcMar>
              <w:top w:w="100" w:type="dxa"/>
              <w:left w:w="100" w:type="dxa"/>
              <w:bottom w:w="100" w:type="dxa"/>
              <w:right w:w="100" w:type="dxa"/>
            </w:tcMar>
          </w:tcPr>
          <w:p>
            <w:pPr>
              <w:spacing w:after="40" w:before="40"/>
              <w:jc w:val="right"/>
            </w:pPr>
            <w:r>
              <w:rPr>
                <w:sz w:val="20"/>
              </w:rPr>
            </w:r>
          </w:p>
        </w:tc>
        <w:tc>
          <w:tcPr>
            <w:tcW w:type="dxa" w:w="1343"/>
            <w:shd w:fill="F2F5F9"/>
            <w:tcMar>
              <w:top w:w="100" w:type="dxa"/>
              <w:left w:w="100" w:type="dxa"/>
              <w:bottom w:w="100" w:type="dxa"/>
              <w:right w:w="100" w:type="dxa"/>
            </w:tcMar>
          </w:tcPr>
          <w:p>
            <w:pPr>
              <w:spacing w:after="40" w:before="40"/>
              <w:jc w:val="right"/>
            </w:pPr>
            <w:r>
              <w:rPr>
                <w:sz w:val="20"/>
              </w:rPr>
              <w:t>550.000.000</w:t>
            </w:r>
          </w:p>
        </w:tc>
      </w:tr>
    </w:tbl>
    <w:p>
      <w:pPr>
        <w:spacing w:after="120"/>
      </w:pPr>
    </w:p>
    <w:p>
      <w:pPr>
        <w:keepNext/>
        <w:spacing w:before="200" w:after="80"/>
      </w:pPr>
      <w:r>
        <w:rPr>
          <w:b/>
          <w:color w:val="002060"/>
          <w:sz w:val="24"/>
        </w:rPr>
        <w:t>ĐIỀU 2: GIÁ TRỊ HỢP ĐỒNG VÀ PHƯƠNG THỨC THANH TOÁN</w:t>
      </w:r>
    </w:p>
    <w:p>
      <w:pPr>
        <w:spacing w:after="60"/>
        <w:ind w:left="288"/>
      </w:pPr>
      <w:r>
        <w:rPr>
          <w:b/>
        </w:rPr>
        <w:t xml:space="preserve">2.1. </w:t>
      </w:r>
      <w:r>
        <w:t>Tổng giá trị thanh toán Hợp đồng (đã bao gồm 10% VAT): 550.000.000 VNĐ (Năm trăm năm mươi triệu đồng chẵn).</w:t>
      </w:r>
    </w:p>
    <w:p>
      <w:pPr>
        <w:spacing w:after="60"/>
        <w:ind w:left="288"/>
      </w:pPr>
      <w:r>
        <w:rPr>
          <w:b/>
        </w:rPr>
        <w:t xml:space="preserve">2.2. </w:t>
      </w:r>
      <w:r>
        <w:t>Phương thức thanh toán: Chuyển khoản vào tài khoản ngân hàng của Bên A.</w:t>
      </w:r>
    </w:p>
    <w:p>
      <w:pPr>
        <w:spacing w:after="60"/>
        <w:ind w:left="288"/>
      </w:pPr>
      <w:r>
        <w:rPr>
          <w:b/>
        </w:rPr>
        <w:t xml:space="preserve">2.3. </w:t>
      </w:r>
      <w:r>
        <w:t>Tiến độ thanh toán:</w:t>
        <w:br/>
        <w:t>- Đợt 1: Bên B tạm ứng 30% giá trị hợp đồng (165.000.000 VNĐ) trong vòng 05 ngày làm việc sau khi ký Hợp đồng.</w:t>
        <w:br/>
        <w:t>- Đợt 2: Bên B thanh toán 70% giá trị còn lại (385.000.000 VNĐ) trong vòng 07 ngày làm việc kể từ ngày hoàn tất giao hàng và ký Biên bản bàn giao nghiệm thu.</w:t>
      </w:r>
    </w:p>
    <w:p>
      <w:pPr>
        <w:keepNext/>
        <w:spacing w:before="200" w:after="80"/>
      </w:pPr>
      <w:r>
        <w:rPr>
          <w:b/>
          <w:color w:val="002060"/>
          <w:sz w:val="24"/>
        </w:rPr>
        <w:t>ĐIỀU 3: THỜI GIAN VÀ ĐỊA ĐIỂM GIAO HÀNG</w:t>
      </w:r>
    </w:p>
    <w:p>
      <w:pPr>
        <w:spacing w:after="60"/>
        <w:ind w:left="288"/>
      </w:pPr>
      <w:r>
        <w:rPr>
          <w:b/>
        </w:rPr>
        <w:t xml:space="preserve">3.1. </w:t>
      </w:r>
      <w:r>
        <w:t>Thời gian giao hàng: Trong vòng 15 ngày làm việc kể từ ngày Bên A nhận được tiền tạm ứng Đợt 1.</w:t>
      </w:r>
    </w:p>
    <w:p>
      <w:pPr>
        <w:spacing w:after="60"/>
        <w:ind w:left="288"/>
      </w:pPr>
      <w:r>
        <w:rPr>
          <w:b/>
        </w:rPr>
        <w:t xml:space="preserve">3.2. </w:t>
      </w:r>
      <w:r>
        <w:t>Địa điểm giao hàng: Kho trung tâm Bên B tại Số 120 Trần Hưng Đạo, Quận 1, TP. HCM.</w:t>
      </w:r>
    </w:p>
    <w:p>
      <w:pPr>
        <w:keepNext/>
        <w:spacing w:before="200" w:after="80"/>
      </w:pPr>
      <w:r>
        <w:rPr>
          <w:b/>
          <w:color w:val="002060"/>
          <w:sz w:val="24"/>
        </w:rPr>
        <w:t>ĐIỀU 4: KIỂM TRA VÀ NGHIỆM THU HÀNG HÓA</w:t>
      </w:r>
    </w:p>
    <w:p>
      <w:pPr>
        <w:spacing w:after="60"/>
        <w:ind w:left="288"/>
      </w:pPr>
      <w:r>
        <w:rPr>
          <w:b/>
        </w:rPr>
        <w:t xml:space="preserve">4.1. </w:t>
      </w:r>
      <w:r>
        <w:t>Hai bên tiến hành kiểm tra số lượng, chủng loại, tình trạng niêm phong và vận hành thử thiết bị ngay tại thời điểm giao hàng.</w:t>
      </w:r>
    </w:p>
    <w:p>
      <w:pPr>
        <w:spacing w:after="60"/>
        <w:ind w:left="288"/>
      </w:pPr>
      <w:r>
        <w:rPr>
          <w:b/>
        </w:rPr>
        <w:t xml:space="preserve">4.2. </w:t>
      </w:r>
      <w:r>
        <w:t>Biên bản nghiệm thu được ký xác nhận bởi Đại diện có thẩm quyền của hai Bên.</w:t>
      </w:r>
    </w:p>
    <w:p>
      <w:pPr>
        <w:keepNext/>
        <w:spacing w:before="200" w:after="80"/>
      </w:pPr>
      <w:r>
        <w:rPr>
          <w:b/>
          <w:color w:val="002060"/>
          <w:sz w:val="24"/>
        </w:rPr>
        <w:t>ĐIỀU 5: CHẾ ĐỘ BẢO HÀNH THIẾT BỊ</w:t>
      </w:r>
    </w:p>
    <w:p>
      <w:pPr>
        <w:spacing w:after="60"/>
        <w:ind w:left="288"/>
      </w:pPr>
      <w:r>
        <w:rPr>
          <w:b/>
        </w:rPr>
        <w:t xml:space="preserve">5.1. </w:t>
      </w:r>
      <w:r>
        <w:t>Bên A cam kết bảo hành chính hãng 24 tháng đối với Máy chủ Server và Thiết bị Switch, 12 tháng đối với Tủ Rack kể từ ngày ký Biên bản nghiệm thu.</w:t>
      </w:r>
    </w:p>
    <w:p>
      <w:pPr>
        <w:keepNext/>
        <w:spacing w:before="200" w:after="80"/>
      </w:pPr>
      <w:r>
        <w:rPr>
          <w:b/>
          <w:color w:val="002060"/>
          <w:sz w:val="24"/>
        </w:rPr>
        <w:t>ĐIỀU 6: PHẠT VI PHẠM VÀ BỒI THƯỜNG THIỆT HẠI</w:t>
      </w:r>
    </w:p>
    <w:p>
      <w:pPr>
        <w:spacing w:after="60"/>
        <w:ind w:left="288"/>
      </w:pPr>
      <w:r>
        <w:rPr>
          <w:b/>
        </w:rPr>
        <w:t xml:space="preserve">6.1. </w:t>
      </w:r>
      <w:r>
        <w:t>Trường hợp trễ hạn giao hàng hoặc trễ hạn thanh toán, bên vi phạm chịu phạt 0.05%/ngày trên giá trị phần hợp đồng chậm trễ, tổng số tiền phạt vi phạm không vượt quá 8% giá trị phần hợp đồng bị vi phạm.</w:t>
      </w:r>
    </w:p>
    <w:p>
      <w:pPr>
        <w:spacing w:after="60"/>
        <w:ind w:left="288"/>
      </w:pPr>
      <w:r>
        <w:rPr>
          <w:b/>
        </w:rPr>
        <w:t xml:space="preserve">6.2. </w:t>
      </w:r>
      <w:r>
        <w:t>Mức bồi thường thiệt hại tối đa của một Bên trong mọi trường hợp không vượt quá 100% Tổng giá trị Hợp đồng này.</w:t>
      </w:r>
    </w:p>
    <w:p>
      <w:pPr>
        <w:keepNext/>
        <w:spacing w:before="200" w:after="80"/>
      </w:pPr>
      <w:r>
        <w:rPr>
          <w:b/>
          <w:color w:val="002060"/>
          <w:sz w:val="24"/>
        </w:rPr>
        <w:t>ĐIỀU 7: ĐIỀU KHOẢN CHẤM DỨT HỢP ĐỒNG</w:t>
      </w:r>
    </w:p>
    <w:p>
      <w:pPr>
        <w:spacing w:after="60"/>
        <w:ind w:left="288"/>
      </w:pPr>
      <w:r>
        <w:rPr>
          <w:b/>
        </w:rPr>
        <w:t xml:space="preserve">7.1. </w:t>
      </w:r>
      <w:r>
        <w:t>Hợp đồng chấm dứt khi hai bên hoàn tất toàn bộ nghĩa vụ giao hàng và thanh toán.</w:t>
      </w:r>
    </w:p>
    <w:p>
      <w:pPr>
        <w:spacing w:after="60"/>
        <w:ind w:left="288"/>
      </w:pPr>
      <w:r>
        <w:rPr>
          <w:b/>
        </w:rPr>
        <w:t xml:space="preserve">7.2. </w:t>
      </w:r>
      <w:r>
        <w:t>Một bên có quyền đơn phương chấm dứt Hợp đồng nếu bên kia vi phạm nghiêm trọng nghĩa vụ và không khắc phục trong vòng 15 ngày kể từ khi nhận được thông báo bằng văn bản.</w:t>
      </w:r>
    </w:p>
    <w:p>
      <w:pPr>
        <w:keepNext/>
        <w:spacing w:before="200" w:after="80"/>
      </w:pPr>
      <w:r>
        <w:rPr>
          <w:b/>
          <w:color w:val="002060"/>
          <w:sz w:val="24"/>
        </w:rPr>
        <w:t>ĐIỀU 8: SỰ KIỆN BẤT KHẢ KHÁNG</w:t>
      </w:r>
    </w:p>
    <w:p>
      <w:pPr>
        <w:spacing w:after="60"/>
        <w:ind w:left="288"/>
      </w:pPr>
      <w:r>
        <w:rPr>
          <w:b/>
        </w:rPr>
        <w:t xml:space="preserve">8.1. </w:t>
      </w:r>
      <w:r>
        <w:t>Các sự kiện thiên tai, hỏa hoạn, dịch bệnh, chiến tranh hoặc thay đổi chính sách pháp luật của Nhà nước được coi là Sự kiện Bất khả kháng. Bên gặp sự kiện được miễn trách nhiệm bồi thường trễ hạn nếu thông báo cho bên kia trong vòng 05 ngày.</w:t>
      </w:r>
    </w:p>
    <w:p>
      <w:pPr>
        <w:keepNext/>
        <w:spacing w:before="200" w:after="80"/>
      </w:pPr>
      <w:r>
        <w:rPr>
          <w:b/>
          <w:color w:val="002060"/>
          <w:sz w:val="24"/>
        </w:rPr>
        <w:t>ĐIỀU 9: GIẢI QUYẾT TRANH CHẤP VÀ ĐIỀU KHOẢN CHUNG</w:t>
      </w:r>
    </w:p>
    <w:p>
      <w:pPr>
        <w:spacing w:after="60"/>
        <w:ind w:left="288"/>
      </w:pPr>
      <w:r>
        <w:rPr>
          <w:b/>
        </w:rPr>
        <w:t xml:space="preserve">9.1. </w:t>
      </w:r>
      <w:r>
        <w:t>Tranh chấp được ưu tiên thương lượng. Nếu không thành, tranh chấp sẽ được đưa ra Trung tâm Trọng tài Quốc tế Việt Nam (VIAC) bên cạnh Liên đoàn Thương mại và Công nghiệp Việt Nam (VCCI) giải quyết theo Quy tắc tố tụng của Trung tâm này.</w:t>
      </w:r>
    </w:p>
    <w:p>
      <w:pPr>
        <w:spacing w:after="60"/>
        <w:ind w:left="288"/>
      </w:pPr>
      <w:r>
        <w:rPr>
          <w:b/>
        </w:rPr>
        <w:t xml:space="preserve">9.2. </w:t>
      </w:r>
      <w:r>
        <w:t>Hợp đồng này được lập thành 04 (bốn) bản gốc có giá trị pháp lý như nhau, Bên A giữ 02 bản, Bên B giữ 02 bản.</w:t>
      </w:r>
    </w:p>
    <w:p>
      <w:pPr>
        <w:spacing w:after="240"/>
      </w:pPr>
    </w:p>
    <w:tbl>
      <w:tblPr>
        <w:tblW w:type="auto" w:w="0"/>
        <w:jc w:val="center"/>
        <w:tblLook w:firstColumn="1" w:firstRow="1" w:lastColumn="0" w:lastRow="0" w:noHBand="0" w:noVBand="1" w:val="04A0"/>
      </w:tblPr>
      <w:tblGrid>
        <w:gridCol w:w="4701"/>
        <w:gridCol w:w="4701"/>
      </w:tblGrid>
      <w:tr>
        <w:tc>
          <w:tcPr>
            <w:tcW w:type="dxa" w:w="4701"/>
          </w:tcPr>
          <w:p>
            <w:pPr>
              <w:jc w:val="center"/>
            </w:pPr>
            <w:r>
              <w:rPr>
                <w:b/>
                <w:sz w:val="22"/>
              </w:rPr>
              <w:t>ĐẠI DIỆN BÊN A</w:t>
              <w:br/>
            </w:r>
            <w:r>
              <w:rPr>
                <w:i/>
                <w:sz w:val="19"/>
              </w:rPr>
              <w:t>(Ký, ghi rõ họ tên và đóng dấu)</w:t>
            </w:r>
          </w:p>
        </w:tc>
        <w:tc>
          <w:tcPr>
            <w:tcW w:type="dxa" w:w="4701"/>
          </w:tcPr>
          <w:p>
            <w:pPr>
              <w:jc w:val="center"/>
            </w:pPr>
            <w:r>
              <w:rPr>
                <w:b/>
                <w:sz w:val="22"/>
              </w:rPr>
              <w:t>ĐẠI DIỆN BÊN B</w:t>
              <w:br/>
            </w:r>
            <w:r>
              <w:rPr>
                <w:i/>
                <w:sz w:val="19"/>
              </w:rPr>
              <w:t>(Ký, ghi rõ họ tên và đóng dấu)</w:t>
            </w:r>
          </w:p>
        </w:tc>
      </w:tr>
      <w:tr>
        <w:tc>
          <w:tcPr>
            <w:tcW w:type="dxa" w:w="4701"/>
          </w:tcPr>
          <w:p>
            <w:pPr>
              <w:jc w:val="center"/>
            </w:pPr>
            <w:r>
              <w:rPr>
                <w:b/>
              </w:rPr>
              <w:br/>
              <w:br/>
              <w:br/>
              <w:br/>
              <w:t>Lê Hoàng C</w:t>
            </w:r>
          </w:p>
        </w:tc>
        <w:tc>
          <w:tcPr>
            <w:tcW w:type="dxa" w:w="4701"/>
          </w:tcPr>
          <w:p>
            <w:pPr>
              <w:jc w:val="center"/>
            </w:pPr>
            <w:r>
              <w:rPr>
                <w:b/>
              </w:rPr>
              <w:br/>
              <w:br/>
              <w:br/>
              <w:br/>
              <w:t>Phạm Văn D</w:t>
            </w:r>
          </w:p>
        </w:tc>
      </w:tr>
    </w:tbl>
    <w:p>
      <w:pPr>
        <w:spacing w:before="480"/>
        <w:jc w:val="center"/>
      </w:pPr>
      <w:r>
        <w:rPr>
          <w:i/>
          <w:color w:val="7F7F7F"/>
          <w:sz w:val="18"/>
        </w:rPr>
        <w:t>[Hết Hợp Đồng. Tài liệu SYNTHETIC — DÀNH CHO ĐÀO TẠO K1 AI AUTOMATION. Mọi thông tin Tên/MST/Địa chỉ đều là giả lập.]</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