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4"/>
        </w:rPr>
        <w:t>CỘNG HÒA XÃ HỘI CHỦ NGHĨA VIỆT NAM</w:t>
        <w:br/>
      </w:r>
      <w:r>
        <w:rPr>
          <w:b/>
          <w:sz w:val="22"/>
        </w:rPr>
        <w:t>Độc lập - Tự do - Hạnh phúc</w:t>
        <w:br/>
      </w:r>
      <w:r>
        <w:rPr>
          <w:sz w:val="20"/>
        </w:rPr>
        <w:t>-----------------------</w:t>
      </w:r>
    </w:p>
    <w:p>
      <w:pPr>
        <w:spacing w:after="320"/>
        <w:jc w:val="right"/>
      </w:pPr>
      <w:r>
        <w:rPr>
          <w:i/>
          <w:sz w:val="20"/>
        </w:rPr>
        <w:t>Số: 01/2026/HĐDV-ALPHA-BETA</w:t>
        <w:br/>
      </w:r>
      <w:r>
        <w:rPr>
          <w:i/>
          <w:sz w:val="20"/>
        </w:rPr>
        <w:t>TP. Hồ Chí Minh, ngày 15 tháng 07 năm 2026</w:t>
      </w:r>
    </w:p>
    <w:p>
      <w:pPr>
        <w:spacing w:after="280"/>
        <w:jc w:val="center"/>
      </w:pPr>
      <w:r>
        <w:rPr>
          <w:b/>
          <w:color w:val="002060"/>
          <w:sz w:val="30"/>
        </w:rPr>
        <w:t>HỢP ĐỒNG CUNG CẤP DỊCH VỤ</w:t>
        <w:br/>
      </w:r>
      <w:r>
        <w:rPr>
          <w:i/>
          <w:color w:val="333333"/>
          <w:sz w:val="22"/>
        </w:rPr>
        <w:t>(V/v: Vận hành Hệ thống Quản lý Đơn hàng)</w:t>
      </w:r>
    </w:p>
    <w:p>
      <w:pPr>
        <w:spacing w:after="60"/>
        <w:ind w:left="288"/>
      </w:pPr>
      <w:r>
        <w:rPr>
          <w:i/>
          <w:sz w:val="20"/>
        </w:rPr>
        <w:t>- Căn cứ Bộ luật Dân sự số 91/2015/QH13 được Quốc hội nước CHXHCN Việt Nam thông qua ngày 24/11/2015;</w:t>
      </w:r>
    </w:p>
    <w:p>
      <w:pPr>
        <w:spacing w:after="60"/>
        <w:ind w:left="288"/>
      </w:pPr>
      <w:r>
        <w:rPr>
          <w:i/>
          <w:sz w:val="20"/>
        </w:rPr>
        <w:t>- Căn cứ Luật Thương mại số 36/2005/QH11 được Quốc hội nước CHXHCN Việt Nam thông qua ngày 14/06/2005;</w:t>
      </w:r>
    </w:p>
    <w:p>
      <w:pPr>
        <w:spacing w:after="60"/>
        <w:ind w:left="288"/>
      </w:pPr>
      <w:r>
        <w:rPr>
          <w:i/>
          <w:sz w:val="20"/>
        </w:rPr>
        <w:t>- Căn cứ nhu cầu và khả năng thực tế của hai Bên.</w:t>
      </w:r>
    </w:p>
    <w:p>
      <w:pPr>
        <w:spacing w:after="80"/>
      </w:pPr>
    </w:p>
    <w:p>
      <w:pPr>
        <w:spacing w:after="160"/>
      </w:pPr>
      <w:r>
        <w:rPr>
          <w:b/>
        </w:rPr>
        <w:t>Hôm nay, ngày ký nêu trên, các Bên gồm có:</w:t>
      </w:r>
    </w:p>
    <w:p>
      <w:r>
        <w:rPr>
          <w:b/>
          <w:sz w:val="23"/>
        </w:rPr>
        <w:t>BÊN A (Bên Cung cấp / Bên Bán): CÔNG TY TNHH DỊCH VỤ CÔNG NGHỆ ALPHA</w:t>
      </w:r>
    </w:p>
    <w:p>
      <w:pPr>
        <w:spacing w:after="40"/>
        <w:ind w:left="360"/>
      </w:pPr>
      <w:r>
        <w:rPr>
          <w:b/>
        </w:rPr>
        <w:t xml:space="preserve">• Mã số thuế: </w:t>
      </w:r>
      <w:r>
        <w:t>0123456789</w:t>
      </w:r>
    </w:p>
    <w:p>
      <w:pPr>
        <w:spacing w:after="40"/>
        <w:ind w:left="360"/>
      </w:pPr>
      <w:r>
        <w:rPr>
          <w:b/>
        </w:rPr>
        <w:t xml:space="preserve">• Địa chỉ trụ sở: </w:t>
      </w:r>
      <w:r>
        <w:t>Số 10 Đường Mẫu, Phường Tân Sơn Nhì, Q. Tân Bình, TP. Hồ Chí Minh</w:t>
      </w:r>
    </w:p>
    <w:p>
      <w:pPr>
        <w:spacing w:after="40"/>
        <w:ind w:left="360"/>
      </w:pPr>
      <w:r>
        <w:rPr>
          <w:b/>
        </w:rPr>
        <w:t xml:space="preserve">• Đại diện bởi: </w:t>
      </w:r>
      <w:r>
        <w:t>Ông Nguyễn Văn A</w:t>
      </w:r>
    </w:p>
    <w:p>
      <w:pPr>
        <w:spacing w:after="40"/>
        <w:ind w:left="360"/>
      </w:pPr>
      <w:r>
        <w:rPr>
          <w:b/>
        </w:rPr>
        <w:t xml:space="preserve">• Chức vụ: </w:t>
      </w:r>
      <w:r>
        <w:t>Giám đốc</w:t>
      </w:r>
    </w:p>
    <w:p>
      <w:pPr>
        <w:spacing w:after="40"/>
        <w:ind w:left="360"/>
      </w:pPr>
      <w:r>
        <w:rPr>
          <w:b/>
        </w:rPr>
        <w:t xml:space="preserve">• Điện thoại: </w:t>
      </w:r>
      <w:r>
        <w:t>0903 123 456</w:t>
      </w:r>
    </w:p>
    <w:p>
      <w:pPr>
        <w:spacing w:after="40"/>
        <w:ind w:left="360"/>
      </w:pPr>
      <w:r>
        <w:rPr>
          <w:b/>
        </w:rPr>
        <w:t xml:space="preserve">• Email: </w:t>
      </w:r>
      <w:r>
        <w:t>contact@alpha-tech.demo.vn</w:t>
      </w:r>
    </w:p>
    <w:p>
      <w:pPr>
        <w:spacing w:after="40"/>
        <w:ind w:left="360"/>
      </w:pPr>
      <w:r>
        <w:rPr>
          <w:b/>
        </w:rPr>
        <w:t xml:space="preserve">• Số tài khoản: </w:t>
      </w:r>
      <w:r>
        <w:t>19038889999012 tại Ngân hàng TMCP Kỹ thương Việt Nam (Techcombank) - CN Tân Bình</w:t>
      </w:r>
    </w:p>
    <w:p>
      <w:pPr>
        <w:spacing w:after="80"/>
      </w:pPr>
    </w:p>
    <w:p>
      <w:r>
        <w:rPr>
          <w:b/>
          <w:sz w:val="23"/>
        </w:rPr>
        <w:t>BÊN B (Bên Sử dụng / Bên Mua): CÔNG TY CỔ PHẦN THƯƠNG MẠI BETA</w:t>
      </w:r>
    </w:p>
    <w:p>
      <w:pPr>
        <w:spacing w:after="40"/>
        <w:ind w:left="360"/>
      </w:pPr>
      <w:r>
        <w:rPr>
          <w:b/>
        </w:rPr>
        <w:t xml:space="preserve">• Mã số thuế: </w:t>
      </w:r>
      <w:r>
        <w:t>0987654321</w:t>
      </w:r>
    </w:p>
    <w:p>
      <w:pPr>
        <w:spacing w:after="40"/>
        <w:ind w:left="360"/>
      </w:pPr>
      <w:r>
        <w:rPr>
          <w:b/>
        </w:rPr>
        <w:t xml:space="preserve">• Địa chỉ trụ sở: </w:t>
      </w:r>
      <w:r>
        <w:t>Số 22 Đường Demo, Phường Bến Nghé, Quận 1, TP. Hồ Chí Minh</w:t>
      </w:r>
    </w:p>
    <w:p>
      <w:pPr>
        <w:spacing w:after="40"/>
        <w:ind w:left="360"/>
      </w:pPr>
      <w:r>
        <w:rPr>
          <w:b/>
        </w:rPr>
        <w:t xml:space="preserve">• Đại diện bởi: </w:t>
      </w:r>
      <w:r>
        <w:t>Bà Trần Thị B</w:t>
      </w:r>
    </w:p>
    <w:p>
      <w:pPr>
        <w:spacing w:after="40"/>
        <w:ind w:left="360"/>
      </w:pPr>
      <w:r>
        <w:rPr>
          <w:b/>
        </w:rPr>
        <w:t xml:space="preserve">• Chức vụ: </w:t>
      </w:r>
      <w:r>
        <w:t>Tổng Giám đốc</w:t>
      </w:r>
    </w:p>
    <w:p>
      <w:pPr>
        <w:spacing w:after="40"/>
        <w:ind w:left="360"/>
      </w:pPr>
      <w:r>
        <w:rPr>
          <w:b/>
        </w:rPr>
        <w:t xml:space="preserve">• Điện thoại: </w:t>
      </w:r>
      <w:r>
        <w:t>0918 987 654</w:t>
      </w:r>
    </w:p>
    <w:p>
      <w:pPr>
        <w:spacing w:after="40"/>
        <w:ind w:left="360"/>
      </w:pPr>
      <w:r>
        <w:rPr>
          <w:b/>
        </w:rPr>
        <w:t xml:space="preserve">• Email: </w:t>
      </w:r>
      <w:r>
        <w:t>legal@beta-trade.demo.vn</w:t>
      </w:r>
    </w:p>
    <w:p>
      <w:pPr>
        <w:spacing w:after="40"/>
        <w:ind w:left="360"/>
      </w:pPr>
      <w:r>
        <w:rPr>
          <w:b/>
        </w:rPr>
        <w:t xml:space="preserve">• Số tài khoản: </w:t>
      </w:r>
      <w:r>
        <w:t>0071000123456 tại Ngân hàng TMCP Ngoại thương Việt Nam (Vietcombank) - CN TP.HCM</w:t>
      </w:r>
    </w:p>
    <w:p>
      <w:pPr>
        <w:spacing w:after="80"/>
      </w:pPr>
    </w:p>
    <w:p>
      <w:pPr>
        <w:spacing w:after="280"/>
      </w:pPr>
      <w:r>
        <w:rPr>
          <w:i/>
        </w:rPr>
        <w:t>Hai bên thống nhất ký kết Hợp đồng Cung cấp Dịch vụ với các điều khoản cụ thể như sau:</w:t>
      </w:r>
    </w:p>
    <w:p>
      <w:pPr>
        <w:keepNext/>
        <w:spacing w:before="200" w:after="80"/>
      </w:pPr>
      <w:r>
        <w:rPr>
          <w:b/>
          <w:color w:val="002060"/>
          <w:sz w:val="24"/>
        </w:rPr>
        <w:t>ĐIỀU 1: ĐỐI TƯỢNG VÀ PHẠM VI DỊCH VỤ</w:t>
      </w:r>
    </w:p>
    <w:p>
      <w:pPr>
        <w:spacing w:after="60"/>
        <w:ind w:left="288"/>
      </w:pPr>
      <w:r>
        <w:rPr>
          <w:b/>
        </w:rPr>
        <w:t xml:space="preserve">1.1. </w:t>
      </w:r>
      <w:r>
        <w:t>Bên A đồng ý cung cấp cho Bên B dịch vụ vận hành hệ thống quản lý đơn hàng (Order Management System) trong thời hạn 12 tháng.</w:t>
      </w:r>
    </w:p>
    <w:p>
      <w:pPr>
        <w:spacing w:after="60"/>
        <w:ind w:left="288"/>
      </w:pPr>
      <w:r>
        <w:rPr>
          <w:b/>
        </w:rPr>
        <w:t xml:space="preserve">1.2. </w:t>
      </w:r>
      <w:r>
        <w:t>Phạm vi công việc bao gồm: Cấu hình hệ thống, đào tạo nhân sự Bên B sử dụng phần mềm, và hỗ trợ kỹ thuật trong giờ hành chính (8h00 - 17h30 từ Thứ 2 đến Thứ 6).</w:t>
      </w:r>
    </w:p>
    <w:p>
      <w:pPr>
        <w:spacing w:after="60"/>
        <w:ind w:left="288"/>
      </w:pPr>
      <w:r>
        <w:rPr>
          <w:b/>
        </w:rPr>
        <w:t xml:space="preserve">1.3. </w:t>
      </w:r>
      <w:r>
        <w:t>Phạm vi công việc không bao gồm: Phát triển tính năng mới ngoài danh mục đã thỏa thuận tại Phụ lục 01, sửa chữa phần cứng hoặc xử lý sự cố mạng nội bộ của Bên B.</w:t>
      </w:r>
    </w:p>
    <w:p>
      <w:pPr>
        <w:keepNext/>
        <w:spacing w:before="200" w:after="80"/>
      </w:pPr>
      <w:r>
        <w:rPr>
          <w:b/>
          <w:color w:val="002060"/>
          <w:sz w:val="24"/>
        </w:rPr>
        <w:t>ĐIỀU 2: QUYỀN VÀ NGHĨA VỤ CỦA CÁC BÊN</w:t>
      </w:r>
    </w:p>
    <w:p>
      <w:pPr>
        <w:spacing w:after="60"/>
        <w:ind w:left="288"/>
      </w:pPr>
      <w:r>
        <w:rPr>
          <w:b/>
        </w:rPr>
        <w:t xml:space="preserve">2.1. Nghĩa vụ Bên A: </w:t>
      </w:r>
      <w:r>
        <w:t>Cung cấp dịch vụ đúng tiến độ và thực hiện các nghĩa vụ phù hợp với quy định pháp luật. Đảm bảo hệ thống hoạt động ổn định.</w:t>
      </w:r>
    </w:p>
    <w:p>
      <w:pPr>
        <w:spacing w:after="60"/>
        <w:ind w:left="288"/>
      </w:pPr>
      <w:r>
        <w:rPr>
          <w:b/>
        </w:rPr>
        <w:t xml:space="preserve">2.2. Nghĩa vụ Bên B: </w:t>
      </w:r>
      <w:r>
        <w:t>Thanh toán chi phí dịch vụ đầy đủ, đúng hạn và tạo điều kiện thuận lợi về hạ tầng mạng, tài khoản truy cập cho Bên A thực hiện công việc.</w:t>
      </w:r>
    </w:p>
    <w:p>
      <w:pPr>
        <w:keepNext/>
        <w:spacing w:before="200" w:after="80"/>
      </w:pPr>
      <w:r>
        <w:rPr>
          <w:b/>
          <w:color w:val="002060"/>
          <w:sz w:val="24"/>
        </w:rPr>
        <w:t>ĐIỀU 3: GIÁ TRỊ HỢP ĐỒNG VÀ PHƯƠNG THỨC THANH TOÁN</w:t>
      </w:r>
    </w:p>
    <w:p>
      <w:pPr>
        <w:spacing w:after="60"/>
        <w:ind w:left="288"/>
      </w:pPr>
      <w:r>
        <w:rPr>
          <w:b/>
        </w:rPr>
        <w:t xml:space="preserve">3.1. </w:t>
      </w:r>
      <w:r>
        <w:t>Tổng giá trị Hợp đồng: 500.000.000 VNĐ (Bằng chữ: Năm trăm triệu đồng chẵn). Giá trị trên chưa bao gồm thuế Giá trị gia tăng (VAT 10%).</w:t>
      </w:r>
    </w:p>
    <w:p>
      <w:pPr>
        <w:spacing w:after="60"/>
        <w:ind w:left="288"/>
      </w:pPr>
      <w:r>
        <w:rPr>
          <w:b/>
        </w:rPr>
        <w:t xml:space="preserve">3.2. </w:t>
      </w:r>
      <w:r>
        <w:t>Phương thức thanh toán: Bên B thanh toán bằng hình thức chuyển khoản vào tài khoản ngân hàng của Bên A trong thời hạn hợp lý kể từ ngày nhận được hóa đơn tài chính hợp lệ.</w:t>
      </w:r>
    </w:p>
    <w:p>
      <w:pPr>
        <w:spacing w:after="60"/>
        <w:ind w:left="288"/>
      </w:pPr>
      <w:r>
        <w:rPr>
          <w:b/>
        </w:rPr>
        <w:t xml:space="preserve">3.3. </w:t>
      </w:r>
      <w:r>
        <w:t>Tiến độ thanh toán chia làm 2 đợt:</w:t>
        <w:br/>
        <w:t>- Đợt 1: Thanh toán 50% giá trị hợp đồng (250.000.000 VNĐ) ngay sau khi ký Hợp đồng.</w:t>
        <w:br/>
        <w:t>- Đợt 2: Thanh toán 50% giá trị hợp đồng còn lại (250.000.000 VNĐ) khi ký Biên bản nghiệm thu tổng thể.</w:t>
      </w:r>
    </w:p>
    <w:p>
      <w:pPr>
        <w:keepNext/>
        <w:spacing w:before="200" w:after="80"/>
      </w:pPr>
      <w:r>
        <w:rPr>
          <w:b/>
          <w:color w:val="002060"/>
          <w:sz w:val="24"/>
        </w:rPr>
        <w:t>ĐIỀU 4: THỜI HẠN THỰC HIỆN VÀ TIẾN ĐỘ</w:t>
      </w:r>
    </w:p>
    <w:p>
      <w:pPr>
        <w:spacing w:after="60"/>
        <w:ind w:left="288"/>
      </w:pPr>
      <w:r>
        <w:rPr>
          <w:b/>
        </w:rPr>
        <w:t xml:space="preserve">4.1. </w:t>
      </w:r>
      <w:r>
        <w:t>Hợp đồng có hiệu lực kể từ ngày 01/08/2026 đến hết ngày 31/07/2027.</w:t>
      </w:r>
    </w:p>
    <w:p>
      <w:pPr>
        <w:spacing w:after="60"/>
        <w:ind w:left="288"/>
      </w:pPr>
      <w:r>
        <w:rPr>
          <w:b/>
        </w:rPr>
        <w:t xml:space="preserve">4.2. </w:t>
      </w:r>
      <w:r>
        <w:t>Milestone nghiệm thu đợt 1: Hoàn thành cấu hình và bàn giao hệ thống trước ngày 30/09/2026.</w:t>
      </w:r>
    </w:p>
    <w:p>
      <w:pPr>
        <w:keepNext/>
        <w:spacing w:before="200" w:after="80"/>
      </w:pPr>
      <w:r>
        <w:rPr>
          <w:b/>
          <w:color w:val="002060"/>
          <w:sz w:val="24"/>
        </w:rPr>
        <w:t>ĐIỀU 5: GIA HẠN HỢP ĐỒNG</w:t>
      </w:r>
    </w:p>
    <w:p>
      <w:pPr>
        <w:spacing w:after="60"/>
        <w:ind w:left="288"/>
      </w:pPr>
      <w:r>
        <w:rPr>
          <w:b/>
        </w:rPr>
        <w:t xml:space="preserve">5.1. </w:t>
      </w:r>
      <w:r>
        <w:t>Khi hết thời hạn Hợp đồng nêu tại Điều 4, Bên B có thể đơn phương gia hạn Hợp đồng thêm 06 tháng với các điều khoản giữ nguyên mà không cần sự đồng ý của Bên A, với điều kiện Bên B gửi thông báo bằng văn bản trước 15 ngày.</w:t>
      </w:r>
    </w:p>
    <w:p>
      <w:pPr>
        <w:keepNext/>
        <w:spacing w:before="200" w:after="80"/>
      </w:pPr>
      <w:r>
        <w:rPr>
          <w:b/>
          <w:color w:val="002060"/>
          <w:sz w:val="24"/>
        </w:rPr>
        <w:t>ĐIỀU 6: TRÁCH NHIỆM BỒI THƯỜNG THIỆT HẠI</w:t>
      </w:r>
    </w:p>
    <w:p>
      <w:pPr>
        <w:spacing w:after="60"/>
        <w:ind w:left="288"/>
      </w:pPr>
      <w:r>
        <w:rPr>
          <w:b/>
        </w:rPr>
        <w:t xml:space="preserve">6.1. </w:t>
      </w:r>
      <w:r>
        <w:t>Nếu một bên vi phạm hợp đồng gây thiệt hại cho bên kia, bên vi phạm phải bồi thường toàn bộ theo thiệt hại thực tế phát sinh, không giới hạn mức tối đa.</w:t>
      </w:r>
    </w:p>
    <w:p>
      <w:pPr>
        <w:keepNext/>
        <w:spacing w:before="200" w:after="80"/>
      </w:pPr>
      <w:r>
        <w:rPr>
          <w:b/>
          <w:color w:val="002060"/>
          <w:sz w:val="24"/>
        </w:rPr>
        <w:t>ĐIỀU 7: BẢO MẬT THÔNG TIN</w:t>
      </w:r>
    </w:p>
    <w:p>
      <w:pPr>
        <w:spacing w:after="60"/>
        <w:ind w:left="288"/>
      </w:pPr>
      <w:r>
        <w:rPr>
          <w:b/>
        </w:rPr>
        <w:t xml:space="preserve">7.1. </w:t>
      </w:r>
      <w:r>
        <w:t>Hai bên cam kết bảo mật tuyệt đối mọi thông tin kinh doanh, dữ liệu kỹ thuật và mã nguồn trao đổi trong quá trình thực hiện Hợp đồng.</w:t>
      </w:r>
    </w:p>
    <w:p>
      <w:pPr>
        <w:spacing w:after="60"/>
        <w:ind w:left="288"/>
      </w:pPr>
      <w:r>
        <w:rPr>
          <w:b/>
        </w:rPr>
        <w:t xml:space="preserve">7.2. </w:t>
      </w:r>
      <w:r>
        <w:t>Thời hạn bảo mật có hiệu lực trong vòng 03 năm kể từ ngày Hợp đồng chấm dứt. Trường hợp vi phạm, bên vi phạm phải chịu phạt vi phạm số tiền 50.000.000 VNĐ (Năm mươi triệu đồng) và bồi thường thiệt hại.</w:t>
      </w:r>
    </w:p>
    <w:p>
      <w:pPr>
        <w:keepNext/>
        <w:spacing w:before="200" w:after="80"/>
      </w:pPr>
      <w:r>
        <w:rPr>
          <w:b/>
          <w:color w:val="002060"/>
          <w:sz w:val="24"/>
        </w:rPr>
        <w:t>ĐIỀU 8: GIẢI QUYẾT TRANH CHẤP VÀ PHÁP LUẬT ÁP DỤNG</w:t>
      </w:r>
    </w:p>
    <w:p>
      <w:pPr>
        <w:spacing w:after="60"/>
        <w:ind w:left="288"/>
      </w:pPr>
      <w:r>
        <w:rPr>
          <w:b/>
        </w:rPr>
        <w:t xml:space="preserve">8.1. </w:t>
      </w:r>
      <w:r>
        <w:t>Mọi tranh phát sinh từ hoặc liên quan đến Hợp đồng này trước hết được giải quyết thông qua thương lượng, hòa giải giữa hai Bên.</w:t>
      </w:r>
    </w:p>
    <w:p>
      <w:pPr>
        <w:spacing w:after="60"/>
        <w:ind w:left="288"/>
      </w:pPr>
      <w:r>
        <w:rPr>
          <w:b/>
        </w:rPr>
        <w:t xml:space="preserve">8.2. </w:t>
      </w:r>
      <w:r>
        <w:t>Nếu không đạt được thỏa thuận trong vòng 30 ngày kể từ ngày phát sinh tranh chấp, tranh chấp sẽ được đưa ra giải quyết tại Tòa án nhân dân Quận 1, TP. Hồ Chí Minh.</w:t>
      </w:r>
    </w:p>
    <w:p>
      <w:pPr>
        <w:spacing w:after="60"/>
        <w:ind w:left="288"/>
      </w:pPr>
      <w:r>
        <w:rPr>
          <w:b/>
        </w:rPr>
        <w:t xml:space="preserve">8.3. </w:t>
      </w:r>
      <w:r>
        <w:t>Pháp luật áp dụng điều chỉnh Hợp đồng này là pháp luật nước Cộng hòa Xã hội Chủ nghĩa Việt Nam.</w:t>
      </w:r>
    </w:p>
    <w:p>
      <w:pPr>
        <w:spacing w:after="240"/>
      </w:pPr>
    </w:p>
    <w:tbl>
      <w:tblPr>
        <w:tblW w:type="auto" w:w="0"/>
        <w:jc w:val="center"/>
        <w:tblLook w:firstColumn="1" w:firstRow="1" w:lastColumn="0" w:lastRow="0" w:noHBand="0" w:noVBand="1" w:val="04A0"/>
      </w:tblPr>
      <w:tblGrid>
        <w:gridCol w:w="4701"/>
        <w:gridCol w:w="4701"/>
      </w:tblGrid>
      <w:tr>
        <w:tc>
          <w:tcPr>
            <w:tcW w:type="dxa" w:w="4701"/>
          </w:tcPr>
          <w:p>
            <w:pPr>
              <w:jc w:val="center"/>
            </w:pPr>
            <w:r>
              <w:rPr>
                <w:b/>
                <w:sz w:val="22"/>
              </w:rPr>
              <w:t>ĐẠI DIỆN BÊN A</w:t>
              <w:br/>
            </w:r>
            <w:r>
              <w:rPr>
                <w:i/>
                <w:sz w:val="19"/>
              </w:rPr>
              <w:t>(Ký, ghi rõ họ tên và đóng dấu)</w:t>
            </w:r>
          </w:p>
        </w:tc>
        <w:tc>
          <w:tcPr>
            <w:tcW w:type="dxa" w:w="4701"/>
          </w:tcPr>
          <w:p>
            <w:pPr>
              <w:jc w:val="center"/>
            </w:pPr>
            <w:r>
              <w:rPr>
                <w:b/>
                <w:sz w:val="22"/>
              </w:rPr>
              <w:t>ĐẠI DIỆN BÊN B</w:t>
              <w:br/>
            </w:r>
            <w:r>
              <w:rPr>
                <w:i/>
                <w:sz w:val="19"/>
              </w:rPr>
              <w:t>(Ký, ghi rõ họ tên và đóng dấu)</w:t>
            </w:r>
          </w:p>
        </w:tc>
      </w:tr>
      <w:tr>
        <w:tc>
          <w:tcPr>
            <w:tcW w:type="dxa" w:w="4701"/>
          </w:tcPr>
          <w:p>
            <w:pPr>
              <w:jc w:val="center"/>
            </w:pPr>
            <w:r>
              <w:rPr>
                <w:b/>
              </w:rPr>
              <w:br/>
              <w:br/>
              <w:br/>
              <w:br/>
              <w:t>Nguyễn Văn A</w:t>
            </w:r>
          </w:p>
        </w:tc>
        <w:tc>
          <w:tcPr>
            <w:tcW w:type="dxa" w:w="4701"/>
          </w:tcPr>
          <w:p>
            <w:pPr>
              <w:jc w:val="center"/>
            </w:pPr>
            <w:r>
              <w:rPr>
                <w:b/>
              </w:rPr>
              <w:br/>
              <w:br/>
              <w:br/>
              <w:br/>
              <w:t>Trần Thị B</w:t>
            </w:r>
          </w:p>
        </w:tc>
      </w:tr>
    </w:tbl>
    <w:p>
      <w:pPr>
        <w:spacing w:before="480"/>
        <w:jc w:val="center"/>
      </w:pPr>
      <w:r>
        <w:rPr>
          <w:i/>
          <w:color w:val="7F7F7F"/>
          <w:sz w:val="18"/>
        </w:rPr>
        <w:t>[Hết Hợp Đồng. Tài liệu SYNTHETIC — DÀNH CHO ĐÀO TẠO K1 AI AUTOMATION. Mọi thông tin Tên/MST/Địa chỉ đều là giả lập.]</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