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9F42E" w14:textId="312C87B8" w:rsidR="008775A8" w:rsidRDefault="00000000">
      <w:pPr>
        <w:pStyle w:val="Heading1"/>
      </w:pPr>
      <w:bookmarkStart w:id="0" w:name="header"/>
      <w:bookmarkStart w:id="1" w:name="X2f8a12be6e0b722d1853c82fe0c22b9deae03cd"/>
      <w:bookmarkStart w:id="2" w:name="content"/>
      <w:bookmarkEnd w:id="0"/>
      <w:r>
        <w:t>Rule-Based Flood Resource Allocation</w:t>
      </w:r>
    </w:p>
    <w:p w14:paraId="77A98876" w14:textId="77777777" w:rsidR="008775A8" w:rsidRDefault="00000000">
      <w:pPr>
        <w:pStyle w:val="Heading2"/>
      </w:pPr>
      <w:bookmarkStart w:id="3" w:name="X7050159324cd92856a1924fdf3c50fc733dcd74"/>
      <w:r>
        <w:t>Key Contributions and Gaps in Recent Studies (2019–2025)</w:t>
      </w:r>
    </w:p>
    <w:p w14:paraId="2873FD51" w14:textId="6D2C1886" w:rsidR="00F86F0F" w:rsidRDefault="00F86F0F" w:rsidP="005C0388">
      <w:pPr>
        <w:pStyle w:val="BodyText"/>
        <w:numPr>
          <w:ilvl w:val="0"/>
          <w:numId w:val="4"/>
        </w:numPr>
      </w:pPr>
      <w:r>
        <w:t xml:space="preserve"> </w:t>
      </w:r>
      <w:r w:rsidRPr="00F86F0F">
        <w:rPr>
          <w:b/>
          <w:bCs/>
        </w:rPr>
        <w:t>Park et al. (2025)</w:t>
      </w:r>
      <w:r>
        <w:t xml:space="preserve"> – Developed a building-level Flood Risk Index combining hazard, exposure, and vulnerability factors for each structure. This multi-dimensional index pinpoints truly high-risk buildings more precisely than using flood depth alone, so responders can focus resources on those and avoid low-risk sites[1]. Gap: Demonstrated only in one city; it guides what to prioritize but doesn’t detail how to distribute resources operationally.</w:t>
      </w:r>
      <w:r w:rsidR="005C0388">
        <w:t xml:space="preserve"> </w:t>
      </w:r>
      <w:r>
        <w:t xml:space="preserve">Here's an overview on the risk factors: </w:t>
      </w:r>
      <w:r>
        <w:br/>
      </w:r>
      <w:r>
        <w:rPr>
          <w:noProof/>
        </w:rPr>
        <w:drawing>
          <wp:inline distT="0" distB="0" distL="0" distR="0" wp14:anchorId="483006F8" wp14:editId="758836A6">
            <wp:extent cx="5240655" cy="2761615"/>
            <wp:effectExtent l="0" t="0" r="0" b="0"/>
            <wp:docPr id="89808522" name="Picture 1" descr="Applsci 15 07777 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sci 15 07777 g0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0655" cy="2761615"/>
                    </a:xfrm>
                    <a:prstGeom prst="rect">
                      <a:avLst/>
                    </a:prstGeom>
                    <a:noFill/>
                    <a:ln>
                      <a:noFill/>
                    </a:ln>
                  </pic:spPr>
                </pic:pic>
              </a:graphicData>
            </a:graphic>
          </wp:inline>
        </w:drawing>
      </w:r>
    </w:p>
    <w:p w14:paraId="6F63A39D" w14:textId="77777777" w:rsidR="00F86F0F" w:rsidRDefault="00F86F0F" w:rsidP="00F86F0F">
      <w:pPr>
        <w:pStyle w:val="BodyText"/>
        <w:numPr>
          <w:ilvl w:val="0"/>
          <w:numId w:val="4"/>
        </w:numPr>
      </w:pPr>
      <w:r w:rsidRPr="00F86F0F">
        <w:rPr>
          <w:b/>
          <w:bCs/>
        </w:rPr>
        <w:t>Zhong et al. (2025)</w:t>
      </w:r>
      <w:r>
        <w:t xml:space="preserve"> – Created a </w:t>
      </w:r>
      <w:r w:rsidRPr="00F86F0F">
        <w:rPr>
          <w:b/>
          <w:bCs/>
        </w:rPr>
        <w:t>national-scale coordination model for flood relief, integrating hydrodynamic flood simulations with multi-level public/private resource allocation</w:t>
      </w:r>
      <w:r>
        <w:t>. Simulations showed that full cross-regional coordination (sharing supplies nationwide) dramatically improves relief coverage (e.g. raising average 12-hour demand coverage from ~15% with no coordination to ~61% under full coordination)[2]. Gap: Assumes a fixed 1-in-100-year flood scenario and independent events (not accounting for compounding/extreme climate effects)[3]; results are tailored to China’s centralized system and need adaptation for other contexts.</w:t>
      </w:r>
    </w:p>
    <w:p w14:paraId="4B3B4DEF" w14:textId="330C068A" w:rsidR="00F86F0F" w:rsidRDefault="00F86F0F" w:rsidP="00F86F0F">
      <w:pPr>
        <w:pStyle w:val="BodyText"/>
        <w:numPr>
          <w:ilvl w:val="0"/>
          <w:numId w:val="4"/>
        </w:numPr>
      </w:pPr>
      <w:r w:rsidRPr="00F86F0F">
        <w:rPr>
          <w:b/>
          <w:bCs/>
        </w:rPr>
        <w:t>Wang et al. (2023</w:t>
      </w:r>
      <w:r>
        <w:t xml:space="preserve">) </w:t>
      </w:r>
      <w:r w:rsidRPr="00F86F0F">
        <w:rPr>
          <w:b/>
          <w:bCs/>
        </w:rPr>
        <w:t>– Optimized pre-disaster stockpiling of flood emergency materials across a network of warehouses</w:t>
      </w:r>
      <w:r>
        <w:t>. Their multi-objective model minimizes response time, storage/transport cost, and unmet demand (shortage losses) by coordinating inventories among warehouses[4]. In a provincial case study, the optimized allocation cut expected shortages (out-of-stock losses) by ~110,000 units and improved deployment efficiency by shifting critical supplies to high-need locations[5]. Gap: Focuses on pre-flood staging; it’s less about real-time reallocation during an actual event and relies on accurate demand forecasts.</w:t>
      </w:r>
    </w:p>
    <w:p w14:paraId="3D29A84F" w14:textId="2F72717F" w:rsidR="00F86F0F" w:rsidRDefault="00F86F0F" w:rsidP="00F86F0F">
      <w:pPr>
        <w:pStyle w:val="BodyText"/>
        <w:numPr>
          <w:ilvl w:val="0"/>
          <w:numId w:val="4"/>
        </w:numPr>
      </w:pPr>
      <w:r w:rsidRPr="00F86F0F">
        <w:rPr>
          <w:b/>
          <w:bCs/>
        </w:rPr>
        <w:lastRenderedPageBreak/>
        <w:t>Scopetani et al. (2022)</w:t>
      </w:r>
      <w:r>
        <w:t xml:space="preserve"> – Proposed a </w:t>
      </w:r>
      <w:r w:rsidRPr="00F86F0F">
        <w:rPr>
          <w:b/>
          <w:bCs/>
        </w:rPr>
        <w:t>decision-support method to prioritize levee reinforcement interventions at the basin scale</w:t>
      </w:r>
      <w:r>
        <w:t>. By assessing levee vulnerability and mapping potential breach impacts, they rank sections of river embankments by urgency – essentially a rule-based priority list for preventive maintenance and upgrades[6]. Gap: Emphasizes long-term infrastructure mitigation (preventing levee failures) rather than allocating emergency resources during floods; the approach is case-specific (one river basin) and requires detailed levee condition data.</w:t>
      </w:r>
    </w:p>
    <w:p w14:paraId="022ABA6A" w14:textId="617CF993" w:rsidR="00F86F0F" w:rsidRDefault="00F86F0F" w:rsidP="00F86F0F">
      <w:pPr>
        <w:pStyle w:val="BodyText"/>
        <w:numPr>
          <w:ilvl w:val="0"/>
          <w:numId w:val="4"/>
        </w:numPr>
      </w:pPr>
      <w:r w:rsidRPr="00F86F0F">
        <w:rPr>
          <w:b/>
          <w:bCs/>
        </w:rPr>
        <w:t>Binesh et al. (2025)</w:t>
      </w:r>
      <w:r>
        <w:t xml:space="preserve"> – Introduced a </w:t>
      </w:r>
      <w:r w:rsidRPr="00F86F0F">
        <w:rPr>
          <w:b/>
          <w:bCs/>
        </w:rPr>
        <w:t>fuzzy indicator-based framework to quickly rank the flood vulnerability of critical infrastructures (CIs) like hospitals, schools, and bridges</w:t>
      </w:r>
      <w:r>
        <w:t>. This helps identify which CIs are most critical to protect or support first, guiding resource allocation for mitigation and recovery[7]. Gap: It’s a preliminary screening tool that may not capture all interdependencies; the ranking needs validation to ensure the chosen priorities truly correspond to worst potential impacts in real flood events.</w:t>
      </w:r>
    </w:p>
    <w:p w14:paraId="3C3E3492" w14:textId="77777777" w:rsidR="00F86F0F" w:rsidRDefault="00F86F0F" w:rsidP="00F86F0F">
      <w:pPr>
        <w:pStyle w:val="Heading2"/>
      </w:pPr>
      <w:r>
        <w:t>Proposed Rule-Based Resource Allocation Strategy</w:t>
      </w:r>
    </w:p>
    <w:p w14:paraId="3973AA7F" w14:textId="4825C099" w:rsidR="00F86F0F" w:rsidRDefault="00F86F0F" w:rsidP="00F86F0F">
      <w:pPr>
        <w:pStyle w:val="BodyText"/>
        <w:numPr>
          <w:ilvl w:val="0"/>
          <w:numId w:val="4"/>
        </w:numPr>
      </w:pPr>
      <w:r w:rsidRPr="00F86F0F">
        <w:rPr>
          <w:b/>
          <w:bCs/>
        </w:rPr>
        <w:t>Priority of Critical Services</w:t>
      </w:r>
      <w:r>
        <w:t>: Life-saving and critical infrastructure get top priority in floods. For example, hospitals, emergency shelters, and water/power facilities are protected or supplied before less critical sites like regular businesses or homes – ensuring essential services remain operational during the crisis.</w:t>
      </w:r>
    </w:p>
    <w:p w14:paraId="1BD55E46" w14:textId="77777777" w:rsidR="00F86F0F" w:rsidRDefault="00F86F0F" w:rsidP="00F86F0F">
      <w:pPr>
        <w:pStyle w:val="BodyText"/>
        <w:numPr>
          <w:ilvl w:val="0"/>
          <w:numId w:val="4"/>
        </w:numPr>
      </w:pPr>
      <w:r w:rsidRPr="00F86F0F">
        <w:rPr>
          <w:b/>
          <w:bCs/>
        </w:rPr>
        <w:t>Community Vulnerability and Equity</w:t>
      </w:r>
      <w:r>
        <w:t>: Allocate resources first to areas with high population exposure or vulnerable groups (e.g. nursing homes, dense low-lying neighborhoods) to save the most lives and uphold fairness. No affected community is left without aid – rules ensure each region gets at least some support, balanced by flood severity and need.</w:t>
      </w:r>
    </w:p>
    <w:p w14:paraId="6ECB6151" w14:textId="77777777" w:rsidR="00F86F0F" w:rsidRDefault="00F86F0F" w:rsidP="00F86F0F">
      <w:pPr>
        <w:pStyle w:val="BodyText"/>
        <w:numPr>
          <w:ilvl w:val="0"/>
          <w:numId w:val="4"/>
        </w:numPr>
      </w:pPr>
      <w:r w:rsidRPr="00F86F0F">
        <w:rPr>
          <w:b/>
          <w:bCs/>
        </w:rPr>
        <w:t>Threshold-Based Action Triggers</w:t>
      </w:r>
      <w:r>
        <w:t>: Pre-define clear trigger levels tied to flood forecasts or risk index outputs from the data-driven model. For instance, if predicted flood depth or risk level in a zone exceeds a High threshold, immediately deploy extra rescue teams and supplies there; if it reaches an Extreme level, escalate by activating national support (e.g. military or mutual aid). Lower thresholds might trigger only local standby alerts, ensuring responses scale with the threat level.</w:t>
      </w:r>
    </w:p>
    <w:p w14:paraId="06A7A9DC" w14:textId="72F65297" w:rsidR="00F86F0F" w:rsidRDefault="00F86F0F" w:rsidP="00F86F0F">
      <w:pPr>
        <w:pStyle w:val="BodyText"/>
        <w:numPr>
          <w:ilvl w:val="0"/>
          <w:numId w:val="4"/>
        </w:numPr>
      </w:pPr>
      <w:r w:rsidRPr="00F86F0F">
        <w:rPr>
          <w:b/>
          <w:bCs/>
        </w:rPr>
        <w:t>Dynamic Reallocation</w:t>
      </w:r>
      <w:r>
        <w:t>: Continuously monitor real-time flood data (rainfall, water levels, updated model predictions) and adjust allocations as conditions evolve. For example, if one area’s situation stabilizes or has surplus crews, rules direct those resources to harder-hit zones. This dynamic, rule-based reallocation ensures resources keep moving to where they are most needed as the flood unfolds.</w:t>
      </w:r>
    </w:p>
    <w:p w14:paraId="692C1FD5" w14:textId="17BFB29E" w:rsidR="00F86F0F" w:rsidRDefault="00F86F0F" w:rsidP="00F86F0F">
      <w:pPr>
        <w:pStyle w:val="BodyText"/>
        <w:numPr>
          <w:ilvl w:val="0"/>
          <w:numId w:val="4"/>
        </w:numPr>
      </w:pPr>
      <w:r w:rsidRPr="00F86F0F">
        <w:rPr>
          <w:b/>
          <w:bCs/>
        </w:rPr>
        <w:t>Integration with Data-Driven Model</w:t>
      </w:r>
      <w:r>
        <w:t xml:space="preserve">: The data-driven flood model’s outputs (e.g. risk scores, inundation forecasts) feed directly into these rules. This means objective model data will trigger the appropriate pre-set actions – ensuring that when the model flags a high-risk location or threshold exceedance, the system automatically prioritizes that location and dispatches resources per the defined </w:t>
      </w:r>
      <w:r>
        <w:lastRenderedPageBreak/>
        <w:t>rules. This complementary setup marries fast data-driven insights with transparent, priority-based decisions for flood response.</w:t>
      </w:r>
    </w:p>
    <w:p w14:paraId="5CCE1015" w14:textId="77777777" w:rsidR="00F86F0F" w:rsidRDefault="00F86F0F" w:rsidP="00F86F0F">
      <w:pPr>
        <w:pStyle w:val="BodyText"/>
      </w:pPr>
      <w:r>
        <w:t>________________________________________</w:t>
      </w:r>
    </w:p>
    <w:p w14:paraId="684BF06F" w14:textId="77777777" w:rsidR="00F86F0F" w:rsidRDefault="00F86F0F" w:rsidP="00F86F0F">
      <w:pPr>
        <w:pStyle w:val="BodyText"/>
      </w:pPr>
      <w:r>
        <w:t>[1]  Study on the Effectiveness of Multi-Dimensional Approaches to Urban Flood Risk Assessment – DOAJ</w:t>
      </w:r>
    </w:p>
    <w:p w14:paraId="4453C75D" w14:textId="54865560" w:rsidR="00F86F0F" w:rsidRDefault="00F86F0F" w:rsidP="00F86F0F">
      <w:pPr>
        <w:pStyle w:val="BodyText"/>
      </w:pPr>
      <w:hyperlink r:id="rId6" w:history="1">
        <w:r w:rsidRPr="00786297">
          <w:rPr>
            <w:rStyle w:val="Hyperlink"/>
          </w:rPr>
          <w:t>https://doaj.org/article/5a9e05a5c0164f90b6d1e3f9e690b6a9</w:t>
        </w:r>
      </w:hyperlink>
      <w:r>
        <w:t xml:space="preserve"> </w:t>
      </w:r>
    </w:p>
    <w:p w14:paraId="5D1409FC" w14:textId="77777777" w:rsidR="00F86F0F" w:rsidRDefault="00F86F0F" w:rsidP="00F86F0F">
      <w:pPr>
        <w:pStyle w:val="BodyText"/>
      </w:pPr>
      <w:r>
        <w:t>[2] [3] Cross-regional and multi-entity resource coordination can enhance the supply of disaster relief materials during flood events in China | Communications Earth &amp; Environment</w:t>
      </w:r>
    </w:p>
    <w:p w14:paraId="64CFE229" w14:textId="582D6B3D" w:rsidR="00F86F0F" w:rsidRDefault="00F86F0F" w:rsidP="00F86F0F">
      <w:pPr>
        <w:pStyle w:val="BodyText"/>
      </w:pPr>
      <w:hyperlink r:id="rId7" w:history="1">
        <w:r w:rsidRPr="00786297">
          <w:rPr>
            <w:rStyle w:val="Hyperlink"/>
          </w:rPr>
          <w:t>https://www.nature.com/articles/s43247-025-02461-4?error=cookies_not_supported&amp;code=06274bd4-9248-4efc-842e-7497525e7230</w:t>
        </w:r>
      </w:hyperlink>
      <w:r>
        <w:t xml:space="preserve"> </w:t>
      </w:r>
    </w:p>
    <w:p w14:paraId="16242207" w14:textId="77777777" w:rsidR="00F86F0F" w:rsidRDefault="00F86F0F" w:rsidP="00F86F0F">
      <w:pPr>
        <w:pStyle w:val="BodyText"/>
      </w:pPr>
      <w:r>
        <w:t>[4] [5] Li Huang's research works | Hohai University and other places</w:t>
      </w:r>
    </w:p>
    <w:p w14:paraId="033A25F0" w14:textId="51BD8143" w:rsidR="00F86F0F" w:rsidRDefault="00F86F0F" w:rsidP="00F86F0F">
      <w:pPr>
        <w:pStyle w:val="BodyText"/>
      </w:pPr>
      <w:hyperlink r:id="rId8" w:history="1">
        <w:r w:rsidRPr="00786297">
          <w:rPr>
            <w:rStyle w:val="Hyperlink"/>
          </w:rPr>
          <w:t>https://www.researchgate.net/scientific-contributions/Li-Huang-2036048798</w:t>
        </w:r>
      </w:hyperlink>
      <w:r>
        <w:t xml:space="preserve"> </w:t>
      </w:r>
    </w:p>
    <w:p w14:paraId="68CE0EEC" w14:textId="77777777" w:rsidR="00F86F0F" w:rsidRDefault="00F86F0F" w:rsidP="00F86F0F">
      <w:pPr>
        <w:pStyle w:val="BodyText"/>
      </w:pPr>
      <w:r>
        <w:t>[6] Decision support system for managing flooding risk induced by levee breaches</w:t>
      </w:r>
    </w:p>
    <w:p w14:paraId="441F706B" w14:textId="222C6FEB" w:rsidR="00F86F0F" w:rsidRDefault="00F86F0F" w:rsidP="00F86F0F">
      <w:pPr>
        <w:pStyle w:val="BodyText"/>
      </w:pPr>
      <w:hyperlink r:id="rId9" w:history="1">
        <w:r w:rsidRPr="00786297">
          <w:rPr>
            <w:rStyle w:val="Hyperlink"/>
          </w:rPr>
          <w:t>https://flore.unifi.it/retrieve/78247b19-b9b4-4af0-8ab4-92972d06584e/Scopetani%202022%20Decision%20support%20system%20for%20managing%20flooding%20risk%20induced%20by%20levee%20breaches.pdf</w:t>
        </w:r>
      </w:hyperlink>
      <w:r>
        <w:t xml:space="preserve"> </w:t>
      </w:r>
    </w:p>
    <w:p w14:paraId="05288CF2" w14:textId="77777777" w:rsidR="00F86F0F" w:rsidRDefault="00F86F0F" w:rsidP="00F86F0F">
      <w:pPr>
        <w:pStyle w:val="BodyText"/>
      </w:pPr>
      <w:r>
        <w:t>[7] The infrastructures ranking using the fuzzy vulnerability curve method... | Download Scientific Diagram</w:t>
      </w:r>
    </w:p>
    <w:p w14:paraId="1C0C28AB" w14:textId="7E083C7D" w:rsidR="00F86F0F" w:rsidRDefault="00F86F0F" w:rsidP="00F86F0F">
      <w:pPr>
        <w:pStyle w:val="BodyText"/>
      </w:pPr>
      <w:hyperlink r:id="rId10" w:history="1">
        <w:r w:rsidRPr="00786297">
          <w:rPr>
            <w:rStyle w:val="Hyperlink"/>
          </w:rPr>
          <w:t>https://www.researchgate.net/figure/The-infrastructures-ranking-using-the-fuzzy-vulnerability-curve-method-based-on-the_tbl4_385943080</w:t>
        </w:r>
      </w:hyperlink>
      <w:r>
        <w:t xml:space="preserve"> </w:t>
      </w:r>
      <w:r>
        <w:cr/>
      </w:r>
      <w:bookmarkEnd w:id="1"/>
      <w:bookmarkEnd w:id="2"/>
      <w:bookmarkEnd w:id="3"/>
    </w:p>
    <w:p w14:paraId="273EA397" w14:textId="4501E640" w:rsidR="008775A8" w:rsidRDefault="008775A8">
      <w:pPr>
        <w:pStyle w:val="BodyText"/>
      </w:pPr>
    </w:p>
    <w:sectPr w:rsidR="008775A8">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F4FB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DC31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6097947"/>
    <w:multiLevelType w:val="hybridMultilevel"/>
    <w:tmpl w:val="84647A64"/>
    <w:lvl w:ilvl="0" w:tplc="D2689E18">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648114">
    <w:abstractNumId w:val="0"/>
  </w:num>
  <w:num w:numId="2" w16cid:durableId="572004523">
    <w:abstractNumId w:val="1"/>
  </w:num>
  <w:num w:numId="3" w16cid:durableId="1842163218">
    <w:abstractNumId w:val="1"/>
  </w:num>
  <w:num w:numId="4" w16cid:durableId="740757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775A8"/>
    <w:rsid w:val="005C0388"/>
    <w:rsid w:val="008775A8"/>
    <w:rsid w:val="00AA2CFE"/>
    <w:rsid w:val="00B93254"/>
    <w:rsid w:val="00BD3AF2"/>
    <w:rsid w:val="00F86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2F88"/>
  <w15:docId w15:val="{433F53CF-8BC4-43FE-BBB5-1C023D286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BD3AF2"/>
    <w:rPr>
      <w:color w:val="96607D" w:themeColor="followedHyperlink"/>
      <w:u w:val="single"/>
    </w:rPr>
  </w:style>
  <w:style w:type="character" w:styleId="UnresolvedMention">
    <w:name w:val="Unresolved Mention"/>
    <w:basedOn w:val="DefaultParagraphFont"/>
    <w:uiPriority w:val="99"/>
    <w:semiHidden/>
    <w:unhideWhenUsed/>
    <w:rsid w:val="00F86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scientific-contributions/Li-Huang-2036048798" TargetMode="External"/><Relationship Id="rId3" Type="http://schemas.openxmlformats.org/officeDocument/2006/relationships/settings" Target="settings.xml"/><Relationship Id="rId7" Type="http://schemas.openxmlformats.org/officeDocument/2006/relationships/hyperlink" Target="https://www.nature.com/articles/s43247-025-02461-4?error=cookies_not_supported&amp;code=06274bd4-9248-4efc-842e-7497525e723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aj.org/article/5a9e05a5c0164f90b6d1e3f9e690b6a9"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researchgate.net/figure/The-infrastructures-ranking-using-the-fuzzy-vulnerability-curve-method-based-on-the_tbl4_385943080" TargetMode="External"/><Relationship Id="rId4" Type="http://schemas.openxmlformats.org/officeDocument/2006/relationships/webSettings" Target="webSettings.xml"/><Relationship Id="rId9" Type="http://schemas.openxmlformats.org/officeDocument/2006/relationships/hyperlink" Target="https://flore.unifi.it/retrieve/78247b19-b9b4-4af0-8ab4-92972d06584e/Scopetani%202022%20Decision%20support%20system%20for%20managing%20flooding%20risk%20induced%20by%20levee%20breach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Sabrina Glatz</cp:lastModifiedBy>
  <cp:revision>4</cp:revision>
  <dcterms:created xsi:type="dcterms:W3CDTF">2025-11-13T16:09:00Z</dcterms:created>
  <dcterms:modified xsi:type="dcterms:W3CDTF">2025-11-13T16:29:00Z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