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i/>
          <w:iCs/>
          <w:color w:val="1F3864"/>
          <w:sz w:val="48"/>
          <w:szCs w:val="48"/>
        </w:rPr>
        <w:t xml:space="preserve">La ruta a Trascendencia</w:t>
      </w:r>
    </w:p>
    <w:p>
      <w:pPr>
        <w:spacing w:after="320" w:before="0"/>
        <w:jc w:val="center"/>
      </w:pPr>
      <w:r>
        <w:rPr>
          <w:rFonts w:ascii="Arial" w:cs="Arial" w:eastAsia="Arial" w:hAnsi="Arial"/>
          <w:i/>
          <w:iCs/>
          <w:color w:val="555555"/>
          <w:sz w:val="24"/>
          <w:szCs w:val="24"/>
        </w:rPr>
        <w:t xml:space="preserve">Novela corta de ciencia ficción</w:t>
      </w:r>
    </w:p>
    <w:p>
      <w:pPr>
        <w:pStyle w:val="Heading2"/>
      </w:pPr>
      <w:r>
        <w:rPr>
          <w:rFonts w:ascii="Arial" w:cs="Arial" w:eastAsia="Arial" w:hAnsi="Arial"/>
          <w:b/>
          <w:bCs/>
          <w:color w:val="2E5096"/>
          <w:sz w:val="26"/>
          <w:szCs w:val="26"/>
        </w:rPr>
        <w:t xml:space="preserve">Ficha bibliográfica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b/>
                <w:bCs/>
                <w:sz w:val="20"/>
                <w:szCs w:val="20"/>
              </w:rPr>
              <w:t xml:space="preserve">Autor</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Alejandro Alonso</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b/>
                <w:bCs/>
                <w:sz w:val="20"/>
                <w:szCs w:val="20"/>
              </w:rPr>
              <w:t xml:space="preserve">Género</w:t>
            </w:r>
          </w:p>
        </w:tc>
        <w:tc>
          <w:tcPr>
            <w:tcW w:type="dxa" w:w="6760"/>
            <w:tcBorders>
              <w:top w:val="single" w:color="AAAAAA" w:sz="1"/>
              <w:left w:val="single" w:color="AAAAAA" w:sz="1"/>
              <w:bottom w:val="single" w:color="AAAAAA" w:sz="1"/>
              <w:right w:val="single" w:color="AAAAAA" w:sz="1"/>
            </w:tcBorders>
            <w:shd w:fill="FAFBFD" w:val="clear"/>
            <w:tcMar>
              <w:top w:type="dxa" w:w="80"/>
              <w:left w:type="dxa" w:w="120"/>
              <w:bottom w:type="dxa" w:w="80"/>
              <w:right w:type="dxa" w:w="120"/>
            </w:tcMar>
          </w:tcPr>
          <w:p>
            <w:r>
              <w:rPr>
                <w:rFonts w:ascii="Arial" w:cs="Arial" w:eastAsia="Arial" w:hAnsi="Arial"/>
                <w:sz w:val="20"/>
                <w:szCs w:val="20"/>
              </w:rPr>
              <w:t xml:space="preserve">Ciencia ficción</w:t>
            </w:r>
          </w:p>
        </w:tc>
      </w:tr>
      <w:tr>
        <w:tc>
          <w:tcPr>
            <w:tcW w:type="dxa" w:w="26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b/>
                <w:bCs/>
                <w:sz w:val="20"/>
                <w:szCs w:val="20"/>
              </w:rPr>
              <w:t xml:space="preserve">Subgénero</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Hard science fiction</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b/>
                <w:bCs/>
                <w:sz w:val="20"/>
                <w:szCs w:val="20"/>
              </w:rPr>
              <w:t xml:space="preserve">Idioma</w:t>
            </w:r>
          </w:p>
        </w:tc>
        <w:tc>
          <w:tcPr>
            <w:tcW w:type="dxa" w:w="6760"/>
            <w:tcBorders>
              <w:top w:val="single" w:color="AAAAAA" w:sz="1"/>
              <w:left w:val="single" w:color="AAAAAA" w:sz="1"/>
              <w:bottom w:val="single" w:color="AAAAAA" w:sz="1"/>
              <w:right w:val="single" w:color="AAAAAA" w:sz="1"/>
            </w:tcBorders>
            <w:shd w:fill="FAFBFD" w:val="clear"/>
            <w:tcMar>
              <w:top w:type="dxa" w:w="80"/>
              <w:left w:type="dxa" w:w="120"/>
              <w:bottom w:type="dxa" w:w="80"/>
              <w:right w:type="dxa" w:w="120"/>
            </w:tcMar>
          </w:tcPr>
          <w:p>
            <w:r>
              <w:rPr>
                <w:rFonts w:ascii="Arial" w:cs="Arial" w:eastAsia="Arial" w:hAnsi="Arial"/>
                <w:sz w:val="20"/>
                <w:szCs w:val="20"/>
              </w:rPr>
              <w:t xml:space="preserve">Español</w:t>
            </w:r>
          </w:p>
        </w:tc>
      </w:tr>
      <w:tr>
        <w:tc>
          <w:tcPr>
            <w:tcW w:type="dxa" w:w="26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b/>
                <w:bCs/>
                <w:sz w:val="20"/>
                <w:szCs w:val="20"/>
              </w:rPr>
              <w:t xml:space="preserve">Editorial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Ediciones B (2003); Página/12 / La Página (2005)</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b/>
                <w:bCs/>
                <w:sz w:val="20"/>
                <w:szCs w:val="20"/>
              </w:rPr>
              <w:t xml:space="preserve">Fecha de publicación</w:t>
            </w:r>
          </w:p>
        </w:tc>
        <w:tc>
          <w:tcPr>
            <w:tcW w:type="dxa" w:w="6760"/>
            <w:tcBorders>
              <w:top w:val="single" w:color="AAAAAA" w:sz="1"/>
              <w:left w:val="single" w:color="AAAAAA" w:sz="1"/>
              <w:bottom w:val="single" w:color="AAAAAA" w:sz="1"/>
              <w:right w:val="single" w:color="AAAAAA" w:sz="1"/>
            </w:tcBorders>
            <w:shd w:fill="FAFBFD" w:val="clear"/>
            <w:tcMar>
              <w:top w:type="dxa" w:w="80"/>
              <w:left w:type="dxa" w:w="120"/>
              <w:bottom w:type="dxa" w:w="80"/>
              <w:right w:type="dxa" w:w="120"/>
            </w:tcMar>
          </w:tcPr>
          <w:p>
            <w:r>
              <w:rPr>
                <w:rFonts w:ascii="Arial" w:cs="Arial" w:eastAsia="Arial" w:hAnsi="Arial"/>
                <w:sz w:val="20"/>
                <w:szCs w:val="20"/>
              </w:rPr>
              <w:t xml:space="preserve">2003</w:t>
            </w:r>
          </w:p>
        </w:tc>
      </w:tr>
      <w:tr>
        <w:tc>
          <w:tcPr>
            <w:tcW w:type="dxa" w:w="26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b/>
                <w:bCs/>
                <w:sz w:val="20"/>
                <w:szCs w:val="20"/>
              </w:rPr>
              <w:t xml:space="preserve">País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Argentina</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b/>
                <w:bCs/>
                <w:sz w:val="20"/>
                <w:szCs w:val="20"/>
              </w:rPr>
              <w:t xml:space="preserve">Páginas</w:t>
            </w:r>
          </w:p>
        </w:tc>
        <w:tc>
          <w:tcPr>
            <w:tcW w:type="dxa" w:w="6760"/>
            <w:tcBorders>
              <w:top w:val="single" w:color="AAAAAA" w:sz="1"/>
              <w:left w:val="single" w:color="AAAAAA" w:sz="1"/>
              <w:bottom w:val="single" w:color="AAAAAA" w:sz="1"/>
              <w:right w:val="single" w:color="AAAAAA" w:sz="1"/>
            </w:tcBorders>
            <w:shd w:fill="FAFBFD" w:val="clear"/>
            <w:tcMar>
              <w:top w:type="dxa" w:w="80"/>
              <w:left w:type="dxa" w:w="120"/>
              <w:bottom w:type="dxa" w:w="80"/>
              <w:right w:type="dxa" w:w="120"/>
            </w:tcMar>
          </w:tcPr>
          <w:p>
            <w:r>
              <w:rPr>
                <w:rFonts w:ascii="Arial" w:cs="Arial" w:eastAsia="Arial" w:hAnsi="Arial"/>
                <w:sz w:val="20"/>
                <w:szCs w:val="20"/>
              </w:rPr>
              <w:t xml:space="preserve">175 (ed. Página/12)</w:t>
            </w:r>
          </w:p>
        </w:tc>
      </w:tr>
      <w:tr>
        <w:tc>
          <w:tcPr>
            <w:tcW w:type="dxa" w:w="2600"/>
            <w:tcBorders>
              <w:top w:val="single" w:color="AAAAAA" w:sz="1"/>
              <w:left w:val="single" w:color="AAAAAA" w:sz="1"/>
              <w:bottom w:val="single" w:color="AAAAAA" w:sz="1"/>
              <w:right w:val="single" w:color="AAAAAA" w:sz="1"/>
            </w:tcBorders>
            <w:shd w:fill="E8EEF7" w:val="clear"/>
            <w:tcMar>
              <w:top w:type="dxa" w:w="80"/>
              <w:left w:type="dxa" w:w="120"/>
              <w:bottom w:type="dxa" w:w="80"/>
              <w:right w:type="dxa" w:w="120"/>
            </w:tcMar>
          </w:tcPr>
          <w:p>
            <w:r>
              <w:rPr>
                <w:rFonts w:ascii="Arial" w:cs="Arial" w:eastAsia="Arial" w:hAnsi="Arial"/>
                <w:b/>
                <w:bCs/>
                <w:sz w:val="20"/>
                <w:szCs w:val="20"/>
              </w:rPr>
              <w:t xml:space="preserve">ISBN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9788466611114 (ed. Ediciones B)</w:t>
            </w:r>
          </w:p>
        </w:tc>
      </w:tr>
      <w:tr>
        <w:tc>
          <w:tcPr>
            <w:tcW w:type="dxa" w:w="2600"/>
            <w:tcBorders>
              <w:top w:val="single" w:color="AAAAAA" w:sz="1"/>
              <w:left w:val="single" w:color="AAAAAA" w:sz="1"/>
              <w:bottom w:val="single" w:color="AAAAAA" w:sz="1"/>
              <w:right w:val="single" w:color="AAAAAA" w:sz="1"/>
            </w:tcBorders>
            <w:shd w:fill="F2F5FB" w:val="clear"/>
            <w:tcMar>
              <w:top w:type="dxa" w:w="80"/>
              <w:left w:type="dxa" w:w="120"/>
              <w:bottom w:type="dxa" w:w="80"/>
              <w:right w:type="dxa" w:w="120"/>
            </w:tcMar>
          </w:tcPr>
          <w:p>
            <w:r>
              <w:rPr>
                <w:rFonts w:ascii="Arial" w:cs="Arial" w:eastAsia="Arial" w:hAnsi="Arial"/>
                <w:b/>
                <w:bCs/>
                <w:sz w:val="20"/>
                <w:szCs w:val="20"/>
              </w:rPr>
              <w:t xml:space="preserve">Premios</w:t>
            </w:r>
          </w:p>
        </w:tc>
        <w:tc>
          <w:tcPr>
            <w:tcW w:type="dxa" w:w="6760"/>
            <w:tcBorders>
              <w:top w:val="single" w:color="AAAAAA" w:sz="1"/>
              <w:left w:val="single" w:color="AAAAAA" w:sz="1"/>
              <w:bottom w:val="single" w:color="AAAAAA" w:sz="1"/>
              <w:right w:val="single" w:color="AAAAAA" w:sz="1"/>
            </w:tcBorders>
            <w:shd w:fill="FAFBFD" w:val="clear"/>
            <w:tcMar>
              <w:top w:type="dxa" w:w="80"/>
              <w:left w:type="dxa" w:w="120"/>
              <w:bottom w:type="dxa" w:w="80"/>
              <w:right w:type="dxa" w:w="120"/>
            </w:tcMar>
          </w:tcPr>
          <w:p>
            <w:r>
              <w:rPr>
                <w:rFonts w:ascii="Arial" w:cs="Arial" w:eastAsia="Arial" w:hAnsi="Arial"/>
                <w:sz w:val="20"/>
                <w:szCs w:val="20"/>
              </w:rPr>
              <w:t xml:space="preserve">Premio UPC 2002 (ex aequo)</w:t>
            </w:r>
          </w:p>
        </w:tc>
      </w:tr>
    </w:tbl>
    <w:p>
      <w:r>
        <w:rPr>
          <w:rFonts w:ascii="Arial" w:cs="Arial" w:eastAsia="Arial" w:hAnsi="Arial"/>
          <w:sz w:val="22"/>
          <w:szCs w:val="22"/>
        </w:rPr>
        <w:t xml:space="preserve"/>
      </w:r>
    </w:p>
    <w:p>
      <w:pPr>
        <w:spacing w:after="240" w:before="120"/>
      </w:pPr>
      <w:r>
        <w:rPr>
          <w:rFonts w:ascii="Arial" w:cs="Arial" w:eastAsia="Arial" w:hAnsi="Arial"/>
          <w:b/>
          <w:bCs/>
          <w:sz w:val="22"/>
          <w:szCs w:val="22"/>
        </w:rPr>
        <w:t xml:space="preserve">La ruta a Trascendencia</w:t>
      </w:r>
      <w:r>
        <w:rPr>
          <w:rFonts w:ascii="Arial" w:cs="Arial" w:eastAsia="Arial" w:hAnsi="Arial"/>
          <w:sz w:val="22"/>
          <w:szCs w:val="22"/>
        </w:rPr>
        <w:t xml:space="preserve"> es una novela corta de ciencia ficción del escritor argentino </w:t>
      </w:r>
      <w:r>
        <w:rPr>
          <w:rFonts w:ascii="Arial" w:cs="Arial" w:eastAsia="Arial" w:hAnsi="Arial"/>
          <w:b/>
          <w:bCs/>
          <w:sz w:val="22"/>
          <w:szCs w:val="22"/>
        </w:rPr>
        <w:t xml:space="preserve">Alejandro Alonso</w:t>
      </w:r>
      <w:r>
        <w:rPr>
          <w:rFonts w:ascii="Arial" w:cs="Arial" w:eastAsia="Arial" w:hAnsi="Arial"/>
          <w:sz w:val="22"/>
          <w:szCs w:val="22"/>
        </w:rPr>
        <w:t xml:space="preserve"> (San Martín, Buenos Aires, 1970). Obtuvo el </w:t>
      </w:r>
      <w:r>
        <w:rPr>
          <w:rFonts w:ascii="Arial" w:cs="Arial" w:eastAsia="Arial" w:hAnsi="Arial"/>
          <w:b/>
          <w:bCs/>
          <w:sz w:val="22"/>
          <w:szCs w:val="22"/>
        </w:rPr>
        <w:t xml:space="preserve">Premio Internacional UPC de Ciencia Ficción 2002</w:t>
      </w:r>
      <w:r>
        <w:rPr>
          <w:rFonts w:ascii="Arial" w:cs="Arial" w:eastAsia="Arial" w:hAnsi="Arial"/>
          <w:sz w:val="22"/>
          <w:szCs w:val="22"/>
        </w:rPr>
        <w:t xml:space="preserve"> ex aequo, compartido con </w:t>
      </w:r>
      <w:r>
        <w:rPr>
          <w:rFonts w:ascii="Arial" w:cs="Arial" w:eastAsia="Arial" w:hAnsi="Arial"/>
          <w:i/>
          <w:iCs/>
          <w:sz w:val="22"/>
          <w:szCs w:val="22"/>
        </w:rPr>
        <w:t xml:space="preserve">Escamas de cristal</w:t>
      </w:r>
      <w:r>
        <w:rPr>
          <w:rFonts w:ascii="Arial" w:cs="Arial" w:eastAsia="Arial" w:hAnsi="Arial"/>
          <w:sz w:val="22"/>
          <w:szCs w:val="22"/>
        </w:rPr>
        <w:t xml:space="preserve"> de Pablo Nauglin (Pablo Villaseñor). Fue publicada en 2003 por </w:t>
      </w:r>
      <w:r>
        <w:rPr>
          <w:rFonts w:ascii="Arial" w:cs="Arial" w:eastAsia="Arial" w:hAnsi="Arial"/>
          <w:b/>
          <w:bCs/>
          <w:sz w:val="22"/>
          <w:szCs w:val="22"/>
        </w:rPr>
        <w:t xml:space="preserve">Ediciones B</w:t>
      </w:r>
      <w:r>
        <w:rPr>
          <w:rFonts w:ascii="Arial" w:cs="Arial" w:eastAsia="Arial" w:hAnsi="Arial"/>
          <w:sz w:val="22"/>
          <w:szCs w:val="22"/>
        </w:rPr>
        <w:t xml:space="preserve"> en su colección Nova (número 158), dentro del volumen antológico </w:t>
      </w:r>
      <w:r>
        <w:rPr>
          <w:rFonts w:ascii="Arial" w:cs="Arial" w:eastAsia="Arial" w:hAnsi="Arial"/>
          <w:i/>
          <w:iCs/>
          <w:sz w:val="22"/>
          <w:szCs w:val="22"/>
        </w:rPr>
        <w:t xml:space="preserve">Premio UPC 2002: Novela corta de ciencia ficción</w:t>
      </w:r>
      <w:r>
        <w:rPr>
          <w:rFonts w:ascii="Arial" w:cs="Arial" w:eastAsia="Arial" w:hAnsi="Arial"/>
          <w:sz w:val="22"/>
          <w:szCs w:val="22"/>
        </w:rPr>
        <w:t xml:space="preserve">, editado por Miquel Barceló. En 2005 fue reeditada como volumen número 5 de la </w:t>
      </w:r>
      <w:r>
        <w:rPr>
          <w:rFonts w:ascii="Arial" w:cs="Arial" w:eastAsia="Arial" w:hAnsi="Arial"/>
          <w:b/>
          <w:bCs/>
          <w:sz w:val="22"/>
          <w:szCs w:val="22"/>
        </w:rPr>
        <w:t xml:space="preserve">Colección Literatura Fantástica y Ciencia Ficción</w:t>
      </w:r>
      <w:r>
        <w:rPr>
          <w:rFonts w:ascii="Arial" w:cs="Arial" w:eastAsia="Arial" w:hAnsi="Arial"/>
          <w:sz w:val="22"/>
          <w:szCs w:val="22"/>
        </w:rPr>
        <w:t xml:space="preserve"> del diario Página/12 (editorial La Página).</w:t>
      </w:r>
    </w:p>
    <w:p>
      <w:pPr>
        <w:pStyle w:val="Heading2"/>
      </w:pPr>
      <w:r>
        <w:rPr>
          <w:rFonts w:ascii="Arial" w:cs="Arial" w:eastAsia="Arial" w:hAnsi="Arial"/>
          <w:b/>
          <w:bCs/>
          <w:color w:val="2E5096"/>
          <w:sz w:val="26"/>
          <w:szCs w:val="26"/>
        </w:rPr>
        <w:t xml:space="preserve">Argumento</w:t>
      </w:r>
    </w:p>
    <w:p>
      <w:pPr>
        <w:spacing w:after="160" w:before="120"/>
      </w:pPr>
      <w:r>
        <w:rPr>
          <w:rFonts w:ascii="Arial" w:cs="Arial" w:eastAsia="Arial" w:hAnsi="Arial"/>
          <w:sz w:val="22"/>
          <w:szCs w:val="22"/>
        </w:rPr>
        <w:t xml:space="preserve">Antonio Segura, periodista desempleado de unos treinta años, viaja desde la capital de provincia al interior para reunirse con su primo Rolando, comisario del pequeño pueblo de Trascendencia. La localidad —rebautizada así tras una guerra de quince días contra invasores extraterrestres llamados </w:t>
      </w:r>
      <w:r>
        <w:rPr>
          <w:rFonts w:ascii="Arial" w:cs="Arial" w:eastAsia="Arial" w:hAnsi="Arial"/>
          <w:i/>
          <w:iCs/>
          <w:sz w:val="22"/>
          <w:szCs w:val="22"/>
        </w:rPr>
        <w:t xml:space="preserve">epics</w:t>
      </w:r>
      <w:r>
        <w:rPr>
          <w:rFonts w:ascii="Arial" w:cs="Arial" w:eastAsia="Arial" w:hAnsi="Arial"/>
          <w:sz w:val="22"/>
          <w:szCs w:val="22"/>
        </w:rPr>
        <w:t xml:space="preserve">, que dejó en sus proximidades el sitio conocido como el Primer Epicentro— se encuentra militarmente aislada del resto del país.</w:t>
      </w:r>
    </w:p>
    <w:p>
      <w:pPr>
        <w:spacing w:after="160" w:before="0"/>
      </w:pPr>
      <w:r>
        <w:rPr>
          <w:rFonts w:ascii="Arial" w:cs="Arial" w:eastAsia="Arial" w:hAnsi="Arial"/>
          <w:sz w:val="22"/>
          <w:szCs w:val="22"/>
        </w:rPr>
        <w:t xml:space="preserve">Ya en los últimos kilómetros de la ruta, los gendarmes del puesto de control le advierten que verá «cosas raras», figuras que llaman </w:t>
      </w:r>
      <w:r>
        <w:rPr>
          <w:rFonts w:ascii="Arial" w:cs="Arial" w:eastAsia="Arial" w:hAnsi="Arial"/>
          <w:i/>
          <w:iCs/>
          <w:sz w:val="22"/>
          <w:szCs w:val="22"/>
        </w:rPr>
        <w:t xml:space="preserve">estelas</w:t>
      </w:r>
      <w:r>
        <w:rPr>
          <w:rFonts w:ascii="Arial" w:cs="Arial" w:eastAsia="Arial" w:hAnsi="Arial"/>
          <w:sz w:val="22"/>
          <w:szCs w:val="22"/>
        </w:rPr>
        <w:t xml:space="preserve">, y que no les preste atención. Lo que Segura descubre al llegar es que los habitantes de Trascendencia perciben simultáneamente el pasado y el futuro inmediatos de cualquier acción: son los </w:t>
      </w:r>
      <w:r>
        <w:rPr>
          <w:rFonts w:ascii="Arial" w:cs="Arial" w:eastAsia="Arial" w:hAnsi="Arial"/>
          <w:i/>
          <w:iCs/>
          <w:sz w:val="22"/>
          <w:szCs w:val="22"/>
        </w:rPr>
        <w:t xml:space="preserve">trascendis</w:t>
      </w:r>
      <w:r>
        <w:rPr>
          <w:rFonts w:ascii="Arial" w:cs="Arial" w:eastAsia="Arial" w:hAnsi="Arial"/>
          <w:sz w:val="22"/>
          <w:szCs w:val="22"/>
        </w:rPr>
        <w:t xml:space="preserve"> o </w:t>
      </w:r>
      <w:r>
        <w:rPr>
          <w:rFonts w:ascii="Arial" w:cs="Arial" w:eastAsia="Arial" w:hAnsi="Arial"/>
          <w:i/>
          <w:iCs/>
          <w:sz w:val="22"/>
          <w:szCs w:val="22"/>
        </w:rPr>
        <w:t xml:space="preserve">tracs</w:t>
      </w:r>
      <w:r>
        <w:rPr>
          <w:rFonts w:ascii="Arial" w:cs="Arial" w:eastAsia="Arial" w:hAnsi="Arial"/>
          <w:sz w:val="22"/>
          <w:szCs w:val="22"/>
        </w:rPr>
        <w:t xml:space="preserve">, seres transformados por la influencia del Primer Epicentro que existen en una dimensión temporal distinta a la del resto del mundo. Lo que ocurre después en ese pueblo aislado —y por qué Segura no puede abandonarlo— es el corazón de la novela.</w:t>
      </w:r>
    </w:p>
    <w:p>
      <w:pPr>
        <w:spacing w:after="240" w:before="0"/>
      </w:pPr>
      <w:r>
        <w:rPr>
          <w:rFonts w:ascii="Arial" w:cs="Arial" w:eastAsia="Arial" w:hAnsi="Arial"/>
          <w:sz w:val="22"/>
          <w:szCs w:val="22"/>
        </w:rPr>
        <w:t xml:space="preserve">La obra entrelaza la ciencia ficción de contacto extraterrestre con una exploración de la culpa, la memoria y la percepción del tiempo, utilizando como epígrafe el tango </w:t>
      </w:r>
      <w:r>
        <w:rPr>
          <w:rFonts w:ascii="Arial" w:cs="Arial" w:eastAsia="Arial" w:hAnsi="Arial"/>
          <w:i/>
          <w:iCs/>
          <w:sz w:val="22"/>
          <w:szCs w:val="22"/>
        </w:rPr>
        <w:t xml:space="preserve">«Volver»</w:t>
      </w:r>
      <w:r>
        <w:rPr>
          <w:rFonts w:ascii="Arial" w:cs="Arial" w:eastAsia="Arial" w:hAnsi="Arial"/>
          <w:sz w:val="22"/>
          <w:szCs w:val="22"/>
        </w:rPr>
        <w:t xml:space="preserve"> de Carlos Gardel y Alfredo Le Pera —</w:t>
      </w:r>
      <w:r>
        <w:rPr>
          <w:rFonts w:ascii="Arial" w:cs="Arial" w:eastAsia="Arial" w:hAnsi="Arial"/>
          <w:i/>
          <w:iCs/>
          <w:sz w:val="22"/>
          <w:szCs w:val="22"/>
        </w:rPr>
        <w:t xml:space="preserve">el pasado que vuelve a enfrentarse con mi vida</w:t>
      </w:r>
      <w:r>
        <w:rPr>
          <w:rFonts w:ascii="Arial" w:cs="Arial" w:eastAsia="Arial" w:hAnsi="Arial"/>
          <w:sz w:val="22"/>
          <w:szCs w:val="22"/>
        </w:rPr>
        <w:t xml:space="preserve">— como clave temática central.</w:t>
      </w:r>
    </w:p>
    <w:p>
      <w:pPr>
        <w:pStyle w:val="Heading2"/>
      </w:pPr>
      <w:r>
        <w:rPr>
          <w:rFonts w:ascii="Arial" w:cs="Arial" w:eastAsia="Arial" w:hAnsi="Arial"/>
          <w:b/>
          <w:bCs/>
          <w:color w:val="2E5096"/>
          <w:sz w:val="26"/>
          <w:szCs w:val="26"/>
        </w:rPr>
        <w:t xml:space="preserve">Origen</w:t>
      </w:r>
    </w:p>
    <w:p>
      <w:pPr>
        <w:spacing w:after="240" w:before="120"/>
      </w:pPr>
      <w:r>
        <w:rPr>
          <w:rFonts w:ascii="Arial" w:cs="Arial" w:eastAsia="Arial" w:hAnsi="Arial"/>
          <w:sz w:val="22"/>
          <w:szCs w:val="22"/>
        </w:rPr>
        <w:t xml:space="preserve">La novela tiene su origen en el cuento </w:t>
      </w:r>
      <w:r>
        <w:rPr>
          <w:rFonts w:ascii="Arial" w:cs="Arial" w:eastAsia="Arial" w:hAnsi="Arial"/>
          <w:i/>
          <w:iCs/>
          <w:sz w:val="22"/>
          <w:szCs w:val="22"/>
        </w:rPr>
        <w:t xml:space="preserve">«Demasiado tiempo»</w:t>
      </w:r>
      <w:r>
        <w:rPr>
          <w:rFonts w:ascii="Arial" w:cs="Arial" w:eastAsia="Arial" w:hAnsi="Arial"/>
          <w:sz w:val="22"/>
          <w:szCs w:val="22"/>
        </w:rPr>
        <w:t xml:space="preserve">, primer texto de ficción publicado por Alonso, aparecido en el número 33 de la revista digital </w:t>
      </w:r>
      <w:r>
        <w:rPr>
          <w:rFonts w:ascii="Arial" w:cs="Arial" w:eastAsia="Arial" w:hAnsi="Arial"/>
          <w:i/>
          <w:iCs/>
          <w:sz w:val="22"/>
          <w:szCs w:val="22"/>
        </w:rPr>
        <w:t xml:space="preserve">Axxón</w:t>
      </w:r>
      <w:r>
        <w:rPr>
          <w:rFonts w:ascii="Arial" w:cs="Arial" w:eastAsia="Arial" w:hAnsi="Arial"/>
          <w:sz w:val="22"/>
          <w:szCs w:val="22"/>
        </w:rPr>
        <w:t xml:space="preserve"> en 1992.</w:t>
      </w:r>
    </w:p>
    <w:p>
      <w:pPr>
        <w:pStyle w:val="Heading2"/>
      </w:pPr>
      <w:r>
        <w:rPr>
          <w:rFonts w:ascii="Arial" w:cs="Arial" w:eastAsia="Arial" w:hAnsi="Arial"/>
          <w:b/>
          <w:bCs/>
          <w:color w:val="2E5096"/>
          <w:sz w:val="26"/>
          <w:szCs w:val="26"/>
        </w:rPr>
        <w:t xml:space="preserve">Contexto científico</w:t>
      </w:r>
    </w:p>
    <w:p>
      <w:pPr>
        <w:spacing w:after="160" w:before="120"/>
      </w:pPr>
      <w:r>
        <w:rPr>
          <w:rFonts w:ascii="Arial" w:cs="Arial" w:eastAsia="Arial" w:hAnsi="Arial"/>
          <w:sz w:val="22"/>
          <w:szCs w:val="22"/>
        </w:rPr>
        <w:t xml:space="preserve">El mecanismo central de la novela —la percepción simultánea de múltiples instantes temporales por parte de los habitantes de Trascendencia— dialoga con desarrollos de la física teórica contemporánea, en particular con la </w:t>
      </w:r>
      <w:r>
        <w:rPr>
          <w:rFonts w:ascii="Arial" w:cs="Arial" w:eastAsia="Arial" w:hAnsi="Arial"/>
          <w:b/>
          <w:bCs/>
          <w:sz w:val="22"/>
          <w:szCs w:val="22"/>
        </w:rPr>
        <w:t xml:space="preserve">métrica de Alcubierre</w:t>
      </w:r>
      <w:r>
        <w:rPr>
          <w:rFonts w:ascii="Arial" w:cs="Arial" w:eastAsia="Arial" w:hAnsi="Arial"/>
          <w:sz w:val="22"/>
          <w:szCs w:val="22"/>
        </w:rPr>
        <w:t xml:space="preserve">, propuesta por el físico mexicano </w:t>
      </w:r>
      <w:r>
        <w:rPr>
          <w:rFonts w:ascii="Arial" w:cs="Arial" w:eastAsia="Arial" w:hAnsi="Arial"/>
          <w:b/>
          <w:bCs/>
          <w:sz w:val="22"/>
          <w:szCs w:val="22"/>
        </w:rPr>
        <w:t xml:space="preserve">Miguel Alcubierre</w:t>
      </w:r>
      <w:r>
        <w:rPr>
          <w:rFonts w:ascii="Arial" w:cs="Arial" w:eastAsia="Arial" w:hAnsi="Arial"/>
          <w:sz w:val="22"/>
          <w:szCs w:val="22"/>
        </w:rPr>
        <w:t xml:space="preserve"> en su artículo «The warp drive: hyper-fast travel within general relativity» (</w:t>
      </w:r>
      <w:r>
        <w:rPr>
          <w:rFonts w:ascii="Arial" w:cs="Arial" w:eastAsia="Arial" w:hAnsi="Arial"/>
          <w:i/>
          <w:iCs/>
          <w:sz w:val="22"/>
          <w:szCs w:val="22"/>
        </w:rPr>
        <w:t xml:space="preserve">Classical and Quantum Gravity</w:t>
      </w:r>
      <w:r>
        <w:rPr>
          <w:rFonts w:ascii="Arial" w:cs="Arial" w:eastAsia="Arial" w:hAnsi="Arial"/>
          <w:sz w:val="22"/>
          <w:szCs w:val="22"/>
        </w:rPr>
        <w:t xml:space="preserve">, 1994). Alcubierre demostró que, dentro del marco de la relatividad general, es posible modificar el espacio-tiempo de manera que una nave pueda desplazarse a velocidades arbitrariamente grandes mediante la expansión local del espacio-tiempo detrás de la nave y su contracción frente a ella, un principio popularizado por la franquicia </w:t>
      </w:r>
      <w:r>
        <w:rPr>
          <w:rFonts w:ascii="Arial" w:cs="Arial" w:eastAsia="Arial" w:hAnsi="Arial"/>
          <w:i/>
          <w:iCs/>
          <w:sz w:val="22"/>
          <w:szCs w:val="22"/>
        </w:rPr>
        <w:t xml:space="preserve">Star Trek</w:t>
      </w:r>
      <w:r>
        <w:rPr>
          <w:rFonts w:ascii="Arial" w:cs="Arial" w:eastAsia="Arial" w:hAnsi="Arial"/>
          <w:sz w:val="22"/>
          <w:szCs w:val="22"/>
        </w:rPr>
        <w:t xml:space="preserve"> bajo el nombre de «motor warp».</w:t>
      </w:r>
    </w:p>
    <w:p>
      <w:pPr>
        <w:spacing w:after="240" w:before="0"/>
      </w:pPr>
      <w:r>
        <w:rPr>
          <w:rFonts w:ascii="Arial" w:cs="Arial" w:eastAsia="Arial" w:hAnsi="Arial"/>
          <w:sz w:val="22"/>
          <w:szCs w:val="22"/>
        </w:rPr>
        <w:t xml:space="preserve">La novela no menciona explícitamente esta teoría, pero la experiencia de los </w:t>
      </w:r>
      <w:r>
        <w:rPr>
          <w:rFonts w:ascii="Arial" w:cs="Arial" w:eastAsia="Arial" w:hAnsi="Arial"/>
          <w:i/>
          <w:iCs/>
          <w:sz w:val="22"/>
          <w:szCs w:val="22"/>
        </w:rPr>
        <w:t xml:space="preserve">tracs</w:t>
      </w:r>
      <w:r>
        <w:rPr>
          <w:rFonts w:ascii="Arial" w:cs="Arial" w:eastAsia="Arial" w:hAnsi="Arial"/>
          <w:sz w:val="22"/>
          <w:szCs w:val="22"/>
        </w:rPr>
        <w:t xml:space="preserve"> —seres cuya conciencia existe simultáneamente en distintos planos temporales como consecuencia de un evento físico extraordinario— puede leerse como una exploración literaria de las implicaciones perceptivas y existenciales de una alteración radical del espacio-tiempo.</w:t>
      </w:r>
    </w:p>
    <w:p>
      <w:pPr>
        <w:pStyle w:val="Heading2"/>
      </w:pPr>
      <w:r>
        <w:rPr>
          <w:rFonts w:ascii="Arial" w:cs="Arial" w:eastAsia="Arial" w:hAnsi="Arial"/>
          <w:b/>
          <w:bCs/>
          <w:color w:val="2E5096"/>
          <w:sz w:val="26"/>
          <w:szCs w:val="26"/>
        </w:rPr>
        <w:t xml:space="preserve">Publicaciones</w:t>
      </w:r>
    </w:p>
    <w:p>
      <w:pPr>
        <w:pStyle w:val="ListParagraph"/>
        <w:numPr>
          <w:ilvl w:val="0"/>
          <w:numId w:val="2"/>
        </w:numPr>
        <w:spacing w:after="80" w:before="80"/>
      </w:pPr>
      <w:r>
        <w:rPr>
          <w:rFonts w:ascii="Arial" w:cs="Arial" w:eastAsia="Arial" w:hAnsi="Arial"/>
          <w:b/>
          <w:bCs/>
          <w:i/>
          <w:iCs/>
          <w:sz w:val="22"/>
          <w:szCs w:val="22"/>
        </w:rPr>
        <w:t xml:space="preserve">Premio UPC 2002: Novela corta de ciencia ficción</w:t>
      </w:r>
      <w:r>
        <w:rPr>
          <w:rFonts w:ascii="Arial" w:cs="Arial" w:eastAsia="Arial" w:hAnsi="Arial"/>
          <w:sz w:val="22"/>
          <w:szCs w:val="22"/>
        </w:rPr>
        <w:t xml:space="preserve">. Ediciones B, colección Nova nº 158, Barcelona, 2003. ISBN 9788466611114. (Incluye conferencia de Vernor Vinge sobre la singularidad tecnológica.)</w:t>
      </w:r>
    </w:p>
    <w:p>
      <w:pPr>
        <w:pStyle w:val="ListParagraph"/>
        <w:numPr>
          <w:ilvl w:val="0"/>
          <w:numId w:val="2"/>
        </w:numPr>
        <w:spacing w:after="80" w:before="80"/>
      </w:pPr>
      <w:r>
        <w:rPr>
          <w:rFonts w:ascii="Arial" w:cs="Arial" w:eastAsia="Arial" w:hAnsi="Arial"/>
          <w:b/>
          <w:bCs/>
          <w:i/>
          <w:iCs/>
          <w:sz w:val="22"/>
          <w:szCs w:val="22"/>
        </w:rPr>
        <w:t xml:space="preserve">La ruta a Trascendencia</w:t>
      </w:r>
      <w:r>
        <w:rPr>
          <w:rFonts w:ascii="Arial" w:cs="Arial" w:eastAsia="Arial" w:hAnsi="Arial"/>
          <w:sz w:val="22"/>
          <w:szCs w:val="22"/>
        </w:rPr>
        <w:t xml:space="preserve">. Colección Literatura Fantástica y Ciencia Ficción nº 5, editorial La Página / Página/12, Buenos Aires, 2005. 175 páginas. (El volumen incluye también la serie de relatos fantástico-históricos </w:t>
      </w:r>
      <w:r>
        <w:rPr>
          <w:rFonts w:ascii="Arial" w:cs="Arial" w:eastAsia="Arial" w:hAnsi="Arial"/>
          <w:i/>
          <w:iCs/>
          <w:sz w:val="22"/>
          <w:szCs w:val="22"/>
        </w:rPr>
        <w:t xml:space="preserve">Fuegos fatuos</w:t>
      </w:r>
      <w:r>
        <w:rPr>
          <w:rFonts w:ascii="Arial" w:cs="Arial" w:eastAsia="Arial" w:hAnsi="Arial"/>
          <w:sz w:val="22"/>
          <w:szCs w:val="22"/>
        </w:rPr>
        <w:t xml:space="preserve">.)</w:t>
      </w:r>
    </w:p>
    <w:p>
      <w:pPr>
        <w:pStyle w:val="ListParagraph"/>
        <w:numPr>
          <w:ilvl w:val="0"/>
          <w:numId w:val="2"/>
        </w:numPr>
        <w:spacing w:after="240" w:before="80"/>
      </w:pPr>
      <w:r>
        <w:rPr>
          <w:rFonts w:ascii="Arial" w:cs="Arial" w:eastAsia="Arial" w:hAnsi="Arial"/>
          <w:b/>
          <w:bCs/>
          <w:i/>
          <w:iCs/>
          <w:sz w:val="22"/>
          <w:szCs w:val="22"/>
        </w:rPr>
        <w:t xml:space="preserve">Revista Axxón</w:t>
      </w:r>
      <w:r>
        <w:rPr>
          <w:rFonts w:ascii="Arial" w:cs="Arial" w:eastAsia="Arial" w:hAnsi="Arial"/>
          <w:sz w:val="22"/>
          <w:szCs w:val="22"/>
        </w:rPr>
        <w:t xml:space="preserve"> nº 263, febrero de 2015. Publicación digital completa por capítulos, con ilustraciones de Tut. El mismo número incluye una reedición del cuento «Demasiado tiempo» y una entrevista al autor por Ricardo Giorno.</w:t>
      </w:r>
    </w:p>
    <w:p>
      <w:pPr>
        <w:pStyle w:val="Heading2"/>
      </w:pPr>
      <w:r>
        <w:rPr>
          <w:rFonts w:ascii="Arial" w:cs="Arial" w:eastAsia="Arial" w:hAnsi="Arial"/>
          <w:b/>
          <w:bCs/>
          <w:color w:val="2E5096"/>
          <w:sz w:val="26"/>
          <w:szCs w:val="26"/>
        </w:rPr>
        <w:t xml:space="preserve">El Premio UPC</w:t>
      </w:r>
    </w:p>
    <w:p>
      <w:pPr>
        <w:spacing w:after="160" w:before="120"/>
      </w:pPr>
      <w:r>
        <w:rPr>
          <w:rFonts w:ascii="Arial" w:cs="Arial" w:eastAsia="Arial" w:hAnsi="Arial"/>
          <w:sz w:val="22"/>
          <w:szCs w:val="22"/>
        </w:rPr>
        <w:t xml:space="preserve">El </w:t>
      </w:r>
      <w:r>
        <w:rPr>
          <w:rFonts w:ascii="Arial" w:cs="Arial" w:eastAsia="Arial" w:hAnsi="Arial"/>
          <w:b/>
          <w:bCs/>
          <w:sz w:val="22"/>
          <w:szCs w:val="22"/>
        </w:rPr>
        <w:t xml:space="preserve">Premio Internacional UPC de Ciencia Ficción</w:t>
      </w:r>
      <w:r>
        <w:rPr>
          <w:rFonts w:ascii="Arial" w:cs="Arial" w:eastAsia="Arial" w:hAnsi="Arial"/>
          <w:sz w:val="22"/>
          <w:szCs w:val="22"/>
        </w:rPr>
        <w:t xml:space="preserve"> es otorgado desde 1991 por la Universitat Politècnica de Catalunya y es considerado el premio europeo de mayor prestigio dedicado específicamente al género. Según el escritor Brian W. Aldiss, es el premio europeo con mayor prestigio en la ciencia ficción. Está orientado a novelas cortas inéditas en español. Entre sus ganadores figuran autores como Robert J. Sawyer, Kristine Kathryn Rusch y Brandon Sanderson.</w:t>
      </w:r>
    </w:p>
    <w:p>
      <w:pPr>
        <w:spacing w:after="240" w:before="0"/>
      </w:pPr>
      <w:r>
        <w:rPr>
          <w:rFonts w:ascii="Arial" w:cs="Arial" w:eastAsia="Arial" w:hAnsi="Arial"/>
          <w:sz w:val="22"/>
          <w:szCs w:val="22"/>
        </w:rPr>
        <w:t xml:space="preserve">El único otro escritor argentino que ganó el Premio UPC es </w:t>
      </w:r>
      <w:r>
        <w:rPr>
          <w:rFonts w:ascii="Arial" w:cs="Arial" w:eastAsia="Arial" w:hAnsi="Arial"/>
          <w:b/>
          <w:bCs/>
          <w:sz w:val="22"/>
          <w:szCs w:val="22"/>
        </w:rPr>
        <w:t xml:space="preserve">Carlos Gardini</w:t>
      </w:r>
      <w:r>
        <w:rPr>
          <w:rFonts w:ascii="Arial" w:cs="Arial" w:eastAsia="Arial" w:hAnsi="Arial"/>
          <w:sz w:val="22"/>
          <w:szCs w:val="22"/>
        </w:rPr>
        <w:t xml:space="preserve">, en tres ocasiones: 1996 (</w:t>
      </w:r>
      <w:r>
        <w:rPr>
          <w:rFonts w:ascii="Arial" w:cs="Arial" w:eastAsia="Arial" w:hAnsi="Arial"/>
          <w:i/>
          <w:iCs/>
          <w:sz w:val="22"/>
          <w:szCs w:val="22"/>
        </w:rPr>
        <w:t xml:space="preserve">Los ojos de un Dios en celo</w:t>
      </w:r>
      <w:r>
        <w:rPr>
          <w:rFonts w:ascii="Arial" w:cs="Arial" w:eastAsia="Arial" w:hAnsi="Arial"/>
          <w:sz w:val="22"/>
          <w:szCs w:val="22"/>
        </w:rPr>
        <w:t xml:space="preserve">), 2001 (</w:t>
      </w:r>
      <w:r>
        <w:rPr>
          <w:rFonts w:ascii="Arial" w:cs="Arial" w:eastAsia="Arial" w:hAnsi="Arial"/>
          <w:i/>
          <w:iCs/>
          <w:sz w:val="22"/>
          <w:szCs w:val="22"/>
        </w:rPr>
        <w:t xml:space="preserve">El libro de las voces</w:t>
      </w:r>
      <w:r>
        <w:rPr>
          <w:rFonts w:ascii="Arial" w:cs="Arial" w:eastAsia="Arial" w:hAnsi="Arial"/>
          <w:sz w:val="22"/>
          <w:szCs w:val="22"/>
        </w:rPr>
        <w:t xml:space="preserve">) y 2007 (</w:t>
      </w:r>
      <w:r>
        <w:rPr>
          <w:rFonts w:ascii="Arial" w:cs="Arial" w:eastAsia="Arial" w:hAnsi="Arial"/>
          <w:i/>
          <w:iCs/>
          <w:sz w:val="22"/>
          <w:szCs w:val="22"/>
        </w:rPr>
        <w:t xml:space="preserve">Belcebú en llamas</w:t>
      </w:r>
      <w:r>
        <w:rPr>
          <w:rFonts w:ascii="Arial" w:cs="Arial" w:eastAsia="Arial" w:hAnsi="Arial"/>
          <w:sz w:val="22"/>
          <w:szCs w:val="22"/>
        </w:rPr>
        <w:t xml:space="preserve">, ex aequo con Brandon Sanderson).</w:t>
      </w:r>
    </w:p>
    <w:p>
      <w:pPr>
        <w:pStyle w:val="Heading2"/>
      </w:pPr>
      <w:r>
        <w:rPr>
          <w:rFonts w:ascii="Arial" w:cs="Arial" w:eastAsia="Arial" w:hAnsi="Arial"/>
          <w:b/>
          <w:bCs/>
          <w:color w:val="2E5096"/>
          <w:sz w:val="26"/>
          <w:szCs w:val="26"/>
        </w:rPr>
        <w:t xml:space="preserve">Recepción</w:t>
      </w:r>
    </w:p>
    <w:p>
      <w:pPr>
        <w:spacing w:after="160" w:before="120"/>
      </w:pPr>
      <w:r>
        <w:rPr>
          <w:rFonts w:ascii="Arial" w:cs="Arial" w:eastAsia="Arial" w:hAnsi="Arial"/>
          <w:sz w:val="22"/>
          <w:szCs w:val="22"/>
        </w:rPr>
        <w:t xml:space="preserve">La reseña del volumen </w:t>
      </w:r>
      <w:r>
        <w:rPr>
          <w:rFonts w:ascii="Arial" w:cs="Arial" w:eastAsia="Arial" w:hAnsi="Arial"/>
          <w:i/>
          <w:iCs/>
          <w:sz w:val="22"/>
          <w:szCs w:val="22"/>
        </w:rPr>
        <w:t xml:space="preserve">Premio UPC 2002</w:t>
      </w:r>
      <w:r>
        <w:rPr>
          <w:rFonts w:ascii="Arial" w:cs="Arial" w:eastAsia="Arial" w:hAnsi="Arial"/>
          <w:sz w:val="22"/>
          <w:szCs w:val="22"/>
        </w:rPr>
        <w:t xml:space="preserve"> publicada en la wiki Alt64 señaló que la obra «reúne cualidades similares» a las de la ganadora compartida, «pero adaptadas a un entorno completamente diferente (un pueblecito sudamericano), lo que acentúa el contraste entre ambas obras», calificando a ambas como «buenos ganadores del premio».</w:t>
      </w:r>
    </w:p>
    <w:p>
      <w:pPr>
        <w:spacing w:after="160" w:before="0"/>
      </w:pPr>
      <w:r>
        <w:rPr>
          <w:rFonts w:ascii="Arial" w:cs="Arial" w:eastAsia="Arial" w:hAnsi="Arial"/>
          <w:sz w:val="22"/>
          <w:szCs w:val="22"/>
        </w:rPr>
        <w:t xml:space="preserve">La Tercera Fundación, biblioteca especializada en CF en español, describió la obra como una de las que «se devoran más que se leen», y la situó en la tradición de las zonas de anomalía espacio-temporal que los hermanos Strugatski elaboraron en </w:t>
      </w:r>
      <w:r>
        <w:rPr>
          <w:rFonts w:ascii="Arial" w:cs="Arial" w:eastAsia="Arial" w:hAnsi="Arial"/>
          <w:i/>
          <w:iCs/>
          <w:sz w:val="22"/>
          <w:szCs w:val="22"/>
        </w:rPr>
        <w:t xml:space="preserve">Picnic junto al camino</w:t>
      </w:r>
      <w:r>
        <w:rPr>
          <w:rFonts w:ascii="Arial" w:cs="Arial" w:eastAsia="Arial" w:hAnsi="Arial"/>
          <w:sz w:val="22"/>
          <w:szCs w:val="22"/>
        </w:rPr>
        <w:t xml:space="preserve">.</w:t>
      </w:r>
    </w:p>
    <w:p>
      <w:pPr>
        <w:spacing w:after="160" w:before="0"/>
      </w:pPr>
      <w:r>
        <w:rPr>
          <w:rFonts w:ascii="Arial" w:cs="Arial" w:eastAsia="Arial" w:hAnsi="Arial"/>
          <w:sz w:val="22"/>
          <w:szCs w:val="22"/>
        </w:rPr>
        <w:t xml:space="preserve">El crítico Daniel Salvo, en ciencia-ficcion.com, la calificó como «una magnífica muestra de las posibilidades que brinda la ciencia ficción para la especulación científica y filosófica, además de brindarnos un final tan impactante como sorpresivo», destacando que Alonso logra «con pocos elementos un estupendo y desafiante argumento, del tipo que sólo la ciencia ficción puede brindar».</w:t>
      </w:r>
    </w:p>
    <w:p>
      <w:pPr>
        <w:spacing w:after="160" w:before="0"/>
      </w:pPr>
      <w:r>
        <w:rPr>
          <w:rFonts w:ascii="Arial" w:cs="Arial" w:eastAsia="Arial" w:hAnsi="Arial"/>
          <w:sz w:val="22"/>
          <w:szCs w:val="22"/>
        </w:rPr>
        <w:t xml:space="preserve">El blog </w:t>
      </w:r>
      <w:r>
        <w:rPr>
          <w:rFonts w:ascii="Arial" w:cs="Arial" w:eastAsia="Arial" w:hAnsi="Arial"/>
          <w:i/>
          <w:iCs/>
          <w:sz w:val="22"/>
          <w:szCs w:val="22"/>
        </w:rPr>
        <w:t xml:space="preserve">Viajar Leyendo 451</w:t>
      </w:r>
      <w:r>
        <w:rPr>
          <w:rFonts w:ascii="Arial" w:cs="Arial" w:eastAsia="Arial" w:hAnsi="Arial"/>
          <w:sz w:val="22"/>
          <w:szCs w:val="22"/>
        </w:rPr>
        <w:t xml:space="preserve"> la situó dentro del hard science fiction, señalando que «los detalles técnicos de la narración y el rigor científico son un foco primordial».</w:t>
      </w:r>
    </w:p>
    <w:p>
      <w:pPr>
        <w:spacing w:after="160" w:before="0"/>
      </w:pPr>
      <w:r>
        <w:rPr>
          <w:rFonts w:ascii="Arial" w:cs="Arial" w:eastAsia="Arial" w:hAnsi="Arial"/>
          <w:b/>
          <w:bCs/>
          <w:sz w:val="22"/>
          <w:szCs w:val="22"/>
        </w:rPr>
        <w:t xml:space="preserve">Ángel Berlanga</w:t>
      </w:r>
      <w:r>
        <w:rPr>
          <w:rFonts w:ascii="Arial" w:cs="Arial" w:eastAsia="Arial" w:hAnsi="Arial"/>
          <w:sz w:val="22"/>
          <w:szCs w:val="22"/>
        </w:rPr>
        <w:t xml:space="preserve">, en </w:t>
      </w:r>
      <w:r>
        <w:rPr>
          <w:rFonts w:ascii="Arial" w:cs="Arial" w:eastAsia="Arial" w:hAnsi="Arial"/>
          <w:i/>
          <w:iCs/>
          <w:sz w:val="22"/>
          <w:szCs w:val="22"/>
        </w:rPr>
        <w:t xml:space="preserve">Página/12</w:t>
      </w:r>
      <w:r>
        <w:rPr>
          <w:rFonts w:ascii="Arial" w:cs="Arial" w:eastAsia="Arial" w:hAnsi="Arial"/>
          <w:sz w:val="22"/>
          <w:szCs w:val="22"/>
        </w:rPr>
        <w:t xml:space="preserve"> (10 de diciembre de 2004), destacó el «tono y lenguaje que remite fuertemente a lo nacional» de la obra, a pesar de que su escenario no se especifica geográficamente.</w:t>
      </w:r>
    </w:p>
    <w:p>
      <w:pPr>
        <w:spacing w:after="240" w:before="0"/>
      </w:pPr>
      <w:r>
        <w:rPr>
          <w:rFonts w:ascii="Arial" w:cs="Arial" w:eastAsia="Arial" w:hAnsi="Arial"/>
          <w:sz w:val="22"/>
          <w:szCs w:val="22"/>
        </w:rPr>
        <w:t xml:space="preserve">El volumen académico </w:t>
      </w:r>
      <w:r>
        <w:rPr>
          <w:rFonts w:ascii="Arial" w:cs="Arial" w:eastAsia="Arial" w:hAnsi="Arial"/>
          <w:i/>
          <w:iCs/>
          <w:sz w:val="22"/>
          <w:szCs w:val="22"/>
        </w:rPr>
        <w:t xml:space="preserve">A Peter Lang Companion to Latin American Science Fiction</w:t>
      </w:r>
      <w:r>
        <w:rPr>
          <w:rFonts w:ascii="Arial" w:cs="Arial" w:eastAsia="Arial" w:hAnsi="Arial"/>
          <w:sz w:val="22"/>
          <w:szCs w:val="22"/>
        </w:rPr>
        <w:t xml:space="preserve"> (Peter Lang, 2022) incluye un análisis de la obra en el capítulo «Aliens, Mutants, Cyborgs, Digital Selves: Avatars of the Posthuman in Latin American Science Fiction», de Antonio Córdoba. El ensayo ubica </w:t>
      </w:r>
      <w:r>
        <w:rPr>
          <w:rFonts w:ascii="Arial" w:cs="Arial" w:eastAsia="Arial" w:hAnsi="Arial"/>
          <w:i/>
          <w:iCs/>
          <w:sz w:val="22"/>
          <w:szCs w:val="22"/>
        </w:rPr>
        <w:t xml:space="preserve">La ruta a Trascendencia</w:t>
      </w:r>
      <w:r>
        <w:rPr>
          <w:rFonts w:ascii="Arial" w:cs="Arial" w:eastAsia="Arial" w:hAnsi="Arial"/>
          <w:sz w:val="22"/>
          <w:szCs w:val="22"/>
        </w:rPr>
        <w:t xml:space="preserve"> dentro de la tradición latinoamericana de CF sobre mutantes, señalando que sus habitantes —cuya conciencia reside en múltiples planos temporales simultáneos— encarnan el trauma de una nación que vio cómo las narrativas de progreso fueron radicalmente cuestionadas por los eventos de 2001, y subraya el paralelo entre la especulación mental que destruye a los mutantes y la especulación financiera que precipitó el colapso argentino.</w:t>
      </w:r>
    </w:p>
    <w:p>
      <w:pPr>
        <w:pStyle w:val="Heading2"/>
      </w:pPr>
      <w:r>
        <w:rPr>
          <w:rFonts w:ascii="Arial" w:cs="Arial" w:eastAsia="Arial" w:hAnsi="Arial"/>
          <w:b/>
          <w:bCs/>
          <w:color w:val="2E5096"/>
          <w:sz w:val="26"/>
          <w:szCs w:val="26"/>
        </w:rPr>
        <w:t xml:space="preserve">Premios y reconocimientos</w:t>
      </w:r>
    </w:p>
    <w:p>
      <w:pPr>
        <w:pStyle w:val="ListParagraph"/>
        <w:numPr>
          <w:ilvl w:val="0"/>
          <w:numId w:val="2"/>
        </w:numPr>
        <w:spacing w:after="80" w:before="80"/>
      </w:pPr>
      <w:r>
        <w:rPr>
          <w:rFonts w:ascii="Arial" w:cs="Arial" w:eastAsia="Arial" w:hAnsi="Arial"/>
          <w:b/>
          <w:bCs/>
          <w:sz w:val="22"/>
          <w:szCs w:val="22"/>
        </w:rPr>
        <w:t xml:space="preserve">Premio Internacional UPC de Ciencia Ficción 2002</w:t>
      </w:r>
      <w:r>
        <w:rPr>
          <w:rFonts w:ascii="Arial" w:cs="Arial" w:eastAsia="Arial" w:hAnsi="Arial"/>
          <w:sz w:val="22"/>
          <w:szCs w:val="22"/>
        </w:rPr>
        <w:t xml:space="preserve">, ex aequo (Universitat Politècnica de Catalunya).</w:t>
      </w:r>
    </w:p>
    <w:p>
      <w:pPr>
        <w:pStyle w:val="ListParagraph"/>
        <w:numPr>
          <w:ilvl w:val="0"/>
          <w:numId w:val="2"/>
        </w:numPr>
        <w:spacing w:after="80" w:before="80"/>
      </w:pPr>
      <w:r>
        <w:rPr>
          <w:rFonts w:ascii="Arial" w:cs="Arial" w:eastAsia="Arial" w:hAnsi="Arial"/>
          <w:b/>
          <w:bCs/>
          <w:sz w:val="22"/>
          <w:szCs w:val="22"/>
        </w:rPr>
        <w:t xml:space="preserve">Premio Ciudad de Arena a la Revelación Literaria 2003</w:t>
      </w:r>
      <w:r>
        <w:rPr>
          <w:rFonts w:ascii="Arial" w:cs="Arial" w:eastAsia="Arial" w:hAnsi="Arial"/>
          <w:sz w:val="22"/>
          <w:szCs w:val="22"/>
        </w:rPr>
        <w:t xml:space="preserve"> (Fundación Ciudad de Arena).</w:t>
      </w:r>
    </w:p>
    <w:p>
      <w:pPr>
        <w:pStyle w:val="ListParagraph"/>
        <w:numPr>
          <w:ilvl w:val="0"/>
          <w:numId w:val="2"/>
        </w:numPr>
        <w:spacing w:after="240" w:before="80"/>
      </w:pPr>
      <w:r>
        <w:rPr>
          <w:rFonts w:ascii="Arial" w:cs="Arial" w:eastAsia="Arial" w:hAnsi="Arial"/>
          <w:sz w:val="22"/>
          <w:szCs w:val="22"/>
        </w:rPr>
        <w:t xml:space="preserve">Finalista del </w:t>
      </w:r>
      <w:r>
        <w:rPr>
          <w:rFonts w:ascii="Arial" w:cs="Arial" w:eastAsia="Arial" w:hAnsi="Arial"/>
          <w:b/>
          <w:bCs/>
          <w:sz w:val="22"/>
          <w:szCs w:val="22"/>
        </w:rPr>
        <w:t xml:space="preserve">Premio Ignotus</w:t>
      </w:r>
      <w:r>
        <w:rPr>
          <w:rFonts w:ascii="Arial" w:cs="Arial" w:eastAsia="Arial" w:hAnsi="Arial"/>
          <w:sz w:val="22"/>
          <w:szCs w:val="22"/>
        </w:rPr>
        <w:t xml:space="preserve"> a mejor novela corta, 2004.</w:t>
      </w:r>
    </w:p>
    <w:p>
      <w:pPr>
        <w:pStyle w:val="Heading2"/>
      </w:pPr>
      <w:r>
        <w:rPr>
          <w:rFonts w:ascii="Arial" w:cs="Arial" w:eastAsia="Arial" w:hAnsi="Arial"/>
          <w:b/>
          <w:bCs/>
          <w:color w:val="2E5096"/>
          <w:sz w:val="26"/>
          <w:szCs w:val="26"/>
        </w:rPr>
        <w:t xml:space="preserve">Véase también</w:t>
      </w:r>
    </w:p>
    <w:p>
      <w:pPr>
        <w:pStyle w:val="ListParagraph"/>
        <w:numPr>
          <w:ilvl w:val="0"/>
          <w:numId w:val="2"/>
        </w:numPr>
        <w:spacing w:after="80" w:before="80"/>
      </w:pPr>
      <w:r>
        <w:rPr>
          <w:rFonts w:ascii="Arial" w:cs="Arial" w:eastAsia="Arial" w:hAnsi="Arial"/>
          <w:sz w:val="22"/>
          <w:szCs w:val="22"/>
        </w:rPr>
        <w:t xml:space="preserve">Carlos Gardini</w:t>
      </w:r>
    </w:p>
    <w:p>
      <w:pPr>
        <w:pStyle w:val="ListParagraph"/>
        <w:numPr>
          <w:ilvl w:val="0"/>
          <w:numId w:val="2"/>
        </w:numPr>
        <w:spacing w:after="80" w:before="80"/>
      </w:pPr>
      <w:r>
        <w:rPr>
          <w:rFonts w:ascii="Arial" w:cs="Arial" w:eastAsia="Arial" w:hAnsi="Arial"/>
          <w:sz w:val="22"/>
          <w:szCs w:val="22"/>
        </w:rPr>
        <w:t xml:space="preserve">Premio UPC</w:t>
      </w:r>
    </w:p>
    <w:p>
      <w:pPr>
        <w:pStyle w:val="ListParagraph"/>
        <w:numPr>
          <w:ilvl w:val="0"/>
          <w:numId w:val="2"/>
        </w:numPr>
        <w:spacing w:after="80" w:before="80"/>
      </w:pPr>
      <w:r>
        <w:rPr>
          <w:rFonts w:ascii="Arial" w:cs="Arial" w:eastAsia="Arial" w:hAnsi="Arial"/>
          <w:sz w:val="22"/>
          <w:szCs w:val="22"/>
        </w:rPr>
        <w:t xml:space="preserve">Ciencia ficción argentina</w:t>
      </w:r>
    </w:p>
    <w:p>
      <w:pPr>
        <w:pStyle w:val="ListParagraph"/>
        <w:numPr>
          <w:ilvl w:val="0"/>
          <w:numId w:val="2"/>
        </w:numPr>
        <w:spacing w:after="240" w:before="80"/>
      </w:pPr>
      <w:r>
        <w:rPr>
          <w:rFonts w:ascii="Arial" w:cs="Arial" w:eastAsia="Arial" w:hAnsi="Arial"/>
          <w:sz w:val="22"/>
          <w:szCs w:val="22"/>
        </w:rPr>
        <w:t xml:space="preserve">Métrica de Alcubierre</w:t>
      </w:r>
    </w:p>
    <w:p>
      <w:pPr>
        <w:pStyle w:val="Heading2"/>
      </w:pPr>
      <w:r>
        <w:rPr>
          <w:rFonts w:ascii="Arial" w:cs="Arial" w:eastAsia="Arial" w:hAnsi="Arial"/>
          <w:b/>
          <w:bCs/>
          <w:color w:val="2E5096"/>
          <w:sz w:val="26"/>
          <w:szCs w:val="26"/>
        </w:rPr>
        <w:t xml:space="preserve">Categorías</w:t>
      </w:r>
    </w:p>
    <w:p>
      <w:pPr>
        <w:pStyle w:val="ListParagraph"/>
        <w:numPr>
          <w:ilvl w:val="0"/>
          <w:numId w:val="2"/>
        </w:numPr>
        <w:spacing w:after="80" w:before="80"/>
      </w:pPr>
      <w:r>
        <w:rPr>
          <w:rFonts w:ascii="Arial" w:cs="Arial" w:eastAsia="Arial" w:hAnsi="Arial"/>
          <w:sz w:val="22"/>
          <w:szCs w:val="22"/>
        </w:rPr>
        <w:t xml:space="preserve">Novelas cortas de ciencia ficción</w:t>
      </w:r>
    </w:p>
    <w:p>
      <w:pPr>
        <w:pStyle w:val="ListParagraph"/>
        <w:numPr>
          <w:ilvl w:val="0"/>
          <w:numId w:val="2"/>
        </w:numPr>
        <w:spacing w:after="80" w:before="80"/>
      </w:pPr>
      <w:r>
        <w:rPr>
          <w:rFonts w:ascii="Arial" w:cs="Arial" w:eastAsia="Arial" w:hAnsi="Arial"/>
          <w:sz w:val="22"/>
          <w:szCs w:val="22"/>
        </w:rPr>
        <w:t xml:space="preserve">Novelas de ciencia ficción de Argentina</w:t>
      </w:r>
    </w:p>
    <w:p>
      <w:pPr>
        <w:pStyle w:val="ListParagraph"/>
        <w:numPr>
          <w:ilvl w:val="0"/>
          <w:numId w:val="2"/>
        </w:numPr>
        <w:spacing w:after="80" w:before="80"/>
      </w:pPr>
      <w:r>
        <w:rPr>
          <w:rFonts w:ascii="Arial" w:cs="Arial" w:eastAsia="Arial" w:hAnsi="Arial"/>
          <w:sz w:val="22"/>
          <w:szCs w:val="22"/>
        </w:rPr>
        <w:t xml:space="preserve">Obras ganadoras del Premio UPC</w:t>
      </w:r>
    </w:p>
    <w:p>
      <w:pPr>
        <w:pStyle w:val="ListParagraph"/>
        <w:numPr>
          <w:ilvl w:val="0"/>
          <w:numId w:val="2"/>
        </w:numPr>
        <w:spacing w:after="80" w:before="80"/>
      </w:pPr>
      <w:r>
        <w:rPr>
          <w:rFonts w:ascii="Arial" w:cs="Arial" w:eastAsia="Arial" w:hAnsi="Arial"/>
          <w:sz w:val="22"/>
          <w:szCs w:val="22"/>
        </w:rPr>
        <w:t xml:space="preserve">Novelas de 2003</w:t>
      </w:r>
    </w:p>
    <w:p>
      <w:pPr>
        <w:pStyle w:val="ListParagraph"/>
        <w:numPr>
          <w:ilvl w:val="0"/>
          <w:numId w:val="2"/>
        </w:numPr>
        <w:spacing w:after="80" w:before="80"/>
      </w:pPr>
      <w:r>
        <w:rPr>
          <w:rFonts w:ascii="Arial" w:cs="Arial" w:eastAsia="Arial" w:hAnsi="Arial"/>
          <w:sz w:val="22"/>
          <w:szCs w:val="22"/>
        </w:rPr>
        <w:t xml:space="preserve">Nueva Narrativa Argentina (NNA)</w:t>
      </w:r>
    </w:p>
    <w:p>
      <w:pPr>
        <w:pStyle w:val="ListParagraph"/>
        <w:numPr>
          <w:ilvl w:val="0"/>
          <w:numId w:val="2"/>
        </w:numPr>
        <w:spacing w:after="80" w:before="80"/>
      </w:pPr>
      <w:r>
        <w:rPr>
          <w:rFonts w:ascii="Arial" w:cs="Arial" w:eastAsia="Arial" w:hAnsi="Arial"/>
          <w:sz w:val="22"/>
          <w:szCs w:val="22"/>
        </w:rPr>
        <w:t xml:space="preserve">Literatura Argentina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0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2026-04-05T21:46:30.797Z</dcterms:created>
  <dcterms:modified xsi:type="dcterms:W3CDTF">2026-04-05T21:46:30.797Z</dcterms:modified>
</cp:coreProperties>
</file>

<file path=docProps/custom.xml><?xml version="1.0" encoding="utf-8"?>
<Properties xmlns="http://schemas.openxmlformats.org/officeDocument/2006/custom-properties" xmlns:vt="http://schemas.openxmlformats.org/officeDocument/2006/docPropsVTypes"/>
</file>