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F497D"/>
          <w:sz w:val="40"/>
        </w:rPr>
        <w:t>BCOR 4970 — Strategic Management</w:t>
      </w:r>
    </w:p>
    <w:p>
      <w:pPr>
        <w:jc w:val="center"/>
      </w:pPr>
      <w:r>
        <w:rPr>
          <w:rFonts w:ascii="Calibri" w:hAnsi="Calibri"/>
          <w:b w:val="0"/>
          <w:color w:val="595959"/>
          <w:sz w:val="24"/>
        </w:rPr>
        <w:t>Final Exam Study Guide  •  Chapters 5, 6, 8, 10, 11</w:t>
      </w:r>
    </w:p>
    <w:p>
      <w:pPr>
        <w:spacing w:before="80" w:after="80"/>
        <w:pBdr>
          <w:bottom w:val="single" w:sz="4" w:space="1" w:color="AAAAAA"/>
        </w:pBdr>
      </w:pPr>
    </w:p>
    <w:p/>
    <w:p>
      <w:pPr>
        <w:pStyle w:val="Heading1"/>
        <w:spacing w:before="280" w:after="120"/>
        <w:jc w:val="left"/>
      </w:pPr>
      <w:r>
        <w:rPr>
          <w:rFonts w:ascii="Calibri" w:hAnsi="Calibri"/>
          <w:b/>
          <w:color w:val="1155A1"/>
          <w:sz w:val="30"/>
        </w:rPr>
        <w:t>Chapter 5: Shared Value and Competitive Advantage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Shared Value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Creating economic value while simultaneously solving social problems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Align firm activities with the needs of a broad set of stakeholders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Stronger reputation and long-term customer demand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Patagonia's sustainability strategy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Value Creation Framework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Value = Willingness to Pay (WTP) − Cost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Increase WTP or reduce cost to widen the value gap over competitors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Larger value gap than rivals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Apple vs. generic electronics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Balanced Scorecard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Performance measurement tool integrating financial and non-financial metrics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Tracks four perspectives: Financial, Customer, Internal Processes, Learning &amp; Growth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Aligns day-to-day execution with long-term strategy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Tracking customer satisfaction alongside profit margins</w:t>
      </w:r>
    </w:p>
    <w:p>
      <w:pPr>
        <w:spacing w:before="80" w:after="80"/>
        <w:pBdr>
          <w:bottom w:val="single" w:sz="4" w:space="1" w:color="AAAAAA"/>
        </w:pBdr>
      </w:pPr>
    </w:p>
    <w:p/>
    <w:p>
      <w:pPr>
        <w:pStyle w:val="Heading1"/>
        <w:spacing w:before="280" w:after="120"/>
        <w:jc w:val="left"/>
      </w:pPr>
      <w:r>
        <w:rPr>
          <w:rFonts w:ascii="Calibri" w:hAnsi="Calibri"/>
          <w:b/>
          <w:color w:val="1155A1"/>
          <w:sz w:val="30"/>
        </w:rPr>
        <w:t>Chapter 6: Business Strategy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Cost Leadership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Producing acceptable value at the lowest cost in the industry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Economies of scale, efficient operations, tight cost controls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Ability to survive and win price wars; higher margins at market price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Aldi, Walmart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Differentiation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Offering unique value that customers are willing to pay a premium for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Innovation, superior branding, quality, or service — NOT lowest cost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Higher willingness to pay → premium pricing and higher margins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Nike, Starbucks, luxury brands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Blue Ocean Strategy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Pursuing differentiation and low cost simultaneously to create new market space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Redefine industry value drivers; eliminate, reduce, raise, create attributes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Uncontested market space with no direct competitors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JetBlue — low cost + quality experience</w:t>
      </w:r>
    </w:p>
    <w:p>
      <w:pPr>
        <w:spacing w:before="80" w:after="80"/>
        <w:pBdr>
          <w:bottom w:val="single" w:sz="4" w:space="1" w:color="AAAAAA"/>
        </w:pBdr>
      </w:pPr>
    </w:p>
    <w:p/>
    <w:p>
      <w:pPr>
        <w:pStyle w:val="Heading1"/>
        <w:spacing w:before="280" w:after="120"/>
        <w:jc w:val="left"/>
      </w:pPr>
      <w:r>
        <w:rPr>
          <w:rFonts w:ascii="Calibri" w:hAnsi="Calibri"/>
          <w:b/>
          <w:color w:val="1155A1"/>
          <w:sz w:val="30"/>
        </w:rPr>
        <w:t>Chapter 8: Corporate Strategy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Corporate Strategy (Overview)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Decisions about which industries and markets the firm competes in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Allocate resources across business units to maximize overall performance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Growth and synergy across the portfolio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Amazon's expansion across retail, cloud, logistics, and media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Vertical Integration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Owning multiple stages of the value chain (upstream suppliers or downstream distribution)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Internalize activities previously done by outside firms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Cost control, quality assurance, and proprietary knowledge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Tesla (owns manufacturing, sales, charging network)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Outsourcing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Reducing vertical integration by relying on external suppliers for non-core activities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Contract out activities outside core competencies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Focus resources on core activities; lower overhead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Nike outsources manufacturing, focuses on design and marketing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Diversification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Entering new industries or markets beyond the firm's current business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Leverage existing competencies (related) or build new ones (unrelated)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Risk reduction and/or synergy — but hardest to execute (new market + new capabilities)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Amazon AWS (related); tech firm entering pharma (unrelated — very difficult)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Economies of Scale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Cost advantages gained by increasing output volume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Spread fixed costs across more units → lower cost per unit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Lower unit cost → pricing power or higher margins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Walmart</w:t>
      </w:r>
    </w:p>
    <w:p>
      <w:pPr>
        <w:spacing w:before="80" w:after="80"/>
        <w:pBdr>
          <w:bottom w:val="single" w:sz="4" w:space="1" w:color="AAAAAA"/>
        </w:pBdr>
      </w:pPr>
    </w:p>
    <w:p/>
    <w:p>
      <w:pPr>
        <w:pStyle w:val="Heading1"/>
        <w:spacing w:before="280" w:after="120"/>
        <w:jc w:val="left"/>
      </w:pPr>
      <w:r>
        <w:rPr>
          <w:rFonts w:ascii="Calibri" w:hAnsi="Calibri"/>
          <w:b/>
          <w:color w:val="1155A1"/>
          <w:sz w:val="30"/>
        </w:rPr>
        <w:t>Chapter 10: Global Strategy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Global Strategy (Overview)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How a firm achieves and sustains competitive advantage across international markets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Access to global efficiencies, new markets, and resources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IKEA's standardized global model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CAGE Framework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Framework measuring "distance" between countries along four dimensions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Evaluates Cultural, Administrative, Geographic, and Economic barriers to entry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Better international location and market-entry decisions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US expansion to Canada — low CAGE distance; US to China — high CAGE distance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Cost–Responsiveness Framework (Integration-Responsiveness)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Trade-off between global cost reduction and local market responsiveness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Determines which international strategy type to use (global, multidomestic, transnational)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Alignment between strategy type and market demands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McDonald's local menus = multidomestic (high local responsiveness)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Multidomestic Strategy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High local responsiveness — adapt products and operations to each local market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Decentralize decisions; tailor offerings by country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Better customer fit in diverse markets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McDonald's (local menu items by country)</w:t>
      </w:r>
    </w:p>
    <w:p>
      <w:pPr>
        <w:spacing w:before="80" w:after="80"/>
        <w:pBdr>
          <w:bottom w:val="single" w:sz="4" w:space="1" w:color="AAAAAA"/>
        </w:pBdr>
      </w:pPr>
    </w:p>
    <w:p/>
    <w:p>
      <w:pPr>
        <w:pStyle w:val="Heading1"/>
        <w:spacing w:before="280" w:after="120"/>
        <w:jc w:val="left"/>
      </w:pPr>
      <w:r>
        <w:rPr>
          <w:rFonts w:ascii="Calibri" w:hAnsi="Calibri"/>
          <w:b/>
          <w:color w:val="1155A1"/>
          <w:sz w:val="30"/>
        </w:rPr>
        <w:t>Chapter 11: Organizational Design — Structure, Culture &amp; Control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Organizational Design (Overview)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How a firm structures activities, culture, and controls to execute strategy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Coordinates activities and aligns incentives across the organization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Execution efficiency — strategy only works if the org is designed to deliver it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Amazon's decentralized "two-pizza team" structure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Organizational Culture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Shared values, norms, and behaviors within a firm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Creates complex, informal coordination that is hard for competitors to imitate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Sustained competitive advantage — culture is difficult to copy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Southwest Airlines' culture of employee empowerment and fun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Centralization vs. Decentralization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Centralization: </w:t>
      </w:r>
      <w:r>
        <w:rPr>
          <w:rFonts w:ascii="Calibri" w:hAnsi="Calibri"/>
          <w:b w:val="0"/>
          <w:sz w:val="22"/>
        </w:rPr>
        <w:t>Decisions concentrated at the top — slower, less responsive, but more control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Decentralization: </w:t>
      </w:r>
      <w:r>
        <w:rPr>
          <w:rFonts w:ascii="Calibri" w:hAnsi="Calibri"/>
          <w:b w:val="0"/>
          <w:sz w:val="22"/>
        </w:rPr>
        <w:t>Decisions pushed down — faster, more responsive, better local adaptation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Key Risk: </w:t>
      </w:r>
      <w:r>
        <w:rPr>
          <w:rFonts w:ascii="Calibri" w:hAnsi="Calibri"/>
          <w:b w:val="0"/>
          <w:sz w:val="22"/>
        </w:rPr>
        <w:t>Over-centralization leads to inertia and slowed decision-making (e.g., large bureaucracies)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Inertia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Organizational resistance to change — tendency to maintain status quo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Embedded routines, culture, and structures prevent adaptation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Firms that overcome inertia can adapt; those that don't lose advantage over time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Kodak — failed to adapt to digital photography despite inventing it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Business Model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How a firm translates its strategy into economic value — defines value creation, delivery, and capture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Mechanism: </w:t>
      </w:r>
      <w:r>
        <w:rPr>
          <w:rFonts w:ascii="Calibri" w:hAnsi="Calibri"/>
          <w:b w:val="0"/>
          <w:sz w:val="22"/>
        </w:rPr>
        <w:t>Aligns resources, activities, and revenue model to execute strategy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Competitive Advantage: </w:t>
      </w:r>
      <w:r>
        <w:rPr>
          <w:rFonts w:ascii="Calibri" w:hAnsi="Calibri"/>
          <w:b w:val="0"/>
          <w:sz w:val="22"/>
        </w:rPr>
        <w:t>Ensures organizational design supports strategic goals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Amazon's flywheel — low prices → traffic → sellers → more selection → lower costs</w:t>
      </w:r>
    </w:p>
    <w:p>
      <w:pPr>
        <w:spacing w:before="80" w:after="80"/>
        <w:pBdr>
          <w:bottom w:val="single" w:sz="4" w:space="1" w:color="AAAAAA"/>
        </w:pBdr>
      </w:pPr>
    </w:p>
    <w:p/>
    <w:p>
      <w:pPr>
        <w:pStyle w:val="Heading1"/>
        <w:spacing w:before="280" w:after="120"/>
        <w:jc w:val="left"/>
      </w:pPr>
      <w:r>
        <w:rPr>
          <w:rFonts w:ascii="Calibri" w:hAnsi="Calibri"/>
          <w:b/>
          <w:color w:val="1155A1"/>
          <w:sz w:val="30"/>
        </w:rPr>
        <w:t>Exam Focus — Key Distinctions &amp; Common Traps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Differentiation vs. Cost Leadership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Trap: </w:t>
      </w:r>
      <w:r>
        <w:rPr>
          <w:rFonts w:ascii="Calibri" w:hAnsi="Calibri"/>
          <w:b w:val="0"/>
          <w:sz w:val="22"/>
        </w:rPr>
        <w:t>Differentiation does NOT mean lowest cost — it means highest perceived value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Cost Leader: </w:t>
      </w:r>
      <w:r>
        <w:rPr>
          <w:rFonts w:ascii="Calibri" w:hAnsi="Calibri"/>
          <w:b w:val="0"/>
          <w:sz w:val="22"/>
        </w:rPr>
        <w:t>Lowest cost structure with acceptable value → wins price wars (e.g., Aldi)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Differentiator: </w:t>
      </w:r>
      <w:r>
        <w:rPr>
          <w:rFonts w:ascii="Calibri" w:hAnsi="Calibri"/>
          <w:b w:val="0"/>
          <w:sz w:val="22"/>
        </w:rPr>
        <w:t>Premium pricing through superior value → higher margins (e.g., Starbucks, Luxury brands)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Diversification Difficulty Spectrum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Easiest: </w:t>
      </w:r>
      <w:r>
        <w:rPr>
          <w:rFonts w:ascii="Calibri" w:hAnsi="Calibri"/>
          <w:b w:val="0"/>
          <w:sz w:val="22"/>
        </w:rPr>
        <w:t>Same market, same competencies (incremental growth)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Harder: </w:t>
      </w:r>
      <w:r>
        <w:rPr>
          <w:rFonts w:ascii="Calibri" w:hAnsi="Calibri"/>
          <w:b w:val="0"/>
          <w:sz w:val="22"/>
        </w:rPr>
        <w:t>Related diversification — new market OR new competencies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Hardest: </w:t>
      </w:r>
      <w:r>
        <w:rPr>
          <w:rFonts w:ascii="Calibri" w:hAnsi="Calibri"/>
          <w:b w:val="0"/>
          <w:sz w:val="22"/>
        </w:rPr>
        <w:t>Unrelated diversification — new market AND new competencies (e.g., tech firm entering pharma)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Multiple Strategies Can Win in the Same Industry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Key Point: </w:t>
      </w:r>
      <w:r>
        <w:rPr>
          <w:rFonts w:ascii="Calibri" w:hAnsi="Calibri"/>
          <w:b w:val="0"/>
          <w:sz w:val="22"/>
        </w:rPr>
        <w:t>Different strategic positions can both succeed — there is not one winner per industry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Aldi (cost leader) and Whole Foods (differentiator) both succeed in grocery retail</w:t>
      </w:r>
    </w:p>
    <w:p>
      <w:pPr>
        <w:pStyle w:val="Heading2"/>
        <w:spacing w:before="200" w:after="40"/>
      </w:pPr>
      <w:r>
        <w:rPr>
          <w:rFonts w:ascii="Calibri" w:hAnsi="Calibri"/>
          <w:b/>
          <w:color w:val="000000"/>
          <w:sz w:val="24"/>
        </w:rPr>
        <w:t>Commoditization Threatens Differentiation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Definition: </w:t>
      </w:r>
      <w:r>
        <w:rPr>
          <w:rFonts w:ascii="Calibri" w:hAnsi="Calibri"/>
          <w:b w:val="0"/>
          <w:sz w:val="22"/>
        </w:rPr>
        <w:t>When a formerly differentiated product becomes indistinguishable from competitors'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Effect: </w:t>
      </w:r>
      <w:r>
        <w:rPr>
          <w:rFonts w:ascii="Calibri" w:hAnsi="Calibri"/>
          <w:b w:val="0"/>
          <w:sz w:val="22"/>
        </w:rPr>
        <w:t>Reduces uniqueness → erodes premium pricing → margins compress</w:t>
      </w:r>
    </w:p>
    <w:p>
      <w:pPr>
        <w:spacing w:before="0" w:after="40"/>
        <w:ind w:left="360"/>
      </w:pPr>
      <w:r>
        <w:rPr>
          <w:rFonts w:ascii="Calibri" w:hAnsi="Calibri"/>
          <w:b/>
          <w:sz w:val="22"/>
        </w:rPr>
        <w:t xml:space="preserve">Example: </w:t>
      </w:r>
      <w:r>
        <w:rPr>
          <w:rFonts w:ascii="Calibri" w:hAnsi="Calibri"/>
          <w:b w:val="0"/>
          <w:sz w:val="22"/>
        </w:rPr>
        <w:t>Smartphones — once highly differentiated, now largely commoditized</w:t>
      </w:r>
    </w:p>
    <w:p>
      <w:pPr>
        <w:spacing w:before="80" w:after="80"/>
        <w:pBdr>
          <w:bottom w:val="single" w:sz="4" w:space="1" w:color="AAAAAA"/>
        </w:pBdr>
      </w:pPr>
    </w:p>
    <w:p>
      <w:pPr>
        <w:jc w:val="center"/>
      </w:pPr>
      <w:r>
        <w:rPr>
          <w:rFonts w:ascii="Calibri" w:hAnsi="Calibri"/>
          <w:b/>
          <w:color w:val="595959"/>
          <w:sz w:val="22"/>
        </w:rPr>
        <w:t>Good luck on May 7!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