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01019" w14:textId="77777777" w:rsidR="003A43DE" w:rsidRPr="003A43DE" w:rsidRDefault="003A43DE" w:rsidP="003A43DE">
      <w:pPr>
        <w:rPr>
          <w:b/>
          <w:bCs/>
        </w:rPr>
      </w:pPr>
      <w:r w:rsidRPr="003A43DE">
        <w:rPr>
          <w:rFonts w:hint="eastAsia"/>
          <w:b/>
          <w:bCs/>
        </w:rPr>
        <w:t>Exploring the winning strategy in cognitive domain operations</w:t>
      </w:r>
    </w:p>
    <w:p w14:paraId="3C765D15" w14:textId="4E44BFF9" w:rsidR="003A43DE" w:rsidRDefault="003A43DE" w:rsidP="003A43DE">
      <w:r w:rsidRPr="003A43DE">
        <w:rPr>
          <w:rFonts w:hint="eastAsia"/>
        </w:rPr>
        <w:t>Source: China Social Sciences Network</w:t>
      </w:r>
    </w:p>
    <w:p w14:paraId="22D861D0" w14:textId="741A1D7D" w:rsidR="003A43DE" w:rsidRPr="003A43DE" w:rsidRDefault="003A43DE" w:rsidP="003A43DE">
      <w:pPr>
        <w:rPr>
          <w:rFonts w:hint="eastAsia"/>
        </w:rPr>
      </w:pPr>
      <w:r w:rsidRPr="003A43DE">
        <w:rPr>
          <w:rFonts w:hint="eastAsia"/>
        </w:rPr>
        <w:t>Author: Social Science Network Editorial Department </w:t>
      </w:r>
    </w:p>
    <w:p w14:paraId="172692BA" w14:textId="14F2988D" w:rsidR="003A43DE" w:rsidRDefault="003A43DE">
      <w:r w:rsidRPr="003A43DE">
        <w:rPr>
          <w:rFonts w:hint="eastAsia"/>
        </w:rPr>
        <w:t>Editor: Xie De</w:t>
      </w:r>
    </w:p>
    <w:p w14:paraId="23DDCBD7" w14:textId="75E617A9" w:rsidR="007F4898" w:rsidRDefault="003A43DE">
      <w:r w:rsidRPr="003A43DE">
        <w:rPr>
          <w:rFonts w:hint="eastAsia"/>
        </w:rPr>
        <w:t>2023-07-28 </w:t>
      </w:r>
    </w:p>
    <w:p w14:paraId="705BC38B" w14:textId="46C4FDBA" w:rsidR="003A43DE" w:rsidRDefault="003A43DE">
      <w:hyperlink r:id="rId4" w:history="1">
        <w:r w:rsidRPr="00A974F7">
          <w:rPr>
            <w:rStyle w:val="Hyperlink"/>
          </w:rPr>
          <w:t>https://www.cssn.cn/jsx/jsx_jqlw/202307/t20230728_5671183.shtml</w:t>
        </w:r>
      </w:hyperlink>
    </w:p>
    <w:p w14:paraId="2D38D4D2" w14:textId="77777777" w:rsidR="003A43DE" w:rsidRDefault="003A43DE"/>
    <w:p w14:paraId="522A7F82" w14:textId="6A4D0AA7" w:rsidR="003A43DE" w:rsidRDefault="003A43DE"/>
    <w:p w14:paraId="3F3D706D" w14:textId="516D1977" w:rsidR="003A43DE" w:rsidRPr="003A43DE" w:rsidRDefault="003A43DE" w:rsidP="003A43DE">
      <w:r w:rsidRPr="003A43DE">
        <w:rPr>
          <w:rFonts w:ascii="MS Gothic" w:eastAsia="MS Gothic" w:hAnsi="MS Gothic" w:cs="MS Gothic" w:hint="eastAsia"/>
        </w:rPr>
        <w:lastRenderedPageBreak/>
        <w:t xml:space="preserve">　　</w:t>
      </w:r>
      <w:r w:rsidRPr="003A43DE">
        <w:drawing>
          <wp:inline distT="0" distB="0" distL="0" distR="0" wp14:anchorId="43127D47" wp14:editId="57256A55">
            <wp:extent cx="4841240" cy="8229600"/>
            <wp:effectExtent l="0" t="0" r="0" b="0"/>
            <wp:docPr id="6734187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1240" cy="8229600"/>
                    </a:xfrm>
                    <a:prstGeom prst="rect">
                      <a:avLst/>
                    </a:prstGeom>
                    <a:noFill/>
                    <a:ln>
                      <a:noFill/>
                    </a:ln>
                  </pic:spPr>
                </pic:pic>
              </a:graphicData>
            </a:graphic>
          </wp:inline>
        </w:drawing>
      </w:r>
    </w:p>
    <w:p w14:paraId="330EED60" w14:textId="428D4F6E" w:rsidR="003A43DE" w:rsidRPr="003A43DE" w:rsidRDefault="003A43DE" w:rsidP="003A43DE">
      <w:pPr>
        <w:rPr>
          <w:rFonts w:hint="eastAsia"/>
        </w:rPr>
      </w:pPr>
      <w:r w:rsidRPr="003A43DE">
        <w:rPr>
          <w:rFonts w:ascii="MS Gothic" w:eastAsia="MS Gothic" w:hAnsi="MS Gothic" w:cs="MS Gothic" w:hint="eastAsia"/>
        </w:rPr>
        <w:lastRenderedPageBreak/>
        <w:t xml:space="preserve">　　</w:t>
      </w:r>
      <w:r w:rsidRPr="003A43DE">
        <w:drawing>
          <wp:inline distT="0" distB="0" distL="0" distR="0" wp14:anchorId="375CD806" wp14:editId="68C401FE">
            <wp:extent cx="5943600" cy="1783080"/>
            <wp:effectExtent l="0" t="0" r="0" b="7620"/>
            <wp:docPr id="9396068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5EB5454E" w14:textId="77777777" w:rsidR="003A43DE" w:rsidRPr="003A43DE" w:rsidRDefault="003A43DE" w:rsidP="003A43DE">
      <w:pPr>
        <w:rPr>
          <w:rFonts w:hint="eastAsia"/>
        </w:rPr>
      </w:pPr>
      <w:r w:rsidRPr="003A43DE">
        <w:rPr>
          <w:rFonts w:ascii="MS Gothic" w:eastAsia="MS Gothic" w:hAnsi="MS Gothic" w:cs="MS Gothic" w:hint="eastAsia"/>
        </w:rPr>
        <w:t xml:space="preserve">　　</w:t>
      </w:r>
      <w:r w:rsidRPr="003A43DE">
        <w:rPr>
          <w:rFonts w:hint="eastAsia"/>
        </w:rPr>
        <w:t>Cognitive warfare is not simply about directly influencing the opponent's cognitive results, but about shaping the opponent's cognition through the injection of information. Without information, there is no cognition, so cognitive warfare must also be information warfare. Conversely, information warfare also involves cognitive warfare. The definition of information warfare of the US military is very clear. It refers to the integration and use of various information-related capabilities during military operations, in coordination with other combat lines, while protecting oneself, influencing, disrupting, damaging or seizing the decision-making of opponents and potential opponents. It can be seen from this that the purpose of information warfare is not just to transmit and control information, but its ultimate goal is to act on the opponent's cognition and then influence decision-making </w:t>
      </w:r>
      <w:hyperlink r:id="rId7" w:history="1">
        <w:r w:rsidRPr="003A43DE">
          <w:rPr>
            <w:rStyle w:val="Hyperlink"/>
            <w:rFonts w:hint="eastAsia"/>
          </w:rPr>
          <w:t>. [Read more]</w:t>
        </w:r>
      </w:hyperlink>
    </w:p>
    <w:p w14:paraId="6B309B79" w14:textId="0E92F74C" w:rsidR="003A43DE" w:rsidRPr="003A43DE" w:rsidRDefault="003A43DE" w:rsidP="003A43DE">
      <w:pPr>
        <w:rPr>
          <w:rFonts w:hint="eastAsia"/>
        </w:rPr>
      </w:pPr>
      <w:r w:rsidRPr="003A43DE">
        <w:rPr>
          <w:rFonts w:ascii="MS Gothic" w:eastAsia="MS Gothic" w:hAnsi="MS Gothic" w:cs="MS Gothic" w:hint="eastAsia"/>
        </w:rPr>
        <w:t xml:space="preserve">　　</w:t>
      </w:r>
      <w:r w:rsidRPr="003A43DE">
        <w:drawing>
          <wp:inline distT="0" distB="0" distL="0" distR="0" wp14:anchorId="7FD81FBD" wp14:editId="694170D8">
            <wp:extent cx="5943600" cy="1783080"/>
            <wp:effectExtent l="0" t="0" r="0" b="7620"/>
            <wp:docPr id="6917579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42C95E81" w14:textId="77777777" w:rsidR="003A43DE" w:rsidRPr="003A43DE" w:rsidRDefault="003A43DE" w:rsidP="003A43DE">
      <w:pPr>
        <w:rPr>
          <w:rFonts w:hint="eastAsia"/>
        </w:rPr>
      </w:pPr>
      <w:r w:rsidRPr="003A43DE">
        <w:rPr>
          <w:rFonts w:ascii="MS Gothic" w:eastAsia="MS Gothic" w:hAnsi="MS Gothic" w:cs="MS Gothic" w:hint="eastAsia"/>
        </w:rPr>
        <w:t xml:space="preserve">　　</w:t>
      </w:r>
      <w:r w:rsidRPr="003A43DE">
        <w:rPr>
          <w:rFonts w:hint="eastAsia"/>
        </w:rPr>
        <w:t>With the advent of the era of mobility, intelligence, and socialization, cognitive domain warfare has become a focus of attention for countries around the world. Cognitive domain warfare is not only an important strategic means of coordinating armed forces in wartime, but also an important strategic tool for major power political games in peacetime. It plays an extremely important role in guiding the cognition of the international community and shaping a favorable strategic situation. In 2019, the internationally renowned think tank RAND Corporation released a research report entitled "New Risks of Virtual Social Warfare - Social Manipulation in a Changing Information Environment", which first proposed the concept of "virtual social warfare" and attracted international attention </w:t>
      </w:r>
      <w:hyperlink r:id="rId9" w:history="1">
        <w:r w:rsidRPr="003A43DE">
          <w:rPr>
            <w:rStyle w:val="Hyperlink"/>
            <w:rFonts w:hint="eastAsia"/>
          </w:rPr>
          <w:t>. [Read more]</w:t>
        </w:r>
      </w:hyperlink>
    </w:p>
    <w:p w14:paraId="423B43EB" w14:textId="35E33CA2" w:rsidR="003A43DE" w:rsidRPr="003A43DE" w:rsidRDefault="003A43DE" w:rsidP="003A43DE">
      <w:pPr>
        <w:rPr>
          <w:rFonts w:hint="eastAsia"/>
        </w:rPr>
      </w:pPr>
      <w:r w:rsidRPr="003A43DE">
        <w:rPr>
          <w:rFonts w:ascii="MS Gothic" w:eastAsia="MS Gothic" w:hAnsi="MS Gothic" w:cs="MS Gothic" w:hint="eastAsia"/>
        </w:rPr>
        <w:lastRenderedPageBreak/>
        <w:t xml:space="preserve">　　</w:t>
      </w:r>
      <w:r w:rsidRPr="003A43DE">
        <w:drawing>
          <wp:inline distT="0" distB="0" distL="0" distR="0" wp14:anchorId="21469364" wp14:editId="37E06082">
            <wp:extent cx="5943600" cy="1783080"/>
            <wp:effectExtent l="0" t="0" r="0" b="7620"/>
            <wp:docPr id="1025355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76A96C07" w14:textId="77777777" w:rsidR="003A43DE" w:rsidRPr="003A43DE" w:rsidRDefault="003A43DE" w:rsidP="003A43DE">
      <w:pPr>
        <w:rPr>
          <w:rFonts w:hint="eastAsia"/>
        </w:rPr>
      </w:pPr>
      <w:r w:rsidRPr="003A43DE">
        <w:rPr>
          <w:rFonts w:ascii="MS Gothic" w:eastAsia="MS Gothic" w:hAnsi="MS Gothic" w:cs="MS Gothic" w:hint="eastAsia"/>
        </w:rPr>
        <w:t xml:space="preserve">　　</w:t>
      </w:r>
      <w:r w:rsidRPr="003A43DE">
        <w:rPr>
          <w:rFonts w:hint="eastAsia"/>
        </w:rPr>
        <w:t>At present, the war mode is no longer a single military confrontation between countries, but has turned into a hybrid war. As an important part of hybrid warfare, cultural warfare is constantly and subtly influencing the country's public opinion environment, spiritual beliefs, and social atmosphere. However, the essence of a country remains unchanged. To deal with this war mode, we can use Carl von Clausewitz's interpretation of the nature of war in "On War" to analyze cultural warfare </w:t>
      </w:r>
      <w:hyperlink r:id="rId11" w:history="1">
        <w:r w:rsidRPr="003A43DE">
          <w:rPr>
            <w:rStyle w:val="Hyperlink"/>
            <w:rFonts w:hint="eastAsia"/>
          </w:rPr>
          <w:t>. [Read more]</w:t>
        </w:r>
      </w:hyperlink>
    </w:p>
    <w:p w14:paraId="5CA24AB1" w14:textId="1181A118" w:rsidR="003A43DE" w:rsidRPr="003A43DE" w:rsidRDefault="003A43DE" w:rsidP="003A43DE">
      <w:pPr>
        <w:rPr>
          <w:rFonts w:hint="eastAsia"/>
        </w:rPr>
      </w:pPr>
      <w:r w:rsidRPr="003A43DE">
        <w:rPr>
          <w:rFonts w:ascii="MS Gothic" w:eastAsia="MS Gothic" w:hAnsi="MS Gothic" w:cs="MS Gothic" w:hint="eastAsia"/>
        </w:rPr>
        <w:t xml:space="preserve">　　</w:t>
      </w:r>
      <w:r w:rsidRPr="003A43DE">
        <w:drawing>
          <wp:inline distT="0" distB="0" distL="0" distR="0" wp14:anchorId="2B913560" wp14:editId="7D8FD23E">
            <wp:extent cx="5943600" cy="1783080"/>
            <wp:effectExtent l="0" t="0" r="0" b="7620"/>
            <wp:docPr id="1307003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591855C5" w14:textId="77777777" w:rsidR="003A43DE" w:rsidRPr="003A43DE" w:rsidRDefault="003A43DE" w:rsidP="003A43DE">
      <w:pPr>
        <w:rPr>
          <w:rFonts w:hint="eastAsia"/>
        </w:rPr>
      </w:pPr>
      <w:r w:rsidRPr="003A43DE">
        <w:rPr>
          <w:rFonts w:ascii="MS Gothic" w:eastAsia="MS Gothic" w:hAnsi="MS Gothic" w:cs="MS Gothic" w:hint="eastAsia"/>
        </w:rPr>
        <w:t xml:space="preserve">　　</w:t>
      </w:r>
      <w:r w:rsidRPr="003A43DE">
        <w:rPr>
          <w:rFonts w:hint="eastAsia"/>
        </w:rPr>
        <w:t>The ancients said, "Knowing the heavens and the earth, victory is endless." The so-called battlefield environment is a general term for various situations and conditions in and around the battlefield that affect combat activities. The recognition of the battlefield environment is an essential ability and quality for excellent commanders. "Looking from the side, a mountain becomes a peak; looking from the front, it becomes a peak; the distance, nearness, height and lowness are different." To fully and accurately understand a thing, we must look at it objectively from different angles. With the changes in technology, wars, and opponents, the battlefield environment has also undergone profound changes. We must keep pace with the times, promote the coupling of combat and training, and observe and recognize the battlefield environment from multiple dimensions and perspectives </w:t>
      </w:r>
      <w:hyperlink r:id="rId13" w:history="1">
        <w:r w:rsidRPr="003A43DE">
          <w:rPr>
            <w:rStyle w:val="Hyperlink"/>
            <w:rFonts w:hint="eastAsia"/>
          </w:rPr>
          <w:t>. [Read more]</w:t>
        </w:r>
      </w:hyperlink>
    </w:p>
    <w:p w14:paraId="159F4EDF" w14:textId="1B58BE4D" w:rsidR="003A43DE" w:rsidRPr="003A43DE" w:rsidRDefault="003A43DE" w:rsidP="003A43DE">
      <w:pPr>
        <w:rPr>
          <w:rFonts w:hint="eastAsia"/>
        </w:rPr>
      </w:pPr>
      <w:r w:rsidRPr="003A43DE">
        <w:rPr>
          <w:rFonts w:ascii="MS Gothic" w:eastAsia="MS Gothic" w:hAnsi="MS Gothic" w:cs="MS Gothic" w:hint="eastAsia"/>
        </w:rPr>
        <w:lastRenderedPageBreak/>
        <w:t xml:space="preserve">　　</w:t>
      </w:r>
      <w:r w:rsidRPr="003A43DE">
        <w:drawing>
          <wp:inline distT="0" distB="0" distL="0" distR="0" wp14:anchorId="7CB979BD" wp14:editId="6A4CB215">
            <wp:extent cx="5943600" cy="1783080"/>
            <wp:effectExtent l="0" t="0" r="0" b="7620"/>
            <wp:docPr id="1687780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BA16E7F" w14:textId="77777777" w:rsidR="003A43DE" w:rsidRPr="003A43DE" w:rsidRDefault="003A43DE" w:rsidP="003A43DE">
      <w:pPr>
        <w:rPr>
          <w:rFonts w:hint="eastAsia"/>
        </w:rPr>
      </w:pPr>
      <w:r w:rsidRPr="003A43DE">
        <w:rPr>
          <w:rFonts w:ascii="MS Gothic" w:eastAsia="MS Gothic" w:hAnsi="MS Gothic" w:cs="MS Gothic" w:hint="eastAsia"/>
        </w:rPr>
        <w:t xml:space="preserve">　　</w:t>
      </w:r>
      <w:r w:rsidRPr="003A43DE">
        <w:rPr>
          <w:rFonts w:hint="eastAsia"/>
        </w:rPr>
        <w:t>As an important variable that determines the outcome of a war, the commander's decision-making psychology has always been a key area of ​​fierce competition between the warring parties. Maritime commanders are at the forefront of military preparations and control the first shot that is most likely to be fired at sea in future wars. Their command decision-making psychology is even more sensitive to the entire situation. Especially in the face of the in-depth application of artificial intelligence technology in the naval battlefield, the psychological factors of uncertainty in commanders' command decisions have increased significantly, and their command decision-making psychology deserves special attention </w:t>
      </w:r>
      <w:hyperlink r:id="rId15" w:history="1">
        <w:r w:rsidRPr="003A43DE">
          <w:rPr>
            <w:rStyle w:val="Hyperlink"/>
            <w:rFonts w:hint="eastAsia"/>
          </w:rPr>
          <w:t>. [Read more]</w:t>
        </w:r>
      </w:hyperlink>
    </w:p>
    <w:p w14:paraId="1B18BB6E" w14:textId="088D87AF" w:rsidR="003A43DE" w:rsidRPr="003A43DE" w:rsidRDefault="003A43DE" w:rsidP="003A43DE">
      <w:pPr>
        <w:rPr>
          <w:rFonts w:hint="eastAsia"/>
        </w:rPr>
      </w:pPr>
      <w:r w:rsidRPr="003A43DE">
        <w:rPr>
          <w:rFonts w:ascii="MS Gothic" w:eastAsia="MS Gothic" w:hAnsi="MS Gothic" w:cs="MS Gothic" w:hint="eastAsia"/>
        </w:rPr>
        <w:t xml:space="preserve">　　</w:t>
      </w:r>
      <w:r w:rsidRPr="003A43DE">
        <w:drawing>
          <wp:inline distT="0" distB="0" distL="0" distR="0" wp14:anchorId="72804E01" wp14:editId="0E4BAF37">
            <wp:extent cx="5943600" cy="1156335"/>
            <wp:effectExtent l="0" t="0" r="0" b="5715"/>
            <wp:docPr id="1975582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56335"/>
                    </a:xfrm>
                    <a:prstGeom prst="rect">
                      <a:avLst/>
                    </a:prstGeom>
                    <a:noFill/>
                    <a:ln>
                      <a:noFill/>
                    </a:ln>
                  </pic:spPr>
                </pic:pic>
              </a:graphicData>
            </a:graphic>
          </wp:inline>
        </w:drawing>
      </w:r>
    </w:p>
    <w:p w14:paraId="1EDB34C5" w14:textId="77777777" w:rsidR="003A43DE" w:rsidRPr="003A43DE" w:rsidRDefault="003A43DE" w:rsidP="003A43DE">
      <w:pPr>
        <w:rPr>
          <w:rFonts w:hint="eastAsia"/>
        </w:rPr>
      </w:pPr>
      <w:r w:rsidRPr="003A43DE">
        <w:rPr>
          <w:rFonts w:ascii="MS Gothic" w:eastAsia="MS Gothic" w:hAnsi="MS Gothic" w:cs="MS Gothic" w:hint="eastAsia"/>
        </w:rPr>
        <w:t xml:space="preserve">　　</w:t>
      </w:r>
    </w:p>
    <w:p w14:paraId="5A8419D2" w14:textId="77777777" w:rsidR="003A43DE" w:rsidRPr="003A43DE" w:rsidRDefault="003A43DE" w:rsidP="003A43DE">
      <w:pPr>
        <w:rPr>
          <w:rFonts w:hint="eastAsia"/>
        </w:rPr>
      </w:pPr>
      <w:r w:rsidRPr="003A43DE">
        <w:rPr>
          <w:rFonts w:ascii="MS Gothic" w:eastAsia="MS Gothic" w:hAnsi="MS Gothic" w:cs="MS Gothic" w:hint="eastAsia"/>
        </w:rPr>
        <w:t xml:space="preserve">　　</w:t>
      </w:r>
    </w:p>
    <w:p w14:paraId="64A27FA7" w14:textId="77777777" w:rsidR="003A43DE" w:rsidRDefault="003A43DE"/>
    <w:sectPr w:rsidR="003A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DE"/>
    <w:rsid w:val="003A43DE"/>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68A9"/>
  <w15:chartTrackingRefBased/>
  <w15:docId w15:val="{3A6ED3FE-74A3-4274-B6C9-CB9B3A08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4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4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4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4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4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4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3DE"/>
    <w:rPr>
      <w:rFonts w:eastAsiaTheme="majorEastAsia" w:cstheme="majorBidi"/>
      <w:color w:val="272727" w:themeColor="text1" w:themeTint="D8"/>
    </w:rPr>
  </w:style>
  <w:style w:type="paragraph" w:styleId="Title">
    <w:name w:val="Title"/>
    <w:basedOn w:val="Normal"/>
    <w:next w:val="Normal"/>
    <w:link w:val="TitleChar"/>
    <w:uiPriority w:val="10"/>
    <w:qFormat/>
    <w:rsid w:val="003A4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3DE"/>
    <w:pPr>
      <w:spacing w:before="160"/>
      <w:jc w:val="center"/>
    </w:pPr>
    <w:rPr>
      <w:i/>
      <w:iCs/>
      <w:color w:val="404040" w:themeColor="text1" w:themeTint="BF"/>
    </w:rPr>
  </w:style>
  <w:style w:type="character" w:customStyle="1" w:styleId="QuoteChar">
    <w:name w:val="Quote Char"/>
    <w:basedOn w:val="DefaultParagraphFont"/>
    <w:link w:val="Quote"/>
    <w:uiPriority w:val="29"/>
    <w:rsid w:val="003A43DE"/>
    <w:rPr>
      <w:i/>
      <w:iCs/>
      <w:color w:val="404040" w:themeColor="text1" w:themeTint="BF"/>
    </w:rPr>
  </w:style>
  <w:style w:type="paragraph" w:styleId="ListParagraph">
    <w:name w:val="List Paragraph"/>
    <w:basedOn w:val="Normal"/>
    <w:uiPriority w:val="34"/>
    <w:qFormat/>
    <w:rsid w:val="003A43DE"/>
    <w:pPr>
      <w:ind w:left="720"/>
      <w:contextualSpacing/>
    </w:pPr>
  </w:style>
  <w:style w:type="character" w:styleId="IntenseEmphasis">
    <w:name w:val="Intense Emphasis"/>
    <w:basedOn w:val="DefaultParagraphFont"/>
    <w:uiPriority w:val="21"/>
    <w:qFormat/>
    <w:rsid w:val="003A43DE"/>
    <w:rPr>
      <w:i/>
      <w:iCs/>
      <w:color w:val="2F5496" w:themeColor="accent1" w:themeShade="BF"/>
    </w:rPr>
  </w:style>
  <w:style w:type="paragraph" w:styleId="IntenseQuote">
    <w:name w:val="Intense Quote"/>
    <w:basedOn w:val="Normal"/>
    <w:next w:val="Normal"/>
    <w:link w:val="IntenseQuoteChar"/>
    <w:uiPriority w:val="30"/>
    <w:qFormat/>
    <w:rsid w:val="003A4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3DE"/>
    <w:rPr>
      <w:i/>
      <w:iCs/>
      <w:color w:val="2F5496" w:themeColor="accent1" w:themeShade="BF"/>
    </w:rPr>
  </w:style>
  <w:style w:type="character" w:styleId="IntenseReference">
    <w:name w:val="Intense Reference"/>
    <w:basedOn w:val="DefaultParagraphFont"/>
    <w:uiPriority w:val="32"/>
    <w:qFormat/>
    <w:rsid w:val="003A43DE"/>
    <w:rPr>
      <w:b/>
      <w:bCs/>
      <w:smallCaps/>
      <w:color w:val="2F5496" w:themeColor="accent1" w:themeShade="BF"/>
      <w:spacing w:val="5"/>
    </w:rPr>
  </w:style>
  <w:style w:type="character" w:styleId="Hyperlink">
    <w:name w:val="Hyperlink"/>
    <w:basedOn w:val="DefaultParagraphFont"/>
    <w:uiPriority w:val="99"/>
    <w:unhideWhenUsed/>
    <w:rsid w:val="003A43DE"/>
    <w:rPr>
      <w:color w:val="0563C1" w:themeColor="hyperlink"/>
      <w:u w:val="single"/>
    </w:rPr>
  </w:style>
  <w:style w:type="character" w:styleId="UnresolvedMention">
    <w:name w:val="Unresolved Mention"/>
    <w:basedOn w:val="DefaultParagraphFont"/>
    <w:uiPriority w:val="99"/>
    <w:semiHidden/>
    <w:unhideWhenUsed/>
    <w:rsid w:val="003A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17477">
      <w:bodyDiv w:val="1"/>
      <w:marLeft w:val="0"/>
      <w:marRight w:val="0"/>
      <w:marTop w:val="0"/>
      <w:marBottom w:val="0"/>
      <w:divBdr>
        <w:top w:val="none" w:sz="0" w:space="0" w:color="auto"/>
        <w:left w:val="none" w:sz="0" w:space="0" w:color="auto"/>
        <w:bottom w:val="none" w:sz="0" w:space="0" w:color="auto"/>
        <w:right w:val="none" w:sz="0" w:space="0" w:color="auto"/>
      </w:divBdr>
      <w:divsChild>
        <w:div w:id="1152216237">
          <w:marLeft w:val="0"/>
          <w:marRight w:val="0"/>
          <w:marTop w:val="0"/>
          <w:marBottom w:val="750"/>
          <w:divBdr>
            <w:top w:val="none" w:sz="0" w:space="0" w:color="auto"/>
            <w:left w:val="none" w:sz="0" w:space="0" w:color="auto"/>
            <w:bottom w:val="none" w:sz="0" w:space="0" w:color="auto"/>
            <w:right w:val="none" w:sz="0" w:space="0" w:color="auto"/>
          </w:divBdr>
        </w:div>
      </w:divsChild>
    </w:div>
    <w:div w:id="1133644111">
      <w:bodyDiv w:val="1"/>
      <w:marLeft w:val="0"/>
      <w:marRight w:val="0"/>
      <w:marTop w:val="0"/>
      <w:marBottom w:val="0"/>
      <w:divBdr>
        <w:top w:val="none" w:sz="0" w:space="0" w:color="auto"/>
        <w:left w:val="none" w:sz="0" w:space="0" w:color="auto"/>
        <w:bottom w:val="none" w:sz="0" w:space="0" w:color="auto"/>
        <w:right w:val="none" w:sz="0" w:space="0" w:color="auto"/>
      </w:divBdr>
      <w:divsChild>
        <w:div w:id="1721634442">
          <w:marLeft w:val="0"/>
          <w:marRight w:val="0"/>
          <w:marTop w:val="750"/>
          <w:marBottom w:val="0"/>
          <w:divBdr>
            <w:top w:val="none" w:sz="0" w:space="0" w:color="auto"/>
            <w:left w:val="none" w:sz="0" w:space="0" w:color="auto"/>
            <w:bottom w:val="none" w:sz="0" w:space="0" w:color="auto"/>
            <w:right w:val="none" w:sz="0" w:space="0" w:color="auto"/>
          </w:divBdr>
          <w:divsChild>
            <w:div w:id="1237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5549">
      <w:bodyDiv w:val="1"/>
      <w:marLeft w:val="0"/>
      <w:marRight w:val="0"/>
      <w:marTop w:val="0"/>
      <w:marBottom w:val="0"/>
      <w:divBdr>
        <w:top w:val="none" w:sz="0" w:space="0" w:color="auto"/>
        <w:left w:val="none" w:sz="0" w:space="0" w:color="auto"/>
        <w:bottom w:val="none" w:sz="0" w:space="0" w:color="auto"/>
        <w:right w:val="none" w:sz="0" w:space="0" w:color="auto"/>
      </w:divBdr>
      <w:divsChild>
        <w:div w:id="335041674">
          <w:marLeft w:val="0"/>
          <w:marRight w:val="0"/>
          <w:marTop w:val="0"/>
          <w:marBottom w:val="750"/>
          <w:divBdr>
            <w:top w:val="none" w:sz="0" w:space="0" w:color="auto"/>
            <w:left w:val="none" w:sz="0" w:space="0" w:color="auto"/>
            <w:bottom w:val="none" w:sz="0" w:space="0" w:color="auto"/>
            <w:right w:val="none" w:sz="0" w:space="0" w:color="auto"/>
          </w:divBdr>
        </w:div>
      </w:divsChild>
    </w:div>
    <w:div w:id="1297447380">
      <w:bodyDiv w:val="1"/>
      <w:marLeft w:val="0"/>
      <w:marRight w:val="0"/>
      <w:marTop w:val="0"/>
      <w:marBottom w:val="0"/>
      <w:divBdr>
        <w:top w:val="none" w:sz="0" w:space="0" w:color="auto"/>
        <w:left w:val="none" w:sz="0" w:space="0" w:color="auto"/>
        <w:bottom w:val="none" w:sz="0" w:space="0" w:color="auto"/>
        <w:right w:val="none" w:sz="0" w:space="0" w:color="auto"/>
      </w:divBdr>
      <w:divsChild>
        <w:div w:id="327564281">
          <w:marLeft w:val="0"/>
          <w:marRight w:val="0"/>
          <w:marTop w:val="750"/>
          <w:marBottom w:val="0"/>
          <w:divBdr>
            <w:top w:val="none" w:sz="0" w:space="0" w:color="auto"/>
            <w:left w:val="none" w:sz="0" w:space="0" w:color="auto"/>
            <w:bottom w:val="none" w:sz="0" w:space="0" w:color="auto"/>
            <w:right w:val="none" w:sz="0" w:space="0" w:color="auto"/>
          </w:divBdr>
          <w:divsChild>
            <w:div w:id="1471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ssn.cn/jsx/202307/t20230712_5667507.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ssn.cn/jsx/jsx_xxqj/202302/t20230220_5589499.shtml"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cssn.cn/jsx/jsx_jqlw/202305/t20230515_5638016.shtml" TargetMode="External"/><Relationship Id="rId5" Type="http://schemas.openxmlformats.org/officeDocument/2006/relationships/image" Target="media/image1.jpeg"/><Relationship Id="rId15" Type="http://schemas.openxmlformats.org/officeDocument/2006/relationships/hyperlink" Target="https://www.cssn.cn/jsx/jsx_xwzx/202305/t20230530_5641351.shtml" TargetMode="External"/><Relationship Id="rId10" Type="http://schemas.openxmlformats.org/officeDocument/2006/relationships/image" Target="media/image4.jpeg"/><Relationship Id="rId4" Type="http://schemas.openxmlformats.org/officeDocument/2006/relationships/hyperlink" Target="https://www.cssn.cn/jsx/jsx_jqlw/202307/t20230728_5671183.shtml" TargetMode="External"/><Relationship Id="rId9" Type="http://schemas.openxmlformats.org/officeDocument/2006/relationships/hyperlink" Target="https://www.cssn.cn/jsx/jsx_xxqj/202303/t20230328_5616582.s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2025-05-30T02:03:00Z</dcterms:created>
  <dcterms:modified xsi:type="dcterms:W3CDTF">2025-05-30T02:05:00Z</dcterms:modified>
</cp:coreProperties>
</file>